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A0E4" w14:textId="12551622" w:rsidR="00F92EA6" w:rsidRPr="00F82975" w:rsidRDefault="00F92EA6" w:rsidP="00F82975">
      <w:pPr>
        <w:spacing w:line="360" w:lineRule="auto"/>
        <w:rPr>
          <w:rFonts w:ascii="Times New Roman" w:hAnsi="Times New Roman" w:cs="Times New Roman"/>
          <w:sz w:val="24"/>
          <w:szCs w:val="24"/>
        </w:rPr>
      </w:pPr>
    </w:p>
    <w:p w14:paraId="2D7A5F0D" w14:textId="77777777" w:rsidR="00804F30" w:rsidRDefault="00804F30" w:rsidP="00804F30">
      <w:pPr>
        <w:spacing w:line="360" w:lineRule="auto"/>
        <w:rPr>
          <w:rFonts w:ascii="Times New Roman" w:hAnsi="Times New Roman" w:cs="Times New Roman"/>
          <w:b/>
          <w:sz w:val="24"/>
          <w:szCs w:val="24"/>
        </w:rPr>
      </w:pPr>
      <w:bookmarkStart w:id="0" w:name="_Hlk200013236"/>
      <w:r w:rsidRPr="00804F30">
        <w:rPr>
          <w:rFonts w:ascii="Times New Roman" w:hAnsi="Times New Roman" w:cs="Times New Roman"/>
          <w:b/>
          <w:sz w:val="24"/>
          <w:szCs w:val="24"/>
        </w:rPr>
        <w:t xml:space="preserve">Assessing Clinical Outcomes between </w:t>
      </w:r>
      <w:bookmarkStart w:id="1" w:name="_Hlk200013026"/>
      <w:r w:rsidRPr="00804F30">
        <w:rPr>
          <w:rFonts w:ascii="Times New Roman" w:hAnsi="Times New Roman" w:cs="Times New Roman"/>
          <w:b/>
          <w:sz w:val="24"/>
          <w:szCs w:val="24"/>
        </w:rPr>
        <w:t xml:space="preserve">18 </w:t>
      </w:r>
      <w:proofErr w:type="spellStart"/>
      <w:r w:rsidRPr="00804F30">
        <w:rPr>
          <w:rFonts w:ascii="Times New Roman" w:hAnsi="Times New Roman" w:cs="Times New Roman"/>
          <w:b/>
          <w:sz w:val="24"/>
          <w:szCs w:val="24"/>
        </w:rPr>
        <w:t>Gy</w:t>
      </w:r>
      <w:proofErr w:type="spellEnd"/>
      <w:r w:rsidRPr="00804F30">
        <w:rPr>
          <w:rFonts w:ascii="Times New Roman" w:hAnsi="Times New Roman" w:cs="Times New Roman"/>
          <w:b/>
          <w:sz w:val="24"/>
          <w:szCs w:val="24"/>
        </w:rPr>
        <w:t xml:space="preserve"> in</w:t>
      </w:r>
      <w:r w:rsidRPr="00804F30">
        <w:rPr>
          <w:rFonts w:ascii="Times New Roman" w:hAnsi="Times New Roman" w:cs="Times New Roman"/>
          <w:sz w:val="24"/>
          <w:szCs w:val="24"/>
        </w:rPr>
        <w:t xml:space="preserve"> </w:t>
      </w:r>
      <w:r w:rsidRPr="00804F30">
        <w:rPr>
          <w:rFonts w:ascii="Times New Roman" w:hAnsi="Times New Roman" w:cs="Times New Roman"/>
          <w:b/>
          <w:sz w:val="24"/>
          <w:szCs w:val="24"/>
        </w:rPr>
        <w:t xml:space="preserve">2 Fractions vs 21 </w:t>
      </w:r>
      <w:proofErr w:type="spellStart"/>
      <w:r w:rsidRPr="00804F30">
        <w:rPr>
          <w:rFonts w:ascii="Times New Roman" w:hAnsi="Times New Roman" w:cs="Times New Roman"/>
          <w:b/>
          <w:sz w:val="24"/>
          <w:szCs w:val="24"/>
        </w:rPr>
        <w:t>Gy</w:t>
      </w:r>
      <w:proofErr w:type="spellEnd"/>
      <w:r w:rsidRPr="00804F30">
        <w:rPr>
          <w:rFonts w:ascii="Times New Roman" w:hAnsi="Times New Roman" w:cs="Times New Roman"/>
          <w:b/>
          <w:sz w:val="24"/>
          <w:szCs w:val="24"/>
        </w:rPr>
        <w:t xml:space="preserve"> in 3 Fractions of Brachytherapy</w:t>
      </w:r>
      <w:bookmarkEnd w:id="1"/>
      <w:r w:rsidRPr="00804F30">
        <w:rPr>
          <w:rFonts w:ascii="Times New Roman" w:hAnsi="Times New Roman" w:cs="Times New Roman"/>
          <w:b/>
          <w:sz w:val="24"/>
          <w:szCs w:val="24"/>
        </w:rPr>
        <w:t xml:space="preserve"> after Concurrent Chemoradiotherapy in Locally Advanced Carcinoma Cervix</w:t>
      </w:r>
    </w:p>
    <w:bookmarkEnd w:id="0"/>
    <w:p w14:paraId="15FA1FB1" w14:textId="77777777" w:rsidR="00104C53" w:rsidRDefault="00104C53" w:rsidP="006B259F">
      <w:pPr>
        <w:spacing w:line="360" w:lineRule="auto"/>
        <w:jc w:val="both"/>
        <w:rPr>
          <w:rFonts w:ascii="Times New Roman" w:hAnsi="Times New Roman" w:cs="Times New Roman"/>
          <w:sz w:val="24"/>
          <w:szCs w:val="24"/>
        </w:rPr>
      </w:pPr>
    </w:p>
    <w:p w14:paraId="301FA750" w14:textId="029ED848" w:rsidR="00F92EA6" w:rsidRDefault="00104C53" w:rsidP="006B259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804F30">
        <w:rPr>
          <w:rFonts w:ascii="Times New Roman" w:hAnsi="Times New Roman" w:cs="Times New Roman"/>
          <w:b/>
          <w:bCs/>
          <w:sz w:val="24"/>
          <w:szCs w:val="24"/>
        </w:rPr>
        <w:t>Abstract</w:t>
      </w:r>
    </w:p>
    <w:p w14:paraId="2B8BBCF9" w14:textId="04B328EC" w:rsidR="00C40315" w:rsidRDefault="00663F85" w:rsidP="006B259F">
      <w:pPr>
        <w:spacing w:line="487" w:lineRule="auto"/>
        <w:ind w:left="476" w:right="68" w:hanging="10"/>
        <w:jc w:val="both"/>
        <w:rPr>
          <w:rFonts w:ascii="Times New Roman" w:hAnsi="Times New Roman" w:cs="Times New Roman"/>
          <w:sz w:val="24"/>
          <w:szCs w:val="24"/>
        </w:rPr>
      </w:pPr>
      <w:r>
        <w:rPr>
          <w:rFonts w:ascii="Times New Roman" w:hAnsi="Times New Roman" w:cs="Times New Roman"/>
          <w:b/>
          <w:bCs/>
          <w:sz w:val="24"/>
          <w:szCs w:val="24"/>
        </w:rPr>
        <w:t xml:space="preserve">Background </w:t>
      </w:r>
      <w:r>
        <w:rPr>
          <w:rFonts w:ascii="Times New Roman" w:hAnsi="Times New Roman" w:cs="Times New Roman"/>
          <w:sz w:val="24"/>
          <w:szCs w:val="24"/>
        </w:rPr>
        <w:t>There is a multitude of problems encountered during</w:t>
      </w:r>
      <w:r w:rsidR="00427663">
        <w:rPr>
          <w:rFonts w:ascii="Times New Roman" w:hAnsi="Times New Roman" w:cs="Times New Roman"/>
          <w:sz w:val="24"/>
          <w:szCs w:val="24"/>
        </w:rPr>
        <w:t xml:space="preserve"> the</w:t>
      </w:r>
      <w:r>
        <w:rPr>
          <w:rFonts w:ascii="Times New Roman" w:hAnsi="Times New Roman" w:cs="Times New Roman"/>
          <w:sz w:val="24"/>
          <w:szCs w:val="24"/>
        </w:rPr>
        <w:t xml:space="preserve"> management of critical conditions in low-resource settings. Reducing</w:t>
      </w:r>
      <w:r w:rsidRPr="00663F85">
        <w:rPr>
          <w:rFonts w:ascii="Times New Roman" w:hAnsi="Times New Roman" w:cs="Times New Roman"/>
          <w:sz w:val="24"/>
          <w:szCs w:val="24"/>
        </w:rPr>
        <w:t xml:space="preserve"> the </w:t>
      </w:r>
      <w:r>
        <w:rPr>
          <w:rFonts w:ascii="Times New Roman" w:hAnsi="Times New Roman" w:cs="Times New Roman"/>
          <w:sz w:val="24"/>
          <w:szCs w:val="24"/>
        </w:rPr>
        <w:t>administration</w:t>
      </w:r>
      <w:r w:rsidRPr="00663F85">
        <w:rPr>
          <w:rFonts w:ascii="Times New Roman" w:hAnsi="Times New Roman" w:cs="Times New Roman"/>
          <w:sz w:val="24"/>
          <w:szCs w:val="24"/>
        </w:rPr>
        <w:t xml:space="preserve"> of brachytherapy from 3 to 2 fractions will </w:t>
      </w:r>
      <w:r>
        <w:rPr>
          <w:rFonts w:ascii="Times New Roman" w:hAnsi="Times New Roman" w:cs="Times New Roman"/>
          <w:sz w:val="24"/>
          <w:szCs w:val="24"/>
        </w:rPr>
        <w:t xml:space="preserve">assist cervical cancer </w:t>
      </w:r>
      <w:r w:rsidRPr="00663F85">
        <w:rPr>
          <w:rFonts w:ascii="Times New Roman" w:hAnsi="Times New Roman" w:cs="Times New Roman"/>
          <w:sz w:val="24"/>
          <w:szCs w:val="24"/>
        </w:rPr>
        <w:t xml:space="preserve">patients by </w:t>
      </w:r>
      <w:r>
        <w:rPr>
          <w:rFonts w:ascii="Times New Roman" w:hAnsi="Times New Roman" w:cs="Times New Roman"/>
          <w:sz w:val="24"/>
          <w:szCs w:val="24"/>
        </w:rPr>
        <w:t>decreasing the</w:t>
      </w:r>
      <w:r w:rsidRPr="00663F85">
        <w:rPr>
          <w:rFonts w:ascii="Times New Roman" w:hAnsi="Times New Roman" w:cs="Times New Roman"/>
          <w:sz w:val="24"/>
          <w:szCs w:val="24"/>
        </w:rPr>
        <w:t xml:space="preserve"> treatment cost</w:t>
      </w:r>
      <w:r>
        <w:rPr>
          <w:rFonts w:ascii="Times New Roman" w:hAnsi="Times New Roman" w:cs="Times New Roman"/>
          <w:sz w:val="24"/>
          <w:szCs w:val="24"/>
        </w:rPr>
        <w:t>s</w:t>
      </w:r>
      <w:r w:rsidRPr="00663F85">
        <w:rPr>
          <w:rFonts w:ascii="Times New Roman" w:hAnsi="Times New Roman" w:cs="Times New Roman"/>
          <w:sz w:val="24"/>
          <w:szCs w:val="24"/>
        </w:rPr>
        <w:t xml:space="preserve"> and </w:t>
      </w:r>
      <w:r>
        <w:rPr>
          <w:rFonts w:ascii="Times New Roman" w:hAnsi="Times New Roman" w:cs="Times New Roman"/>
          <w:sz w:val="24"/>
          <w:szCs w:val="24"/>
        </w:rPr>
        <w:t xml:space="preserve">as well as </w:t>
      </w:r>
      <w:r w:rsidRPr="00663F85">
        <w:rPr>
          <w:rFonts w:ascii="Times New Roman" w:hAnsi="Times New Roman" w:cs="Times New Roman"/>
          <w:sz w:val="24"/>
          <w:szCs w:val="24"/>
        </w:rPr>
        <w:t>repeated attendance</w:t>
      </w:r>
      <w:r>
        <w:rPr>
          <w:rFonts w:ascii="Times New Roman" w:hAnsi="Times New Roman" w:cs="Times New Roman"/>
          <w:sz w:val="24"/>
          <w:szCs w:val="24"/>
        </w:rPr>
        <w:t>s</w:t>
      </w:r>
      <w:r w:rsidRPr="00663F85">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663F85">
        <w:rPr>
          <w:rFonts w:ascii="Times New Roman" w:hAnsi="Times New Roman" w:cs="Times New Roman"/>
          <w:sz w:val="24"/>
          <w:szCs w:val="24"/>
        </w:rPr>
        <w:t>hospital</w:t>
      </w:r>
      <w:r>
        <w:rPr>
          <w:rFonts w:ascii="Times New Roman" w:hAnsi="Times New Roman" w:cs="Times New Roman"/>
          <w:sz w:val="24"/>
          <w:szCs w:val="24"/>
        </w:rPr>
        <w:t>s</w:t>
      </w:r>
      <w:r w:rsidRPr="00663F8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Objective</w:t>
      </w:r>
      <w:r w:rsidRPr="00663F85">
        <w:rPr>
          <w:rFonts w:ascii="Times New Roman" w:hAnsi="Times New Roman" w:cs="Times New Roman"/>
          <w:b/>
          <w:bCs/>
          <w:sz w:val="24"/>
          <w:szCs w:val="24"/>
        </w:rPr>
        <w:t xml:space="preserve"> </w:t>
      </w:r>
      <w:r>
        <w:rPr>
          <w:rFonts w:ascii="Times New Roman" w:hAnsi="Times New Roman" w:cs="Times New Roman"/>
          <w:sz w:val="24"/>
          <w:szCs w:val="24"/>
        </w:rPr>
        <w:t>T</w:t>
      </w:r>
      <w:r w:rsidR="000D6CAE">
        <w:rPr>
          <w:rFonts w:ascii="Times New Roman" w:hAnsi="Times New Roman" w:cs="Times New Roman"/>
          <w:sz w:val="24"/>
          <w:szCs w:val="24"/>
        </w:rPr>
        <w:t>he research was carried out to</w:t>
      </w:r>
      <w:r>
        <w:rPr>
          <w:rFonts w:ascii="Times New Roman" w:hAnsi="Times New Roman" w:cs="Times New Roman"/>
          <w:sz w:val="24"/>
          <w:szCs w:val="24"/>
        </w:rPr>
        <w:t xml:space="preserve">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om</w:t>
      </w:r>
      <w:r w:rsidRPr="00663F85">
        <w:rPr>
          <w:rFonts w:ascii="Times New Roman" w:hAnsi="Times New Roman" w:cs="Times New Roman"/>
          <w:spacing w:val="3"/>
          <w:sz w:val="24"/>
          <w:szCs w:val="24"/>
        </w:rPr>
        <w:t>p</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re the</w:t>
      </w:r>
      <w:r w:rsidRPr="00663F85">
        <w:rPr>
          <w:rFonts w:ascii="Times New Roman" w:hAnsi="Times New Roman" w:cs="Times New Roman"/>
          <w:spacing w:val="10"/>
          <w:sz w:val="24"/>
          <w:szCs w:val="24"/>
        </w:rPr>
        <w:t xml:space="preserve"> </w:t>
      </w:r>
      <w:r w:rsidR="00585E0A">
        <w:rPr>
          <w:rFonts w:ascii="Times New Roman" w:hAnsi="Times New Roman" w:cs="Times New Roman"/>
          <w:sz w:val="24"/>
          <w:szCs w:val="24"/>
        </w:rPr>
        <w:t>clinical outcomes</w:t>
      </w:r>
      <w:r w:rsidRPr="00663F85">
        <w:rPr>
          <w:rFonts w:ascii="Times New Roman" w:hAnsi="Times New Roman" w:cs="Times New Roman"/>
          <w:spacing w:val="59"/>
          <w:sz w:val="24"/>
          <w:szCs w:val="24"/>
        </w:rPr>
        <w:t xml:space="preserve"> </w:t>
      </w:r>
      <w:r w:rsidRPr="00663F85">
        <w:rPr>
          <w:rFonts w:ascii="Times New Roman" w:hAnsi="Times New Roman" w:cs="Times New Roman"/>
          <w:sz w:val="24"/>
          <w:szCs w:val="24"/>
        </w:rPr>
        <w:t>foll</w:t>
      </w:r>
      <w:r w:rsidRPr="00663F85">
        <w:rPr>
          <w:rFonts w:ascii="Times New Roman" w:hAnsi="Times New Roman" w:cs="Times New Roman"/>
          <w:spacing w:val="2"/>
          <w:sz w:val="24"/>
          <w:szCs w:val="24"/>
        </w:rPr>
        <w:t>o</w:t>
      </w:r>
      <w:r w:rsidRPr="00663F85">
        <w:rPr>
          <w:rFonts w:ascii="Times New Roman" w:hAnsi="Times New Roman" w:cs="Times New Roman"/>
          <w:sz w:val="24"/>
          <w:szCs w:val="24"/>
        </w:rPr>
        <w:t>wing</w:t>
      </w:r>
      <w:r w:rsidRPr="00663F85">
        <w:rPr>
          <w:rFonts w:ascii="Times New Roman" w:hAnsi="Times New Roman" w:cs="Times New Roman"/>
          <w:spacing w:val="57"/>
          <w:sz w:val="24"/>
          <w:szCs w:val="24"/>
        </w:rPr>
        <w:t xml:space="preserve"> </w:t>
      </w:r>
      <w:r w:rsidRPr="00663F85">
        <w:rPr>
          <w:rFonts w:ascii="Times New Roman" w:hAnsi="Times New Roman" w:cs="Times New Roman"/>
          <w:sz w:val="24"/>
          <w:szCs w:val="24"/>
        </w:rPr>
        <w:t>tr</w:t>
      </w:r>
      <w:r w:rsidRPr="00663F85">
        <w:rPr>
          <w:rFonts w:ascii="Times New Roman" w:hAnsi="Times New Roman" w:cs="Times New Roman"/>
          <w:spacing w:val="-1"/>
          <w:sz w:val="24"/>
          <w:szCs w:val="24"/>
        </w:rPr>
        <w:t>ea</w:t>
      </w:r>
      <w:r w:rsidRPr="00663F85">
        <w:rPr>
          <w:rFonts w:ascii="Times New Roman" w:hAnsi="Times New Roman" w:cs="Times New Roman"/>
          <w:sz w:val="24"/>
          <w:szCs w:val="24"/>
        </w:rPr>
        <w:t>t</w:t>
      </w:r>
      <w:r w:rsidRPr="00663F85">
        <w:rPr>
          <w:rFonts w:ascii="Times New Roman" w:hAnsi="Times New Roman" w:cs="Times New Roman"/>
          <w:spacing w:val="1"/>
          <w:sz w:val="24"/>
          <w:szCs w:val="24"/>
        </w:rPr>
        <w:t>m</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 of</w:t>
      </w:r>
      <w:r w:rsidRPr="00663F85">
        <w:rPr>
          <w:rFonts w:ascii="Times New Roman" w:hAnsi="Times New Roman" w:cs="Times New Roman"/>
          <w:spacing w:val="57"/>
          <w:sz w:val="24"/>
          <w:szCs w:val="24"/>
        </w:rPr>
        <w:t xml:space="preserve"> </w:t>
      </w:r>
      <w:r w:rsidRPr="00663F85">
        <w:rPr>
          <w:rFonts w:ascii="Times New Roman" w:hAnsi="Times New Roman" w:cs="Times New Roman"/>
          <w:sz w:val="24"/>
          <w:szCs w:val="24"/>
        </w:rPr>
        <w:t>l</w:t>
      </w:r>
      <w:r w:rsidRPr="00663F85">
        <w:rPr>
          <w:rFonts w:ascii="Times New Roman" w:hAnsi="Times New Roman" w:cs="Times New Roman"/>
          <w:spacing w:val="3"/>
          <w:sz w:val="24"/>
          <w:szCs w:val="24"/>
        </w:rPr>
        <w:t>o</w:t>
      </w:r>
      <w:r w:rsidRPr="00663F85">
        <w:rPr>
          <w:rFonts w:ascii="Times New Roman" w:hAnsi="Times New Roman" w:cs="Times New Roman"/>
          <w:spacing w:val="-1"/>
          <w:sz w:val="24"/>
          <w:szCs w:val="24"/>
        </w:rPr>
        <w:t>ca</w:t>
      </w:r>
      <w:r w:rsidRPr="00663F85">
        <w:rPr>
          <w:rFonts w:ascii="Times New Roman" w:hAnsi="Times New Roman" w:cs="Times New Roman"/>
          <w:spacing w:val="3"/>
          <w:sz w:val="24"/>
          <w:szCs w:val="24"/>
        </w:rPr>
        <w:t>l</w:t>
      </w:r>
      <w:r w:rsidRPr="00663F85">
        <w:rPr>
          <w:rFonts w:ascii="Times New Roman" w:hAnsi="Times New Roman" w:cs="Times New Roman"/>
          <w:sz w:val="24"/>
          <w:szCs w:val="24"/>
        </w:rPr>
        <w:t>ly</w:t>
      </w:r>
      <w:r w:rsidRPr="00663F85">
        <w:rPr>
          <w:rFonts w:ascii="Times New Roman" w:hAnsi="Times New Roman" w:cs="Times New Roman"/>
          <w:spacing w:val="58"/>
          <w:sz w:val="24"/>
          <w:szCs w:val="24"/>
        </w:rPr>
        <w:t xml:space="preserve"> </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dv</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n</w:t>
      </w:r>
      <w:r w:rsidRPr="00663F85">
        <w:rPr>
          <w:rFonts w:ascii="Times New Roman" w:hAnsi="Times New Roman" w:cs="Times New Roman"/>
          <w:spacing w:val="1"/>
          <w:sz w:val="24"/>
          <w:szCs w:val="24"/>
        </w:rPr>
        <w:t>c</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 xml:space="preserve">d </w:t>
      </w:r>
      <w:r w:rsidRPr="00663F85">
        <w:rPr>
          <w:rFonts w:ascii="Times New Roman" w:hAnsi="Times New Roman" w:cs="Times New Roman"/>
          <w:spacing w:val="-1"/>
          <w:sz w:val="24"/>
          <w:szCs w:val="24"/>
        </w:rPr>
        <w:t>ca</w:t>
      </w:r>
      <w:r w:rsidRPr="00663F85">
        <w:rPr>
          <w:rFonts w:ascii="Times New Roman" w:hAnsi="Times New Roman" w:cs="Times New Roman"/>
          <w:sz w:val="24"/>
          <w:szCs w:val="24"/>
        </w:rPr>
        <w:t>r</w:t>
      </w:r>
      <w:r w:rsidRPr="00663F85">
        <w:rPr>
          <w:rFonts w:ascii="Times New Roman" w:hAnsi="Times New Roman" w:cs="Times New Roman"/>
          <w:spacing w:val="-2"/>
          <w:sz w:val="24"/>
          <w:szCs w:val="24"/>
        </w:rPr>
        <w:t>c</w:t>
      </w:r>
      <w:r w:rsidRPr="00663F85">
        <w:rPr>
          <w:rFonts w:ascii="Times New Roman" w:hAnsi="Times New Roman" w:cs="Times New Roman"/>
          <w:sz w:val="24"/>
          <w:szCs w:val="24"/>
        </w:rPr>
        <w:t>ino</w:t>
      </w:r>
      <w:r w:rsidRPr="00663F85">
        <w:rPr>
          <w:rFonts w:ascii="Times New Roman" w:hAnsi="Times New Roman" w:cs="Times New Roman"/>
          <w:spacing w:val="1"/>
          <w:sz w:val="24"/>
          <w:szCs w:val="24"/>
        </w:rPr>
        <w:t>m</w:t>
      </w:r>
      <w:r w:rsidRPr="00663F85">
        <w:rPr>
          <w:rFonts w:ascii="Times New Roman" w:hAnsi="Times New Roman" w:cs="Times New Roman"/>
          <w:sz w:val="24"/>
          <w:szCs w:val="24"/>
        </w:rPr>
        <w:t>a</w:t>
      </w:r>
      <w:r w:rsidRPr="00663F85">
        <w:rPr>
          <w:rFonts w:ascii="Times New Roman" w:hAnsi="Times New Roman" w:cs="Times New Roman"/>
          <w:spacing w:val="2"/>
          <w:sz w:val="24"/>
          <w:szCs w:val="24"/>
        </w:rPr>
        <w:t xml:space="preserve"> </w:t>
      </w:r>
      <w:r w:rsidRPr="00663F85">
        <w:rPr>
          <w:rFonts w:ascii="Times New Roman" w:hAnsi="Times New Roman" w:cs="Times New Roman"/>
          <w:spacing w:val="-1"/>
          <w:sz w:val="24"/>
          <w:szCs w:val="24"/>
        </w:rPr>
        <w:t>ce</w:t>
      </w:r>
      <w:r w:rsidRPr="00663F85">
        <w:rPr>
          <w:rFonts w:ascii="Times New Roman" w:hAnsi="Times New Roman" w:cs="Times New Roman"/>
          <w:sz w:val="24"/>
          <w:szCs w:val="24"/>
        </w:rPr>
        <w:t>rvix with</w:t>
      </w:r>
      <w:r w:rsidRPr="00663F85">
        <w:rPr>
          <w:rFonts w:ascii="Times New Roman" w:hAnsi="Times New Roman" w:cs="Times New Roman"/>
          <w:spacing w:val="1"/>
          <w:sz w:val="24"/>
          <w:szCs w:val="24"/>
        </w:rPr>
        <w:t xml:space="preserve"> </w:t>
      </w:r>
      <w:r w:rsidRPr="00663F85">
        <w:rPr>
          <w:rFonts w:ascii="Times New Roman" w:hAnsi="Times New Roman" w:cs="Times New Roman"/>
          <w:spacing w:val="3"/>
          <w:sz w:val="24"/>
          <w:szCs w:val="24"/>
        </w:rPr>
        <w:t>t</w:t>
      </w:r>
      <w:r w:rsidRPr="00663F85">
        <w:rPr>
          <w:rFonts w:ascii="Times New Roman" w:hAnsi="Times New Roman" w:cs="Times New Roman"/>
          <w:sz w:val="24"/>
          <w:szCs w:val="24"/>
        </w:rPr>
        <w:t>wo f</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t</w:t>
      </w:r>
      <w:r w:rsidRPr="00663F85">
        <w:rPr>
          <w:rFonts w:ascii="Times New Roman" w:hAnsi="Times New Roman" w:cs="Times New Roman"/>
          <w:spacing w:val="1"/>
          <w:sz w:val="24"/>
          <w:szCs w:val="24"/>
        </w:rPr>
        <w:t>i</w:t>
      </w:r>
      <w:r w:rsidRPr="00663F85">
        <w:rPr>
          <w:rFonts w:ascii="Times New Roman" w:hAnsi="Times New Roman" w:cs="Times New Roman"/>
          <w:sz w:val="24"/>
          <w:szCs w:val="24"/>
        </w:rPr>
        <w:t>ons</w:t>
      </w:r>
      <w:r w:rsidRPr="00663F85">
        <w:rPr>
          <w:rFonts w:ascii="Times New Roman" w:hAnsi="Times New Roman" w:cs="Times New Roman"/>
          <w:spacing w:val="1"/>
          <w:sz w:val="24"/>
          <w:szCs w:val="24"/>
        </w:rPr>
        <w:t xml:space="preserve"> </w:t>
      </w:r>
      <w:r w:rsidRPr="00663F85">
        <w:rPr>
          <w:rFonts w:ascii="Times New Roman" w:hAnsi="Times New Roman" w:cs="Times New Roman"/>
          <w:sz w:val="24"/>
          <w:szCs w:val="24"/>
        </w:rPr>
        <w:t xml:space="preserve">of </w:t>
      </w:r>
      <w:r w:rsidR="00585E0A">
        <w:rPr>
          <w:rFonts w:ascii="Times New Roman" w:hAnsi="Times New Roman" w:cs="Times New Roman"/>
          <w:sz w:val="24"/>
          <w:szCs w:val="24"/>
        </w:rPr>
        <w:t xml:space="preserve">high dose-rate </w:t>
      </w:r>
      <w:r w:rsidRPr="00663F85">
        <w:rPr>
          <w:rFonts w:ascii="Times New Roman" w:hAnsi="Times New Roman" w:cs="Times New Roman"/>
          <w:sz w:val="24"/>
          <w:szCs w:val="24"/>
        </w:rPr>
        <w:t>b</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ac</w:t>
      </w:r>
      <w:r w:rsidRPr="00663F85">
        <w:rPr>
          <w:rFonts w:ascii="Times New Roman" w:hAnsi="Times New Roman" w:cs="Times New Roman"/>
          <w:sz w:val="24"/>
          <w:szCs w:val="24"/>
        </w:rPr>
        <w:t>hythe</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py following</w:t>
      </w:r>
      <w:r w:rsidRPr="00663F85">
        <w:rPr>
          <w:rFonts w:ascii="Times New Roman" w:hAnsi="Times New Roman" w:cs="Times New Roman"/>
          <w:spacing w:val="6"/>
          <w:sz w:val="24"/>
          <w:szCs w:val="24"/>
        </w:rPr>
        <w:t xml:space="preserve">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onv</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w:t>
      </w:r>
      <w:r w:rsidRPr="00663F85">
        <w:rPr>
          <w:rFonts w:ascii="Times New Roman" w:hAnsi="Times New Roman" w:cs="Times New Roman"/>
          <w:spacing w:val="1"/>
          <w:sz w:val="24"/>
          <w:szCs w:val="24"/>
        </w:rPr>
        <w:t>i</w:t>
      </w:r>
      <w:r w:rsidRPr="00663F85">
        <w:rPr>
          <w:rFonts w:ascii="Times New Roman" w:hAnsi="Times New Roman" w:cs="Times New Roman"/>
          <w:sz w:val="24"/>
          <w:szCs w:val="24"/>
        </w:rPr>
        <w:t>on</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 xml:space="preserve">l </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on</w:t>
      </w:r>
      <w:r w:rsidRPr="00663F85">
        <w:rPr>
          <w:rFonts w:ascii="Times New Roman" w:hAnsi="Times New Roman" w:cs="Times New Roman"/>
          <w:spacing w:val="-1"/>
          <w:sz w:val="24"/>
          <w:szCs w:val="24"/>
        </w:rPr>
        <w:t>c</w:t>
      </w:r>
      <w:r w:rsidRPr="00663F85">
        <w:rPr>
          <w:rFonts w:ascii="Times New Roman" w:hAnsi="Times New Roman" w:cs="Times New Roman"/>
          <w:sz w:val="24"/>
          <w:szCs w:val="24"/>
        </w:rPr>
        <w:t>ur</w:t>
      </w:r>
      <w:r w:rsidRPr="00663F85">
        <w:rPr>
          <w:rFonts w:ascii="Times New Roman" w:hAnsi="Times New Roman" w:cs="Times New Roman"/>
          <w:spacing w:val="1"/>
          <w:sz w:val="24"/>
          <w:szCs w:val="24"/>
        </w:rPr>
        <w:t>r</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nt ch</w:t>
      </w:r>
      <w:r w:rsidRPr="00663F85">
        <w:rPr>
          <w:rFonts w:ascii="Times New Roman" w:hAnsi="Times New Roman" w:cs="Times New Roman"/>
          <w:spacing w:val="-1"/>
          <w:sz w:val="24"/>
          <w:szCs w:val="24"/>
        </w:rPr>
        <w:t>e</w:t>
      </w:r>
      <w:r w:rsidRPr="00663F85">
        <w:rPr>
          <w:rFonts w:ascii="Times New Roman" w:hAnsi="Times New Roman" w:cs="Times New Roman"/>
          <w:sz w:val="24"/>
          <w:szCs w:val="24"/>
        </w:rPr>
        <w:t>mo</w:t>
      </w:r>
      <w:r w:rsidRPr="00663F85">
        <w:rPr>
          <w:rFonts w:ascii="Times New Roman" w:hAnsi="Times New Roman" w:cs="Times New Roman"/>
          <w:spacing w:val="2"/>
          <w:sz w:val="24"/>
          <w:szCs w:val="24"/>
        </w:rPr>
        <w:t>r</w:t>
      </w:r>
      <w:r w:rsidRPr="00663F85">
        <w:rPr>
          <w:rFonts w:ascii="Times New Roman" w:hAnsi="Times New Roman" w:cs="Times New Roman"/>
          <w:spacing w:val="-1"/>
          <w:sz w:val="24"/>
          <w:szCs w:val="24"/>
        </w:rPr>
        <w:t>a</w:t>
      </w:r>
      <w:r w:rsidRPr="00663F85">
        <w:rPr>
          <w:rFonts w:ascii="Times New Roman" w:hAnsi="Times New Roman" w:cs="Times New Roman"/>
          <w:sz w:val="24"/>
          <w:szCs w:val="24"/>
        </w:rPr>
        <w:t>diat</w:t>
      </w:r>
      <w:r w:rsidRPr="00663F85">
        <w:rPr>
          <w:rFonts w:ascii="Times New Roman" w:hAnsi="Times New Roman" w:cs="Times New Roman"/>
          <w:spacing w:val="3"/>
          <w:sz w:val="24"/>
          <w:szCs w:val="24"/>
        </w:rPr>
        <w:t>i</w:t>
      </w:r>
      <w:r w:rsidRPr="00663F85">
        <w:rPr>
          <w:rFonts w:ascii="Times New Roman" w:hAnsi="Times New Roman" w:cs="Times New Roman"/>
          <w:sz w:val="24"/>
          <w:szCs w:val="24"/>
        </w:rPr>
        <w:t>on.</w:t>
      </w:r>
      <w:r w:rsidR="00805E95">
        <w:rPr>
          <w:rFonts w:ascii="Times New Roman" w:hAnsi="Times New Roman" w:cs="Times New Roman"/>
          <w:sz w:val="24"/>
          <w:szCs w:val="24"/>
        </w:rPr>
        <w:t xml:space="preserve"> </w:t>
      </w:r>
      <w:r w:rsidR="00805E95" w:rsidRPr="00805E95">
        <w:rPr>
          <w:rFonts w:ascii="Times New Roman" w:hAnsi="Times New Roman" w:cs="Times New Roman"/>
          <w:b/>
          <w:bCs/>
          <w:sz w:val="24"/>
          <w:szCs w:val="24"/>
        </w:rPr>
        <w:t>Method</w:t>
      </w:r>
      <w:r w:rsidR="00805E95">
        <w:rPr>
          <w:rFonts w:ascii="Times New Roman" w:hAnsi="Times New Roman" w:cs="Times New Roman"/>
          <w:b/>
          <w:bCs/>
          <w:sz w:val="24"/>
          <w:szCs w:val="24"/>
        </w:rPr>
        <w:t xml:space="preserve"> </w:t>
      </w:r>
      <w:r w:rsidR="00805E95">
        <w:rPr>
          <w:rFonts w:ascii="Times New Roman" w:hAnsi="Times New Roman" w:cs="Times New Roman"/>
          <w:sz w:val="24"/>
          <w:szCs w:val="24"/>
        </w:rPr>
        <w:t xml:space="preserve">A quasi-experimental approach was employed. The study took place in National Institute of Cancer Research &amp; Hospital, Dhaka, Bangladesh </w:t>
      </w:r>
      <w:r w:rsidR="00441062">
        <w:rPr>
          <w:rFonts w:ascii="Times New Roman" w:hAnsi="Times New Roman" w:cs="Times New Roman"/>
          <w:sz w:val="24"/>
          <w:szCs w:val="24"/>
        </w:rPr>
        <w:t>from</w:t>
      </w:r>
      <w:r w:rsidR="00805E95">
        <w:rPr>
          <w:rFonts w:ascii="Times New Roman" w:hAnsi="Times New Roman" w:cs="Times New Roman"/>
          <w:sz w:val="24"/>
          <w:szCs w:val="24"/>
        </w:rPr>
        <w:t xml:space="preserve"> July 2023 to December 2024. A sum of 66 locally advanced cervical cancer patients were divided into 2 arms; Arm A receiving </w:t>
      </w:r>
      <w:r w:rsidR="00805E95" w:rsidRPr="00805E95">
        <w:rPr>
          <w:rFonts w:ascii="Times New Roman" w:hAnsi="Times New Roman" w:cs="Times New Roman"/>
          <w:sz w:val="24"/>
          <w:szCs w:val="24"/>
        </w:rPr>
        <w:t xml:space="preserve">18 </w:t>
      </w:r>
      <w:proofErr w:type="spellStart"/>
      <w:r w:rsidR="00805E95" w:rsidRPr="00805E95">
        <w:rPr>
          <w:rFonts w:ascii="Times New Roman" w:hAnsi="Times New Roman" w:cs="Times New Roman"/>
          <w:sz w:val="24"/>
          <w:szCs w:val="24"/>
        </w:rPr>
        <w:t>Gy</w:t>
      </w:r>
      <w:proofErr w:type="spellEnd"/>
      <w:r w:rsidR="00805E95" w:rsidRPr="00805E95">
        <w:rPr>
          <w:rFonts w:ascii="Times New Roman" w:hAnsi="Times New Roman" w:cs="Times New Roman"/>
          <w:sz w:val="24"/>
          <w:szCs w:val="24"/>
        </w:rPr>
        <w:t xml:space="preserve"> in 2 </w:t>
      </w:r>
      <w:r w:rsidR="00805E95">
        <w:rPr>
          <w:rFonts w:ascii="Times New Roman" w:hAnsi="Times New Roman" w:cs="Times New Roman"/>
          <w:sz w:val="24"/>
          <w:szCs w:val="24"/>
        </w:rPr>
        <w:t>f</w:t>
      </w:r>
      <w:r w:rsidR="00805E95" w:rsidRPr="00805E95">
        <w:rPr>
          <w:rFonts w:ascii="Times New Roman" w:hAnsi="Times New Roman" w:cs="Times New Roman"/>
          <w:sz w:val="24"/>
          <w:szCs w:val="24"/>
        </w:rPr>
        <w:t>ractions of brachytherapy</w:t>
      </w:r>
      <w:r w:rsidR="00805E95">
        <w:rPr>
          <w:rFonts w:ascii="Times New Roman" w:hAnsi="Times New Roman" w:cs="Times New Roman"/>
          <w:sz w:val="24"/>
          <w:szCs w:val="24"/>
        </w:rPr>
        <w:t xml:space="preserve"> and </w:t>
      </w:r>
      <w:r w:rsidR="00805E95" w:rsidRPr="00805E95">
        <w:rPr>
          <w:rFonts w:ascii="Times New Roman" w:hAnsi="Times New Roman" w:cs="Times New Roman"/>
          <w:sz w:val="24"/>
          <w:szCs w:val="24"/>
        </w:rPr>
        <w:t>Arm B</w:t>
      </w:r>
      <w:r w:rsidR="00805E95">
        <w:rPr>
          <w:rFonts w:ascii="Times New Roman" w:hAnsi="Times New Roman" w:cs="Times New Roman"/>
          <w:sz w:val="24"/>
          <w:szCs w:val="24"/>
        </w:rPr>
        <w:t xml:space="preserve"> getting </w:t>
      </w:r>
      <w:r w:rsidR="00805E95" w:rsidRPr="00805E95">
        <w:rPr>
          <w:rFonts w:ascii="Times New Roman" w:hAnsi="Times New Roman" w:cs="Times New Roman"/>
          <w:sz w:val="24"/>
          <w:szCs w:val="24"/>
        </w:rPr>
        <w:t xml:space="preserve">21 </w:t>
      </w:r>
      <w:proofErr w:type="spellStart"/>
      <w:r w:rsidR="00805E95" w:rsidRPr="00805E95">
        <w:rPr>
          <w:rFonts w:ascii="Times New Roman" w:hAnsi="Times New Roman" w:cs="Times New Roman"/>
          <w:sz w:val="24"/>
          <w:szCs w:val="24"/>
        </w:rPr>
        <w:t>Gy</w:t>
      </w:r>
      <w:proofErr w:type="spellEnd"/>
      <w:r w:rsidR="00805E95" w:rsidRPr="00805E95">
        <w:rPr>
          <w:rFonts w:ascii="Times New Roman" w:hAnsi="Times New Roman" w:cs="Times New Roman"/>
          <w:sz w:val="24"/>
          <w:szCs w:val="24"/>
        </w:rPr>
        <w:t xml:space="preserve"> in </w:t>
      </w:r>
      <w:r w:rsidR="00805E95">
        <w:rPr>
          <w:rFonts w:ascii="Times New Roman" w:hAnsi="Times New Roman" w:cs="Times New Roman"/>
          <w:sz w:val="24"/>
          <w:szCs w:val="24"/>
        </w:rPr>
        <w:t>3 f</w:t>
      </w:r>
      <w:r w:rsidR="00805E95" w:rsidRPr="00805E95">
        <w:rPr>
          <w:rFonts w:ascii="Times New Roman" w:hAnsi="Times New Roman" w:cs="Times New Roman"/>
          <w:sz w:val="24"/>
          <w:szCs w:val="24"/>
        </w:rPr>
        <w:t>ractions of brachytherapy</w:t>
      </w:r>
      <w:r w:rsidR="00805E95">
        <w:rPr>
          <w:rFonts w:ascii="Times New Roman" w:hAnsi="Times New Roman" w:cs="Times New Roman"/>
          <w:sz w:val="24"/>
          <w:szCs w:val="24"/>
        </w:rPr>
        <w:t xml:space="preserve">. </w:t>
      </w:r>
      <w:r w:rsidR="00583E6A" w:rsidRPr="00583E6A">
        <w:rPr>
          <w:rFonts w:ascii="Times New Roman" w:hAnsi="Times New Roman" w:cs="Times New Roman"/>
          <w:b/>
          <w:bCs/>
          <w:sz w:val="24"/>
          <w:szCs w:val="24"/>
        </w:rPr>
        <w:t>Findings</w:t>
      </w:r>
      <w:r w:rsidR="00583E6A">
        <w:rPr>
          <w:rFonts w:ascii="Times New Roman" w:hAnsi="Times New Roman" w:cs="Times New Roman"/>
          <w:b/>
          <w:bCs/>
          <w:sz w:val="24"/>
          <w:szCs w:val="24"/>
        </w:rPr>
        <w:t xml:space="preserve"> </w:t>
      </w:r>
      <w:r w:rsidR="00583E6A">
        <w:rPr>
          <w:rFonts w:ascii="Times New Roman" w:hAnsi="Times New Roman" w:cs="Times New Roman"/>
          <w:sz w:val="24"/>
          <w:szCs w:val="24"/>
        </w:rPr>
        <w:t xml:space="preserve">We </w:t>
      </w:r>
      <w:r w:rsidR="00266959">
        <w:rPr>
          <w:rFonts w:ascii="Times New Roman" w:hAnsi="Times New Roman" w:cs="Times New Roman"/>
          <w:sz w:val="24"/>
          <w:szCs w:val="24"/>
        </w:rPr>
        <w:t>discovered</w:t>
      </w:r>
      <w:r w:rsidR="00583E6A">
        <w:rPr>
          <w:rFonts w:ascii="Times New Roman" w:hAnsi="Times New Roman" w:cs="Times New Roman"/>
          <w:sz w:val="24"/>
          <w:szCs w:val="24"/>
        </w:rPr>
        <w:t xml:space="preserve"> that, </w:t>
      </w:r>
      <w:r w:rsidR="00C16F20">
        <w:rPr>
          <w:rFonts w:ascii="Times New Roman" w:hAnsi="Times New Roman" w:cs="Times New Roman"/>
          <w:sz w:val="24"/>
          <w:szCs w:val="24"/>
        </w:rPr>
        <w:t xml:space="preserve">51.5% vs. 48.5% were illiterate, </w:t>
      </w:r>
      <w:r w:rsidR="00583E6A">
        <w:rPr>
          <w:rFonts w:ascii="Times New Roman" w:hAnsi="Times New Roman" w:cs="Times New Roman"/>
          <w:sz w:val="24"/>
          <w:szCs w:val="24"/>
        </w:rPr>
        <w:t xml:space="preserve">90.9% </w:t>
      </w:r>
      <w:r w:rsidR="00C16F20">
        <w:rPr>
          <w:rFonts w:ascii="Times New Roman" w:hAnsi="Times New Roman" w:cs="Times New Roman"/>
          <w:sz w:val="24"/>
          <w:szCs w:val="24"/>
        </w:rPr>
        <w:t xml:space="preserve">vs. </w:t>
      </w:r>
      <w:r w:rsidR="00583E6A">
        <w:rPr>
          <w:rFonts w:ascii="Times New Roman" w:hAnsi="Times New Roman" w:cs="Times New Roman"/>
          <w:sz w:val="24"/>
          <w:szCs w:val="24"/>
        </w:rPr>
        <w:t xml:space="preserve">87.9% had early marriages; </w:t>
      </w:r>
      <w:r w:rsidR="00A8636B">
        <w:rPr>
          <w:rFonts w:ascii="Times New Roman" w:hAnsi="Times New Roman" w:cs="Times New Roman"/>
          <w:sz w:val="24"/>
          <w:szCs w:val="24"/>
        </w:rPr>
        <w:t>51.5%</w:t>
      </w:r>
      <w:r w:rsidR="007F7CD8">
        <w:rPr>
          <w:rFonts w:ascii="Times New Roman" w:hAnsi="Times New Roman" w:cs="Times New Roman"/>
          <w:sz w:val="24"/>
          <w:szCs w:val="24"/>
        </w:rPr>
        <w:t xml:space="preserve"> </w:t>
      </w:r>
      <w:r w:rsidR="00C16F20">
        <w:rPr>
          <w:rFonts w:ascii="Times New Roman" w:hAnsi="Times New Roman" w:cs="Times New Roman"/>
          <w:sz w:val="24"/>
          <w:szCs w:val="24"/>
        </w:rPr>
        <w:t xml:space="preserve">vs. </w:t>
      </w:r>
      <w:r w:rsidR="00A8636B">
        <w:rPr>
          <w:rFonts w:ascii="Times New Roman" w:hAnsi="Times New Roman" w:cs="Times New Roman"/>
          <w:sz w:val="24"/>
          <w:szCs w:val="24"/>
        </w:rPr>
        <w:t xml:space="preserve">60.6% patients had 2 or more children. </w:t>
      </w:r>
      <w:r w:rsidR="00C16F20">
        <w:rPr>
          <w:rFonts w:ascii="Times New Roman" w:hAnsi="Times New Roman" w:cs="Times New Roman"/>
          <w:sz w:val="24"/>
          <w:szCs w:val="24"/>
        </w:rPr>
        <w:t>Most of the patients</w:t>
      </w:r>
      <w:r w:rsidR="00F40AED">
        <w:rPr>
          <w:rFonts w:ascii="Times New Roman" w:hAnsi="Times New Roman" w:cs="Times New Roman"/>
          <w:sz w:val="24"/>
          <w:szCs w:val="24"/>
        </w:rPr>
        <w:t xml:space="preserve">, 54.5% vs 57.6% were in stage IIB of FIGO staging. </w:t>
      </w:r>
      <w:r w:rsidR="00C55D82">
        <w:rPr>
          <w:rFonts w:ascii="Times New Roman" w:hAnsi="Times New Roman" w:cs="Times New Roman"/>
          <w:sz w:val="24"/>
          <w:szCs w:val="24"/>
        </w:rPr>
        <w:t xml:space="preserve">No statistically significant association was determined between per vaginal findings after completion of treatment regimen as well as during the follow-up sessions. </w:t>
      </w:r>
      <w:r w:rsidR="00DD2186">
        <w:rPr>
          <w:rFonts w:ascii="Times New Roman" w:hAnsi="Times New Roman" w:cs="Times New Roman"/>
          <w:sz w:val="24"/>
          <w:szCs w:val="24"/>
        </w:rPr>
        <w:t xml:space="preserve">Besides, 66.7% vs. 72.7% had abnormal vaginal bleeding, 54.6% vs 63.6% had unusual per vaginal discharges and 75.8% vs 63.6% had pain in pelvic region before the treatment had started. </w:t>
      </w:r>
      <w:r w:rsidR="0079243C">
        <w:rPr>
          <w:rFonts w:ascii="Times New Roman" w:hAnsi="Times New Roman" w:cs="Times New Roman"/>
          <w:sz w:val="24"/>
          <w:szCs w:val="24"/>
        </w:rPr>
        <w:t>However, during the follow-ups, all the complaints had reduced grossly in both the arms; for instance, during the 3</w:t>
      </w:r>
      <w:r w:rsidR="0079243C" w:rsidRPr="0079243C">
        <w:rPr>
          <w:rFonts w:ascii="Times New Roman" w:hAnsi="Times New Roman" w:cs="Times New Roman"/>
          <w:sz w:val="24"/>
          <w:szCs w:val="24"/>
          <w:vertAlign w:val="superscript"/>
        </w:rPr>
        <w:t>rd</w:t>
      </w:r>
      <w:r w:rsidR="0079243C">
        <w:rPr>
          <w:rFonts w:ascii="Times New Roman" w:hAnsi="Times New Roman" w:cs="Times New Roman"/>
          <w:sz w:val="24"/>
          <w:szCs w:val="24"/>
        </w:rPr>
        <w:t xml:space="preserve"> follow-up, </w:t>
      </w:r>
      <w:r w:rsidR="00DF125B">
        <w:rPr>
          <w:rFonts w:ascii="Times New Roman" w:hAnsi="Times New Roman" w:cs="Times New Roman"/>
          <w:sz w:val="24"/>
          <w:szCs w:val="24"/>
        </w:rPr>
        <w:t xml:space="preserve">1 patient in Arm </w:t>
      </w:r>
      <w:r w:rsidR="00DF125B">
        <w:rPr>
          <w:rFonts w:ascii="Times New Roman" w:hAnsi="Times New Roman" w:cs="Times New Roman"/>
          <w:sz w:val="24"/>
          <w:szCs w:val="24"/>
        </w:rPr>
        <w:lastRenderedPageBreak/>
        <w:t xml:space="preserve">B had mild bleeding; 9.1% vs 3.1% cases had unusual discharges and 3.1% vs. 6.1% mentioned pelvic pain. </w:t>
      </w:r>
      <w:r w:rsidR="00D81813">
        <w:rPr>
          <w:rFonts w:ascii="Times New Roman" w:hAnsi="Times New Roman" w:cs="Times New Roman"/>
          <w:sz w:val="24"/>
          <w:szCs w:val="24"/>
        </w:rPr>
        <w:t xml:space="preserve">No statistically significant association was established between the 2 groups in this context. </w:t>
      </w:r>
      <w:r w:rsidR="00C8400E">
        <w:rPr>
          <w:rFonts w:ascii="Times New Roman" w:hAnsi="Times New Roman" w:cs="Times New Roman"/>
          <w:sz w:val="24"/>
          <w:szCs w:val="24"/>
        </w:rPr>
        <w:t xml:space="preserve">Lastly, 100.0% vs 94.7% stage IIB participants demonstrated complete response. Stable disease was found in 1 patient of stage IVA in Arm B. </w:t>
      </w:r>
      <w:r w:rsidR="00A119E4" w:rsidRPr="00A119E4">
        <w:rPr>
          <w:rFonts w:ascii="Times New Roman" w:hAnsi="Times New Roman" w:cs="Times New Roman"/>
          <w:b/>
          <w:bCs/>
          <w:sz w:val="24"/>
          <w:szCs w:val="24"/>
        </w:rPr>
        <w:t>Conclusion</w:t>
      </w:r>
      <w:r w:rsidR="00A119E4">
        <w:rPr>
          <w:rFonts w:ascii="Times New Roman" w:hAnsi="Times New Roman" w:cs="Times New Roman"/>
          <w:b/>
          <w:bCs/>
          <w:sz w:val="24"/>
          <w:szCs w:val="24"/>
        </w:rPr>
        <w:t xml:space="preserve"> </w:t>
      </w:r>
      <w:r w:rsidR="00A119E4">
        <w:rPr>
          <w:rFonts w:ascii="Times New Roman" w:hAnsi="Times New Roman" w:cs="Times New Roman"/>
          <w:sz w:val="24"/>
          <w:szCs w:val="24"/>
        </w:rPr>
        <w:t>Therapeutic regimens of reduced duration may offer better patient compliance</w:t>
      </w:r>
      <w:r w:rsidR="00C40315">
        <w:rPr>
          <w:rFonts w:ascii="Times New Roman" w:hAnsi="Times New Roman" w:cs="Times New Roman"/>
          <w:sz w:val="24"/>
          <w:szCs w:val="24"/>
        </w:rPr>
        <w:t xml:space="preserve"> and reduced burden on healthcare facilities in low-resource zones</w:t>
      </w:r>
      <w:r w:rsidR="00A119E4">
        <w:rPr>
          <w:rFonts w:ascii="Times New Roman" w:hAnsi="Times New Roman" w:cs="Times New Roman"/>
          <w:sz w:val="24"/>
          <w:szCs w:val="24"/>
        </w:rPr>
        <w:t xml:space="preserve"> provided clinical outcomes are not compromised. </w:t>
      </w:r>
      <w:r w:rsidR="006B259F">
        <w:rPr>
          <w:rFonts w:ascii="Times New Roman" w:hAnsi="Times New Roman" w:cs="Times New Roman"/>
          <w:sz w:val="24"/>
          <w:szCs w:val="24"/>
        </w:rPr>
        <w:t xml:space="preserve">The implementation of 18 </w:t>
      </w:r>
      <w:proofErr w:type="spellStart"/>
      <w:r w:rsidR="006B259F">
        <w:rPr>
          <w:rFonts w:ascii="Times New Roman" w:hAnsi="Times New Roman" w:cs="Times New Roman"/>
          <w:sz w:val="24"/>
          <w:szCs w:val="24"/>
        </w:rPr>
        <w:t>Gy</w:t>
      </w:r>
      <w:proofErr w:type="spellEnd"/>
      <w:r w:rsidR="006B259F">
        <w:rPr>
          <w:rFonts w:ascii="Times New Roman" w:hAnsi="Times New Roman" w:cs="Times New Roman"/>
          <w:sz w:val="24"/>
          <w:szCs w:val="24"/>
        </w:rPr>
        <w:t xml:space="preserve"> in 2 fraction </w:t>
      </w:r>
      <w:proofErr w:type="gramStart"/>
      <w:r w:rsidR="006B259F">
        <w:rPr>
          <w:rFonts w:ascii="Times New Roman" w:hAnsi="Times New Roman" w:cs="Times New Roman"/>
          <w:sz w:val="24"/>
          <w:szCs w:val="24"/>
        </w:rPr>
        <w:t>regimen</w:t>
      </w:r>
      <w:proofErr w:type="gramEnd"/>
      <w:r w:rsidR="006B259F">
        <w:rPr>
          <w:rFonts w:ascii="Times New Roman" w:hAnsi="Times New Roman" w:cs="Times New Roman"/>
          <w:sz w:val="24"/>
          <w:szCs w:val="24"/>
        </w:rPr>
        <w:t xml:space="preserve"> will aid in overcoming various challenges on both patient</w:t>
      </w:r>
      <w:r w:rsidR="00806319">
        <w:rPr>
          <w:rFonts w:ascii="Times New Roman" w:hAnsi="Times New Roman" w:cs="Times New Roman"/>
          <w:sz w:val="24"/>
          <w:szCs w:val="24"/>
        </w:rPr>
        <w:t>’s</w:t>
      </w:r>
      <w:r w:rsidR="006B259F">
        <w:rPr>
          <w:rFonts w:ascii="Times New Roman" w:hAnsi="Times New Roman" w:cs="Times New Roman"/>
          <w:sz w:val="24"/>
          <w:szCs w:val="24"/>
        </w:rPr>
        <w:t xml:space="preserve"> and hospital</w:t>
      </w:r>
      <w:r w:rsidR="00806319">
        <w:rPr>
          <w:rFonts w:ascii="Times New Roman" w:hAnsi="Times New Roman" w:cs="Times New Roman"/>
          <w:sz w:val="24"/>
          <w:szCs w:val="24"/>
        </w:rPr>
        <w:t>’s</w:t>
      </w:r>
      <w:r w:rsidR="006B259F">
        <w:rPr>
          <w:rFonts w:ascii="Times New Roman" w:hAnsi="Times New Roman" w:cs="Times New Roman"/>
          <w:sz w:val="24"/>
          <w:szCs w:val="24"/>
        </w:rPr>
        <w:t xml:space="preserve"> end. </w:t>
      </w:r>
    </w:p>
    <w:p w14:paraId="47AB9BD4" w14:textId="77777777" w:rsidR="006B259F" w:rsidRDefault="00804F30" w:rsidP="006B259F">
      <w:pPr>
        <w:spacing w:line="487" w:lineRule="auto"/>
        <w:ind w:left="476" w:right="68" w:hanging="10"/>
        <w:jc w:val="both"/>
        <w:rPr>
          <w:rFonts w:ascii="Times New Roman" w:hAnsi="Times New Roman" w:cs="Times New Roman"/>
          <w:sz w:val="24"/>
          <w:szCs w:val="24"/>
        </w:rPr>
      </w:pPr>
      <w:r>
        <w:rPr>
          <w:rFonts w:ascii="Times New Roman" w:hAnsi="Times New Roman" w:cs="Times New Roman"/>
          <w:b/>
          <w:bCs/>
          <w:sz w:val="24"/>
          <w:szCs w:val="24"/>
        </w:rPr>
        <w:t>Keywords</w:t>
      </w:r>
    </w:p>
    <w:p w14:paraId="5063E878" w14:textId="77777777" w:rsidR="00BD730A" w:rsidRDefault="00663F85" w:rsidP="00BD730A">
      <w:pPr>
        <w:spacing w:line="487" w:lineRule="auto"/>
        <w:ind w:left="476" w:right="68" w:hanging="10"/>
        <w:jc w:val="both"/>
        <w:rPr>
          <w:rFonts w:ascii="Times New Roman" w:hAnsi="Times New Roman" w:cs="Times New Roman"/>
          <w:sz w:val="24"/>
          <w:szCs w:val="24"/>
        </w:rPr>
      </w:pPr>
      <w:r w:rsidRPr="00663F85">
        <w:rPr>
          <w:rFonts w:ascii="Times New Roman" w:hAnsi="Times New Roman" w:cs="Times New Roman"/>
          <w:i/>
          <w:iCs/>
          <w:sz w:val="24"/>
          <w:szCs w:val="24"/>
        </w:rPr>
        <w:t>Cervical cancer; brachytherapy; concurrent chemoradiotherapy; clinical outcomes; malignancy.</w:t>
      </w:r>
    </w:p>
    <w:p w14:paraId="4254D93F" w14:textId="77777777" w:rsidR="00D060B5" w:rsidRDefault="00D060B5" w:rsidP="00104C53">
      <w:pPr>
        <w:spacing w:line="487" w:lineRule="auto"/>
        <w:ind w:right="68"/>
        <w:jc w:val="both"/>
        <w:rPr>
          <w:rFonts w:ascii="Times New Roman" w:hAnsi="Times New Roman" w:cs="Times New Roman"/>
          <w:b/>
          <w:bCs/>
          <w:sz w:val="24"/>
          <w:szCs w:val="24"/>
        </w:rPr>
      </w:pPr>
    </w:p>
    <w:p w14:paraId="2F16A6D9" w14:textId="2864E93F" w:rsidR="00F92EA6" w:rsidRPr="00F92EA6" w:rsidRDefault="00F92EA6" w:rsidP="00104C53">
      <w:pPr>
        <w:spacing w:line="487" w:lineRule="auto"/>
        <w:ind w:right="68"/>
        <w:jc w:val="both"/>
        <w:rPr>
          <w:rFonts w:ascii="Times New Roman" w:hAnsi="Times New Roman" w:cs="Times New Roman"/>
          <w:sz w:val="24"/>
          <w:szCs w:val="24"/>
        </w:rPr>
      </w:pPr>
      <w:r w:rsidRPr="00F92EA6">
        <w:rPr>
          <w:rFonts w:ascii="Times New Roman" w:hAnsi="Times New Roman" w:cs="Times New Roman"/>
          <w:b/>
          <w:bCs/>
          <w:sz w:val="24"/>
          <w:szCs w:val="24"/>
        </w:rPr>
        <w:t>Introduction</w:t>
      </w:r>
    </w:p>
    <w:p w14:paraId="130BA2B5" w14:textId="2ECB9534"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According to the International Agency for Research on Cancer (IARC), the specialized cancer agency of the World Health Organization (WHO), there are 5,28,000 new cases of cervical cancer every year, although incidence and mortality differ grossly among countries. </w:t>
      </w:r>
      <w:r w:rsidRPr="00F92EA6">
        <w:rPr>
          <w:rFonts w:ascii="Times New Roman" w:hAnsi="Times New Roman" w:cs="Times New Roman"/>
          <w:sz w:val="24"/>
          <w:szCs w:val="24"/>
          <w:vertAlign w:val="superscript"/>
        </w:rPr>
        <w:t>[1]</w:t>
      </w:r>
      <w:r w:rsidRPr="00F92EA6">
        <w:rPr>
          <w:rFonts w:ascii="Times New Roman" w:hAnsi="Times New Roman" w:cs="Times New Roman"/>
          <w:sz w:val="24"/>
          <w:szCs w:val="24"/>
        </w:rPr>
        <w:t xml:space="preserve"> It also reports </w:t>
      </w:r>
      <w:proofErr w:type="gramStart"/>
      <w:r w:rsidRPr="00F92EA6">
        <w:rPr>
          <w:rFonts w:ascii="Times New Roman" w:hAnsi="Times New Roman" w:cs="Times New Roman"/>
          <w:sz w:val="24"/>
          <w:szCs w:val="24"/>
        </w:rPr>
        <w:t>that,</w:t>
      </w:r>
      <w:proofErr w:type="gramEnd"/>
      <w:r w:rsidRPr="00F92EA6">
        <w:rPr>
          <w:rFonts w:ascii="Times New Roman" w:hAnsi="Times New Roman" w:cs="Times New Roman"/>
          <w:sz w:val="24"/>
          <w:szCs w:val="24"/>
        </w:rPr>
        <w:t xml:space="preserve"> cervical cancer is the fourth</w:t>
      </w:r>
      <w:r w:rsidR="007709D0">
        <w:rPr>
          <w:rFonts w:ascii="Times New Roman" w:hAnsi="Times New Roman" w:cs="Times New Roman"/>
          <w:sz w:val="24"/>
          <w:szCs w:val="24"/>
        </w:rPr>
        <w:t xml:space="preserve"> most common</w:t>
      </w:r>
      <w:r w:rsidRPr="00F92EA6">
        <w:rPr>
          <w:rFonts w:ascii="Times New Roman" w:hAnsi="Times New Roman" w:cs="Times New Roman"/>
          <w:sz w:val="24"/>
          <w:szCs w:val="24"/>
        </w:rPr>
        <w:t xml:space="preserve"> cancer affecting females and second </w:t>
      </w:r>
      <w:r w:rsidR="00AF077B">
        <w:rPr>
          <w:rFonts w:ascii="Times New Roman" w:hAnsi="Times New Roman" w:cs="Times New Roman"/>
          <w:sz w:val="24"/>
          <w:szCs w:val="24"/>
        </w:rPr>
        <w:t>most common</w:t>
      </w:r>
      <w:r w:rsidRPr="00F92EA6">
        <w:rPr>
          <w:rFonts w:ascii="Times New Roman" w:hAnsi="Times New Roman" w:cs="Times New Roman"/>
          <w:sz w:val="24"/>
          <w:szCs w:val="24"/>
        </w:rPr>
        <w:t xml:space="preserve"> gynecological malignancy throughout the world. </w:t>
      </w:r>
      <w:r w:rsidRPr="00F92EA6">
        <w:rPr>
          <w:rFonts w:ascii="Times New Roman" w:hAnsi="Times New Roman" w:cs="Times New Roman"/>
          <w:sz w:val="24"/>
          <w:szCs w:val="24"/>
          <w:vertAlign w:val="superscript"/>
        </w:rPr>
        <w:t xml:space="preserve">[2] </w:t>
      </w:r>
    </w:p>
    <w:p w14:paraId="406DC55B"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In developing countries like Bangladesh, diagnosis and treatment of cervical cancer is quite challenging. Deficiency of resources, scarcity of physical infrastructure, lack of awareness, ignorance, financial limitations are some of the major hurdles that are often encountered in this context. </w:t>
      </w:r>
      <w:r w:rsidRPr="00F92EA6">
        <w:rPr>
          <w:rFonts w:ascii="Times New Roman" w:hAnsi="Times New Roman" w:cs="Times New Roman"/>
          <w:sz w:val="24"/>
          <w:szCs w:val="24"/>
          <w:vertAlign w:val="superscript"/>
        </w:rPr>
        <w:t xml:space="preserve">[3] </w:t>
      </w:r>
      <w:r w:rsidRPr="00F92EA6">
        <w:rPr>
          <w:rFonts w:ascii="Times New Roman" w:hAnsi="Times New Roman" w:cs="Times New Roman"/>
          <w:sz w:val="24"/>
          <w:szCs w:val="24"/>
        </w:rPr>
        <w:t xml:space="preserve">Furthermore, underprivileged areas suffer more in these settings. According to </w:t>
      </w:r>
      <w:proofErr w:type="spellStart"/>
      <w:r w:rsidRPr="00F92EA6">
        <w:rPr>
          <w:rFonts w:ascii="Times New Roman" w:hAnsi="Times New Roman" w:cs="Times New Roman"/>
          <w:sz w:val="24"/>
          <w:szCs w:val="24"/>
        </w:rPr>
        <w:t>Nady</w:t>
      </w:r>
      <w:proofErr w:type="spellEnd"/>
      <w:r w:rsidRPr="00F92EA6">
        <w:rPr>
          <w:rFonts w:ascii="Times New Roman" w:hAnsi="Times New Roman" w:cs="Times New Roman"/>
          <w:sz w:val="24"/>
          <w:szCs w:val="24"/>
        </w:rPr>
        <w:t xml:space="preserve"> et al., urban women are at a lower risk of developing cervical cancer compared to women residing in the rural areas. </w:t>
      </w:r>
      <w:r w:rsidRPr="00F92EA6">
        <w:rPr>
          <w:rFonts w:ascii="Times New Roman" w:hAnsi="Times New Roman" w:cs="Times New Roman"/>
          <w:sz w:val="24"/>
          <w:szCs w:val="24"/>
          <w:vertAlign w:val="superscript"/>
        </w:rPr>
        <w:t xml:space="preserve">[4] </w:t>
      </w:r>
      <w:r w:rsidRPr="00F92EA6">
        <w:rPr>
          <w:rFonts w:ascii="Times New Roman" w:hAnsi="Times New Roman" w:cs="Times New Roman"/>
          <w:sz w:val="24"/>
          <w:szCs w:val="24"/>
        </w:rPr>
        <w:t xml:space="preserve">Almost nine out of ten (87%) cervical cancer deaths occur in the under-developed regions. </w:t>
      </w:r>
      <w:r w:rsidRPr="00F92EA6">
        <w:rPr>
          <w:rFonts w:ascii="Times New Roman" w:hAnsi="Times New Roman" w:cs="Times New Roman"/>
          <w:sz w:val="24"/>
          <w:szCs w:val="24"/>
          <w:vertAlign w:val="superscript"/>
        </w:rPr>
        <w:t xml:space="preserve">[5] </w:t>
      </w:r>
    </w:p>
    <w:p w14:paraId="4E391876" w14:textId="77777777" w:rsidR="00F92EA6" w:rsidRPr="00F92EA6" w:rsidRDefault="00F92EA6" w:rsidP="00D67C0F">
      <w:pPr>
        <w:spacing w:line="360" w:lineRule="auto"/>
        <w:jc w:val="both"/>
        <w:rPr>
          <w:rFonts w:ascii="Times New Roman" w:hAnsi="Times New Roman" w:cs="Times New Roman"/>
          <w:sz w:val="24"/>
          <w:szCs w:val="24"/>
          <w:vertAlign w:val="superscript"/>
        </w:rPr>
      </w:pPr>
      <w:r w:rsidRPr="00F92EA6">
        <w:rPr>
          <w:rFonts w:ascii="Times New Roman" w:hAnsi="Times New Roman" w:cs="Times New Roman"/>
          <w:sz w:val="24"/>
          <w:szCs w:val="24"/>
        </w:rPr>
        <w:lastRenderedPageBreak/>
        <w:t xml:space="preserve">Additionally, locally advanced cervical cancer (LACC) includes stage III/IVA, tumor size greater than 4-6 cm, absence of chemo/brachytherapy and positive lymph nodes. </w:t>
      </w:r>
      <w:r w:rsidRPr="00F92EA6">
        <w:rPr>
          <w:rFonts w:ascii="Times New Roman" w:hAnsi="Times New Roman" w:cs="Times New Roman"/>
          <w:sz w:val="24"/>
          <w:szCs w:val="24"/>
          <w:vertAlign w:val="superscript"/>
        </w:rPr>
        <w:t xml:space="preserve">[6] </w:t>
      </w:r>
      <w:r w:rsidRPr="00F92EA6">
        <w:rPr>
          <w:rFonts w:ascii="Times New Roman" w:hAnsi="Times New Roman" w:cs="Times New Roman"/>
          <w:sz w:val="24"/>
          <w:szCs w:val="24"/>
        </w:rPr>
        <w:t xml:space="preserve">Treatment outcomes vary, with complete response rates reported at 53.4% according to a previous study by </w:t>
      </w:r>
      <w:proofErr w:type="spellStart"/>
      <w:r w:rsidRPr="00F92EA6">
        <w:rPr>
          <w:rFonts w:ascii="Times New Roman" w:hAnsi="Times New Roman" w:cs="Times New Roman"/>
          <w:sz w:val="24"/>
          <w:szCs w:val="24"/>
        </w:rPr>
        <w:t>Selvalakshmi</w:t>
      </w:r>
      <w:proofErr w:type="spellEnd"/>
      <w:r w:rsidRPr="00F92EA6">
        <w:rPr>
          <w:rFonts w:ascii="Times New Roman" w:hAnsi="Times New Roman" w:cs="Times New Roman"/>
          <w:sz w:val="24"/>
          <w:szCs w:val="24"/>
        </w:rPr>
        <w:t xml:space="preserve">. </w:t>
      </w:r>
      <w:r w:rsidRPr="00F92EA6">
        <w:rPr>
          <w:rFonts w:ascii="Times New Roman" w:hAnsi="Times New Roman" w:cs="Times New Roman"/>
          <w:sz w:val="24"/>
          <w:szCs w:val="24"/>
          <w:vertAlign w:val="superscript"/>
        </w:rPr>
        <w:t xml:space="preserve">[7] </w:t>
      </w:r>
    </w:p>
    <w:p w14:paraId="7F6C4FFD" w14:textId="57E5F79B" w:rsidR="00F92EA6" w:rsidRPr="00F92EA6" w:rsidRDefault="00F92EA6" w:rsidP="00D67C0F">
      <w:pPr>
        <w:spacing w:line="360" w:lineRule="auto"/>
        <w:jc w:val="both"/>
        <w:rPr>
          <w:rFonts w:ascii="Times New Roman" w:hAnsi="Times New Roman" w:cs="Times New Roman"/>
          <w:sz w:val="24"/>
          <w:szCs w:val="24"/>
          <w:vertAlign w:val="superscript"/>
        </w:rPr>
      </w:pPr>
      <w:r w:rsidRPr="00F92EA6">
        <w:rPr>
          <w:rFonts w:ascii="Times New Roman" w:hAnsi="Times New Roman" w:cs="Times New Roman"/>
          <w:sz w:val="24"/>
          <w:szCs w:val="24"/>
        </w:rPr>
        <w:t>Meanwhile, preferred treatment for carcinoma cervix depends on tumor size, histology, stage, and evidence of lymph node metastasis. Depending on</w:t>
      </w:r>
      <w:r w:rsidR="005005A0">
        <w:rPr>
          <w:rFonts w:ascii="Times New Roman" w:hAnsi="Times New Roman" w:cs="Times New Roman"/>
          <w:sz w:val="24"/>
          <w:szCs w:val="24"/>
        </w:rPr>
        <w:t xml:space="preserve"> the</w:t>
      </w:r>
      <w:r w:rsidRPr="00F92EA6">
        <w:rPr>
          <w:rFonts w:ascii="Times New Roman" w:hAnsi="Times New Roman" w:cs="Times New Roman"/>
          <w:sz w:val="24"/>
          <w:szCs w:val="24"/>
        </w:rPr>
        <w:t xml:space="preserve"> stage, primary treatment consists of surgery, radiotherapy (RT) or a combination of RT and chemotherapy, meaning concurrent chemoradiotherapy (CCRT). </w:t>
      </w:r>
      <w:r w:rsidRPr="00F92EA6">
        <w:rPr>
          <w:rFonts w:ascii="Times New Roman" w:hAnsi="Times New Roman" w:cs="Times New Roman"/>
          <w:sz w:val="24"/>
          <w:szCs w:val="24"/>
          <w:vertAlign w:val="superscript"/>
        </w:rPr>
        <w:t xml:space="preserve">[8] </w:t>
      </w:r>
      <w:r w:rsidRPr="00F92EA6">
        <w:rPr>
          <w:rFonts w:ascii="Times New Roman" w:hAnsi="Times New Roman" w:cs="Times New Roman"/>
          <w:sz w:val="24"/>
          <w:szCs w:val="24"/>
        </w:rPr>
        <w:t xml:space="preserve">A comprehensive approach of intracavitary radiation for in site tumor, external radiation for </w:t>
      </w:r>
      <w:proofErr w:type="spellStart"/>
      <w:r w:rsidRPr="00F92EA6">
        <w:rPr>
          <w:rFonts w:ascii="Times New Roman" w:hAnsi="Times New Roman" w:cs="Times New Roman"/>
          <w:sz w:val="24"/>
          <w:szCs w:val="24"/>
        </w:rPr>
        <w:t>parametrial</w:t>
      </w:r>
      <w:proofErr w:type="spellEnd"/>
      <w:r w:rsidRPr="00F92EA6">
        <w:rPr>
          <w:rFonts w:ascii="Times New Roman" w:hAnsi="Times New Roman" w:cs="Times New Roman"/>
          <w:sz w:val="24"/>
          <w:szCs w:val="24"/>
        </w:rPr>
        <w:t xml:space="preserve"> tissue and pelvic draining lymph nodes are required for optimal treatment. Besides, in </w:t>
      </w:r>
      <w:r w:rsidR="001F6157">
        <w:rPr>
          <w:rFonts w:ascii="Times New Roman" w:hAnsi="Times New Roman" w:cs="Times New Roman"/>
          <w:sz w:val="24"/>
          <w:szCs w:val="24"/>
        </w:rPr>
        <w:t xml:space="preserve">the </w:t>
      </w:r>
      <w:r w:rsidRPr="00F92EA6">
        <w:rPr>
          <w:rFonts w:ascii="Times New Roman" w:hAnsi="Times New Roman" w:cs="Times New Roman"/>
          <w:sz w:val="24"/>
          <w:szCs w:val="24"/>
        </w:rPr>
        <w:t xml:space="preserve">case of LACC, RT consists of a combination of external beam radiotherapy (EBRT) and intracavitary radiotherapy (ICRT). </w:t>
      </w:r>
      <w:r w:rsidRPr="00F92EA6">
        <w:rPr>
          <w:rFonts w:ascii="Times New Roman" w:hAnsi="Times New Roman" w:cs="Times New Roman"/>
          <w:sz w:val="24"/>
          <w:szCs w:val="24"/>
          <w:vertAlign w:val="superscript"/>
        </w:rPr>
        <w:t xml:space="preserve">[8] </w:t>
      </w:r>
    </w:p>
    <w:p w14:paraId="7945970A"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Studies have demonstrated that, fractionation schedules in high-dose brachytherapy (HDR), such as 18 </w:t>
      </w:r>
      <w:proofErr w:type="spellStart"/>
      <w:r w:rsidRPr="00F92EA6">
        <w:rPr>
          <w:rFonts w:ascii="Times New Roman" w:hAnsi="Times New Roman" w:cs="Times New Roman"/>
          <w:sz w:val="24"/>
          <w:szCs w:val="24"/>
        </w:rPr>
        <w:t>Gy</w:t>
      </w:r>
      <w:proofErr w:type="spellEnd"/>
      <w:r w:rsidRPr="00F92EA6">
        <w:rPr>
          <w:rFonts w:ascii="Times New Roman" w:hAnsi="Times New Roman" w:cs="Times New Roman"/>
          <w:sz w:val="24"/>
          <w:szCs w:val="24"/>
        </w:rPr>
        <w:t xml:space="preserve"> in two fractions or 21 </w:t>
      </w:r>
      <w:proofErr w:type="spellStart"/>
      <w:r w:rsidRPr="00F92EA6">
        <w:rPr>
          <w:rFonts w:ascii="Times New Roman" w:hAnsi="Times New Roman" w:cs="Times New Roman"/>
          <w:sz w:val="24"/>
          <w:szCs w:val="24"/>
        </w:rPr>
        <w:t>Gy</w:t>
      </w:r>
      <w:proofErr w:type="spellEnd"/>
      <w:r w:rsidRPr="00F92EA6">
        <w:rPr>
          <w:rFonts w:ascii="Times New Roman" w:hAnsi="Times New Roman" w:cs="Times New Roman"/>
          <w:sz w:val="24"/>
          <w:szCs w:val="24"/>
        </w:rPr>
        <w:t xml:space="preserve"> in three fractions, yield similar outcomes in terms of local control. These regimens have been evaluated with comparable survival and complication rates. </w:t>
      </w:r>
      <w:r w:rsidRPr="00F92EA6">
        <w:rPr>
          <w:rFonts w:ascii="Times New Roman" w:hAnsi="Times New Roman" w:cs="Times New Roman"/>
          <w:sz w:val="24"/>
          <w:szCs w:val="24"/>
          <w:vertAlign w:val="superscript"/>
        </w:rPr>
        <w:t xml:space="preserve">[9-10] </w:t>
      </w:r>
      <w:r w:rsidRPr="00F92EA6">
        <w:rPr>
          <w:rFonts w:ascii="Times New Roman" w:hAnsi="Times New Roman" w:cs="Times New Roman"/>
          <w:sz w:val="24"/>
          <w:szCs w:val="24"/>
        </w:rPr>
        <w:t xml:space="preserve">Brachytherapy offers the safe delivery of high radiation doses with superior conformity compared to external beam techniques. </w:t>
      </w:r>
      <w:r w:rsidRPr="00F92EA6">
        <w:rPr>
          <w:rFonts w:ascii="Times New Roman" w:hAnsi="Times New Roman" w:cs="Times New Roman"/>
          <w:sz w:val="24"/>
          <w:szCs w:val="24"/>
          <w:vertAlign w:val="superscript"/>
        </w:rPr>
        <w:t>[11]</w:t>
      </w:r>
      <w:r w:rsidRPr="00F92EA6">
        <w:rPr>
          <w:rFonts w:ascii="Times New Roman" w:hAnsi="Times New Roman" w:cs="Times New Roman"/>
          <w:sz w:val="24"/>
          <w:szCs w:val="24"/>
        </w:rPr>
        <w:t xml:space="preserve"> Shorter fractionation schedules of HDR brachytherapy, such as two fractions, offer benefits in terms of reduced treatment time, improved patient compliance, and cost-effectiveness without compromising outcomes. </w:t>
      </w:r>
      <w:r w:rsidRPr="00F92EA6">
        <w:rPr>
          <w:rFonts w:ascii="Times New Roman" w:hAnsi="Times New Roman" w:cs="Times New Roman"/>
          <w:sz w:val="24"/>
          <w:szCs w:val="24"/>
          <w:vertAlign w:val="superscript"/>
        </w:rPr>
        <w:t xml:space="preserve">[12] </w:t>
      </w:r>
      <w:r w:rsidRPr="00F92EA6">
        <w:rPr>
          <w:rFonts w:ascii="Times New Roman" w:hAnsi="Times New Roman" w:cs="Times New Roman"/>
          <w:sz w:val="24"/>
          <w:szCs w:val="24"/>
        </w:rPr>
        <w:t xml:space="preserve">For instance, regimens like 9 </w:t>
      </w:r>
      <w:proofErr w:type="spellStart"/>
      <w:r w:rsidRPr="00F92EA6">
        <w:rPr>
          <w:rFonts w:ascii="Times New Roman" w:hAnsi="Times New Roman" w:cs="Times New Roman"/>
          <w:sz w:val="24"/>
          <w:szCs w:val="24"/>
        </w:rPr>
        <w:t>Gy</w:t>
      </w:r>
      <w:proofErr w:type="spellEnd"/>
      <w:r w:rsidRPr="00F92EA6">
        <w:rPr>
          <w:rFonts w:ascii="Times New Roman" w:hAnsi="Times New Roman" w:cs="Times New Roman"/>
          <w:sz w:val="24"/>
          <w:szCs w:val="24"/>
        </w:rPr>
        <w:t xml:space="preserve"> in 2 fractions and 7 </w:t>
      </w:r>
      <w:proofErr w:type="spellStart"/>
      <w:r w:rsidRPr="00F92EA6">
        <w:rPr>
          <w:rFonts w:ascii="Times New Roman" w:hAnsi="Times New Roman" w:cs="Times New Roman"/>
          <w:sz w:val="24"/>
          <w:szCs w:val="24"/>
        </w:rPr>
        <w:t>Gy</w:t>
      </w:r>
      <w:proofErr w:type="spellEnd"/>
      <w:r w:rsidRPr="00F92EA6">
        <w:rPr>
          <w:rFonts w:ascii="Times New Roman" w:hAnsi="Times New Roman" w:cs="Times New Roman"/>
          <w:sz w:val="24"/>
          <w:szCs w:val="24"/>
        </w:rPr>
        <w:t xml:space="preserve"> in 3 fractions have shown comparable results for local control and survival. </w:t>
      </w:r>
      <w:r w:rsidRPr="00F92EA6">
        <w:rPr>
          <w:rFonts w:ascii="Times New Roman" w:hAnsi="Times New Roman" w:cs="Times New Roman"/>
          <w:sz w:val="24"/>
          <w:szCs w:val="24"/>
          <w:vertAlign w:val="superscript"/>
        </w:rPr>
        <w:t xml:space="preserve">[13] </w:t>
      </w:r>
      <w:r w:rsidRPr="00F92EA6">
        <w:rPr>
          <w:rFonts w:ascii="Times New Roman" w:hAnsi="Times New Roman" w:cs="Times New Roman"/>
          <w:sz w:val="24"/>
          <w:szCs w:val="24"/>
        </w:rPr>
        <w:t>These findings highlight the potential of optimized fractionation regimens for optimum balance, safety and utilization of resources.</w:t>
      </w:r>
    </w:p>
    <w:p w14:paraId="7DC05DD4"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The American Brachytherapy Research Group carried out a systematic review with the aim of defining outcomes and local control (LC) results in patients with LACC who have undergone CCRT and HDR brachytherapy for LACC. The benefits in survival outcomes related to this combined therapy were clearly highlighted. </w:t>
      </w:r>
      <w:r w:rsidRPr="00F92EA6">
        <w:rPr>
          <w:rFonts w:ascii="Times New Roman" w:hAnsi="Times New Roman" w:cs="Times New Roman"/>
          <w:sz w:val="24"/>
          <w:szCs w:val="24"/>
          <w:vertAlign w:val="superscript"/>
        </w:rPr>
        <w:t xml:space="preserve">[14] </w:t>
      </w:r>
      <w:r w:rsidRPr="00F92EA6">
        <w:rPr>
          <w:rFonts w:ascii="Times New Roman" w:hAnsi="Times New Roman" w:cs="Times New Roman"/>
          <w:sz w:val="24"/>
          <w:szCs w:val="24"/>
        </w:rPr>
        <w:t xml:space="preserve">Furthermore, a recent study by Yuki et al. analyzed 30 LACC patients treated with ICRT followed by HDR brachytherapy. The 3-year local control, disease-free survival, and overall survival rates were 89.9%, 83.3%, and 86.3% with an impressive local control. </w:t>
      </w:r>
      <w:r w:rsidRPr="00F92EA6">
        <w:rPr>
          <w:rFonts w:ascii="Times New Roman" w:hAnsi="Times New Roman" w:cs="Times New Roman"/>
          <w:sz w:val="24"/>
          <w:szCs w:val="24"/>
          <w:vertAlign w:val="superscript"/>
        </w:rPr>
        <w:t>[15]  </w:t>
      </w:r>
    </w:p>
    <w:p w14:paraId="57DC9051"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In the context of Bangladesh, a shorter course and low-cost treatment schedule is essential to treat the increased numbers of LACC patients. Reducing the administration of HDR brachytherapy from 3 to 2 fractions will aid patients by decreasing treatment costs, repeated visits to the hospital; thus, enhancing their feasibility and convenience. </w:t>
      </w:r>
    </w:p>
    <w:p w14:paraId="43994878"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lastRenderedPageBreak/>
        <w:t xml:space="preserve">The current study was done to observe and compare the findings, clinical presentations and overall outcomes by comparing 18 </w:t>
      </w:r>
      <w:proofErr w:type="spellStart"/>
      <w:r w:rsidRPr="00F92EA6">
        <w:rPr>
          <w:rFonts w:ascii="Times New Roman" w:hAnsi="Times New Roman" w:cs="Times New Roman"/>
          <w:sz w:val="24"/>
          <w:szCs w:val="24"/>
        </w:rPr>
        <w:t>Gy</w:t>
      </w:r>
      <w:proofErr w:type="spellEnd"/>
      <w:r w:rsidRPr="00F92EA6">
        <w:rPr>
          <w:rFonts w:ascii="Times New Roman" w:hAnsi="Times New Roman" w:cs="Times New Roman"/>
          <w:sz w:val="24"/>
          <w:szCs w:val="24"/>
        </w:rPr>
        <w:t xml:space="preserve"> in 2 Fractions and 21 </w:t>
      </w:r>
      <w:proofErr w:type="spellStart"/>
      <w:r w:rsidRPr="00F92EA6">
        <w:rPr>
          <w:rFonts w:ascii="Times New Roman" w:hAnsi="Times New Roman" w:cs="Times New Roman"/>
          <w:sz w:val="24"/>
          <w:szCs w:val="24"/>
        </w:rPr>
        <w:t>Gy</w:t>
      </w:r>
      <w:proofErr w:type="spellEnd"/>
      <w:r w:rsidRPr="00F92EA6">
        <w:rPr>
          <w:rFonts w:ascii="Times New Roman" w:hAnsi="Times New Roman" w:cs="Times New Roman"/>
          <w:sz w:val="24"/>
          <w:szCs w:val="24"/>
        </w:rPr>
        <w:t xml:space="preserve"> in 3 Fractions of HDR brachytherapy after CCRT for the treatment of locally advanced cervical cancer. </w:t>
      </w:r>
    </w:p>
    <w:p w14:paraId="6A7E03A6"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Method</w:t>
      </w:r>
    </w:p>
    <w:p w14:paraId="7F5EF242"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Study design &amp; settings</w:t>
      </w:r>
    </w:p>
    <w:p w14:paraId="7880D0F3" w14:textId="24DA063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This quasi-experimental study was conducted from July 2023 to December 2024, a total of 18 months. The location was Department of Radiation Oncology, National Institute of Cancer Research and Hospital (NICRH), Dhaka. The employed sampling method was purposive method. A pre-tested, semi-structured questionnaire was used for the purpose of data collection. </w:t>
      </w:r>
    </w:p>
    <w:p w14:paraId="00DCE79A"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Participants</w:t>
      </w:r>
    </w:p>
    <w:p w14:paraId="35ADB305" w14:textId="775BB852"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The sample </w:t>
      </w:r>
      <w:r w:rsidR="00AD68C7">
        <w:rPr>
          <w:rFonts w:ascii="Times New Roman" w:hAnsi="Times New Roman" w:cs="Times New Roman"/>
          <w:sz w:val="24"/>
          <w:szCs w:val="24"/>
        </w:rPr>
        <w:t xml:space="preserve">obtained were from </w:t>
      </w:r>
      <w:r w:rsidRPr="00F92EA6">
        <w:rPr>
          <w:rFonts w:ascii="Times New Roman" w:hAnsi="Times New Roman" w:cs="Times New Roman"/>
          <w:sz w:val="24"/>
          <w:szCs w:val="24"/>
        </w:rPr>
        <w:t xml:space="preserve">patients with locally advanced stage (Stage IIB-IVA) carcinoma cervix who attended this institute. We took a sum of 66 patients, who were distributed equally into 2 arms; Arm A and Arm B, having 33 respondents each. </w:t>
      </w:r>
    </w:p>
    <w:p w14:paraId="63B9A9DF" w14:textId="77777777" w:rsidR="00F92EA6" w:rsidRPr="00F92EA6" w:rsidRDefault="00F92EA6" w:rsidP="00D67C0F">
      <w:pPr>
        <w:spacing w:line="360" w:lineRule="auto"/>
        <w:jc w:val="both"/>
        <w:rPr>
          <w:rFonts w:ascii="Times New Roman" w:hAnsi="Times New Roman" w:cs="Times New Roman"/>
          <w:b/>
          <w:bCs/>
          <w:sz w:val="24"/>
          <w:szCs w:val="24"/>
        </w:rPr>
      </w:pPr>
      <w:r w:rsidRPr="00F92EA6">
        <w:rPr>
          <w:rFonts w:ascii="Times New Roman" w:hAnsi="Times New Roman" w:cs="Times New Roman"/>
          <w:b/>
          <w:bCs/>
          <w:sz w:val="24"/>
          <w:szCs w:val="24"/>
        </w:rPr>
        <w:t>Eligibility criteria</w:t>
      </w:r>
    </w:p>
    <w:p w14:paraId="64B6BA42" w14:textId="77777777" w:rsidR="00F92EA6" w:rsidRPr="00F92EA6" w:rsidRDefault="00F92EA6" w:rsidP="00D67C0F">
      <w:p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Inclusion criteria:</w:t>
      </w:r>
    </w:p>
    <w:p w14:paraId="5114658B" w14:textId="77777777" w:rsidR="00F92EA6" w:rsidRPr="00F92EA6" w:rsidRDefault="00F92EA6" w:rsidP="00D67C0F">
      <w:pPr>
        <w:numPr>
          <w:ilvl w:val="0"/>
          <w:numId w:val="1"/>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aged 19-70 years.</w:t>
      </w:r>
    </w:p>
    <w:p w14:paraId="0B024CA5" w14:textId="77777777" w:rsidR="009532EC" w:rsidRDefault="00F92EA6" w:rsidP="00D67C0F">
      <w:pPr>
        <w:numPr>
          <w:ilvl w:val="0"/>
          <w:numId w:val="1"/>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 xml:space="preserve">Patients with clinically diagnosed and </w:t>
      </w:r>
      <w:proofErr w:type="spellStart"/>
      <w:r w:rsidRPr="00F92EA6">
        <w:rPr>
          <w:rFonts w:ascii="Times New Roman" w:hAnsi="Times New Roman" w:cs="Times New Roman"/>
          <w:sz w:val="24"/>
          <w:szCs w:val="24"/>
        </w:rPr>
        <w:t>histopathologically</w:t>
      </w:r>
      <w:proofErr w:type="spellEnd"/>
      <w:r w:rsidRPr="00F92EA6">
        <w:rPr>
          <w:rFonts w:ascii="Times New Roman" w:hAnsi="Times New Roman" w:cs="Times New Roman"/>
          <w:sz w:val="24"/>
          <w:szCs w:val="24"/>
        </w:rPr>
        <w:t xml:space="preserve">   proven   squamous cell carcinoma of uterine cervix in locally advanced stage (FIGO Stage IIB to IVA).</w:t>
      </w:r>
    </w:p>
    <w:p w14:paraId="2CAD205D" w14:textId="5630037A" w:rsidR="00F92EA6" w:rsidRPr="00F92EA6" w:rsidRDefault="00F92EA6" w:rsidP="00D67C0F">
      <w:pPr>
        <w:spacing w:line="360" w:lineRule="auto"/>
        <w:ind w:left="360"/>
        <w:jc w:val="both"/>
        <w:rPr>
          <w:rFonts w:ascii="Times New Roman" w:hAnsi="Times New Roman" w:cs="Times New Roman"/>
          <w:sz w:val="24"/>
          <w:szCs w:val="24"/>
        </w:rPr>
      </w:pPr>
      <w:r w:rsidRPr="00F92EA6">
        <w:rPr>
          <w:rFonts w:ascii="Times New Roman" w:hAnsi="Times New Roman" w:cs="Times New Roman"/>
          <w:sz w:val="24"/>
          <w:szCs w:val="24"/>
        </w:rPr>
        <w:t>Exclusion criteria:</w:t>
      </w:r>
    </w:p>
    <w:p w14:paraId="08BF5074"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Pregnant and lactating women.</w:t>
      </w:r>
    </w:p>
    <w:p w14:paraId="2E7E1C40"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dropped out or failed to follow up before completion of study.</w:t>
      </w:r>
    </w:p>
    <w:p w14:paraId="370EA03D"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Those suffering from any serious concomitant medical illness such as severe heart disease, uncontrolled diabetes mellitus, hypertension or psychiatric illness.</w:t>
      </w:r>
    </w:p>
    <w:p w14:paraId="47260798"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with pelvic infection.</w:t>
      </w:r>
    </w:p>
    <w:p w14:paraId="18FE3E58"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Recurrent cases of carcinoma cervix.</w:t>
      </w:r>
    </w:p>
    <w:p w14:paraId="6CAA6D90" w14:textId="77777777" w:rsidR="00F92EA6" w:rsidRP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t>Patients having any other major vital organ dysfunction.</w:t>
      </w:r>
    </w:p>
    <w:p w14:paraId="613A24F9" w14:textId="6AFBE704" w:rsidR="00F92EA6" w:rsidRDefault="00F92EA6" w:rsidP="00D67C0F">
      <w:pPr>
        <w:numPr>
          <w:ilvl w:val="0"/>
          <w:numId w:val="2"/>
        </w:numPr>
        <w:spacing w:line="360" w:lineRule="auto"/>
        <w:jc w:val="both"/>
        <w:rPr>
          <w:rFonts w:ascii="Times New Roman" w:hAnsi="Times New Roman" w:cs="Times New Roman"/>
          <w:sz w:val="24"/>
          <w:szCs w:val="24"/>
        </w:rPr>
      </w:pPr>
      <w:r w:rsidRPr="00F92EA6">
        <w:rPr>
          <w:rFonts w:ascii="Times New Roman" w:hAnsi="Times New Roman" w:cs="Times New Roman"/>
          <w:sz w:val="24"/>
          <w:szCs w:val="24"/>
        </w:rPr>
        <w:lastRenderedPageBreak/>
        <w:t>Post-operative patients of carcinoma cervix.</w:t>
      </w:r>
    </w:p>
    <w:p w14:paraId="38778F46" w14:textId="6D425839" w:rsidR="00D6722D" w:rsidRPr="00D6722D" w:rsidRDefault="00D6722D" w:rsidP="00D67C0F">
      <w:pPr>
        <w:spacing w:line="360" w:lineRule="auto"/>
        <w:jc w:val="both"/>
        <w:rPr>
          <w:rFonts w:ascii="Times New Roman" w:hAnsi="Times New Roman" w:cs="Times New Roman"/>
          <w:b/>
          <w:bCs/>
          <w:sz w:val="24"/>
          <w:szCs w:val="24"/>
        </w:rPr>
      </w:pPr>
      <w:r w:rsidRPr="00D6722D">
        <w:rPr>
          <w:rFonts w:ascii="Times New Roman" w:hAnsi="Times New Roman" w:cs="Times New Roman"/>
          <w:b/>
          <w:bCs/>
          <w:sz w:val="24"/>
          <w:szCs w:val="24"/>
        </w:rPr>
        <w:t>FIGO Staging system for cervical cancer</w:t>
      </w:r>
      <w:r w:rsidR="00EF0D77">
        <w:rPr>
          <w:rFonts w:ascii="Times New Roman" w:hAnsi="Times New Roman" w:cs="Times New Roman"/>
          <w:b/>
          <w:bCs/>
          <w:sz w:val="24"/>
          <w:szCs w:val="24"/>
        </w:rPr>
        <w:t xml:space="preserve"> (2018)</w:t>
      </w:r>
    </w:p>
    <w:p w14:paraId="05455DBB" w14:textId="3259C216"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 xml:space="preserve">Stage IIB: The cervical carcinoma extends beyond cervix with upper two third of vaginal involvement, with </w:t>
      </w:r>
      <w:proofErr w:type="spellStart"/>
      <w:r w:rsidRPr="00157668">
        <w:rPr>
          <w:rFonts w:ascii="Times New Roman" w:hAnsi="Times New Roman" w:cs="Times New Roman"/>
          <w:sz w:val="24"/>
          <w:szCs w:val="24"/>
        </w:rPr>
        <w:t>parametrial</w:t>
      </w:r>
      <w:proofErr w:type="spellEnd"/>
      <w:r w:rsidRPr="00157668">
        <w:rPr>
          <w:rFonts w:ascii="Times New Roman" w:hAnsi="Times New Roman" w:cs="Times New Roman"/>
          <w:sz w:val="24"/>
          <w:szCs w:val="24"/>
        </w:rPr>
        <w:t xml:space="preserve"> invasion but not up to the pelvic wall and without distant metastasis.</w:t>
      </w:r>
    </w:p>
    <w:p w14:paraId="3E941DCD" w14:textId="77777777"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IIIA: The cervical carcinoma extends beyond cervix and involves the lower third of the vagina, with no extension to the pelvic wall and without distant metastasis.</w:t>
      </w:r>
    </w:p>
    <w:p w14:paraId="11BC8D2F" w14:textId="4B7BE9E5"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 xml:space="preserve">Stage IIIB:  The cervical carcinoma extends up to the pelvic wall and/or causes hydronephrosis or non-functioning kidney (unless known to due to another cause) and without distant metastasis. </w:t>
      </w:r>
    </w:p>
    <w:p w14:paraId="098100B2" w14:textId="77777777"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IIIC: Involvement of pelvic and/or paraaortic lymph nodes. irrespective of tumor size and extent.</w:t>
      </w:r>
    </w:p>
    <w:p w14:paraId="1022C778" w14:textId="77777777" w:rsid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Stage IV: The carcinoma has stretched beyond the true pelvis or has clinically involved the mucosa of the bladder and/or rectum.</w:t>
      </w:r>
    </w:p>
    <w:p w14:paraId="5EFEC6D4" w14:textId="66EC3E66" w:rsidR="00D6722D" w:rsidRPr="00157668" w:rsidRDefault="00D6722D" w:rsidP="00D67C0F">
      <w:pPr>
        <w:pStyle w:val="ListParagraph"/>
        <w:numPr>
          <w:ilvl w:val="0"/>
          <w:numId w:val="10"/>
        </w:numPr>
        <w:spacing w:line="360" w:lineRule="auto"/>
        <w:jc w:val="both"/>
        <w:rPr>
          <w:rFonts w:ascii="Times New Roman" w:hAnsi="Times New Roman" w:cs="Times New Roman"/>
          <w:sz w:val="24"/>
          <w:szCs w:val="24"/>
        </w:rPr>
      </w:pPr>
      <w:r w:rsidRPr="00157668">
        <w:rPr>
          <w:rFonts w:ascii="Times New Roman" w:hAnsi="Times New Roman" w:cs="Times New Roman"/>
          <w:sz w:val="24"/>
          <w:szCs w:val="24"/>
        </w:rPr>
        <w:t xml:space="preserve">Stage IVA: Spread to adjacent pelvic organs. </w:t>
      </w:r>
      <w:r w:rsidRPr="00157668">
        <w:rPr>
          <w:rFonts w:ascii="Times New Roman" w:hAnsi="Times New Roman" w:cs="Times New Roman"/>
          <w:sz w:val="24"/>
          <w:szCs w:val="24"/>
          <w:vertAlign w:val="superscript"/>
        </w:rPr>
        <w:t xml:space="preserve">[16] </w:t>
      </w:r>
    </w:p>
    <w:p w14:paraId="5CDA6E78" w14:textId="575F90B0" w:rsidR="00D6722D" w:rsidRPr="00F92EA6" w:rsidRDefault="00D6722D" w:rsidP="00D67C0F">
      <w:pPr>
        <w:spacing w:line="360" w:lineRule="auto"/>
        <w:jc w:val="both"/>
        <w:rPr>
          <w:rFonts w:ascii="Times New Roman" w:hAnsi="Times New Roman" w:cs="Times New Roman"/>
          <w:sz w:val="24"/>
          <w:szCs w:val="24"/>
        </w:rPr>
      </w:pPr>
      <w:r w:rsidRPr="00D6722D">
        <w:rPr>
          <w:rFonts w:ascii="Times New Roman" w:hAnsi="Times New Roman" w:cs="Times New Roman"/>
          <w:sz w:val="24"/>
          <w:szCs w:val="24"/>
        </w:rPr>
        <w:t>Locally Advanced Cervical Cancer</w:t>
      </w:r>
      <w:r>
        <w:rPr>
          <w:rFonts w:ascii="Times New Roman" w:hAnsi="Times New Roman" w:cs="Times New Roman"/>
          <w:sz w:val="24"/>
          <w:szCs w:val="24"/>
        </w:rPr>
        <w:t>: i</w:t>
      </w:r>
      <w:r w:rsidRPr="00D6722D">
        <w:rPr>
          <w:rFonts w:ascii="Times New Roman" w:hAnsi="Times New Roman" w:cs="Times New Roman"/>
          <w:sz w:val="24"/>
          <w:szCs w:val="24"/>
        </w:rPr>
        <w:t xml:space="preserve">n this study stage IIB to stage IVA according to FIGO staging for carcinoma cervix was termed as </w:t>
      </w:r>
      <w:r w:rsidR="00E54DF3">
        <w:rPr>
          <w:rFonts w:ascii="Times New Roman" w:hAnsi="Times New Roman" w:cs="Times New Roman"/>
          <w:sz w:val="24"/>
          <w:szCs w:val="24"/>
        </w:rPr>
        <w:t>l</w:t>
      </w:r>
      <w:r w:rsidRPr="00D6722D">
        <w:rPr>
          <w:rFonts w:ascii="Times New Roman" w:hAnsi="Times New Roman" w:cs="Times New Roman"/>
          <w:sz w:val="24"/>
          <w:szCs w:val="24"/>
        </w:rPr>
        <w:t>ocally advanced cervical cancer.</w:t>
      </w:r>
    </w:p>
    <w:p w14:paraId="25CB7D82" w14:textId="4C7DB57F" w:rsidR="00D76E9E" w:rsidRPr="00F82975" w:rsidRDefault="00D76E9E" w:rsidP="00D67C0F">
      <w:pPr>
        <w:spacing w:line="360" w:lineRule="auto"/>
        <w:jc w:val="both"/>
        <w:rPr>
          <w:rFonts w:ascii="Times New Roman" w:hAnsi="Times New Roman" w:cs="Times New Roman"/>
          <w:b/>
          <w:bCs/>
          <w:sz w:val="24"/>
          <w:szCs w:val="24"/>
        </w:rPr>
      </w:pPr>
      <w:r w:rsidRPr="00F82975">
        <w:rPr>
          <w:rFonts w:ascii="Times New Roman" w:hAnsi="Times New Roman" w:cs="Times New Roman"/>
          <w:b/>
          <w:bCs/>
          <w:sz w:val="24"/>
          <w:szCs w:val="24"/>
        </w:rPr>
        <w:t>Study procedure</w:t>
      </w:r>
    </w:p>
    <w:p w14:paraId="4E9F69C4" w14:textId="0A7E0B27" w:rsidR="001E6EAB" w:rsidRPr="00F82975" w:rsidRDefault="00D76E9E" w:rsidP="00D67C0F">
      <w:pPr>
        <w:spacing w:line="360" w:lineRule="auto"/>
        <w:jc w:val="both"/>
        <w:rPr>
          <w:rFonts w:ascii="Times New Roman" w:hAnsi="Times New Roman" w:cs="Times New Roman"/>
          <w:sz w:val="24"/>
          <w:szCs w:val="24"/>
        </w:rPr>
      </w:pPr>
      <w:r w:rsidRPr="00E0223C">
        <w:rPr>
          <w:rFonts w:ascii="Times New Roman" w:hAnsi="Times New Roman" w:cs="Times New Roman"/>
          <w:sz w:val="24"/>
          <w:szCs w:val="24"/>
        </w:rPr>
        <w:t>All pa</w:t>
      </w:r>
      <w:r w:rsidRPr="00F82975">
        <w:rPr>
          <w:rFonts w:ascii="Times New Roman" w:hAnsi="Times New Roman" w:cs="Times New Roman"/>
          <w:sz w:val="24"/>
          <w:szCs w:val="24"/>
        </w:rPr>
        <w:t xml:space="preserve">rticipants </w:t>
      </w:r>
      <w:r w:rsidRPr="00E0223C">
        <w:rPr>
          <w:rFonts w:ascii="Times New Roman" w:hAnsi="Times New Roman" w:cs="Times New Roman"/>
          <w:sz w:val="24"/>
          <w:szCs w:val="24"/>
        </w:rPr>
        <w:t xml:space="preserve">received EBRT and weekly Inj. Cisplatin 40mg/m² followed by HDR intracavitary brachytherapy. EBRT treatment was delivered by LINAC with 50 </w:t>
      </w:r>
      <w:proofErr w:type="spellStart"/>
      <w:r w:rsidRPr="00E0223C">
        <w:rPr>
          <w:rFonts w:ascii="Times New Roman" w:hAnsi="Times New Roman" w:cs="Times New Roman"/>
          <w:sz w:val="24"/>
          <w:szCs w:val="24"/>
        </w:rPr>
        <w:t>Gy</w:t>
      </w:r>
      <w:proofErr w:type="spellEnd"/>
      <w:r w:rsidRPr="00E0223C">
        <w:rPr>
          <w:rFonts w:ascii="Times New Roman" w:hAnsi="Times New Roman" w:cs="Times New Roman"/>
          <w:sz w:val="24"/>
          <w:szCs w:val="24"/>
        </w:rPr>
        <w:t xml:space="preserve"> in 25 fractions of 2</w:t>
      </w:r>
      <w:r w:rsidRPr="00F82975">
        <w:rPr>
          <w:rFonts w:ascii="Times New Roman" w:hAnsi="Times New Roman" w:cs="Times New Roman"/>
          <w:sz w:val="24"/>
          <w:szCs w:val="24"/>
        </w:rPr>
        <w:t xml:space="preserve"> </w:t>
      </w:r>
      <w:proofErr w:type="spellStart"/>
      <w:r w:rsidRPr="00E0223C">
        <w:rPr>
          <w:rFonts w:ascii="Times New Roman" w:hAnsi="Times New Roman" w:cs="Times New Roman"/>
          <w:sz w:val="24"/>
          <w:szCs w:val="24"/>
        </w:rPr>
        <w:t>Gy</w:t>
      </w:r>
      <w:proofErr w:type="spellEnd"/>
      <w:r w:rsidRPr="00E0223C">
        <w:rPr>
          <w:rFonts w:ascii="Times New Roman" w:hAnsi="Times New Roman" w:cs="Times New Roman"/>
          <w:sz w:val="24"/>
          <w:szCs w:val="24"/>
        </w:rPr>
        <w:t xml:space="preserve"> per fraction over 5 weeks. </w:t>
      </w:r>
      <w:r w:rsidRPr="00F35C50">
        <w:rPr>
          <w:rFonts w:ascii="Times New Roman" w:hAnsi="Times New Roman" w:cs="Times New Roman"/>
          <w:sz w:val="24"/>
          <w:szCs w:val="24"/>
        </w:rPr>
        <w:t>Subsequently,</w:t>
      </w:r>
      <w:r w:rsidRPr="00E0223C">
        <w:rPr>
          <w:rFonts w:ascii="Times New Roman" w:hAnsi="Times New Roman" w:cs="Times New Roman"/>
          <w:sz w:val="24"/>
          <w:szCs w:val="24"/>
        </w:rPr>
        <w:t xml:space="preserve"> two fractions of ICRT with 9 </w:t>
      </w:r>
      <w:proofErr w:type="spellStart"/>
      <w:r w:rsidRPr="00E0223C">
        <w:rPr>
          <w:rFonts w:ascii="Times New Roman" w:hAnsi="Times New Roman" w:cs="Times New Roman"/>
          <w:sz w:val="24"/>
          <w:szCs w:val="24"/>
        </w:rPr>
        <w:t>Gy</w:t>
      </w:r>
      <w:proofErr w:type="spellEnd"/>
      <w:r w:rsidRPr="00E0223C">
        <w:rPr>
          <w:rFonts w:ascii="Times New Roman" w:hAnsi="Times New Roman" w:cs="Times New Roman"/>
          <w:sz w:val="24"/>
          <w:szCs w:val="24"/>
        </w:rPr>
        <w:t xml:space="preserve"> in two fractions weekly for 2 weeks was given to the patients of arm A and</w:t>
      </w:r>
      <w:r w:rsidRPr="00F35C50">
        <w:rPr>
          <w:rFonts w:ascii="Times New Roman" w:hAnsi="Times New Roman" w:cs="Times New Roman"/>
          <w:sz w:val="24"/>
          <w:szCs w:val="24"/>
        </w:rPr>
        <w:t xml:space="preserve"> </w:t>
      </w:r>
      <w:r w:rsidRPr="00E0223C">
        <w:rPr>
          <w:rFonts w:ascii="Times New Roman" w:hAnsi="Times New Roman" w:cs="Times New Roman"/>
          <w:sz w:val="24"/>
          <w:szCs w:val="24"/>
        </w:rPr>
        <w:t xml:space="preserve">7 </w:t>
      </w:r>
      <w:proofErr w:type="spellStart"/>
      <w:r w:rsidRPr="00E0223C">
        <w:rPr>
          <w:rFonts w:ascii="Times New Roman" w:hAnsi="Times New Roman" w:cs="Times New Roman"/>
          <w:sz w:val="24"/>
          <w:szCs w:val="24"/>
        </w:rPr>
        <w:t>Gy</w:t>
      </w:r>
      <w:proofErr w:type="spellEnd"/>
      <w:r w:rsidRPr="00E0223C">
        <w:rPr>
          <w:rFonts w:ascii="Times New Roman" w:hAnsi="Times New Roman" w:cs="Times New Roman"/>
          <w:sz w:val="24"/>
          <w:szCs w:val="24"/>
        </w:rPr>
        <w:t xml:space="preserve"> in three fractions weekly for 3 weeks to arm B. </w:t>
      </w:r>
      <w:r w:rsidRPr="00F82975">
        <w:rPr>
          <w:rFonts w:ascii="Times New Roman" w:hAnsi="Times New Roman" w:cs="Times New Roman"/>
          <w:sz w:val="24"/>
          <w:szCs w:val="24"/>
        </w:rPr>
        <w:t xml:space="preserve">The intervention </w:t>
      </w:r>
      <w:r w:rsidRPr="00E0223C">
        <w:rPr>
          <w:rFonts w:ascii="Times New Roman" w:hAnsi="Times New Roman" w:cs="Times New Roman"/>
          <w:sz w:val="24"/>
          <w:szCs w:val="24"/>
        </w:rPr>
        <w:t>was completed in</w:t>
      </w:r>
      <w:r w:rsidRPr="00F82975">
        <w:rPr>
          <w:rFonts w:ascii="Times New Roman" w:hAnsi="Times New Roman" w:cs="Times New Roman"/>
          <w:sz w:val="24"/>
          <w:szCs w:val="24"/>
        </w:rPr>
        <w:t xml:space="preserve"> 7 weeks in arm A and 8 weeks in arm B. Every patient was evaluated weekly during the course of treatment. Then, follow-up was performed after completion of the treatment to evaluate the response.    </w:t>
      </w:r>
    </w:p>
    <w:p w14:paraId="1A544C4D" w14:textId="77777777" w:rsidR="00D76E9E" w:rsidRPr="00D76E9E" w:rsidRDefault="00D76E9E" w:rsidP="00D67C0F">
      <w:pPr>
        <w:spacing w:line="360" w:lineRule="auto"/>
        <w:jc w:val="both"/>
        <w:rPr>
          <w:rFonts w:ascii="Times New Roman" w:hAnsi="Times New Roman" w:cs="Times New Roman"/>
          <w:b/>
          <w:bCs/>
          <w:sz w:val="24"/>
          <w:szCs w:val="24"/>
        </w:rPr>
      </w:pPr>
      <w:r w:rsidRPr="00D76E9E">
        <w:rPr>
          <w:rFonts w:ascii="Times New Roman" w:hAnsi="Times New Roman" w:cs="Times New Roman"/>
          <w:b/>
          <w:bCs/>
          <w:sz w:val="24"/>
          <w:szCs w:val="24"/>
        </w:rPr>
        <w:t>Details of the intervention</w:t>
      </w:r>
    </w:p>
    <w:p w14:paraId="2EFFF8D8"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Method: 2D radiotherapy technique.</w:t>
      </w:r>
    </w:p>
    <w:p w14:paraId="2CFA4C43"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Machine: Linear accelerator (LINAC)</w:t>
      </w:r>
    </w:p>
    <w:p w14:paraId="194C7F5B"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SSD: 100 cm</w:t>
      </w:r>
    </w:p>
    <w:p w14:paraId="26BE97CF"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Beam energy: 10 MV</w:t>
      </w:r>
    </w:p>
    <w:p w14:paraId="78D29A31"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Dose: 5000 </w:t>
      </w:r>
      <w:proofErr w:type="spellStart"/>
      <w:r w:rsidRPr="00CB0EF1">
        <w:rPr>
          <w:rFonts w:ascii="Times New Roman" w:hAnsi="Times New Roman" w:cs="Times New Roman"/>
          <w:sz w:val="24"/>
          <w:szCs w:val="24"/>
        </w:rPr>
        <w:t>cGy</w:t>
      </w:r>
      <w:proofErr w:type="spellEnd"/>
      <w:r w:rsidRPr="00CB0EF1">
        <w:rPr>
          <w:rFonts w:ascii="Times New Roman" w:hAnsi="Times New Roman" w:cs="Times New Roman"/>
          <w:sz w:val="24"/>
          <w:szCs w:val="24"/>
        </w:rPr>
        <w:t xml:space="preserve"> in 25 daily fractions, 2 </w:t>
      </w:r>
      <w:proofErr w:type="spellStart"/>
      <w:r w:rsidRPr="00CB0EF1">
        <w:rPr>
          <w:rFonts w:ascii="Times New Roman" w:hAnsi="Times New Roman" w:cs="Times New Roman"/>
          <w:sz w:val="24"/>
          <w:szCs w:val="24"/>
        </w:rPr>
        <w:t>Gy</w:t>
      </w:r>
      <w:proofErr w:type="spellEnd"/>
      <w:r w:rsidRPr="00CB0EF1">
        <w:rPr>
          <w:rFonts w:ascii="Times New Roman" w:hAnsi="Times New Roman" w:cs="Times New Roman"/>
          <w:sz w:val="24"/>
          <w:szCs w:val="24"/>
        </w:rPr>
        <w:t xml:space="preserve"> per fraction, 5 daily fraction per week.</w:t>
      </w:r>
    </w:p>
    <w:p w14:paraId="42723A4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lastRenderedPageBreak/>
        <w:t>Planning: X-ray simulation were done by a lead wire</w:t>
      </w:r>
    </w:p>
    <w:p w14:paraId="3332354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Position of the participant: Supine with arms on chest</w:t>
      </w:r>
    </w:p>
    <w:p w14:paraId="2832677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Bladder and rectal protocol: (Urinary bladder </w:t>
      </w:r>
      <w:proofErr w:type="gramStart"/>
      <w:r w:rsidRPr="00CB0EF1">
        <w:rPr>
          <w:rFonts w:ascii="Times New Roman" w:hAnsi="Times New Roman" w:cs="Times New Roman"/>
          <w:sz w:val="24"/>
          <w:szCs w:val="24"/>
        </w:rPr>
        <w:t>was</w:t>
      </w:r>
      <w:proofErr w:type="gramEnd"/>
      <w:r w:rsidRPr="00CB0EF1">
        <w:rPr>
          <w:rFonts w:ascii="Times New Roman" w:hAnsi="Times New Roman" w:cs="Times New Roman"/>
          <w:sz w:val="24"/>
          <w:szCs w:val="24"/>
        </w:rPr>
        <w:t xml:space="preserve"> ‘comfortably full’. Patients were asked to empty bladder 30 minutes before treatment and then drink 250 ml of water. As a result, small bowel loops were pushed away from the radiation fields. Laxative was prescribed the day before radiotherapy)</w:t>
      </w:r>
    </w:p>
    <w:p w14:paraId="30B914E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Name of fields: Anterior-posterior fields.</w:t>
      </w:r>
    </w:p>
    <w:p w14:paraId="4764C53A"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Number of fields: 2</w:t>
      </w:r>
    </w:p>
    <w:p w14:paraId="7FEF28F1"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Gantry angle: 0 degrees and 180 degrees.</w:t>
      </w:r>
    </w:p>
    <w:p w14:paraId="5F1164A9" w14:textId="77777777" w:rsidR="001E6EAB"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Immobilization device used: Head and neck rest and knee rest. </w:t>
      </w:r>
    </w:p>
    <w:p w14:paraId="31D249DA"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bCs/>
          <w:sz w:val="24"/>
          <w:szCs w:val="24"/>
        </w:rPr>
      </w:pPr>
      <w:r w:rsidRPr="00CB0EF1">
        <w:rPr>
          <w:rFonts w:ascii="Times New Roman" w:hAnsi="Times New Roman" w:cs="Times New Roman"/>
          <w:bCs/>
          <w:sz w:val="24"/>
          <w:szCs w:val="24"/>
        </w:rPr>
        <w:t>Treatment Field and Boundary- Anterior and Posterior:</w:t>
      </w:r>
    </w:p>
    <w:p w14:paraId="6B680576"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Superior border: A transverse line at the level between L4 and L5 vertebrae</w:t>
      </w:r>
    </w:p>
    <w:p w14:paraId="10A674D5"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Inferior border: Transverse line at the level of lowest extent of the obturator foramen. Lateral border: 2 cm lateral to widest true bony pelvic diameter.</w:t>
      </w:r>
    </w:p>
    <w:p w14:paraId="5CDCD7AF"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Dose schedule</w:t>
      </w:r>
      <w:r w:rsidRPr="00CB0EF1">
        <w:rPr>
          <w:rFonts w:ascii="Times New Roman" w:hAnsi="Times New Roman" w:cs="Times New Roman"/>
          <w:sz w:val="24"/>
          <w:szCs w:val="24"/>
        </w:rPr>
        <w:t xml:space="preserve">: Whole pelvis was treated with 2 </w:t>
      </w:r>
      <w:proofErr w:type="spellStart"/>
      <w:r w:rsidRPr="00CB0EF1">
        <w:rPr>
          <w:rFonts w:ascii="Times New Roman" w:hAnsi="Times New Roman" w:cs="Times New Roman"/>
          <w:sz w:val="24"/>
          <w:szCs w:val="24"/>
        </w:rPr>
        <w:t>Gy</w:t>
      </w:r>
      <w:proofErr w:type="spellEnd"/>
      <w:r w:rsidRPr="00CB0EF1">
        <w:rPr>
          <w:rFonts w:ascii="Times New Roman" w:hAnsi="Times New Roman" w:cs="Times New Roman"/>
          <w:sz w:val="24"/>
          <w:szCs w:val="24"/>
        </w:rPr>
        <w:t xml:space="preserve"> per fraction, 5 days in a week with a total dose of 50 </w:t>
      </w:r>
      <w:proofErr w:type="spellStart"/>
      <w:r w:rsidRPr="00CB0EF1">
        <w:rPr>
          <w:rFonts w:ascii="Times New Roman" w:hAnsi="Times New Roman" w:cs="Times New Roman"/>
          <w:sz w:val="24"/>
          <w:szCs w:val="24"/>
        </w:rPr>
        <w:t>Gy</w:t>
      </w:r>
      <w:proofErr w:type="spellEnd"/>
      <w:r w:rsidRPr="00CB0EF1">
        <w:rPr>
          <w:rFonts w:ascii="Times New Roman" w:hAnsi="Times New Roman" w:cs="Times New Roman"/>
          <w:sz w:val="24"/>
          <w:szCs w:val="24"/>
        </w:rPr>
        <w:t xml:space="preserve"> for 5 weeks. Brachytherapy was started next week after completion of pelvic radiotherapy. Urinary bladder and rectal doses were monitored. </w:t>
      </w:r>
      <w:r w:rsidRPr="00CB0EF1">
        <w:rPr>
          <w:rFonts w:ascii="Times New Roman" w:hAnsi="Times New Roman" w:cs="Times New Roman"/>
          <w:bCs/>
          <w:sz w:val="24"/>
          <w:szCs w:val="24"/>
        </w:rPr>
        <w:t>EBRT</w:t>
      </w:r>
      <w:r w:rsidRPr="00CB0EF1">
        <w:rPr>
          <w:rFonts w:ascii="Times New Roman" w:hAnsi="Times New Roman" w:cs="Times New Roman"/>
          <w:sz w:val="24"/>
          <w:szCs w:val="24"/>
        </w:rPr>
        <w:t xml:space="preserve">: 50 </w:t>
      </w:r>
      <w:proofErr w:type="spellStart"/>
      <w:r w:rsidRPr="00CB0EF1">
        <w:rPr>
          <w:rFonts w:ascii="Times New Roman" w:hAnsi="Times New Roman" w:cs="Times New Roman"/>
          <w:sz w:val="24"/>
          <w:szCs w:val="24"/>
        </w:rPr>
        <w:t>Gy</w:t>
      </w:r>
      <w:proofErr w:type="spellEnd"/>
      <w:r w:rsidRPr="00CB0EF1">
        <w:rPr>
          <w:rFonts w:ascii="Times New Roman" w:hAnsi="Times New Roman" w:cs="Times New Roman"/>
          <w:sz w:val="24"/>
          <w:szCs w:val="24"/>
        </w:rPr>
        <w:t xml:space="preserve"> in 25 fractions 2.0 </w:t>
      </w:r>
      <w:proofErr w:type="spellStart"/>
      <w:r w:rsidRPr="00CB0EF1">
        <w:rPr>
          <w:rFonts w:ascii="Times New Roman" w:hAnsi="Times New Roman" w:cs="Times New Roman"/>
          <w:sz w:val="24"/>
          <w:szCs w:val="24"/>
        </w:rPr>
        <w:t>Gy</w:t>
      </w:r>
      <w:proofErr w:type="spellEnd"/>
      <w:r w:rsidRPr="00CB0EF1">
        <w:rPr>
          <w:rFonts w:ascii="Times New Roman" w:hAnsi="Times New Roman" w:cs="Times New Roman"/>
          <w:sz w:val="24"/>
          <w:szCs w:val="24"/>
        </w:rPr>
        <w:t xml:space="preserve"> per fraction daily, 5 days in a week over 5 weeks in the pelvis.</w:t>
      </w:r>
    </w:p>
    <w:p w14:paraId="1F4B3948"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Beam Energy</w:t>
      </w:r>
      <w:r w:rsidRPr="00CB0EF1">
        <w:rPr>
          <w:rFonts w:ascii="Times New Roman" w:hAnsi="Times New Roman" w:cs="Times New Roman"/>
          <w:sz w:val="24"/>
          <w:szCs w:val="24"/>
        </w:rPr>
        <w:t>: Linear Accelerator of megavoltage beam of 10 MV photon with SSD of 100 cm.</w:t>
      </w:r>
    </w:p>
    <w:p w14:paraId="23E1376E" w14:textId="77777777"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bCs/>
          <w:sz w:val="24"/>
          <w:szCs w:val="24"/>
        </w:rPr>
        <w:t>Cisplatin</w:t>
      </w:r>
      <w:r w:rsidRPr="00CB0EF1">
        <w:rPr>
          <w:rFonts w:ascii="Times New Roman" w:hAnsi="Times New Roman" w:cs="Times New Roman"/>
          <w:sz w:val="24"/>
          <w:szCs w:val="24"/>
        </w:rPr>
        <w:t>: Inj. cisplatin 40 mg/m2 was given weekly to the patients on days 1, 8, 15, 22 and 29 with normal saline.</w:t>
      </w:r>
    </w:p>
    <w:p w14:paraId="12183A40" w14:textId="05D7F14E" w:rsidR="00D76E9E" w:rsidRPr="00CB0EF1" w:rsidRDefault="00D76E9E" w:rsidP="00D67C0F">
      <w:pPr>
        <w:pStyle w:val="ListParagraph"/>
        <w:numPr>
          <w:ilvl w:val="0"/>
          <w:numId w:val="9"/>
        </w:numPr>
        <w:spacing w:line="360" w:lineRule="auto"/>
        <w:jc w:val="both"/>
        <w:rPr>
          <w:rFonts w:ascii="Times New Roman" w:hAnsi="Times New Roman" w:cs="Times New Roman"/>
          <w:sz w:val="24"/>
          <w:szCs w:val="24"/>
        </w:rPr>
      </w:pPr>
      <w:r w:rsidRPr="00CB0EF1">
        <w:rPr>
          <w:rFonts w:ascii="Times New Roman" w:hAnsi="Times New Roman" w:cs="Times New Roman"/>
          <w:sz w:val="24"/>
          <w:szCs w:val="24"/>
        </w:rPr>
        <w:t xml:space="preserve">Usual pre-medication (Inj. Ondansetron, Inj. Dexamethasone and Inj. Omeprazole) </w:t>
      </w:r>
      <w:r w:rsidR="00CB0EF1" w:rsidRPr="00CB0EF1">
        <w:rPr>
          <w:rFonts w:ascii="Times New Roman" w:hAnsi="Times New Roman" w:cs="Times New Roman"/>
          <w:sz w:val="24"/>
          <w:szCs w:val="24"/>
        </w:rPr>
        <w:t>was</w:t>
      </w:r>
      <w:r w:rsidRPr="00CB0EF1">
        <w:rPr>
          <w:rFonts w:ascii="Times New Roman" w:hAnsi="Times New Roman" w:cs="Times New Roman"/>
          <w:sz w:val="24"/>
          <w:szCs w:val="24"/>
        </w:rPr>
        <w:t xml:space="preserve"> </w:t>
      </w:r>
      <w:r w:rsidR="00CB0EF1">
        <w:rPr>
          <w:rFonts w:ascii="Times New Roman" w:hAnsi="Times New Roman" w:cs="Times New Roman"/>
          <w:sz w:val="24"/>
          <w:szCs w:val="24"/>
        </w:rPr>
        <w:t>administered.</w:t>
      </w:r>
      <w:r w:rsidRPr="00CB0EF1">
        <w:rPr>
          <w:rFonts w:ascii="Times New Roman" w:hAnsi="Times New Roman" w:cs="Times New Roman"/>
          <w:sz w:val="24"/>
          <w:szCs w:val="24"/>
        </w:rPr>
        <w:t xml:space="preserve"> All the patients were asked to take plenty of fluid before and after cisplatin infusion.</w:t>
      </w:r>
    </w:p>
    <w:p w14:paraId="33DAF7C9" w14:textId="77777777" w:rsidR="00AB0025" w:rsidRDefault="00D76E9E" w:rsidP="00D67C0F">
      <w:pPr>
        <w:pStyle w:val="ListParagraph"/>
        <w:numPr>
          <w:ilvl w:val="0"/>
          <w:numId w:val="9"/>
        </w:numPr>
        <w:spacing w:line="360" w:lineRule="auto"/>
        <w:jc w:val="both"/>
        <w:rPr>
          <w:rFonts w:ascii="Times New Roman" w:hAnsi="Times New Roman" w:cs="Times New Roman"/>
          <w:bCs/>
          <w:sz w:val="24"/>
          <w:szCs w:val="24"/>
        </w:rPr>
      </w:pPr>
      <w:r w:rsidRPr="00CB0EF1">
        <w:rPr>
          <w:rFonts w:ascii="Times New Roman" w:hAnsi="Times New Roman" w:cs="Times New Roman"/>
          <w:bCs/>
          <w:sz w:val="24"/>
          <w:szCs w:val="24"/>
        </w:rPr>
        <w:t>Brachytherapy: This allows delivery of a very high dose to the central tumor volume to obtain maximal local control without exceeding the tolerance of the surrounding normal tissues. It is feasible because the normal uterus and the vaginal vault can tolerate high dose of radiation, and there is a rapid fall-off dose at a distance from the cervix, protecting the adjacent rectum, bladder and small bowel.</w:t>
      </w:r>
      <w:r w:rsidR="004758FD">
        <w:rPr>
          <w:rFonts w:ascii="Times New Roman" w:hAnsi="Times New Roman" w:cs="Times New Roman"/>
          <w:bCs/>
          <w:sz w:val="24"/>
          <w:szCs w:val="24"/>
        </w:rPr>
        <w:t xml:space="preserve"> </w:t>
      </w:r>
    </w:p>
    <w:p w14:paraId="1FBBD5BE" w14:textId="0A0568F5" w:rsidR="00D76E9E" w:rsidRPr="004758FD" w:rsidRDefault="00D76E9E" w:rsidP="00D67C0F">
      <w:pPr>
        <w:pStyle w:val="ListParagraph"/>
        <w:spacing w:line="360" w:lineRule="auto"/>
        <w:jc w:val="both"/>
        <w:rPr>
          <w:rFonts w:ascii="Times New Roman" w:hAnsi="Times New Roman" w:cs="Times New Roman"/>
          <w:bCs/>
          <w:sz w:val="24"/>
          <w:szCs w:val="24"/>
        </w:rPr>
      </w:pPr>
      <w:r w:rsidRPr="004758FD">
        <w:rPr>
          <w:rFonts w:ascii="Times New Roman" w:hAnsi="Times New Roman" w:cs="Times New Roman"/>
          <w:sz w:val="24"/>
          <w:szCs w:val="24"/>
        </w:rPr>
        <w:t xml:space="preserve">Preoperative bowel preparation was done the day before brachytherapy by low residue diet at night, bowel cleaning and nothing by mouth in the morning, catheterization was done. Then with all aseptic precautions, washing and draping were done. After that the </w:t>
      </w:r>
      <w:r w:rsidRPr="004758FD">
        <w:rPr>
          <w:rFonts w:ascii="Times New Roman" w:hAnsi="Times New Roman" w:cs="Times New Roman"/>
          <w:sz w:val="24"/>
          <w:szCs w:val="24"/>
        </w:rPr>
        <w:lastRenderedPageBreak/>
        <w:t xml:space="preserve">cervix was visualized by introducing speculum into the vaginal canal. At first the cervical </w:t>
      </w:r>
      <w:proofErr w:type="spellStart"/>
      <w:r w:rsidRPr="004758FD">
        <w:rPr>
          <w:rFonts w:ascii="Times New Roman" w:hAnsi="Times New Roman" w:cs="Times New Roman"/>
          <w:sz w:val="24"/>
          <w:szCs w:val="24"/>
        </w:rPr>
        <w:t>os</w:t>
      </w:r>
      <w:proofErr w:type="spellEnd"/>
      <w:r w:rsidRPr="004758FD">
        <w:rPr>
          <w:rFonts w:ascii="Times New Roman" w:hAnsi="Times New Roman" w:cs="Times New Roman"/>
          <w:sz w:val="24"/>
          <w:szCs w:val="24"/>
        </w:rPr>
        <w:t xml:space="preserve"> was dilated by using a dilator and </w:t>
      </w:r>
      <w:r w:rsidR="006142D7">
        <w:rPr>
          <w:rFonts w:ascii="Times New Roman" w:hAnsi="Times New Roman" w:cs="Times New Roman"/>
          <w:sz w:val="24"/>
          <w:szCs w:val="24"/>
        </w:rPr>
        <w:t xml:space="preserve">the </w:t>
      </w:r>
      <w:r w:rsidRPr="004758FD">
        <w:rPr>
          <w:rFonts w:ascii="Times New Roman" w:hAnsi="Times New Roman" w:cs="Times New Roman"/>
          <w:sz w:val="24"/>
          <w:szCs w:val="24"/>
        </w:rPr>
        <w:t>length of the cavity of the uterus was assessed for selection of appropriate tandem. Then the applicators were inserted gently followed by gauze packing. Anterior and posterior vaginal packs were given to push the urinary bladder anteriorly and rectal wall posteriorly. These packs also helped to keep the instrument in the proper position and to fix them there. Positions of instruments (tandem and ovoid) were checked with orthogonal films. The treatment was delivered after loading the Cobalt 60 HDR machine.</w:t>
      </w:r>
    </w:p>
    <w:p w14:paraId="2B39028E"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Tumor response was observed by RECIST criteria. It is described below:</w:t>
      </w:r>
    </w:p>
    <w:p w14:paraId="4523C0E6"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b/>
          <w:sz w:val="24"/>
          <w:szCs w:val="24"/>
        </w:rPr>
        <w:t>RECIST (Response Evaluation Criteria in Solid Tumors)</w:t>
      </w:r>
      <w:r w:rsidRPr="00F82975">
        <w:rPr>
          <w:rFonts w:ascii="Times New Roman" w:hAnsi="Times New Roman" w:cs="Times New Roman"/>
          <w:sz w:val="24"/>
          <w:szCs w:val="24"/>
        </w:rPr>
        <w:t>: The lesions are measured in one dimension – The longest diameter (LD).</w:t>
      </w:r>
    </w:p>
    <w:p w14:paraId="07AC240E"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Complete Response (CR): Eradication of all known disease based on two assessments, at least 4 weeks apart. Lymph nodes &lt; 10mm.</w:t>
      </w:r>
    </w:p>
    <w:p w14:paraId="71EFE129"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Partial Response (PR): Reduction of at least 30% in the sum of the LDs of target lesions maintained for at least 4 weeks.</w:t>
      </w:r>
    </w:p>
    <w:p w14:paraId="1A9DC4F4"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Progressive Disease (PD): Increase if 20% or more in the sum of LDs of the target lesions with absolute increase ≥ 5mm or development of new lesion.</w:t>
      </w:r>
    </w:p>
    <w:p w14:paraId="31997D36" w14:textId="00E1A2D2" w:rsidR="00F82975" w:rsidRPr="00F82975" w:rsidRDefault="00F82975" w:rsidP="00D67C0F">
      <w:pPr>
        <w:spacing w:line="360" w:lineRule="auto"/>
        <w:jc w:val="both"/>
        <w:rPr>
          <w:rFonts w:ascii="Times New Roman" w:hAnsi="Times New Roman" w:cs="Times New Roman"/>
          <w:sz w:val="24"/>
          <w:szCs w:val="24"/>
          <w:vertAlign w:val="superscript"/>
        </w:rPr>
      </w:pPr>
      <w:r w:rsidRPr="00F82975">
        <w:rPr>
          <w:rFonts w:ascii="Times New Roman" w:hAnsi="Times New Roman" w:cs="Times New Roman"/>
          <w:bCs/>
          <w:sz w:val="24"/>
          <w:szCs w:val="24"/>
        </w:rPr>
        <w:t>Stable Disease (SD):</w:t>
      </w:r>
      <w:r w:rsidRPr="00F82975">
        <w:rPr>
          <w:rFonts w:ascii="Times New Roman" w:hAnsi="Times New Roman" w:cs="Times New Roman"/>
          <w:b/>
          <w:sz w:val="24"/>
          <w:szCs w:val="24"/>
        </w:rPr>
        <w:t xml:space="preserve"> </w:t>
      </w:r>
      <w:r w:rsidRPr="00F82975">
        <w:rPr>
          <w:rFonts w:ascii="Times New Roman" w:hAnsi="Times New Roman" w:cs="Times New Roman"/>
          <w:sz w:val="24"/>
          <w:szCs w:val="24"/>
        </w:rPr>
        <w:t xml:space="preserve">When measurable tumor does not meet the criteria for PR or PD. </w:t>
      </w:r>
      <w:r w:rsidRPr="00F82975">
        <w:rPr>
          <w:rFonts w:ascii="Times New Roman" w:hAnsi="Times New Roman" w:cs="Times New Roman"/>
          <w:sz w:val="24"/>
          <w:szCs w:val="24"/>
          <w:vertAlign w:val="superscript"/>
        </w:rPr>
        <w:t>[1</w:t>
      </w:r>
      <w:r w:rsidR="00D6722D">
        <w:rPr>
          <w:rFonts w:ascii="Times New Roman" w:hAnsi="Times New Roman" w:cs="Times New Roman"/>
          <w:sz w:val="24"/>
          <w:szCs w:val="24"/>
          <w:vertAlign w:val="superscript"/>
        </w:rPr>
        <w:t>7</w:t>
      </w:r>
      <w:r w:rsidRPr="00F82975">
        <w:rPr>
          <w:rFonts w:ascii="Times New Roman" w:hAnsi="Times New Roman" w:cs="Times New Roman"/>
          <w:sz w:val="24"/>
          <w:szCs w:val="24"/>
          <w:vertAlign w:val="superscript"/>
        </w:rPr>
        <w:t>]</w:t>
      </w:r>
    </w:p>
    <w:p w14:paraId="68655FC6" w14:textId="77777777" w:rsidR="00F82975" w:rsidRPr="00F82975" w:rsidRDefault="00F82975" w:rsidP="00D67C0F">
      <w:pPr>
        <w:spacing w:line="360" w:lineRule="auto"/>
        <w:jc w:val="both"/>
        <w:rPr>
          <w:rFonts w:ascii="Times New Roman" w:hAnsi="Times New Roman" w:cs="Times New Roman"/>
          <w:b/>
          <w:bCs/>
          <w:sz w:val="24"/>
          <w:szCs w:val="24"/>
        </w:rPr>
      </w:pPr>
      <w:r w:rsidRPr="00F82975">
        <w:rPr>
          <w:rFonts w:ascii="Times New Roman" w:hAnsi="Times New Roman" w:cs="Times New Roman"/>
          <w:b/>
          <w:bCs/>
          <w:sz w:val="24"/>
          <w:szCs w:val="24"/>
        </w:rPr>
        <w:t>Investigations that were performed</w:t>
      </w:r>
    </w:p>
    <w:p w14:paraId="141822FF"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Routine Laboratory Studies:</w:t>
      </w:r>
    </w:p>
    <w:p w14:paraId="7D0351F9"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Complete blood picture</w:t>
      </w:r>
    </w:p>
    <w:p w14:paraId="036CA649"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Liver function test</w:t>
      </w:r>
    </w:p>
    <w:p w14:paraId="7A33F67D"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Renal function test</w:t>
      </w:r>
    </w:p>
    <w:p w14:paraId="36840D8D" w14:textId="77777777" w:rsidR="00F82975" w:rsidRPr="00F82975" w:rsidRDefault="00F82975" w:rsidP="00D67C0F">
      <w:pPr>
        <w:numPr>
          <w:ilvl w:val="0"/>
          <w:numId w:val="8"/>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Routine microscopic examination of urine</w:t>
      </w:r>
    </w:p>
    <w:p w14:paraId="0308A2AF" w14:textId="77777777" w:rsidR="00F82975" w:rsidRPr="00F82975" w:rsidRDefault="00F82975" w:rsidP="00D67C0F">
      <w:pPr>
        <w:spacing w:line="360" w:lineRule="auto"/>
        <w:jc w:val="both"/>
        <w:rPr>
          <w:rFonts w:ascii="Times New Roman" w:hAnsi="Times New Roman" w:cs="Times New Roman"/>
          <w:bCs/>
          <w:sz w:val="24"/>
          <w:szCs w:val="24"/>
        </w:rPr>
      </w:pPr>
      <w:r w:rsidRPr="00F82975">
        <w:rPr>
          <w:rFonts w:ascii="Times New Roman" w:hAnsi="Times New Roman" w:cs="Times New Roman"/>
          <w:bCs/>
          <w:sz w:val="24"/>
          <w:szCs w:val="24"/>
        </w:rPr>
        <w:t>Radiological Studies:</w:t>
      </w:r>
    </w:p>
    <w:p w14:paraId="7D55B97C"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Plain radiograph of chest posterior-anterior view</w:t>
      </w:r>
    </w:p>
    <w:p w14:paraId="5CB9C6CE"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USG of whole abdomen</w:t>
      </w:r>
    </w:p>
    <w:p w14:paraId="5E0CA7DF"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lastRenderedPageBreak/>
        <w:t xml:space="preserve">Intravenous </w:t>
      </w:r>
      <w:proofErr w:type="spellStart"/>
      <w:r w:rsidRPr="00F82975">
        <w:rPr>
          <w:rFonts w:ascii="Times New Roman" w:hAnsi="Times New Roman" w:cs="Times New Roman"/>
          <w:sz w:val="24"/>
          <w:szCs w:val="24"/>
        </w:rPr>
        <w:t>uro</w:t>
      </w:r>
      <w:proofErr w:type="spellEnd"/>
      <w:r w:rsidRPr="00F82975">
        <w:rPr>
          <w:rFonts w:ascii="Times New Roman" w:hAnsi="Times New Roman" w:cs="Times New Roman"/>
          <w:sz w:val="24"/>
          <w:szCs w:val="24"/>
        </w:rPr>
        <w:t>-gram</w:t>
      </w:r>
    </w:p>
    <w:p w14:paraId="26910A74"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MRI of pelvis with contrast</w:t>
      </w:r>
    </w:p>
    <w:p w14:paraId="254AC1F5" w14:textId="77777777" w:rsidR="00F82975" w:rsidRPr="00F82975" w:rsidRDefault="00F82975" w:rsidP="00D67C0F">
      <w:pPr>
        <w:numPr>
          <w:ilvl w:val="0"/>
          <w:numId w:val="7"/>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Contrast enhanced CT-scan of whole abdomen</w:t>
      </w:r>
    </w:p>
    <w:p w14:paraId="3FFFA839" w14:textId="77777777" w:rsidR="00F82975" w:rsidRPr="00F82975" w:rsidRDefault="00F82975" w:rsidP="00D67C0F">
      <w:p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Other tests:</w:t>
      </w:r>
    </w:p>
    <w:p w14:paraId="4DE572D7" w14:textId="77777777" w:rsidR="00F82975" w:rsidRPr="00F82975" w:rsidRDefault="00F82975" w:rsidP="00D67C0F">
      <w:pPr>
        <w:numPr>
          <w:ilvl w:val="0"/>
          <w:numId w:val="6"/>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ECG</w:t>
      </w:r>
    </w:p>
    <w:p w14:paraId="34E40B71" w14:textId="1BD3631D" w:rsidR="00F82975" w:rsidRDefault="00F82975" w:rsidP="00D67C0F">
      <w:pPr>
        <w:numPr>
          <w:ilvl w:val="0"/>
          <w:numId w:val="6"/>
        </w:numPr>
        <w:spacing w:line="360" w:lineRule="auto"/>
        <w:jc w:val="both"/>
        <w:rPr>
          <w:rFonts w:ascii="Times New Roman" w:hAnsi="Times New Roman" w:cs="Times New Roman"/>
          <w:sz w:val="24"/>
          <w:szCs w:val="24"/>
        </w:rPr>
      </w:pPr>
      <w:r w:rsidRPr="00F82975">
        <w:rPr>
          <w:rFonts w:ascii="Times New Roman" w:hAnsi="Times New Roman" w:cs="Times New Roman"/>
          <w:sz w:val="24"/>
          <w:szCs w:val="24"/>
        </w:rPr>
        <w:t>Echocardiography</w:t>
      </w:r>
    </w:p>
    <w:p w14:paraId="178E0F4D" w14:textId="5E48EAE5" w:rsidR="00AB0025" w:rsidRPr="00F82975" w:rsidRDefault="00AB0025" w:rsidP="00D67C0F">
      <w:pPr>
        <w:spacing w:line="360" w:lineRule="auto"/>
        <w:jc w:val="both"/>
        <w:rPr>
          <w:rFonts w:ascii="Times New Roman" w:hAnsi="Times New Roman" w:cs="Times New Roman"/>
          <w:b/>
          <w:bCs/>
          <w:sz w:val="24"/>
          <w:szCs w:val="24"/>
        </w:rPr>
      </w:pPr>
      <w:r w:rsidRPr="00AB0025">
        <w:rPr>
          <w:rFonts w:ascii="Times New Roman" w:hAnsi="Times New Roman" w:cs="Times New Roman"/>
          <w:b/>
          <w:bCs/>
          <w:sz w:val="24"/>
          <w:szCs w:val="24"/>
        </w:rPr>
        <w:t>Statistical analysis</w:t>
      </w:r>
    </w:p>
    <w:p w14:paraId="0E68776C" w14:textId="474292B1" w:rsidR="004077F1" w:rsidRDefault="00A306A8" w:rsidP="00D67C0F">
      <w:pPr>
        <w:spacing w:line="360" w:lineRule="auto"/>
        <w:jc w:val="both"/>
        <w:rPr>
          <w:rFonts w:ascii="Times New Roman" w:hAnsi="Times New Roman" w:cs="Times New Roman"/>
          <w:sz w:val="24"/>
          <w:szCs w:val="24"/>
        </w:rPr>
      </w:pPr>
      <w:r w:rsidRPr="00A306A8">
        <w:rPr>
          <w:rFonts w:ascii="Times New Roman" w:hAnsi="Times New Roman" w:cs="Times New Roman"/>
          <w:sz w:val="24"/>
          <w:szCs w:val="24"/>
        </w:rPr>
        <w:t xml:space="preserve">After collection of all the required data, these were checked, verified for consistency and tabulated using the IBM SPSS Statistics </w:t>
      </w:r>
      <w:r>
        <w:rPr>
          <w:rFonts w:ascii="Times New Roman" w:hAnsi="Times New Roman" w:cs="Times New Roman"/>
          <w:sz w:val="24"/>
          <w:szCs w:val="24"/>
        </w:rPr>
        <w:t xml:space="preserve">Version </w:t>
      </w:r>
      <w:r w:rsidRPr="00A306A8">
        <w:rPr>
          <w:rFonts w:ascii="Times New Roman" w:hAnsi="Times New Roman" w:cs="Times New Roman"/>
          <w:sz w:val="24"/>
          <w:szCs w:val="24"/>
        </w:rPr>
        <w:t>27.0.1</w:t>
      </w:r>
      <w:r>
        <w:rPr>
          <w:rFonts w:ascii="Times New Roman" w:hAnsi="Times New Roman" w:cs="Times New Roman"/>
          <w:sz w:val="24"/>
          <w:szCs w:val="24"/>
        </w:rPr>
        <w:t xml:space="preserve">. </w:t>
      </w:r>
      <w:r w:rsidR="00C96437" w:rsidRPr="00C96437">
        <w:rPr>
          <w:rFonts w:ascii="Times New Roman" w:hAnsi="Times New Roman" w:cs="Times New Roman"/>
          <w:sz w:val="24"/>
          <w:szCs w:val="24"/>
        </w:rPr>
        <w:t>Frequencies and percentages were calculated as summary measures for the qualitative 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Arithmetic mean and standard deviation were used to describe the quantitative 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Chi-square test and Fisher’s exact test w</w:t>
      </w:r>
      <w:r w:rsidR="00A0375B">
        <w:rPr>
          <w:rFonts w:ascii="Times New Roman" w:hAnsi="Times New Roman" w:cs="Times New Roman"/>
          <w:sz w:val="24"/>
          <w:szCs w:val="24"/>
        </w:rPr>
        <w:t>ere</w:t>
      </w:r>
      <w:r w:rsidR="00C96437" w:rsidRPr="00C96437">
        <w:rPr>
          <w:rFonts w:ascii="Times New Roman" w:hAnsi="Times New Roman" w:cs="Times New Roman"/>
          <w:sz w:val="24"/>
          <w:szCs w:val="24"/>
        </w:rPr>
        <w:t xml:space="preserve"> used to compare categorical</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variables.</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 ‘p’ value&lt;0.05</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was considered as statistically significant.</w:t>
      </w:r>
      <w:r w:rsidR="00C96437">
        <w:rPr>
          <w:rFonts w:ascii="Times New Roman" w:hAnsi="Times New Roman" w:cs="Times New Roman"/>
          <w:sz w:val="24"/>
          <w:szCs w:val="24"/>
        </w:rPr>
        <w:t xml:space="preserve"> </w:t>
      </w:r>
      <w:r w:rsidR="00C96437" w:rsidRPr="00C96437">
        <w:rPr>
          <w:rFonts w:ascii="Times New Roman" w:hAnsi="Times New Roman" w:cs="Times New Roman"/>
          <w:sz w:val="24"/>
          <w:szCs w:val="24"/>
        </w:rPr>
        <w:t>After completion</w:t>
      </w:r>
      <w:r w:rsidR="00C96437">
        <w:rPr>
          <w:rFonts w:ascii="Times New Roman" w:hAnsi="Times New Roman" w:cs="Times New Roman"/>
          <w:sz w:val="24"/>
          <w:szCs w:val="24"/>
        </w:rPr>
        <w:t xml:space="preserve"> of analysis</w:t>
      </w:r>
      <w:r w:rsidR="00C96437" w:rsidRPr="00C96437">
        <w:rPr>
          <w:rFonts w:ascii="Times New Roman" w:hAnsi="Times New Roman" w:cs="Times New Roman"/>
          <w:sz w:val="24"/>
          <w:szCs w:val="24"/>
        </w:rPr>
        <w:t xml:space="preserve">, the </w:t>
      </w:r>
      <w:r w:rsidR="00C96437">
        <w:rPr>
          <w:rFonts w:ascii="Times New Roman" w:hAnsi="Times New Roman" w:cs="Times New Roman"/>
          <w:sz w:val="24"/>
          <w:szCs w:val="24"/>
        </w:rPr>
        <w:t xml:space="preserve">findings </w:t>
      </w:r>
      <w:r w:rsidR="00C96437" w:rsidRPr="00C96437">
        <w:rPr>
          <w:rFonts w:ascii="Times New Roman" w:hAnsi="Times New Roman" w:cs="Times New Roman"/>
          <w:sz w:val="24"/>
          <w:szCs w:val="24"/>
        </w:rPr>
        <w:t xml:space="preserve">were presented in the form of tables &amp; figures as </w:t>
      </w:r>
      <w:r w:rsidR="00C96437">
        <w:rPr>
          <w:rFonts w:ascii="Times New Roman" w:hAnsi="Times New Roman" w:cs="Times New Roman"/>
          <w:sz w:val="24"/>
          <w:szCs w:val="24"/>
        </w:rPr>
        <w:t xml:space="preserve">relevant. </w:t>
      </w:r>
    </w:p>
    <w:p w14:paraId="33A8DA50" w14:textId="724309F0" w:rsidR="002C335C" w:rsidRDefault="002C335C"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7D0EEAAC" w14:textId="10E7B2C6" w:rsidR="002A20C6" w:rsidRDefault="000B758C"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 Distribution of the participants according to their socio-demographic characteristics and presence of risk factors of cervical cancer (n=66).</w:t>
      </w:r>
    </w:p>
    <w:tbl>
      <w:tblPr>
        <w:tblStyle w:val="TableGrid"/>
        <w:tblW w:w="0" w:type="auto"/>
        <w:tblLook w:val="04A0" w:firstRow="1" w:lastRow="0" w:firstColumn="1" w:lastColumn="0" w:noHBand="0" w:noVBand="1"/>
      </w:tblPr>
      <w:tblGrid>
        <w:gridCol w:w="2254"/>
        <w:gridCol w:w="2254"/>
        <w:gridCol w:w="2254"/>
        <w:gridCol w:w="2254"/>
      </w:tblGrid>
      <w:tr w:rsidR="003C0698" w14:paraId="7FD0A035" w14:textId="77777777" w:rsidTr="003C0698">
        <w:tc>
          <w:tcPr>
            <w:tcW w:w="2254" w:type="dxa"/>
          </w:tcPr>
          <w:p w14:paraId="5D0FDB51" w14:textId="2DD29901"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Characteristics</w:t>
            </w:r>
          </w:p>
        </w:tc>
        <w:tc>
          <w:tcPr>
            <w:tcW w:w="2254" w:type="dxa"/>
          </w:tcPr>
          <w:p w14:paraId="445D890B" w14:textId="4D789421"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Arm A (n=33)</w:t>
            </w:r>
          </w:p>
        </w:tc>
        <w:tc>
          <w:tcPr>
            <w:tcW w:w="2254" w:type="dxa"/>
          </w:tcPr>
          <w:p w14:paraId="535F43EF" w14:textId="055F998A"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Arm B (n=33)</w:t>
            </w:r>
          </w:p>
        </w:tc>
        <w:tc>
          <w:tcPr>
            <w:tcW w:w="2254" w:type="dxa"/>
          </w:tcPr>
          <w:p w14:paraId="08BE18F8" w14:textId="646FBDD6" w:rsidR="003C0698" w:rsidRPr="003C0698" w:rsidRDefault="003C0698" w:rsidP="00D67C0F">
            <w:pPr>
              <w:spacing w:line="360" w:lineRule="auto"/>
              <w:jc w:val="both"/>
              <w:rPr>
                <w:rFonts w:ascii="Times New Roman" w:hAnsi="Times New Roman" w:cs="Times New Roman"/>
                <w:b/>
                <w:bCs/>
                <w:sz w:val="24"/>
                <w:szCs w:val="24"/>
              </w:rPr>
            </w:pPr>
            <w:r w:rsidRPr="003C0698">
              <w:rPr>
                <w:rFonts w:ascii="Times New Roman" w:hAnsi="Times New Roman" w:cs="Times New Roman"/>
                <w:b/>
                <w:bCs/>
                <w:sz w:val="24"/>
                <w:szCs w:val="24"/>
              </w:rPr>
              <w:t>p-value</w:t>
            </w:r>
          </w:p>
        </w:tc>
      </w:tr>
      <w:tr w:rsidR="003C0698" w14:paraId="44FA8E19" w14:textId="77777777" w:rsidTr="003C0698">
        <w:tc>
          <w:tcPr>
            <w:tcW w:w="2254" w:type="dxa"/>
          </w:tcPr>
          <w:p w14:paraId="019F015A" w14:textId="31C7B042" w:rsidR="003C0698" w:rsidRPr="00C117BA" w:rsidRDefault="003973B5"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Mean (± SD) age (in years)</w:t>
            </w:r>
          </w:p>
        </w:tc>
        <w:tc>
          <w:tcPr>
            <w:tcW w:w="2254" w:type="dxa"/>
          </w:tcPr>
          <w:p w14:paraId="4C0382FB" w14:textId="14F45B28" w:rsidR="003C0698" w:rsidRPr="005532CB" w:rsidRDefault="003973B5" w:rsidP="00D67C0F">
            <w:pPr>
              <w:spacing w:line="360" w:lineRule="auto"/>
              <w:jc w:val="both"/>
              <w:rPr>
                <w:rFonts w:ascii="Times New Roman" w:hAnsi="Times New Roman" w:cs="Times New Roman"/>
                <w:sz w:val="24"/>
                <w:szCs w:val="24"/>
              </w:rPr>
            </w:pPr>
            <w:r w:rsidRPr="005532CB">
              <w:rPr>
                <w:rFonts w:ascii="Times New Roman" w:hAnsi="Times New Roman" w:cs="Times New Roman"/>
                <w:sz w:val="24"/>
                <w:szCs w:val="24"/>
              </w:rPr>
              <w:t>45.4 ± 8.8</w:t>
            </w:r>
          </w:p>
        </w:tc>
        <w:tc>
          <w:tcPr>
            <w:tcW w:w="2254" w:type="dxa"/>
          </w:tcPr>
          <w:p w14:paraId="3DC4B43F" w14:textId="0EBA8D92" w:rsidR="003C0698" w:rsidRPr="005532CB" w:rsidRDefault="003973B5" w:rsidP="00D67C0F">
            <w:pPr>
              <w:spacing w:line="360" w:lineRule="auto"/>
              <w:jc w:val="both"/>
              <w:rPr>
                <w:rFonts w:ascii="Times New Roman" w:hAnsi="Times New Roman" w:cs="Times New Roman"/>
                <w:sz w:val="24"/>
                <w:szCs w:val="24"/>
              </w:rPr>
            </w:pPr>
            <w:r w:rsidRPr="005532CB">
              <w:rPr>
                <w:rFonts w:ascii="Times New Roman" w:hAnsi="Times New Roman" w:cs="Times New Roman"/>
                <w:sz w:val="24"/>
                <w:szCs w:val="24"/>
              </w:rPr>
              <w:t>45.1</w:t>
            </w:r>
            <w:r w:rsidR="005532CB">
              <w:rPr>
                <w:rFonts w:ascii="Times New Roman" w:hAnsi="Times New Roman" w:cs="Times New Roman"/>
                <w:sz w:val="24"/>
                <w:szCs w:val="24"/>
              </w:rPr>
              <w:t xml:space="preserve"> </w:t>
            </w:r>
            <w:r w:rsidRPr="005532CB">
              <w:rPr>
                <w:rFonts w:ascii="Times New Roman" w:hAnsi="Times New Roman" w:cs="Times New Roman"/>
                <w:sz w:val="24"/>
                <w:szCs w:val="24"/>
              </w:rPr>
              <w:t>±</w:t>
            </w:r>
            <w:r w:rsidR="005532CB">
              <w:rPr>
                <w:rFonts w:ascii="Times New Roman" w:hAnsi="Times New Roman" w:cs="Times New Roman"/>
                <w:sz w:val="24"/>
                <w:szCs w:val="24"/>
              </w:rPr>
              <w:t xml:space="preserve"> </w:t>
            </w:r>
            <w:r w:rsidRPr="005532CB">
              <w:rPr>
                <w:rFonts w:ascii="Times New Roman" w:hAnsi="Times New Roman" w:cs="Times New Roman"/>
                <w:sz w:val="24"/>
                <w:szCs w:val="24"/>
              </w:rPr>
              <w:t xml:space="preserve">8.8 </w:t>
            </w:r>
          </w:p>
        </w:tc>
        <w:tc>
          <w:tcPr>
            <w:tcW w:w="2254" w:type="dxa"/>
          </w:tcPr>
          <w:p w14:paraId="021DBF3C" w14:textId="77777777" w:rsidR="00606532" w:rsidRDefault="00606532" w:rsidP="00D67C0F">
            <w:pPr>
              <w:spacing w:line="360" w:lineRule="auto"/>
              <w:jc w:val="both"/>
              <w:rPr>
                <w:rFonts w:ascii="Times New Roman" w:hAnsi="Times New Roman" w:cs="Times New Roman"/>
                <w:sz w:val="24"/>
                <w:szCs w:val="24"/>
              </w:rPr>
            </w:pPr>
          </w:p>
          <w:p w14:paraId="3E43AAC1" w14:textId="4A7B955C" w:rsidR="003C0698" w:rsidRPr="00DC6F6A" w:rsidRDefault="003973B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0.945</w:t>
            </w:r>
            <w:r w:rsidR="00DC6F6A">
              <w:rPr>
                <w:rFonts w:ascii="Times New Roman" w:hAnsi="Times New Roman" w:cs="Times New Roman"/>
                <w:sz w:val="24"/>
                <w:szCs w:val="24"/>
                <w:vertAlign w:val="superscript"/>
              </w:rPr>
              <w:t>^</w:t>
            </w:r>
          </w:p>
        </w:tc>
      </w:tr>
      <w:tr w:rsidR="005E6745" w14:paraId="41C2300A" w14:textId="77777777" w:rsidTr="003A4785">
        <w:tc>
          <w:tcPr>
            <w:tcW w:w="9016" w:type="dxa"/>
            <w:gridSpan w:val="4"/>
          </w:tcPr>
          <w:p w14:paraId="3595754F" w14:textId="7EC6A35E" w:rsidR="005E6745" w:rsidRPr="00C117BA" w:rsidRDefault="005E6745"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Educational status (n/%)</w:t>
            </w:r>
          </w:p>
        </w:tc>
      </w:tr>
      <w:tr w:rsidR="005E6745" w14:paraId="6853EFA2" w14:textId="77777777" w:rsidTr="003C0698">
        <w:tc>
          <w:tcPr>
            <w:tcW w:w="2254" w:type="dxa"/>
          </w:tcPr>
          <w:p w14:paraId="51B9CF64" w14:textId="58CE52E5"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Illiterate</w:t>
            </w:r>
          </w:p>
        </w:tc>
        <w:tc>
          <w:tcPr>
            <w:tcW w:w="2254" w:type="dxa"/>
          </w:tcPr>
          <w:p w14:paraId="60560E69" w14:textId="5876D9E2"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(51.5)</w:t>
            </w:r>
          </w:p>
        </w:tc>
        <w:tc>
          <w:tcPr>
            <w:tcW w:w="2254" w:type="dxa"/>
          </w:tcPr>
          <w:p w14:paraId="6073BF3D" w14:textId="0717B15C"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16 (48.5)</w:t>
            </w:r>
          </w:p>
        </w:tc>
        <w:tc>
          <w:tcPr>
            <w:tcW w:w="2254" w:type="dxa"/>
            <w:vMerge w:val="restart"/>
          </w:tcPr>
          <w:p w14:paraId="256A3B12" w14:textId="77777777" w:rsidR="00606532" w:rsidRDefault="00606532" w:rsidP="00D67C0F">
            <w:pPr>
              <w:spacing w:line="360" w:lineRule="auto"/>
              <w:jc w:val="both"/>
              <w:rPr>
                <w:rFonts w:ascii="Times New Roman" w:hAnsi="Times New Roman" w:cs="Times New Roman"/>
                <w:sz w:val="24"/>
                <w:szCs w:val="24"/>
              </w:rPr>
            </w:pPr>
          </w:p>
          <w:p w14:paraId="0FFC7B5F" w14:textId="77777777" w:rsidR="00606532" w:rsidRDefault="00606532" w:rsidP="00D67C0F">
            <w:pPr>
              <w:spacing w:line="360" w:lineRule="auto"/>
              <w:jc w:val="both"/>
              <w:rPr>
                <w:rFonts w:ascii="Times New Roman" w:hAnsi="Times New Roman" w:cs="Times New Roman"/>
                <w:sz w:val="24"/>
                <w:szCs w:val="24"/>
              </w:rPr>
            </w:pPr>
          </w:p>
          <w:p w14:paraId="537C72FB" w14:textId="7768F142" w:rsidR="005E6745" w:rsidRPr="00DC6F6A" w:rsidRDefault="005E674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0.932</w:t>
            </w:r>
            <w:r>
              <w:rPr>
                <w:rFonts w:ascii="Times New Roman" w:hAnsi="Times New Roman" w:cs="Times New Roman"/>
                <w:sz w:val="24"/>
                <w:szCs w:val="24"/>
                <w:vertAlign w:val="superscript"/>
              </w:rPr>
              <w:t>+</w:t>
            </w:r>
          </w:p>
        </w:tc>
      </w:tr>
      <w:tr w:rsidR="005E6745" w14:paraId="2A3CA651" w14:textId="77777777" w:rsidTr="003C0698">
        <w:tc>
          <w:tcPr>
            <w:tcW w:w="2254" w:type="dxa"/>
          </w:tcPr>
          <w:p w14:paraId="771CFBA1" w14:textId="475A8434"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Primary schooling</w:t>
            </w:r>
          </w:p>
        </w:tc>
        <w:tc>
          <w:tcPr>
            <w:tcW w:w="2254" w:type="dxa"/>
          </w:tcPr>
          <w:p w14:paraId="2DEE5144" w14:textId="0FF568E9"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11 (33.3)</w:t>
            </w:r>
          </w:p>
        </w:tc>
        <w:tc>
          <w:tcPr>
            <w:tcW w:w="2254" w:type="dxa"/>
          </w:tcPr>
          <w:p w14:paraId="2AB06842" w14:textId="0362ECDD"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14 (42.2)</w:t>
            </w:r>
          </w:p>
        </w:tc>
        <w:tc>
          <w:tcPr>
            <w:tcW w:w="2254" w:type="dxa"/>
            <w:vMerge/>
          </w:tcPr>
          <w:p w14:paraId="4C9C7B8D" w14:textId="77777777" w:rsidR="005E6745" w:rsidRDefault="005E6745" w:rsidP="00D67C0F">
            <w:pPr>
              <w:spacing w:line="360" w:lineRule="auto"/>
              <w:jc w:val="both"/>
              <w:rPr>
                <w:rFonts w:ascii="Times New Roman" w:hAnsi="Times New Roman" w:cs="Times New Roman"/>
                <w:sz w:val="24"/>
                <w:szCs w:val="24"/>
              </w:rPr>
            </w:pPr>
          </w:p>
        </w:tc>
      </w:tr>
      <w:tr w:rsidR="005E6745" w14:paraId="75995E41" w14:textId="77777777" w:rsidTr="003C0698">
        <w:tc>
          <w:tcPr>
            <w:tcW w:w="2254" w:type="dxa"/>
          </w:tcPr>
          <w:p w14:paraId="73C53FF3" w14:textId="77756C88"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Secondary schooling</w:t>
            </w:r>
          </w:p>
        </w:tc>
        <w:tc>
          <w:tcPr>
            <w:tcW w:w="2254" w:type="dxa"/>
          </w:tcPr>
          <w:p w14:paraId="713334E7" w14:textId="6EE90326"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548163D9" w14:textId="4C645A7A"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02E06543" w14:textId="77777777" w:rsidR="005E6745" w:rsidRDefault="005E6745" w:rsidP="00D67C0F">
            <w:pPr>
              <w:spacing w:line="360" w:lineRule="auto"/>
              <w:jc w:val="both"/>
              <w:rPr>
                <w:rFonts w:ascii="Times New Roman" w:hAnsi="Times New Roman" w:cs="Times New Roman"/>
                <w:sz w:val="24"/>
                <w:szCs w:val="24"/>
              </w:rPr>
            </w:pPr>
          </w:p>
        </w:tc>
      </w:tr>
      <w:tr w:rsidR="005E6745" w14:paraId="41138B6C" w14:textId="77777777" w:rsidTr="003C0698">
        <w:tc>
          <w:tcPr>
            <w:tcW w:w="2254" w:type="dxa"/>
          </w:tcPr>
          <w:p w14:paraId="17C1D62F" w14:textId="64634D51"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Graduate</w:t>
            </w:r>
          </w:p>
        </w:tc>
        <w:tc>
          <w:tcPr>
            <w:tcW w:w="2254" w:type="dxa"/>
          </w:tcPr>
          <w:p w14:paraId="02428924" w14:textId="7652DAA0"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tcPr>
          <w:p w14:paraId="4D93E92B" w14:textId="639A32B2" w:rsidR="005E6745" w:rsidRDefault="005E674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vMerge/>
          </w:tcPr>
          <w:p w14:paraId="3E64EE37" w14:textId="77777777" w:rsidR="005E6745" w:rsidRDefault="005E6745" w:rsidP="00D67C0F">
            <w:pPr>
              <w:spacing w:line="360" w:lineRule="auto"/>
              <w:jc w:val="both"/>
              <w:rPr>
                <w:rFonts w:ascii="Times New Roman" w:hAnsi="Times New Roman" w:cs="Times New Roman"/>
                <w:sz w:val="24"/>
                <w:szCs w:val="24"/>
              </w:rPr>
            </w:pPr>
          </w:p>
        </w:tc>
      </w:tr>
      <w:tr w:rsidR="00606532" w14:paraId="22901B6A" w14:textId="77777777" w:rsidTr="00320DAC">
        <w:tc>
          <w:tcPr>
            <w:tcW w:w="9016" w:type="dxa"/>
            <w:gridSpan w:val="4"/>
          </w:tcPr>
          <w:p w14:paraId="1E7FA956" w14:textId="77247EFD"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 xml:space="preserve">Risk factors </w:t>
            </w:r>
            <w:r w:rsidR="00C117BA" w:rsidRPr="00C117BA">
              <w:rPr>
                <w:rFonts w:ascii="Times New Roman" w:hAnsi="Times New Roman" w:cs="Times New Roman"/>
                <w:b/>
                <w:bCs/>
                <w:sz w:val="24"/>
                <w:szCs w:val="24"/>
              </w:rPr>
              <w:t xml:space="preserve">of cervical cancer </w:t>
            </w:r>
            <w:r w:rsidRPr="00C117BA">
              <w:rPr>
                <w:rFonts w:ascii="Times New Roman" w:hAnsi="Times New Roman" w:cs="Times New Roman"/>
                <w:b/>
                <w:bCs/>
                <w:sz w:val="24"/>
                <w:szCs w:val="24"/>
              </w:rPr>
              <w:t>(n/%)</w:t>
            </w:r>
          </w:p>
        </w:tc>
      </w:tr>
      <w:tr w:rsidR="00606532" w14:paraId="7D5C56DF" w14:textId="77777777" w:rsidTr="00E56C52">
        <w:tc>
          <w:tcPr>
            <w:tcW w:w="9016" w:type="dxa"/>
            <w:gridSpan w:val="4"/>
          </w:tcPr>
          <w:p w14:paraId="04A65D77" w14:textId="533DCC7B"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menarche (in years)</w:t>
            </w:r>
          </w:p>
        </w:tc>
      </w:tr>
      <w:tr w:rsidR="00606532" w14:paraId="71AAD46B" w14:textId="77777777" w:rsidTr="003C0698">
        <w:tc>
          <w:tcPr>
            <w:tcW w:w="2254" w:type="dxa"/>
          </w:tcPr>
          <w:p w14:paraId="558C70BA" w14:textId="0DA425C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&lt;13</w:t>
            </w:r>
          </w:p>
        </w:tc>
        <w:tc>
          <w:tcPr>
            <w:tcW w:w="2254" w:type="dxa"/>
          </w:tcPr>
          <w:p w14:paraId="07CD81B1" w14:textId="672D3A0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(15.2)</w:t>
            </w:r>
          </w:p>
        </w:tc>
        <w:tc>
          <w:tcPr>
            <w:tcW w:w="2254" w:type="dxa"/>
          </w:tcPr>
          <w:p w14:paraId="71F508E9" w14:textId="55E1A8F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6 (18.2)</w:t>
            </w:r>
          </w:p>
        </w:tc>
        <w:tc>
          <w:tcPr>
            <w:tcW w:w="2254" w:type="dxa"/>
            <w:vMerge w:val="restart"/>
          </w:tcPr>
          <w:p w14:paraId="2F5580FE" w14:textId="77777777" w:rsidR="00606532" w:rsidRDefault="00606532" w:rsidP="00D67C0F">
            <w:pPr>
              <w:spacing w:line="360" w:lineRule="auto"/>
              <w:jc w:val="both"/>
              <w:rPr>
                <w:rFonts w:ascii="Times New Roman" w:hAnsi="Times New Roman" w:cs="Times New Roman"/>
                <w:sz w:val="24"/>
                <w:szCs w:val="24"/>
              </w:rPr>
            </w:pPr>
          </w:p>
          <w:p w14:paraId="6063D9E3" w14:textId="7E4266F6" w:rsidR="00606532" w:rsidRPr="00523CB6"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0.890^</w:t>
            </w:r>
          </w:p>
        </w:tc>
      </w:tr>
      <w:tr w:rsidR="00606532" w14:paraId="7D96D0C7" w14:textId="77777777" w:rsidTr="003C0698">
        <w:tc>
          <w:tcPr>
            <w:tcW w:w="2254" w:type="dxa"/>
          </w:tcPr>
          <w:p w14:paraId="4A321B1E" w14:textId="1ABE151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13-14</w:t>
            </w:r>
          </w:p>
        </w:tc>
        <w:tc>
          <w:tcPr>
            <w:tcW w:w="2254" w:type="dxa"/>
          </w:tcPr>
          <w:p w14:paraId="7F473BE4" w14:textId="4CF3202B"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20 (60.6)</w:t>
            </w:r>
          </w:p>
        </w:tc>
        <w:tc>
          <w:tcPr>
            <w:tcW w:w="2254" w:type="dxa"/>
          </w:tcPr>
          <w:p w14:paraId="6AD18C8B" w14:textId="0422441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(54.5)</w:t>
            </w:r>
          </w:p>
        </w:tc>
        <w:tc>
          <w:tcPr>
            <w:tcW w:w="2254" w:type="dxa"/>
            <w:vMerge/>
          </w:tcPr>
          <w:p w14:paraId="04098DF0" w14:textId="77777777" w:rsidR="00606532" w:rsidRDefault="00606532" w:rsidP="00D67C0F">
            <w:pPr>
              <w:spacing w:line="360" w:lineRule="auto"/>
              <w:jc w:val="both"/>
              <w:rPr>
                <w:rFonts w:ascii="Times New Roman" w:hAnsi="Times New Roman" w:cs="Times New Roman"/>
                <w:sz w:val="24"/>
                <w:szCs w:val="24"/>
              </w:rPr>
            </w:pPr>
          </w:p>
        </w:tc>
      </w:tr>
      <w:tr w:rsidR="00606532" w14:paraId="549DFC14" w14:textId="77777777" w:rsidTr="003C0698">
        <w:tc>
          <w:tcPr>
            <w:tcW w:w="2254" w:type="dxa"/>
          </w:tcPr>
          <w:p w14:paraId="6A2D4687" w14:textId="1E49C87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&gt;14</w:t>
            </w:r>
          </w:p>
        </w:tc>
        <w:tc>
          <w:tcPr>
            <w:tcW w:w="2254" w:type="dxa"/>
          </w:tcPr>
          <w:p w14:paraId="65F78F78" w14:textId="2D15E3E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6547D40B" w14:textId="1B72FE3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9 (27.3)</w:t>
            </w:r>
          </w:p>
        </w:tc>
        <w:tc>
          <w:tcPr>
            <w:tcW w:w="2254" w:type="dxa"/>
            <w:vMerge/>
          </w:tcPr>
          <w:p w14:paraId="0F9EA7F4" w14:textId="77777777" w:rsidR="00606532" w:rsidRDefault="00606532" w:rsidP="00D67C0F">
            <w:pPr>
              <w:spacing w:line="360" w:lineRule="auto"/>
              <w:jc w:val="both"/>
              <w:rPr>
                <w:rFonts w:ascii="Times New Roman" w:hAnsi="Times New Roman" w:cs="Times New Roman"/>
                <w:sz w:val="24"/>
                <w:szCs w:val="24"/>
              </w:rPr>
            </w:pPr>
          </w:p>
        </w:tc>
      </w:tr>
      <w:tr w:rsidR="00606532" w14:paraId="31A0772F" w14:textId="77777777" w:rsidTr="0041447F">
        <w:tc>
          <w:tcPr>
            <w:tcW w:w="9016" w:type="dxa"/>
            <w:gridSpan w:val="4"/>
          </w:tcPr>
          <w:p w14:paraId="286123A0" w14:textId="77C9138A"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marriage (in years)</w:t>
            </w:r>
          </w:p>
        </w:tc>
      </w:tr>
      <w:tr w:rsidR="00606532" w14:paraId="73DF754A" w14:textId="77777777" w:rsidTr="003C0698">
        <w:tc>
          <w:tcPr>
            <w:tcW w:w="2254" w:type="dxa"/>
          </w:tcPr>
          <w:p w14:paraId="45AABFE2" w14:textId="70D45FC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2254" w:type="dxa"/>
          </w:tcPr>
          <w:p w14:paraId="42902AD3" w14:textId="237A2D2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(9.1)</w:t>
            </w:r>
          </w:p>
        </w:tc>
        <w:tc>
          <w:tcPr>
            <w:tcW w:w="2254" w:type="dxa"/>
          </w:tcPr>
          <w:p w14:paraId="2FC7C5CF" w14:textId="4863E1B7"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vMerge w:val="restart"/>
          </w:tcPr>
          <w:p w14:paraId="77C1CDA6" w14:textId="77777777" w:rsidR="00606532" w:rsidRDefault="00606532" w:rsidP="00D67C0F">
            <w:pPr>
              <w:spacing w:line="360" w:lineRule="auto"/>
              <w:jc w:val="both"/>
              <w:rPr>
                <w:rFonts w:ascii="Times New Roman" w:hAnsi="Times New Roman" w:cs="Times New Roman"/>
                <w:sz w:val="24"/>
                <w:szCs w:val="24"/>
              </w:rPr>
            </w:pPr>
          </w:p>
          <w:p w14:paraId="1DFC51EB" w14:textId="2566E73D" w:rsidR="00606532" w:rsidRPr="00FC642E"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606532" w14:paraId="3474CFD0" w14:textId="77777777" w:rsidTr="003C0698">
        <w:tc>
          <w:tcPr>
            <w:tcW w:w="2254" w:type="dxa"/>
          </w:tcPr>
          <w:p w14:paraId="2FEA6536" w14:textId="589EC4D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&lt;18</w:t>
            </w:r>
          </w:p>
        </w:tc>
        <w:tc>
          <w:tcPr>
            <w:tcW w:w="2254" w:type="dxa"/>
          </w:tcPr>
          <w:p w14:paraId="4E398AC7" w14:textId="6B0381D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30 (90.9)</w:t>
            </w:r>
          </w:p>
        </w:tc>
        <w:tc>
          <w:tcPr>
            <w:tcW w:w="2254" w:type="dxa"/>
          </w:tcPr>
          <w:p w14:paraId="108DDD0C" w14:textId="4F6B800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vMerge/>
          </w:tcPr>
          <w:p w14:paraId="2D65C64A" w14:textId="77777777" w:rsidR="00606532" w:rsidRDefault="00606532" w:rsidP="00D67C0F">
            <w:pPr>
              <w:spacing w:line="360" w:lineRule="auto"/>
              <w:jc w:val="both"/>
              <w:rPr>
                <w:rFonts w:ascii="Times New Roman" w:hAnsi="Times New Roman" w:cs="Times New Roman"/>
                <w:sz w:val="24"/>
                <w:szCs w:val="24"/>
              </w:rPr>
            </w:pPr>
          </w:p>
        </w:tc>
      </w:tr>
      <w:tr w:rsidR="00606532" w14:paraId="0D149498" w14:textId="77777777" w:rsidTr="00BE7ADD">
        <w:tc>
          <w:tcPr>
            <w:tcW w:w="9016" w:type="dxa"/>
            <w:gridSpan w:val="4"/>
          </w:tcPr>
          <w:p w14:paraId="799610EF" w14:textId="4EF39714"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Age of first pregnancy (in years)</w:t>
            </w:r>
          </w:p>
        </w:tc>
      </w:tr>
      <w:tr w:rsidR="00606532" w14:paraId="2AA0CA7C" w14:textId="77777777" w:rsidTr="003C0698">
        <w:tc>
          <w:tcPr>
            <w:tcW w:w="2254" w:type="dxa"/>
          </w:tcPr>
          <w:p w14:paraId="331F05AE" w14:textId="27B7B42F"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&lt;18</w:t>
            </w:r>
          </w:p>
        </w:tc>
        <w:tc>
          <w:tcPr>
            <w:tcW w:w="2254" w:type="dxa"/>
          </w:tcPr>
          <w:p w14:paraId="4829C432" w14:textId="1D519DF9"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(3.0)</w:t>
            </w:r>
          </w:p>
        </w:tc>
        <w:tc>
          <w:tcPr>
            <w:tcW w:w="2254" w:type="dxa"/>
          </w:tcPr>
          <w:p w14:paraId="05587FCB" w14:textId="6795BD1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val="restart"/>
          </w:tcPr>
          <w:p w14:paraId="22B483DC" w14:textId="77777777" w:rsidR="00606532" w:rsidRDefault="00606532" w:rsidP="00D67C0F">
            <w:pPr>
              <w:spacing w:line="360" w:lineRule="auto"/>
              <w:jc w:val="both"/>
              <w:rPr>
                <w:rFonts w:ascii="Times New Roman" w:hAnsi="Times New Roman" w:cs="Times New Roman"/>
                <w:sz w:val="24"/>
                <w:szCs w:val="24"/>
              </w:rPr>
            </w:pPr>
          </w:p>
          <w:p w14:paraId="2F2B491E" w14:textId="60FB45E0" w:rsidR="00606532" w:rsidRPr="009A219F"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606532" w14:paraId="784EA331" w14:textId="77777777" w:rsidTr="003C0698">
        <w:tc>
          <w:tcPr>
            <w:tcW w:w="2254" w:type="dxa"/>
          </w:tcPr>
          <w:p w14:paraId="278E974F" w14:textId="6FCCCA18"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254" w:type="dxa"/>
          </w:tcPr>
          <w:p w14:paraId="244F731D" w14:textId="287EF6B0"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(97.0)</w:t>
            </w:r>
          </w:p>
        </w:tc>
        <w:tc>
          <w:tcPr>
            <w:tcW w:w="2254" w:type="dxa"/>
          </w:tcPr>
          <w:p w14:paraId="16FFE8F8" w14:textId="351219A8"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tcPr>
          <w:p w14:paraId="729925DE" w14:textId="77777777" w:rsidR="00606532" w:rsidRDefault="00606532" w:rsidP="00D67C0F">
            <w:pPr>
              <w:spacing w:line="360" w:lineRule="auto"/>
              <w:jc w:val="both"/>
              <w:rPr>
                <w:rFonts w:ascii="Times New Roman" w:hAnsi="Times New Roman" w:cs="Times New Roman"/>
                <w:sz w:val="24"/>
                <w:szCs w:val="24"/>
              </w:rPr>
            </w:pPr>
          </w:p>
        </w:tc>
      </w:tr>
      <w:tr w:rsidR="00606532" w14:paraId="7AA917F0" w14:textId="77777777" w:rsidTr="007C46B2">
        <w:tc>
          <w:tcPr>
            <w:tcW w:w="9016" w:type="dxa"/>
            <w:gridSpan w:val="4"/>
          </w:tcPr>
          <w:p w14:paraId="58561D26" w14:textId="5481F645" w:rsidR="00606532" w:rsidRPr="00C117BA" w:rsidRDefault="00606532" w:rsidP="00D67C0F">
            <w:pPr>
              <w:spacing w:line="360" w:lineRule="auto"/>
              <w:jc w:val="both"/>
              <w:rPr>
                <w:rFonts w:ascii="Times New Roman" w:hAnsi="Times New Roman" w:cs="Times New Roman"/>
                <w:b/>
                <w:bCs/>
                <w:sz w:val="24"/>
                <w:szCs w:val="24"/>
              </w:rPr>
            </w:pPr>
            <w:r w:rsidRPr="00C117BA">
              <w:rPr>
                <w:rFonts w:ascii="Times New Roman" w:hAnsi="Times New Roman" w:cs="Times New Roman"/>
                <w:b/>
                <w:bCs/>
                <w:sz w:val="24"/>
                <w:szCs w:val="24"/>
              </w:rPr>
              <w:t xml:space="preserve">Parity </w:t>
            </w:r>
          </w:p>
        </w:tc>
      </w:tr>
      <w:tr w:rsidR="00606532" w14:paraId="5327C1C8" w14:textId="77777777" w:rsidTr="003C0698">
        <w:tc>
          <w:tcPr>
            <w:tcW w:w="2254" w:type="dxa"/>
          </w:tcPr>
          <w:p w14:paraId="2D87FB0D" w14:textId="379A0209"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2254" w:type="dxa"/>
          </w:tcPr>
          <w:p w14:paraId="54B70022" w14:textId="4B11463D"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16 (48.5)</w:t>
            </w:r>
          </w:p>
        </w:tc>
        <w:tc>
          <w:tcPr>
            <w:tcW w:w="2254" w:type="dxa"/>
          </w:tcPr>
          <w:p w14:paraId="0B8CED19" w14:textId="39AD8093"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13 (39.4)</w:t>
            </w:r>
          </w:p>
        </w:tc>
        <w:tc>
          <w:tcPr>
            <w:tcW w:w="2254" w:type="dxa"/>
            <w:vMerge w:val="restart"/>
          </w:tcPr>
          <w:p w14:paraId="0555DFE9" w14:textId="77777777" w:rsidR="00606532" w:rsidRDefault="00606532" w:rsidP="00D67C0F">
            <w:pPr>
              <w:spacing w:line="360" w:lineRule="auto"/>
              <w:jc w:val="both"/>
              <w:rPr>
                <w:rFonts w:ascii="Times New Roman" w:hAnsi="Times New Roman" w:cs="Times New Roman"/>
                <w:sz w:val="24"/>
                <w:szCs w:val="24"/>
              </w:rPr>
            </w:pPr>
          </w:p>
          <w:p w14:paraId="38709C44" w14:textId="02334E77" w:rsidR="00606532" w:rsidRPr="009A219F" w:rsidRDefault="0060653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0.620</w:t>
            </w:r>
            <w:r>
              <w:rPr>
                <w:rFonts w:ascii="Times New Roman" w:hAnsi="Times New Roman" w:cs="Times New Roman"/>
                <w:sz w:val="24"/>
                <w:szCs w:val="24"/>
                <w:vertAlign w:val="superscript"/>
              </w:rPr>
              <w:t>^</w:t>
            </w:r>
          </w:p>
        </w:tc>
      </w:tr>
      <w:tr w:rsidR="00606532" w14:paraId="3553E42E" w14:textId="77777777" w:rsidTr="003C0698">
        <w:tc>
          <w:tcPr>
            <w:tcW w:w="2254" w:type="dxa"/>
          </w:tcPr>
          <w:p w14:paraId="5D173B3E" w14:textId="4949A1A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5F489921" w14:textId="10CCB5B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(51.5)</w:t>
            </w:r>
          </w:p>
        </w:tc>
        <w:tc>
          <w:tcPr>
            <w:tcW w:w="2254" w:type="dxa"/>
          </w:tcPr>
          <w:p w14:paraId="7F277E7F" w14:textId="711D3B3E" w:rsidR="00606532" w:rsidRDefault="0060653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20 (60.6)</w:t>
            </w:r>
          </w:p>
        </w:tc>
        <w:tc>
          <w:tcPr>
            <w:tcW w:w="2254" w:type="dxa"/>
            <w:vMerge/>
          </w:tcPr>
          <w:p w14:paraId="292CC37A" w14:textId="77777777" w:rsidR="00606532" w:rsidRDefault="00606532" w:rsidP="00D67C0F">
            <w:pPr>
              <w:spacing w:line="360" w:lineRule="auto"/>
              <w:jc w:val="both"/>
              <w:rPr>
                <w:rFonts w:ascii="Times New Roman" w:hAnsi="Times New Roman" w:cs="Times New Roman"/>
                <w:sz w:val="24"/>
                <w:szCs w:val="24"/>
              </w:rPr>
            </w:pPr>
          </w:p>
        </w:tc>
      </w:tr>
    </w:tbl>
    <w:p w14:paraId="7028659C" w14:textId="5C5EBB9B" w:rsidR="009532EC" w:rsidRPr="009A219F" w:rsidRDefault="009A219F"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*p-value was determined by Chi-square test</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Fisher’s exact test</w:t>
      </w:r>
      <w:r>
        <w:rPr>
          <w:rFonts w:ascii="Times New Roman" w:hAnsi="Times New Roman" w:cs="Times New Roman"/>
          <w:sz w:val="24"/>
          <w:szCs w:val="24"/>
          <w:vertAlign w:val="superscript"/>
        </w:rPr>
        <w:t>+</w:t>
      </w:r>
      <w:r>
        <w:rPr>
          <w:rFonts w:ascii="Times New Roman" w:hAnsi="Times New Roman" w:cs="Times New Roman"/>
          <w:sz w:val="24"/>
          <w:szCs w:val="24"/>
        </w:rPr>
        <w:t xml:space="preserve">; SD: Standard deviation. </w:t>
      </w:r>
    </w:p>
    <w:p w14:paraId="17ABF5A1" w14:textId="7AB0ABCE" w:rsidR="009532EC" w:rsidRDefault="00C117BA"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describes the socio-demographic attributes of the participants and the presence of risk factors among them. </w:t>
      </w:r>
      <w:r w:rsidR="005532CB">
        <w:rPr>
          <w:rFonts w:ascii="Times New Roman" w:hAnsi="Times New Roman" w:cs="Times New Roman"/>
          <w:sz w:val="24"/>
          <w:szCs w:val="24"/>
        </w:rPr>
        <w:t xml:space="preserve">Mean age in Arm A was </w:t>
      </w:r>
      <w:r w:rsidR="005532CB" w:rsidRPr="005532CB">
        <w:rPr>
          <w:rFonts w:ascii="Times New Roman" w:hAnsi="Times New Roman" w:cs="Times New Roman"/>
          <w:sz w:val="24"/>
          <w:szCs w:val="24"/>
        </w:rPr>
        <w:t>45.4 ± 8.8</w:t>
      </w:r>
      <w:r w:rsidR="005532CB">
        <w:rPr>
          <w:rFonts w:ascii="Times New Roman" w:hAnsi="Times New Roman" w:cs="Times New Roman"/>
          <w:sz w:val="24"/>
          <w:szCs w:val="24"/>
        </w:rPr>
        <w:t xml:space="preserve"> years which was similar to Arm B meaning </w:t>
      </w:r>
      <w:r w:rsidR="005532CB" w:rsidRPr="005532CB">
        <w:rPr>
          <w:rFonts w:ascii="Times New Roman" w:hAnsi="Times New Roman" w:cs="Times New Roman"/>
          <w:sz w:val="24"/>
          <w:szCs w:val="24"/>
        </w:rPr>
        <w:t>45.1</w:t>
      </w:r>
      <w:r w:rsidR="005532CB">
        <w:rPr>
          <w:rFonts w:ascii="Times New Roman" w:hAnsi="Times New Roman" w:cs="Times New Roman"/>
          <w:sz w:val="24"/>
          <w:szCs w:val="24"/>
        </w:rPr>
        <w:t xml:space="preserve"> </w:t>
      </w:r>
      <w:r w:rsidR="005532CB" w:rsidRPr="005532CB">
        <w:rPr>
          <w:rFonts w:ascii="Times New Roman" w:hAnsi="Times New Roman" w:cs="Times New Roman"/>
          <w:sz w:val="24"/>
          <w:szCs w:val="24"/>
        </w:rPr>
        <w:t>±</w:t>
      </w:r>
      <w:r w:rsidR="005532CB">
        <w:rPr>
          <w:rFonts w:ascii="Times New Roman" w:hAnsi="Times New Roman" w:cs="Times New Roman"/>
          <w:sz w:val="24"/>
          <w:szCs w:val="24"/>
        </w:rPr>
        <w:t xml:space="preserve"> </w:t>
      </w:r>
      <w:r w:rsidR="005532CB" w:rsidRPr="005532CB">
        <w:rPr>
          <w:rFonts w:ascii="Times New Roman" w:hAnsi="Times New Roman" w:cs="Times New Roman"/>
          <w:sz w:val="24"/>
          <w:szCs w:val="24"/>
        </w:rPr>
        <w:t>8.8</w:t>
      </w:r>
      <w:r w:rsidR="005532CB">
        <w:rPr>
          <w:rFonts w:ascii="Times New Roman" w:hAnsi="Times New Roman" w:cs="Times New Roman"/>
          <w:sz w:val="24"/>
          <w:szCs w:val="24"/>
        </w:rPr>
        <w:t xml:space="preserve"> years. Regarding education, 51.5% and 48.5% </w:t>
      </w:r>
      <w:r w:rsidR="00D95C86">
        <w:rPr>
          <w:rFonts w:ascii="Times New Roman" w:hAnsi="Times New Roman" w:cs="Times New Roman"/>
          <w:sz w:val="24"/>
          <w:szCs w:val="24"/>
        </w:rPr>
        <w:t xml:space="preserve">of </w:t>
      </w:r>
      <w:r w:rsidR="005532CB">
        <w:rPr>
          <w:rFonts w:ascii="Times New Roman" w:hAnsi="Times New Roman" w:cs="Times New Roman"/>
          <w:sz w:val="24"/>
          <w:szCs w:val="24"/>
        </w:rPr>
        <w:t xml:space="preserve">respondents were illiterate in Arm A and B respectively. </w:t>
      </w:r>
      <w:r w:rsidR="00054C8E">
        <w:rPr>
          <w:rFonts w:ascii="Times New Roman" w:hAnsi="Times New Roman" w:cs="Times New Roman"/>
          <w:sz w:val="24"/>
          <w:szCs w:val="24"/>
        </w:rPr>
        <w:t>Additionally, concerning the risk factors, 60.6% A</w:t>
      </w:r>
      <w:r w:rsidR="00E405B6">
        <w:rPr>
          <w:rFonts w:ascii="Times New Roman" w:hAnsi="Times New Roman" w:cs="Times New Roman"/>
          <w:sz w:val="24"/>
          <w:szCs w:val="24"/>
        </w:rPr>
        <w:t>rm A and 54.4% Arm B cases had their menarche during 13-14 years of age; majority (90.9% Arm A and 87.9% Arm B) cases were married before they reached 18 years of age; 97.0% and 93.9% patients in Arm A and B respectively had their 1</w:t>
      </w:r>
      <w:r w:rsidR="00E405B6" w:rsidRPr="00E405B6">
        <w:rPr>
          <w:rFonts w:ascii="Times New Roman" w:hAnsi="Times New Roman" w:cs="Times New Roman"/>
          <w:sz w:val="24"/>
          <w:szCs w:val="24"/>
          <w:vertAlign w:val="superscript"/>
        </w:rPr>
        <w:t>st</w:t>
      </w:r>
      <w:r w:rsidR="00E405B6">
        <w:rPr>
          <w:rFonts w:ascii="Times New Roman" w:hAnsi="Times New Roman" w:cs="Times New Roman"/>
          <w:sz w:val="24"/>
          <w:szCs w:val="24"/>
        </w:rPr>
        <w:t xml:space="preserve"> pregnancy at 18 years or above age and lastly, 51.5% and 60.6% participants had 2 or more children in Arm A and B respectively. However, none of the associations was found to be statistically significant. </w:t>
      </w:r>
      <w:r w:rsidR="00291C10">
        <w:rPr>
          <w:rFonts w:ascii="Times New Roman" w:hAnsi="Times New Roman" w:cs="Times New Roman"/>
          <w:sz w:val="24"/>
          <w:szCs w:val="24"/>
        </w:rPr>
        <w:t>[Table 1]</w:t>
      </w:r>
    </w:p>
    <w:p w14:paraId="761C9527" w14:textId="267D4765" w:rsidR="008F240C" w:rsidRPr="00C9799E" w:rsidRDefault="008F240C" w:rsidP="00D67C0F">
      <w:pPr>
        <w:spacing w:line="360" w:lineRule="auto"/>
        <w:jc w:val="both"/>
        <w:rPr>
          <w:rFonts w:ascii="Times New Roman" w:hAnsi="Times New Roman" w:cs="Times New Roman"/>
          <w:b/>
          <w:bCs/>
          <w:sz w:val="24"/>
          <w:szCs w:val="24"/>
        </w:rPr>
      </w:pPr>
      <w:r w:rsidRPr="00C9799E">
        <w:rPr>
          <w:rFonts w:ascii="Times New Roman" w:hAnsi="Times New Roman" w:cs="Times New Roman"/>
          <w:b/>
          <w:bCs/>
          <w:sz w:val="24"/>
          <w:szCs w:val="24"/>
        </w:rPr>
        <w:t xml:space="preserve">Table 2: </w:t>
      </w:r>
      <w:r w:rsidR="00D271F4" w:rsidRPr="00C9799E">
        <w:rPr>
          <w:rFonts w:ascii="Times New Roman" w:hAnsi="Times New Roman" w:cs="Times New Roman"/>
          <w:b/>
          <w:bCs/>
          <w:sz w:val="24"/>
          <w:szCs w:val="24"/>
        </w:rPr>
        <w:t>FIGO staging of the participants</w:t>
      </w:r>
      <w:r w:rsidR="00C9799E" w:rsidRPr="00C9799E">
        <w:rPr>
          <w:rFonts w:ascii="Times New Roman" w:hAnsi="Times New Roman" w:cs="Times New Roman"/>
          <w:b/>
          <w:bCs/>
          <w:sz w:val="24"/>
          <w:szCs w:val="24"/>
        </w:rPr>
        <w:t xml:space="preserve"> (n=</w:t>
      </w:r>
      <w:r w:rsidR="00E54DF3">
        <w:rPr>
          <w:rFonts w:ascii="Times New Roman" w:hAnsi="Times New Roman" w:cs="Times New Roman"/>
          <w:b/>
          <w:bCs/>
          <w:sz w:val="24"/>
          <w:szCs w:val="24"/>
        </w:rPr>
        <w:t>66</w:t>
      </w:r>
      <w:r w:rsidR="00C9799E" w:rsidRPr="00C9799E">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343"/>
        <w:gridCol w:w="2359"/>
        <w:gridCol w:w="2157"/>
        <w:gridCol w:w="2157"/>
      </w:tblGrid>
      <w:tr w:rsidR="00E54DF3" w14:paraId="32E554B9" w14:textId="0C3313A3" w:rsidTr="00E54DF3">
        <w:tc>
          <w:tcPr>
            <w:tcW w:w="2343" w:type="dxa"/>
          </w:tcPr>
          <w:p w14:paraId="2909C004" w14:textId="64A7523F"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FIGO stage (n/%)</w:t>
            </w:r>
          </w:p>
        </w:tc>
        <w:tc>
          <w:tcPr>
            <w:tcW w:w="2359" w:type="dxa"/>
          </w:tcPr>
          <w:p w14:paraId="7618238E" w14:textId="74E4527C"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Arm A (n=33)</w:t>
            </w:r>
          </w:p>
        </w:tc>
        <w:tc>
          <w:tcPr>
            <w:tcW w:w="2157" w:type="dxa"/>
          </w:tcPr>
          <w:p w14:paraId="1718F114" w14:textId="42218F99"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Arm B (n=33)</w:t>
            </w:r>
          </w:p>
        </w:tc>
        <w:tc>
          <w:tcPr>
            <w:tcW w:w="2157" w:type="dxa"/>
          </w:tcPr>
          <w:p w14:paraId="1E850944" w14:textId="4D4C54F1" w:rsidR="00E54DF3" w:rsidRDefault="00E54DF3" w:rsidP="00D67C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p-value</w:t>
            </w:r>
          </w:p>
        </w:tc>
      </w:tr>
      <w:tr w:rsidR="00E54DF3" w:rsidRPr="00E54DF3" w14:paraId="50CE5A22" w14:textId="70C14041" w:rsidTr="00E54DF3">
        <w:tc>
          <w:tcPr>
            <w:tcW w:w="2343" w:type="dxa"/>
          </w:tcPr>
          <w:p w14:paraId="22F0097C" w14:textId="43D66302"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IIB</w:t>
            </w:r>
          </w:p>
        </w:tc>
        <w:tc>
          <w:tcPr>
            <w:tcW w:w="2359" w:type="dxa"/>
          </w:tcPr>
          <w:p w14:paraId="6DA8B070" w14:textId="05D0D484"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18 (54.5)</w:t>
            </w:r>
          </w:p>
        </w:tc>
        <w:tc>
          <w:tcPr>
            <w:tcW w:w="2157" w:type="dxa"/>
          </w:tcPr>
          <w:p w14:paraId="7B85A315" w14:textId="0353B426"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19 (57.6)</w:t>
            </w:r>
          </w:p>
        </w:tc>
        <w:tc>
          <w:tcPr>
            <w:tcW w:w="2157" w:type="dxa"/>
            <w:vMerge w:val="restart"/>
          </w:tcPr>
          <w:p w14:paraId="1EA54B29" w14:textId="77777777" w:rsidR="00E54DF3" w:rsidRDefault="00E54DF3" w:rsidP="00D67C0F">
            <w:pPr>
              <w:spacing w:line="360" w:lineRule="auto"/>
              <w:jc w:val="both"/>
              <w:rPr>
                <w:rFonts w:ascii="Times New Roman" w:hAnsi="Times New Roman" w:cs="Times New Roman"/>
                <w:sz w:val="24"/>
                <w:szCs w:val="24"/>
              </w:rPr>
            </w:pPr>
          </w:p>
          <w:p w14:paraId="49F6AB83" w14:textId="77777777" w:rsidR="00E54DF3" w:rsidRDefault="00E54DF3" w:rsidP="00D67C0F">
            <w:pPr>
              <w:spacing w:line="360" w:lineRule="auto"/>
              <w:jc w:val="both"/>
              <w:rPr>
                <w:rFonts w:ascii="Times New Roman" w:hAnsi="Times New Roman" w:cs="Times New Roman"/>
                <w:sz w:val="24"/>
                <w:szCs w:val="24"/>
              </w:rPr>
            </w:pPr>
          </w:p>
          <w:p w14:paraId="40CAF38D" w14:textId="46411606"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1.00</w:t>
            </w:r>
            <w:r w:rsidRPr="00E54DF3">
              <w:rPr>
                <w:rFonts w:ascii="Times New Roman" w:hAnsi="Times New Roman" w:cs="Times New Roman"/>
                <w:sz w:val="24"/>
                <w:szCs w:val="24"/>
                <w:vertAlign w:val="superscript"/>
              </w:rPr>
              <w:t>+</w:t>
            </w:r>
          </w:p>
        </w:tc>
      </w:tr>
      <w:tr w:rsidR="00E54DF3" w:rsidRPr="00E54DF3" w14:paraId="31F5D283" w14:textId="44EE3E77" w:rsidTr="00E54DF3">
        <w:tc>
          <w:tcPr>
            <w:tcW w:w="2343" w:type="dxa"/>
          </w:tcPr>
          <w:p w14:paraId="1764ADC9" w14:textId="5056002F"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 xml:space="preserve">IIIA </w:t>
            </w:r>
          </w:p>
        </w:tc>
        <w:tc>
          <w:tcPr>
            <w:tcW w:w="2359" w:type="dxa"/>
          </w:tcPr>
          <w:p w14:paraId="0C6BACEC" w14:textId="4A2F67E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tcPr>
          <w:p w14:paraId="19D5965B" w14:textId="6E067E01"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vMerge/>
          </w:tcPr>
          <w:p w14:paraId="02DF37B2" w14:textId="36F9EE3C" w:rsidR="00E54DF3" w:rsidRPr="00E54DF3" w:rsidRDefault="00E54DF3" w:rsidP="00D67C0F">
            <w:pPr>
              <w:spacing w:line="360" w:lineRule="auto"/>
              <w:jc w:val="both"/>
              <w:rPr>
                <w:rFonts w:ascii="Times New Roman" w:hAnsi="Times New Roman" w:cs="Times New Roman"/>
                <w:sz w:val="24"/>
                <w:szCs w:val="24"/>
                <w:vertAlign w:val="superscript"/>
              </w:rPr>
            </w:pPr>
          </w:p>
        </w:tc>
      </w:tr>
      <w:tr w:rsidR="00E54DF3" w:rsidRPr="00E54DF3" w14:paraId="4D333A95" w14:textId="486860AF" w:rsidTr="00E54DF3">
        <w:tc>
          <w:tcPr>
            <w:tcW w:w="2343" w:type="dxa"/>
          </w:tcPr>
          <w:p w14:paraId="3E99C0EF" w14:textId="27F02464"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IIIB</w:t>
            </w:r>
          </w:p>
        </w:tc>
        <w:tc>
          <w:tcPr>
            <w:tcW w:w="2359" w:type="dxa"/>
          </w:tcPr>
          <w:p w14:paraId="2B8B6665" w14:textId="19DD4D7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6 (18.2)</w:t>
            </w:r>
          </w:p>
        </w:tc>
        <w:tc>
          <w:tcPr>
            <w:tcW w:w="2157" w:type="dxa"/>
          </w:tcPr>
          <w:p w14:paraId="1DE3F4CE" w14:textId="47242DE7"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5 (15.2)</w:t>
            </w:r>
          </w:p>
        </w:tc>
        <w:tc>
          <w:tcPr>
            <w:tcW w:w="2157" w:type="dxa"/>
            <w:vMerge/>
          </w:tcPr>
          <w:p w14:paraId="6751FC2E" w14:textId="77777777" w:rsidR="00E54DF3" w:rsidRPr="00E54DF3" w:rsidRDefault="00E54DF3" w:rsidP="00D67C0F">
            <w:pPr>
              <w:spacing w:line="360" w:lineRule="auto"/>
              <w:jc w:val="both"/>
              <w:rPr>
                <w:rFonts w:ascii="Times New Roman" w:hAnsi="Times New Roman" w:cs="Times New Roman"/>
                <w:sz w:val="24"/>
                <w:szCs w:val="24"/>
              </w:rPr>
            </w:pPr>
          </w:p>
        </w:tc>
      </w:tr>
      <w:tr w:rsidR="00E54DF3" w:rsidRPr="00E54DF3" w14:paraId="2DCDCA0B" w14:textId="4F44630D" w:rsidTr="00E54DF3">
        <w:tc>
          <w:tcPr>
            <w:tcW w:w="2343" w:type="dxa"/>
          </w:tcPr>
          <w:p w14:paraId="415B455D" w14:textId="0D0E0C6E"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IVA</w:t>
            </w:r>
          </w:p>
        </w:tc>
        <w:tc>
          <w:tcPr>
            <w:tcW w:w="2359" w:type="dxa"/>
          </w:tcPr>
          <w:p w14:paraId="6580D574" w14:textId="7EC04C88"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3 (9.1)</w:t>
            </w:r>
          </w:p>
        </w:tc>
        <w:tc>
          <w:tcPr>
            <w:tcW w:w="2157" w:type="dxa"/>
          </w:tcPr>
          <w:p w14:paraId="1A89A6B9" w14:textId="573C29D5" w:rsidR="00E54DF3" w:rsidRPr="00E54DF3" w:rsidRDefault="00E54DF3" w:rsidP="00D67C0F">
            <w:pPr>
              <w:spacing w:line="360" w:lineRule="auto"/>
              <w:jc w:val="both"/>
              <w:rPr>
                <w:rFonts w:ascii="Times New Roman" w:hAnsi="Times New Roman" w:cs="Times New Roman"/>
                <w:sz w:val="24"/>
                <w:szCs w:val="24"/>
              </w:rPr>
            </w:pPr>
            <w:r w:rsidRPr="00E54DF3">
              <w:rPr>
                <w:rFonts w:ascii="Times New Roman" w:hAnsi="Times New Roman" w:cs="Times New Roman"/>
                <w:sz w:val="24"/>
                <w:szCs w:val="24"/>
              </w:rPr>
              <w:t>3 (9.1)</w:t>
            </w:r>
          </w:p>
        </w:tc>
        <w:tc>
          <w:tcPr>
            <w:tcW w:w="2157" w:type="dxa"/>
            <w:vMerge/>
          </w:tcPr>
          <w:p w14:paraId="0D98CA9C" w14:textId="77777777" w:rsidR="00E54DF3" w:rsidRPr="00E54DF3" w:rsidRDefault="00E54DF3" w:rsidP="00D67C0F">
            <w:pPr>
              <w:spacing w:line="360" w:lineRule="auto"/>
              <w:jc w:val="both"/>
              <w:rPr>
                <w:rFonts w:ascii="Times New Roman" w:hAnsi="Times New Roman" w:cs="Times New Roman"/>
                <w:sz w:val="24"/>
                <w:szCs w:val="24"/>
              </w:rPr>
            </w:pPr>
          </w:p>
        </w:tc>
      </w:tr>
    </w:tbl>
    <w:p w14:paraId="45A32410" w14:textId="3851DD19" w:rsidR="009532EC" w:rsidRDefault="00291C1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*p-value estimated by Fisher’s exact test</w:t>
      </w:r>
      <w:r>
        <w:rPr>
          <w:rFonts w:ascii="Times New Roman" w:hAnsi="Times New Roman" w:cs="Times New Roman"/>
          <w:sz w:val="24"/>
          <w:szCs w:val="24"/>
          <w:vertAlign w:val="superscript"/>
        </w:rPr>
        <w:t>+</w:t>
      </w:r>
      <w:r>
        <w:rPr>
          <w:rFonts w:ascii="Times New Roman" w:hAnsi="Times New Roman" w:cs="Times New Roman"/>
          <w:sz w:val="24"/>
          <w:szCs w:val="24"/>
        </w:rPr>
        <w:t>.</w:t>
      </w:r>
    </w:p>
    <w:p w14:paraId="379BE285" w14:textId="50DBF677" w:rsidR="00291C10" w:rsidRDefault="00D224A3"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Table highlights the distribution of the respondents based on their FIGO staging of cervical cancer. It is quite evident that, majority meaning 54.5% in Arm A and 57.6% in Arm B had stage IIB cancer. Lowest percentages (9.1% in both arms) were found for stage IVA cancer. The associations were not statistically significant. [Table 2]</w:t>
      </w:r>
    </w:p>
    <w:p w14:paraId="29197F72" w14:textId="2F979662" w:rsidR="00EF0D77" w:rsidRDefault="009E01BD"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Column bars </w:t>
      </w:r>
      <w:r w:rsidR="00492B75">
        <w:rPr>
          <w:rFonts w:ascii="Times New Roman" w:hAnsi="Times New Roman" w:cs="Times New Roman"/>
          <w:sz w:val="24"/>
          <w:szCs w:val="24"/>
        </w:rPr>
        <w:t>[Figure 1, 2, 3, 4] illustrate the</w:t>
      </w:r>
      <w:r w:rsidR="00B5533A">
        <w:rPr>
          <w:rFonts w:ascii="Times New Roman" w:hAnsi="Times New Roman" w:cs="Times New Roman"/>
          <w:sz w:val="24"/>
          <w:szCs w:val="24"/>
        </w:rPr>
        <w:t xml:space="preserve"> frequency distribution of the</w:t>
      </w:r>
      <w:r w:rsidR="00492B75">
        <w:rPr>
          <w:rFonts w:ascii="Times New Roman" w:hAnsi="Times New Roman" w:cs="Times New Roman"/>
          <w:sz w:val="24"/>
          <w:szCs w:val="24"/>
        </w:rPr>
        <w:t xml:space="preserve"> per vaginal findings of the participants right after CCRT, after 1</w:t>
      </w:r>
      <w:r w:rsidR="00492B75" w:rsidRPr="00492B75">
        <w:rPr>
          <w:rFonts w:ascii="Times New Roman" w:hAnsi="Times New Roman" w:cs="Times New Roman"/>
          <w:sz w:val="24"/>
          <w:szCs w:val="24"/>
          <w:vertAlign w:val="superscript"/>
        </w:rPr>
        <w:t>st</w:t>
      </w:r>
      <w:r w:rsidR="00492B75">
        <w:rPr>
          <w:rFonts w:ascii="Times New Roman" w:hAnsi="Times New Roman" w:cs="Times New Roman"/>
          <w:sz w:val="24"/>
          <w:szCs w:val="24"/>
        </w:rPr>
        <w:t>, 2</w:t>
      </w:r>
      <w:r w:rsidR="00492B75" w:rsidRPr="00492B75">
        <w:rPr>
          <w:rFonts w:ascii="Times New Roman" w:hAnsi="Times New Roman" w:cs="Times New Roman"/>
          <w:sz w:val="24"/>
          <w:szCs w:val="24"/>
          <w:vertAlign w:val="superscript"/>
        </w:rPr>
        <w:t>nd</w:t>
      </w:r>
      <w:r w:rsidR="00492B75">
        <w:rPr>
          <w:rFonts w:ascii="Times New Roman" w:hAnsi="Times New Roman" w:cs="Times New Roman"/>
          <w:sz w:val="24"/>
          <w:szCs w:val="24"/>
        </w:rPr>
        <w:t xml:space="preserve"> and 3</w:t>
      </w:r>
      <w:r w:rsidR="00492B75" w:rsidRPr="00492B75">
        <w:rPr>
          <w:rFonts w:ascii="Times New Roman" w:hAnsi="Times New Roman" w:cs="Times New Roman"/>
          <w:sz w:val="24"/>
          <w:szCs w:val="24"/>
          <w:vertAlign w:val="superscript"/>
        </w:rPr>
        <w:t>rd</w:t>
      </w:r>
      <w:r w:rsidR="00492B75">
        <w:rPr>
          <w:rFonts w:ascii="Times New Roman" w:hAnsi="Times New Roman" w:cs="Times New Roman"/>
          <w:sz w:val="24"/>
          <w:szCs w:val="24"/>
        </w:rPr>
        <w:t xml:space="preserve"> follow-ups</w:t>
      </w:r>
      <w:r w:rsidR="001674DA">
        <w:rPr>
          <w:rFonts w:ascii="Times New Roman" w:hAnsi="Times New Roman" w:cs="Times New Roman"/>
          <w:sz w:val="24"/>
          <w:szCs w:val="24"/>
        </w:rPr>
        <w:t xml:space="preserve"> respectively</w:t>
      </w:r>
      <w:r w:rsidR="00492B75">
        <w:rPr>
          <w:rFonts w:ascii="Times New Roman" w:hAnsi="Times New Roman" w:cs="Times New Roman"/>
          <w:sz w:val="24"/>
          <w:szCs w:val="24"/>
        </w:rPr>
        <w:t xml:space="preserve">. </w:t>
      </w:r>
      <w:r w:rsidR="00E9240D">
        <w:rPr>
          <w:rFonts w:ascii="Times New Roman" w:hAnsi="Times New Roman" w:cs="Times New Roman"/>
          <w:sz w:val="24"/>
          <w:szCs w:val="24"/>
        </w:rPr>
        <w:t xml:space="preserve">Figure 1 revealed that, </w:t>
      </w:r>
      <w:r w:rsidR="00E9240D" w:rsidRPr="00E9240D">
        <w:rPr>
          <w:rFonts w:ascii="Times New Roman" w:hAnsi="Times New Roman" w:cs="Times New Roman"/>
          <w:sz w:val="24"/>
          <w:szCs w:val="24"/>
        </w:rPr>
        <w:t xml:space="preserve">growth was absent in </w:t>
      </w:r>
      <w:r w:rsidR="00E9240D">
        <w:rPr>
          <w:rFonts w:ascii="Times New Roman" w:hAnsi="Times New Roman" w:cs="Times New Roman"/>
          <w:sz w:val="24"/>
          <w:szCs w:val="24"/>
        </w:rPr>
        <w:t xml:space="preserve">majority of cases meaning </w:t>
      </w:r>
      <w:r w:rsidR="00E9240D" w:rsidRPr="00E9240D">
        <w:rPr>
          <w:rFonts w:ascii="Times New Roman" w:hAnsi="Times New Roman" w:cs="Times New Roman"/>
          <w:sz w:val="24"/>
          <w:szCs w:val="24"/>
        </w:rPr>
        <w:t>66.7% respondents of Arm A</w:t>
      </w:r>
      <w:r w:rsidR="00E9240D">
        <w:rPr>
          <w:rFonts w:ascii="Times New Roman" w:hAnsi="Times New Roman" w:cs="Times New Roman"/>
          <w:sz w:val="24"/>
          <w:szCs w:val="24"/>
        </w:rPr>
        <w:t xml:space="preserve"> and</w:t>
      </w:r>
      <w:r w:rsidR="00E9240D" w:rsidRPr="00E9240D">
        <w:rPr>
          <w:rFonts w:ascii="Times New Roman" w:hAnsi="Times New Roman" w:cs="Times New Roman"/>
          <w:sz w:val="24"/>
          <w:szCs w:val="24"/>
        </w:rPr>
        <w:t xml:space="preserve"> 57.5% of Arm B, </w:t>
      </w:r>
      <w:proofErr w:type="spellStart"/>
      <w:r w:rsidR="00E9240D" w:rsidRPr="00E9240D">
        <w:rPr>
          <w:rFonts w:ascii="Times New Roman" w:hAnsi="Times New Roman" w:cs="Times New Roman"/>
          <w:sz w:val="24"/>
          <w:szCs w:val="24"/>
        </w:rPr>
        <w:t>fornices</w:t>
      </w:r>
      <w:proofErr w:type="spellEnd"/>
      <w:r w:rsidR="00E9240D" w:rsidRPr="00E9240D">
        <w:rPr>
          <w:rFonts w:ascii="Times New Roman" w:hAnsi="Times New Roman" w:cs="Times New Roman"/>
          <w:sz w:val="24"/>
          <w:szCs w:val="24"/>
        </w:rPr>
        <w:t xml:space="preserve"> were free in</w:t>
      </w:r>
      <w:r w:rsidR="00E9240D">
        <w:rPr>
          <w:rFonts w:ascii="Times New Roman" w:hAnsi="Times New Roman" w:cs="Times New Roman"/>
          <w:sz w:val="24"/>
          <w:szCs w:val="24"/>
        </w:rPr>
        <w:t xml:space="preserve"> </w:t>
      </w:r>
      <w:r w:rsidR="00E9240D" w:rsidRPr="00E9240D">
        <w:rPr>
          <w:rFonts w:ascii="Times New Roman" w:hAnsi="Times New Roman" w:cs="Times New Roman"/>
          <w:sz w:val="24"/>
          <w:szCs w:val="24"/>
        </w:rPr>
        <w:t>69.6% respondents of Arm A</w:t>
      </w:r>
      <w:r w:rsidR="00E9240D">
        <w:rPr>
          <w:rFonts w:ascii="Times New Roman" w:hAnsi="Times New Roman" w:cs="Times New Roman"/>
          <w:sz w:val="24"/>
          <w:szCs w:val="24"/>
        </w:rPr>
        <w:t xml:space="preserve"> and </w:t>
      </w:r>
      <w:r w:rsidR="00E9240D" w:rsidRPr="00E9240D">
        <w:rPr>
          <w:rFonts w:ascii="Times New Roman" w:hAnsi="Times New Roman" w:cs="Times New Roman"/>
          <w:sz w:val="24"/>
          <w:szCs w:val="24"/>
        </w:rPr>
        <w:t xml:space="preserve">63.6% </w:t>
      </w:r>
      <w:r w:rsidR="00E9240D">
        <w:rPr>
          <w:rFonts w:ascii="Times New Roman" w:hAnsi="Times New Roman" w:cs="Times New Roman"/>
          <w:sz w:val="24"/>
          <w:szCs w:val="24"/>
        </w:rPr>
        <w:t xml:space="preserve">cases </w:t>
      </w:r>
      <w:r w:rsidR="00E9240D" w:rsidRPr="00E9240D">
        <w:rPr>
          <w:rFonts w:ascii="Times New Roman" w:hAnsi="Times New Roman" w:cs="Times New Roman"/>
          <w:sz w:val="24"/>
          <w:szCs w:val="24"/>
        </w:rPr>
        <w:t>of Arm B</w:t>
      </w:r>
      <w:r w:rsidR="00E9240D">
        <w:rPr>
          <w:rFonts w:ascii="Times New Roman" w:hAnsi="Times New Roman" w:cs="Times New Roman"/>
          <w:sz w:val="24"/>
          <w:szCs w:val="24"/>
        </w:rPr>
        <w:t xml:space="preserve"> and </w:t>
      </w:r>
      <w:r w:rsidR="00E9240D" w:rsidRPr="00E9240D">
        <w:rPr>
          <w:rFonts w:ascii="Times New Roman" w:hAnsi="Times New Roman" w:cs="Times New Roman"/>
          <w:sz w:val="24"/>
          <w:szCs w:val="24"/>
        </w:rPr>
        <w:t xml:space="preserve">parametrium was free among 66.7% </w:t>
      </w:r>
      <w:r w:rsidR="00E9240D">
        <w:rPr>
          <w:rFonts w:ascii="Times New Roman" w:hAnsi="Times New Roman" w:cs="Times New Roman"/>
          <w:sz w:val="24"/>
          <w:szCs w:val="24"/>
        </w:rPr>
        <w:t xml:space="preserve">patients </w:t>
      </w:r>
      <w:r w:rsidR="00E9240D" w:rsidRPr="00E9240D">
        <w:rPr>
          <w:rFonts w:ascii="Times New Roman" w:hAnsi="Times New Roman" w:cs="Times New Roman"/>
          <w:sz w:val="24"/>
          <w:szCs w:val="24"/>
        </w:rPr>
        <w:t>of Arm A and 60.6% of Arm B</w:t>
      </w:r>
      <w:r w:rsidR="00E9240D">
        <w:rPr>
          <w:rFonts w:ascii="Times New Roman" w:hAnsi="Times New Roman" w:cs="Times New Roman"/>
          <w:sz w:val="24"/>
          <w:szCs w:val="24"/>
        </w:rPr>
        <w:t xml:space="preserve">. Additionally, figure 2 expressed that, </w:t>
      </w:r>
      <w:r w:rsidR="001674DA">
        <w:rPr>
          <w:rFonts w:ascii="Times New Roman" w:hAnsi="Times New Roman" w:cs="Times New Roman"/>
          <w:sz w:val="24"/>
          <w:szCs w:val="24"/>
        </w:rPr>
        <w:t xml:space="preserve">after 6 weeks of CCRT, in the maximum cases in both the arms, no growth was found; </w:t>
      </w:r>
      <w:proofErr w:type="spellStart"/>
      <w:r w:rsidR="001674DA">
        <w:rPr>
          <w:rFonts w:ascii="Times New Roman" w:hAnsi="Times New Roman" w:cs="Times New Roman"/>
          <w:sz w:val="24"/>
          <w:szCs w:val="24"/>
        </w:rPr>
        <w:t>fornices</w:t>
      </w:r>
      <w:proofErr w:type="spellEnd"/>
      <w:r w:rsidR="001674DA">
        <w:rPr>
          <w:rFonts w:ascii="Times New Roman" w:hAnsi="Times New Roman" w:cs="Times New Roman"/>
          <w:sz w:val="24"/>
          <w:szCs w:val="24"/>
        </w:rPr>
        <w:t xml:space="preserve"> and parametrium were free. Moreover, figure 3 also revealed that, after 12 weeks of CCRT, </w:t>
      </w:r>
      <w:proofErr w:type="spellStart"/>
      <w:r w:rsidR="001674DA" w:rsidRPr="001674DA">
        <w:rPr>
          <w:rFonts w:ascii="Times New Roman" w:hAnsi="Times New Roman" w:cs="Times New Roman"/>
          <w:sz w:val="24"/>
          <w:szCs w:val="24"/>
        </w:rPr>
        <w:t>fornices</w:t>
      </w:r>
      <w:proofErr w:type="spellEnd"/>
      <w:r w:rsidR="001674DA" w:rsidRPr="001674DA">
        <w:rPr>
          <w:rFonts w:ascii="Times New Roman" w:hAnsi="Times New Roman" w:cs="Times New Roman"/>
          <w:sz w:val="24"/>
          <w:szCs w:val="24"/>
        </w:rPr>
        <w:t xml:space="preserve"> were free in 81.8% respondents of Arm A and 75.7% Arm B</w:t>
      </w:r>
      <w:r w:rsidR="001674DA">
        <w:rPr>
          <w:rFonts w:ascii="Times New Roman" w:hAnsi="Times New Roman" w:cs="Times New Roman"/>
          <w:sz w:val="24"/>
          <w:szCs w:val="24"/>
        </w:rPr>
        <w:t>;</w:t>
      </w:r>
      <w:r w:rsidR="001674DA" w:rsidRPr="001674DA">
        <w:rPr>
          <w:rFonts w:ascii="Times New Roman" w:hAnsi="Times New Roman" w:cs="Times New Roman"/>
          <w:sz w:val="24"/>
          <w:szCs w:val="24"/>
        </w:rPr>
        <w:t xml:space="preserve"> parametrium was free among 84.8% respondents of Arm A and 81.8% of Arm B</w:t>
      </w:r>
      <w:r w:rsidR="001674DA">
        <w:rPr>
          <w:rFonts w:ascii="Times New Roman" w:hAnsi="Times New Roman" w:cs="Times New Roman"/>
          <w:sz w:val="24"/>
          <w:szCs w:val="24"/>
        </w:rPr>
        <w:t xml:space="preserve">. Lastly, </w:t>
      </w:r>
      <w:r w:rsidR="002C756E">
        <w:rPr>
          <w:rFonts w:ascii="Times New Roman" w:hAnsi="Times New Roman" w:cs="Times New Roman"/>
          <w:sz w:val="24"/>
          <w:szCs w:val="24"/>
        </w:rPr>
        <w:t xml:space="preserve">figure 4 disclosed that, </w:t>
      </w:r>
      <w:r w:rsidR="00E83F5D">
        <w:rPr>
          <w:rFonts w:ascii="Times New Roman" w:hAnsi="Times New Roman" w:cs="Times New Roman"/>
          <w:sz w:val="24"/>
          <w:szCs w:val="24"/>
        </w:rPr>
        <w:t>after 24 weeks</w:t>
      </w:r>
      <w:r w:rsidR="009E6478">
        <w:rPr>
          <w:rFonts w:ascii="Times New Roman" w:hAnsi="Times New Roman" w:cs="Times New Roman"/>
          <w:sz w:val="24"/>
          <w:szCs w:val="24"/>
        </w:rPr>
        <w:t xml:space="preserve"> of CCRT, gynecological examination found that</w:t>
      </w:r>
      <w:r w:rsidR="00B35678">
        <w:rPr>
          <w:rFonts w:ascii="Times New Roman" w:hAnsi="Times New Roman" w:cs="Times New Roman"/>
          <w:sz w:val="24"/>
          <w:szCs w:val="24"/>
        </w:rPr>
        <w:t xml:space="preserve">, </w:t>
      </w:r>
      <w:r w:rsidR="00B35678" w:rsidRPr="00B35678">
        <w:rPr>
          <w:rFonts w:ascii="Times New Roman" w:hAnsi="Times New Roman" w:cs="Times New Roman"/>
          <w:sz w:val="24"/>
          <w:szCs w:val="24"/>
        </w:rPr>
        <w:t>growth was absent in 78.8% respondents of Arm A and 72.7% of Arm B</w:t>
      </w:r>
      <w:r w:rsidR="00B35678">
        <w:rPr>
          <w:rFonts w:ascii="Times New Roman" w:hAnsi="Times New Roman" w:cs="Times New Roman"/>
          <w:sz w:val="24"/>
          <w:szCs w:val="24"/>
        </w:rPr>
        <w:t xml:space="preserve">; </w:t>
      </w:r>
      <w:proofErr w:type="spellStart"/>
      <w:r w:rsidR="00B35678" w:rsidRPr="00B35678">
        <w:rPr>
          <w:rFonts w:ascii="Times New Roman" w:hAnsi="Times New Roman" w:cs="Times New Roman"/>
          <w:sz w:val="24"/>
          <w:szCs w:val="24"/>
        </w:rPr>
        <w:t>fornices</w:t>
      </w:r>
      <w:proofErr w:type="spellEnd"/>
      <w:r w:rsidR="00B35678" w:rsidRPr="00B35678">
        <w:rPr>
          <w:rFonts w:ascii="Times New Roman" w:hAnsi="Times New Roman" w:cs="Times New Roman"/>
          <w:sz w:val="24"/>
          <w:szCs w:val="24"/>
        </w:rPr>
        <w:t xml:space="preserve"> were free in 87.8% respondents of Arm A and 81.8% of Arm B</w:t>
      </w:r>
      <w:r w:rsidR="00B35678">
        <w:rPr>
          <w:rFonts w:ascii="Times New Roman" w:hAnsi="Times New Roman" w:cs="Times New Roman"/>
          <w:sz w:val="24"/>
          <w:szCs w:val="24"/>
        </w:rPr>
        <w:t xml:space="preserve"> and </w:t>
      </w:r>
      <w:r w:rsidR="00B35678" w:rsidRPr="00B35678">
        <w:rPr>
          <w:rFonts w:ascii="Times New Roman" w:hAnsi="Times New Roman" w:cs="Times New Roman"/>
          <w:sz w:val="24"/>
          <w:szCs w:val="24"/>
        </w:rPr>
        <w:t>parametrium was free among 87.8% respondents of Arm A and 84.8% of Arm B.</w:t>
      </w:r>
      <w:r w:rsidR="00B35678">
        <w:rPr>
          <w:rFonts w:ascii="Times New Roman" w:hAnsi="Times New Roman" w:cs="Times New Roman"/>
          <w:sz w:val="24"/>
          <w:szCs w:val="24"/>
        </w:rPr>
        <w:t xml:space="preserve"> However, there was no statistically significant association found </w:t>
      </w:r>
      <w:proofErr w:type="spellStart"/>
      <w:r w:rsidR="00E34523">
        <w:rPr>
          <w:rFonts w:ascii="Times New Roman" w:hAnsi="Times New Roman" w:cs="Times New Roman"/>
          <w:sz w:val="24"/>
          <w:szCs w:val="24"/>
        </w:rPr>
        <w:t>beween</w:t>
      </w:r>
      <w:proofErr w:type="spellEnd"/>
      <w:r w:rsidR="00B35678">
        <w:rPr>
          <w:rFonts w:ascii="Times New Roman" w:hAnsi="Times New Roman" w:cs="Times New Roman"/>
          <w:sz w:val="24"/>
          <w:szCs w:val="24"/>
        </w:rPr>
        <w:t xml:space="preserve"> the 2 groups. </w:t>
      </w:r>
    </w:p>
    <w:p w14:paraId="3DA88B43" w14:textId="38D3D5EB" w:rsidR="00EF0D77" w:rsidRDefault="001A25EC"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B17566" wp14:editId="6678DF76">
            <wp:extent cx="5486400" cy="32004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6A2536" w14:textId="5051CA81" w:rsidR="0094222A" w:rsidRDefault="0094222A" w:rsidP="00D67C0F">
      <w:pPr>
        <w:spacing w:line="360" w:lineRule="auto"/>
        <w:jc w:val="both"/>
        <w:rPr>
          <w:rFonts w:ascii="Times New Roman" w:hAnsi="Times New Roman" w:cs="Times New Roman"/>
          <w:sz w:val="24"/>
          <w:szCs w:val="24"/>
        </w:rPr>
      </w:pPr>
      <w:bookmarkStart w:id="2" w:name="_Hlk199777078"/>
      <w:r>
        <w:rPr>
          <w:rFonts w:ascii="Times New Roman" w:hAnsi="Times New Roman" w:cs="Times New Roman"/>
          <w:iCs/>
          <w:sz w:val="24"/>
          <w:szCs w:val="24"/>
        </w:rPr>
        <w:t>*</w:t>
      </w:r>
      <w:r w:rsidRPr="0094222A">
        <w:rPr>
          <w:rFonts w:ascii="Times New Roman" w:hAnsi="Times New Roman" w:cs="Times New Roman"/>
          <w:i/>
          <w:sz w:val="24"/>
          <w:szCs w:val="24"/>
        </w:rPr>
        <w:t>p-</w:t>
      </w:r>
      <w:r w:rsidRPr="0094222A">
        <w:rPr>
          <w:rFonts w:ascii="Times New Roman" w:hAnsi="Times New Roman" w:cs="Times New Roman"/>
          <w:sz w:val="24"/>
          <w:szCs w:val="24"/>
        </w:rPr>
        <w:t>value was determined by Fisher</w:t>
      </w:r>
      <w:r>
        <w:rPr>
          <w:rFonts w:ascii="Times New Roman" w:hAnsi="Times New Roman" w:cs="Times New Roman"/>
          <w:sz w:val="24"/>
          <w:szCs w:val="24"/>
        </w:rPr>
        <w:t>’s</w:t>
      </w:r>
      <w:r w:rsidRPr="0094222A">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sidR="009E1697">
        <w:rPr>
          <w:rFonts w:ascii="Times New Roman" w:hAnsi="Times New Roman" w:cs="Times New Roman"/>
          <w:sz w:val="24"/>
          <w:szCs w:val="24"/>
        </w:rPr>
        <w:t>; n=33 in each arm.</w:t>
      </w:r>
    </w:p>
    <w:bookmarkEnd w:id="2"/>
    <w:p w14:paraId="01CC8841" w14:textId="656E9679" w:rsidR="00D224A3" w:rsidRPr="004F4D80" w:rsidRDefault="00DB0938" w:rsidP="00D67C0F">
      <w:pPr>
        <w:spacing w:line="360" w:lineRule="auto"/>
        <w:jc w:val="both"/>
        <w:rPr>
          <w:rFonts w:ascii="Times New Roman" w:hAnsi="Times New Roman" w:cs="Times New Roman"/>
          <w:b/>
          <w:bCs/>
          <w:sz w:val="24"/>
          <w:szCs w:val="24"/>
        </w:rPr>
      </w:pPr>
      <w:r w:rsidRPr="004F4D80">
        <w:rPr>
          <w:rFonts w:ascii="Times New Roman" w:hAnsi="Times New Roman" w:cs="Times New Roman"/>
          <w:b/>
          <w:bCs/>
          <w:sz w:val="24"/>
          <w:szCs w:val="24"/>
        </w:rPr>
        <w:t xml:space="preserve">Figure </w:t>
      </w:r>
      <w:r w:rsidR="00DC2AE6">
        <w:rPr>
          <w:rFonts w:ascii="Times New Roman" w:hAnsi="Times New Roman" w:cs="Times New Roman"/>
          <w:b/>
          <w:bCs/>
          <w:sz w:val="24"/>
          <w:szCs w:val="24"/>
        </w:rPr>
        <w:t>1</w:t>
      </w:r>
      <w:r w:rsidRPr="004F4D80">
        <w:rPr>
          <w:rFonts w:ascii="Times New Roman" w:hAnsi="Times New Roman" w:cs="Times New Roman"/>
          <w:b/>
          <w:bCs/>
          <w:sz w:val="24"/>
          <w:szCs w:val="24"/>
        </w:rPr>
        <w:t xml:space="preserve">: </w:t>
      </w:r>
      <w:r w:rsidR="00C92E09">
        <w:rPr>
          <w:rFonts w:ascii="Times New Roman" w:hAnsi="Times New Roman" w:cs="Times New Roman"/>
          <w:b/>
          <w:bCs/>
          <w:sz w:val="24"/>
          <w:szCs w:val="24"/>
        </w:rPr>
        <w:t>P</w:t>
      </w:r>
      <w:r w:rsidR="0094222A" w:rsidRPr="004F4D80">
        <w:rPr>
          <w:rFonts w:ascii="Times New Roman" w:hAnsi="Times New Roman" w:cs="Times New Roman"/>
          <w:b/>
          <w:bCs/>
          <w:sz w:val="24"/>
          <w:szCs w:val="24"/>
        </w:rPr>
        <w:t>er vaginal findings</w:t>
      </w:r>
      <w:r w:rsidR="00C92E09">
        <w:rPr>
          <w:rFonts w:ascii="Times New Roman" w:hAnsi="Times New Roman" w:cs="Times New Roman"/>
          <w:b/>
          <w:bCs/>
          <w:sz w:val="24"/>
          <w:szCs w:val="24"/>
        </w:rPr>
        <w:t xml:space="preserve"> of the respondents</w:t>
      </w:r>
      <w:r w:rsidR="0094222A" w:rsidRPr="004F4D80">
        <w:rPr>
          <w:rFonts w:ascii="Times New Roman" w:hAnsi="Times New Roman" w:cs="Times New Roman"/>
          <w:b/>
          <w:bCs/>
          <w:sz w:val="24"/>
          <w:szCs w:val="24"/>
        </w:rPr>
        <w:t xml:space="preserve"> after CCRT. (n=66)</w:t>
      </w:r>
    </w:p>
    <w:p w14:paraId="70C62F5A" w14:textId="587617C2" w:rsidR="0094222A" w:rsidRDefault="009C0437"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57A50C2" wp14:editId="62E78C53">
            <wp:extent cx="5486400" cy="3200400"/>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B1A9FB" w14:textId="279FA5C7" w:rsidR="004F4D80" w:rsidRPr="004F4D80" w:rsidRDefault="004F4D80" w:rsidP="00D67C0F">
      <w:pPr>
        <w:spacing w:line="360" w:lineRule="auto"/>
        <w:jc w:val="both"/>
        <w:rPr>
          <w:rFonts w:ascii="Times New Roman" w:hAnsi="Times New Roman" w:cs="Times New Roman"/>
          <w:sz w:val="24"/>
          <w:szCs w:val="24"/>
        </w:rPr>
      </w:pPr>
      <w:r w:rsidRPr="004F4D80">
        <w:rPr>
          <w:rFonts w:ascii="Times New Roman" w:hAnsi="Times New Roman" w:cs="Times New Roman"/>
          <w:iCs/>
          <w:sz w:val="24"/>
          <w:szCs w:val="24"/>
        </w:rPr>
        <w:t>*</w:t>
      </w:r>
      <w:r w:rsidRPr="004F4D80">
        <w:rPr>
          <w:rFonts w:ascii="Times New Roman" w:hAnsi="Times New Roman" w:cs="Times New Roman"/>
          <w:i/>
          <w:sz w:val="24"/>
          <w:szCs w:val="24"/>
        </w:rPr>
        <w:t>p-</w:t>
      </w:r>
      <w:r w:rsidRPr="004F4D80">
        <w:rPr>
          <w:rFonts w:ascii="Times New Roman" w:hAnsi="Times New Roman" w:cs="Times New Roman"/>
          <w:sz w:val="24"/>
          <w:szCs w:val="24"/>
        </w:rPr>
        <w:t>value was determined by Fisher’s Exact test</w:t>
      </w:r>
      <w:r w:rsidRPr="004F4D80">
        <w:rPr>
          <w:rFonts w:ascii="Times New Roman" w:hAnsi="Times New Roman" w:cs="Times New Roman"/>
          <w:sz w:val="24"/>
          <w:szCs w:val="24"/>
          <w:vertAlign w:val="superscript"/>
        </w:rPr>
        <w:t>+</w:t>
      </w:r>
      <w:r w:rsidR="009E1697">
        <w:rPr>
          <w:rFonts w:ascii="Times New Roman" w:hAnsi="Times New Roman" w:cs="Times New Roman"/>
          <w:sz w:val="24"/>
          <w:szCs w:val="24"/>
        </w:rPr>
        <w:t>; n=33 in each arm.</w:t>
      </w:r>
    </w:p>
    <w:p w14:paraId="2A9CE647" w14:textId="41BED317" w:rsidR="00D224A3" w:rsidRDefault="004F4D80" w:rsidP="00D67C0F">
      <w:pPr>
        <w:spacing w:line="360" w:lineRule="auto"/>
        <w:jc w:val="both"/>
        <w:rPr>
          <w:rFonts w:ascii="Times New Roman" w:hAnsi="Times New Roman" w:cs="Times New Roman"/>
          <w:sz w:val="24"/>
          <w:szCs w:val="24"/>
        </w:rPr>
      </w:pPr>
      <w:r w:rsidRPr="004F4D80">
        <w:rPr>
          <w:rFonts w:ascii="Times New Roman" w:hAnsi="Times New Roman" w:cs="Times New Roman"/>
          <w:b/>
          <w:bCs/>
          <w:sz w:val="24"/>
          <w:szCs w:val="24"/>
        </w:rPr>
        <w:t xml:space="preserve">Figure </w:t>
      </w:r>
      <w:r w:rsidR="00DC2AE6">
        <w:rPr>
          <w:rFonts w:ascii="Times New Roman" w:hAnsi="Times New Roman" w:cs="Times New Roman"/>
          <w:b/>
          <w:bCs/>
          <w:sz w:val="24"/>
          <w:szCs w:val="24"/>
        </w:rPr>
        <w:t>2</w:t>
      </w:r>
      <w:r w:rsidRPr="004F4D80">
        <w:rPr>
          <w:rFonts w:ascii="Times New Roman" w:hAnsi="Times New Roman" w:cs="Times New Roman"/>
          <w:b/>
          <w:bCs/>
          <w:sz w:val="24"/>
          <w:szCs w:val="24"/>
        </w:rPr>
        <w:t>: Per</w:t>
      </w:r>
      <w:r w:rsidRPr="004F4D80">
        <w:rPr>
          <w:rFonts w:ascii="Times New Roman" w:hAnsi="Times New Roman" w:cs="Times New Roman"/>
          <w:b/>
          <w:sz w:val="24"/>
          <w:szCs w:val="24"/>
        </w:rPr>
        <w:t xml:space="preserve"> vaginal findings among respondents after 1st follow</w:t>
      </w:r>
      <w:r>
        <w:rPr>
          <w:rFonts w:ascii="Times New Roman" w:hAnsi="Times New Roman" w:cs="Times New Roman"/>
          <w:b/>
          <w:sz w:val="24"/>
          <w:szCs w:val="24"/>
        </w:rPr>
        <w:t>-</w:t>
      </w:r>
      <w:r w:rsidRPr="004F4D80">
        <w:rPr>
          <w:rFonts w:ascii="Times New Roman" w:hAnsi="Times New Roman" w:cs="Times New Roman"/>
          <w:b/>
          <w:sz w:val="24"/>
          <w:szCs w:val="24"/>
        </w:rPr>
        <w:t>up (n=66)</w:t>
      </w:r>
      <w:r>
        <w:rPr>
          <w:rFonts w:ascii="Times New Roman" w:hAnsi="Times New Roman" w:cs="Times New Roman"/>
          <w:b/>
          <w:sz w:val="24"/>
          <w:szCs w:val="24"/>
        </w:rPr>
        <w:t>.</w:t>
      </w:r>
    </w:p>
    <w:p w14:paraId="544B56BF" w14:textId="79129D67" w:rsidR="00D224A3" w:rsidRDefault="00C92E09"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2D70E7" wp14:editId="72A78824">
            <wp:extent cx="5486400" cy="3200400"/>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BAE6FC" w14:textId="65BF46AD" w:rsidR="00D224A3" w:rsidRDefault="00F47B01" w:rsidP="00D67C0F">
      <w:pPr>
        <w:spacing w:line="360" w:lineRule="auto"/>
        <w:jc w:val="both"/>
        <w:rPr>
          <w:rFonts w:ascii="Times New Roman" w:hAnsi="Times New Roman" w:cs="Times New Roman"/>
          <w:sz w:val="24"/>
          <w:szCs w:val="24"/>
        </w:rPr>
      </w:pPr>
      <w:bookmarkStart w:id="3" w:name="_Hlk199779979"/>
      <w:r>
        <w:rPr>
          <w:rFonts w:ascii="Times New Roman" w:hAnsi="Times New Roman" w:cs="Times New Roman"/>
          <w:i/>
          <w:sz w:val="24"/>
          <w:szCs w:val="24"/>
        </w:rPr>
        <w:t>*</w:t>
      </w:r>
      <w:r w:rsidRPr="00F47B01">
        <w:rPr>
          <w:rFonts w:ascii="Times New Roman" w:hAnsi="Times New Roman" w:cs="Times New Roman"/>
          <w:i/>
          <w:sz w:val="24"/>
          <w:szCs w:val="24"/>
        </w:rPr>
        <w:t>p-</w:t>
      </w:r>
      <w:r w:rsidRPr="00F47B01">
        <w:rPr>
          <w:rFonts w:ascii="Times New Roman" w:hAnsi="Times New Roman" w:cs="Times New Roman"/>
          <w:sz w:val="24"/>
          <w:szCs w:val="24"/>
        </w:rPr>
        <w:t>value was determined by Fisher</w:t>
      </w:r>
      <w:r>
        <w:rPr>
          <w:rFonts w:ascii="Times New Roman" w:hAnsi="Times New Roman" w:cs="Times New Roman"/>
          <w:sz w:val="24"/>
          <w:szCs w:val="24"/>
        </w:rPr>
        <w:t>’s</w:t>
      </w:r>
      <w:r w:rsidRPr="00F47B01">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Pr>
          <w:rFonts w:ascii="Times New Roman" w:hAnsi="Times New Roman" w:cs="Times New Roman"/>
          <w:sz w:val="24"/>
          <w:szCs w:val="24"/>
        </w:rPr>
        <w:t>; n=33 in each arm.</w:t>
      </w:r>
    </w:p>
    <w:p w14:paraId="0D12436C" w14:textId="4A63C582" w:rsidR="00D224A3" w:rsidRDefault="001E4C04" w:rsidP="00D67C0F">
      <w:pPr>
        <w:spacing w:line="360" w:lineRule="auto"/>
        <w:jc w:val="both"/>
        <w:rPr>
          <w:rFonts w:ascii="Times New Roman" w:hAnsi="Times New Roman" w:cs="Times New Roman"/>
          <w:sz w:val="24"/>
          <w:szCs w:val="24"/>
        </w:rPr>
      </w:pPr>
      <w:r w:rsidRPr="00DC2AE6">
        <w:rPr>
          <w:rFonts w:ascii="Times New Roman" w:hAnsi="Times New Roman" w:cs="Times New Roman"/>
          <w:b/>
          <w:bCs/>
          <w:sz w:val="24"/>
          <w:szCs w:val="24"/>
        </w:rPr>
        <w:t xml:space="preserve">Figure </w:t>
      </w:r>
      <w:r w:rsidR="00DC2AE6" w:rsidRPr="00DC2AE6">
        <w:rPr>
          <w:rFonts w:ascii="Times New Roman" w:hAnsi="Times New Roman" w:cs="Times New Roman"/>
          <w:b/>
          <w:bCs/>
          <w:sz w:val="24"/>
          <w:szCs w:val="24"/>
        </w:rPr>
        <w:t>3:</w:t>
      </w:r>
      <w:r w:rsidR="00DC2AE6" w:rsidRPr="00DC2AE6">
        <w:rPr>
          <w:rFonts w:ascii="Times New Roman" w:eastAsia="Times New Roman" w:hAnsi="Times New Roman" w:cs="Times New Roman"/>
          <w:b/>
          <w:bCs/>
          <w:sz w:val="24"/>
          <w:szCs w:val="24"/>
        </w:rPr>
        <w:t xml:space="preserve"> </w:t>
      </w:r>
      <w:r w:rsidR="00DC2AE6" w:rsidRPr="00DC2AE6">
        <w:rPr>
          <w:rFonts w:ascii="Times New Roman" w:hAnsi="Times New Roman" w:cs="Times New Roman"/>
          <w:b/>
          <w:bCs/>
          <w:sz w:val="24"/>
          <w:szCs w:val="24"/>
        </w:rPr>
        <w:t>Per</w:t>
      </w:r>
      <w:r w:rsidR="00DC2AE6" w:rsidRPr="00DC2AE6">
        <w:rPr>
          <w:rFonts w:ascii="Times New Roman" w:hAnsi="Times New Roman" w:cs="Times New Roman"/>
          <w:b/>
          <w:sz w:val="24"/>
          <w:szCs w:val="24"/>
        </w:rPr>
        <w:t xml:space="preserve"> vaginal findings among respondents after 2</w:t>
      </w:r>
      <w:r w:rsidR="00DC2AE6" w:rsidRPr="009E01BD">
        <w:rPr>
          <w:rFonts w:ascii="Times New Roman" w:hAnsi="Times New Roman" w:cs="Times New Roman"/>
          <w:b/>
          <w:sz w:val="24"/>
          <w:szCs w:val="24"/>
          <w:vertAlign w:val="superscript"/>
        </w:rPr>
        <w:t>nd</w:t>
      </w:r>
      <w:r w:rsidR="00DC2AE6" w:rsidRPr="00DC2AE6">
        <w:rPr>
          <w:rFonts w:ascii="Times New Roman" w:hAnsi="Times New Roman" w:cs="Times New Roman"/>
          <w:b/>
          <w:sz w:val="24"/>
          <w:szCs w:val="24"/>
        </w:rPr>
        <w:t xml:space="preserve"> follow</w:t>
      </w:r>
      <w:r w:rsidR="00DC2AE6">
        <w:rPr>
          <w:rFonts w:ascii="Times New Roman" w:hAnsi="Times New Roman" w:cs="Times New Roman"/>
          <w:b/>
          <w:sz w:val="24"/>
          <w:szCs w:val="24"/>
        </w:rPr>
        <w:t>-</w:t>
      </w:r>
      <w:r w:rsidR="00DC2AE6" w:rsidRPr="00DC2AE6">
        <w:rPr>
          <w:rFonts w:ascii="Times New Roman" w:hAnsi="Times New Roman" w:cs="Times New Roman"/>
          <w:b/>
          <w:sz w:val="24"/>
          <w:szCs w:val="24"/>
        </w:rPr>
        <w:t xml:space="preserve">up (n=66) </w:t>
      </w:r>
      <w:r w:rsidR="00DC2AE6">
        <w:rPr>
          <w:rFonts w:ascii="Times New Roman" w:hAnsi="Times New Roman" w:cs="Times New Roman"/>
          <w:sz w:val="24"/>
          <w:szCs w:val="24"/>
        </w:rPr>
        <w:t xml:space="preserve"> </w:t>
      </w:r>
    </w:p>
    <w:bookmarkEnd w:id="3"/>
    <w:p w14:paraId="7CBD2D3B" w14:textId="5B1B016D" w:rsidR="00D224A3" w:rsidRDefault="009E01BD" w:rsidP="00D67C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61299DA" wp14:editId="67ECCEF9">
            <wp:extent cx="5486400" cy="32004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7800C0" w14:textId="77777777" w:rsidR="009E01BD" w:rsidRPr="009E01BD" w:rsidRDefault="009E01BD" w:rsidP="00D67C0F">
      <w:pPr>
        <w:spacing w:line="360" w:lineRule="auto"/>
        <w:jc w:val="both"/>
        <w:rPr>
          <w:rFonts w:ascii="Times New Roman" w:hAnsi="Times New Roman" w:cs="Times New Roman"/>
          <w:sz w:val="24"/>
          <w:szCs w:val="24"/>
        </w:rPr>
      </w:pPr>
      <w:r w:rsidRPr="009E01BD">
        <w:rPr>
          <w:rFonts w:ascii="Times New Roman" w:hAnsi="Times New Roman" w:cs="Times New Roman"/>
          <w:i/>
          <w:sz w:val="24"/>
          <w:szCs w:val="24"/>
        </w:rPr>
        <w:t>*p-</w:t>
      </w:r>
      <w:r w:rsidRPr="009E01BD">
        <w:rPr>
          <w:rFonts w:ascii="Times New Roman" w:hAnsi="Times New Roman" w:cs="Times New Roman"/>
          <w:sz w:val="24"/>
          <w:szCs w:val="24"/>
        </w:rPr>
        <w:t>value was determined by Fisher’s Exact test</w:t>
      </w:r>
      <w:r w:rsidRPr="009E01BD">
        <w:rPr>
          <w:rFonts w:ascii="Times New Roman" w:hAnsi="Times New Roman" w:cs="Times New Roman"/>
          <w:sz w:val="24"/>
          <w:szCs w:val="24"/>
          <w:vertAlign w:val="superscript"/>
        </w:rPr>
        <w:t>+</w:t>
      </w:r>
      <w:r w:rsidRPr="009E01BD">
        <w:rPr>
          <w:rFonts w:ascii="Times New Roman" w:hAnsi="Times New Roman" w:cs="Times New Roman"/>
          <w:sz w:val="24"/>
          <w:szCs w:val="24"/>
        </w:rPr>
        <w:t>; n=33 in each arm.</w:t>
      </w:r>
    </w:p>
    <w:p w14:paraId="59C19938" w14:textId="4BDD06BF" w:rsidR="009E01BD" w:rsidRPr="009E01BD" w:rsidRDefault="009E01BD" w:rsidP="00D67C0F">
      <w:pPr>
        <w:spacing w:line="360" w:lineRule="auto"/>
        <w:jc w:val="both"/>
        <w:rPr>
          <w:rFonts w:ascii="Times New Roman" w:hAnsi="Times New Roman" w:cs="Times New Roman"/>
          <w:sz w:val="24"/>
          <w:szCs w:val="24"/>
        </w:rPr>
      </w:pPr>
      <w:r w:rsidRPr="009E01BD">
        <w:rPr>
          <w:rFonts w:ascii="Times New Roman" w:hAnsi="Times New Roman" w:cs="Times New Roman"/>
          <w:b/>
          <w:bCs/>
          <w:sz w:val="24"/>
          <w:szCs w:val="24"/>
        </w:rPr>
        <w:t xml:space="preserve">Figure </w:t>
      </w:r>
      <w:r>
        <w:rPr>
          <w:rFonts w:ascii="Times New Roman" w:hAnsi="Times New Roman" w:cs="Times New Roman"/>
          <w:b/>
          <w:bCs/>
          <w:sz w:val="24"/>
          <w:szCs w:val="24"/>
        </w:rPr>
        <w:t>4</w:t>
      </w:r>
      <w:r w:rsidRPr="009E01BD">
        <w:rPr>
          <w:rFonts w:ascii="Times New Roman" w:hAnsi="Times New Roman" w:cs="Times New Roman"/>
          <w:b/>
          <w:bCs/>
          <w:sz w:val="24"/>
          <w:szCs w:val="24"/>
        </w:rPr>
        <w:t>: Per</w:t>
      </w:r>
      <w:r w:rsidRPr="009E01BD">
        <w:rPr>
          <w:rFonts w:ascii="Times New Roman" w:hAnsi="Times New Roman" w:cs="Times New Roman"/>
          <w:b/>
          <w:sz w:val="24"/>
          <w:szCs w:val="24"/>
        </w:rPr>
        <w:t xml:space="preserve"> vaginal findings among respondents after </w:t>
      </w:r>
      <w:r>
        <w:rPr>
          <w:rFonts w:ascii="Times New Roman" w:hAnsi="Times New Roman" w:cs="Times New Roman"/>
          <w:b/>
          <w:sz w:val="24"/>
          <w:szCs w:val="24"/>
        </w:rPr>
        <w:t>3</w:t>
      </w:r>
      <w:r w:rsidRPr="009E01BD">
        <w:rPr>
          <w:rFonts w:ascii="Times New Roman" w:hAnsi="Times New Roman" w:cs="Times New Roman"/>
          <w:b/>
          <w:sz w:val="24"/>
          <w:szCs w:val="24"/>
          <w:vertAlign w:val="superscript"/>
        </w:rPr>
        <w:t>rd</w:t>
      </w:r>
      <w:r w:rsidRPr="009E01BD">
        <w:rPr>
          <w:rFonts w:ascii="Times New Roman" w:hAnsi="Times New Roman" w:cs="Times New Roman"/>
          <w:b/>
          <w:sz w:val="24"/>
          <w:szCs w:val="24"/>
        </w:rPr>
        <w:t xml:space="preserve"> follow-up (n=66) </w:t>
      </w:r>
      <w:r w:rsidRPr="009E01BD">
        <w:rPr>
          <w:rFonts w:ascii="Times New Roman" w:hAnsi="Times New Roman" w:cs="Times New Roman"/>
          <w:sz w:val="24"/>
          <w:szCs w:val="24"/>
        </w:rPr>
        <w:t xml:space="preserve"> </w:t>
      </w:r>
    </w:p>
    <w:p w14:paraId="5C77FDB4" w14:textId="6B404956" w:rsidR="00D224A3" w:rsidRPr="0008159F" w:rsidRDefault="00362BE6" w:rsidP="00D67C0F">
      <w:pPr>
        <w:spacing w:line="360" w:lineRule="auto"/>
        <w:jc w:val="both"/>
        <w:rPr>
          <w:rFonts w:ascii="Times New Roman" w:hAnsi="Times New Roman" w:cs="Times New Roman"/>
          <w:b/>
          <w:bCs/>
          <w:sz w:val="24"/>
          <w:szCs w:val="24"/>
        </w:rPr>
      </w:pPr>
      <w:r w:rsidRPr="0008159F">
        <w:rPr>
          <w:rFonts w:ascii="Times New Roman" w:hAnsi="Times New Roman" w:cs="Times New Roman"/>
          <w:b/>
          <w:bCs/>
          <w:sz w:val="24"/>
          <w:szCs w:val="24"/>
        </w:rPr>
        <w:t xml:space="preserve">Table </w:t>
      </w:r>
      <w:r w:rsidR="0008159F" w:rsidRPr="0008159F">
        <w:rPr>
          <w:rFonts w:ascii="Times New Roman" w:hAnsi="Times New Roman" w:cs="Times New Roman"/>
          <w:b/>
          <w:bCs/>
          <w:sz w:val="24"/>
          <w:szCs w:val="24"/>
        </w:rPr>
        <w:t>3: Clinical presentation of the participants before the intervention and during various follow-ups (n=66).</w:t>
      </w:r>
    </w:p>
    <w:tbl>
      <w:tblPr>
        <w:tblStyle w:val="TableGrid"/>
        <w:tblW w:w="0" w:type="auto"/>
        <w:tblLook w:val="04A0" w:firstRow="1" w:lastRow="0" w:firstColumn="1" w:lastColumn="0" w:noHBand="0" w:noVBand="1"/>
      </w:tblPr>
      <w:tblGrid>
        <w:gridCol w:w="2254"/>
        <w:gridCol w:w="2254"/>
        <w:gridCol w:w="2254"/>
        <w:gridCol w:w="2254"/>
      </w:tblGrid>
      <w:tr w:rsidR="0008159F" w14:paraId="41DDDA79" w14:textId="77777777" w:rsidTr="0008159F">
        <w:tc>
          <w:tcPr>
            <w:tcW w:w="2254" w:type="dxa"/>
          </w:tcPr>
          <w:p w14:paraId="0838B1BD" w14:textId="19B62FE2" w:rsidR="0008159F" w:rsidRPr="00AB3935" w:rsidRDefault="0008159F"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 xml:space="preserve">Time of </w:t>
            </w:r>
            <w:r w:rsidR="009A49CD" w:rsidRPr="00AB3935">
              <w:rPr>
                <w:rFonts w:ascii="Times New Roman" w:hAnsi="Times New Roman" w:cs="Times New Roman"/>
                <w:b/>
                <w:bCs/>
                <w:sz w:val="24"/>
                <w:szCs w:val="24"/>
              </w:rPr>
              <w:t>assessment</w:t>
            </w:r>
            <w:r w:rsidR="00AC6F58" w:rsidRPr="00AB3935">
              <w:rPr>
                <w:rFonts w:ascii="Times New Roman" w:hAnsi="Times New Roman" w:cs="Times New Roman"/>
                <w:b/>
                <w:bCs/>
                <w:sz w:val="24"/>
                <w:szCs w:val="24"/>
              </w:rPr>
              <w:t xml:space="preserve"> (n/%)</w:t>
            </w:r>
          </w:p>
        </w:tc>
        <w:tc>
          <w:tcPr>
            <w:tcW w:w="2254" w:type="dxa"/>
          </w:tcPr>
          <w:p w14:paraId="02074D4C" w14:textId="006E3AE1"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Arm A (n=33)</w:t>
            </w:r>
          </w:p>
        </w:tc>
        <w:tc>
          <w:tcPr>
            <w:tcW w:w="2254" w:type="dxa"/>
          </w:tcPr>
          <w:p w14:paraId="6D2D0179" w14:textId="296B80FE"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Arm B (n=33)</w:t>
            </w:r>
          </w:p>
        </w:tc>
        <w:tc>
          <w:tcPr>
            <w:tcW w:w="2254" w:type="dxa"/>
          </w:tcPr>
          <w:p w14:paraId="729E66E2" w14:textId="3710FBDF" w:rsidR="0008159F" w:rsidRPr="00AB3935" w:rsidRDefault="009A49CD" w:rsidP="00D67C0F">
            <w:pPr>
              <w:spacing w:line="360" w:lineRule="auto"/>
              <w:jc w:val="both"/>
              <w:rPr>
                <w:rFonts w:ascii="Times New Roman" w:hAnsi="Times New Roman" w:cs="Times New Roman"/>
                <w:b/>
                <w:bCs/>
                <w:sz w:val="24"/>
                <w:szCs w:val="24"/>
              </w:rPr>
            </w:pPr>
            <w:r w:rsidRPr="00AB3935">
              <w:rPr>
                <w:rFonts w:ascii="Times New Roman" w:hAnsi="Times New Roman" w:cs="Times New Roman"/>
                <w:b/>
                <w:bCs/>
                <w:sz w:val="24"/>
                <w:szCs w:val="24"/>
              </w:rPr>
              <w:t>p-value</w:t>
            </w:r>
          </w:p>
        </w:tc>
      </w:tr>
      <w:tr w:rsidR="00AB3935" w14:paraId="73EBA4D9" w14:textId="77777777" w:rsidTr="004678AA">
        <w:tc>
          <w:tcPr>
            <w:tcW w:w="9016" w:type="dxa"/>
            <w:gridSpan w:val="4"/>
          </w:tcPr>
          <w:p w14:paraId="0B19B2C3" w14:textId="34336F22" w:rsidR="00AB3935" w:rsidRPr="00CE5CE0" w:rsidRDefault="00AB3935"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Pre-treatment evaluation</w:t>
            </w:r>
          </w:p>
        </w:tc>
      </w:tr>
      <w:tr w:rsidR="00AB3935" w14:paraId="4A664DD8" w14:textId="77777777" w:rsidTr="002E2C71">
        <w:tc>
          <w:tcPr>
            <w:tcW w:w="9016" w:type="dxa"/>
            <w:gridSpan w:val="4"/>
          </w:tcPr>
          <w:p w14:paraId="1DA7D36A" w14:textId="2D93BF9C" w:rsidR="00AB3935" w:rsidRPr="00CE5CE0" w:rsidRDefault="00AB3935"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Abnormal bleeding</w:t>
            </w:r>
          </w:p>
        </w:tc>
      </w:tr>
      <w:tr w:rsidR="00AB3935" w14:paraId="63F44840" w14:textId="77777777" w:rsidTr="0008159F">
        <w:tc>
          <w:tcPr>
            <w:tcW w:w="2254" w:type="dxa"/>
          </w:tcPr>
          <w:p w14:paraId="51C5241F" w14:textId="6F5903F7"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Absent</w:t>
            </w:r>
          </w:p>
        </w:tc>
        <w:tc>
          <w:tcPr>
            <w:tcW w:w="2254" w:type="dxa"/>
          </w:tcPr>
          <w:p w14:paraId="13078C23" w14:textId="560D29C1"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7 (21.2)</w:t>
            </w:r>
          </w:p>
        </w:tc>
        <w:tc>
          <w:tcPr>
            <w:tcW w:w="2254" w:type="dxa"/>
          </w:tcPr>
          <w:p w14:paraId="2397CA26" w14:textId="6718CA7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7 (21.2)</w:t>
            </w:r>
          </w:p>
        </w:tc>
        <w:tc>
          <w:tcPr>
            <w:tcW w:w="2254" w:type="dxa"/>
            <w:vMerge w:val="restart"/>
          </w:tcPr>
          <w:p w14:paraId="1132C676" w14:textId="4662757D" w:rsidR="00AB3935" w:rsidRPr="00B54BA5" w:rsidRDefault="00AB393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0.686</w:t>
            </w:r>
            <w:r w:rsidR="00B54BA5">
              <w:rPr>
                <w:rFonts w:ascii="Times New Roman" w:hAnsi="Times New Roman" w:cs="Times New Roman"/>
                <w:sz w:val="24"/>
                <w:szCs w:val="24"/>
                <w:vertAlign w:val="superscript"/>
              </w:rPr>
              <w:t>+</w:t>
            </w:r>
          </w:p>
        </w:tc>
      </w:tr>
      <w:tr w:rsidR="00AB3935" w14:paraId="3A36BC94" w14:textId="77777777" w:rsidTr="0008159F">
        <w:tc>
          <w:tcPr>
            <w:tcW w:w="2254" w:type="dxa"/>
          </w:tcPr>
          <w:p w14:paraId="2D849F9C" w14:textId="583BB08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53EBEDC6" w14:textId="1668DB67"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22 (66.7)</w:t>
            </w:r>
          </w:p>
        </w:tc>
        <w:tc>
          <w:tcPr>
            <w:tcW w:w="2254" w:type="dxa"/>
          </w:tcPr>
          <w:p w14:paraId="1D0DB76C" w14:textId="50997526"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24 (72.7)</w:t>
            </w:r>
          </w:p>
        </w:tc>
        <w:tc>
          <w:tcPr>
            <w:tcW w:w="2254" w:type="dxa"/>
            <w:vMerge/>
          </w:tcPr>
          <w:p w14:paraId="324272B1" w14:textId="77777777" w:rsidR="00AB3935" w:rsidRDefault="00AB3935" w:rsidP="00D67C0F">
            <w:pPr>
              <w:spacing w:line="360" w:lineRule="auto"/>
              <w:jc w:val="both"/>
              <w:rPr>
                <w:rFonts w:ascii="Times New Roman" w:hAnsi="Times New Roman" w:cs="Times New Roman"/>
                <w:sz w:val="24"/>
                <w:szCs w:val="24"/>
              </w:rPr>
            </w:pPr>
          </w:p>
        </w:tc>
      </w:tr>
      <w:tr w:rsidR="00AB3935" w14:paraId="56B23A44" w14:textId="77777777" w:rsidTr="0008159F">
        <w:tc>
          <w:tcPr>
            <w:tcW w:w="2254" w:type="dxa"/>
          </w:tcPr>
          <w:p w14:paraId="60ED5028" w14:textId="791F5F6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Moderate</w:t>
            </w:r>
          </w:p>
        </w:tc>
        <w:tc>
          <w:tcPr>
            <w:tcW w:w="2254" w:type="dxa"/>
          </w:tcPr>
          <w:p w14:paraId="0B28F8EF" w14:textId="13EF793E"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3DE2999A" w14:textId="1F47F34B"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392B8C4D" w14:textId="77777777" w:rsidR="00AB3935" w:rsidRDefault="00AB3935" w:rsidP="00D67C0F">
            <w:pPr>
              <w:spacing w:line="360" w:lineRule="auto"/>
              <w:jc w:val="both"/>
              <w:rPr>
                <w:rFonts w:ascii="Times New Roman" w:hAnsi="Times New Roman" w:cs="Times New Roman"/>
                <w:sz w:val="24"/>
                <w:szCs w:val="24"/>
              </w:rPr>
            </w:pPr>
          </w:p>
        </w:tc>
      </w:tr>
      <w:tr w:rsidR="001B40F2" w14:paraId="490E717E" w14:textId="77777777" w:rsidTr="00B30B31">
        <w:tc>
          <w:tcPr>
            <w:tcW w:w="9016" w:type="dxa"/>
            <w:gridSpan w:val="4"/>
          </w:tcPr>
          <w:p w14:paraId="1708D635" w14:textId="02BBFA89" w:rsidR="001B40F2" w:rsidRPr="00CE5CE0" w:rsidRDefault="001B40F2"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Unusual discharge</w:t>
            </w:r>
          </w:p>
        </w:tc>
      </w:tr>
      <w:tr w:rsidR="00AB3935" w14:paraId="5CFD0C90" w14:textId="77777777" w:rsidTr="0008159F">
        <w:tc>
          <w:tcPr>
            <w:tcW w:w="2254" w:type="dxa"/>
          </w:tcPr>
          <w:p w14:paraId="4A24B821" w14:textId="1176FF7A"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7DB89D28" w14:textId="0706F7E0"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15 (45.4)</w:t>
            </w:r>
          </w:p>
        </w:tc>
        <w:tc>
          <w:tcPr>
            <w:tcW w:w="2254" w:type="dxa"/>
          </w:tcPr>
          <w:p w14:paraId="2E71F933" w14:textId="077673EB"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12 (36.4)</w:t>
            </w:r>
          </w:p>
        </w:tc>
        <w:tc>
          <w:tcPr>
            <w:tcW w:w="2254" w:type="dxa"/>
            <w:vMerge w:val="restart"/>
          </w:tcPr>
          <w:p w14:paraId="6571E222" w14:textId="65F5A967" w:rsidR="00AB3935" w:rsidRPr="008F59A9" w:rsidRDefault="00AB3935"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0.617</w:t>
            </w:r>
            <w:r>
              <w:rPr>
                <w:rFonts w:ascii="Times New Roman" w:hAnsi="Times New Roman" w:cs="Times New Roman"/>
                <w:sz w:val="24"/>
                <w:szCs w:val="24"/>
                <w:vertAlign w:val="superscript"/>
              </w:rPr>
              <w:t>^</w:t>
            </w:r>
          </w:p>
        </w:tc>
      </w:tr>
      <w:tr w:rsidR="00AB3935" w14:paraId="1D5870D2" w14:textId="77777777" w:rsidTr="0008159F">
        <w:tc>
          <w:tcPr>
            <w:tcW w:w="2254" w:type="dxa"/>
          </w:tcPr>
          <w:p w14:paraId="2B6B9A70" w14:textId="6FA1226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5A10737B" w14:textId="642EC639"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(54.6)</w:t>
            </w:r>
          </w:p>
        </w:tc>
        <w:tc>
          <w:tcPr>
            <w:tcW w:w="2254" w:type="dxa"/>
          </w:tcPr>
          <w:p w14:paraId="442B29BF" w14:textId="38261684" w:rsidR="00AB3935" w:rsidRDefault="00AB3935"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21 (63.6)</w:t>
            </w:r>
          </w:p>
        </w:tc>
        <w:tc>
          <w:tcPr>
            <w:tcW w:w="2254" w:type="dxa"/>
            <w:vMerge/>
          </w:tcPr>
          <w:p w14:paraId="46ED6C16" w14:textId="77777777" w:rsidR="00AB3935" w:rsidRDefault="00AB3935" w:rsidP="00D67C0F">
            <w:pPr>
              <w:spacing w:line="360" w:lineRule="auto"/>
              <w:jc w:val="both"/>
              <w:rPr>
                <w:rFonts w:ascii="Times New Roman" w:hAnsi="Times New Roman" w:cs="Times New Roman"/>
                <w:sz w:val="24"/>
                <w:szCs w:val="24"/>
              </w:rPr>
            </w:pPr>
          </w:p>
        </w:tc>
      </w:tr>
      <w:tr w:rsidR="00CE5CE0" w14:paraId="6B7854DF" w14:textId="77777777" w:rsidTr="0092521F">
        <w:tc>
          <w:tcPr>
            <w:tcW w:w="4508" w:type="dxa"/>
            <w:gridSpan w:val="2"/>
          </w:tcPr>
          <w:p w14:paraId="5197D22A" w14:textId="408C4599" w:rsidR="00CE5CE0" w:rsidRPr="00CE5CE0" w:rsidRDefault="00CE5CE0" w:rsidP="00D67C0F">
            <w:pPr>
              <w:spacing w:line="360" w:lineRule="auto"/>
              <w:jc w:val="both"/>
              <w:rPr>
                <w:rFonts w:ascii="Times New Roman" w:hAnsi="Times New Roman" w:cs="Times New Roman"/>
                <w:b/>
                <w:bCs/>
                <w:sz w:val="24"/>
                <w:szCs w:val="24"/>
              </w:rPr>
            </w:pPr>
            <w:r w:rsidRPr="00CE5CE0">
              <w:rPr>
                <w:rFonts w:ascii="Times New Roman" w:hAnsi="Times New Roman" w:cs="Times New Roman"/>
                <w:b/>
                <w:bCs/>
                <w:sz w:val="24"/>
                <w:szCs w:val="24"/>
              </w:rPr>
              <w:t>Pelvic pain</w:t>
            </w:r>
          </w:p>
        </w:tc>
        <w:tc>
          <w:tcPr>
            <w:tcW w:w="4508" w:type="dxa"/>
            <w:gridSpan w:val="2"/>
          </w:tcPr>
          <w:p w14:paraId="1FCBE0B5" w14:textId="77777777" w:rsidR="00CE5CE0" w:rsidRDefault="00CE5CE0" w:rsidP="00D67C0F">
            <w:pPr>
              <w:spacing w:line="360" w:lineRule="auto"/>
              <w:jc w:val="both"/>
              <w:rPr>
                <w:rFonts w:ascii="Times New Roman" w:hAnsi="Times New Roman" w:cs="Times New Roman"/>
                <w:sz w:val="24"/>
                <w:szCs w:val="24"/>
              </w:rPr>
            </w:pPr>
          </w:p>
        </w:tc>
      </w:tr>
      <w:tr w:rsidR="001B40F2" w14:paraId="3773B368" w14:textId="77777777" w:rsidTr="0008159F">
        <w:tc>
          <w:tcPr>
            <w:tcW w:w="2254" w:type="dxa"/>
          </w:tcPr>
          <w:p w14:paraId="3703BFDA" w14:textId="7DB1F56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25E3D335" w14:textId="3068BED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302A56E5" w14:textId="148459E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12 (36.4)</w:t>
            </w:r>
          </w:p>
        </w:tc>
        <w:tc>
          <w:tcPr>
            <w:tcW w:w="2254" w:type="dxa"/>
            <w:vMerge w:val="restart"/>
          </w:tcPr>
          <w:p w14:paraId="63546356" w14:textId="709F5246" w:rsidR="001B40F2" w:rsidRPr="008F59A9"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0.422</w:t>
            </w:r>
            <w:r>
              <w:rPr>
                <w:rFonts w:ascii="Times New Roman" w:hAnsi="Times New Roman" w:cs="Times New Roman"/>
                <w:sz w:val="24"/>
                <w:szCs w:val="24"/>
                <w:vertAlign w:val="superscript"/>
              </w:rPr>
              <w:t>^</w:t>
            </w:r>
          </w:p>
        </w:tc>
      </w:tr>
      <w:tr w:rsidR="001B40F2" w14:paraId="073829B2" w14:textId="77777777" w:rsidTr="0008159F">
        <w:tc>
          <w:tcPr>
            <w:tcW w:w="2254" w:type="dxa"/>
          </w:tcPr>
          <w:p w14:paraId="30C612AD" w14:textId="5A3F182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9C73710" w14:textId="0C983E1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25 (75.8)</w:t>
            </w:r>
          </w:p>
        </w:tc>
        <w:tc>
          <w:tcPr>
            <w:tcW w:w="2254" w:type="dxa"/>
          </w:tcPr>
          <w:p w14:paraId="2A982DD7" w14:textId="69B3FDC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21 (63.6)</w:t>
            </w:r>
          </w:p>
        </w:tc>
        <w:tc>
          <w:tcPr>
            <w:tcW w:w="2254" w:type="dxa"/>
            <w:vMerge/>
          </w:tcPr>
          <w:p w14:paraId="2B236075" w14:textId="77777777" w:rsidR="001B40F2" w:rsidRDefault="001B40F2" w:rsidP="00D67C0F">
            <w:pPr>
              <w:spacing w:line="360" w:lineRule="auto"/>
              <w:jc w:val="both"/>
              <w:rPr>
                <w:rFonts w:ascii="Times New Roman" w:hAnsi="Times New Roman" w:cs="Times New Roman"/>
                <w:sz w:val="24"/>
                <w:szCs w:val="24"/>
              </w:rPr>
            </w:pPr>
          </w:p>
        </w:tc>
      </w:tr>
      <w:tr w:rsidR="001B40F2" w14:paraId="09C59DF8" w14:textId="77777777" w:rsidTr="00C440E6">
        <w:tc>
          <w:tcPr>
            <w:tcW w:w="9016" w:type="dxa"/>
            <w:gridSpan w:val="4"/>
          </w:tcPr>
          <w:p w14:paraId="6AF9BC9C" w14:textId="71F62F2E"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1</w:t>
            </w:r>
            <w:r w:rsidRPr="001B40F2">
              <w:rPr>
                <w:rFonts w:ascii="Times New Roman" w:hAnsi="Times New Roman" w:cs="Times New Roman"/>
                <w:b/>
                <w:bCs/>
                <w:sz w:val="24"/>
                <w:szCs w:val="24"/>
                <w:vertAlign w:val="superscript"/>
              </w:rPr>
              <w:t>st</w:t>
            </w:r>
            <w:r w:rsidRPr="001B40F2">
              <w:rPr>
                <w:rFonts w:ascii="Times New Roman" w:hAnsi="Times New Roman" w:cs="Times New Roman"/>
                <w:b/>
                <w:bCs/>
                <w:sz w:val="24"/>
                <w:szCs w:val="24"/>
              </w:rPr>
              <w:t xml:space="preserve"> follow-up</w:t>
            </w:r>
          </w:p>
        </w:tc>
      </w:tr>
      <w:tr w:rsidR="001B40F2" w14:paraId="5959B0F9" w14:textId="77777777" w:rsidTr="00994B4B">
        <w:tc>
          <w:tcPr>
            <w:tcW w:w="9016" w:type="dxa"/>
            <w:gridSpan w:val="4"/>
          </w:tcPr>
          <w:p w14:paraId="0BCD2D90" w14:textId="4211B82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50B5A398" w14:textId="77777777" w:rsidTr="0008159F">
        <w:tc>
          <w:tcPr>
            <w:tcW w:w="2254" w:type="dxa"/>
          </w:tcPr>
          <w:p w14:paraId="42FF66CD" w14:textId="68445E6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Absent</w:t>
            </w:r>
          </w:p>
        </w:tc>
        <w:tc>
          <w:tcPr>
            <w:tcW w:w="2254" w:type="dxa"/>
          </w:tcPr>
          <w:p w14:paraId="5B1790F3" w14:textId="760DB46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tcPr>
          <w:p w14:paraId="3220A93F" w14:textId="242891A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(87.8)</w:t>
            </w:r>
          </w:p>
        </w:tc>
        <w:tc>
          <w:tcPr>
            <w:tcW w:w="2254" w:type="dxa"/>
            <w:vMerge w:val="restart"/>
          </w:tcPr>
          <w:p w14:paraId="2A09B01A" w14:textId="23C98DFA"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0.764</w:t>
            </w:r>
            <w:r>
              <w:rPr>
                <w:rFonts w:ascii="Times New Roman" w:hAnsi="Times New Roman" w:cs="Times New Roman"/>
                <w:sz w:val="24"/>
                <w:szCs w:val="24"/>
                <w:vertAlign w:val="superscript"/>
              </w:rPr>
              <w:t>^</w:t>
            </w:r>
          </w:p>
        </w:tc>
      </w:tr>
      <w:tr w:rsidR="001B40F2" w14:paraId="6D00F960" w14:textId="77777777" w:rsidTr="0008159F">
        <w:tc>
          <w:tcPr>
            <w:tcW w:w="2254" w:type="dxa"/>
          </w:tcPr>
          <w:p w14:paraId="50B304E7" w14:textId="10A9E8E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w:t>
            </w:r>
          </w:p>
        </w:tc>
        <w:tc>
          <w:tcPr>
            <w:tcW w:w="2254" w:type="dxa"/>
          </w:tcPr>
          <w:p w14:paraId="7ED0048E" w14:textId="732F2FD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tcPr>
          <w:p w14:paraId="0D4BB858" w14:textId="2A6596F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(12.2)</w:t>
            </w:r>
          </w:p>
        </w:tc>
        <w:tc>
          <w:tcPr>
            <w:tcW w:w="2254" w:type="dxa"/>
            <w:vMerge/>
          </w:tcPr>
          <w:p w14:paraId="2CEBCC14" w14:textId="77777777" w:rsidR="001B40F2" w:rsidRDefault="001B40F2" w:rsidP="00D67C0F">
            <w:pPr>
              <w:spacing w:line="360" w:lineRule="auto"/>
              <w:jc w:val="both"/>
              <w:rPr>
                <w:rFonts w:ascii="Times New Roman" w:hAnsi="Times New Roman" w:cs="Times New Roman"/>
                <w:sz w:val="24"/>
                <w:szCs w:val="24"/>
              </w:rPr>
            </w:pPr>
          </w:p>
        </w:tc>
      </w:tr>
      <w:tr w:rsidR="001B40F2" w14:paraId="503EF759" w14:textId="77777777" w:rsidTr="00B67C98">
        <w:tc>
          <w:tcPr>
            <w:tcW w:w="9016" w:type="dxa"/>
            <w:gridSpan w:val="4"/>
          </w:tcPr>
          <w:p w14:paraId="6BE8778B" w14:textId="2EE14AC7"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r>
      <w:tr w:rsidR="001B40F2" w14:paraId="4908B4B4" w14:textId="77777777" w:rsidTr="0008159F">
        <w:tc>
          <w:tcPr>
            <w:tcW w:w="2254" w:type="dxa"/>
          </w:tcPr>
          <w:p w14:paraId="65EDCB63" w14:textId="6D65FD9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6EA0746C" w14:textId="3CC15C2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24 (72.7)</w:t>
            </w:r>
          </w:p>
        </w:tc>
        <w:tc>
          <w:tcPr>
            <w:tcW w:w="2254" w:type="dxa"/>
          </w:tcPr>
          <w:p w14:paraId="1C9F3CD0" w14:textId="0E4FF2E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22 (66.7)</w:t>
            </w:r>
          </w:p>
        </w:tc>
        <w:tc>
          <w:tcPr>
            <w:tcW w:w="2254" w:type="dxa"/>
            <w:vMerge w:val="restart"/>
          </w:tcPr>
          <w:p w14:paraId="23ECA87E" w14:textId="43378011"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0.789</w:t>
            </w:r>
            <w:r>
              <w:rPr>
                <w:rFonts w:ascii="Times New Roman" w:hAnsi="Times New Roman" w:cs="Times New Roman"/>
                <w:sz w:val="24"/>
                <w:szCs w:val="24"/>
                <w:vertAlign w:val="superscript"/>
              </w:rPr>
              <w:t>^</w:t>
            </w:r>
          </w:p>
        </w:tc>
      </w:tr>
      <w:tr w:rsidR="001B40F2" w14:paraId="7C972F66" w14:textId="77777777" w:rsidTr="0008159F">
        <w:tc>
          <w:tcPr>
            <w:tcW w:w="2254" w:type="dxa"/>
          </w:tcPr>
          <w:p w14:paraId="0896BA75" w14:textId="6F0BE59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197BD613" w14:textId="42E0B88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9 (27.3)</w:t>
            </w:r>
          </w:p>
        </w:tc>
        <w:tc>
          <w:tcPr>
            <w:tcW w:w="2254" w:type="dxa"/>
          </w:tcPr>
          <w:p w14:paraId="3ED059E3" w14:textId="3FAE729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11 (33.3)</w:t>
            </w:r>
          </w:p>
        </w:tc>
        <w:tc>
          <w:tcPr>
            <w:tcW w:w="2254" w:type="dxa"/>
            <w:vMerge/>
          </w:tcPr>
          <w:p w14:paraId="5A154223" w14:textId="77777777" w:rsidR="001B40F2" w:rsidRDefault="001B40F2" w:rsidP="00D67C0F">
            <w:pPr>
              <w:spacing w:line="360" w:lineRule="auto"/>
              <w:jc w:val="both"/>
              <w:rPr>
                <w:rFonts w:ascii="Times New Roman" w:hAnsi="Times New Roman" w:cs="Times New Roman"/>
                <w:sz w:val="24"/>
                <w:szCs w:val="24"/>
              </w:rPr>
            </w:pPr>
          </w:p>
        </w:tc>
      </w:tr>
      <w:tr w:rsidR="001B40F2" w14:paraId="2B20F200" w14:textId="77777777" w:rsidTr="00C22C9E">
        <w:tc>
          <w:tcPr>
            <w:tcW w:w="9016" w:type="dxa"/>
            <w:gridSpan w:val="4"/>
          </w:tcPr>
          <w:p w14:paraId="69743BA4" w14:textId="5355C68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r>
      <w:tr w:rsidR="001B40F2" w14:paraId="1092C551" w14:textId="77777777" w:rsidTr="0008159F">
        <w:tc>
          <w:tcPr>
            <w:tcW w:w="2254" w:type="dxa"/>
          </w:tcPr>
          <w:p w14:paraId="495BCFEB" w14:textId="4980D91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62443B5F" w14:textId="02C79B6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25 (75.8)</w:t>
            </w:r>
          </w:p>
        </w:tc>
        <w:tc>
          <w:tcPr>
            <w:tcW w:w="2254" w:type="dxa"/>
          </w:tcPr>
          <w:p w14:paraId="6EA6838D" w14:textId="3DC15EC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28 (84.8)</w:t>
            </w:r>
          </w:p>
        </w:tc>
        <w:tc>
          <w:tcPr>
            <w:tcW w:w="2254" w:type="dxa"/>
            <w:vMerge w:val="restart"/>
          </w:tcPr>
          <w:p w14:paraId="0511A27A" w14:textId="0FBA4A50" w:rsidR="001B40F2" w:rsidRPr="00FE12AB"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0.537</w:t>
            </w:r>
            <w:r>
              <w:rPr>
                <w:rFonts w:ascii="Times New Roman" w:hAnsi="Times New Roman" w:cs="Times New Roman"/>
                <w:sz w:val="24"/>
                <w:szCs w:val="24"/>
                <w:vertAlign w:val="superscript"/>
              </w:rPr>
              <w:t>^</w:t>
            </w:r>
          </w:p>
        </w:tc>
      </w:tr>
      <w:tr w:rsidR="001B40F2" w14:paraId="7BF5A454" w14:textId="77777777" w:rsidTr="0008159F">
        <w:tc>
          <w:tcPr>
            <w:tcW w:w="2254" w:type="dxa"/>
          </w:tcPr>
          <w:p w14:paraId="5E0D3B47" w14:textId="75DCC80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CA7FBFE" w14:textId="4818A59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8 (24.2)</w:t>
            </w:r>
          </w:p>
        </w:tc>
        <w:tc>
          <w:tcPr>
            <w:tcW w:w="2254" w:type="dxa"/>
          </w:tcPr>
          <w:p w14:paraId="137B1A04" w14:textId="5C58D46B"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(15.6)</w:t>
            </w:r>
          </w:p>
        </w:tc>
        <w:tc>
          <w:tcPr>
            <w:tcW w:w="2254" w:type="dxa"/>
            <w:vMerge/>
          </w:tcPr>
          <w:p w14:paraId="74A1BDA7" w14:textId="77777777" w:rsidR="001B40F2" w:rsidRDefault="001B40F2" w:rsidP="00D67C0F">
            <w:pPr>
              <w:spacing w:line="360" w:lineRule="auto"/>
              <w:jc w:val="both"/>
              <w:rPr>
                <w:rFonts w:ascii="Times New Roman" w:hAnsi="Times New Roman" w:cs="Times New Roman"/>
                <w:sz w:val="24"/>
                <w:szCs w:val="24"/>
              </w:rPr>
            </w:pPr>
          </w:p>
        </w:tc>
      </w:tr>
      <w:tr w:rsidR="001B40F2" w14:paraId="02784695" w14:textId="77777777" w:rsidTr="002776A0">
        <w:tc>
          <w:tcPr>
            <w:tcW w:w="9016" w:type="dxa"/>
            <w:gridSpan w:val="4"/>
          </w:tcPr>
          <w:p w14:paraId="547E0AFC" w14:textId="2E09BEBF"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2</w:t>
            </w:r>
            <w:r w:rsidRPr="001B40F2">
              <w:rPr>
                <w:rFonts w:ascii="Times New Roman" w:hAnsi="Times New Roman" w:cs="Times New Roman"/>
                <w:b/>
                <w:bCs/>
                <w:sz w:val="24"/>
                <w:szCs w:val="24"/>
                <w:vertAlign w:val="superscript"/>
              </w:rPr>
              <w:t>nd</w:t>
            </w:r>
            <w:r w:rsidRPr="001B40F2">
              <w:rPr>
                <w:rFonts w:ascii="Times New Roman" w:hAnsi="Times New Roman" w:cs="Times New Roman"/>
                <w:b/>
                <w:bCs/>
                <w:sz w:val="24"/>
                <w:szCs w:val="24"/>
              </w:rPr>
              <w:t xml:space="preserve"> follow-up</w:t>
            </w:r>
          </w:p>
        </w:tc>
      </w:tr>
      <w:tr w:rsidR="001B40F2" w14:paraId="453B195F" w14:textId="77777777" w:rsidTr="000A0C69">
        <w:tc>
          <w:tcPr>
            <w:tcW w:w="9016" w:type="dxa"/>
            <w:gridSpan w:val="4"/>
          </w:tcPr>
          <w:p w14:paraId="1AA19E1A" w14:textId="3EA581C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6ACFB03C" w14:textId="77777777" w:rsidTr="0008159F">
        <w:tc>
          <w:tcPr>
            <w:tcW w:w="2254" w:type="dxa"/>
          </w:tcPr>
          <w:p w14:paraId="1A6C451F" w14:textId="020C5F2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Absent </w:t>
            </w:r>
          </w:p>
        </w:tc>
        <w:tc>
          <w:tcPr>
            <w:tcW w:w="2254" w:type="dxa"/>
          </w:tcPr>
          <w:p w14:paraId="46A4683D" w14:textId="6020107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tcPr>
          <w:p w14:paraId="2C3FCBEC" w14:textId="636C75B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267ED575" w14:textId="08FAAAB2" w:rsidR="001B40F2" w:rsidRPr="009815EE"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0.554^</w:t>
            </w:r>
          </w:p>
        </w:tc>
      </w:tr>
      <w:tr w:rsidR="001B40F2" w14:paraId="6BDAEC51" w14:textId="77777777" w:rsidTr="0008159F">
        <w:tc>
          <w:tcPr>
            <w:tcW w:w="2254" w:type="dxa"/>
          </w:tcPr>
          <w:p w14:paraId="0A42D3B6" w14:textId="4A0FE0B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40C099DA" w14:textId="0173D65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tcPr>
          <w:p w14:paraId="37DB0488" w14:textId="71BC880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6849A20E" w14:textId="77777777" w:rsidR="001B40F2" w:rsidRDefault="001B40F2" w:rsidP="00D67C0F">
            <w:pPr>
              <w:spacing w:line="360" w:lineRule="auto"/>
              <w:jc w:val="both"/>
              <w:rPr>
                <w:rFonts w:ascii="Times New Roman" w:hAnsi="Times New Roman" w:cs="Times New Roman"/>
                <w:sz w:val="24"/>
                <w:szCs w:val="24"/>
              </w:rPr>
            </w:pPr>
          </w:p>
        </w:tc>
      </w:tr>
      <w:tr w:rsidR="001B40F2" w14:paraId="6870B131" w14:textId="77777777" w:rsidTr="00E2062E">
        <w:tc>
          <w:tcPr>
            <w:tcW w:w="6762" w:type="dxa"/>
            <w:gridSpan w:val="3"/>
          </w:tcPr>
          <w:p w14:paraId="72BA2FDC" w14:textId="4DB1C6F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c>
          <w:tcPr>
            <w:tcW w:w="2254" w:type="dxa"/>
          </w:tcPr>
          <w:p w14:paraId="6BCB11A4" w14:textId="77777777" w:rsidR="001B40F2" w:rsidRDefault="001B40F2" w:rsidP="00D67C0F">
            <w:pPr>
              <w:spacing w:line="360" w:lineRule="auto"/>
              <w:jc w:val="both"/>
              <w:rPr>
                <w:rFonts w:ascii="Times New Roman" w:hAnsi="Times New Roman" w:cs="Times New Roman"/>
                <w:sz w:val="24"/>
                <w:szCs w:val="24"/>
              </w:rPr>
            </w:pPr>
          </w:p>
        </w:tc>
      </w:tr>
      <w:tr w:rsidR="001B40F2" w14:paraId="440C9804" w14:textId="77777777" w:rsidTr="0008159F">
        <w:tc>
          <w:tcPr>
            <w:tcW w:w="2254" w:type="dxa"/>
          </w:tcPr>
          <w:p w14:paraId="413F3B2B" w14:textId="47CDE80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31CDBD75" w14:textId="0422653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tcPr>
          <w:p w14:paraId="3CEA0D5E" w14:textId="7400483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28 (84.8)</w:t>
            </w:r>
          </w:p>
        </w:tc>
        <w:tc>
          <w:tcPr>
            <w:tcW w:w="2254" w:type="dxa"/>
            <w:vMerge w:val="restart"/>
          </w:tcPr>
          <w:p w14:paraId="7A0F9D25" w14:textId="0D855C3B" w:rsidR="001B40F2" w:rsidRPr="001B40F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0.719</w:t>
            </w:r>
            <w:r>
              <w:rPr>
                <w:rFonts w:ascii="Times New Roman" w:hAnsi="Times New Roman" w:cs="Times New Roman"/>
                <w:sz w:val="24"/>
                <w:szCs w:val="24"/>
                <w:vertAlign w:val="superscript"/>
              </w:rPr>
              <w:t>^</w:t>
            </w:r>
          </w:p>
        </w:tc>
      </w:tr>
      <w:tr w:rsidR="001B40F2" w14:paraId="21A51519" w14:textId="77777777" w:rsidTr="0008159F">
        <w:tc>
          <w:tcPr>
            <w:tcW w:w="2254" w:type="dxa"/>
          </w:tcPr>
          <w:p w14:paraId="49FED2A3" w14:textId="3AFADB1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4FE386CA" w14:textId="2AAFD97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66B6C979" w14:textId="0082BC9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(15.2)</w:t>
            </w:r>
          </w:p>
        </w:tc>
        <w:tc>
          <w:tcPr>
            <w:tcW w:w="2254" w:type="dxa"/>
            <w:vMerge/>
          </w:tcPr>
          <w:p w14:paraId="0D5C1BD9" w14:textId="77777777" w:rsidR="001B40F2" w:rsidRDefault="001B40F2" w:rsidP="00D67C0F">
            <w:pPr>
              <w:spacing w:line="360" w:lineRule="auto"/>
              <w:jc w:val="both"/>
              <w:rPr>
                <w:rFonts w:ascii="Times New Roman" w:hAnsi="Times New Roman" w:cs="Times New Roman"/>
                <w:sz w:val="24"/>
                <w:szCs w:val="24"/>
              </w:rPr>
            </w:pPr>
          </w:p>
        </w:tc>
      </w:tr>
      <w:tr w:rsidR="001B40F2" w14:paraId="65E50553" w14:textId="77777777" w:rsidTr="004F4567">
        <w:tc>
          <w:tcPr>
            <w:tcW w:w="9016" w:type="dxa"/>
            <w:gridSpan w:val="4"/>
          </w:tcPr>
          <w:p w14:paraId="059CA7FB" w14:textId="38868193"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r>
      <w:tr w:rsidR="001B40F2" w14:paraId="6E513AEE" w14:textId="77777777" w:rsidTr="0008159F">
        <w:tc>
          <w:tcPr>
            <w:tcW w:w="2254" w:type="dxa"/>
          </w:tcPr>
          <w:p w14:paraId="7151041A" w14:textId="05647243"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C1743EB" w14:textId="507EF8D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29 (87.9)</w:t>
            </w:r>
          </w:p>
        </w:tc>
        <w:tc>
          <w:tcPr>
            <w:tcW w:w="2254" w:type="dxa"/>
          </w:tcPr>
          <w:p w14:paraId="33956C8F" w14:textId="1ED0702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067269CB" w14:textId="4341C9FD" w:rsidR="001B40F2" w:rsidRPr="009815EE"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0.391</w:t>
            </w:r>
            <w:r>
              <w:rPr>
                <w:rFonts w:ascii="Times New Roman" w:hAnsi="Times New Roman" w:cs="Times New Roman"/>
                <w:sz w:val="24"/>
                <w:szCs w:val="24"/>
                <w:vertAlign w:val="superscript"/>
              </w:rPr>
              <w:t>^</w:t>
            </w:r>
          </w:p>
        </w:tc>
      </w:tr>
      <w:tr w:rsidR="001B40F2" w14:paraId="332F93B1" w14:textId="77777777" w:rsidTr="0008159F">
        <w:tc>
          <w:tcPr>
            <w:tcW w:w="2254" w:type="dxa"/>
          </w:tcPr>
          <w:p w14:paraId="6F001526" w14:textId="5287571C"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71383D5A" w14:textId="773AD5A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(12.1)</w:t>
            </w:r>
          </w:p>
        </w:tc>
        <w:tc>
          <w:tcPr>
            <w:tcW w:w="2254" w:type="dxa"/>
          </w:tcPr>
          <w:p w14:paraId="15968AED" w14:textId="0F5203ED"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4B5C68DC" w14:textId="77777777" w:rsidR="001B40F2" w:rsidRDefault="001B40F2" w:rsidP="00D67C0F">
            <w:pPr>
              <w:spacing w:line="360" w:lineRule="auto"/>
              <w:jc w:val="both"/>
              <w:rPr>
                <w:rFonts w:ascii="Times New Roman" w:hAnsi="Times New Roman" w:cs="Times New Roman"/>
                <w:sz w:val="24"/>
                <w:szCs w:val="24"/>
              </w:rPr>
            </w:pPr>
          </w:p>
        </w:tc>
      </w:tr>
      <w:tr w:rsidR="001B40F2" w14:paraId="622DC578" w14:textId="77777777" w:rsidTr="007846F4">
        <w:tc>
          <w:tcPr>
            <w:tcW w:w="9016" w:type="dxa"/>
            <w:gridSpan w:val="4"/>
          </w:tcPr>
          <w:p w14:paraId="190EA71D" w14:textId="4793DA45"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During 3</w:t>
            </w:r>
            <w:r w:rsidRPr="001B40F2">
              <w:rPr>
                <w:rFonts w:ascii="Times New Roman" w:hAnsi="Times New Roman" w:cs="Times New Roman"/>
                <w:b/>
                <w:bCs/>
                <w:sz w:val="24"/>
                <w:szCs w:val="24"/>
                <w:vertAlign w:val="superscript"/>
              </w:rPr>
              <w:t>rd</w:t>
            </w:r>
            <w:r w:rsidRPr="001B40F2">
              <w:rPr>
                <w:rFonts w:ascii="Times New Roman" w:hAnsi="Times New Roman" w:cs="Times New Roman"/>
                <w:b/>
                <w:bCs/>
                <w:sz w:val="24"/>
                <w:szCs w:val="24"/>
              </w:rPr>
              <w:t xml:space="preserve"> follow-up</w:t>
            </w:r>
          </w:p>
        </w:tc>
      </w:tr>
      <w:tr w:rsidR="001B40F2" w14:paraId="47190208" w14:textId="77777777" w:rsidTr="009A41CE">
        <w:tc>
          <w:tcPr>
            <w:tcW w:w="9016" w:type="dxa"/>
            <w:gridSpan w:val="4"/>
          </w:tcPr>
          <w:p w14:paraId="7E34B537" w14:textId="38A1EBB8"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Abnormal bleeding</w:t>
            </w:r>
          </w:p>
        </w:tc>
      </w:tr>
      <w:tr w:rsidR="001B40F2" w14:paraId="62217EE5" w14:textId="77777777" w:rsidTr="0008159F">
        <w:tc>
          <w:tcPr>
            <w:tcW w:w="2254" w:type="dxa"/>
          </w:tcPr>
          <w:p w14:paraId="03ED969B" w14:textId="4721150B"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CB76018" w14:textId="3A1C206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33 (100.0)</w:t>
            </w:r>
          </w:p>
        </w:tc>
        <w:tc>
          <w:tcPr>
            <w:tcW w:w="2254" w:type="dxa"/>
          </w:tcPr>
          <w:p w14:paraId="31EE63DE" w14:textId="75E00355"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vMerge w:val="restart"/>
          </w:tcPr>
          <w:p w14:paraId="217A0BC0" w14:textId="02E66EF3"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1B40F2" w14:paraId="1314D588" w14:textId="77777777" w:rsidTr="0008159F">
        <w:tc>
          <w:tcPr>
            <w:tcW w:w="2254" w:type="dxa"/>
          </w:tcPr>
          <w:p w14:paraId="0D146F7B" w14:textId="4753D29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64057E13" w14:textId="1D19DE8E"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41C2882D" w14:textId="44562F0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vMerge/>
          </w:tcPr>
          <w:p w14:paraId="5EEF080D" w14:textId="77777777" w:rsidR="001B40F2" w:rsidRDefault="001B40F2" w:rsidP="00D67C0F">
            <w:pPr>
              <w:spacing w:line="360" w:lineRule="auto"/>
              <w:jc w:val="both"/>
              <w:rPr>
                <w:rFonts w:ascii="Times New Roman" w:hAnsi="Times New Roman" w:cs="Times New Roman"/>
                <w:sz w:val="24"/>
                <w:szCs w:val="24"/>
              </w:rPr>
            </w:pPr>
          </w:p>
        </w:tc>
      </w:tr>
      <w:tr w:rsidR="001B40F2" w14:paraId="1BE80BAA" w14:textId="77777777" w:rsidTr="00115649">
        <w:tc>
          <w:tcPr>
            <w:tcW w:w="9016" w:type="dxa"/>
            <w:gridSpan w:val="4"/>
          </w:tcPr>
          <w:p w14:paraId="1DB3F5C3" w14:textId="787B74AC"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Unusual discharge</w:t>
            </w:r>
          </w:p>
        </w:tc>
      </w:tr>
      <w:tr w:rsidR="001B40F2" w14:paraId="2E73CEA1" w14:textId="77777777" w:rsidTr="0008159F">
        <w:tc>
          <w:tcPr>
            <w:tcW w:w="2254" w:type="dxa"/>
          </w:tcPr>
          <w:p w14:paraId="6D21BAD2" w14:textId="0E8EBA2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208EAF2" w14:textId="2918618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30 (90.9)</w:t>
            </w:r>
          </w:p>
        </w:tc>
        <w:tc>
          <w:tcPr>
            <w:tcW w:w="2254" w:type="dxa"/>
          </w:tcPr>
          <w:p w14:paraId="6B2A2C0A" w14:textId="633E592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vMerge w:val="restart"/>
          </w:tcPr>
          <w:p w14:paraId="4BE86B93" w14:textId="44B22FF4"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0.613^</w:t>
            </w:r>
          </w:p>
        </w:tc>
      </w:tr>
      <w:tr w:rsidR="001B40F2" w14:paraId="0401AE13" w14:textId="77777777" w:rsidTr="0008159F">
        <w:tc>
          <w:tcPr>
            <w:tcW w:w="2254" w:type="dxa"/>
          </w:tcPr>
          <w:p w14:paraId="11D00176" w14:textId="0E9CE161"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73D4C183" w14:textId="21D9A1A6"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(9.1)</w:t>
            </w:r>
          </w:p>
        </w:tc>
        <w:tc>
          <w:tcPr>
            <w:tcW w:w="2254" w:type="dxa"/>
          </w:tcPr>
          <w:p w14:paraId="4410C0E4" w14:textId="017E24A8"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vMerge/>
          </w:tcPr>
          <w:p w14:paraId="51C4BFDF" w14:textId="77777777" w:rsidR="001B40F2" w:rsidRDefault="001B40F2" w:rsidP="00D67C0F">
            <w:pPr>
              <w:spacing w:line="360" w:lineRule="auto"/>
              <w:jc w:val="both"/>
              <w:rPr>
                <w:rFonts w:ascii="Times New Roman" w:hAnsi="Times New Roman" w:cs="Times New Roman"/>
                <w:sz w:val="24"/>
                <w:szCs w:val="24"/>
              </w:rPr>
            </w:pPr>
          </w:p>
        </w:tc>
      </w:tr>
      <w:tr w:rsidR="001B40F2" w14:paraId="09B1761C" w14:textId="77777777" w:rsidTr="001B40F2">
        <w:tc>
          <w:tcPr>
            <w:tcW w:w="6762" w:type="dxa"/>
            <w:gridSpan w:val="3"/>
            <w:tcBorders>
              <w:right w:val="nil"/>
            </w:tcBorders>
          </w:tcPr>
          <w:p w14:paraId="08A2C65B" w14:textId="20552932" w:rsidR="001B40F2" w:rsidRPr="001B40F2" w:rsidRDefault="001B40F2" w:rsidP="00D67C0F">
            <w:pPr>
              <w:spacing w:line="360" w:lineRule="auto"/>
              <w:jc w:val="both"/>
              <w:rPr>
                <w:rFonts w:ascii="Times New Roman" w:hAnsi="Times New Roman" w:cs="Times New Roman"/>
                <w:b/>
                <w:bCs/>
                <w:sz w:val="24"/>
                <w:szCs w:val="24"/>
              </w:rPr>
            </w:pPr>
            <w:r w:rsidRPr="001B40F2">
              <w:rPr>
                <w:rFonts w:ascii="Times New Roman" w:hAnsi="Times New Roman" w:cs="Times New Roman"/>
                <w:b/>
                <w:bCs/>
                <w:sz w:val="24"/>
                <w:szCs w:val="24"/>
              </w:rPr>
              <w:t>Pelvic pain</w:t>
            </w:r>
          </w:p>
        </w:tc>
        <w:tc>
          <w:tcPr>
            <w:tcW w:w="2254" w:type="dxa"/>
            <w:tcBorders>
              <w:left w:val="nil"/>
            </w:tcBorders>
          </w:tcPr>
          <w:p w14:paraId="67A03F83" w14:textId="77777777" w:rsidR="001B40F2" w:rsidRDefault="001B40F2" w:rsidP="00D67C0F">
            <w:pPr>
              <w:spacing w:after="160" w:line="259" w:lineRule="auto"/>
              <w:jc w:val="both"/>
              <w:rPr>
                <w:rFonts w:ascii="Times New Roman" w:hAnsi="Times New Roman" w:cs="Times New Roman"/>
                <w:sz w:val="24"/>
                <w:szCs w:val="24"/>
              </w:rPr>
            </w:pPr>
          </w:p>
        </w:tc>
      </w:tr>
      <w:tr w:rsidR="001B40F2" w14:paraId="49BA5AF8" w14:textId="77777777" w:rsidTr="0008159F">
        <w:tc>
          <w:tcPr>
            <w:tcW w:w="2254" w:type="dxa"/>
          </w:tcPr>
          <w:p w14:paraId="377618DB" w14:textId="3A9B6764"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tc>
        <w:tc>
          <w:tcPr>
            <w:tcW w:w="2254" w:type="dxa"/>
          </w:tcPr>
          <w:p w14:paraId="48A462CC" w14:textId="5D98B360"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32 (96.9)</w:t>
            </w:r>
          </w:p>
        </w:tc>
        <w:tc>
          <w:tcPr>
            <w:tcW w:w="2254" w:type="dxa"/>
          </w:tcPr>
          <w:p w14:paraId="656F12C2" w14:textId="540869D7"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31 (93.9)</w:t>
            </w:r>
          </w:p>
        </w:tc>
        <w:tc>
          <w:tcPr>
            <w:tcW w:w="2254" w:type="dxa"/>
            <w:vMerge w:val="restart"/>
          </w:tcPr>
          <w:p w14:paraId="712F96D5" w14:textId="2FBFE68F" w:rsidR="001B40F2" w:rsidRPr="00041F92" w:rsidRDefault="001B40F2"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1.00</w:t>
            </w:r>
            <w:r>
              <w:rPr>
                <w:rFonts w:ascii="Times New Roman" w:hAnsi="Times New Roman" w:cs="Times New Roman"/>
                <w:sz w:val="24"/>
                <w:szCs w:val="24"/>
                <w:vertAlign w:val="superscript"/>
              </w:rPr>
              <w:t>^</w:t>
            </w:r>
          </w:p>
        </w:tc>
      </w:tr>
      <w:tr w:rsidR="001B40F2" w14:paraId="2A231E3E" w14:textId="77777777" w:rsidTr="0008159F">
        <w:tc>
          <w:tcPr>
            <w:tcW w:w="2254" w:type="dxa"/>
          </w:tcPr>
          <w:p w14:paraId="5D2DAD64" w14:textId="52FA2052"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Mild</w:t>
            </w:r>
          </w:p>
        </w:tc>
        <w:tc>
          <w:tcPr>
            <w:tcW w:w="2254" w:type="dxa"/>
          </w:tcPr>
          <w:p w14:paraId="3C61B4A3" w14:textId="61A0248A"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(3.1)</w:t>
            </w:r>
          </w:p>
        </w:tc>
        <w:tc>
          <w:tcPr>
            <w:tcW w:w="2254" w:type="dxa"/>
          </w:tcPr>
          <w:p w14:paraId="0B5BACDB" w14:textId="3B356E49" w:rsidR="001B40F2" w:rsidRDefault="001B40F2"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(6.1)</w:t>
            </w:r>
          </w:p>
        </w:tc>
        <w:tc>
          <w:tcPr>
            <w:tcW w:w="2254" w:type="dxa"/>
            <w:vMerge/>
          </w:tcPr>
          <w:p w14:paraId="570306A7" w14:textId="77777777" w:rsidR="001B40F2" w:rsidRDefault="001B40F2" w:rsidP="00D67C0F">
            <w:pPr>
              <w:spacing w:line="360" w:lineRule="auto"/>
              <w:jc w:val="both"/>
              <w:rPr>
                <w:rFonts w:ascii="Times New Roman" w:hAnsi="Times New Roman" w:cs="Times New Roman"/>
                <w:sz w:val="24"/>
                <w:szCs w:val="24"/>
              </w:rPr>
            </w:pPr>
          </w:p>
        </w:tc>
      </w:tr>
    </w:tbl>
    <w:p w14:paraId="605CBAE3" w14:textId="2782B01C" w:rsidR="0018119C" w:rsidRPr="0018119C" w:rsidRDefault="0018119C"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iCs/>
          <w:sz w:val="24"/>
          <w:szCs w:val="24"/>
        </w:rPr>
        <w:t>*</w:t>
      </w:r>
      <w:r w:rsidRPr="0018119C">
        <w:rPr>
          <w:rFonts w:ascii="Times New Roman" w:hAnsi="Times New Roman" w:cs="Times New Roman"/>
          <w:i/>
          <w:sz w:val="24"/>
          <w:szCs w:val="24"/>
        </w:rPr>
        <w:t>p-</w:t>
      </w:r>
      <w:r w:rsidRPr="0018119C">
        <w:rPr>
          <w:rFonts w:ascii="Times New Roman" w:hAnsi="Times New Roman" w:cs="Times New Roman"/>
          <w:sz w:val="24"/>
          <w:szCs w:val="24"/>
        </w:rPr>
        <w:t xml:space="preserve">value was determined by </w:t>
      </w:r>
      <w:r>
        <w:rPr>
          <w:rFonts w:ascii="Times New Roman" w:hAnsi="Times New Roman" w:cs="Times New Roman"/>
          <w:sz w:val="24"/>
          <w:szCs w:val="24"/>
        </w:rPr>
        <w:t>Chi-squared tests</w:t>
      </w:r>
      <w:r w:rsidR="00B54BA5">
        <w:rPr>
          <w:rFonts w:ascii="Times New Roman" w:hAnsi="Times New Roman" w:cs="Times New Roman"/>
          <w:sz w:val="24"/>
          <w:szCs w:val="24"/>
          <w:vertAlign w:val="superscript"/>
        </w:rPr>
        <w:t xml:space="preserve">^ </w:t>
      </w:r>
      <w:r w:rsidR="00B54BA5">
        <w:rPr>
          <w:rFonts w:ascii="Times New Roman" w:hAnsi="Times New Roman" w:cs="Times New Roman"/>
          <w:sz w:val="24"/>
          <w:szCs w:val="24"/>
        </w:rPr>
        <w:t>and Fisher’s exact test</w:t>
      </w:r>
      <w:proofErr w:type="gramStart"/>
      <w:r w:rsidR="00B54BA5">
        <w:rPr>
          <w:rFonts w:ascii="Times New Roman" w:hAnsi="Times New Roman" w:cs="Times New Roman"/>
          <w:sz w:val="24"/>
          <w:szCs w:val="24"/>
          <w:vertAlign w:val="superscript"/>
        </w:rPr>
        <w:t>+</w:t>
      </w:r>
      <w:r w:rsidR="00B54BA5">
        <w:rPr>
          <w:rFonts w:ascii="Times New Roman" w:hAnsi="Times New Roman" w:cs="Times New Roman"/>
          <w:sz w:val="24"/>
          <w:szCs w:val="24"/>
        </w:rPr>
        <w:t>.</w:t>
      </w:r>
      <w:r>
        <w:rPr>
          <w:rFonts w:ascii="Times New Roman" w:hAnsi="Times New Roman" w:cs="Times New Roman"/>
          <w:sz w:val="24"/>
          <w:szCs w:val="24"/>
          <w:vertAlign w:val="superscript"/>
        </w:rPr>
        <w:t>.</w:t>
      </w:r>
      <w:proofErr w:type="gramEnd"/>
    </w:p>
    <w:p w14:paraId="7760BDDA" w14:textId="5EFAE5A8" w:rsidR="004E5D20" w:rsidRDefault="00CE5CE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demonstrates the clinical presentations of the study sample. It was clear that, before the treatment was initiated, 66.7% Arm A and 72.7% Arm B had mild abnormal bleeding, 54.6% Arm A and 63.6% Arm B cases complained of unusual per vaginal discharges and 75.8% Arm </w:t>
      </w:r>
      <w:r>
        <w:rPr>
          <w:rFonts w:ascii="Times New Roman" w:hAnsi="Times New Roman" w:cs="Times New Roman"/>
          <w:sz w:val="24"/>
          <w:szCs w:val="24"/>
        </w:rPr>
        <w:lastRenderedPageBreak/>
        <w:t xml:space="preserve">A and 63.6% Arm B patients suffered from pain in the pelvic region. </w:t>
      </w:r>
      <w:r w:rsidR="005C10FB">
        <w:rPr>
          <w:rFonts w:ascii="Times New Roman" w:hAnsi="Times New Roman" w:cs="Times New Roman"/>
          <w:sz w:val="24"/>
          <w:szCs w:val="24"/>
        </w:rPr>
        <w:t>However, as the intervention was completed, during the follow-up sessions, it was evident that the numbers had changed. For instance, during 1</w:t>
      </w:r>
      <w:r w:rsidR="005C10FB" w:rsidRPr="005C10FB">
        <w:rPr>
          <w:rFonts w:ascii="Times New Roman" w:hAnsi="Times New Roman" w:cs="Times New Roman"/>
          <w:sz w:val="24"/>
          <w:szCs w:val="24"/>
          <w:vertAlign w:val="superscript"/>
        </w:rPr>
        <w:t>st</w:t>
      </w:r>
      <w:r w:rsidR="005C10FB">
        <w:rPr>
          <w:rFonts w:ascii="Times New Roman" w:hAnsi="Times New Roman" w:cs="Times New Roman"/>
          <w:sz w:val="24"/>
          <w:szCs w:val="24"/>
        </w:rPr>
        <w:t xml:space="preserve"> follow-up, </w:t>
      </w:r>
      <w:r w:rsidR="00352121">
        <w:rPr>
          <w:rFonts w:ascii="Times New Roman" w:hAnsi="Times New Roman" w:cs="Times New Roman"/>
          <w:sz w:val="24"/>
          <w:szCs w:val="24"/>
        </w:rPr>
        <w:t>only 6.1% and 12.2% patients of Arm A and B respectively reported abnormal bleeding. Then again, during the 2</w:t>
      </w:r>
      <w:r w:rsidR="00352121" w:rsidRPr="00352121">
        <w:rPr>
          <w:rFonts w:ascii="Times New Roman" w:hAnsi="Times New Roman" w:cs="Times New Roman"/>
          <w:sz w:val="24"/>
          <w:szCs w:val="24"/>
          <w:vertAlign w:val="superscript"/>
        </w:rPr>
        <w:t>nd</w:t>
      </w:r>
      <w:r w:rsidR="00352121">
        <w:rPr>
          <w:rFonts w:ascii="Times New Roman" w:hAnsi="Times New Roman" w:cs="Times New Roman"/>
          <w:sz w:val="24"/>
          <w:szCs w:val="24"/>
        </w:rPr>
        <w:t xml:space="preserve"> follow-up, only 12.1% and 15.2% patients mentione</w:t>
      </w:r>
      <w:r w:rsidR="0086700A">
        <w:rPr>
          <w:rFonts w:ascii="Times New Roman" w:hAnsi="Times New Roman" w:cs="Times New Roman"/>
          <w:sz w:val="24"/>
          <w:szCs w:val="24"/>
        </w:rPr>
        <w:t>d</w:t>
      </w:r>
      <w:r w:rsidR="00352121">
        <w:rPr>
          <w:rFonts w:ascii="Times New Roman" w:hAnsi="Times New Roman" w:cs="Times New Roman"/>
          <w:sz w:val="24"/>
          <w:szCs w:val="24"/>
        </w:rPr>
        <w:t xml:space="preserve"> unusual discharges. At length, after 24 weeks, during the 3</w:t>
      </w:r>
      <w:r w:rsidR="00352121" w:rsidRPr="00352121">
        <w:rPr>
          <w:rFonts w:ascii="Times New Roman" w:hAnsi="Times New Roman" w:cs="Times New Roman"/>
          <w:sz w:val="24"/>
          <w:szCs w:val="24"/>
          <w:vertAlign w:val="superscript"/>
        </w:rPr>
        <w:t>rd</w:t>
      </w:r>
      <w:r w:rsidR="00352121">
        <w:rPr>
          <w:rFonts w:ascii="Times New Roman" w:hAnsi="Times New Roman" w:cs="Times New Roman"/>
          <w:sz w:val="24"/>
          <w:szCs w:val="24"/>
        </w:rPr>
        <w:t xml:space="preserve"> follow-up, it was revealed that, no patient in Arm A and only 1 patient in Arm B had abnormal bleeding; 3 and 1 cases of Arm A and B complained about unusual per vaginal discharges and 1 and 3 patients expressed pain in the pelvis. However, none of the associations were statistically significant. </w:t>
      </w:r>
      <w:r w:rsidR="00010420">
        <w:rPr>
          <w:rFonts w:ascii="Times New Roman" w:hAnsi="Times New Roman" w:cs="Times New Roman"/>
          <w:sz w:val="24"/>
          <w:szCs w:val="24"/>
        </w:rPr>
        <w:t xml:space="preserve">[Table </w:t>
      </w:r>
      <w:r w:rsidR="00FD6CEA">
        <w:rPr>
          <w:rFonts w:ascii="Times New Roman" w:hAnsi="Times New Roman" w:cs="Times New Roman"/>
          <w:sz w:val="24"/>
          <w:szCs w:val="24"/>
        </w:rPr>
        <w:t>3</w:t>
      </w:r>
      <w:r w:rsidR="00010420">
        <w:rPr>
          <w:rFonts w:ascii="Times New Roman" w:hAnsi="Times New Roman" w:cs="Times New Roman"/>
          <w:sz w:val="24"/>
          <w:szCs w:val="24"/>
        </w:rPr>
        <w:t>]</w:t>
      </w:r>
    </w:p>
    <w:p w14:paraId="607A7DA4" w14:textId="43FB6C8F" w:rsidR="0018119C" w:rsidRPr="0018119C" w:rsidRDefault="00152958" w:rsidP="00D67C0F">
      <w:pPr>
        <w:spacing w:line="360" w:lineRule="auto"/>
        <w:jc w:val="both"/>
        <w:rPr>
          <w:rFonts w:ascii="Times New Roman" w:hAnsi="Times New Roman" w:cs="Times New Roman"/>
          <w:b/>
          <w:bCs/>
          <w:sz w:val="24"/>
          <w:szCs w:val="24"/>
        </w:rPr>
      </w:pPr>
      <w:r w:rsidRPr="00B54BA5">
        <w:rPr>
          <w:rFonts w:ascii="Times New Roman" w:hAnsi="Times New Roman" w:cs="Times New Roman"/>
          <w:b/>
          <w:bCs/>
          <w:sz w:val="24"/>
          <w:szCs w:val="24"/>
        </w:rPr>
        <w:t xml:space="preserve">Table </w:t>
      </w:r>
      <w:r w:rsidR="00FD6CEA">
        <w:rPr>
          <w:rFonts w:ascii="Times New Roman" w:hAnsi="Times New Roman" w:cs="Times New Roman"/>
          <w:b/>
          <w:bCs/>
          <w:sz w:val="24"/>
          <w:szCs w:val="24"/>
        </w:rPr>
        <w:t>4</w:t>
      </w:r>
      <w:r w:rsidRPr="00B54BA5">
        <w:rPr>
          <w:rFonts w:ascii="Times New Roman" w:hAnsi="Times New Roman" w:cs="Times New Roman"/>
          <w:b/>
          <w:bCs/>
          <w:sz w:val="24"/>
          <w:szCs w:val="24"/>
        </w:rPr>
        <w:t>:</w:t>
      </w:r>
      <w:r w:rsidR="004E5D20" w:rsidRPr="00B54BA5">
        <w:rPr>
          <w:rFonts w:ascii="Times New Roman" w:hAnsi="Times New Roman" w:cs="Times New Roman"/>
          <w:b/>
          <w:bCs/>
          <w:sz w:val="24"/>
          <w:szCs w:val="24"/>
        </w:rPr>
        <w:t xml:space="preserve"> Treatment response among the participants based on FIGO staging (n=66)</w:t>
      </w:r>
      <w:r w:rsidR="003E7240" w:rsidRPr="00B54BA5">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254"/>
        <w:gridCol w:w="2254"/>
        <w:gridCol w:w="2254"/>
        <w:gridCol w:w="2254"/>
      </w:tblGrid>
      <w:tr w:rsidR="004E5D20" w14:paraId="4800CC36" w14:textId="77777777" w:rsidTr="004E5D20">
        <w:tc>
          <w:tcPr>
            <w:tcW w:w="2254" w:type="dxa"/>
          </w:tcPr>
          <w:p w14:paraId="57B49000" w14:textId="6042B316"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Treatment response</w:t>
            </w:r>
          </w:p>
        </w:tc>
        <w:tc>
          <w:tcPr>
            <w:tcW w:w="2254" w:type="dxa"/>
          </w:tcPr>
          <w:p w14:paraId="45053860" w14:textId="1775B66D"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Arm A (n=33)</w:t>
            </w:r>
          </w:p>
        </w:tc>
        <w:tc>
          <w:tcPr>
            <w:tcW w:w="2254" w:type="dxa"/>
          </w:tcPr>
          <w:p w14:paraId="745095AF" w14:textId="617ADF57"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Arm B (n=33)</w:t>
            </w:r>
          </w:p>
        </w:tc>
        <w:tc>
          <w:tcPr>
            <w:tcW w:w="2254" w:type="dxa"/>
          </w:tcPr>
          <w:p w14:paraId="528B6078" w14:textId="32E9D329" w:rsidR="004E5D20" w:rsidRPr="00224BE7" w:rsidRDefault="004E5D20"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p-value</w:t>
            </w:r>
          </w:p>
        </w:tc>
      </w:tr>
      <w:tr w:rsidR="00224BE7" w14:paraId="0522E467" w14:textId="77777777" w:rsidTr="00EF17D1">
        <w:tc>
          <w:tcPr>
            <w:tcW w:w="9016" w:type="dxa"/>
            <w:gridSpan w:val="4"/>
          </w:tcPr>
          <w:p w14:paraId="5E47D77E" w14:textId="62B1400F"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IIB (n/%)</w:t>
            </w:r>
          </w:p>
        </w:tc>
      </w:tr>
      <w:tr w:rsidR="00224BE7" w14:paraId="796E0722" w14:textId="77777777" w:rsidTr="004E5D20">
        <w:tc>
          <w:tcPr>
            <w:tcW w:w="2254" w:type="dxa"/>
          </w:tcPr>
          <w:p w14:paraId="26A0FEEA" w14:textId="7F94F525"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09601307" w14:textId="4496FDC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17 (100.0)</w:t>
            </w:r>
          </w:p>
        </w:tc>
        <w:tc>
          <w:tcPr>
            <w:tcW w:w="2254" w:type="dxa"/>
          </w:tcPr>
          <w:p w14:paraId="45C6B9FA" w14:textId="3E4580E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18 (94.7)</w:t>
            </w:r>
          </w:p>
        </w:tc>
        <w:tc>
          <w:tcPr>
            <w:tcW w:w="2254" w:type="dxa"/>
            <w:vMerge w:val="restart"/>
          </w:tcPr>
          <w:p w14:paraId="74F6F97A" w14:textId="77777777" w:rsidR="00B63D31" w:rsidRDefault="00B63D31" w:rsidP="00D67C0F">
            <w:pPr>
              <w:spacing w:line="360" w:lineRule="auto"/>
              <w:jc w:val="both"/>
              <w:rPr>
                <w:rFonts w:ascii="Times New Roman" w:hAnsi="Times New Roman" w:cs="Times New Roman"/>
                <w:sz w:val="24"/>
                <w:szCs w:val="24"/>
              </w:rPr>
            </w:pPr>
          </w:p>
          <w:p w14:paraId="73D97BC4" w14:textId="693A19A7"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0.514</w:t>
            </w:r>
            <w:r>
              <w:rPr>
                <w:rFonts w:ascii="Times New Roman" w:hAnsi="Times New Roman" w:cs="Times New Roman"/>
                <w:sz w:val="24"/>
                <w:szCs w:val="24"/>
                <w:vertAlign w:val="superscript"/>
              </w:rPr>
              <w:t>^</w:t>
            </w:r>
          </w:p>
        </w:tc>
      </w:tr>
      <w:tr w:rsidR="00224BE7" w14:paraId="6F58100A" w14:textId="77777777" w:rsidTr="004E5D20">
        <w:tc>
          <w:tcPr>
            <w:tcW w:w="2254" w:type="dxa"/>
          </w:tcPr>
          <w:p w14:paraId="0D14AA27" w14:textId="0B9630AE"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Partial response </w:t>
            </w:r>
          </w:p>
        </w:tc>
        <w:tc>
          <w:tcPr>
            <w:tcW w:w="2254" w:type="dxa"/>
          </w:tcPr>
          <w:p w14:paraId="6CD044F3" w14:textId="785D4CB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0CF2139E" w14:textId="023779A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(5.3)</w:t>
            </w:r>
          </w:p>
        </w:tc>
        <w:tc>
          <w:tcPr>
            <w:tcW w:w="2254" w:type="dxa"/>
            <w:vMerge/>
          </w:tcPr>
          <w:p w14:paraId="3DE75942" w14:textId="77777777" w:rsidR="00224BE7" w:rsidRDefault="00224BE7" w:rsidP="00D67C0F">
            <w:pPr>
              <w:spacing w:line="360" w:lineRule="auto"/>
              <w:jc w:val="both"/>
              <w:rPr>
                <w:rFonts w:ascii="Times New Roman" w:hAnsi="Times New Roman" w:cs="Times New Roman"/>
                <w:sz w:val="24"/>
                <w:szCs w:val="24"/>
              </w:rPr>
            </w:pPr>
          </w:p>
        </w:tc>
      </w:tr>
      <w:tr w:rsidR="00224BE7" w14:paraId="07498129" w14:textId="77777777" w:rsidTr="007F722A">
        <w:tc>
          <w:tcPr>
            <w:tcW w:w="9016" w:type="dxa"/>
            <w:gridSpan w:val="4"/>
          </w:tcPr>
          <w:p w14:paraId="4A750B90" w14:textId="7FA5436A"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IIIA (n/%)</w:t>
            </w:r>
          </w:p>
        </w:tc>
      </w:tr>
      <w:tr w:rsidR="00224BE7" w14:paraId="22AB4E01" w14:textId="77777777" w:rsidTr="004E5D20">
        <w:tc>
          <w:tcPr>
            <w:tcW w:w="2254" w:type="dxa"/>
          </w:tcPr>
          <w:p w14:paraId="29ECC050" w14:textId="6F2AF3F9"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7A9A7C4C" w14:textId="7162F61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4 (66.7)</w:t>
            </w:r>
          </w:p>
        </w:tc>
        <w:tc>
          <w:tcPr>
            <w:tcW w:w="2254" w:type="dxa"/>
          </w:tcPr>
          <w:p w14:paraId="139F7B81" w14:textId="3BD12BF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2254" w:type="dxa"/>
            <w:vMerge w:val="restart"/>
          </w:tcPr>
          <w:p w14:paraId="142CB93C" w14:textId="77777777" w:rsidR="00B63D31" w:rsidRDefault="00B63D31" w:rsidP="00D67C0F">
            <w:pPr>
              <w:spacing w:line="360" w:lineRule="auto"/>
              <w:jc w:val="both"/>
              <w:rPr>
                <w:rFonts w:ascii="Times New Roman" w:hAnsi="Times New Roman" w:cs="Times New Roman"/>
                <w:sz w:val="24"/>
                <w:szCs w:val="24"/>
              </w:rPr>
            </w:pPr>
          </w:p>
          <w:p w14:paraId="6851BC22" w14:textId="3D5C2CBA"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0.376</w:t>
            </w:r>
            <w:r>
              <w:rPr>
                <w:rFonts w:ascii="Times New Roman" w:hAnsi="Times New Roman" w:cs="Times New Roman"/>
                <w:sz w:val="24"/>
                <w:szCs w:val="24"/>
                <w:vertAlign w:val="superscript"/>
              </w:rPr>
              <w:t>^</w:t>
            </w:r>
          </w:p>
        </w:tc>
      </w:tr>
      <w:tr w:rsidR="00224BE7" w14:paraId="1A27A9A1" w14:textId="77777777" w:rsidTr="004E5D20">
        <w:tc>
          <w:tcPr>
            <w:tcW w:w="2254" w:type="dxa"/>
          </w:tcPr>
          <w:p w14:paraId="20DC3430" w14:textId="349C7675"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response</w:t>
            </w:r>
          </w:p>
        </w:tc>
        <w:tc>
          <w:tcPr>
            <w:tcW w:w="2254" w:type="dxa"/>
          </w:tcPr>
          <w:p w14:paraId="3ACAD547" w14:textId="072B3DD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2254" w:type="dxa"/>
          </w:tcPr>
          <w:p w14:paraId="1264D558" w14:textId="6851A63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(66.7)</w:t>
            </w:r>
          </w:p>
        </w:tc>
        <w:tc>
          <w:tcPr>
            <w:tcW w:w="2254" w:type="dxa"/>
            <w:vMerge/>
          </w:tcPr>
          <w:p w14:paraId="41594E8F" w14:textId="77777777" w:rsidR="00224BE7" w:rsidRDefault="00224BE7" w:rsidP="00D67C0F">
            <w:pPr>
              <w:spacing w:line="360" w:lineRule="auto"/>
              <w:jc w:val="both"/>
              <w:rPr>
                <w:rFonts w:ascii="Times New Roman" w:hAnsi="Times New Roman" w:cs="Times New Roman"/>
                <w:sz w:val="24"/>
                <w:szCs w:val="24"/>
              </w:rPr>
            </w:pPr>
          </w:p>
        </w:tc>
      </w:tr>
      <w:tr w:rsidR="00224BE7" w14:paraId="5299161F" w14:textId="77777777" w:rsidTr="009F4CD6">
        <w:tc>
          <w:tcPr>
            <w:tcW w:w="9016" w:type="dxa"/>
            <w:gridSpan w:val="4"/>
          </w:tcPr>
          <w:p w14:paraId="10B032C9" w14:textId="661E7388"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IIIB (n/%)</w:t>
            </w:r>
          </w:p>
        </w:tc>
      </w:tr>
      <w:tr w:rsidR="00224BE7" w14:paraId="0DA9C455" w14:textId="77777777" w:rsidTr="004E5D20">
        <w:tc>
          <w:tcPr>
            <w:tcW w:w="2254" w:type="dxa"/>
          </w:tcPr>
          <w:p w14:paraId="31F002E0" w14:textId="25AFFF4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Complete response </w:t>
            </w:r>
          </w:p>
        </w:tc>
        <w:tc>
          <w:tcPr>
            <w:tcW w:w="2254" w:type="dxa"/>
          </w:tcPr>
          <w:p w14:paraId="5FAB1BD9" w14:textId="253EDEE8"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5 (83.3)</w:t>
            </w:r>
          </w:p>
        </w:tc>
        <w:tc>
          <w:tcPr>
            <w:tcW w:w="2254" w:type="dxa"/>
          </w:tcPr>
          <w:p w14:paraId="425830D1" w14:textId="0ED368B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15 (100.0)</w:t>
            </w:r>
          </w:p>
        </w:tc>
        <w:tc>
          <w:tcPr>
            <w:tcW w:w="2254" w:type="dxa"/>
            <w:vMerge w:val="restart"/>
          </w:tcPr>
          <w:p w14:paraId="098E363A" w14:textId="77777777" w:rsidR="00B63D31" w:rsidRDefault="00B63D31" w:rsidP="00D67C0F">
            <w:pPr>
              <w:spacing w:line="360" w:lineRule="auto"/>
              <w:jc w:val="both"/>
              <w:rPr>
                <w:rFonts w:ascii="Times New Roman" w:hAnsi="Times New Roman" w:cs="Times New Roman"/>
                <w:sz w:val="24"/>
                <w:szCs w:val="24"/>
              </w:rPr>
            </w:pPr>
          </w:p>
          <w:p w14:paraId="4C55ABB9" w14:textId="41CDA70B" w:rsidR="00224BE7" w:rsidRPr="009F45C3"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0.545</w:t>
            </w:r>
            <w:r>
              <w:rPr>
                <w:rFonts w:ascii="Times New Roman" w:hAnsi="Times New Roman" w:cs="Times New Roman"/>
                <w:sz w:val="24"/>
                <w:szCs w:val="24"/>
                <w:vertAlign w:val="superscript"/>
              </w:rPr>
              <w:t>^</w:t>
            </w:r>
          </w:p>
        </w:tc>
      </w:tr>
      <w:tr w:rsidR="00224BE7" w14:paraId="3A455631" w14:textId="77777777" w:rsidTr="004E5D20">
        <w:tc>
          <w:tcPr>
            <w:tcW w:w="2254" w:type="dxa"/>
          </w:tcPr>
          <w:p w14:paraId="3B9FE9CF" w14:textId="7C1F6A44"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response</w:t>
            </w:r>
          </w:p>
        </w:tc>
        <w:tc>
          <w:tcPr>
            <w:tcW w:w="2254" w:type="dxa"/>
          </w:tcPr>
          <w:p w14:paraId="00D97655" w14:textId="09024F3B"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(16.7)</w:t>
            </w:r>
          </w:p>
        </w:tc>
        <w:tc>
          <w:tcPr>
            <w:tcW w:w="2254" w:type="dxa"/>
          </w:tcPr>
          <w:p w14:paraId="319D3CF9" w14:textId="2F714B4A"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vMerge/>
          </w:tcPr>
          <w:p w14:paraId="7838E8BB" w14:textId="77777777" w:rsidR="00224BE7" w:rsidRDefault="00224BE7" w:rsidP="00D67C0F">
            <w:pPr>
              <w:spacing w:line="360" w:lineRule="auto"/>
              <w:jc w:val="both"/>
              <w:rPr>
                <w:rFonts w:ascii="Times New Roman" w:hAnsi="Times New Roman" w:cs="Times New Roman"/>
                <w:sz w:val="24"/>
                <w:szCs w:val="24"/>
              </w:rPr>
            </w:pPr>
          </w:p>
        </w:tc>
      </w:tr>
      <w:tr w:rsidR="00224BE7" w14:paraId="6E60083E" w14:textId="77777777" w:rsidTr="00FA5377">
        <w:tc>
          <w:tcPr>
            <w:tcW w:w="9016" w:type="dxa"/>
            <w:gridSpan w:val="4"/>
          </w:tcPr>
          <w:p w14:paraId="313F8F0F" w14:textId="748CFFEA" w:rsidR="00224BE7" w:rsidRPr="00224BE7" w:rsidRDefault="00224BE7" w:rsidP="00D67C0F">
            <w:pPr>
              <w:spacing w:line="360" w:lineRule="auto"/>
              <w:jc w:val="both"/>
              <w:rPr>
                <w:rFonts w:ascii="Times New Roman" w:hAnsi="Times New Roman" w:cs="Times New Roman"/>
                <w:b/>
                <w:bCs/>
                <w:sz w:val="24"/>
                <w:szCs w:val="24"/>
              </w:rPr>
            </w:pPr>
            <w:r w:rsidRPr="00224BE7">
              <w:rPr>
                <w:rFonts w:ascii="Times New Roman" w:hAnsi="Times New Roman" w:cs="Times New Roman"/>
                <w:b/>
                <w:bCs/>
                <w:sz w:val="24"/>
                <w:szCs w:val="24"/>
              </w:rPr>
              <w:t>Stage IVA</w:t>
            </w:r>
            <w:r>
              <w:rPr>
                <w:rFonts w:ascii="Times New Roman" w:hAnsi="Times New Roman" w:cs="Times New Roman"/>
                <w:b/>
                <w:bCs/>
                <w:sz w:val="24"/>
                <w:szCs w:val="24"/>
              </w:rPr>
              <w:t xml:space="preserve"> (n/%)</w:t>
            </w:r>
          </w:p>
        </w:tc>
      </w:tr>
      <w:tr w:rsidR="00224BE7" w14:paraId="25054079" w14:textId="77777777" w:rsidTr="004E5D20">
        <w:tc>
          <w:tcPr>
            <w:tcW w:w="2254" w:type="dxa"/>
          </w:tcPr>
          <w:p w14:paraId="708C0FDD" w14:textId="503C1696"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Complete response</w:t>
            </w:r>
          </w:p>
        </w:tc>
        <w:tc>
          <w:tcPr>
            <w:tcW w:w="2254" w:type="dxa"/>
          </w:tcPr>
          <w:p w14:paraId="48498FD7" w14:textId="4E289B90"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491FFD00" w14:textId="38AB9FDC"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vMerge w:val="restart"/>
          </w:tcPr>
          <w:p w14:paraId="2A2BB76F" w14:textId="77777777" w:rsidR="00B63D31" w:rsidRDefault="00B63D31" w:rsidP="00D67C0F">
            <w:pPr>
              <w:spacing w:line="360" w:lineRule="auto"/>
              <w:jc w:val="both"/>
              <w:rPr>
                <w:rFonts w:ascii="Times New Roman" w:hAnsi="Times New Roman" w:cs="Times New Roman"/>
                <w:sz w:val="24"/>
                <w:szCs w:val="24"/>
              </w:rPr>
            </w:pPr>
          </w:p>
          <w:p w14:paraId="6B39D74B" w14:textId="2A26B648" w:rsidR="00224BE7" w:rsidRPr="00B54BA5" w:rsidRDefault="00224BE7" w:rsidP="00D67C0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0.500</w:t>
            </w:r>
            <w:r>
              <w:rPr>
                <w:rFonts w:ascii="Times New Roman" w:hAnsi="Times New Roman" w:cs="Times New Roman"/>
                <w:sz w:val="24"/>
                <w:szCs w:val="24"/>
                <w:vertAlign w:val="superscript"/>
              </w:rPr>
              <w:t>+</w:t>
            </w:r>
          </w:p>
        </w:tc>
      </w:tr>
      <w:tr w:rsidR="00224BE7" w14:paraId="1642E458" w14:textId="77777777" w:rsidTr="004E5D20">
        <w:tc>
          <w:tcPr>
            <w:tcW w:w="2254" w:type="dxa"/>
          </w:tcPr>
          <w:p w14:paraId="1900E467" w14:textId="68D5AC97"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Partial response</w:t>
            </w:r>
          </w:p>
        </w:tc>
        <w:tc>
          <w:tcPr>
            <w:tcW w:w="2254" w:type="dxa"/>
          </w:tcPr>
          <w:p w14:paraId="524713D1" w14:textId="29CC01AB"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3 (100.0)</w:t>
            </w:r>
          </w:p>
        </w:tc>
        <w:tc>
          <w:tcPr>
            <w:tcW w:w="2254" w:type="dxa"/>
          </w:tcPr>
          <w:p w14:paraId="0BD00EF2" w14:textId="4DAB14D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2 (66.7)</w:t>
            </w:r>
          </w:p>
        </w:tc>
        <w:tc>
          <w:tcPr>
            <w:tcW w:w="2254" w:type="dxa"/>
            <w:vMerge/>
          </w:tcPr>
          <w:p w14:paraId="47DA2178" w14:textId="77777777" w:rsidR="00224BE7" w:rsidRDefault="00224BE7" w:rsidP="00D67C0F">
            <w:pPr>
              <w:spacing w:line="360" w:lineRule="auto"/>
              <w:jc w:val="both"/>
              <w:rPr>
                <w:rFonts w:ascii="Times New Roman" w:hAnsi="Times New Roman" w:cs="Times New Roman"/>
                <w:sz w:val="24"/>
                <w:szCs w:val="24"/>
              </w:rPr>
            </w:pPr>
          </w:p>
        </w:tc>
      </w:tr>
      <w:tr w:rsidR="00224BE7" w14:paraId="3F4167CD" w14:textId="77777777" w:rsidTr="004E5D20">
        <w:tc>
          <w:tcPr>
            <w:tcW w:w="2254" w:type="dxa"/>
          </w:tcPr>
          <w:p w14:paraId="7B00DA2C" w14:textId="1665E0F2"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disease </w:t>
            </w:r>
          </w:p>
        </w:tc>
        <w:tc>
          <w:tcPr>
            <w:tcW w:w="2254" w:type="dxa"/>
          </w:tcPr>
          <w:p w14:paraId="6ABEC40A" w14:textId="55B7E74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2254" w:type="dxa"/>
          </w:tcPr>
          <w:p w14:paraId="3373AFCA" w14:textId="0CAD4A31" w:rsidR="00224BE7" w:rsidRDefault="00224BE7"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1 (33.3)</w:t>
            </w:r>
          </w:p>
        </w:tc>
        <w:tc>
          <w:tcPr>
            <w:tcW w:w="2254" w:type="dxa"/>
            <w:vMerge/>
          </w:tcPr>
          <w:p w14:paraId="782BB165" w14:textId="77777777" w:rsidR="00224BE7" w:rsidRDefault="00224BE7" w:rsidP="00D67C0F">
            <w:pPr>
              <w:spacing w:line="360" w:lineRule="auto"/>
              <w:jc w:val="both"/>
              <w:rPr>
                <w:rFonts w:ascii="Times New Roman" w:hAnsi="Times New Roman" w:cs="Times New Roman"/>
                <w:sz w:val="24"/>
                <w:szCs w:val="24"/>
              </w:rPr>
            </w:pPr>
          </w:p>
        </w:tc>
      </w:tr>
    </w:tbl>
    <w:p w14:paraId="678825A8" w14:textId="4828FFBB" w:rsidR="00B54BA5" w:rsidRPr="00B54BA5" w:rsidRDefault="00B54BA5" w:rsidP="00D67C0F">
      <w:pPr>
        <w:spacing w:line="360" w:lineRule="auto"/>
        <w:jc w:val="both"/>
        <w:rPr>
          <w:rFonts w:ascii="Times New Roman" w:hAnsi="Times New Roman" w:cs="Times New Roman"/>
          <w:sz w:val="24"/>
          <w:szCs w:val="24"/>
        </w:rPr>
      </w:pPr>
      <w:r>
        <w:rPr>
          <w:rFonts w:ascii="Times New Roman" w:hAnsi="Times New Roman" w:cs="Times New Roman"/>
          <w:iCs/>
          <w:sz w:val="24"/>
          <w:szCs w:val="24"/>
        </w:rPr>
        <w:t>*</w:t>
      </w:r>
      <w:r w:rsidRPr="00B54BA5">
        <w:rPr>
          <w:rFonts w:ascii="Times New Roman" w:hAnsi="Times New Roman" w:cs="Times New Roman"/>
          <w:i/>
          <w:sz w:val="24"/>
          <w:szCs w:val="24"/>
        </w:rPr>
        <w:t>p-</w:t>
      </w:r>
      <w:r w:rsidRPr="00B54BA5">
        <w:rPr>
          <w:rFonts w:ascii="Times New Roman" w:hAnsi="Times New Roman" w:cs="Times New Roman"/>
          <w:sz w:val="24"/>
          <w:szCs w:val="24"/>
        </w:rPr>
        <w:t xml:space="preserve">value was determined by </w:t>
      </w:r>
      <w:r>
        <w:rPr>
          <w:rFonts w:ascii="Times New Roman" w:hAnsi="Times New Roman" w:cs="Times New Roman"/>
          <w:sz w:val="24"/>
          <w:szCs w:val="24"/>
        </w:rPr>
        <w:t>Chi-squared tests</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w:t>
      </w:r>
      <w:r w:rsidRPr="00B54BA5">
        <w:rPr>
          <w:rFonts w:ascii="Times New Roman" w:hAnsi="Times New Roman" w:cs="Times New Roman"/>
          <w:sz w:val="24"/>
          <w:szCs w:val="24"/>
        </w:rPr>
        <w:t>Fisher</w:t>
      </w:r>
      <w:r>
        <w:rPr>
          <w:rFonts w:ascii="Times New Roman" w:hAnsi="Times New Roman" w:cs="Times New Roman"/>
          <w:sz w:val="24"/>
          <w:szCs w:val="24"/>
        </w:rPr>
        <w:t>’s</w:t>
      </w:r>
      <w:r w:rsidRPr="00B54BA5">
        <w:rPr>
          <w:rFonts w:ascii="Times New Roman" w:hAnsi="Times New Roman" w:cs="Times New Roman"/>
          <w:sz w:val="24"/>
          <w:szCs w:val="24"/>
        </w:rPr>
        <w:t xml:space="preserve"> Exact test</w:t>
      </w:r>
      <w:r>
        <w:rPr>
          <w:rFonts w:ascii="Times New Roman" w:hAnsi="Times New Roman" w:cs="Times New Roman"/>
          <w:sz w:val="24"/>
          <w:szCs w:val="24"/>
          <w:vertAlign w:val="superscript"/>
        </w:rPr>
        <w:t>+</w:t>
      </w:r>
      <w:r w:rsidRPr="00B54BA5">
        <w:rPr>
          <w:rFonts w:ascii="Times New Roman" w:hAnsi="Times New Roman" w:cs="Times New Roman"/>
          <w:sz w:val="24"/>
          <w:szCs w:val="24"/>
        </w:rPr>
        <w:t>.</w:t>
      </w:r>
    </w:p>
    <w:p w14:paraId="37262C49" w14:textId="0199B4BB" w:rsidR="005A746B" w:rsidRDefault="00576EDB"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elaborates the response to treatment of the patient pool according to the FIGO staging criteria. It is clearly evident that, those patients who were in stage IIB, maximum displayed complete response; only 1 patient in Arm B had partial response. In case of stage IIIA, complete response was found in 66.7% cases in Arm A; whereas, partial response was found in 66.7% patients in Arm B. Moreover, 100.0% patients in Arm B revealed complete response and only 16.7% in Arm A had partial response for the stage IIIB participants. Nonetheless, for stage IVA patients, partial response was the commonest response for Arm A, meaning 100.0% </w:t>
      </w:r>
      <w:r>
        <w:rPr>
          <w:rFonts w:ascii="Times New Roman" w:hAnsi="Times New Roman" w:cs="Times New Roman"/>
          <w:sz w:val="24"/>
          <w:szCs w:val="24"/>
        </w:rPr>
        <w:lastRenderedPageBreak/>
        <w:t xml:space="preserve">displayed it; compared to </w:t>
      </w:r>
      <w:r w:rsidR="002B4A7F">
        <w:rPr>
          <w:rFonts w:ascii="Times New Roman" w:hAnsi="Times New Roman" w:cs="Times New Roman"/>
          <w:sz w:val="24"/>
          <w:szCs w:val="24"/>
        </w:rPr>
        <w:t xml:space="preserve">66.7% in Arm B. Only 1 patient reported stable disease in Arm B belonging to stage IVA. However, no statistically significant association was detected. </w:t>
      </w:r>
      <w:r w:rsidR="00FD6CEA">
        <w:rPr>
          <w:rFonts w:ascii="Times New Roman" w:hAnsi="Times New Roman" w:cs="Times New Roman"/>
          <w:sz w:val="24"/>
          <w:szCs w:val="24"/>
        </w:rPr>
        <w:t>[Table 4]</w:t>
      </w:r>
    </w:p>
    <w:p w14:paraId="6D199A8F" w14:textId="49BC9FA9" w:rsidR="00B54BA5" w:rsidRDefault="005A746B" w:rsidP="00D67C0F">
      <w:pPr>
        <w:spacing w:line="360" w:lineRule="auto"/>
        <w:jc w:val="both"/>
        <w:rPr>
          <w:rFonts w:ascii="Times New Roman" w:hAnsi="Times New Roman" w:cs="Times New Roman"/>
          <w:b/>
          <w:bCs/>
          <w:sz w:val="24"/>
          <w:szCs w:val="24"/>
        </w:rPr>
      </w:pPr>
      <w:r w:rsidRPr="005A746B">
        <w:rPr>
          <w:rFonts w:ascii="Times New Roman" w:hAnsi="Times New Roman" w:cs="Times New Roman"/>
          <w:b/>
          <w:bCs/>
          <w:sz w:val="24"/>
          <w:szCs w:val="24"/>
        </w:rPr>
        <w:t>Discussion</w:t>
      </w:r>
      <w:r w:rsidR="00576EDB" w:rsidRPr="005A746B">
        <w:rPr>
          <w:rFonts w:ascii="Times New Roman" w:hAnsi="Times New Roman" w:cs="Times New Roman"/>
          <w:b/>
          <w:bCs/>
          <w:sz w:val="24"/>
          <w:szCs w:val="24"/>
        </w:rPr>
        <w:t xml:space="preserve"> </w:t>
      </w:r>
    </w:p>
    <w:p w14:paraId="6445FB9F" w14:textId="53CC44DE" w:rsidR="005A746B" w:rsidRPr="00B54BA5" w:rsidRDefault="00F5605A" w:rsidP="00D67C0F">
      <w:pPr>
        <w:spacing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The c</w:t>
      </w:r>
      <w:r w:rsidR="00651D2B" w:rsidRPr="00651D2B">
        <w:rPr>
          <w:rFonts w:ascii="Times New Roman" w:eastAsia="Times New Roman" w:hAnsi="Times New Roman" w:cs="Times New Roman"/>
          <w:sz w:val="24"/>
          <w:szCs w:val="24"/>
        </w:rPr>
        <w:t>ur</w:t>
      </w:r>
      <w:r w:rsidR="00651D2B" w:rsidRPr="00651D2B">
        <w:rPr>
          <w:rFonts w:ascii="Times New Roman" w:eastAsia="Times New Roman" w:hAnsi="Times New Roman" w:cs="Times New Roman"/>
          <w:spacing w:val="1"/>
          <w:sz w:val="24"/>
          <w:szCs w:val="24"/>
        </w:rPr>
        <w:t>r</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nt</w:t>
      </w:r>
      <w:r w:rsidR="00651D2B" w:rsidRPr="00651D2B">
        <w:rPr>
          <w:rFonts w:ascii="Times New Roman" w:eastAsia="Times New Roman" w:hAnsi="Times New Roman" w:cs="Times New Roman"/>
          <w:spacing w:val="4"/>
          <w:sz w:val="24"/>
          <w:szCs w:val="24"/>
        </w:rPr>
        <w:t xml:space="preserve"> </w:t>
      </w:r>
      <w:r w:rsidR="00651D2B" w:rsidRPr="00651D2B">
        <w:rPr>
          <w:rFonts w:ascii="Times New Roman" w:eastAsia="Times New Roman" w:hAnsi="Times New Roman" w:cs="Times New Roman"/>
          <w:sz w:val="24"/>
          <w:szCs w:val="24"/>
        </w:rPr>
        <w:t>study</w:t>
      </w:r>
      <w:r w:rsidR="00651D2B" w:rsidRPr="00651D2B">
        <w:rPr>
          <w:rFonts w:ascii="Times New Roman" w:eastAsia="Times New Roman" w:hAnsi="Times New Roman" w:cs="Times New Roman"/>
          <w:spacing w:val="2"/>
          <w:sz w:val="24"/>
          <w:szCs w:val="24"/>
        </w:rPr>
        <w:t xml:space="preserve"> </w:t>
      </w:r>
      <w:r w:rsidR="00651D2B" w:rsidRPr="00651D2B">
        <w:rPr>
          <w:rFonts w:ascii="Times New Roman" w:eastAsia="Times New Roman" w:hAnsi="Times New Roman" w:cs="Times New Roman"/>
          <w:sz w:val="24"/>
          <w:szCs w:val="24"/>
        </w:rPr>
        <w:t>w</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 xml:space="preserve">s </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ondu</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ted</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to</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om</w:t>
      </w:r>
      <w:r w:rsidR="00651D2B" w:rsidRPr="00651D2B">
        <w:rPr>
          <w:rFonts w:ascii="Times New Roman" w:eastAsia="Times New Roman" w:hAnsi="Times New Roman" w:cs="Times New Roman"/>
          <w:spacing w:val="3"/>
          <w:sz w:val="24"/>
          <w:szCs w:val="24"/>
        </w:rPr>
        <w:t>p</w:t>
      </w:r>
      <w:r w:rsidR="00651D2B" w:rsidRPr="00651D2B">
        <w:rPr>
          <w:rFonts w:ascii="Times New Roman" w:eastAsia="Times New Roman" w:hAnsi="Times New Roman" w:cs="Times New Roman"/>
          <w:sz w:val="24"/>
          <w:szCs w:val="24"/>
        </w:rPr>
        <w:t>are</w:t>
      </w:r>
      <w:r w:rsidR="00651D2B" w:rsidRPr="00651D2B">
        <w:rPr>
          <w:rFonts w:ascii="Times New Roman" w:eastAsia="Times New Roman" w:hAnsi="Times New Roman" w:cs="Times New Roman"/>
          <w:spacing w:val="-11"/>
          <w:sz w:val="24"/>
          <w:szCs w:val="24"/>
        </w:rPr>
        <w:t xml:space="preserve"> </w:t>
      </w:r>
      <w:r w:rsidR="00651D2B" w:rsidRPr="00651D2B">
        <w:rPr>
          <w:rFonts w:ascii="Times New Roman" w:eastAsia="Times New Roman" w:hAnsi="Times New Roman" w:cs="Times New Roman"/>
          <w:sz w:val="24"/>
          <w:szCs w:val="24"/>
        </w:rPr>
        <w:t>t</w:t>
      </w:r>
      <w:r w:rsidR="00651D2B" w:rsidRPr="00651D2B">
        <w:rPr>
          <w:rFonts w:ascii="Times New Roman" w:eastAsia="Times New Roman" w:hAnsi="Times New Roman" w:cs="Times New Roman"/>
          <w:spacing w:val="3"/>
          <w:sz w:val="24"/>
          <w:szCs w:val="24"/>
        </w:rPr>
        <w:t>h</w:t>
      </w:r>
      <w:r w:rsidR="00651D2B" w:rsidRPr="00651D2B">
        <w:rPr>
          <w:rFonts w:ascii="Times New Roman" w:eastAsia="Times New Roman" w:hAnsi="Times New Roman" w:cs="Times New Roman"/>
          <w:sz w:val="24"/>
          <w:szCs w:val="24"/>
        </w:rPr>
        <w:t>e</w:t>
      </w:r>
      <w:r w:rsidR="00651D2B" w:rsidRPr="00651D2B">
        <w:rPr>
          <w:rFonts w:ascii="Times New Roman" w:eastAsia="Times New Roman" w:hAnsi="Times New Roman" w:cs="Times New Roman"/>
          <w:spacing w:val="-8"/>
          <w:sz w:val="24"/>
          <w:szCs w:val="24"/>
        </w:rPr>
        <w:t xml:space="preserve"> </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l</w:t>
      </w:r>
      <w:r w:rsidR="00651D2B" w:rsidRPr="00651D2B">
        <w:rPr>
          <w:rFonts w:ascii="Times New Roman" w:eastAsia="Times New Roman" w:hAnsi="Times New Roman" w:cs="Times New Roman"/>
          <w:spacing w:val="1"/>
          <w:sz w:val="24"/>
          <w:szCs w:val="24"/>
        </w:rPr>
        <w:t>i</w:t>
      </w:r>
      <w:r w:rsidR="00651D2B" w:rsidRPr="00651D2B">
        <w:rPr>
          <w:rFonts w:ascii="Times New Roman" w:eastAsia="Times New Roman" w:hAnsi="Times New Roman" w:cs="Times New Roman"/>
          <w:sz w:val="24"/>
          <w:szCs w:val="24"/>
        </w:rPr>
        <w:t>nic</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l</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outcom</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s</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of</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two</w:t>
      </w:r>
      <w:r w:rsidR="00651D2B" w:rsidRPr="00651D2B">
        <w:rPr>
          <w:rFonts w:ascii="Times New Roman" w:eastAsia="Times New Roman" w:hAnsi="Times New Roman" w:cs="Times New Roman"/>
          <w:spacing w:val="-5"/>
          <w:sz w:val="24"/>
          <w:szCs w:val="24"/>
        </w:rPr>
        <w:t xml:space="preserve"> </w:t>
      </w:r>
      <w:r w:rsidR="00651D2B" w:rsidRPr="00651D2B">
        <w:rPr>
          <w:rFonts w:ascii="Times New Roman" w:eastAsia="Times New Roman" w:hAnsi="Times New Roman" w:cs="Times New Roman"/>
          <w:sz w:val="24"/>
          <w:szCs w:val="24"/>
        </w:rPr>
        <w:t>br</w:t>
      </w:r>
      <w:r w:rsidR="00651D2B" w:rsidRPr="00651D2B">
        <w:rPr>
          <w:rFonts w:ascii="Times New Roman" w:eastAsia="Times New Roman" w:hAnsi="Times New Roman" w:cs="Times New Roman"/>
          <w:spacing w:val="-2"/>
          <w:sz w:val="24"/>
          <w:szCs w:val="24"/>
        </w:rPr>
        <w:t>a</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hyth</w:t>
      </w:r>
      <w:r w:rsidR="00651D2B" w:rsidRPr="00651D2B">
        <w:rPr>
          <w:rFonts w:ascii="Times New Roman" w:eastAsia="Times New Roman" w:hAnsi="Times New Roman" w:cs="Times New Roman"/>
          <w:spacing w:val="2"/>
          <w:sz w:val="24"/>
          <w:szCs w:val="24"/>
        </w:rPr>
        <w:t>e</w:t>
      </w:r>
      <w:r w:rsidR="00651D2B" w:rsidRPr="00651D2B">
        <w:rPr>
          <w:rFonts w:ascii="Times New Roman" w:eastAsia="Times New Roman" w:hAnsi="Times New Roman" w:cs="Times New Roman"/>
          <w:sz w:val="24"/>
          <w:szCs w:val="24"/>
        </w:rPr>
        <w:t>r</w:t>
      </w:r>
      <w:r w:rsidR="00651D2B" w:rsidRPr="00651D2B">
        <w:rPr>
          <w:rFonts w:ascii="Times New Roman" w:eastAsia="Times New Roman" w:hAnsi="Times New Roman" w:cs="Times New Roman"/>
          <w:spacing w:val="-2"/>
          <w:sz w:val="24"/>
          <w:szCs w:val="24"/>
        </w:rPr>
        <w:t>a</w:t>
      </w:r>
      <w:r w:rsidR="00651D2B" w:rsidRPr="00651D2B">
        <w:rPr>
          <w:rFonts w:ascii="Times New Roman" w:eastAsia="Times New Roman" w:hAnsi="Times New Roman" w:cs="Times New Roman"/>
          <w:sz w:val="24"/>
          <w:szCs w:val="24"/>
        </w:rPr>
        <w:t>py</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pacing w:val="1"/>
          <w:sz w:val="24"/>
          <w:szCs w:val="24"/>
        </w:rPr>
        <w:t>r</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gi</w:t>
      </w:r>
      <w:r w:rsidR="00651D2B" w:rsidRPr="00651D2B">
        <w:rPr>
          <w:rFonts w:ascii="Times New Roman" w:eastAsia="Times New Roman" w:hAnsi="Times New Roman" w:cs="Times New Roman"/>
          <w:spacing w:val="1"/>
          <w:sz w:val="24"/>
          <w:szCs w:val="24"/>
        </w:rPr>
        <w:t>m</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ns</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pacing w:val="1"/>
          <w:sz w:val="24"/>
          <w:szCs w:val="24"/>
        </w:rPr>
        <w:t>f</w:t>
      </w:r>
      <w:r w:rsidR="00651D2B" w:rsidRPr="00651D2B">
        <w:rPr>
          <w:rFonts w:ascii="Times New Roman" w:eastAsia="Times New Roman" w:hAnsi="Times New Roman" w:cs="Times New Roman"/>
          <w:sz w:val="24"/>
          <w:szCs w:val="24"/>
        </w:rPr>
        <w:t>or</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p</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t</w:t>
      </w:r>
      <w:r w:rsidR="00651D2B" w:rsidRPr="00651D2B">
        <w:rPr>
          <w:rFonts w:ascii="Times New Roman" w:eastAsia="Times New Roman" w:hAnsi="Times New Roman" w:cs="Times New Roman"/>
          <w:spacing w:val="1"/>
          <w:sz w:val="24"/>
          <w:szCs w:val="24"/>
        </w:rPr>
        <w:t>i</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nts with</w:t>
      </w:r>
      <w:r w:rsidR="00651D2B" w:rsidRPr="00651D2B">
        <w:rPr>
          <w:rFonts w:ascii="Times New Roman" w:eastAsia="Times New Roman" w:hAnsi="Times New Roman" w:cs="Times New Roman"/>
          <w:spacing w:val="1"/>
          <w:sz w:val="24"/>
          <w:szCs w:val="24"/>
        </w:rPr>
        <w:t xml:space="preserve"> </w:t>
      </w:r>
      <w:r w:rsidR="00651D2B" w:rsidRPr="00651D2B">
        <w:rPr>
          <w:rFonts w:ascii="Times New Roman" w:eastAsia="Times New Roman" w:hAnsi="Times New Roman" w:cs="Times New Roman"/>
          <w:sz w:val="24"/>
          <w:szCs w:val="24"/>
        </w:rPr>
        <w:t>loc</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l</w:t>
      </w:r>
      <w:r w:rsidR="00651D2B" w:rsidRPr="00651D2B">
        <w:rPr>
          <w:rFonts w:ascii="Times New Roman" w:eastAsia="Times New Roman" w:hAnsi="Times New Roman" w:cs="Times New Roman"/>
          <w:spacing w:val="1"/>
          <w:sz w:val="24"/>
          <w:szCs w:val="24"/>
        </w:rPr>
        <w:t>l</w:t>
      </w:r>
      <w:r w:rsidR="00651D2B" w:rsidRPr="00651D2B">
        <w:rPr>
          <w:rFonts w:ascii="Times New Roman" w:eastAsia="Times New Roman" w:hAnsi="Times New Roman" w:cs="Times New Roman"/>
          <w:sz w:val="24"/>
          <w:szCs w:val="24"/>
        </w:rPr>
        <w:t>y</w:t>
      </w:r>
      <w:r w:rsidR="00651D2B" w:rsidRPr="00651D2B">
        <w:rPr>
          <w:rFonts w:ascii="Times New Roman" w:eastAsia="Times New Roman" w:hAnsi="Times New Roman" w:cs="Times New Roman"/>
          <w:spacing w:val="1"/>
          <w:sz w:val="24"/>
          <w:szCs w:val="24"/>
        </w:rPr>
        <w:t xml:space="preserve"> </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dv</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pacing w:val="2"/>
          <w:sz w:val="24"/>
          <w:szCs w:val="24"/>
        </w:rPr>
        <w:t>n</w:t>
      </w:r>
      <w:r w:rsidR="00651D2B" w:rsidRPr="00651D2B">
        <w:rPr>
          <w:rFonts w:ascii="Times New Roman" w:eastAsia="Times New Roman" w:hAnsi="Times New Roman" w:cs="Times New Roman"/>
          <w:spacing w:val="-1"/>
          <w:sz w:val="24"/>
          <w:szCs w:val="24"/>
        </w:rPr>
        <w:t>ce</w:t>
      </w:r>
      <w:r w:rsidR="00651D2B" w:rsidRPr="00651D2B">
        <w:rPr>
          <w:rFonts w:ascii="Times New Roman" w:eastAsia="Times New Roman" w:hAnsi="Times New Roman" w:cs="Times New Roman"/>
          <w:sz w:val="24"/>
          <w:szCs w:val="24"/>
        </w:rPr>
        <w:t>d</w:t>
      </w:r>
      <w:r w:rsidR="00651D2B" w:rsidRPr="00651D2B">
        <w:rPr>
          <w:rFonts w:ascii="Times New Roman" w:eastAsia="Times New Roman" w:hAnsi="Times New Roman" w:cs="Times New Roman"/>
          <w:spacing w:val="3"/>
          <w:sz w:val="24"/>
          <w:szCs w:val="24"/>
        </w:rPr>
        <w:t xml:space="preserve"> </w:t>
      </w:r>
      <w:r w:rsidR="00651D2B" w:rsidRPr="00651D2B">
        <w:rPr>
          <w:rFonts w:ascii="Times New Roman" w:eastAsia="Times New Roman" w:hAnsi="Times New Roman" w:cs="Times New Roman"/>
          <w:spacing w:val="-1"/>
          <w:sz w:val="24"/>
          <w:szCs w:val="24"/>
        </w:rPr>
        <w:t>ca</w:t>
      </w:r>
      <w:r w:rsidR="00651D2B" w:rsidRPr="00651D2B">
        <w:rPr>
          <w:rFonts w:ascii="Times New Roman" w:eastAsia="Times New Roman" w:hAnsi="Times New Roman" w:cs="Times New Roman"/>
          <w:spacing w:val="1"/>
          <w:sz w:val="24"/>
          <w:szCs w:val="24"/>
        </w:rPr>
        <w:t>r</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ino</w:t>
      </w:r>
      <w:r w:rsidR="00651D2B" w:rsidRPr="00651D2B">
        <w:rPr>
          <w:rFonts w:ascii="Times New Roman" w:eastAsia="Times New Roman" w:hAnsi="Times New Roman" w:cs="Times New Roman"/>
          <w:spacing w:val="1"/>
          <w:sz w:val="24"/>
          <w:szCs w:val="24"/>
        </w:rPr>
        <w:t>m</w:t>
      </w:r>
      <w:r w:rsidR="00651D2B" w:rsidRPr="00651D2B">
        <w:rPr>
          <w:rFonts w:ascii="Times New Roman" w:eastAsia="Times New Roman" w:hAnsi="Times New Roman" w:cs="Times New Roman"/>
          <w:sz w:val="24"/>
          <w:szCs w:val="24"/>
        </w:rPr>
        <w:t>a of</w:t>
      </w:r>
      <w:r w:rsidR="00651D2B" w:rsidRPr="00651D2B">
        <w:rPr>
          <w:rFonts w:ascii="Times New Roman" w:eastAsia="Times New Roman" w:hAnsi="Times New Roman" w:cs="Times New Roman"/>
          <w:spacing w:val="2"/>
          <w:sz w:val="24"/>
          <w:szCs w:val="24"/>
        </w:rPr>
        <w:t xml:space="preserve"> </w:t>
      </w:r>
      <w:r w:rsidR="00651D2B" w:rsidRPr="00651D2B">
        <w:rPr>
          <w:rFonts w:ascii="Times New Roman" w:eastAsia="Times New Roman" w:hAnsi="Times New Roman" w:cs="Times New Roman"/>
          <w:sz w:val="24"/>
          <w:szCs w:val="24"/>
        </w:rPr>
        <w:t xml:space="preserve">the </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pacing w:val="1"/>
          <w:sz w:val="24"/>
          <w:szCs w:val="24"/>
        </w:rPr>
        <w:t>r</w:t>
      </w:r>
      <w:r w:rsidR="00651D2B" w:rsidRPr="00651D2B">
        <w:rPr>
          <w:rFonts w:ascii="Times New Roman" w:eastAsia="Times New Roman" w:hAnsi="Times New Roman" w:cs="Times New Roman"/>
          <w:sz w:val="24"/>
          <w:szCs w:val="24"/>
        </w:rPr>
        <w:t>vix</w:t>
      </w:r>
      <w:r w:rsidR="00651D2B" w:rsidRPr="00651D2B">
        <w:rPr>
          <w:rFonts w:ascii="Times New Roman" w:eastAsia="Times New Roman" w:hAnsi="Times New Roman" w:cs="Times New Roman"/>
          <w:spacing w:val="1"/>
          <w:sz w:val="24"/>
          <w:szCs w:val="24"/>
        </w:rPr>
        <w:t xml:space="preserve"> </w:t>
      </w:r>
      <w:r w:rsidR="00651D2B" w:rsidRPr="00651D2B">
        <w:rPr>
          <w:rFonts w:ascii="Times New Roman" w:eastAsia="Times New Roman" w:hAnsi="Times New Roman" w:cs="Times New Roman"/>
          <w:sz w:val="24"/>
          <w:szCs w:val="24"/>
        </w:rPr>
        <w:t>who h</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d</w:t>
      </w:r>
      <w:r w:rsidR="00651D2B" w:rsidRPr="00651D2B">
        <w:rPr>
          <w:rFonts w:ascii="Times New Roman" w:eastAsia="Times New Roman" w:hAnsi="Times New Roman" w:cs="Times New Roman"/>
          <w:spacing w:val="3"/>
          <w:sz w:val="24"/>
          <w:szCs w:val="24"/>
        </w:rPr>
        <w:t xml:space="preserve"> </w:t>
      </w:r>
      <w:r w:rsidR="00651D2B" w:rsidRPr="00651D2B">
        <w:rPr>
          <w:rFonts w:ascii="Times New Roman" w:eastAsia="Times New Roman" w:hAnsi="Times New Roman" w:cs="Times New Roman"/>
          <w:sz w:val="24"/>
          <w:szCs w:val="24"/>
        </w:rPr>
        <w:t>r</w:t>
      </w:r>
      <w:r w:rsidR="00651D2B" w:rsidRPr="00651D2B">
        <w:rPr>
          <w:rFonts w:ascii="Times New Roman" w:eastAsia="Times New Roman" w:hAnsi="Times New Roman" w:cs="Times New Roman"/>
          <w:spacing w:val="-2"/>
          <w:sz w:val="24"/>
          <w:szCs w:val="24"/>
        </w:rPr>
        <w:t>e</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ived</w:t>
      </w:r>
      <w:r w:rsidR="00651D2B" w:rsidRPr="00651D2B">
        <w:rPr>
          <w:rFonts w:ascii="Times New Roman" w:eastAsia="Times New Roman" w:hAnsi="Times New Roman" w:cs="Times New Roman"/>
          <w:spacing w:val="3"/>
          <w:sz w:val="24"/>
          <w:szCs w:val="24"/>
        </w:rPr>
        <w:t xml:space="preserve"> </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on</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u</w:t>
      </w:r>
      <w:r w:rsidR="00651D2B" w:rsidRPr="00651D2B">
        <w:rPr>
          <w:rFonts w:ascii="Times New Roman" w:eastAsia="Times New Roman" w:hAnsi="Times New Roman" w:cs="Times New Roman"/>
          <w:spacing w:val="1"/>
          <w:sz w:val="24"/>
          <w:szCs w:val="24"/>
        </w:rPr>
        <w:t>r</w:t>
      </w:r>
      <w:r w:rsidR="00651D2B" w:rsidRPr="00651D2B">
        <w:rPr>
          <w:rFonts w:ascii="Times New Roman" w:eastAsia="Times New Roman" w:hAnsi="Times New Roman" w:cs="Times New Roman"/>
          <w:sz w:val="24"/>
          <w:szCs w:val="24"/>
        </w:rPr>
        <w:t>r</w:t>
      </w:r>
      <w:r w:rsidR="00651D2B" w:rsidRPr="00651D2B">
        <w:rPr>
          <w:rFonts w:ascii="Times New Roman" w:eastAsia="Times New Roman" w:hAnsi="Times New Roman" w:cs="Times New Roman"/>
          <w:spacing w:val="-2"/>
          <w:sz w:val="24"/>
          <w:szCs w:val="24"/>
        </w:rPr>
        <w:t>e</w:t>
      </w:r>
      <w:r w:rsidR="00651D2B" w:rsidRPr="00651D2B">
        <w:rPr>
          <w:rFonts w:ascii="Times New Roman" w:eastAsia="Times New Roman" w:hAnsi="Times New Roman" w:cs="Times New Roman"/>
          <w:sz w:val="24"/>
          <w:szCs w:val="24"/>
        </w:rPr>
        <w:t xml:space="preserve">nt </w:t>
      </w:r>
      <w:r w:rsidR="00651D2B" w:rsidRPr="00651D2B">
        <w:rPr>
          <w:rFonts w:ascii="Times New Roman" w:eastAsia="Times New Roman" w:hAnsi="Times New Roman" w:cs="Times New Roman"/>
          <w:spacing w:val="-1"/>
          <w:sz w:val="24"/>
          <w:szCs w:val="24"/>
        </w:rPr>
        <w:t>c</w:t>
      </w:r>
      <w:r w:rsidR="00651D2B" w:rsidRPr="00651D2B">
        <w:rPr>
          <w:rFonts w:ascii="Times New Roman" w:eastAsia="Times New Roman" w:hAnsi="Times New Roman" w:cs="Times New Roman"/>
          <w:sz w:val="24"/>
          <w:szCs w:val="24"/>
        </w:rPr>
        <w:t>h</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mor</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dio</w:t>
      </w:r>
      <w:r w:rsidR="00651D2B" w:rsidRPr="00651D2B">
        <w:rPr>
          <w:rFonts w:ascii="Times New Roman" w:eastAsia="Times New Roman" w:hAnsi="Times New Roman" w:cs="Times New Roman"/>
          <w:spacing w:val="1"/>
          <w:sz w:val="24"/>
          <w:szCs w:val="24"/>
        </w:rPr>
        <w:t>t</w:t>
      </w:r>
      <w:r w:rsidR="00651D2B" w:rsidRPr="00651D2B">
        <w:rPr>
          <w:rFonts w:ascii="Times New Roman" w:eastAsia="Times New Roman" w:hAnsi="Times New Roman" w:cs="Times New Roman"/>
          <w:sz w:val="24"/>
          <w:szCs w:val="24"/>
        </w:rPr>
        <w:t>h</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r</w:t>
      </w:r>
      <w:r w:rsidR="00651D2B" w:rsidRPr="00651D2B">
        <w:rPr>
          <w:rFonts w:ascii="Times New Roman" w:eastAsia="Times New Roman" w:hAnsi="Times New Roman" w:cs="Times New Roman"/>
          <w:spacing w:val="-2"/>
          <w:sz w:val="24"/>
          <w:szCs w:val="24"/>
        </w:rPr>
        <w:t>a</w:t>
      </w:r>
      <w:r w:rsidR="00651D2B" w:rsidRPr="00651D2B">
        <w:rPr>
          <w:rFonts w:ascii="Times New Roman" w:eastAsia="Times New Roman" w:hAnsi="Times New Roman" w:cs="Times New Roman"/>
          <w:sz w:val="24"/>
          <w:szCs w:val="24"/>
        </w:rPr>
        <w:t>py</w:t>
      </w:r>
      <w:r w:rsidR="00651D2B" w:rsidRPr="00651D2B">
        <w:rPr>
          <w:rFonts w:ascii="Times New Roman" w:eastAsia="Times New Roman" w:hAnsi="Times New Roman" w:cs="Times New Roman"/>
          <w:spacing w:val="-7"/>
          <w:sz w:val="24"/>
          <w:szCs w:val="24"/>
        </w:rPr>
        <w:t xml:space="preserve"> </w:t>
      </w:r>
      <w:r w:rsidR="00651D2B" w:rsidRPr="00651D2B">
        <w:rPr>
          <w:rFonts w:ascii="Times New Roman" w:eastAsia="Times New Roman" w:hAnsi="Times New Roman" w:cs="Times New Roman"/>
          <w:sz w:val="24"/>
          <w:szCs w:val="24"/>
        </w:rPr>
        <w:t>(C</w:t>
      </w:r>
      <w:r w:rsidR="00651D2B" w:rsidRPr="00651D2B">
        <w:rPr>
          <w:rFonts w:ascii="Times New Roman" w:eastAsia="Times New Roman" w:hAnsi="Times New Roman" w:cs="Times New Roman"/>
          <w:spacing w:val="3"/>
          <w:sz w:val="24"/>
          <w:szCs w:val="24"/>
        </w:rPr>
        <w:t>C</w:t>
      </w:r>
      <w:r w:rsidR="00651D2B" w:rsidRPr="00651D2B">
        <w:rPr>
          <w:rFonts w:ascii="Times New Roman" w:eastAsia="Times New Roman" w:hAnsi="Times New Roman" w:cs="Times New Roman"/>
          <w:sz w:val="24"/>
          <w:szCs w:val="24"/>
        </w:rPr>
        <w:t>RT</w:t>
      </w:r>
      <w:r w:rsidR="00651D2B" w:rsidRPr="00651D2B">
        <w:rPr>
          <w:rFonts w:ascii="Times New Roman" w:eastAsia="Times New Roman" w:hAnsi="Times New Roman" w:cs="Times New Roman"/>
          <w:spacing w:val="-1"/>
          <w:sz w:val="24"/>
          <w:szCs w:val="24"/>
        </w:rPr>
        <w:t>)</w:t>
      </w:r>
      <w:r w:rsidR="00651D2B" w:rsidRPr="00651D2B">
        <w:rPr>
          <w:rFonts w:ascii="Times New Roman" w:eastAsia="Times New Roman" w:hAnsi="Times New Roman" w:cs="Times New Roman"/>
          <w:sz w:val="24"/>
          <w:szCs w:val="24"/>
        </w:rPr>
        <w:t>.</w:t>
      </w:r>
      <w:r w:rsidR="00651D2B" w:rsidRPr="00651D2B">
        <w:rPr>
          <w:rFonts w:ascii="Times New Roman" w:eastAsia="Times New Roman" w:hAnsi="Times New Roman" w:cs="Times New Roman"/>
          <w:spacing w:val="-7"/>
          <w:sz w:val="24"/>
          <w:szCs w:val="24"/>
        </w:rPr>
        <w:t xml:space="preserve"> </w:t>
      </w:r>
      <w:r w:rsidR="00651D2B" w:rsidRPr="00651D2B">
        <w:rPr>
          <w:rFonts w:ascii="Times New Roman" w:eastAsia="Times New Roman" w:hAnsi="Times New Roman" w:cs="Times New Roman"/>
          <w:sz w:val="24"/>
          <w:szCs w:val="24"/>
        </w:rPr>
        <w:t>The</w:t>
      </w:r>
      <w:r w:rsidR="00651D2B" w:rsidRPr="00651D2B">
        <w:rPr>
          <w:rFonts w:ascii="Times New Roman" w:eastAsia="Times New Roman" w:hAnsi="Times New Roman" w:cs="Times New Roman"/>
          <w:spacing w:val="-8"/>
          <w:sz w:val="24"/>
          <w:szCs w:val="24"/>
        </w:rPr>
        <w:t xml:space="preserve"> </w:t>
      </w:r>
      <w:r w:rsidR="00651D2B" w:rsidRPr="00651D2B">
        <w:rPr>
          <w:rFonts w:ascii="Times New Roman" w:eastAsia="Times New Roman" w:hAnsi="Times New Roman" w:cs="Times New Roman"/>
          <w:sz w:val="24"/>
          <w:szCs w:val="24"/>
        </w:rPr>
        <w:t>study</w:t>
      </w:r>
      <w:r w:rsidR="00651D2B" w:rsidRPr="00651D2B">
        <w:rPr>
          <w:rFonts w:ascii="Times New Roman" w:eastAsia="Times New Roman" w:hAnsi="Times New Roman" w:cs="Times New Roman"/>
          <w:spacing w:val="-7"/>
          <w:sz w:val="24"/>
          <w:szCs w:val="24"/>
        </w:rPr>
        <w:t xml:space="preserve"> </w:t>
      </w:r>
      <w:r w:rsidR="00651D2B">
        <w:rPr>
          <w:rFonts w:ascii="Times New Roman" w:eastAsia="Times New Roman" w:hAnsi="Times New Roman" w:cs="Times New Roman"/>
          <w:sz w:val="24"/>
          <w:szCs w:val="24"/>
        </w:rPr>
        <w:t>consisted of</w:t>
      </w:r>
      <w:r w:rsidR="00651D2B" w:rsidRPr="00651D2B">
        <w:rPr>
          <w:rFonts w:ascii="Times New Roman" w:eastAsia="Times New Roman" w:hAnsi="Times New Roman" w:cs="Times New Roman"/>
          <w:spacing w:val="-7"/>
          <w:sz w:val="24"/>
          <w:szCs w:val="24"/>
        </w:rPr>
        <w:t xml:space="preserve"> </w:t>
      </w:r>
      <w:r w:rsidR="00651D2B" w:rsidRPr="00651D2B">
        <w:rPr>
          <w:rFonts w:ascii="Times New Roman" w:eastAsia="Times New Roman" w:hAnsi="Times New Roman" w:cs="Times New Roman"/>
          <w:sz w:val="24"/>
          <w:szCs w:val="24"/>
        </w:rPr>
        <w:t>66</w:t>
      </w:r>
      <w:r w:rsidR="00651D2B" w:rsidRPr="00651D2B">
        <w:rPr>
          <w:rFonts w:ascii="Times New Roman" w:eastAsia="Times New Roman" w:hAnsi="Times New Roman" w:cs="Times New Roman"/>
          <w:spacing w:val="-7"/>
          <w:sz w:val="24"/>
          <w:szCs w:val="24"/>
        </w:rPr>
        <w:t xml:space="preserve"> </w:t>
      </w:r>
      <w:r w:rsidR="00651D2B" w:rsidRPr="00651D2B">
        <w:rPr>
          <w:rFonts w:ascii="Times New Roman" w:eastAsia="Times New Roman" w:hAnsi="Times New Roman" w:cs="Times New Roman"/>
          <w:sz w:val="24"/>
          <w:szCs w:val="24"/>
        </w:rPr>
        <w:t>p</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t</w:t>
      </w:r>
      <w:r w:rsidR="00651D2B" w:rsidRPr="00651D2B">
        <w:rPr>
          <w:rFonts w:ascii="Times New Roman" w:eastAsia="Times New Roman" w:hAnsi="Times New Roman" w:cs="Times New Roman"/>
          <w:spacing w:val="1"/>
          <w:sz w:val="24"/>
          <w:szCs w:val="24"/>
        </w:rPr>
        <w:t>i</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nts</w:t>
      </w:r>
      <w:r w:rsidR="00651D2B" w:rsidRPr="00651D2B">
        <w:rPr>
          <w:rFonts w:ascii="Times New Roman" w:eastAsia="Times New Roman" w:hAnsi="Times New Roman" w:cs="Times New Roman"/>
          <w:spacing w:val="-6"/>
          <w:sz w:val="24"/>
          <w:szCs w:val="24"/>
        </w:rPr>
        <w:t xml:space="preserve"> </w:t>
      </w:r>
      <w:r w:rsidR="00651D2B" w:rsidRPr="00651D2B">
        <w:rPr>
          <w:rFonts w:ascii="Times New Roman" w:eastAsia="Times New Roman" w:hAnsi="Times New Roman" w:cs="Times New Roman"/>
          <w:sz w:val="24"/>
          <w:szCs w:val="24"/>
        </w:rPr>
        <w:t>who</w:t>
      </w:r>
      <w:r w:rsidR="00651D2B" w:rsidRPr="00651D2B">
        <w:rPr>
          <w:rFonts w:ascii="Times New Roman" w:eastAsia="Times New Roman" w:hAnsi="Times New Roman" w:cs="Times New Roman"/>
          <w:spacing w:val="-8"/>
          <w:sz w:val="24"/>
          <w:szCs w:val="24"/>
        </w:rPr>
        <w:t xml:space="preserve"> </w:t>
      </w:r>
      <w:r w:rsidR="00651D2B" w:rsidRPr="00651D2B">
        <w:rPr>
          <w:rFonts w:ascii="Times New Roman" w:eastAsia="Times New Roman" w:hAnsi="Times New Roman" w:cs="Times New Roman"/>
          <w:sz w:val="24"/>
          <w:szCs w:val="24"/>
        </w:rPr>
        <w:t>w</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re</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div</w:t>
      </w:r>
      <w:r w:rsidR="00651D2B" w:rsidRPr="00651D2B">
        <w:rPr>
          <w:rFonts w:ascii="Times New Roman" w:eastAsia="Times New Roman" w:hAnsi="Times New Roman" w:cs="Times New Roman"/>
          <w:spacing w:val="3"/>
          <w:sz w:val="24"/>
          <w:szCs w:val="24"/>
        </w:rPr>
        <w:t>i</w:t>
      </w:r>
      <w:r w:rsidR="00651D2B" w:rsidRPr="00651D2B">
        <w:rPr>
          <w:rFonts w:ascii="Times New Roman" w:eastAsia="Times New Roman" w:hAnsi="Times New Roman" w:cs="Times New Roman"/>
          <w:sz w:val="24"/>
          <w:szCs w:val="24"/>
        </w:rPr>
        <w:t>d</w:t>
      </w:r>
      <w:r w:rsidR="00651D2B" w:rsidRPr="00651D2B">
        <w:rPr>
          <w:rFonts w:ascii="Times New Roman" w:eastAsia="Times New Roman" w:hAnsi="Times New Roman" w:cs="Times New Roman"/>
          <w:spacing w:val="-1"/>
          <w:sz w:val="24"/>
          <w:szCs w:val="24"/>
        </w:rPr>
        <w:t>e</w:t>
      </w:r>
      <w:r w:rsidR="00651D2B" w:rsidRPr="00651D2B">
        <w:rPr>
          <w:rFonts w:ascii="Times New Roman" w:eastAsia="Times New Roman" w:hAnsi="Times New Roman" w:cs="Times New Roman"/>
          <w:sz w:val="24"/>
          <w:szCs w:val="24"/>
        </w:rPr>
        <w:t>d</w:t>
      </w:r>
      <w:r w:rsidR="00651D2B" w:rsidRPr="00651D2B">
        <w:rPr>
          <w:rFonts w:ascii="Times New Roman" w:eastAsia="Times New Roman" w:hAnsi="Times New Roman" w:cs="Times New Roman"/>
          <w:spacing w:val="-7"/>
          <w:sz w:val="24"/>
          <w:szCs w:val="24"/>
        </w:rPr>
        <w:t xml:space="preserve"> </w:t>
      </w:r>
      <w:r w:rsidR="00651D2B" w:rsidRPr="00651D2B">
        <w:rPr>
          <w:rFonts w:ascii="Times New Roman" w:eastAsia="Times New Roman" w:hAnsi="Times New Roman" w:cs="Times New Roman"/>
          <w:sz w:val="24"/>
          <w:szCs w:val="24"/>
        </w:rPr>
        <w:t>in</w:t>
      </w:r>
      <w:r w:rsidR="00651D2B" w:rsidRPr="00651D2B">
        <w:rPr>
          <w:rFonts w:ascii="Times New Roman" w:eastAsia="Times New Roman" w:hAnsi="Times New Roman" w:cs="Times New Roman"/>
          <w:spacing w:val="1"/>
          <w:sz w:val="24"/>
          <w:szCs w:val="24"/>
        </w:rPr>
        <w:t>t</w:t>
      </w:r>
      <w:r w:rsidR="00651D2B" w:rsidRPr="00651D2B">
        <w:rPr>
          <w:rFonts w:ascii="Times New Roman" w:eastAsia="Times New Roman" w:hAnsi="Times New Roman" w:cs="Times New Roman"/>
          <w:sz w:val="24"/>
          <w:szCs w:val="24"/>
        </w:rPr>
        <w:t>o</w:t>
      </w:r>
      <w:r w:rsidR="00651D2B" w:rsidRPr="00651D2B">
        <w:rPr>
          <w:rFonts w:ascii="Times New Roman" w:eastAsia="Times New Roman" w:hAnsi="Times New Roman" w:cs="Times New Roman"/>
          <w:spacing w:val="-7"/>
          <w:sz w:val="24"/>
          <w:szCs w:val="24"/>
        </w:rPr>
        <w:t xml:space="preserve"> </w:t>
      </w:r>
      <w:r w:rsidR="00651D2B" w:rsidRPr="00651D2B">
        <w:rPr>
          <w:rFonts w:ascii="Times New Roman" w:eastAsia="Times New Roman" w:hAnsi="Times New Roman" w:cs="Times New Roman"/>
          <w:sz w:val="24"/>
          <w:szCs w:val="24"/>
        </w:rPr>
        <w:t xml:space="preserve">two </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rms:</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A</w:t>
      </w:r>
      <w:r w:rsidR="00651D2B" w:rsidRPr="00651D2B">
        <w:rPr>
          <w:rFonts w:ascii="Times New Roman" w:eastAsia="Times New Roman" w:hAnsi="Times New Roman" w:cs="Times New Roman"/>
          <w:spacing w:val="-1"/>
          <w:sz w:val="24"/>
          <w:szCs w:val="24"/>
        </w:rPr>
        <w:t>r</w:t>
      </w:r>
      <w:r w:rsidR="00651D2B" w:rsidRPr="00651D2B">
        <w:rPr>
          <w:rFonts w:ascii="Times New Roman" w:eastAsia="Times New Roman" w:hAnsi="Times New Roman" w:cs="Times New Roman"/>
          <w:sz w:val="24"/>
          <w:szCs w:val="24"/>
        </w:rPr>
        <w:t>m</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A</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(18</w:t>
      </w:r>
      <w:r w:rsidR="00651D2B" w:rsidRPr="00651D2B">
        <w:rPr>
          <w:rFonts w:ascii="Times New Roman" w:eastAsia="Times New Roman" w:hAnsi="Times New Roman" w:cs="Times New Roman"/>
          <w:spacing w:val="9"/>
          <w:sz w:val="24"/>
          <w:szCs w:val="24"/>
        </w:rPr>
        <w:t xml:space="preserve"> </w:t>
      </w:r>
      <w:proofErr w:type="spellStart"/>
      <w:r w:rsidR="00651D2B" w:rsidRPr="00651D2B">
        <w:rPr>
          <w:rFonts w:ascii="Times New Roman" w:eastAsia="Times New Roman" w:hAnsi="Times New Roman" w:cs="Times New Roman"/>
          <w:sz w:val="24"/>
          <w:szCs w:val="24"/>
        </w:rPr>
        <w:t>Gy</w:t>
      </w:r>
      <w:proofErr w:type="spellEnd"/>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in</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2</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f</w:t>
      </w:r>
      <w:r w:rsidR="00651D2B" w:rsidRPr="00651D2B">
        <w:rPr>
          <w:rFonts w:ascii="Times New Roman" w:eastAsia="Times New Roman" w:hAnsi="Times New Roman" w:cs="Times New Roman"/>
          <w:spacing w:val="-1"/>
          <w:sz w:val="24"/>
          <w:szCs w:val="24"/>
        </w:rPr>
        <w:t>rac</w:t>
      </w:r>
      <w:r w:rsidR="00651D2B" w:rsidRPr="00651D2B">
        <w:rPr>
          <w:rFonts w:ascii="Times New Roman" w:eastAsia="Times New Roman" w:hAnsi="Times New Roman" w:cs="Times New Roman"/>
          <w:sz w:val="24"/>
          <w:szCs w:val="24"/>
        </w:rPr>
        <w:t>t</w:t>
      </w:r>
      <w:r w:rsidR="00651D2B" w:rsidRPr="00651D2B">
        <w:rPr>
          <w:rFonts w:ascii="Times New Roman" w:eastAsia="Times New Roman" w:hAnsi="Times New Roman" w:cs="Times New Roman"/>
          <w:spacing w:val="1"/>
          <w:sz w:val="24"/>
          <w:szCs w:val="24"/>
        </w:rPr>
        <w:t>i</w:t>
      </w:r>
      <w:r w:rsidR="00651D2B" w:rsidRPr="00651D2B">
        <w:rPr>
          <w:rFonts w:ascii="Times New Roman" w:eastAsia="Times New Roman" w:hAnsi="Times New Roman" w:cs="Times New Roman"/>
          <w:spacing w:val="3"/>
          <w:sz w:val="24"/>
          <w:szCs w:val="24"/>
        </w:rPr>
        <w:t>o</w:t>
      </w:r>
      <w:r w:rsidR="00651D2B" w:rsidRPr="00651D2B">
        <w:rPr>
          <w:rFonts w:ascii="Times New Roman" w:eastAsia="Times New Roman" w:hAnsi="Times New Roman" w:cs="Times New Roman"/>
          <w:sz w:val="24"/>
          <w:szCs w:val="24"/>
        </w:rPr>
        <w:t>ns)</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pacing w:val="-1"/>
          <w:sz w:val="24"/>
          <w:szCs w:val="24"/>
        </w:rPr>
        <w:t>a</w:t>
      </w:r>
      <w:r w:rsidR="00651D2B" w:rsidRPr="00651D2B">
        <w:rPr>
          <w:rFonts w:ascii="Times New Roman" w:eastAsia="Times New Roman" w:hAnsi="Times New Roman" w:cs="Times New Roman"/>
          <w:sz w:val="24"/>
          <w:szCs w:val="24"/>
        </w:rPr>
        <w:t>nd</w:t>
      </w:r>
      <w:r w:rsidR="00651D2B" w:rsidRPr="00651D2B">
        <w:rPr>
          <w:rFonts w:ascii="Times New Roman" w:eastAsia="Times New Roman" w:hAnsi="Times New Roman" w:cs="Times New Roman"/>
          <w:spacing w:val="12"/>
          <w:sz w:val="24"/>
          <w:szCs w:val="24"/>
        </w:rPr>
        <w:t xml:space="preserve"> </w:t>
      </w:r>
      <w:r w:rsidR="00651D2B" w:rsidRPr="00651D2B">
        <w:rPr>
          <w:rFonts w:ascii="Times New Roman" w:eastAsia="Times New Roman" w:hAnsi="Times New Roman" w:cs="Times New Roman"/>
          <w:sz w:val="24"/>
          <w:szCs w:val="24"/>
        </w:rPr>
        <w:t>A</w:t>
      </w:r>
      <w:r w:rsidR="00651D2B" w:rsidRPr="00651D2B">
        <w:rPr>
          <w:rFonts w:ascii="Times New Roman" w:eastAsia="Times New Roman" w:hAnsi="Times New Roman" w:cs="Times New Roman"/>
          <w:spacing w:val="-1"/>
          <w:sz w:val="24"/>
          <w:szCs w:val="24"/>
        </w:rPr>
        <w:t>r</w:t>
      </w:r>
      <w:r w:rsidR="00651D2B" w:rsidRPr="00651D2B">
        <w:rPr>
          <w:rFonts w:ascii="Times New Roman" w:eastAsia="Times New Roman" w:hAnsi="Times New Roman" w:cs="Times New Roman"/>
          <w:sz w:val="24"/>
          <w:szCs w:val="24"/>
        </w:rPr>
        <w:t>m</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B</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(21</w:t>
      </w:r>
      <w:r w:rsidR="00651D2B" w:rsidRPr="00651D2B">
        <w:rPr>
          <w:rFonts w:ascii="Times New Roman" w:eastAsia="Times New Roman" w:hAnsi="Times New Roman" w:cs="Times New Roman"/>
          <w:spacing w:val="9"/>
          <w:sz w:val="24"/>
          <w:szCs w:val="24"/>
        </w:rPr>
        <w:t xml:space="preserve"> </w:t>
      </w:r>
      <w:proofErr w:type="spellStart"/>
      <w:r w:rsidR="00651D2B" w:rsidRPr="00651D2B">
        <w:rPr>
          <w:rFonts w:ascii="Times New Roman" w:eastAsia="Times New Roman" w:hAnsi="Times New Roman" w:cs="Times New Roman"/>
          <w:sz w:val="24"/>
          <w:szCs w:val="24"/>
        </w:rPr>
        <w:t>Gy</w:t>
      </w:r>
      <w:proofErr w:type="spellEnd"/>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in</w:t>
      </w:r>
      <w:r w:rsidR="00651D2B" w:rsidRPr="00651D2B">
        <w:rPr>
          <w:rFonts w:ascii="Times New Roman" w:eastAsia="Times New Roman" w:hAnsi="Times New Roman" w:cs="Times New Roman"/>
          <w:spacing w:val="10"/>
          <w:sz w:val="24"/>
          <w:szCs w:val="24"/>
        </w:rPr>
        <w:t xml:space="preserve"> </w:t>
      </w:r>
      <w:r w:rsidR="00651D2B" w:rsidRPr="00651D2B">
        <w:rPr>
          <w:rFonts w:ascii="Times New Roman" w:eastAsia="Times New Roman" w:hAnsi="Times New Roman" w:cs="Times New Roman"/>
          <w:sz w:val="24"/>
          <w:szCs w:val="24"/>
        </w:rPr>
        <w:t>3</w:t>
      </w:r>
      <w:r w:rsidR="00651D2B" w:rsidRPr="00651D2B">
        <w:rPr>
          <w:rFonts w:ascii="Times New Roman" w:eastAsia="Times New Roman" w:hAnsi="Times New Roman" w:cs="Times New Roman"/>
          <w:spacing w:val="9"/>
          <w:sz w:val="24"/>
          <w:szCs w:val="24"/>
        </w:rPr>
        <w:t xml:space="preserve"> </w:t>
      </w:r>
      <w:r w:rsidR="00651D2B" w:rsidRPr="00651D2B">
        <w:rPr>
          <w:rFonts w:ascii="Times New Roman" w:eastAsia="Times New Roman" w:hAnsi="Times New Roman" w:cs="Times New Roman"/>
          <w:sz w:val="24"/>
          <w:szCs w:val="24"/>
        </w:rPr>
        <w:t>f</w:t>
      </w:r>
      <w:r w:rsidR="00651D2B" w:rsidRPr="00651D2B">
        <w:rPr>
          <w:rFonts w:ascii="Times New Roman" w:eastAsia="Times New Roman" w:hAnsi="Times New Roman" w:cs="Times New Roman"/>
          <w:spacing w:val="-1"/>
          <w:sz w:val="24"/>
          <w:szCs w:val="24"/>
        </w:rPr>
        <w:t>rac</w:t>
      </w:r>
      <w:r w:rsidR="00651D2B" w:rsidRPr="00651D2B">
        <w:rPr>
          <w:rFonts w:ascii="Times New Roman" w:eastAsia="Times New Roman" w:hAnsi="Times New Roman" w:cs="Times New Roman"/>
          <w:sz w:val="24"/>
          <w:szCs w:val="24"/>
        </w:rPr>
        <w:t>t</w:t>
      </w:r>
      <w:r w:rsidR="00651D2B" w:rsidRPr="00651D2B">
        <w:rPr>
          <w:rFonts w:ascii="Times New Roman" w:eastAsia="Times New Roman" w:hAnsi="Times New Roman" w:cs="Times New Roman"/>
          <w:spacing w:val="1"/>
          <w:sz w:val="24"/>
          <w:szCs w:val="24"/>
        </w:rPr>
        <w:t>i</w:t>
      </w:r>
      <w:r w:rsidR="00651D2B" w:rsidRPr="00651D2B">
        <w:rPr>
          <w:rFonts w:ascii="Times New Roman" w:eastAsia="Times New Roman" w:hAnsi="Times New Roman" w:cs="Times New Roman"/>
          <w:sz w:val="24"/>
          <w:szCs w:val="24"/>
        </w:rPr>
        <w:t>on</w:t>
      </w:r>
      <w:r w:rsidR="00651D2B" w:rsidRPr="00651D2B">
        <w:rPr>
          <w:rFonts w:ascii="Times New Roman" w:eastAsia="Times New Roman" w:hAnsi="Times New Roman" w:cs="Times New Roman"/>
          <w:spacing w:val="4"/>
          <w:sz w:val="24"/>
          <w:szCs w:val="24"/>
        </w:rPr>
        <w:t>s</w:t>
      </w:r>
      <w:r w:rsidR="00651D2B" w:rsidRPr="00651D2B">
        <w:rPr>
          <w:rFonts w:ascii="Times New Roman" w:eastAsia="Times New Roman" w:hAnsi="Times New Roman" w:cs="Times New Roman"/>
          <w:sz w:val="24"/>
          <w:szCs w:val="24"/>
        </w:rPr>
        <w:t>)</w:t>
      </w:r>
      <w:r w:rsidR="00651D2B">
        <w:rPr>
          <w:rFonts w:ascii="Times New Roman" w:eastAsia="Times New Roman" w:hAnsi="Times New Roman" w:cs="Times New Roman"/>
          <w:sz w:val="24"/>
          <w:szCs w:val="24"/>
        </w:rPr>
        <w:t>.</w:t>
      </w:r>
    </w:p>
    <w:p w14:paraId="2F390DE2" w14:textId="615CE511" w:rsidR="009532EC" w:rsidRDefault="00CC257B"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A6269">
        <w:rPr>
          <w:rFonts w:ascii="Times New Roman" w:hAnsi="Times New Roman" w:cs="Times New Roman"/>
          <w:sz w:val="24"/>
          <w:szCs w:val="24"/>
        </w:rPr>
        <w:t xml:space="preserve">he </w:t>
      </w:r>
      <w:r w:rsidR="001A6269" w:rsidRPr="001A6269">
        <w:rPr>
          <w:rFonts w:ascii="Times New Roman" w:hAnsi="Times New Roman" w:cs="Times New Roman"/>
          <w:sz w:val="24"/>
          <w:szCs w:val="24"/>
        </w:rPr>
        <w:t>mean age was 45.4</w:t>
      </w:r>
      <w:r w:rsidR="001A6269">
        <w:rPr>
          <w:rFonts w:ascii="Times New Roman" w:hAnsi="Times New Roman" w:cs="Times New Roman"/>
          <w:sz w:val="24"/>
          <w:szCs w:val="24"/>
        </w:rPr>
        <w:t xml:space="preserve"> </w:t>
      </w:r>
      <w:r w:rsidR="001A6269" w:rsidRPr="001A6269">
        <w:rPr>
          <w:rFonts w:ascii="Times New Roman" w:hAnsi="Times New Roman" w:cs="Times New Roman"/>
          <w:sz w:val="24"/>
          <w:szCs w:val="24"/>
        </w:rPr>
        <w:t>±</w:t>
      </w:r>
      <w:r w:rsidR="001A6269">
        <w:rPr>
          <w:rFonts w:ascii="Times New Roman" w:hAnsi="Times New Roman" w:cs="Times New Roman"/>
          <w:sz w:val="24"/>
          <w:szCs w:val="24"/>
        </w:rPr>
        <w:t xml:space="preserve"> </w:t>
      </w:r>
      <w:r w:rsidR="001A6269" w:rsidRPr="001A6269">
        <w:rPr>
          <w:rFonts w:ascii="Times New Roman" w:hAnsi="Times New Roman" w:cs="Times New Roman"/>
          <w:sz w:val="24"/>
          <w:szCs w:val="24"/>
        </w:rPr>
        <w:t>8.8 yea</w:t>
      </w:r>
      <w:r>
        <w:rPr>
          <w:rFonts w:ascii="Times New Roman" w:hAnsi="Times New Roman" w:cs="Times New Roman"/>
          <w:sz w:val="24"/>
          <w:szCs w:val="24"/>
        </w:rPr>
        <w:t xml:space="preserve">rs vs. </w:t>
      </w:r>
      <w:r w:rsidR="001A6269" w:rsidRPr="001A6269">
        <w:rPr>
          <w:rFonts w:ascii="Times New Roman" w:hAnsi="Times New Roman" w:cs="Times New Roman"/>
          <w:sz w:val="24"/>
          <w:szCs w:val="24"/>
        </w:rPr>
        <w:t>45.1</w:t>
      </w:r>
      <w:r w:rsidR="001A6269">
        <w:rPr>
          <w:rFonts w:ascii="Times New Roman" w:hAnsi="Times New Roman" w:cs="Times New Roman"/>
          <w:sz w:val="24"/>
          <w:szCs w:val="24"/>
        </w:rPr>
        <w:t xml:space="preserve"> </w:t>
      </w:r>
      <w:r w:rsidR="001A6269" w:rsidRPr="001A6269">
        <w:rPr>
          <w:rFonts w:ascii="Times New Roman" w:hAnsi="Times New Roman" w:cs="Times New Roman"/>
          <w:sz w:val="24"/>
          <w:szCs w:val="24"/>
        </w:rPr>
        <w:t>±</w:t>
      </w:r>
      <w:r w:rsidR="001A6269">
        <w:rPr>
          <w:rFonts w:ascii="Times New Roman" w:hAnsi="Times New Roman" w:cs="Times New Roman"/>
          <w:sz w:val="24"/>
          <w:szCs w:val="24"/>
        </w:rPr>
        <w:t xml:space="preserve"> </w:t>
      </w:r>
      <w:r w:rsidR="001A6269" w:rsidRPr="001A6269">
        <w:rPr>
          <w:rFonts w:ascii="Times New Roman" w:hAnsi="Times New Roman" w:cs="Times New Roman"/>
          <w:sz w:val="24"/>
          <w:szCs w:val="24"/>
        </w:rPr>
        <w:t xml:space="preserve">8.8 years, which was consistent with previous study </w:t>
      </w:r>
      <w:r w:rsidR="001A6269">
        <w:rPr>
          <w:rFonts w:ascii="Times New Roman" w:hAnsi="Times New Roman" w:cs="Times New Roman"/>
          <w:sz w:val="24"/>
          <w:szCs w:val="24"/>
        </w:rPr>
        <w:t>which discovered</w:t>
      </w:r>
      <w:r w:rsidR="001A6269" w:rsidRPr="001A6269">
        <w:rPr>
          <w:rFonts w:ascii="Times New Roman" w:hAnsi="Times New Roman" w:cs="Times New Roman"/>
          <w:sz w:val="24"/>
          <w:szCs w:val="24"/>
        </w:rPr>
        <w:t xml:space="preserve"> similar age range for cervical cancer patients</w:t>
      </w:r>
      <w:r w:rsidR="001A6269">
        <w:rPr>
          <w:rFonts w:ascii="Times New Roman" w:hAnsi="Times New Roman" w:cs="Times New Roman"/>
          <w:sz w:val="24"/>
          <w:szCs w:val="24"/>
        </w:rPr>
        <w:t xml:space="preserve">. </w:t>
      </w:r>
      <w:r w:rsidR="001A6269">
        <w:rPr>
          <w:rFonts w:ascii="Times New Roman" w:hAnsi="Times New Roman" w:cs="Times New Roman"/>
          <w:sz w:val="24"/>
          <w:szCs w:val="24"/>
          <w:vertAlign w:val="superscript"/>
        </w:rPr>
        <w:t xml:space="preserve">[18] </w:t>
      </w:r>
      <w:r w:rsidR="001A6269" w:rsidRPr="001A6269">
        <w:rPr>
          <w:rFonts w:ascii="Times New Roman" w:hAnsi="Times New Roman" w:cs="Times New Roman"/>
          <w:sz w:val="24"/>
          <w:szCs w:val="24"/>
        </w:rPr>
        <w:t>Another study conducted by Ferdous</w:t>
      </w:r>
      <w:r w:rsidR="00545831">
        <w:rPr>
          <w:rFonts w:ascii="Times New Roman" w:hAnsi="Times New Roman" w:cs="Times New Roman"/>
          <w:sz w:val="24"/>
          <w:szCs w:val="24"/>
        </w:rPr>
        <w:t xml:space="preserve"> and colleagues</w:t>
      </w:r>
      <w:r w:rsidR="001A6269" w:rsidRPr="001A6269">
        <w:rPr>
          <w:rFonts w:ascii="Times New Roman" w:hAnsi="Times New Roman" w:cs="Times New Roman"/>
          <w:sz w:val="24"/>
          <w:szCs w:val="24"/>
        </w:rPr>
        <w:t xml:space="preserve"> in Bangladesh </w:t>
      </w:r>
      <w:r w:rsidR="00545831">
        <w:rPr>
          <w:rFonts w:ascii="Times New Roman" w:hAnsi="Times New Roman" w:cs="Times New Roman"/>
          <w:sz w:val="24"/>
          <w:szCs w:val="24"/>
        </w:rPr>
        <w:t xml:space="preserve">found that, </w:t>
      </w:r>
      <w:r w:rsidR="001A6269" w:rsidRPr="001A6269">
        <w:rPr>
          <w:rFonts w:ascii="Times New Roman" w:hAnsi="Times New Roman" w:cs="Times New Roman"/>
          <w:sz w:val="24"/>
          <w:szCs w:val="24"/>
        </w:rPr>
        <w:t>minimum age was above 50 years among the cancer patients</w:t>
      </w:r>
      <w:r w:rsidR="009F1D4A">
        <w:rPr>
          <w:rFonts w:ascii="Times New Roman" w:hAnsi="Times New Roman" w:cs="Times New Roman"/>
          <w:sz w:val="24"/>
          <w:szCs w:val="24"/>
        </w:rPr>
        <w:t xml:space="preserve"> in both the groups</w:t>
      </w:r>
      <w:r w:rsidR="001A6269" w:rsidRPr="001A6269">
        <w:rPr>
          <w:rFonts w:ascii="Times New Roman" w:hAnsi="Times New Roman" w:cs="Times New Roman"/>
          <w:sz w:val="24"/>
          <w:szCs w:val="24"/>
        </w:rPr>
        <w:t>.</w:t>
      </w:r>
      <w:r w:rsidR="00545831">
        <w:rPr>
          <w:rFonts w:ascii="Times New Roman" w:hAnsi="Times New Roman" w:cs="Times New Roman"/>
          <w:sz w:val="24"/>
          <w:szCs w:val="24"/>
        </w:rPr>
        <w:t xml:space="preserve"> </w:t>
      </w:r>
      <w:r w:rsidR="00545831">
        <w:rPr>
          <w:rFonts w:ascii="Times New Roman" w:hAnsi="Times New Roman" w:cs="Times New Roman"/>
          <w:sz w:val="24"/>
          <w:szCs w:val="24"/>
          <w:vertAlign w:val="superscript"/>
        </w:rPr>
        <w:t xml:space="preserve">[19] </w:t>
      </w:r>
      <w:r w:rsidR="0021499F">
        <w:rPr>
          <w:rFonts w:ascii="Times New Roman" w:hAnsi="Times New Roman" w:cs="Times New Roman"/>
          <w:sz w:val="24"/>
          <w:szCs w:val="24"/>
        </w:rPr>
        <w:t xml:space="preserve">No significant association was discovered when comparing the educational status of the 2 groups; however, the predominance of illiteracy (54.5% and 51.5%) in both the arms reflect the educational disparities in low-resource settings. </w:t>
      </w:r>
    </w:p>
    <w:p w14:paraId="3047A536" w14:textId="77777777" w:rsidR="00B91CE7" w:rsidRDefault="006D6FAF" w:rsidP="00D67C0F">
      <w:pPr>
        <w:spacing w:line="360" w:lineRule="auto"/>
        <w:jc w:val="both"/>
        <w:rPr>
          <w:rFonts w:ascii="Times New Roman" w:hAnsi="Times New Roman" w:cs="Times New Roman"/>
          <w:sz w:val="24"/>
          <w:szCs w:val="24"/>
          <w:vertAlign w:val="superscript"/>
        </w:rPr>
      </w:pPr>
      <w:r w:rsidRPr="006D6FAF">
        <w:rPr>
          <w:rFonts w:ascii="Times New Roman" w:hAnsi="Times New Roman" w:cs="Times New Roman"/>
          <w:sz w:val="24"/>
          <w:szCs w:val="24"/>
        </w:rPr>
        <w:t>Besides, in terms of risk factors, a significant portion of patients in both arms had early marriage (90.9% vs 87.9%)</w:t>
      </w:r>
      <w:r>
        <w:rPr>
          <w:rFonts w:ascii="Times New Roman" w:hAnsi="Times New Roman" w:cs="Times New Roman"/>
          <w:sz w:val="24"/>
          <w:szCs w:val="24"/>
        </w:rPr>
        <w:t xml:space="preserve"> and</w:t>
      </w:r>
      <w:r w:rsidRPr="006D6FAF">
        <w:rPr>
          <w:rFonts w:ascii="Times New Roman" w:hAnsi="Times New Roman" w:cs="Times New Roman"/>
          <w:sz w:val="24"/>
          <w:szCs w:val="24"/>
        </w:rPr>
        <w:t xml:space="preserve"> multiparity (51.5% vs 60.6%) with no significant differences between the groups. Global cancer statistics indicate that the majority of the variation in cancer rates is attributed to exposure to recognized or potential risk factors associated with lifestyle or environmental factors, highlighting a significant challenge for prevent</w:t>
      </w:r>
      <w:r w:rsidR="00B91CE7">
        <w:rPr>
          <w:rFonts w:ascii="Times New Roman" w:hAnsi="Times New Roman" w:cs="Times New Roman"/>
          <w:sz w:val="24"/>
          <w:szCs w:val="24"/>
        </w:rPr>
        <w:t>ive approaches.</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[20] </w:t>
      </w:r>
    </w:p>
    <w:p w14:paraId="4CC3A13C" w14:textId="69D43823" w:rsidR="009532EC" w:rsidRDefault="00B91CE7" w:rsidP="00D67C0F">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We evaluated that, in case of </w:t>
      </w:r>
      <w:r w:rsidRPr="00B91CE7">
        <w:rPr>
          <w:rFonts w:ascii="Times New Roman" w:eastAsia="Times New Roman" w:hAnsi="Times New Roman" w:cs="Times New Roman"/>
          <w:sz w:val="24"/>
          <w:szCs w:val="24"/>
        </w:rPr>
        <w:t>both</w:t>
      </w:r>
      <w:r w:rsidRPr="00B91CE7">
        <w:rPr>
          <w:rFonts w:ascii="Times New Roman" w:eastAsia="Times New Roman" w:hAnsi="Times New Roman" w:cs="Times New Roman"/>
          <w:spacing w:val="-4"/>
          <w:sz w:val="24"/>
          <w:szCs w:val="24"/>
        </w:rPr>
        <w:t xml:space="preserve"> </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m</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5"/>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nd</w:t>
      </w:r>
      <w:r w:rsidRPr="00B91CE7">
        <w:rPr>
          <w:rFonts w:ascii="Times New Roman" w:eastAsia="Times New Roman" w:hAnsi="Times New Roman" w:cs="Times New Roman"/>
          <w:spacing w:val="-5"/>
          <w:sz w:val="24"/>
          <w:szCs w:val="24"/>
        </w:rPr>
        <w:t xml:space="preserve"> </w:t>
      </w:r>
      <w:r w:rsidRPr="00B91CE7">
        <w:rPr>
          <w:rFonts w:ascii="Times New Roman" w:eastAsia="Times New Roman" w:hAnsi="Times New Roman" w:cs="Times New Roman"/>
          <w:spacing w:val="2"/>
          <w:sz w:val="24"/>
          <w:szCs w:val="24"/>
        </w:rPr>
        <w:t>A</w:t>
      </w:r>
      <w:r w:rsidRPr="00B91CE7">
        <w:rPr>
          <w:rFonts w:ascii="Times New Roman" w:eastAsia="Times New Roman" w:hAnsi="Times New Roman" w:cs="Times New Roman"/>
          <w:sz w:val="24"/>
          <w:szCs w:val="24"/>
        </w:rPr>
        <w:t>rm B majo</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t</w:t>
      </w:r>
      <w:r w:rsidRPr="00B91CE7">
        <w:rPr>
          <w:rFonts w:ascii="Times New Roman" w:eastAsia="Times New Roman" w:hAnsi="Times New Roman" w:cs="Times New Roman"/>
          <w:sz w:val="24"/>
          <w:szCs w:val="24"/>
        </w:rPr>
        <w:t>y h</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 xml:space="preserve">d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3"/>
          <w:sz w:val="24"/>
          <w:szCs w:val="24"/>
        </w:rPr>
        <w:t>I</w:t>
      </w:r>
      <w:r w:rsidRPr="00B91CE7">
        <w:rPr>
          <w:rFonts w:ascii="Times New Roman" w:eastAsia="Times New Roman" w:hAnsi="Times New Roman" w:cs="Times New Roman"/>
          <w:sz w:val="24"/>
          <w:szCs w:val="24"/>
        </w:rPr>
        <w:t>GO</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st</w:t>
      </w:r>
      <w:r w:rsidRPr="00B91CE7">
        <w:rPr>
          <w:rFonts w:ascii="Times New Roman" w:eastAsia="Times New Roman" w:hAnsi="Times New Roman" w:cs="Times New Roman"/>
          <w:spacing w:val="2"/>
          <w:sz w:val="24"/>
          <w:szCs w:val="24"/>
        </w:rPr>
        <w:t>a</w:t>
      </w:r>
      <w:r w:rsidRPr="00B91CE7">
        <w:rPr>
          <w:rFonts w:ascii="Times New Roman" w:eastAsia="Times New Roman" w:hAnsi="Times New Roman" w:cs="Times New Roman"/>
          <w:sz w:val="24"/>
          <w:szCs w:val="24"/>
        </w:rPr>
        <w:t>ge</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4"/>
          <w:sz w:val="24"/>
          <w:szCs w:val="24"/>
        </w:rPr>
        <w:t>I</w:t>
      </w:r>
      <w:r w:rsidRPr="00B91CE7">
        <w:rPr>
          <w:rFonts w:ascii="Times New Roman" w:eastAsia="Times New Roman" w:hAnsi="Times New Roman" w:cs="Times New Roman"/>
          <w:sz w:val="24"/>
          <w:szCs w:val="24"/>
        </w:rPr>
        <w:t>B (54.</w:t>
      </w:r>
      <w:r w:rsidRPr="00B91CE7">
        <w:rPr>
          <w:rFonts w:ascii="Times New Roman" w:eastAsia="Times New Roman" w:hAnsi="Times New Roman" w:cs="Times New Roman"/>
          <w:spacing w:val="-1"/>
          <w:sz w:val="24"/>
          <w:szCs w:val="24"/>
        </w:rPr>
        <w:t>5</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 57.</w:t>
      </w:r>
      <w:r w:rsidRPr="00B91CE7">
        <w:rPr>
          <w:rFonts w:ascii="Times New Roman" w:eastAsia="Times New Roman" w:hAnsi="Times New Roman" w:cs="Times New Roman"/>
          <w:spacing w:val="2"/>
          <w:sz w:val="24"/>
          <w:szCs w:val="24"/>
        </w:rPr>
        <w:t>6</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follow</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 by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I</w:t>
      </w:r>
      <w:r w:rsidRPr="00B91CE7">
        <w:rPr>
          <w:rFonts w:ascii="Times New Roman" w:eastAsia="Times New Roman" w:hAnsi="Times New Roman" w:cs="Times New Roman"/>
          <w:sz w:val="24"/>
          <w:szCs w:val="24"/>
        </w:rPr>
        <w:t>IA</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(18.</w:t>
      </w:r>
      <w:r w:rsidRPr="00B91CE7">
        <w:rPr>
          <w:rFonts w:ascii="Times New Roman" w:eastAsia="Times New Roman" w:hAnsi="Times New Roman" w:cs="Times New Roman"/>
          <w:spacing w:val="-1"/>
          <w:sz w:val="24"/>
          <w:szCs w:val="24"/>
        </w:rPr>
        <w:t>2</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 18.1%</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I</w:t>
      </w:r>
      <w:r w:rsidRPr="00B91CE7">
        <w:rPr>
          <w:rFonts w:ascii="Times New Roman" w:eastAsia="Times New Roman" w:hAnsi="Times New Roman" w:cs="Times New Roman"/>
          <w:spacing w:val="-1"/>
          <w:sz w:val="24"/>
          <w:szCs w:val="24"/>
        </w:rPr>
        <w:t>I</w:t>
      </w:r>
      <w:r w:rsidRPr="00B91CE7">
        <w:rPr>
          <w:rFonts w:ascii="Times New Roman" w:eastAsia="Times New Roman" w:hAnsi="Times New Roman" w:cs="Times New Roman"/>
          <w:sz w:val="24"/>
          <w:szCs w:val="24"/>
        </w:rPr>
        <w:t>IB</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(18.</w:t>
      </w:r>
      <w:r w:rsidRPr="00B91CE7">
        <w:rPr>
          <w:rFonts w:ascii="Times New Roman" w:eastAsia="Times New Roman" w:hAnsi="Times New Roman" w:cs="Times New Roman"/>
          <w:spacing w:val="-1"/>
          <w:sz w:val="24"/>
          <w:szCs w:val="24"/>
        </w:rPr>
        <w:t>2</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1"/>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15.2</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and</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V</w:t>
      </w:r>
      <w:r w:rsidRPr="00B91CE7">
        <w:rPr>
          <w:rFonts w:ascii="Times New Roman" w:eastAsia="Times New Roman" w:hAnsi="Times New Roman" w:cs="Times New Roman"/>
          <w:sz w:val="24"/>
          <w:szCs w:val="24"/>
        </w:rPr>
        <w:t>A</w:t>
      </w:r>
      <w:r w:rsidRPr="00B91CE7">
        <w:rPr>
          <w:rFonts w:ascii="Times New Roman" w:eastAsia="Times New Roman" w:hAnsi="Times New Roman" w:cs="Times New Roman"/>
          <w:spacing w:val="-3"/>
          <w:sz w:val="24"/>
          <w:szCs w:val="24"/>
        </w:rPr>
        <w:t xml:space="preserve"> </w:t>
      </w:r>
      <w:r w:rsidRPr="00B91CE7">
        <w:rPr>
          <w:rFonts w:ascii="Times New Roman" w:eastAsia="Times New Roman" w:hAnsi="Times New Roman" w:cs="Times New Roman"/>
          <w:sz w:val="24"/>
          <w:szCs w:val="24"/>
        </w:rPr>
        <w:t>(9.</w:t>
      </w:r>
      <w:r w:rsidRPr="00B91CE7">
        <w:rPr>
          <w:rFonts w:ascii="Times New Roman" w:eastAsia="Times New Roman" w:hAnsi="Times New Roman" w:cs="Times New Roman"/>
          <w:spacing w:val="1"/>
          <w:sz w:val="24"/>
          <w:szCs w:val="24"/>
        </w:rPr>
        <w:t>1</w:t>
      </w:r>
      <w:r w:rsidRPr="00B91CE7">
        <w:rPr>
          <w:rFonts w:ascii="Times New Roman" w:eastAsia="Times New Roman" w:hAnsi="Times New Roman" w:cs="Times New Roman"/>
          <w:sz w:val="24"/>
          <w:szCs w:val="24"/>
        </w:rPr>
        <w:t>%</w:t>
      </w:r>
      <w:r w:rsidRPr="00B91CE7">
        <w:rPr>
          <w:rFonts w:ascii="Times New Roman" w:eastAsia="Times New Roman" w:hAnsi="Times New Roman" w:cs="Times New Roman"/>
          <w:spacing w:val="-3"/>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9.1</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 Pr</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vious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study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z w:val="24"/>
          <w:szCs w:val="24"/>
        </w:rPr>
        <w:t>by</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rdo</w:t>
      </w:r>
      <w:r w:rsidRPr="00B91CE7">
        <w:rPr>
          <w:rFonts w:ascii="Times New Roman" w:eastAsia="Times New Roman" w:hAnsi="Times New Roman" w:cs="Times New Roman"/>
          <w:spacing w:val="1"/>
          <w:sz w:val="24"/>
          <w:szCs w:val="24"/>
        </w:rPr>
        <w:t>u</w:t>
      </w:r>
      <w:r w:rsidRPr="00B91CE7">
        <w:rPr>
          <w:rFonts w:ascii="Times New Roman" w:eastAsia="Times New Roman" w:hAnsi="Times New Roman" w:cs="Times New Roman"/>
          <w:sz w:val="24"/>
          <w:szCs w:val="24"/>
        </w:rPr>
        <w:t>s</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t</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l.,</w:t>
      </w:r>
      <w:r w:rsidRPr="00B91CE7">
        <w:rPr>
          <w:rFonts w:ascii="Times New Roman" w:eastAsia="Times New Roman" w:hAnsi="Times New Roman" w:cs="Times New Roman"/>
          <w:spacing w:val="-2"/>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lso r</w:t>
      </w:r>
      <w:r w:rsidRPr="00B91CE7">
        <w:rPr>
          <w:rFonts w:ascii="Times New Roman" w:eastAsia="Times New Roman" w:hAnsi="Times New Roman" w:cs="Times New Roman"/>
          <w:spacing w:val="-2"/>
          <w:sz w:val="24"/>
          <w:szCs w:val="24"/>
        </w:rPr>
        <w:t>e</w:t>
      </w:r>
      <w:r w:rsidRPr="00B91CE7">
        <w:rPr>
          <w:rFonts w:ascii="Times New Roman" w:eastAsia="Times New Roman" w:hAnsi="Times New Roman" w:cs="Times New Roman"/>
          <w:sz w:val="24"/>
          <w:szCs w:val="24"/>
        </w:rPr>
        <w:t>v</w:t>
      </w:r>
      <w:r w:rsidRPr="00B91CE7">
        <w:rPr>
          <w:rFonts w:ascii="Times New Roman" w:eastAsia="Times New Roman" w:hAnsi="Times New Roman" w:cs="Times New Roman"/>
          <w:spacing w:val="-1"/>
          <w:sz w:val="24"/>
          <w:szCs w:val="24"/>
        </w:rPr>
        <w:t>ea</w:t>
      </w:r>
      <w:r w:rsidRPr="00B91CE7">
        <w:rPr>
          <w:rFonts w:ascii="Times New Roman" w:eastAsia="Times New Roman" w:hAnsi="Times New Roman" w:cs="Times New Roman"/>
          <w:spacing w:val="3"/>
          <w:sz w:val="24"/>
          <w:szCs w:val="24"/>
        </w:rPr>
        <w:t>l</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that</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majo</w:t>
      </w:r>
      <w:r w:rsidRPr="00B91CE7">
        <w:rPr>
          <w:rFonts w:ascii="Times New Roman" w:eastAsia="Times New Roman" w:hAnsi="Times New Roman" w:cs="Times New Roman"/>
          <w:spacing w:val="-1"/>
          <w:sz w:val="24"/>
          <w:szCs w:val="24"/>
        </w:rPr>
        <w:t>r</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1"/>
          <w:sz w:val="24"/>
          <w:szCs w:val="24"/>
        </w:rPr>
        <w:t>t</w:t>
      </w:r>
      <w:r w:rsidRPr="00B91CE7">
        <w:rPr>
          <w:rFonts w:ascii="Times New Roman" w:eastAsia="Times New Roman" w:hAnsi="Times New Roman" w:cs="Times New Roman"/>
          <w:sz w:val="24"/>
          <w:szCs w:val="24"/>
        </w:rPr>
        <w:t>y</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of</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both</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pacing w:val="-1"/>
          <w:sz w:val="24"/>
          <w:szCs w:val="24"/>
        </w:rPr>
        <w:t>a</w:t>
      </w:r>
      <w:r w:rsidRPr="00B91CE7">
        <w:rPr>
          <w:rFonts w:ascii="Times New Roman" w:eastAsia="Times New Roman" w:hAnsi="Times New Roman" w:cs="Times New Roman"/>
          <w:sz w:val="24"/>
          <w:szCs w:val="24"/>
        </w:rPr>
        <w:t>rms</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z w:val="24"/>
          <w:szCs w:val="24"/>
        </w:rPr>
        <w:t>show</w:t>
      </w:r>
      <w:r w:rsidRPr="00B91CE7">
        <w:rPr>
          <w:rFonts w:ascii="Times New Roman" w:eastAsia="Times New Roman" w:hAnsi="Times New Roman" w:cs="Times New Roman"/>
          <w:spacing w:val="-1"/>
          <w:sz w:val="24"/>
          <w:szCs w:val="24"/>
        </w:rPr>
        <w:t>e</w:t>
      </w:r>
      <w:r w:rsidRPr="00B91CE7">
        <w:rPr>
          <w:rFonts w:ascii="Times New Roman" w:eastAsia="Times New Roman" w:hAnsi="Times New Roman" w:cs="Times New Roman"/>
          <w:sz w:val="24"/>
          <w:szCs w:val="24"/>
        </w:rPr>
        <w:t>d</w:t>
      </w:r>
      <w:r w:rsidRPr="00B91CE7">
        <w:rPr>
          <w:rFonts w:ascii="Times New Roman" w:eastAsia="Times New Roman" w:hAnsi="Times New Roman" w:cs="Times New Roman"/>
          <w:spacing w:val="-10"/>
          <w:sz w:val="24"/>
          <w:szCs w:val="24"/>
        </w:rPr>
        <w:t xml:space="preserve"> </w:t>
      </w:r>
      <w:r w:rsidRPr="00B91CE7">
        <w:rPr>
          <w:rFonts w:ascii="Times New Roman" w:eastAsia="Times New Roman" w:hAnsi="Times New Roman" w:cs="Times New Roman"/>
          <w:spacing w:val="1"/>
          <w:sz w:val="24"/>
          <w:szCs w:val="24"/>
        </w:rPr>
        <w:t>F</w:t>
      </w:r>
      <w:r w:rsidRPr="00B91CE7">
        <w:rPr>
          <w:rFonts w:ascii="Times New Roman" w:eastAsia="Times New Roman" w:hAnsi="Times New Roman" w:cs="Times New Roman"/>
          <w:spacing w:val="-3"/>
          <w:sz w:val="24"/>
          <w:szCs w:val="24"/>
        </w:rPr>
        <w:t>I</w:t>
      </w:r>
      <w:r w:rsidRPr="00B91CE7">
        <w:rPr>
          <w:rFonts w:ascii="Times New Roman" w:eastAsia="Times New Roman" w:hAnsi="Times New Roman" w:cs="Times New Roman"/>
          <w:sz w:val="24"/>
          <w:szCs w:val="24"/>
        </w:rPr>
        <w:t>GO</w:t>
      </w:r>
      <w:r w:rsidRPr="00B91CE7">
        <w:rPr>
          <w:rFonts w:ascii="Times New Roman" w:eastAsia="Times New Roman" w:hAnsi="Times New Roman" w:cs="Times New Roman"/>
          <w:spacing w:val="-8"/>
          <w:sz w:val="24"/>
          <w:szCs w:val="24"/>
        </w:rPr>
        <w:t xml:space="preserve"> </w:t>
      </w:r>
      <w:r w:rsidRPr="00B91CE7">
        <w:rPr>
          <w:rFonts w:ascii="Times New Roman" w:eastAsia="Times New Roman" w:hAnsi="Times New Roman" w:cs="Times New Roman"/>
          <w:sz w:val="24"/>
          <w:szCs w:val="24"/>
        </w:rPr>
        <w:t>stage</w:t>
      </w:r>
      <w:r w:rsidRPr="00B91CE7">
        <w:rPr>
          <w:rFonts w:ascii="Times New Roman" w:eastAsia="Times New Roman" w:hAnsi="Times New Roman" w:cs="Times New Roman"/>
          <w:spacing w:val="-8"/>
          <w:sz w:val="24"/>
          <w:szCs w:val="24"/>
        </w:rPr>
        <w:t xml:space="preserve"> </w:t>
      </w:r>
      <w:r w:rsidRPr="00B91CE7">
        <w:rPr>
          <w:rFonts w:ascii="Times New Roman" w:eastAsia="Times New Roman" w:hAnsi="Times New Roman" w:cs="Times New Roman"/>
          <w:sz w:val="24"/>
          <w:szCs w:val="24"/>
        </w:rPr>
        <w:t>I</w:t>
      </w:r>
      <w:r w:rsidRPr="00B91CE7">
        <w:rPr>
          <w:rFonts w:ascii="Times New Roman" w:eastAsia="Times New Roman" w:hAnsi="Times New Roman" w:cs="Times New Roman"/>
          <w:spacing w:val="-4"/>
          <w:sz w:val="24"/>
          <w:szCs w:val="24"/>
        </w:rPr>
        <w:t>I</w:t>
      </w:r>
      <w:r w:rsidRPr="00B91CE7">
        <w:rPr>
          <w:rFonts w:ascii="Times New Roman" w:eastAsia="Times New Roman" w:hAnsi="Times New Roman" w:cs="Times New Roman"/>
          <w:sz w:val="24"/>
          <w:szCs w:val="24"/>
        </w:rPr>
        <w:t>B</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z w:val="24"/>
          <w:szCs w:val="24"/>
        </w:rPr>
        <w:t>(50%</w:t>
      </w:r>
      <w:r w:rsidRPr="00B91CE7">
        <w:rPr>
          <w:rFonts w:ascii="Times New Roman" w:eastAsia="Times New Roman" w:hAnsi="Times New Roman" w:cs="Times New Roman"/>
          <w:spacing w:val="-11"/>
          <w:sz w:val="24"/>
          <w:szCs w:val="24"/>
        </w:rPr>
        <w:t xml:space="preserve"> </w:t>
      </w:r>
      <w:r w:rsidRPr="00B91CE7">
        <w:rPr>
          <w:rFonts w:ascii="Times New Roman" w:eastAsia="Times New Roman" w:hAnsi="Times New Roman" w:cs="Times New Roman"/>
          <w:sz w:val="24"/>
          <w:szCs w:val="24"/>
        </w:rPr>
        <w:t>vs</w:t>
      </w:r>
      <w:r w:rsidRPr="00B91CE7">
        <w:rPr>
          <w:rFonts w:ascii="Times New Roman" w:eastAsia="Times New Roman" w:hAnsi="Times New Roman" w:cs="Times New Roman"/>
          <w:spacing w:val="-9"/>
          <w:sz w:val="24"/>
          <w:szCs w:val="24"/>
        </w:rPr>
        <w:t xml:space="preserve"> </w:t>
      </w:r>
      <w:r w:rsidRPr="00B91CE7">
        <w:rPr>
          <w:rFonts w:ascii="Times New Roman" w:eastAsia="Times New Roman" w:hAnsi="Times New Roman" w:cs="Times New Roman"/>
          <w:spacing w:val="3"/>
          <w:sz w:val="24"/>
          <w:szCs w:val="24"/>
        </w:rPr>
        <w:t>7</w:t>
      </w:r>
      <w:r w:rsidRPr="00B91CE7">
        <w:rPr>
          <w:rFonts w:ascii="Times New Roman" w:eastAsia="Times New Roman" w:hAnsi="Times New Roman" w:cs="Times New Roman"/>
          <w:sz w:val="24"/>
          <w:szCs w:val="24"/>
        </w:rPr>
        <w:t>3.3</w:t>
      </w:r>
      <w:r w:rsidRPr="00B91CE7">
        <w:rPr>
          <w:rFonts w:ascii="Times New Roman" w:eastAsia="Times New Roman" w:hAnsi="Times New Roman" w:cs="Times New Roman"/>
          <w:spacing w:val="-1"/>
          <w:sz w:val="24"/>
          <w:szCs w:val="24"/>
        </w:rPr>
        <w:t>%</w:t>
      </w:r>
      <w:r w:rsidRPr="00B91C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2067A">
        <w:rPr>
          <w:rFonts w:ascii="Times New Roman" w:eastAsia="Times New Roman" w:hAnsi="Times New Roman" w:cs="Times New Roman"/>
          <w:sz w:val="24"/>
          <w:szCs w:val="24"/>
          <w:vertAlign w:val="superscript"/>
        </w:rPr>
        <w:t xml:space="preserve">[19] </w:t>
      </w:r>
      <w:r w:rsidR="003523BF" w:rsidRPr="003523BF">
        <w:rPr>
          <w:rFonts w:ascii="Times New Roman" w:eastAsia="Times New Roman" w:hAnsi="Times New Roman" w:cs="Times New Roman"/>
          <w:sz w:val="24"/>
          <w:szCs w:val="24"/>
        </w:rPr>
        <w:t>The pre</w:t>
      </w:r>
      <w:r w:rsidR="00806EEE">
        <w:rPr>
          <w:rFonts w:ascii="Times New Roman" w:eastAsia="Times New Roman" w:hAnsi="Times New Roman" w:cs="Times New Roman"/>
          <w:sz w:val="24"/>
          <w:szCs w:val="24"/>
        </w:rPr>
        <w:t>ponderance</w:t>
      </w:r>
      <w:r w:rsidR="003523BF" w:rsidRPr="003523BF">
        <w:rPr>
          <w:rFonts w:ascii="Times New Roman" w:eastAsia="Times New Roman" w:hAnsi="Times New Roman" w:cs="Times New Roman"/>
          <w:sz w:val="24"/>
          <w:szCs w:val="24"/>
        </w:rPr>
        <w:t xml:space="preserve"> of FIGO stage IIB in these studies highlights the critical window for intervention, as patients in this stage typically benefit most from combined modality </w:t>
      </w:r>
      <w:r w:rsidR="003523BF">
        <w:rPr>
          <w:rFonts w:ascii="Times New Roman" w:eastAsia="Times New Roman" w:hAnsi="Times New Roman" w:cs="Times New Roman"/>
          <w:sz w:val="24"/>
          <w:szCs w:val="24"/>
        </w:rPr>
        <w:t xml:space="preserve">regimens. </w:t>
      </w:r>
    </w:p>
    <w:p w14:paraId="72894A13" w14:textId="5ADB807B" w:rsidR="0016409C" w:rsidRDefault="00B829D8" w:rsidP="00D67C0F">
      <w:pPr>
        <w:spacing w:line="360" w:lineRule="auto"/>
        <w:jc w:val="both"/>
        <w:rPr>
          <w:rFonts w:ascii="Times New Roman" w:hAnsi="Times New Roman" w:cs="Times New Roman"/>
          <w:sz w:val="24"/>
          <w:szCs w:val="24"/>
          <w:vertAlign w:val="superscript"/>
        </w:rPr>
      </w:pPr>
      <w:r w:rsidRPr="00B829D8">
        <w:rPr>
          <w:rFonts w:ascii="Times New Roman" w:hAnsi="Times New Roman" w:cs="Times New Roman"/>
          <w:sz w:val="24"/>
          <w:szCs w:val="24"/>
        </w:rPr>
        <w:t>Before treatment, mild abnormal bleeding was the most common symptom, reported in</w:t>
      </w:r>
      <w:r>
        <w:rPr>
          <w:rFonts w:ascii="Times New Roman" w:hAnsi="Times New Roman" w:cs="Times New Roman"/>
          <w:sz w:val="24"/>
          <w:szCs w:val="24"/>
        </w:rPr>
        <w:t xml:space="preserve"> </w:t>
      </w:r>
      <w:r w:rsidRPr="00B829D8">
        <w:rPr>
          <w:rFonts w:ascii="Times New Roman" w:hAnsi="Times New Roman" w:cs="Times New Roman"/>
          <w:sz w:val="24"/>
          <w:szCs w:val="24"/>
        </w:rPr>
        <w:t xml:space="preserve">66.7% of Arm A and 72.7% of Arm B. Other symptoms included mild unusual discharge (54.6% vs 63.6%) and mild pelvic pain (75.8% vs 63.6%) with no significant differences between groups. </w:t>
      </w:r>
      <w:r w:rsidR="008D7C2C">
        <w:rPr>
          <w:rFonts w:ascii="Times New Roman" w:hAnsi="Times New Roman" w:cs="Times New Roman"/>
          <w:sz w:val="24"/>
          <w:szCs w:val="24"/>
        </w:rPr>
        <w:t>Meanwhile, m</w:t>
      </w:r>
      <w:r w:rsidRPr="00B829D8">
        <w:rPr>
          <w:rFonts w:ascii="Times New Roman" w:hAnsi="Times New Roman" w:cs="Times New Roman"/>
          <w:sz w:val="24"/>
          <w:szCs w:val="24"/>
        </w:rPr>
        <w:t xml:space="preserve">ajor presenting complaints were abnormal vaginal bleeding (86.9%), offensive vaginal discharge (41.0%), and weight loss in a study conducted by </w:t>
      </w:r>
      <w:proofErr w:type="spellStart"/>
      <w:r w:rsidRPr="00B829D8">
        <w:rPr>
          <w:rFonts w:ascii="Times New Roman" w:hAnsi="Times New Roman" w:cs="Times New Roman"/>
          <w:sz w:val="24"/>
          <w:szCs w:val="24"/>
        </w:rPr>
        <w:t>Eze</w:t>
      </w:r>
      <w:proofErr w:type="spellEnd"/>
      <w:r w:rsidRPr="00B829D8">
        <w:rPr>
          <w:rFonts w:ascii="Times New Roman" w:hAnsi="Times New Roman" w:cs="Times New Roman"/>
          <w:sz w:val="24"/>
          <w:szCs w:val="24"/>
        </w:rPr>
        <w:t xml:space="preserve"> </w:t>
      </w:r>
      <w:r w:rsidR="008D7C2C">
        <w:rPr>
          <w:rFonts w:ascii="Times New Roman" w:hAnsi="Times New Roman" w:cs="Times New Roman"/>
          <w:sz w:val="24"/>
          <w:szCs w:val="24"/>
        </w:rPr>
        <w:t>and friends</w:t>
      </w:r>
      <w:r w:rsidR="0073404B">
        <w:rPr>
          <w:rFonts w:ascii="Times New Roman" w:hAnsi="Times New Roman" w:cs="Times New Roman"/>
          <w:sz w:val="24"/>
          <w:szCs w:val="24"/>
        </w:rPr>
        <w:t xml:space="preserve"> in </w:t>
      </w:r>
      <w:r w:rsidR="0073404B">
        <w:rPr>
          <w:rFonts w:ascii="Times New Roman" w:hAnsi="Times New Roman" w:cs="Times New Roman"/>
          <w:sz w:val="24"/>
          <w:szCs w:val="24"/>
        </w:rPr>
        <w:lastRenderedPageBreak/>
        <w:t>southwest Nigeria.</w:t>
      </w:r>
      <w:r w:rsidR="008D7C2C">
        <w:rPr>
          <w:rFonts w:ascii="Times New Roman" w:hAnsi="Times New Roman" w:cs="Times New Roman"/>
          <w:sz w:val="24"/>
          <w:szCs w:val="24"/>
        </w:rPr>
        <w:t xml:space="preserve"> </w:t>
      </w:r>
      <w:r w:rsidRPr="00B829D8">
        <w:rPr>
          <w:rFonts w:ascii="Times New Roman" w:hAnsi="Times New Roman" w:cs="Times New Roman"/>
          <w:sz w:val="24"/>
          <w:szCs w:val="24"/>
        </w:rPr>
        <w:t xml:space="preserve">They also </w:t>
      </w:r>
      <w:r w:rsidR="00B40ACB">
        <w:rPr>
          <w:rFonts w:ascii="Times New Roman" w:hAnsi="Times New Roman" w:cs="Times New Roman"/>
          <w:sz w:val="24"/>
          <w:szCs w:val="24"/>
        </w:rPr>
        <w:t>shed light on</w:t>
      </w:r>
      <w:r w:rsidRPr="00B829D8">
        <w:rPr>
          <w:rFonts w:ascii="Times New Roman" w:hAnsi="Times New Roman" w:cs="Times New Roman"/>
          <w:sz w:val="24"/>
          <w:szCs w:val="24"/>
        </w:rPr>
        <w:t xml:space="preserve"> the issues faced in </w:t>
      </w:r>
      <w:r w:rsidR="00B40ACB">
        <w:rPr>
          <w:rFonts w:ascii="Times New Roman" w:hAnsi="Times New Roman" w:cs="Times New Roman"/>
          <w:sz w:val="24"/>
          <w:szCs w:val="24"/>
        </w:rPr>
        <w:t xml:space="preserve">treating </w:t>
      </w:r>
      <w:r w:rsidRPr="00B829D8">
        <w:rPr>
          <w:rFonts w:ascii="Times New Roman" w:hAnsi="Times New Roman" w:cs="Times New Roman"/>
          <w:sz w:val="24"/>
          <w:szCs w:val="24"/>
        </w:rPr>
        <w:t>cervical</w:t>
      </w:r>
      <w:r>
        <w:rPr>
          <w:rFonts w:ascii="Times New Roman" w:hAnsi="Times New Roman" w:cs="Times New Roman"/>
          <w:sz w:val="24"/>
          <w:szCs w:val="24"/>
        </w:rPr>
        <w:t xml:space="preserve"> cancer, including delayed diagnosis, inadequacy of resources, and obstacles </w:t>
      </w:r>
      <w:r w:rsidR="00B40ACB">
        <w:rPr>
          <w:rFonts w:ascii="Times New Roman" w:hAnsi="Times New Roman" w:cs="Times New Roman"/>
          <w:sz w:val="24"/>
          <w:szCs w:val="24"/>
        </w:rPr>
        <w:t xml:space="preserve">faced </w:t>
      </w:r>
      <w:r w:rsidR="00297348">
        <w:rPr>
          <w:rFonts w:ascii="Times New Roman" w:hAnsi="Times New Roman" w:cs="Times New Roman"/>
          <w:sz w:val="24"/>
          <w:szCs w:val="24"/>
        </w:rPr>
        <w:t>for</w:t>
      </w:r>
      <w:r>
        <w:rPr>
          <w:rFonts w:ascii="Times New Roman" w:hAnsi="Times New Roman" w:cs="Times New Roman"/>
          <w:sz w:val="24"/>
          <w:szCs w:val="24"/>
        </w:rPr>
        <w:t xml:space="preserve"> effective management particularly in low-resource settings. </w:t>
      </w:r>
      <w:r>
        <w:rPr>
          <w:rFonts w:ascii="Times New Roman" w:hAnsi="Times New Roman" w:cs="Times New Roman"/>
          <w:sz w:val="24"/>
          <w:szCs w:val="24"/>
          <w:vertAlign w:val="superscript"/>
        </w:rPr>
        <w:t xml:space="preserve">[21] </w:t>
      </w:r>
    </w:p>
    <w:p w14:paraId="498B942F" w14:textId="17F8DDBF" w:rsidR="00F73C6E" w:rsidRPr="00F73C6E" w:rsidRDefault="0016409C" w:rsidP="00D67C0F">
      <w:pPr>
        <w:spacing w:line="360" w:lineRule="auto"/>
        <w:jc w:val="both"/>
        <w:rPr>
          <w:rFonts w:ascii="Times New Roman" w:hAnsi="Times New Roman" w:cs="Times New Roman"/>
          <w:sz w:val="24"/>
          <w:szCs w:val="24"/>
          <w:vertAlign w:val="superscript"/>
        </w:rPr>
      </w:pPr>
      <w:r w:rsidRPr="0016409C">
        <w:rPr>
          <w:rFonts w:ascii="Times New Roman" w:hAnsi="Times New Roman" w:cs="Times New Roman"/>
          <w:sz w:val="24"/>
          <w:szCs w:val="24"/>
        </w:rPr>
        <w:t xml:space="preserve">The clinical outcomes </w:t>
      </w:r>
      <w:r>
        <w:rPr>
          <w:rFonts w:ascii="Times New Roman" w:hAnsi="Times New Roman" w:cs="Times New Roman"/>
          <w:sz w:val="24"/>
          <w:szCs w:val="24"/>
        </w:rPr>
        <w:t>during</w:t>
      </w:r>
      <w:r w:rsidRPr="0016409C">
        <w:rPr>
          <w:rFonts w:ascii="Times New Roman" w:hAnsi="Times New Roman" w:cs="Times New Roman"/>
          <w:sz w:val="24"/>
          <w:szCs w:val="24"/>
        </w:rPr>
        <w:t xml:space="preserve"> the follow-up periods in this study revealed comparable responses between the two brachytherapy regimens. Complete responses </w:t>
      </w:r>
      <w:r w:rsidR="0011300E">
        <w:rPr>
          <w:rFonts w:ascii="Times New Roman" w:hAnsi="Times New Roman" w:cs="Times New Roman"/>
          <w:sz w:val="24"/>
          <w:szCs w:val="24"/>
        </w:rPr>
        <w:t xml:space="preserve">were </w:t>
      </w:r>
      <w:r w:rsidRPr="0016409C">
        <w:rPr>
          <w:rFonts w:ascii="Times New Roman" w:hAnsi="Times New Roman" w:cs="Times New Roman"/>
          <w:sz w:val="24"/>
          <w:szCs w:val="24"/>
        </w:rPr>
        <w:t>observed in 81.8% of Arm A and 78.8% of Arm B. These findings are consistent with the study by Meena et al., which reported complete response (CR) rates of 76.92% for Arm A and 74.35% for Arm B (p = 0.9).</w:t>
      </w:r>
      <w:r w:rsidR="0011300E">
        <w:rPr>
          <w:rFonts w:ascii="Times New Roman" w:hAnsi="Times New Roman" w:cs="Times New Roman"/>
          <w:sz w:val="24"/>
          <w:szCs w:val="24"/>
        </w:rPr>
        <w:t xml:space="preserve">  </w:t>
      </w:r>
      <w:r w:rsidR="0011300E">
        <w:rPr>
          <w:rFonts w:ascii="Times New Roman" w:hAnsi="Times New Roman" w:cs="Times New Roman"/>
          <w:sz w:val="24"/>
          <w:szCs w:val="24"/>
          <w:vertAlign w:val="superscript"/>
        </w:rPr>
        <w:t xml:space="preserve">[22] </w:t>
      </w:r>
      <w:r w:rsidR="00F73C6E" w:rsidRPr="00F73C6E">
        <w:rPr>
          <w:rFonts w:ascii="Times New Roman" w:hAnsi="Times New Roman" w:cs="Times New Roman"/>
          <w:sz w:val="24"/>
          <w:szCs w:val="24"/>
        </w:rPr>
        <w:t xml:space="preserve">Another study of Vandana </w:t>
      </w:r>
      <w:r w:rsidR="00F73C6E">
        <w:rPr>
          <w:rFonts w:ascii="Times New Roman" w:hAnsi="Times New Roman" w:cs="Times New Roman"/>
          <w:sz w:val="24"/>
          <w:szCs w:val="24"/>
        </w:rPr>
        <w:t>and mates</w:t>
      </w:r>
      <w:r w:rsidR="00AE7E1A">
        <w:rPr>
          <w:rFonts w:ascii="Times New Roman" w:hAnsi="Times New Roman" w:cs="Times New Roman"/>
          <w:sz w:val="24"/>
          <w:szCs w:val="24"/>
        </w:rPr>
        <w:t xml:space="preserve"> conducted in rural India</w:t>
      </w:r>
      <w:r w:rsidR="00F73C6E" w:rsidRPr="00F73C6E">
        <w:rPr>
          <w:rFonts w:ascii="Times New Roman" w:hAnsi="Times New Roman" w:cs="Times New Roman"/>
          <w:sz w:val="24"/>
          <w:szCs w:val="24"/>
        </w:rPr>
        <w:t xml:space="preserve"> also </w:t>
      </w:r>
      <w:r w:rsidR="00F73C6E">
        <w:rPr>
          <w:rFonts w:ascii="Times New Roman" w:hAnsi="Times New Roman" w:cs="Times New Roman"/>
          <w:sz w:val="24"/>
          <w:szCs w:val="24"/>
        </w:rPr>
        <w:t>mentioned</w:t>
      </w:r>
      <w:r w:rsidR="00F73C6E" w:rsidRPr="00F73C6E">
        <w:rPr>
          <w:rFonts w:ascii="Times New Roman" w:hAnsi="Times New Roman" w:cs="Times New Roman"/>
          <w:sz w:val="24"/>
          <w:szCs w:val="24"/>
        </w:rPr>
        <w:t xml:space="preserve"> similar tumor regression rates between different fractionation schedules and suggested that both schedules could be equally effective, allowing for flexibility in treatment planning based on patient-specific factors. </w:t>
      </w:r>
      <w:r w:rsidR="00F73C6E">
        <w:rPr>
          <w:rFonts w:ascii="Times New Roman" w:hAnsi="Times New Roman" w:cs="Times New Roman"/>
          <w:sz w:val="24"/>
          <w:szCs w:val="24"/>
          <w:vertAlign w:val="superscript"/>
        </w:rPr>
        <w:t xml:space="preserve">[23] </w:t>
      </w:r>
    </w:p>
    <w:p w14:paraId="2BC10F4E" w14:textId="77777777" w:rsidR="00574C34" w:rsidRDefault="00F73C6E" w:rsidP="00D67C0F">
      <w:pPr>
        <w:spacing w:line="360" w:lineRule="auto"/>
        <w:jc w:val="both"/>
        <w:rPr>
          <w:rFonts w:ascii="Times New Roman" w:hAnsi="Times New Roman" w:cs="Times New Roman"/>
          <w:sz w:val="24"/>
          <w:szCs w:val="24"/>
        </w:rPr>
      </w:pPr>
      <w:r w:rsidRPr="00F73C6E">
        <w:rPr>
          <w:rFonts w:ascii="Times New Roman" w:hAnsi="Times New Roman" w:cs="Times New Roman"/>
          <w:sz w:val="24"/>
          <w:szCs w:val="24"/>
        </w:rPr>
        <w:t xml:space="preserve">Improvement of abnormal </w:t>
      </w:r>
      <w:r w:rsidR="00AE7E1A">
        <w:rPr>
          <w:rFonts w:ascii="Times New Roman" w:hAnsi="Times New Roman" w:cs="Times New Roman"/>
          <w:sz w:val="24"/>
          <w:szCs w:val="24"/>
        </w:rPr>
        <w:t xml:space="preserve">uterine </w:t>
      </w:r>
      <w:r w:rsidRPr="00F73C6E">
        <w:rPr>
          <w:rFonts w:ascii="Times New Roman" w:hAnsi="Times New Roman" w:cs="Times New Roman"/>
          <w:sz w:val="24"/>
          <w:szCs w:val="24"/>
        </w:rPr>
        <w:t xml:space="preserve">bleeding, unusual </w:t>
      </w:r>
      <w:r w:rsidR="00AE7E1A">
        <w:rPr>
          <w:rFonts w:ascii="Times New Roman" w:hAnsi="Times New Roman" w:cs="Times New Roman"/>
          <w:sz w:val="24"/>
          <w:szCs w:val="24"/>
        </w:rPr>
        <w:t xml:space="preserve">per vaginal </w:t>
      </w:r>
      <w:r w:rsidRPr="00F73C6E">
        <w:rPr>
          <w:rFonts w:ascii="Times New Roman" w:hAnsi="Times New Roman" w:cs="Times New Roman"/>
          <w:sz w:val="24"/>
          <w:szCs w:val="24"/>
        </w:rPr>
        <w:t xml:space="preserve">discharge and pelvic pain during follow-ups was also found statistically similar in both arms. </w:t>
      </w:r>
      <w:r w:rsidR="00AE7E1A">
        <w:rPr>
          <w:rFonts w:ascii="Times New Roman" w:hAnsi="Times New Roman" w:cs="Times New Roman"/>
          <w:sz w:val="24"/>
          <w:szCs w:val="24"/>
        </w:rPr>
        <w:t>Similar study</w:t>
      </w:r>
      <w:r w:rsidRPr="00F73C6E">
        <w:rPr>
          <w:rFonts w:ascii="Times New Roman" w:hAnsi="Times New Roman" w:cs="Times New Roman"/>
          <w:sz w:val="24"/>
          <w:szCs w:val="24"/>
        </w:rPr>
        <w:t xml:space="preserve"> also emphasiz</w:t>
      </w:r>
      <w:r w:rsidR="00AE7E1A">
        <w:rPr>
          <w:rFonts w:ascii="Times New Roman" w:hAnsi="Times New Roman" w:cs="Times New Roman"/>
          <w:sz w:val="24"/>
          <w:szCs w:val="24"/>
        </w:rPr>
        <w:t>ed</w:t>
      </w:r>
      <w:r w:rsidRPr="00F73C6E">
        <w:rPr>
          <w:rFonts w:ascii="Times New Roman" w:hAnsi="Times New Roman" w:cs="Times New Roman"/>
          <w:sz w:val="24"/>
          <w:szCs w:val="24"/>
        </w:rPr>
        <w:t xml:space="preserve"> that both fractionation regimens effectively manage</w:t>
      </w:r>
      <w:r w:rsidR="00AE7E1A">
        <w:rPr>
          <w:rFonts w:ascii="Times New Roman" w:hAnsi="Times New Roman" w:cs="Times New Roman"/>
          <w:sz w:val="24"/>
          <w:szCs w:val="24"/>
        </w:rPr>
        <w:t>d</w:t>
      </w:r>
      <w:r w:rsidRPr="00F73C6E">
        <w:rPr>
          <w:rFonts w:ascii="Times New Roman" w:hAnsi="Times New Roman" w:cs="Times New Roman"/>
          <w:sz w:val="24"/>
          <w:szCs w:val="24"/>
        </w:rPr>
        <w:t xml:space="preserve"> disease symptoms with minimal variation</w:t>
      </w:r>
      <w:r w:rsidR="00AE7E1A">
        <w:rPr>
          <w:rFonts w:ascii="Times New Roman" w:hAnsi="Times New Roman" w:cs="Times New Roman"/>
          <w:sz w:val="24"/>
          <w:szCs w:val="24"/>
        </w:rPr>
        <w:t xml:space="preserve">. </w:t>
      </w:r>
      <w:r w:rsidR="00AE7E1A">
        <w:rPr>
          <w:rFonts w:ascii="Times New Roman" w:hAnsi="Times New Roman" w:cs="Times New Roman"/>
          <w:sz w:val="24"/>
          <w:szCs w:val="24"/>
          <w:vertAlign w:val="superscript"/>
        </w:rPr>
        <w:t xml:space="preserve">[24] </w:t>
      </w:r>
      <w:r w:rsidRPr="00F73C6E">
        <w:rPr>
          <w:rFonts w:ascii="Times New Roman" w:hAnsi="Times New Roman" w:cs="Times New Roman"/>
          <w:sz w:val="24"/>
          <w:szCs w:val="24"/>
        </w:rPr>
        <w:t xml:space="preserve">Furthermore, another study of </w:t>
      </w:r>
      <w:proofErr w:type="spellStart"/>
      <w:r w:rsidRPr="00F73C6E">
        <w:rPr>
          <w:rFonts w:ascii="Times New Roman" w:hAnsi="Times New Roman" w:cs="Times New Roman"/>
          <w:sz w:val="24"/>
          <w:szCs w:val="24"/>
        </w:rPr>
        <w:t>Tharavichitkul</w:t>
      </w:r>
      <w:proofErr w:type="spellEnd"/>
      <w:r w:rsidRPr="00F73C6E">
        <w:rPr>
          <w:rFonts w:ascii="Times New Roman" w:hAnsi="Times New Roman" w:cs="Times New Roman"/>
          <w:sz w:val="24"/>
          <w:szCs w:val="24"/>
        </w:rPr>
        <w:t xml:space="preserve"> et al., also </w:t>
      </w:r>
      <w:r w:rsidR="00FE371C">
        <w:rPr>
          <w:rFonts w:ascii="Times New Roman" w:hAnsi="Times New Roman" w:cs="Times New Roman"/>
          <w:sz w:val="24"/>
          <w:szCs w:val="24"/>
        </w:rPr>
        <w:t>mentioned that,</w:t>
      </w:r>
      <w:r w:rsidRPr="00F73C6E">
        <w:rPr>
          <w:rFonts w:ascii="Times New Roman" w:hAnsi="Times New Roman" w:cs="Times New Roman"/>
          <w:sz w:val="24"/>
          <w:szCs w:val="24"/>
        </w:rPr>
        <w:t xml:space="preserve"> no superiority of one regimen over the other in local control or recurrence prevention</w:t>
      </w:r>
      <w:r w:rsidR="00FE371C">
        <w:rPr>
          <w:rFonts w:ascii="Times New Roman" w:hAnsi="Times New Roman" w:cs="Times New Roman"/>
          <w:sz w:val="24"/>
          <w:szCs w:val="24"/>
        </w:rPr>
        <w:t xml:space="preserve"> was established;</w:t>
      </w:r>
      <w:r w:rsidRPr="00F73C6E">
        <w:rPr>
          <w:rFonts w:ascii="Times New Roman" w:hAnsi="Times New Roman" w:cs="Times New Roman"/>
          <w:sz w:val="24"/>
          <w:szCs w:val="24"/>
        </w:rPr>
        <w:t xml:space="preserve"> </w:t>
      </w:r>
      <w:r w:rsidR="00FE371C">
        <w:rPr>
          <w:rFonts w:ascii="Times New Roman" w:hAnsi="Times New Roman" w:cs="Times New Roman"/>
          <w:sz w:val="24"/>
          <w:szCs w:val="24"/>
        </w:rPr>
        <w:t>however, it was recommended</w:t>
      </w:r>
      <w:r w:rsidRPr="00F73C6E">
        <w:rPr>
          <w:rFonts w:ascii="Times New Roman" w:hAnsi="Times New Roman" w:cs="Times New Roman"/>
          <w:sz w:val="24"/>
          <w:szCs w:val="24"/>
        </w:rPr>
        <w:t xml:space="preserve"> that shorter fractionation schedules, such as two fractions, offer</w:t>
      </w:r>
      <w:r w:rsidR="00FE371C">
        <w:rPr>
          <w:rFonts w:ascii="Times New Roman" w:hAnsi="Times New Roman" w:cs="Times New Roman"/>
          <w:sz w:val="24"/>
          <w:szCs w:val="24"/>
        </w:rPr>
        <w:t>ed</w:t>
      </w:r>
      <w:r w:rsidRPr="00F73C6E">
        <w:rPr>
          <w:rFonts w:ascii="Times New Roman" w:hAnsi="Times New Roman" w:cs="Times New Roman"/>
          <w:sz w:val="24"/>
          <w:szCs w:val="24"/>
        </w:rPr>
        <w:t xml:space="preserve"> benefits in terms of reduced treatment time, improved patient compliance, and cost-effectiveness without compromising outcomes.</w:t>
      </w:r>
      <w:r w:rsidR="00FE371C">
        <w:rPr>
          <w:rFonts w:ascii="Times New Roman" w:hAnsi="Times New Roman" w:cs="Times New Roman"/>
          <w:sz w:val="24"/>
          <w:szCs w:val="24"/>
        </w:rPr>
        <w:t xml:space="preserve"> </w:t>
      </w:r>
      <w:r w:rsidR="00FE371C">
        <w:rPr>
          <w:rFonts w:ascii="Times New Roman" w:hAnsi="Times New Roman" w:cs="Times New Roman"/>
          <w:sz w:val="24"/>
          <w:szCs w:val="24"/>
          <w:vertAlign w:val="superscript"/>
        </w:rPr>
        <w:t>[25]</w:t>
      </w:r>
      <w:r w:rsidR="00574C34">
        <w:rPr>
          <w:rFonts w:ascii="Times New Roman" w:hAnsi="Times New Roman" w:cs="Times New Roman"/>
          <w:sz w:val="24"/>
          <w:szCs w:val="24"/>
          <w:vertAlign w:val="superscript"/>
        </w:rPr>
        <w:t xml:space="preserve">  </w:t>
      </w:r>
    </w:p>
    <w:p w14:paraId="32E49938" w14:textId="77777777" w:rsidR="00574C34" w:rsidRDefault="00574C34"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with most studies, the present study also had certain flaws. </w:t>
      </w:r>
      <w:r w:rsidR="00295D9E">
        <w:rPr>
          <w:rFonts w:ascii="Times New Roman" w:hAnsi="Times New Roman" w:cs="Times New Roman"/>
          <w:sz w:val="24"/>
          <w:szCs w:val="24"/>
        </w:rPr>
        <w:t>One would be this being a quasi -experimental study</w:t>
      </w:r>
      <w:r w:rsidR="00804553">
        <w:rPr>
          <w:rFonts w:ascii="Times New Roman" w:hAnsi="Times New Roman" w:cs="Times New Roman"/>
          <w:sz w:val="24"/>
          <w:szCs w:val="24"/>
        </w:rPr>
        <w:t xml:space="preserve"> where the lack of randomization may have led to selection bias. </w:t>
      </w:r>
      <w:r w:rsidR="00963A0B">
        <w:rPr>
          <w:rFonts w:ascii="Times New Roman" w:hAnsi="Times New Roman" w:cs="Times New Roman"/>
          <w:sz w:val="24"/>
          <w:szCs w:val="24"/>
        </w:rPr>
        <w:t xml:space="preserve">Another limitation would be the use of </w:t>
      </w:r>
      <w:r w:rsidR="00963A0B" w:rsidRPr="00963A0B">
        <w:rPr>
          <w:rFonts w:ascii="Times New Roman" w:hAnsi="Times New Roman" w:cs="Times New Roman"/>
          <w:sz w:val="24"/>
          <w:szCs w:val="24"/>
        </w:rPr>
        <w:t xml:space="preserve">2D brachytherapy, </w:t>
      </w:r>
      <w:r w:rsidR="00963A0B">
        <w:rPr>
          <w:rFonts w:ascii="Times New Roman" w:hAnsi="Times New Roman" w:cs="Times New Roman"/>
          <w:sz w:val="24"/>
          <w:szCs w:val="24"/>
        </w:rPr>
        <w:t>since</w:t>
      </w:r>
      <w:r w:rsidR="00963A0B" w:rsidRPr="00963A0B">
        <w:rPr>
          <w:rFonts w:ascii="Times New Roman" w:hAnsi="Times New Roman" w:cs="Times New Roman"/>
          <w:sz w:val="24"/>
          <w:szCs w:val="24"/>
        </w:rPr>
        <w:t xml:space="preserve"> image</w:t>
      </w:r>
      <w:r w:rsidR="00EB27B7">
        <w:rPr>
          <w:rFonts w:ascii="Times New Roman" w:hAnsi="Times New Roman" w:cs="Times New Roman"/>
          <w:sz w:val="24"/>
          <w:szCs w:val="24"/>
        </w:rPr>
        <w:t>-</w:t>
      </w:r>
      <w:r w:rsidR="00963A0B" w:rsidRPr="00963A0B">
        <w:rPr>
          <w:rFonts w:ascii="Times New Roman" w:hAnsi="Times New Roman" w:cs="Times New Roman"/>
          <w:sz w:val="24"/>
          <w:szCs w:val="24"/>
        </w:rPr>
        <w:t>guided 3D adaptive brachytherapy facilities were not available</w:t>
      </w:r>
      <w:r w:rsidR="00E918B3">
        <w:rPr>
          <w:rFonts w:ascii="Times New Roman" w:hAnsi="Times New Roman" w:cs="Times New Roman"/>
          <w:sz w:val="24"/>
          <w:szCs w:val="24"/>
        </w:rPr>
        <w:t xml:space="preserve"> during the period of our study.</w:t>
      </w:r>
    </w:p>
    <w:p w14:paraId="3742C6AF" w14:textId="77777777" w:rsidR="00E918B3" w:rsidRDefault="00E918B3" w:rsidP="00D67C0F">
      <w:pPr>
        <w:spacing w:line="360" w:lineRule="auto"/>
        <w:jc w:val="both"/>
        <w:rPr>
          <w:rFonts w:ascii="Times New Roman" w:hAnsi="Times New Roman" w:cs="Times New Roman"/>
          <w:b/>
          <w:bCs/>
          <w:sz w:val="24"/>
          <w:szCs w:val="24"/>
        </w:rPr>
      </w:pPr>
      <w:r w:rsidRPr="00E918B3">
        <w:rPr>
          <w:rFonts w:ascii="Times New Roman" w:hAnsi="Times New Roman" w:cs="Times New Roman"/>
          <w:b/>
          <w:bCs/>
          <w:sz w:val="24"/>
          <w:szCs w:val="24"/>
        </w:rPr>
        <w:t>Conclusion</w:t>
      </w:r>
    </w:p>
    <w:p w14:paraId="29873935" w14:textId="01B87FD0" w:rsidR="00E918B3" w:rsidRDefault="00E918B3" w:rsidP="00D67C0F">
      <w:pPr>
        <w:spacing w:line="360" w:lineRule="auto"/>
        <w:jc w:val="both"/>
        <w:rPr>
          <w:rFonts w:ascii="Times New Roman" w:hAnsi="Times New Roman" w:cs="Times New Roman"/>
          <w:sz w:val="24"/>
          <w:szCs w:val="24"/>
        </w:rPr>
      </w:pPr>
      <w:r w:rsidRPr="00E918B3">
        <w:rPr>
          <w:rFonts w:ascii="Times New Roman" w:hAnsi="Times New Roman" w:cs="Times New Roman"/>
          <w:sz w:val="24"/>
          <w:szCs w:val="24"/>
        </w:rPr>
        <w:t>Both regimens demonstrated similar efficiency in achieving tumor control</w:t>
      </w:r>
      <w:r>
        <w:rPr>
          <w:rFonts w:ascii="Times New Roman" w:hAnsi="Times New Roman" w:cs="Times New Roman"/>
          <w:sz w:val="24"/>
          <w:szCs w:val="24"/>
        </w:rPr>
        <w:t xml:space="preserve">, </w:t>
      </w:r>
      <w:r w:rsidRPr="00E918B3">
        <w:rPr>
          <w:rFonts w:ascii="Times New Roman" w:hAnsi="Times New Roman" w:cs="Times New Roman"/>
          <w:sz w:val="24"/>
          <w:szCs w:val="24"/>
        </w:rPr>
        <w:t xml:space="preserve">with no statistically significant differences observed in clinical responses. Moreover, the 18 </w:t>
      </w:r>
      <w:proofErr w:type="spellStart"/>
      <w:r w:rsidRPr="00E918B3">
        <w:rPr>
          <w:rFonts w:ascii="Times New Roman" w:hAnsi="Times New Roman" w:cs="Times New Roman"/>
          <w:sz w:val="24"/>
          <w:szCs w:val="24"/>
        </w:rPr>
        <w:t>Gy</w:t>
      </w:r>
      <w:proofErr w:type="spellEnd"/>
      <w:r w:rsidRPr="00E918B3">
        <w:rPr>
          <w:rFonts w:ascii="Times New Roman" w:hAnsi="Times New Roman" w:cs="Times New Roman"/>
          <w:sz w:val="24"/>
          <w:szCs w:val="24"/>
        </w:rPr>
        <w:t xml:space="preserve"> in 2 fractions regimen </w:t>
      </w:r>
      <w:r>
        <w:rPr>
          <w:rFonts w:ascii="Times New Roman" w:hAnsi="Times New Roman" w:cs="Times New Roman"/>
          <w:sz w:val="24"/>
          <w:szCs w:val="24"/>
        </w:rPr>
        <w:t xml:space="preserve">implies </w:t>
      </w:r>
      <w:r w:rsidRPr="00E918B3">
        <w:rPr>
          <w:rFonts w:ascii="Times New Roman" w:hAnsi="Times New Roman" w:cs="Times New Roman"/>
          <w:sz w:val="24"/>
          <w:szCs w:val="24"/>
        </w:rPr>
        <w:t>practical advantages, such as shorter treatment duration and reduced hospital visits- making it a potentially more efficient option in resource-constrained settings</w:t>
      </w:r>
      <w:r w:rsidR="00693790">
        <w:rPr>
          <w:rFonts w:ascii="Times New Roman" w:hAnsi="Times New Roman" w:cs="Times New Roman"/>
          <w:sz w:val="24"/>
          <w:szCs w:val="24"/>
        </w:rPr>
        <w:t>.</w:t>
      </w:r>
    </w:p>
    <w:p w14:paraId="1E0C0483" w14:textId="4E15E70A" w:rsidR="00BE4D61" w:rsidRDefault="00BE4D61" w:rsidP="00D67C0F">
      <w:pPr>
        <w:spacing w:line="360" w:lineRule="auto"/>
        <w:jc w:val="both"/>
        <w:rPr>
          <w:rFonts w:ascii="Times New Roman" w:hAnsi="Times New Roman" w:cs="Times New Roman"/>
          <w:sz w:val="24"/>
          <w:szCs w:val="24"/>
        </w:rPr>
      </w:pPr>
    </w:p>
    <w:p w14:paraId="50BE37DC" w14:textId="77777777" w:rsidR="00BE4D61" w:rsidRPr="00BE4D61" w:rsidRDefault="00BE4D61" w:rsidP="00BE4D61">
      <w:pPr>
        <w:spacing w:line="360" w:lineRule="auto"/>
        <w:jc w:val="both"/>
        <w:rPr>
          <w:rFonts w:ascii="Times New Roman" w:hAnsi="Times New Roman" w:cs="Times New Roman"/>
          <w:sz w:val="24"/>
          <w:szCs w:val="24"/>
        </w:rPr>
      </w:pPr>
      <w:r w:rsidRPr="00BE4D61">
        <w:rPr>
          <w:rFonts w:ascii="Times New Roman" w:hAnsi="Times New Roman" w:cs="Times New Roman"/>
          <w:sz w:val="24"/>
          <w:szCs w:val="24"/>
        </w:rPr>
        <w:t>Ethics Approval and Consent</w:t>
      </w:r>
    </w:p>
    <w:p w14:paraId="394D461F" w14:textId="2C71C5DE" w:rsidR="00BE4D61" w:rsidRDefault="00BE4D61" w:rsidP="00BE4D61">
      <w:pPr>
        <w:spacing w:line="360" w:lineRule="auto"/>
        <w:jc w:val="both"/>
        <w:rPr>
          <w:rFonts w:ascii="Times New Roman" w:hAnsi="Times New Roman" w:cs="Times New Roman"/>
          <w:sz w:val="24"/>
          <w:szCs w:val="24"/>
        </w:rPr>
      </w:pPr>
      <w:r w:rsidRPr="00BE4D61">
        <w:rPr>
          <w:rFonts w:ascii="Times New Roman" w:hAnsi="Times New Roman" w:cs="Times New Roman"/>
          <w:sz w:val="24"/>
          <w:szCs w:val="24"/>
        </w:rPr>
        <w:lastRenderedPageBreak/>
        <w:t>Approval was obtained from the ethical committee of NICRH. Before the interview, informed written consent was obtained from each patient after stating the study’s purpose, expected duration, nature and anticipated physical and psychological risks and benefits of participation. Complete assurance was given that all information provided by the patients would be kept confidential. Patients were informed of their right to withdraw from the study at any time without penalty. Informed consent was documented appropriately.</w:t>
      </w:r>
      <w:bookmarkStart w:id="4" w:name="_GoBack"/>
      <w:bookmarkEnd w:id="4"/>
    </w:p>
    <w:p w14:paraId="778F7263" w14:textId="77777777" w:rsidR="00CC0910" w:rsidRPr="00CC0910" w:rsidRDefault="00CC0910" w:rsidP="00D67C0F">
      <w:pPr>
        <w:spacing w:line="360" w:lineRule="auto"/>
        <w:jc w:val="both"/>
        <w:rPr>
          <w:rFonts w:ascii="Times New Roman" w:hAnsi="Times New Roman" w:cs="Times New Roman"/>
          <w:b/>
          <w:bCs/>
          <w:sz w:val="24"/>
          <w:szCs w:val="24"/>
        </w:rPr>
      </w:pPr>
      <w:r w:rsidRPr="00CC0910">
        <w:rPr>
          <w:rFonts w:ascii="Times New Roman" w:hAnsi="Times New Roman" w:cs="Times New Roman"/>
          <w:b/>
          <w:bCs/>
          <w:sz w:val="24"/>
          <w:szCs w:val="24"/>
        </w:rPr>
        <w:t>Conflict of interest</w:t>
      </w:r>
    </w:p>
    <w:p w14:paraId="45916FCC" w14:textId="4FBC6B7F" w:rsidR="00CC0910" w:rsidRDefault="00CC0910" w:rsidP="00D67C0F">
      <w:pPr>
        <w:spacing w:line="360" w:lineRule="auto"/>
        <w:jc w:val="both"/>
        <w:rPr>
          <w:rFonts w:ascii="Times New Roman" w:hAnsi="Times New Roman" w:cs="Times New Roman"/>
          <w:sz w:val="24"/>
          <w:szCs w:val="24"/>
        </w:rPr>
      </w:pPr>
      <w:r>
        <w:rPr>
          <w:rFonts w:ascii="Times New Roman" w:hAnsi="Times New Roman" w:cs="Times New Roman"/>
          <w:sz w:val="24"/>
          <w:szCs w:val="24"/>
        </w:rPr>
        <w:t>None.</w:t>
      </w:r>
    </w:p>
    <w:p w14:paraId="6B3CA660" w14:textId="77777777" w:rsidR="00CC0910" w:rsidRPr="00CC0910" w:rsidRDefault="00CC0910" w:rsidP="00D67C0F">
      <w:pPr>
        <w:spacing w:line="360" w:lineRule="auto"/>
        <w:jc w:val="both"/>
        <w:rPr>
          <w:rFonts w:ascii="Times New Roman" w:hAnsi="Times New Roman" w:cs="Times New Roman"/>
          <w:b/>
          <w:bCs/>
          <w:sz w:val="24"/>
          <w:szCs w:val="24"/>
        </w:rPr>
      </w:pPr>
      <w:r w:rsidRPr="00CC0910">
        <w:rPr>
          <w:rFonts w:ascii="Times New Roman" w:hAnsi="Times New Roman" w:cs="Times New Roman"/>
          <w:b/>
          <w:bCs/>
          <w:sz w:val="24"/>
          <w:szCs w:val="24"/>
        </w:rPr>
        <w:t>Sources of funding</w:t>
      </w:r>
    </w:p>
    <w:p w14:paraId="098D4A07" w14:textId="48013EC6" w:rsidR="00CC0910" w:rsidRDefault="00CC0910" w:rsidP="00D67C0F">
      <w:pPr>
        <w:spacing w:line="360" w:lineRule="auto"/>
        <w:jc w:val="both"/>
        <w:rPr>
          <w:rFonts w:ascii="Times New Roman" w:hAnsi="Times New Roman" w:cs="Times New Roman"/>
          <w:sz w:val="24"/>
          <w:szCs w:val="24"/>
        </w:rPr>
      </w:pPr>
      <w:r w:rsidRPr="00CC0910">
        <w:rPr>
          <w:rFonts w:ascii="Times New Roman" w:hAnsi="Times New Roman" w:cs="Times New Roman"/>
          <w:sz w:val="24"/>
          <w:szCs w:val="24"/>
        </w:rPr>
        <w:t>Not applicabl</w:t>
      </w:r>
      <w:r w:rsidR="000A5F04">
        <w:rPr>
          <w:rFonts w:ascii="Times New Roman" w:hAnsi="Times New Roman" w:cs="Times New Roman"/>
          <w:sz w:val="24"/>
          <w:szCs w:val="24"/>
        </w:rPr>
        <w:t>e.</w:t>
      </w:r>
    </w:p>
    <w:p w14:paraId="72D20F10" w14:textId="7F98D08B" w:rsidR="006B41E6" w:rsidRDefault="006B41E6" w:rsidP="00D67C0F">
      <w:pPr>
        <w:spacing w:line="360" w:lineRule="auto"/>
        <w:jc w:val="both"/>
        <w:rPr>
          <w:rFonts w:ascii="Times New Roman" w:hAnsi="Times New Roman" w:cs="Times New Roman"/>
          <w:sz w:val="24"/>
          <w:szCs w:val="24"/>
        </w:rPr>
      </w:pPr>
    </w:p>
    <w:p w14:paraId="24856EE4" w14:textId="2DFBE730" w:rsidR="006B41E6" w:rsidRDefault="006B41E6" w:rsidP="00D67C0F">
      <w:pPr>
        <w:spacing w:line="360" w:lineRule="auto"/>
        <w:jc w:val="both"/>
        <w:rPr>
          <w:rFonts w:ascii="Times New Roman" w:hAnsi="Times New Roman" w:cs="Times New Roman"/>
          <w:sz w:val="24"/>
          <w:szCs w:val="24"/>
        </w:rPr>
      </w:pPr>
    </w:p>
    <w:p w14:paraId="55CE1090" w14:textId="77777777" w:rsidR="006B41E6" w:rsidRPr="00FE7640" w:rsidRDefault="006B41E6" w:rsidP="006B41E6">
      <w:pPr>
        <w:rPr>
          <w:rFonts w:ascii="Calibri" w:eastAsia="Calibri" w:hAnsi="Calibri" w:cs="Times New Roman"/>
          <w:kern w:val="2"/>
          <w:highlight w:val="yellow"/>
        </w:rPr>
      </w:pPr>
      <w:bookmarkStart w:id="5" w:name="_Hlk193540946"/>
      <w:bookmarkStart w:id="6" w:name="_Hlk180402183"/>
      <w:bookmarkStart w:id="7" w:name="_Hlk183680988"/>
      <w:bookmarkStart w:id="8" w:name="_Hlk197173371"/>
      <w:r w:rsidRPr="00FE7640">
        <w:rPr>
          <w:rFonts w:ascii="Calibri" w:eastAsia="Calibri" w:hAnsi="Calibri" w:cs="Times New Roman"/>
          <w:kern w:val="2"/>
          <w:highlight w:val="yellow"/>
        </w:rPr>
        <w:t>Disclaimer (Artificial intelligence)</w:t>
      </w:r>
    </w:p>
    <w:p w14:paraId="5D5E4438" w14:textId="77777777" w:rsidR="006B41E6" w:rsidRPr="009C5487" w:rsidRDefault="006B41E6" w:rsidP="006B41E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046C055E" w14:textId="77777777" w:rsidR="006B41E6" w:rsidRPr="009C5487" w:rsidRDefault="006B41E6" w:rsidP="006B41E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3F16A5A4" w14:textId="77777777" w:rsidR="006B41E6" w:rsidRPr="009C5487" w:rsidRDefault="006B41E6" w:rsidP="006B41E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2DD4AC9" w14:textId="77777777" w:rsidR="006B41E6" w:rsidRPr="009C5487" w:rsidRDefault="006B41E6" w:rsidP="006B41E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8AE26D" w14:textId="77777777" w:rsidR="006B41E6" w:rsidRPr="009C5487" w:rsidRDefault="006B41E6" w:rsidP="006B41E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11D4E89" w14:textId="77777777" w:rsidR="006B41E6" w:rsidRPr="009C5487" w:rsidRDefault="006B41E6" w:rsidP="006B41E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C5A9691" w14:textId="77777777" w:rsidR="006B41E6" w:rsidRPr="009C5487" w:rsidRDefault="006B41E6" w:rsidP="006B41E6">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A4F0661" w14:textId="77777777" w:rsidR="006B41E6" w:rsidRPr="009C5487" w:rsidRDefault="006B41E6" w:rsidP="006B41E6">
      <w:pPr>
        <w:rPr>
          <w:rFonts w:ascii="Calibri" w:eastAsia="Calibri" w:hAnsi="Calibri" w:cs="Times New Roman"/>
          <w:kern w:val="2"/>
        </w:rPr>
      </w:pPr>
      <w:r w:rsidRPr="009C5487">
        <w:rPr>
          <w:rFonts w:ascii="Calibri" w:eastAsia="Calibri" w:hAnsi="Calibri" w:cs="Times New Roman"/>
          <w:kern w:val="2"/>
          <w:highlight w:val="yellow"/>
        </w:rPr>
        <w:t>3.</w:t>
      </w:r>
      <w:bookmarkEnd w:id="5"/>
    </w:p>
    <w:bookmarkEnd w:id="6"/>
    <w:bookmarkEnd w:id="7"/>
    <w:bookmarkEnd w:id="8"/>
    <w:p w14:paraId="33E0E56B" w14:textId="77777777" w:rsidR="006B41E6" w:rsidRDefault="006B41E6" w:rsidP="00D67C0F">
      <w:pPr>
        <w:spacing w:line="360" w:lineRule="auto"/>
        <w:jc w:val="both"/>
        <w:rPr>
          <w:rFonts w:ascii="Times New Roman" w:hAnsi="Times New Roman" w:cs="Times New Roman"/>
          <w:sz w:val="24"/>
          <w:szCs w:val="24"/>
        </w:rPr>
      </w:pPr>
    </w:p>
    <w:p w14:paraId="2B138832" w14:textId="26CEE453" w:rsidR="009532EC" w:rsidRPr="009532EC" w:rsidRDefault="009532EC" w:rsidP="00D67C0F">
      <w:pPr>
        <w:spacing w:line="360" w:lineRule="auto"/>
        <w:jc w:val="both"/>
        <w:rPr>
          <w:rFonts w:ascii="Times New Roman" w:hAnsi="Times New Roman" w:cs="Times New Roman"/>
          <w:b/>
          <w:bCs/>
          <w:sz w:val="24"/>
          <w:szCs w:val="24"/>
        </w:rPr>
      </w:pPr>
      <w:r w:rsidRPr="009532EC">
        <w:rPr>
          <w:rFonts w:ascii="Times New Roman" w:hAnsi="Times New Roman" w:cs="Times New Roman"/>
          <w:b/>
          <w:bCs/>
          <w:sz w:val="24"/>
          <w:szCs w:val="24"/>
        </w:rPr>
        <w:t>References</w:t>
      </w:r>
    </w:p>
    <w:p w14:paraId="275CABC6"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Bray F, </w:t>
      </w:r>
      <w:proofErr w:type="spellStart"/>
      <w:r w:rsidRPr="009532EC">
        <w:rPr>
          <w:rFonts w:ascii="Times New Roman" w:hAnsi="Times New Roman" w:cs="Times New Roman"/>
          <w:sz w:val="24"/>
          <w:szCs w:val="24"/>
        </w:rPr>
        <w:t>Ferlay</w:t>
      </w:r>
      <w:proofErr w:type="spellEnd"/>
      <w:r w:rsidRPr="009532EC">
        <w:rPr>
          <w:rFonts w:ascii="Times New Roman" w:hAnsi="Times New Roman" w:cs="Times New Roman"/>
          <w:sz w:val="24"/>
          <w:szCs w:val="24"/>
        </w:rPr>
        <w:t xml:space="preserve"> J, </w:t>
      </w:r>
      <w:proofErr w:type="spellStart"/>
      <w:r w:rsidRPr="009532EC">
        <w:rPr>
          <w:rFonts w:ascii="Times New Roman" w:hAnsi="Times New Roman" w:cs="Times New Roman"/>
          <w:sz w:val="24"/>
          <w:szCs w:val="24"/>
        </w:rPr>
        <w:t>Soerjomataram</w:t>
      </w:r>
      <w:proofErr w:type="spellEnd"/>
      <w:r w:rsidRPr="009532EC">
        <w:rPr>
          <w:rFonts w:ascii="Times New Roman" w:hAnsi="Times New Roman" w:cs="Times New Roman"/>
          <w:sz w:val="24"/>
          <w:szCs w:val="24"/>
        </w:rPr>
        <w:t xml:space="preserve"> I, Siegel RL, Torre LA, Jemal A. Global cancer statistics 2018: GLOBOCAN estimates of incidence and mortality worldwide for 36 cancers in 185 countries. CA: a cancer journal for clinicians. 2018 Nov;68(6):394-424.</w:t>
      </w:r>
    </w:p>
    <w:p w14:paraId="29369AF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lastRenderedPageBreak/>
        <w:t>World Health Organization. International Agency for Research on Cancer GLOBOCAN 2012: estimated cancer incidence, mortality and prevalence worldwide in 2012. Lung Cancer. 2012 Jun 28.</w:t>
      </w:r>
    </w:p>
    <w:p w14:paraId="2EE35C2E"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Haque N, Uddin AF, Dey BR, Islam F, Goodman A. Challenges to cervical cancer treatment in Bangladesh: The development of a women's cancer ward at Dhaka Medical College Hospital. Gynecologic oncology reports. 2017 Aug </w:t>
      </w:r>
      <w:proofErr w:type="gramStart"/>
      <w:r w:rsidRPr="009532EC">
        <w:rPr>
          <w:rFonts w:ascii="Times New Roman" w:hAnsi="Times New Roman" w:cs="Times New Roman"/>
          <w:sz w:val="24"/>
          <w:szCs w:val="24"/>
        </w:rPr>
        <w:t>1;21:67</w:t>
      </w:r>
      <w:proofErr w:type="gramEnd"/>
      <w:r w:rsidRPr="009532EC">
        <w:rPr>
          <w:rFonts w:ascii="Times New Roman" w:hAnsi="Times New Roman" w:cs="Times New Roman"/>
          <w:sz w:val="24"/>
          <w:szCs w:val="24"/>
        </w:rPr>
        <w:t>-72.</w:t>
      </w:r>
    </w:p>
    <w:p w14:paraId="63542CDF"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Nady</w:t>
      </w:r>
      <w:proofErr w:type="spellEnd"/>
      <w:r w:rsidRPr="009532EC">
        <w:rPr>
          <w:rFonts w:ascii="Times New Roman" w:hAnsi="Times New Roman" w:cs="Times New Roman"/>
          <w:sz w:val="24"/>
          <w:szCs w:val="24"/>
        </w:rPr>
        <w:t xml:space="preserve"> F, El-</w:t>
      </w:r>
      <w:proofErr w:type="spellStart"/>
      <w:r w:rsidRPr="009532EC">
        <w:rPr>
          <w:rFonts w:ascii="Times New Roman" w:hAnsi="Times New Roman" w:cs="Times New Roman"/>
          <w:sz w:val="24"/>
          <w:szCs w:val="24"/>
        </w:rPr>
        <w:t>Sherbiny</w:t>
      </w:r>
      <w:proofErr w:type="spellEnd"/>
      <w:r w:rsidRPr="009532EC">
        <w:rPr>
          <w:rFonts w:ascii="Times New Roman" w:hAnsi="Times New Roman" w:cs="Times New Roman"/>
          <w:sz w:val="24"/>
          <w:szCs w:val="24"/>
        </w:rPr>
        <w:t xml:space="preserve"> M, </w:t>
      </w:r>
      <w:proofErr w:type="spellStart"/>
      <w:r w:rsidRPr="009532EC">
        <w:rPr>
          <w:rFonts w:ascii="Times New Roman" w:hAnsi="Times New Roman" w:cs="Times New Roman"/>
          <w:sz w:val="24"/>
          <w:szCs w:val="24"/>
        </w:rPr>
        <w:t>Youness</w:t>
      </w:r>
      <w:proofErr w:type="spellEnd"/>
      <w:r w:rsidRPr="009532EC">
        <w:rPr>
          <w:rFonts w:ascii="Times New Roman" w:hAnsi="Times New Roman" w:cs="Times New Roman"/>
          <w:sz w:val="24"/>
          <w:szCs w:val="24"/>
        </w:rPr>
        <w:t xml:space="preserve"> E, Hassan H. Effectiveness of quality of life planned teaching program on women undergoing gynecologic cancer treatment. American Research Journal of Oncology. 2018;1(1):1-7.</w:t>
      </w:r>
    </w:p>
    <w:p w14:paraId="2F4A50E3"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National Strategy for Cervical Cancer Prevention and Control in Bangladesh, 2017-2022. World Health Organization. 2017;2017–22.</w:t>
      </w:r>
    </w:p>
    <w:p w14:paraId="510DE131"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Monk BJ, Tan DS, </w:t>
      </w:r>
      <w:proofErr w:type="spellStart"/>
      <w:r w:rsidRPr="009532EC">
        <w:rPr>
          <w:rFonts w:ascii="Times New Roman" w:hAnsi="Times New Roman" w:cs="Times New Roman"/>
          <w:sz w:val="24"/>
          <w:szCs w:val="24"/>
        </w:rPr>
        <w:t>Chagüi</w:t>
      </w:r>
      <w:proofErr w:type="spellEnd"/>
      <w:r w:rsidRPr="009532EC">
        <w:rPr>
          <w:rFonts w:ascii="Times New Roman" w:hAnsi="Times New Roman" w:cs="Times New Roman"/>
          <w:sz w:val="24"/>
          <w:szCs w:val="24"/>
        </w:rPr>
        <w:t xml:space="preserve"> JD, </w:t>
      </w:r>
      <w:proofErr w:type="spellStart"/>
      <w:r w:rsidRPr="009532EC">
        <w:rPr>
          <w:rFonts w:ascii="Times New Roman" w:hAnsi="Times New Roman" w:cs="Times New Roman"/>
          <w:sz w:val="24"/>
          <w:szCs w:val="24"/>
        </w:rPr>
        <w:t>Takyar</w:t>
      </w:r>
      <w:proofErr w:type="spellEnd"/>
      <w:r w:rsidRPr="009532EC">
        <w:rPr>
          <w:rFonts w:ascii="Times New Roman" w:hAnsi="Times New Roman" w:cs="Times New Roman"/>
          <w:sz w:val="24"/>
          <w:szCs w:val="24"/>
        </w:rPr>
        <w:t xml:space="preserve"> J, </w:t>
      </w:r>
      <w:proofErr w:type="spellStart"/>
      <w:r w:rsidRPr="009532EC">
        <w:rPr>
          <w:rFonts w:ascii="Times New Roman" w:hAnsi="Times New Roman" w:cs="Times New Roman"/>
          <w:sz w:val="24"/>
          <w:szCs w:val="24"/>
        </w:rPr>
        <w:t>Paskow</w:t>
      </w:r>
      <w:proofErr w:type="spellEnd"/>
      <w:r w:rsidRPr="009532EC">
        <w:rPr>
          <w:rFonts w:ascii="Times New Roman" w:hAnsi="Times New Roman" w:cs="Times New Roman"/>
          <w:sz w:val="24"/>
          <w:szCs w:val="24"/>
        </w:rPr>
        <w:t xml:space="preserve"> MJ, Nunes AT, et al. Proportions and incidence of locally advanced cervical cancer: a global systematic literature review. International Journal of Gynecological Cancer. 2022 Dec 1;32(12):1531-9.</w:t>
      </w:r>
    </w:p>
    <w:p w14:paraId="1C84EEA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Selvalakshmi</w:t>
      </w:r>
      <w:proofErr w:type="spellEnd"/>
      <w:r w:rsidRPr="009532EC">
        <w:rPr>
          <w:rFonts w:ascii="Times New Roman" w:hAnsi="Times New Roman" w:cs="Times New Roman"/>
          <w:sz w:val="24"/>
          <w:szCs w:val="24"/>
        </w:rPr>
        <w:t xml:space="preserve"> S Dr. Analysis of treatment outcomes in locally advanced cervical carcinoma - an institutional study. </w:t>
      </w:r>
      <w:proofErr w:type="spellStart"/>
      <w:r w:rsidRPr="009532EC">
        <w:rPr>
          <w:rFonts w:ascii="Times New Roman" w:hAnsi="Times New Roman" w:cs="Times New Roman"/>
          <w:sz w:val="24"/>
          <w:szCs w:val="24"/>
        </w:rPr>
        <w:t>ijsr</w:t>
      </w:r>
      <w:proofErr w:type="spellEnd"/>
      <w:r w:rsidRPr="009532EC">
        <w:rPr>
          <w:rFonts w:ascii="Times New Roman" w:hAnsi="Times New Roman" w:cs="Times New Roman"/>
          <w:sz w:val="24"/>
          <w:szCs w:val="24"/>
        </w:rPr>
        <w:t xml:space="preserve"> [Internet]. 2021;55–7. Available from: http://dx.doi.org/10.36106/ijsr/6204770</w:t>
      </w:r>
    </w:p>
    <w:p w14:paraId="32C3DB40"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Ramadan S, Hassan H, </w:t>
      </w:r>
      <w:proofErr w:type="spellStart"/>
      <w:r w:rsidRPr="009532EC">
        <w:rPr>
          <w:rFonts w:ascii="Times New Roman" w:hAnsi="Times New Roman" w:cs="Times New Roman"/>
          <w:sz w:val="24"/>
          <w:szCs w:val="24"/>
        </w:rPr>
        <w:t>Masaud</w:t>
      </w:r>
      <w:proofErr w:type="spellEnd"/>
      <w:r w:rsidRPr="009532EC">
        <w:rPr>
          <w:rFonts w:ascii="Times New Roman" w:hAnsi="Times New Roman" w:cs="Times New Roman"/>
          <w:sz w:val="24"/>
          <w:szCs w:val="24"/>
        </w:rPr>
        <w:t xml:space="preserve"> H, Mohammed R. Women's Body Image Distress Associated with Cervical Cancer. Journal of Obstetrics Gynecology and Reproductive Sciences. 2021;5(1):1-6.</w:t>
      </w:r>
    </w:p>
    <w:p w14:paraId="1EBEFFA4"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Patel FD, Rai B, Mallick I, Sharma SC. High-dose-rate brachytherapy in uterine cervical carcinoma. International Journal of Radiation Oncology* Biology* Physics. 2005 May 1;62(1):125-30.</w:t>
      </w:r>
    </w:p>
    <w:p w14:paraId="206204CE"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Passi</w:t>
      </w:r>
      <w:proofErr w:type="spellEnd"/>
      <w:r w:rsidRPr="009532EC">
        <w:rPr>
          <w:rFonts w:ascii="Times New Roman" w:hAnsi="Times New Roman" w:cs="Times New Roman"/>
          <w:sz w:val="24"/>
          <w:szCs w:val="24"/>
        </w:rPr>
        <w:t xml:space="preserve"> K, </w:t>
      </w:r>
      <w:proofErr w:type="spellStart"/>
      <w:r w:rsidRPr="009532EC">
        <w:rPr>
          <w:rFonts w:ascii="Times New Roman" w:hAnsi="Times New Roman" w:cs="Times New Roman"/>
          <w:sz w:val="24"/>
          <w:szCs w:val="24"/>
        </w:rPr>
        <w:t>Kehwar</w:t>
      </w:r>
      <w:proofErr w:type="spellEnd"/>
      <w:r w:rsidRPr="009532EC">
        <w:rPr>
          <w:rFonts w:ascii="Times New Roman" w:hAnsi="Times New Roman" w:cs="Times New Roman"/>
          <w:sz w:val="24"/>
          <w:szCs w:val="24"/>
        </w:rPr>
        <w:t xml:space="preserve"> TS, </w:t>
      </w:r>
      <w:proofErr w:type="spellStart"/>
      <w:r w:rsidRPr="009532EC">
        <w:rPr>
          <w:rFonts w:ascii="Times New Roman" w:hAnsi="Times New Roman" w:cs="Times New Roman"/>
          <w:sz w:val="24"/>
          <w:szCs w:val="24"/>
        </w:rPr>
        <w:t>Vashistha</w:t>
      </w:r>
      <w:proofErr w:type="spellEnd"/>
      <w:r w:rsidRPr="009532EC">
        <w:rPr>
          <w:rFonts w:ascii="Times New Roman" w:hAnsi="Times New Roman" w:cs="Times New Roman"/>
          <w:sz w:val="24"/>
          <w:szCs w:val="24"/>
        </w:rPr>
        <w:t xml:space="preserve"> R, Singh B, Jain V, Gupta SJ. High-dose-rate brachytherapy with external beam radiotherapy in the treatment of carcinoma of cervix: </w:t>
      </w:r>
      <w:proofErr w:type="spellStart"/>
      <w:r w:rsidRPr="009532EC">
        <w:rPr>
          <w:rFonts w:ascii="Times New Roman" w:hAnsi="Times New Roman" w:cs="Times New Roman"/>
          <w:sz w:val="24"/>
          <w:szCs w:val="24"/>
        </w:rPr>
        <w:t>dosimetric</w:t>
      </w:r>
      <w:proofErr w:type="spellEnd"/>
      <w:r w:rsidRPr="009532EC">
        <w:rPr>
          <w:rFonts w:ascii="Times New Roman" w:hAnsi="Times New Roman" w:cs="Times New Roman"/>
          <w:sz w:val="24"/>
          <w:szCs w:val="24"/>
        </w:rPr>
        <w:t xml:space="preserve"> and radiobiologic analysis. Journal of Radiotherapy in practice. 2009 Dec;8(4):215-27.</w:t>
      </w:r>
    </w:p>
    <w:p w14:paraId="6B5F1E96"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Williamson CW, </w:t>
      </w:r>
      <w:proofErr w:type="spellStart"/>
      <w:r w:rsidRPr="009532EC">
        <w:rPr>
          <w:rFonts w:ascii="Times New Roman" w:hAnsi="Times New Roman" w:cs="Times New Roman"/>
          <w:sz w:val="24"/>
          <w:szCs w:val="24"/>
        </w:rPr>
        <w:t>Kotha</w:t>
      </w:r>
      <w:proofErr w:type="spellEnd"/>
      <w:r w:rsidRPr="009532EC">
        <w:rPr>
          <w:rFonts w:ascii="Times New Roman" w:hAnsi="Times New Roman" w:cs="Times New Roman"/>
          <w:sz w:val="24"/>
          <w:szCs w:val="24"/>
        </w:rPr>
        <w:t xml:space="preserve"> NV, Zou J, Brown D, Scanderbeg D, Rash D, et al. Outcomes from a 3-fraction high-dose-rate brachytherapy regimen for patients with cervical cancer. Brachytherapy. 2023 May 1;22(3):317-24.</w:t>
      </w:r>
    </w:p>
    <w:p w14:paraId="3B2552D5"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lastRenderedPageBreak/>
        <w:t xml:space="preserve">Jahan I, Bari A, </w:t>
      </w:r>
      <w:proofErr w:type="spellStart"/>
      <w:r w:rsidRPr="009532EC">
        <w:rPr>
          <w:rFonts w:ascii="Times New Roman" w:hAnsi="Times New Roman" w:cs="Times New Roman"/>
          <w:sz w:val="24"/>
          <w:szCs w:val="24"/>
        </w:rPr>
        <w:t>Alam</w:t>
      </w:r>
      <w:proofErr w:type="spellEnd"/>
      <w:r w:rsidRPr="009532EC">
        <w:rPr>
          <w:rFonts w:ascii="Times New Roman" w:hAnsi="Times New Roman" w:cs="Times New Roman"/>
          <w:sz w:val="24"/>
          <w:szCs w:val="24"/>
        </w:rPr>
        <w:t xml:space="preserve"> S, Mostafa N. Study of two fractions versus three fractions of high dose rate brachytherapy in locally advanced carcinoma of uterine cervix after pelvic concurrent chemoradiotherapy. Sch J Med Case Rep 2020;8(12):1037–41. </w:t>
      </w:r>
    </w:p>
    <w:p w14:paraId="21E7966A"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Ghosh S, Rao P. High-Dose-Rate Orthogonal Intracavitary Brachytherapy with 9 </w:t>
      </w:r>
      <w:proofErr w:type="spellStart"/>
      <w:r w:rsidRPr="009532EC">
        <w:rPr>
          <w:rFonts w:ascii="Times New Roman" w:hAnsi="Times New Roman" w:cs="Times New Roman"/>
          <w:sz w:val="24"/>
          <w:szCs w:val="24"/>
        </w:rPr>
        <w:t>Gy</w:t>
      </w:r>
      <w:proofErr w:type="spellEnd"/>
      <w:r w:rsidRPr="009532EC">
        <w:rPr>
          <w:rFonts w:ascii="Times New Roman" w:hAnsi="Times New Roman" w:cs="Times New Roman"/>
          <w:sz w:val="24"/>
          <w:szCs w:val="24"/>
        </w:rPr>
        <w:t xml:space="preserve">/Fraction in Locally Advanced Cervical Cancer: Is it Feasible? The Journal of Obstetrics and Gynecology of India. 2016 </w:t>
      </w:r>
      <w:proofErr w:type="gramStart"/>
      <w:r w:rsidRPr="009532EC">
        <w:rPr>
          <w:rFonts w:ascii="Times New Roman" w:hAnsi="Times New Roman" w:cs="Times New Roman"/>
          <w:sz w:val="24"/>
          <w:szCs w:val="24"/>
        </w:rPr>
        <w:t>Oct;66:452</w:t>
      </w:r>
      <w:proofErr w:type="gramEnd"/>
      <w:r w:rsidRPr="009532EC">
        <w:rPr>
          <w:rFonts w:ascii="Times New Roman" w:hAnsi="Times New Roman" w:cs="Times New Roman"/>
          <w:sz w:val="24"/>
          <w:szCs w:val="24"/>
        </w:rPr>
        <w:t>-8.</w:t>
      </w:r>
    </w:p>
    <w:p w14:paraId="4C821C9A" w14:textId="77777777" w:rsidR="009532EC" w:rsidRPr="009532EC" w:rsidRDefault="009532EC" w:rsidP="00D67C0F">
      <w:pPr>
        <w:numPr>
          <w:ilvl w:val="0"/>
          <w:numId w:val="3"/>
        </w:numPr>
        <w:spacing w:line="360" w:lineRule="auto"/>
        <w:jc w:val="both"/>
        <w:rPr>
          <w:rFonts w:ascii="Times New Roman" w:hAnsi="Times New Roman" w:cs="Times New Roman"/>
          <w:sz w:val="24"/>
          <w:szCs w:val="24"/>
        </w:rPr>
      </w:pPr>
      <w:proofErr w:type="spellStart"/>
      <w:r w:rsidRPr="009532EC">
        <w:rPr>
          <w:rFonts w:ascii="Times New Roman" w:hAnsi="Times New Roman" w:cs="Times New Roman"/>
          <w:sz w:val="24"/>
          <w:szCs w:val="24"/>
        </w:rPr>
        <w:t>Mayadev</w:t>
      </w:r>
      <w:proofErr w:type="spellEnd"/>
      <w:r w:rsidRPr="009532EC">
        <w:rPr>
          <w:rFonts w:ascii="Times New Roman" w:hAnsi="Times New Roman" w:cs="Times New Roman"/>
          <w:sz w:val="24"/>
          <w:szCs w:val="24"/>
        </w:rPr>
        <w:t xml:space="preserve"> J, Viswanathan A, Liu Y, Li C-S, Albuquerque K, </w:t>
      </w:r>
      <w:proofErr w:type="spellStart"/>
      <w:r w:rsidRPr="009532EC">
        <w:rPr>
          <w:rFonts w:ascii="Times New Roman" w:hAnsi="Times New Roman" w:cs="Times New Roman"/>
          <w:sz w:val="24"/>
          <w:szCs w:val="24"/>
        </w:rPr>
        <w:t>Damato</w:t>
      </w:r>
      <w:proofErr w:type="spellEnd"/>
      <w:r w:rsidRPr="009532EC">
        <w:rPr>
          <w:rFonts w:ascii="Times New Roman" w:hAnsi="Times New Roman" w:cs="Times New Roman"/>
          <w:sz w:val="24"/>
          <w:szCs w:val="24"/>
        </w:rPr>
        <w:t xml:space="preserve"> AL, et al. American Brachytherapy Task Group Report: A pooled analysis of clinical outcomes for high-dose-rate brachytherapy for cervical cancer. Brachytherapy. 2017;16(1):22–43. </w:t>
      </w:r>
    </w:p>
    <w:p w14:paraId="36900D59" w14:textId="2D579574" w:rsidR="009532EC"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Mukai Y, Minagawa Y, Inoue H, Sato A, Matsui K, Fukuda T, et al. Treatment outcome of the combination therapy of high-dose rate intracavitary brachytherapy and intensity-modulated radiation therapy with central-shielding for cervical cancer. in vivo. 2020 Nov 1;34(6):3387-98.</w:t>
      </w:r>
    </w:p>
    <w:p w14:paraId="140D46CE" w14:textId="7EF2CFEE" w:rsidR="000A21D5" w:rsidRPr="009532EC" w:rsidRDefault="008C755F" w:rsidP="00D67C0F">
      <w:pPr>
        <w:numPr>
          <w:ilvl w:val="0"/>
          <w:numId w:val="3"/>
        </w:numPr>
        <w:spacing w:line="360" w:lineRule="auto"/>
        <w:jc w:val="both"/>
        <w:rPr>
          <w:rFonts w:ascii="Times New Roman" w:hAnsi="Times New Roman" w:cs="Times New Roman"/>
          <w:sz w:val="24"/>
          <w:szCs w:val="24"/>
        </w:rPr>
      </w:pPr>
      <w:r w:rsidRPr="008C755F">
        <w:rPr>
          <w:rFonts w:ascii="Times New Roman" w:hAnsi="Times New Roman" w:cs="Times New Roman"/>
          <w:sz w:val="24"/>
          <w:szCs w:val="24"/>
        </w:rPr>
        <w:t xml:space="preserve">Matsuo K, Machida H, Mandelbaum RS, </w:t>
      </w:r>
      <w:proofErr w:type="spellStart"/>
      <w:r w:rsidRPr="008C755F">
        <w:rPr>
          <w:rFonts w:ascii="Times New Roman" w:hAnsi="Times New Roman" w:cs="Times New Roman"/>
          <w:sz w:val="24"/>
          <w:szCs w:val="24"/>
        </w:rPr>
        <w:t>Konishi</w:t>
      </w:r>
      <w:proofErr w:type="spellEnd"/>
      <w:r w:rsidRPr="008C755F">
        <w:rPr>
          <w:rFonts w:ascii="Times New Roman" w:hAnsi="Times New Roman" w:cs="Times New Roman"/>
          <w:sz w:val="24"/>
          <w:szCs w:val="24"/>
        </w:rPr>
        <w:t xml:space="preserve"> I, </w:t>
      </w:r>
      <w:proofErr w:type="spellStart"/>
      <w:r w:rsidRPr="008C755F">
        <w:rPr>
          <w:rFonts w:ascii="Times New Roman" w:hAnsi="Times New Roman" w:cs="Times New Roman"/>
          <w:sz w:val="24"/>
          <w:szCs w:val="24"/>
        </w:rPr>
        <w:t>Mikami</w:t>
      </w:r>
      <w:proofErr w:type="spellEnd"/>
      <w:r w:rsidRPr="008C755F">
        <w:rPr>
          <w:rFonts w:ascii="Times New Roman" w:hAnsi="Times New Roman" w:cs="Times New Roman"/>
          <w:sz w:val="24"/>
          <w:szCs w:val="24"/>
        </w:rPr>
        <w:t xml:space="preserve"> M. Validation of the 2018 FIGO cervical cancer staging system. Gynecologic oncology. 2019 Jan 1;152(1):87-93.</w:t>
      </w:r>
    </w:p>
    <w:p w14:paraId="3C946F9E" w14:textId="7F3D8B94" w:rsidR="00C4011F" w:rsidRDefault="009532EC" w:rsidP="00D67C0F">
      <w:pPr>
        <w:numPr>
          <w:ilvl w:val="0"/>
          <w:numId w:val="3"/>
        </w:numPr>
        <w:spacing w:line="360" w:lineRule="auto"/>
        <w:jc w:val="both"/>
        <w:rPr>
          <w:rFonts w:ascii="Times New Roman" w:hAnsi="Times New Roman" w:cs="Times New Roman"/>
          <w:sz w:val="24"/>
          <w:szCs w:val="24"/>
        </w:rPr>
      </w:pPr>
      <w:r w:rsidRPr="009532EC">
        <w:rPr>
          <w:rFonts w:ascii="Times New Roman" w:hAnsi="Times New Roman" w:cs="Times New Roman"/>
          <w:sz w:val="24"/>
          <w:szCs w:val="24"/>
        </w:rPr>
        <w:t xml:space="preserve">Eisenhauer EA, </w:t>
      </w:r>
      <w:proofErr w:type="spellStart"/>
      <w:r w:rsidRPr="009532EC">
        <w:rPr>
          <w:rFonts w:ascii="Times New Roman" w:hAnsi="Times New Roman" w:cs="Times New Roman"/>
          <w:sz w:val="24"/>
          <w:szCs w:val="24"/>
        </w:rPr>
        <w:t>Therasse</w:t>
      </w:r>
      <w:proofErr w:type="spellEnd"/>
      <w:r w:rsidRPr="009532EC">
        <w:rPr>
          <w:rFonts w:ascii="Times New Roman" w:hAnsi="Times New Roman" w:cs="Times New Roman"/>
          <w:sz w:val="24"/>
          <w:szCs w:val="24"/>
        </w:rPr>
        <w:t xml:space="preserve"> P, Bogaerts J, Schwartz LH, Sargent D, Ford R, et al. New response evaluation criteria in solid </w:t>
      </w:r>
      <w:proofErr w:type="spellStart"/>
      <w:r w:rsidRPr="009532EC">
        <w:rPr>
          <w:rFonts w:ascii="Times New Roman" w:hAnsi="Times New Roman" w:cs="Times New Roman"/>
          <w:sz w:val="24"/>
          <w:szCs w:val="24"/>
        </w:rPr>
        <w:t>tumours</w:t>
      </w:r>
      <w:proofErr w:type="spellEnd"/>
      <w:r w:rsidRPr="009532EC">
        <w:rPr>
          <w:rFonts w:ascii="Times New Roman" w:hAnsi="Times New Roman" w:cs="Times New Roman"/>
          <w:sz w:val="24"/>
          <w:szCs w:val="24"/>
        </w:rPr>
        <w:t>: revised RECIST guideline (version 1.1). European journal of cancer. 2009 Jan 1;45(2):228-47.</w:t>
      </w:r>
      <w:r w:rsidR="00C4011F">
        <w:rPr>
          <w:rFonts w:ascii="Times New Roman" w:hAnsi="Times New Roman" w:cs="Times New Roman"/>
          <w:sz w:val="24"/>
          <w:szCs w:val="24"/>
        </w:rPr>
        <w:t xml:space="preserve"> </w:t>
      </w:r>
    </w:p>
    <w:p w14:paraId="77209E6E" w14:textId="13CA782C" w:rsidR="00C4011F" w:rsidRDefault="00C4011F" w:rsidP="00D67C0F">
      <w:pPr>
        <w:numPr>
          <w:ilvl w:val="0"/>
          <w:numId w:val="3"/>
        </w:numPr>
        <w:spacing w:line="360" w:lineRule="auto"/>
        <w:jc w:val="both"/>
        <w:rPr>
          <w:rFonts w:ascii="Times New Roman" w:hAnsi="Times New Roman" w:cs="Times New Roman"/>
          <w:sz w:val="24"/>
          <w:szCs w:val="24"/>
        </w:rPr>
      </w:pPr>
      <w:r w:rsidRPr="00C4011F">
        <w:rPr>
          <w:rFonts w:ascii="Times New Roman" w:hAnsi="Times New Roman" w:cs="Times New Roman"/>
          <w:sz w:val="24"/>
          <w:szCs w:val="24"/>
        </w:rPr>
        <w:t xml:space="preserve">Rao BS, Das P, Subramanian BV, Jena A, Rashmi P, </w:t>
      </w:r>
      <w:proofErr w:type="spellStart"/>
      <w:r w:rsidRPr="00C4011F">
        <w:rPr>
          <w:rFonts w:ascii="Times New Roman" w:hAnsi="Times New Roman" w:cs="Times New Roman"/>
          <w:sz w:val="24"/>
          <w:szCs w:val="24"/>
        </w:rPr>
        <w:t>Konakalla</w:t>
      </w:r>
      <w:proofErr w:type="spellEnd"/>
      <w:r w:rsidRPr="00C4011F">
        <w:rPr>
          <w:rFonts w:ascii="Times New Roman" w:hAnsi="Times New Roman" w:cs="Times New Roman"/>
          <w:sz w:val="24"/>
          <w:szCs w:val="24"/>
        </w:rPr>
        <w:t xml:space="preserve"> VA, </w:t>
      </w:r>
      <w:r>
        <w:rPr>
          <w:rFonts w:ascii="Times New Roman" w:hAnsi="Times New Roman" w:cs="Times New Roman"/>
          <w:sz w:val="24"/>
          <w:szCs w:val="24"/>
        </w:rPr>
        <w:t>et al.</w:t>
      </w:r>
      <w:r w:rsidRPr="00C4011F">
        <w:rPr>
          <w:rFonts w:ascii="Times New Roman" w:hAnsi="Times New Roman" w:cs="Times New Roman"/>
          <w:sz w:val="24"/>
          <w:szCs w:val="24"/>
        </w:rPr>
        <w:t xml:space="preserve"> </w:t>
      </w:r>
      <w:r w:rsidR="00545831">
        <w:rPr>
          <w:rFonts w:ascii="Times New Roman" w:hAnsi="Times New Roman" w:cs="Times New Roman"/>
          <w:sz w:val="24"/>
          <w:szCs w:val="24"/>
        </w:rPr>
        <w:t>C</w:t>
      </w:r>
      <w:r w:rsidRPr="00C4011F">
        <w:rPr>
          <w:rFonts w:ascii="Times New Roman" w:hAnsi="Times New Roman" w:cs="Times New Roman"/>
          <w:sz w:val="24"/>
          <w:szCs w:val="24"/>
        </w:rPr>
        <w:t>omparative analysis of two different dose fractionation regimens of high dose rate intracavitary brachytherapy in treatment of carcinoma of uterine cervix: a prospective randomized study. Journal of Clinical and Diagnostic Research: JCDR. 2017 Apr 1;11(4</w:t>
      </w:r>
      <w:proofErr w:type="gramStart"/>
      <w:r w:rsidRPr="00C4011F">
        <w:rPr>
          <w:rFonts w:ascii="Times New Roman" w:hAnsi="Times New Roman" w:cs="Times New Roman"/>
          <w:sz w:val="24"/>
          <w:szCs w:val="24"/>
        </w:rPr>
        <w:t>):XC</w:t>
      </w:r>
      <w:proofErr w:type="gramEnd"/>
      <w:r w:rsidRPr="00C4011F">
        <w:rPr>
          <w:rFonts w:ascii="Times New Roman" w:hAnsi="Times New Roman" w:cs="Times New Roman"/>
          <w:sz w:val="24"/>
          <w:szCs w:val="24"/>
        </w:rPr>
        <w:t>06.</w:t>
      </w:r>
    </w:p>
    <w:p w14:paraId="5970EB07" w14:textId="01DACA03" w:rsidR="009F1D4A" w:rsidRDefault="009F1D4A" w:rsidP="00D67C0F">
      <w:pPr>
        <w:numPr>
          <w:ilvl w:val="0"/>
          <w:numId w:val="3"/>
        </w:numPr>
        <w:spacing w:line="360" w:lineRule="auto"/>
        <w:jc w:val="both"/>
        <w:rPr>
          <w:rFonts w:ascii="Times New Roman" w:hAnsi="Times New Roman" w:cs="Times New Roman"/>
          <w:sz w:val="24"/>
          <w:szCs w:val="24"/>
        </w:rPr>
      </w:pPr>
      <w:r w:rsidRPr="009F1D4A">
        <w:rPr>
          <w:rFonts w:ascii="Times New Roman" w:hAnsi="Times New Roman" w:cs="Times New Roman"/>
          <w:sz w:val="24"/>
          <w:szCs w:val="24"/>
        </w:rPr>
        <w:t xml:space="preserve">Ferdous J, Hossain A, Sultana S, </w:t>
      </w:r>
      <w:proofErr w:type="spellStart"/>
      <w:r w:rsidRPr="009F1D4A">
        <w:rPr>
          <w:rFonts w:ascii="Times New Roman" w:hAnsi="Times New Roman" w:cs="Times New Roman"/>
          <w:sz w:val="24"/>
          <w:szCs w:val="24"/>
        </w:rPr>
        <w:t>Akter</w:t>
      </w:r>
      <w:proofErr w:type="spellEnd"/>
      <w:r w:rsidRPr="009F1D4A">
        <w:rPr>
          <w:rFonts w:ascii="Times New Roman" w:hAnsi="Times New Roman" w:cs="Times New Roman"/>
          <w:sz w:val="24"/>
          <w:szCs w:val="24"/>
        </w:rPr>
        <w:t xml:space="preserve"> T, Haque MN. Comparative Study between Two Fractions of 9Gy &amp; Three Fractions of 7Gy High Dose Rate Brachytherapy Following Concurrent Chemo Radiotherapy in Patients with Locally Advanced Carcinoma of Uterine Cervix. Journal of Bangladesh College of Physicians and Surgeons. 2024 Jan 10;42(1):49-56.</w:t>
      </w:r>
    </w:p>
    <w:p w14:paraId="41847D54" w14:textId="2F491914" w:rsidR="00B91CE7" w:rsidRDefault="00B91CE7" w:rsidP="00D67C0F">
      <w:pPr>
        <w:numPr>
          <w:ilvl w:val="0"/>
          <w:numId w:val="3"/>
        </w:numPr>
        <w:spacing w:line="360" w:lineRule="auto"/>
        <w:jc w:val="both"/>
        <w:rPr>
          <w:rFonts w:ascii="Times New Roman" w:hAnsi="Times New Roman" w:cs="Times New Roman"/>
          <w:sz w:val="24"/>
          <w:szCs w:val="24"/>
        </w:rPr>
      </w:pPr>
      <w:r w:rsidRPr="00B91CE7">
        <w:rPr>
          <w:rFonts w:ascii="Times New Roman" w:hAnsi="Times New Roman" w:cs="Times New Roman"/>
          <w:sz w:val="24"/>
          <w:szCs w:val="24"/>
        </w:rPr>
        <w:t xml:space="preserve">Parkin DM, Bray F, </w:t>
      </w:r>
      <w:proofErr w:type="spellStart"/>
      <w:r w:rsidRPr="00B91CE7">
        <w:rPr>
          <w:rFonts w:ascii="Times New Roman" w:hAnsi="Times New Roman" w:cs="Times New Roman"/>
          <w:sz w:val="24"/>
          <w:szCs w:val="24"/>
        </w:rPr>
        <w:t>Ferlay</w:t>
      </w:r>
      <w:proofErr w:type="spellEnd"/>
      <w:r w:rsidRPr="00B91CE7">
        <w:rPr>
          <w:rFonts w:ascii="Times New Roman" w:hAnsi="Times New Roman" w:cs="Times New Roman"/>
          <w:sz w:val="24"/>
          <w:szCs w:val="24"/>
        </w:rPr>
        <w:t xml:space="preserve"> J, Pisani P. Global cancer statistics, 2002. CA: a cancer journal for clinicians. 2005 Mar;55(2):74-108.</w:t>
      </w:r>
    </w:p>
    <w:p w14:paraId="2253D621" w14:textId="37142B28" w:rsidR="0073404B" w:rsidRDefault="0073404B" w:rsidP="00D67C0F">
      <w:pPr>
        <w:numPr>
          <w:ilvl w:val="0"/>
          <w:numId w:val="3"/>
        </w:numPr>
        <w:spacing w:line="360" w:lineRule="auto"/>
        <w:jc w:val="both"/>
        <w:rPr>
          <w:rFonts w:ascii="Times New Roman" w:hAnsi="Times New Roman" w:cs="Times New Roman"/>
          <w:sz w:val="24"/>
          <w:szCs w:val="24"/>
        </w:rPr>
      </w:pPr>
      <w:proofErr w:type="spellStart"/>
      <w:r w:rsidRPr="0073404B">
        <w:rPr>
          <w:rFonts w:ascii="Times New Roman" w:hAnsi="Times New Roman" w:cs="Times New Roman"/>
          <w:sz w:val="24"/>
          <w:szCs w:val="24"/>
        </w:rPr>
        <w:lastRenderedPageBreak/>
        <w:t>Eze</w:t>
      </w:r>
      <w:proofErr w:type="spellEnd"/>
      <w:r w:rsidRPr="0073404B">
        <w:rPr>
          <w:rFonts w:ascii="Times New Roman" w:hAnsi="Times New Roman" w:cs="Times New Roman"/>
          <w:sz w:val="24"/>
          <w:szCs w:val="24"/>
        </w:rPr>
        <w:t xml:space="preserve"> JN, Emeka-</w:t>
      </w:r>
      <w:proofErr w:type="spellStart"/>
      <w:r w:rsidRPr="0073404B">
        <w:rPr>
          <w:rFonts w:ascii="Times New Roman" w:hAnsi="Times New Roman" w:cs="Times New Roman"/>
          <w:sz w:val="24"/>
          <w:szCs w:val="24"/>
        </w:rPr>
        <w:t>Irem</w:t>
      </w:r>
      <w:proofErr w:type="spellEnd"/>
      <w:r w:rsidRPr="0073404B">
        <w:rPr>
          <w:rFonts w:ascii="Times New Roman" w:hAnsi="Times New Roman" w:cs="Times New Roman"/>
          <w:sz w:val="24"/>
          <w:szCs w:val="24"/>
        </w:rPr>
        <w:t xml:space="preserve"> EN, </w:t>
      </w:r>
      <w:proofErr w:type="spellStart"/>
      <w:r w:rsidRPr="0073404B">
        <w:rPr>
          <w:rFonts w:ascii="Times New Roman" w:hAnsi="Times New Roman" w:cs="Times New Roman"/>
          <w:sz w:val="24"/>
          <w:szCs w:val="24"/>
        </w:rPr>
        <w:t>Edegbe</w:t>
      </w:r>
      <w:proofErr w:type="spellEnd"/>
      <w:r w:rsidRPr="0073404B">
        <w:rPr>
          <w:rFonts w:ascii="Times New Roman" w:hAnsi="Times New Roman" w:cs="Times New Roman"/>
          <w:sz w:val="24"/>
          <w:szCs w:val="24"/>
        </w:rPr>
        <w:t xml:space="preserve"> FO. A six-year study of the clinical presentation of cervical cancer and the management challenges encountered at a state teaching hospital in southeast Nigeria. Clinical Medicine Insights: Oncology. 2013 Jan;</w:t>
      </w:r>
      <w:proofErr w:type="gramStart"/>
      <w:r w:rsidRPr="0073404B">
        <w:rPr>
          <w:rFonts w:ascii="Times New Roman" w:hAnsi="Times New Roman" w:cs="Times New Roman"/>
          <w:sz w:val="24"/>
          <w:szCs w:val="24"/>
        </w:rPr>
        <w:t>7:CMO</w:t>
      </w:r>
      <w:proofErr w:type="gramEnd"/>
      <w:r w:rsidRPr="0073404B">
        <w:rPr>
          <w:rFonts w:ascii="Times New Roman" w:hAnsi="Times New Roman" w:cs="Times New Roman"/>
          <w:sz w:val="24"/>
          <w:szCs w:val="24"/>
        </w:rPr>
        <w:t>-S12017.</w:t>
      </w:r>
    </w:p>
    <w:p w14:paraId="1BC85EB9" w14:textId="7C2ABBD1" w:rsidR="00F73C6E" w:rsidRDefault="00F73C6E" w:rsidP="00D67C0F">
      <w:pPr>
        <w:numPr>
          <w:ilvl w:val="0"/>
          <w:numId w:val="3"/>
        </w:numPr>
        <w:spacing w:line="360" w:lineRule="auto"/>
        <w:jc w:val="both"/>
        <w:rPr>
          <w:rFonts w:ascii="Times New Roman" w:hAnsi="Times New Roman" w:cs="Times New Roman"/>
          <w:sz w:val="24"/>
          <w:szCs w:val="24"/>
        </w:rPr>
      </w:pPr>
      <w:r w:rsidRPr="00F73C6E">
        <w:rPr>
          <w:rFonts w:ascii="Times New Roman" w:hAnsi="Times New Roman" w:cs="Times New Roman"/>
          <w:sz w:val="24"/>
          <w:szCs w:val="24"/>
        </w:rPr>
        <w:t xml:space="preserve">Meena C, Saini NK, Mehta HN, </w:t>
      </w:r>
      <w:proofErr w:type="spellStart"/>
      <w:r w:rsidRPr="00F73C6E">
        <w:rPr>
          <w:rFonts w:ascii="Times New Roman" w:hAnsi="Times New Roman" w:cs="Times New Roman"/>
          <w:sz w:val="24"/>
          <w:szCs w:val="24"/>
        </w:rPr>
        <w:t>Gothwal</w:t>
      </w:r>
      <w:proofErr w:type="spellEnd"/>
      <w:r w:rsidRPr="00F73C6E">
        <w:rPr>
          <w:rFonts w:ascii="Times New Roman" w:hAnsi="Times New Roman" w:cs="Times New Roman"/>
          <w:sz w:val="24"/>
          <w:szCs w:val="24"/>
        </w:rPr>
        <w:t xml:space="preserve"> RS, </w:t>
      </w:r>
      <w:proofErr w:type="spellStart"/>
      <w:r w:rsidRPr="00F73C6E">
        <w:rPr>
          <w:rFonts w:ascii="Times New Roman" w:hAnsi="Times New Roman" w:cs="Times New Roman"/>
          <w:sz w:val="24"/>
          <w:szCs w:val="24"/>
        </w:rPr>
        <w:t>Dadheech</w:t>
      </w:r>
      <w:proofErr w:type="spellEnd"/>
      <w:r w:rsidRPr="00F73C6E">
        <w:rPr>
          <w:rFonts w:ascii="Times New Roman" w:hAnsi="Times New Roman" w:cs="Times New Roman"/>
          <w:sz w:val="24"/>
          <w:szCs w:val="24"/>
        </w:rPr>
        <w:t xml:space="preserve"> A, Jain S. Comparative Analysis of Dosimetry and Treatment Outcomes of Two Different Dose Fractionation Schedules of HDR Brachytherapy in Carcinoma Cervix Amid C</w:t>
      </w:r>
      <w:r>
        <w:rPr>
          <w:rFonts w:ascii="Times New Roman" w:hAnsi="Times New Roman" w:cs="Times New Roman"/>
          <w:sz w:val="24"/>
          <w:szCs w:val="24"/>
        </w:rPr>
        <w:t>OVID</w:t>
      </w:r>
      <w:r w:rsidRPr="00F73C6E">
        <w:rPr>
          <w:rFonts w:ascii="Times New Roman" w:hAnsi="Times New Roman" w:cs="Times New Roman"/>
          <w:sz w:val="24"/>
          <w:szCs w:val="24"/>
        </w:rPr>
        <w:t>-19 Pandemic. Asian Pacific Journal of Cancer Care. 2023 May 1;8(1):73-6.</w:t>
      </w:r>
    </w:p>
    <w:p w14:paraId="0E742928" w14:textId="22BAD83C" w:rsidR="00AE7E1A" w:rsidRDefault="00AE7E1A" w:rsidP="00D67C0F">
      <w:pPr>
        <w:numPr>
          <w:ilvl w:val="0"/>
          <w:numId w:val="3"/>
        </w:numPr>
        <w:spacing w:line="360" w:lineRule="auto"/>
        <w:jc w:val="both"/>
        <w:rPr>
          <w:rFonts w:ascii="Times New Roman" w:hAnsi="Times New Roman" w:cs="Times New Roman"/>
          <w:sz w:val="24"/>
          <w:szCs w:val="24"/>
        </w:rPr>
      </w:pPr>
      <w:r w:rsidRPr="00AE7E1A">
        <w:rPr>
          <w:rFonts w:ascii="Times New Roman" w:hAnsi="Times New Roman" w:cs="Times New Roman"/>
          <w:sz w:val="24"/>
          <w:szCs w:val="24"/>
        </w:rPr>
        <w:t xml:space="preserve">Vandana S, Jain M, Mukund B, </w:t>
      </w:r>
      <w:proofErr w:type="spellStart"/>
      <w:r w:rsidRPr="00AE7E1A">
        <w:rPr>
          <w:rFonts w:ascii="Times New Roman" w:hAnsi="Times New Roman" w:cs="Times New Roman"/>
          <w:sz w:val="24"/>
          <w:szCs w:val="24"/>
        </w:rPr>
        <w:t>Sarje</w:t>
      </w:r>
      <w:proofErr w:type="spellEnd"/>
      <w:r w:rsidRPr="00AE7E1A">
        <w:rPr>
          <w:rFonts w:ascii="Times New Roman" w:hAnsi="Times New Roman" w:cs="Times New Roman"/>
          <w:sz w:val="24"/>
          <w:szCs w:val="24"/>
        </w:rPr>
        <w:t xml:space="preserve"> CM, Waghmare SP, Jain SM. Concurrent chemotherapy</w:t>
      </w:r>
      <w:r>
        <w:rPr>
          <w:rFonts w:ascii="Times New Roman" w:hAnsi="Times New Roman" w:cs="Times New Roman"/>
          <w:sz w:val="24"/>
          <w:szCs w:val="24"/>
        </w:rPr>
        <w:t xml:space="preserve"> </w:t>
      </w:r>
      <w:r w:rsidRPr="00AE7E1A">
        <w:rPr>
          <w:rFonts w:ascii="Times New Roman" w:hAnsi="Times New Roman" w:cs="Times New Roman"/>
          <w:sz w:val="24"/>
          <w:szCs w:val="24"/>
        </w:rPr>
        <w:t>with high-dose rate brachytherapy after treatment with chemoradiotherapy in cases of locally advanced carcinoma cervix: A study from rural area of Maharashtra. India Journal of Cancer Research and Therapeutics. 2018;14(7):1525–34.</w:t>
      </w:r>
    </w:p>
    <w:p w14:paraId="75063842" w14:textId="237D4747" w:rsidR="00FE371C" w:rsidRDefault="00FE371C" w:rsidP="00D67C0F">
      <w:pPr>
        <w:numPr>
          <w:ilvl w:val="0"/>
          <w:numId w:val="3"/>
        </w:numPr>
        <w:spacing w:line="360" w:lineRule="auto"/>
        <w:jc w:val="both"/>
        <w:rPr>
          <w:rFonts w:ascii="Times New Roman" w:hAnsi="Times New Roman" w:cs="Times New Roman"/>
          <w:sz w:val="24"/>
          <w:szCs w:val="24"/>
        </w:rPr>
      </w:pPr>
      <w:r w:rsidRPr="00FE371C">
        <w:rPr>
          <w:rFonts w:ascii="Times New Roman" w:hAnsi="Times New Roman" w:cs="Times New Roman"/>
          <w:sz w:val="24"/>
          <w:szCs w:val="24"/>
        </w:rPr>
        <w:t xml:space="preserve">Khan M, Hussain MB, Siddiqui SA, </w:t>
      </w:r>
      <w:proofErr w:type="spellStart"/>
      <w:r w:rsidRPr="00FE371C">
        <w:rPr>
          <w:rFonts w:ascii="Times New Roman" w:hAnsi="Times New Roman" w:cs="Times New Roman"/>
          <w:sz w:val="24"/>
          <w:szCs w:val="24"/>
        </w:rPr>
        <w:t>Akram</w:t>
      </w:r>
      <w:proofErr w:type="spellEnd"/>
      <w:r w:rsidRPr="00FE371C">
        <w:rPr>
          <w:rFonts w:ascii="Times New Roman" w:hAnsi="Times New Roman" w:cs="Times New Roman"/>
          <w:sz w:val="24"/>
          <w:szCs w:val="24"/>
        </w:rPr>
        <w:t xml:space="preserve"> M. Five-year survival outcomes with two different high dose rate brachytherapy schedules used in the treatment of cervical carcinoma. Therapeutic Radiology and Oncology. 2022 Mar 30;6.</w:t>
      </w:r>
    </w:p>
    <w:p w14:paraId="514EA3F3" w14:textId="081E90F9" w:rsidR="00C4011F" w:rsidRPr="00D76E9E" w:rsidRDefault="00FE371C" w:rsidP="00D67C0F">
      <w:pPr>
        <w:numPr>
          <w:ilvl w:val="0"/>
          <w:numId w:val="3"/>
        </w:numPr>
        <w:spacing w:line="360" w:lineRule="auto"/>
        <w:jc w:val="both"/>
        <w:rPr>
          <w:rFonts w:ascii="Times New Roman" w:hAnsi="Times New Roman" w:cs="Times New Roman"/>
          <w:sz w:val="24"/>
          <w:szCs w:val="24"/>
        </w:rPr>
        <w:sectPr w:rsidR="00C4011F" w:rsidRPr="00D76E9E" w:rsidSect="002C335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0" w:footer="785" w:gutter="0"/>
          <w:cols w:space="720"/>
          <w:docGrid w:linePitch="299"/>
        </w:sectPr>
      </w:pPr>
      <w:proofErr w:type="spellStart"/>
      <w:r w:rsidRPr="00FE371C">
        <w:rPr>
          <w:rFonts w:ascii="Times New Roman" w:hAnsi="Times New Roman" w:cs="Times New Roman"/>
          <w:sz w:val="24"/>
          <w:szCs w:val="24"/>
        </w:rPr>
        <w:t>Tharavichitkul</w:t>
      </w:r>
      <w:proofErr w:type="spellEnd"/>
      <w:r w:rsidRPr="00FE371C">
        <w:rPr>
          <w:rFonts w:ascii="Times New Roman" w:hAnsi="Times New Roman" w:cs="Times New Roman"/>
          <w:sz w:val="24"/>
          <w:szCs w:val="24"/>
        </w:rPr>
        <w:t xml:space="preserve"> E, </w:t>
      </w:r>
      <w:proofErr w:type="spellStart"/>
      <w:r w:rsidRPr="00FE371C">
        <w:rPr>
          <w:rFonts w:ascii="Times New Roman" w:hAnsi="Times New Roman" w:cs="Times New Roman"/>
          <w:sz w:val="24"/>
          <w:szCs w:val="24"/>
        </w:rPr>
        <w:t>Klunkin</w:t>
      </w:r>
      <w:proofErr w:type="spellEnd"/>
      <w:r w:rsidRPr="00FE371C">
        <w:rPr>
          <w:rFonts w:ascii="Times New Roman" w:hAnsi="Times New Roman" w:cs="Times New Roman"/>
          <w:sz w:val="24"/>
          <w:szCs w:val="24"/>
        </w:rPr>
        <w:t xml:space="preserve"> P, </w:t>
      </w:r>
      <w:proofErr w:type="spellStart"/>
      <w:r w:rsidRPr="00FE371C">
        <w:rPr>
          <w:rFonts w:ascii="Times New Roman" w:hAnsi="Times New Roman" w:cs="Times New Roman"/>
          <w:sz w:val="24"/>
          <w:szCs w:val="24"/>
        </w:rPr>
        <w:t>Lorvidhaya</w:t>
      </w:r>
      <w:proofErr w:type="spellEnd"/>
      <w:r w:rsidRPr="00FE371C">
        <w:rPr>
          <w:rFonts w:ascii="Times New Roman" w:hAnsi="Times New Roman" w:cs="Times New Roman"/>
          <w:sz w:val="24"/>
          <w:szCs w:val="24"/>
        </w:rPr>
        <w:t xml:space="preserve"> V, </w:t>
      </w:r>
      <w:proofErr w:type="spellStart"/>
      <w:r w:rsidRPr="00FE371C">
        <w:rPr>
          <w:rFonts w:ascii="Times New Roman" w:hAnsi="Times New Roman" w:cs="Times New Roman"/>
          <w:sz w:val="24"/>
          <w:szCs w:val="24"/>
        </w:rPr>
        <w:t>Sukthomya</w:t>
      </w:r>
      <w:proofErr w:type="spellEnd"/>
      <w:r w:rsidRPr="00FE371C">
        <w:rPr>
          <w:rFonts w:ascii="Times New Roman" w:hAnsi="Times New Roman" w:cs="Times New Roman"/>
          <w:sz w:val="24"/>
          <w:szCs w:val="24"/>
        </w:rPr>
        <w:t xml:space="preserve"> V, </w:t>
      </w:r>
      <w:proofErr w:type="spellStart"/>
      <w:r w:rsidRPr="00FE371C">
        <w:rPr>
          <w:rFonts w:ascii="Times New Roman" w:hAnsi="Times New Roman" w:cs="Times New Roman"/>
          <w:sz w:val="24"/>
          <w:szCs w:val="24"/>
        </w:rPr>
        <w:t>Chakrabhandu</w:t>
      </w:r>
      <w:proofErr w:type="spellEnd"/>
      <w:r w:rsidRPr="00FE371C">
        <w:rPr>
          <w:rFonts w:ascii="Times New Roman" w:hAnsi="Times New Roman" w:cs="Times New Roman"/>
          <w:sz w:val="24"/>
          <w:szCs w:val="24"/>
        </w:rPr>
        <w:t xml:space="preserve"> S, </w:t>
      </w:r>
      <w:proofErr w:type="spellStart"/>
      <w:r w:rsidRPr="00FE371C">
        <w:rPr>
          <w:rFonts w:ascii="Times New Roman" w:hAnsi="Times New Roman" w:cs="Times New Roman"/>
          <w:sz w:val="24"/>
          <w:szCs w:val="24"/>
        </w:rPr>
        <w:t>Pukanhaphan</w:t>
      </w:r>
      <w:proofErr w:type="spellEnd"/>
      <w:r w:rsidRPr="00FE371C">
        <w:rPr>
          <w:rFonts w:ascii="Times New Roman" w:hAnsi="Times New Roman" w:cs="Times New Roman"/>
          <w:sz w:val="24"/>
          <w:szCs w:val="24"/>
        </w:rPr>
        <w:t xml:space="preserve"> N, </w:t>
      </w:r>
      <w:r>
        <w:rPr>
          <w:rFonts w:ascii="Times New Roman" w:hAnsi="Times New Roman" w:cs="Times New Roman"/>
          <w:sz w:val="24"/>
          <w:szCs w:val="24"/>
        </w:rPr>
        <w:t>et al</w:t>
      </w:r>
      <w:r w:rsidRPr="00FE371C">
        <w:rPr>
          <w:rFonts w:ascii="Times New Roman" w:hAnsi="Times New Roman" w:cs="Times New Roman"/>
          <w:sz w:val="24"/>
          <w:szCs w:val="24"/>
        </w:rPr>
        <w:t>. The effects of two HDR brachytherapy schedules in locally advanced cervical cancer treated with concurrent chemoradiation: a study from Chiang Mai, Thailand. Journal of Radiation Research. 2012 Mar 1;53(2):281-</w:t>
      </w:r>
    </w:p>
    <w:p w14:paraId="63E3F756" w14:textId="77777777" w:rsidR="00F92EA6" w:rsidRPr="00F92EA6" w:rsidRDefault="00F92EA6" w:rsidP="00800152">
      <w:pPr>
        <w:rPr>
          <w:rFonts w:ascii="Times New Roman" w:hAnsi="Times New Roman" w:cs="Times New Roman"/>
          <w:sz w:val="24"/>
          <w:szCs w:val="24"/>
        </w:rPr>
      </w:pPr>
    </w:p>
    <w:sectPr w:rsidR="00F92EA6" w:rsidRPr="00F92E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D57A7" w14:textId="77777777" w:rsidR="00DF0328" w:rsidRDefault="00DF0328" w:rsidP="00797D3D">
      <w:pPr>
        <w:spacing w:after="0" w:line="240" w:lineRule="auto"/>
      </w:pPr>
      <w:r>
        <w:separator/>
      </w:r>
    </w:p>
  </w:endnote>
  <w:endnote w:type="continuationSeparator" w:id="0">
    <w:p w14:paraId="53583D52" w14:textId="77777777" w:rsidR="00DF0328" w:rsidRDefault="00DF0328" w:rsidP="0079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203D" w14:textId="77777777" w:rsidR="00797D3D" w:rsidRDefault="00797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5090" w14:textId="77777777" w:rsidR="00797D3D" w:rsidRDefault="00797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9ADD" w14:textId="77777777" w:rsidR="00797D3D" w:rsidRDefault="00797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4017A" w14:textId="77777777" w:rsidR="00DF0328" w:rsidRDefault="00DF0328" w:rsidP="00797D3D">
      <w:pPr>
        <w:spacing w:after="0" w:line="240" w:lineRule="auto"/>
      </w:pPr>
      <w:r>
        <w:separator/>
      </w:r>
    </w:p>
  </w:footnote>
  <w:footnote w:type="continuationSeparator" w:id="0">
    <w:p w14:paraId="59E6B328" w14:textId="77777777" w:rsidR="00DF0328" w:rsidRDefault="00DF0328" w:rsidP="0079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AEAF" w14:textId="58B0D417" w:rsidR="00797D3D" w:rsidRDefault="00DF0328">
    <w:pPr>
      <w:pStyle w:val="Header"/>
    </w:pPr>
    <w:r>
      <w:rPr>
        <w:noProof/>
      </w:rPr>
      <w:pict w14:anchorId="5829D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6DF3" w14:textId="7FFCB627" w:rsidR="00797D3D" w:rsidRDefault="00DF0328">
    <w:pPr>
      <w:pStyle w:val="Header"/>
    </w:pPr>
    <w:r>
      <w:rPr>
        <w:noProof/>
      </w:rPr>
      <w:pict w14:anchorId="468BE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8CC2" w14:textId="522286F2" w:rsidR="00797D3D" w:rsidRDefault="00DF0328">
    <w:pPr>
      <w:pStyle w:val="Header"/>
    </w:pPr>
    <w:r>
      <w:rPr>
        <w:noProof/>
      </w:rPr>
      <w:pict w14:anchorId="12EAB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788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C60"/>
    <w:multiLevelType w:val="multilevel"/>
    <w:tmpl w:val="D93097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EE03648"/>
    <w:multiLevelType w:val="hybridMultilevel"/>
    <w:tmpl w:val="6BA03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E70DD"/>
    <w:multiLevelType w:val="hybridMultilevel"/>
    <w:tmpl w:val="23E2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43388"/>
    <w:multiLevelType w:val="hybridMultilevel"/>
    <w:tmpl w:val="45B45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F79B5"/>
    <w:multiLevelType w:val="hybridMultilevel"/>
    <w:tmpl w:val="E5326B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11C99"/>
    <w:multiLevelType w:val="hybridMultilevel"/>
    <w:tmpl w:val="9B6E6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E7F92"/>
    <w:multiLevelType w:val="hybridMultilevel"/>
    <w:tmpl w:val="A23A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F12CE"/>
    <w:multiLevelType w:val="hybridMultilevel"/>
    <w:tmpl w:val="339AF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73415"/>
    <w:multiLevelType w:val="hybridMultilevel"/>
    <w:tmpl w:val="9BBE6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B73E9"/>
    <w:multiLevelType w:val="hybridMultilevel"/>
    <w:tmpl w:val="18FE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4"/>
  </w:num>
  <w:num w:numId="7">
    <w:abstractNumId w:val="8"/>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A6"/>
    <w:rsid w:val="00010420"/>
    <w:rsid w:val="00041F92"/>
    <w:rsid w:val="00054C8E"/>
    <w:rsid w:val="0008159F"/>
    <w:rsid w:val="000A151A"/>
    <w:rsid w:val="000A21D5"/>
    <w:rsid w:val="000A5F04"/>
    <w:rsid w:val="000B758C"/>
    <w:rsid w:val="000D6CAE"/>
    <w:rsid w:val="00104C53"/>
    <w:rsid w:val="0011300E"/>
    <w:rsid w:val="00133A54"/>
    <w:rsid w:val="00142CC1"/>
    <w:rsid w:val="00152958"/>
    <w:rsid w:val="00157668"/>
    <w:rsid w:val="0016409C"/>
    <w:rsid w:val="001674DA"/>
    <w:rsid w:val="0018119C"/>
    <w:rsid w:val="00182765"/>
    <w:rsid w:val="001A25EC"/>
    <w:rsid w:val="001A6269"/>
    <w:rsid w:val="001B40F2"/>
    <w:rsid w:val="001B7D42"/>
    <w:rsid w:val="001E4C04"/>
    <w:rsid w:val="001E6EAB"/>
    <w:rsid w:val="001F6157"/>
    <w:rsid w:val="0021499F"/>
    <w:rsid w:val="00224BE7"/>
    <w:rsid w:val="002631E8"/>
    <w:rsid w:val="00266959"/>
    <w:rsid w:val="00267F36"/>
    <w:rsid w:val="00291C10"/>
    <w:rsid w:val="00295D9E"/>
    <w:rsid w:val="00297348"/>
    <w:rsid w:val="00297808"/>
    <w:rsid w:val="002A20C6"/>
    <w:rsid w:val="002B4A7F"/>
    <w:rsid w:val="002C335C"/>
    <w:rsid w:val="002C56E7"/>
    <w:rsid w:val="002C756E"/>
    <w:rsid w:val="002F32FF"/>
    <w:rsid w:val="00333B97"/>
    <w:rsid w:val="00352121"/>
    <w:rsid w:val="003523BF"/>
    <w:rsid w:val="00362BE6"/>
    <w:rsid w:val="003973B5"/>
    <w:rsid w:val="003A0C7C"/>
    <w:rsid w:val="003A2172"/>
    <w:rsid w:val="003B2BC6"/>
    <w:rsid w:val="003B43AB"/>
    <w:rsid w:val="003C0698"/>
    <w:rsid w:val="003D67C4"/>
    <w:rsid w:val="003E7240"/>
    <w:rsid w:val="004077F1"/>
    <w:rsid w:val="0042067A"/>
    <w:rsid w:val="00427663"/>
    <w:rsid w:val="004409A0"/>
    <w:rsid w:val="00441062"/>
    <w:rsid w:val="004758FD"/>
    <w:rsid w:val="00484FDE"/>
    <w:rsid w:val="00492B75"/>
    <w:rsid w:val="004B1F0B"/>
    <w:rsid w:val="004E5D20"/>
    <w:rsid w:val="004F4D80"/>
    <w:rsid w:val="005005A0"/>
    <w:rsid w:val="00523CB6"/>
    <w:rsid w:val="00545831"/>
    <w:rsid w:val="005532CB"/>
    <w:rsid w:val="00574C34"/>
    <w:rsid w:val="00576EDB"/>
    <w:rsid w:val="00583E6A"/>
    <w:rsid w:val="00585E0A"/>
    <w:rsid w:val="005A746B"/>
    <w:rsid w:val="005A785A"/>
    <w:rsid w:val="005C10FB"/>
    <w:rsid w:val="005E6745"/>
    <w:rsid w:val="005F6B94"/>
    <w:rsid w:val="00606532"/>
    <w:rsid w:val="006142D7"/>
    <w:rsid w:val="00651D2B"/>
    <w:rsid w:val="00663F85"/>
    <w:rsid w:val="00693790"/>
    <w:rsid w:val="006B259F"/>
    <w:rsid w:val="006B41E6"/>
    <w:rsid w:val="006D6FAF"/>
    <w:rsid w:val="0073404B"/>
    <w:rsid w:val="007709D0"/>
    <w:rsid w:val="00775373"/>
    <w:rsid w:val="0079243C"/>
    <w:rsid w:val="00794562"/>
    <w:rsid w:val="00797D3D"/>
    <w:rsid w:val="007B3DAC"/>
    <w:rsid w:val="007F7CD8"/>
    <w:rsid w:val="00800152"/>
    <w:rsid w:val="00804553"/>
    <w:rsid w:val="00804F30"/>
    <w:rsid w:val="00805E95"/>
    <w:rsid w:val="00806319"/>
    <w:rsid w:val="00806EEE"/>
    <w:rsid w:val="0086700A"/>
    <w:rsid w:val="008C755F"/>
    <w:rsid w:val="008D7C2C"/>
    <w:rsid w:val="008F240C"/>
    <w:rsid w:val="008F59A9"/>
    <w:rsid w:val="0094222A"/>
    <w:rsid w:val="00945198"/>
    <w:rsid w:val="009532EC"/>
    <w:rsid w:val="00963A0B"/>
    <w:rsid w:val="009815EE"/>
    <w:rsid w:val="009942BE"/>
    <w:rsid w:val="00995C5D"/>
    <w:rsid w:val="009A219F"/>
    <w:rsid w:val="009A49CD"/>
    <w:rsid w:val="009C0437"/>
    <w:rsid w:val="009C66C4"/>
    <w:rsid w:val="009E01BD"/>
    <w:rsid w:val="009E1697"/>
    <w:rsid w:val="009E6478"/>
    <w:rsid w:val="009F1D4A"/>
    <w:rsid w:val="009F45C3"/>
    <w:rsid w:val="00A0375B"/>
    <w:rsid w:val="00A03B9E"/>
    <w:rsid w:val="00A119E4"/>
    <w:rsid w:val="00A2315D"/>
    <w:rsid w:val="00A306A8"/>
    <w:rsid w:val="00A80D1F"/>
    <w:rsid w:val="00A8636B"/>
    <w:rsid w:val="00AB0025"/>
    <w:rsid w:val="00AB3935"/>
    <w:rsid w:val="00AC6F58"/>
    <w:rsid w:val="00AD68C7"/>
    <w:rsid w:val="00AE7E1A"/>
    <w:rsid w:val="00AF077B"/>
    <w:rsid w:val="00B04C44"/>
    <w:rsid w:val="00B306D8"/>
    <w:rsid w:val="00B35678"/>
    <w:rsid w:val="00B40ACB"/>
    <w:rsid w:val="00B54BA5"/>
    <w:rsid w:val="00B5533A"/>
    <w:rsid w:val="00B63D31"/>
    <w:rsid w:val="00B829D8"/>
    <w:rsid w:val="00B91CE7"/>
    <w:rsid w:val="00BD730A"/>
    <w:rsid w:val="00BE4D61"/>
    <w:rsid w:val="00C05146"/>
    <w:rsid w:val="00C117BA"/>
    <w:rsid w:val="00C16F20"/>
    <w:rsid w:val="00C17856"/>
    <w:rsid w:val="00C218B6"/>
    <w:rsid w:val="00C4011F"/>
    <w:rsid w:val="00C40315"/>
    <w:rsid w:val="00C55D82"/>
    <w:rsid w:val="00C8400E"/>
    <w:rsid w:val="00C92E09"/>
    <w:rsid w:val="00C96437"/>
    <w:rsid w:val="00C9799E"/>
    <w:rsid w:val="00CB0EF1"/>
    <w:rsid w:val="00CC0910"/>
    <w:rsid w:val="00CC257B"/>
    <w:rsid w:val="00CC7107"/>
    <w:rsid w:val="00CE5CE0"/>
    <w:rsid w:val="00D060B5"/>
    <w:rsid w:val="00D224A3"/>
    <w:rsid w:val="00D271F4"/>
    <w:rsid w:val="00D63D4E"/>
    <w:rsid w:val="00D6722D"/>
    <w:rsid w:val="00D67C0F"/>
    <w:rsid w:val="00D76E9E"/>
    <w:rsid w:val="00D81813"/>
    <w:rsid w:val="00D95C86"/>
    <w:rsid w:val="00DB0938"/>
    <w:rsid w:val="00DB5E0A"/>
    <w:rsid w:val="00DC2AE6"/>
    <w:rsid w:val="00DC6F6A"/>
    <w:rsid w:val="00DD11FD"/>
    <w:rsid w:val="00DD2186"/>
    <w:rsid w:val="00DF0328"/>
    <w:rsid w:val="00DF125B"/>
    <w:rsid w:val="00E34523"/>
    <w:rsid w:val="00E405B6"/>
    <w:rsid w:val="00E54DF3"/>
    <w:rsid w:val="00E83F5D"/>
    <w:rsid w:val="00E85152"/>
    <w:rsid w:val="00E918B3"/>
    <w:rsid w:val="00E9240D"/>
    <w:rsid w:val="00EB27B7"/>
    <w:rsid w:val="00EF0D77"/>
    <w:rsid w:val="00F32574"/>
    <w:rsid w:val="00F35C50"/>
    <w:rsid w:val="00F40AED"/>
    <w:rsid w:val="00F47B01"/>
    <w:rsid w:val="00F5605A"/>
    <w:rsid w:val="00F73C6E"/>
    <w:rsid w:val="00F82975"/>
    <w:rsid w:val="00F92EA6"/>
    <w:rsid w:val="00FC642E"/>
    <w:rsid w:val="00FD6CEA"/>
    <w:rsid w:val="00FE12AB"/>
    <w:rsid w:val="00FE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15976"/>
  <w15:chartTrackingRefBased/>
  <w15:docId w15:val="{483DC42D-E39C-4A8A-A989-362551D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9E"/>
    <w:pPr>
      <w:keepNext/>
      <w:numPr>
        <w:numId w:val="4"/>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76E9E"/>
    <w:pPr>
      <w:keepNext/>
      <w:numPr>
        <w:ilvl w:val="1"/>
        <w:numId w:val="4"/>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76E9E"/>
    <w:pPr>
      <w:keepNext/>
      <w:numPr>
        <w:ilvl w:val="2"/>
        <w:numId w:val="4"/>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76E9E"/>
    <w:pPr>
      <w:keepNext/>
      <w:numPr>
        <w:ilvl w:val="3"/>
        <w:numId w:val="4"/>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76E9E"/>
    <w:pPr>
      <w:numPr>
        <w:ilvl w:val="4"/>
        <w:numId w:val="4"/>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D76E9E"/>
    <w:pPr>
      <w:numPr>
        <w:ilvl w:val="5"/>
        <w:numId w:val="4"/>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76E9E"/>
    <w:pPr>
      <w:numPr>
        <w:ilvl w:val="6"/>
        <w:numId w:val="4"/>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76E9E"/>
    <w:pPr>
      <w:numPr>
        <w:ilvl w:val="7"/>
        <w:numId w:val="4"/>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76E9E"/>
    <w:pPr>
      <w:numPr>
        <w:ilvl w:val="8"/>
        <w:numId w:val="4"/>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9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76E9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76E9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76E9E"/>
    <w:rPr>
      <w:rFonts w:eastAsiaTheme="minorEastAsia"/>
      <w:b/>
      <w:bCs/>
      <w:sz w:val="28"/>
      <w:szCs w:val="28"/>
    </w:rPr>
  </w:style>
  <w:style w:type="character" w:customStyle="1" w:styleId="Heading5Char">
    <w:name w:val="Heading 5 Char"/>
    <w:basedOn w:val="DefaultParagraphFont"/>
    <w:link w:val="Heading5"/>
    <w:uiPriority w:val="9"/>
    <w:semiHidden/>
    <w:rsid w:val="00D76E9E"/>
    <w:rPr>
      <w:rFonts w:eastAsiaTheme="minorEastAsia"/>
      <w:b/>
      <w:bCs/>
      <w:i/>
      <w:iCs/>
      <w:sz w:val="26"/>
      <w:szCs w:val="26"/>
    </w:rPr>
  </w:style>
  <w:style w:type="character" w:customStyle="1" w:styleId="Heading6Char">
    <w:name w:val="Heading 6 Char"/>
    <w:basedOn w:val="DefaultParagraphFont"/>
    <w:link w:val="Heading6"/>
    <w:rsid w:val="00D76E9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76E9E"/>
    <w:rPr>
      <w:rFonts w:eastAsiaTheme="minorEastAsia"/>
      <w:sz w:val="24"/>
      <w:szCs w:val="24"/>
    </w:rPr>
  </w:style>
  <w:style w:type="character" w:customStyle="1" w:styleId="Heading8Char">
    <w:name w:val="Heading 8 Char"/>
    <w:basedOn w:val="DefaultParagraphFont"/>
    <w:link w:val="Heading8"/>
    <w:uiPriority w:val="9"/>
    <w:semiHidden/>
    <w:rsid w:val="00D76E9E"/>
    <w:rPr>
      <w:rFonts w:eastAsiaTheme="minorEastAsia"/>
      <w:i/>
      <w:iCs/>
      <w:sz w:val="24"/>
      <w:szCs w:val="24"/>
    </w:rPr>
  </w:style>
  <w:style w:type="character" w:customStyle="1" w:styleId="Heading9Char">
    <w:name w:val="Heading 9 Char"/>
    <w:basedOn w:val="DefaultParagraphFont"/>
    <w:link w:val="Heading9"/>
    <w:uiPriority w:val="9"/>
    <w:semiHidden/>
    <w:rsid w:val="00D76E9E"/>
    <w:rPr>
      <w:rFonts w:asciiTheme="majorHAnsi" w:eastAsiaTheme="majorEastAsia" w:hAnsiTheme="majorHAnsi" w:cstheme="majorBidi"/>
    </w:rPr>
  </w:style>
  <w:style w:type="paragraph" w:styleId="ListParagraph">
    <w:name w:val="List Paragraph"/>
    <w:basedOn w:val="Normal"/>
    <w:uiPriority w:val="34"/>
    <w:qFormat/>
    <w:rsid w:val="00D76E9E"/>
    <w:pPr>
      <w:ind w:left="720"/>
      <w:contextualSpacing/>
    </w:pPr>
  </w:style>
  <w:style w:type="character" w:styleId="Hyperlink">
    <w:name w:val="Hyperlink"/>
    <w:basedOn w:val="DefaultParagraphFont"/>
    <w:uiPriority w:val="99"/>
    <w:unhideWhenUsed/>
    <w:rsid w:val="00D76E9E"/>
    <w:rPr>
      <w:color w:val="0563C1" w:themeColor="hyperlink"/>
      <w:u w:val="single"/>
    </w:rPr>
  </w:style>
  <w:style w:type="character" w:styleId="UnresolvedMention">
    <w:name w:val="Unresolved Mention"/>
    <w:basedOn w:val="DefaultParagraphFont"/>
    <w:uiPriority w:val="99"/>
    <w:semiHidden/>
    <w:unhideWhenUsed/>
    <w:rsid w:val="00D76E9E"/>
    <w:rPr>
      <w:color w:val="605E5C"/>
      <w:shd w:val="clear" w:color="auto" w:fill="E1DFDD"/>
    </w:rPr>
  </w:style>
  <w:style w:type="table" w:styleId="TableGrid">
    <w:name w:val="Table Grid"/>
    <w:basedOn w:val="TableNormal"/>
    <w:uiPriority w:val="39"/>
    <w:rsid w:val="003C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D3D"/>
  </w:style>
  <w:style w:type="paragraph" w:styleId="Footer">
    <w:name w:val="footer"/>
    <w:basedOn w:val="Normal"/>
    <w:link w:val="FooterChar"/>
    <w:uiPriority w:val="99"/>
    <w:unhideWhenUsed/>
    <w:rsid w:val="00797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30000"/>
              <a:t>+</a:t>
            </a:r>
            <a:r>
              <a:rPr lang="en-US"/>
              <a:t>p=1.000</a:t>
            </a:r>
          </a:p>
        </c:rich>
      </c:tx>
      <c:layout>
        <c:manualLayout>
          <c:xMode val="edge"/>
          <c:yMode val="edge"/>
          <c:x val="0.86672444590259556"/>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E4-4816-8538-B851257D326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E4-4816-8538-B851257D326A}"/>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E4-4816-8538-B851257D32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22</c:v>
                </c:pt>
                <c:pt idx="1">
                  <c:v>23</c:v>
                </c:pt>
                <c:pt idx="2">
                  <c:v>22</c:v>
                </c:pt>
              </c:numCache>
            </c:numRef>
          </c:val>
          <c:extLst>
            <c:ext xmlns:c16="http://schemas.microsoft.com/office/drawing/2014/chart" uri="{C3380CC4-5D6E-409C-BE32-E72D297353CC}">
              <c16:uniqueId val="{00000000-02E4-4816-8538-B851257D326A}"/>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19</c:v>
                </c:pt>
                <c:pt idx="1">
                  <c:v>21</c:v>
                </c:pt>
                <c:pt idx="2">
                  <c:v>20</c:v>
                </c:pt>
              </c:numCache>
            </c:numRef>
          </c:val>
          <c:extLst>
            <c:ext xmlns:c16="http://schemas.microsoft.com/office/drawing/2014/chart" uri="{C3380CC4-5D6E-409C-BE32-E72D297353CC}">
              <c16:uniqueId val="{00000001-02E4-4816-8538-B851257D326A}"/>
            </c:ext>
          </c:extLst>
        </c:ser>
        <c:dLbls>
          <c:showLegendKey val="0"/>
          <c:showVal val="0"/>
          <c:showCatName val="0"/>
          <c:showSerName val="0"/>
          <c:showPercent val="0"/>
          <c:showBubbleSize val="0"/>
        </c:dLbls>
        <c:gapWidth val="182"/>
        <c:axId val="2120044591"/>
        <c:axId val="2120045423"/>
      </c:barChart>
      <c:catAx>
        <c:axId val="2120044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0045423"/>
        <c:crosses val="autoZero"/>
        <c:auto val="1"/>
        <c:lblAlgn val="ctr"/>
        <c:lblOffset val="100"/>
        <c:noMultiLvlLbl val="0"/>
      </c:catAx>
      <c:valAx>
        <c:axId val="212004542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20044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p>
        </c:rich>
      </c:tx>
      <c:layout>
        <c:manualLayout>
          <c:xMode val="edge"/>
          <c:yMode val="edge"/>
          <c:x val="0.8366145377661126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24</c:v>
                </c:pt>
                <c:pt idx="1">
                  <c:v>25</c:v>
                </c:pt>
                <c:pt idx="2">
                  <c:v>25</c:v>
                </c:pt>
              </c:numCache>
            </c:numRef>
          </c:val>
          <c:extLst>
            <c:ext xmlns:c16="http://schemas.microsoft.com/office/drawing/2014/chart" uri="{C3380CC4-5D6E-409C-BE32-E72D297353CC}">
              <c16:uniqueId val="{00000000-12FC-4A7E-AB4D-F746008BD722}"/>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21</c:v>
                </c:pt>
                <c:pt idx="1">
                  <c:v>22</c:v>
                </c:pt>
                <c:pt idx="2">
                  <c:v>23</c:v>
                </c:pt>
              </c:numCache>
            </c:numRef>
          </c:val>
          <c:extLst>
            <c:ext xmlns:c16="http://schemas.microsoft.com/office/drawing/2014/chart" uri="{C3380CC4-5D6E-409C-BE32-E72D297353CC}">
              <c16:uniqueId val="{00000001-12FC-4A7E-AB4D-F746008BD722}"/>
            </c:ext>
          </c:extLst>
        </c:ser>
        <c:dLbls>
          <c:dLblPos val="outEnd"/>
          <c:showLegendKey val="0"/>
          <c:showVal val="1"/>
          <c:showCatName val="0"/>
          <c:showSerName val="0"/>
          <c:showPercent val="0"/>
          <c:showBubbleSize val="0"/>
        </c:dLbls>
        <c:gapWidth val="182"/>
        <c:axId val="783190079"/>
        <c:axId val="783190495"/>
      </c:barChart>
      <c:catAx>
        <c:axId val="78319007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190495"/>
        <c:crosses val="autoZero"/>
        <c:auto val="1"/>
        <c:lblAlgn val="ctr"/>
        <c:lblOffset val="100"/>
        <c:noMultiLvlLbl val="0"/>
      </c:catAx>
      <c:valAx>
        <c:axId val="783190495"/>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783190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r>
              <a:rPr lang="en-US" baseline="30000"/>
              <a:t>+</a:t>
            </a:r>
            <a:endParaRPr lang="en-US"/>
          </a:p>
        </c:rich>
      </c:tx>
      <c:layout>
        <c:manualLayout>
          <c:xMode val="edge"/>
          <c:yMode val="edge"/>
          <c:x val="0.83429972295129773"/>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25</c:v>
                </c:pt>
                <c:pt idx="1">
                  <c:v>27</c:v>
                </c:pt>
                <c:pt idx="2">
                  <c:v>28</c:v>
                </c:pt>
              </c:numCache>
            </c:numRef>
          </c:val>
          <c:extLst>
            <c:ext xmlns:c16="http://schemas.microsoft.com/office/drawing/2014/chart" uri="{C3380CC4-5D6E-409C-BE32-E72D297353CC}">
              <c16:uniqueId val="{00000000-21B3-4462-B9F3-8D88C51DEB15}"/>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23</c:v>
                </c:pt>
                <c:pt idx="1">
                  <c:v>25</c:v>
                </c:pt>
                <c:pt idx="2">
                  <c:v>27</c:v>
                </c:pt>
              </c:numCache>
            </c:numRef>
          </c:val>
          <c:extLst>
            <c:ext xmlns:c16="http://schemas.microsoft.com/office/drawing/2014/chart" uri="{C3380CC4-5D6E-409C-BE32-E72D297353CC}">
              <c16:uniqueId val="{00000001-21B3-4462-B9F3-8D88C51DEB15}"/>
            </c:ext>
          </c:extLst>
        </c:ser>
        <c:dLbls>
          <c:showLegendKey val="0"/>
          <c:showVal val="0"/>
          <c:showCatName val="0"/>
          <c:showSerName val="0"/>
          <c:showPercent val="0"/>
          <c:showBubbleSize val="0"/>
        </c:dLbls>
        <c:gapWidth val="182"/>
        <c:axId val="734191743"/>
        <c:axId val="734195487"/>
      </c:barChart>
      <c:catAx>
        <c:axId val="734191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195487"/>
        <c:crosses val="autoZero"/>
        <c:auto val="1"/>
        <c:lblAlgn val="ctr"/>
        <c:lblOffset val="100"/>
        <c:noMultiLvlLbl val="0"/>
      </c:catAx>
      <c:valAx>
        <c:axId val="73419548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3419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p=1.000</a:t>
            </a:r>
            <a:r>
              <a:rPr lang="en-US" baseline="30000"/>
              <a:t>+</a:t>
            </a:r>
            <a:endParaRPr lang="en-US"/>
          </a:p>
        </c:rich>
      </c:tx>
      <c:layout>
        <c:manualLayout>
          <c:xMode val="edge"/>
          <c:yMode val="edge"/>
          <c:x val="0.8366145377661126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Arm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Sheet1!$B$2:$B$4</c:f>
              <c:numCache>
                <c:formatCode>General</c:formatCode>
                <c:ptCount val="3"/>
                <c:pt idx="0">
                  <c:v>26</c:v>
                </c:pt>
                <c:pt idx="1">
                  <c:v>29</c:v>
                </c:pt>
                <c:pt idx="2">
                  <c:v>29</c:v>
                </c:pt>
              </c:numCache>
            </c:numRef>
          </c:val>
          <c:extLst>
            <c:ext xmlns:c16="http://schemas.microsoft.com/office/drawing/2014/chart" uri="{C3380CC4-5D6E-409C-BE32-E72D297353CC}">
              <c16:uniqueId val="{00000000-37DB-4603-8FB7-4692A44BB8FF}"/>
            </c:ext>
          </c:extLst>
        </c:ser>
        <c:ser>
          <c:idx val="1"/>
          <c:order val="1"/>
          <c:tx>
            <c:strRef>
              <c:f>Sheet1!$C$1</c:f>
              <c:strCache>
                <c:ptCount val="1"/>
                <c:pt idx="0">
                  <c:v>Arm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Growth absent</c:v>
                </c:pt>
                <c:pt idx="1">
                  <c:v>Fornix free</c:v>
                </c:pt>
                <c:pt idx="2">
                  <c:v>Parametrium free</c:v>
                </c:pt>
              </c:strCache>
            </c:strRef>
          </c:cat>
          <c:val>
            <c:numRef>
              <c:f>Sheet1!$C$2:$C$4</c:f>
              <c:numCache>
                <c:formatCode>General</c:formatCode>
                <c:ptCount val="3"/>
                <c:pt idx="0">
                  <c:v>24</c:v>
                </c:pt>
                <c:pt idx="1">
                  <c:v>27</c:v>
                </c:pt>
                <c:pt idx="2">
                  <c:v>28</c:v>
                </c:pt>
              </c:numCache>
            </c:numRef>
          </c:val>
          <c:extLst>
            <c:ext xmlns:c16="http://schemas.microsoft.com/office/drawing/2014/chart" uri="{C3380CC4-5D6E-409C-BE32-E72D297353CC}">
              <c16:uniqueId val="{00000001-37DB-4603-8FB7-4692A44BB8FF}"/>
            </c:ext>
          </c:extLst>
        </c:ser>
        <c:dLbls>
          <c:dLblPos val="outEnd"/>
          <c:showLegendKey val="0"/>
          <c:showVal val="1"/>
          <c:showCatName val="0"/>
          <c:showSerName val="0"/>
          <c:showPercent val="0"/>
          <c:showBubbleSize val="0"/>
        </c:dLbls>
        <c:gapWidth val="182"/>
        <c:axId val="646269167"/>
        <c:axId val="646269583"/>
      </c:barChart>
      <c:catAx>
        <c:axId val="646269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269583"/>
        <c:crosses val="autoZero"/>
        <c:auto val="1"/>
        <c:lblAlgn val="ctr"/>
        <c:lblOffset val="100"/>
        <c:noMultiLvlLbl val="0"/>
      </c:catAx>
      <c:valAx>
        <c:axId val="64626958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46269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21</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1089</cp:lastModifiedBy>
  <cp:revision>163</cp:revision>
  <dcterms:created xsi:type="dcterms:W3CDTF">2025-06-02T08:17:00Z</dcterms:created>
  <dcterms:modified xsi:type="dcterms:W3CDTF">2025-06-14T11:07:00Z</dcterms:modified>
</cp:coreProperties>
</file>