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A31" w:rsidRDefault="0066394B">
      <w:pPr>
        <w:spacing w:line="360" w:lineRule="auto"/>
        <w:jc w:val="center"/>
        <w:rPr>
          <w:rFonts w:ascii="Arial" w:hAnsi="Arial" w:cs="Arial"/>
          <w:b/>
          <w:sz w:val="28"/>
          <w:szCs w:val="28"/>
          <w:lang w:eastAsia="en-IN"/>
        </w:rPr>
      </w:pPr>
      <w:r>
        <w:rPr>
          <w:rFonts w:ascii="Arial" w:hAnsi="Arial" w:cs="Arial"/>
          <w:b/>
          <w:sz w:val="28"/>
          <w:szCs w:val="28"/>
          <w:lang w:eastAsia="en-IN"/>
        </w:rPr>
        <w:t>Ameliorating Effect of GA</w:t>
      </w:r>
      <w:r>
        <w:rPr>
          <w:rFonts w:ascii="Arial" w:hAnsi="Arial" w:cs="Arial"/>
          <w:b/>
          <w:sz w:val="28"/>
          <w:szCs w:val="28"/>
          <w:vertAlign w:val="subscript"/>
          <w:lang w:eastAsia="en-IN"/>
        </w:rPr>
        <w:t xml:space="preserve">3 </w:t>
      </w:r>
      <w:r>
        <w:rPr>
          <w:rFonts w:ascii="Arial" w:hAnsi="Arial" w:cs="Arial"/>
          <w:b/>
          <w:sz w:val="28"/>
          <w:szCs w:val="28"/>
          <w:lang w:eastAsia="en-IN"/>
        </w:rPr>
        <w:t xml:space="preserve">Priming on Seed Germination and </w:t>
      </w:r>
      <w:bookmarkStart w:id="0" w:name="_Hlk200201028"/>
      <w:r>
        <w:rPr>
          <w:rFonts w:ascii="Arial" w:hAnsi="Arial" w:cs="Arial"/>
          <w:b/>
          <w:sz w:val="28"/>
          <w:szCs w:val="28"/>
          <w:lang w:eastAsia="en-IN"/>
        </w:rPr>
        <w:t xml:space="preserve">Seedling Growth of Rice Genotypes </w:t>
      </w:r>
      <w:bookmarkEnd w:id="0"/>
      <w:r>
        <w:rPr>
          <w:rFonts w:ascii="Arial" w:hAnsi="Arial" w:cs="Arial"/>
          <w:b/>
          <w:sz w:val="28"/>
          <w:szCs w:val="28"/>
          <w:lang w:eastAsia="en-IN"/>
        </w:rPr>
        <w:t>Under Salinity Stress</w:t>
      </w:r>
    </w:p>
    <w:p w:rsidR="007F3A31" w:rsidRDefault="007F3A31">
      <w:pPr>
        <w:pStyle w:val="Copyright"/>
        <w:spacing w:after="0" w:line="360" w:lineRule="auto"/>
        <w:jc w:val="both"/>
        <w:rPr>
          <w:rFonts w:ascii="Arial" w:hAnsi="Arial" w:cs="Arial"/>
        </w:rPr>
      </w:pPr>
    </w:p>
    <w:p w:rsidR="007F3A31" w:rsidRDefault="0066394B">
      <w:pPr>
        <w:pStyle w:val="Copyright"/>
        <w:spacing w:after="0" w:line="360" w:lineRule="auto"/>
        <w:jc w:val="both"/>
        <w:rPr>
          <w:rFonts w:ascii="Arial" w:hAnsi="Arial" w:cs="Arial"/>
        </w:rPr>
        <w:sectPr w:rsidR="007F3A31">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3335" r="17145" b="15240"/>
                <wp:docPr id="80749616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Straight Arrow Connector 1"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0kvKg0AAAAAIBAAAPAAAAAAAA&#10;AAEAIAAAACIAAABkcnMvZG93bnJldi54bWxQSwECFAAUAAAACACHTuJAcixUBeEBAADKAwAADgAA&#10;AAAAAAABACAAAAAfAQAAZHJzL2Uyb0RvYy54bWxQSwUGAAAAAAYABgBZAQAAcgUAAAAA&#10;">
                <v:fill on="f" focussize="0,0"/>
                <v:stroke weight="1.5pt" color="#000000" joinstyle="round"/>
                <v:imagedata o:title=""/>
                <o:lock v:ext="edit" aspectratio="f"/>
                <w10:wrap type="none"/>
                <w10:anchorlock/>
              </v:shape>
            </w:pict>
          </mc:Fallback>
        </mc:AlternateContent>
      </w:r>
      <w:r>
        <w:rPr>
          <w:rFonts w:ascii="Arial" w:hAnsi="Arial" w:cs="Arial"/>
        </w:rPr>
        <w:t>.</w:t>
      </w:r>
    </w:p>
    <w:p w:rsidR="007F3A31" w:rsidRDefault="0066394B">
      <w:pPr>
        <w:pStyle w:val="AbstHead"/>
        <w:spacing w:after="0" w:line="360" w:lineRule="auto"/>
        <w:jc w:val="both"/>
        <w:rPr>
          <w:rFonts w:ascii="Arial" w:hAnsi="Arial" w:cs="Arial"/>
        </w:rPr>
      </w:pPr>
      <w:r>
        <w:rPr>
          <w:rFonts w:ascii="Arial" w:hAnsi="Arial" w:cs="Arial"/>
        </w:rPr>
        <w:t>ABSTRACT</w:t>
      </w:r>
    </w:p>
    <w:p w:rsidR="007F3A31" w:rsidRDefault="007F3A31">
      <w:pPr>
        <w:pStyle w:val="AbstHead"/>
        <w:spacing w:after="0"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7F3A31">
        <w:tc>
          <w:tcPr>
            <w:tcW w:w="9576" w:type="dxa"/>
            <w:shd w:val="clear" w:color="auto" w:fill="F2F2F2"/>
          </w:tcPr>
          <w:p w:rsidR="007F3A31" w:rsidRDefault="007F3A31">
            <w:pPr>
              <w:pStyle w:val="Body"/>
              <w:spacing w:after="0" w:line="360" w:lineRule="auto"/>
              <w:rPr>
                <w:rFonts w:ascii="Arial" w:eastAsia="Calibri" w:hAnsi="Arial" w:cs="Arial"/>
                <w:b/>
                <w:bCs/>
                <w:szCs w:val="22"/>
                <w:lang w:val="en-IN"/>
              </w:rPr>
            </w:pPr>
          </w:p>
          <w:p w:rsidR="007F3A31" w:rsidRDefault="0066394B">
            <w:pPr>
              <w:pStyle w:val="Body"/>
              <w:spacing w:after="0" w:line="360" w:lineRule="auto"/>
              <w:rPr>
                <w:rFonts w:ascii="Arial" w:eastAsia="Calibri" w:hAnsi="Arial" w:cs="Arial"/>
                <w:szCs w:val="22"/>
                <w:lang w:val="en-IN"/>
              </w:rPr>
            </w:pPr>
            <w:r>
              <w:rPr>
                <w:rFonts w:ascii="Arial" w:eastAsia="Calibri" w:hAnsi="Arial" w:cs="Arial"/>
                <w:b/>
                <w:bCs/>
                <w:szCs w:val="22"/>
                <w:lang w:val="en-IN"/>
              </w:rPr>
              <w:t>Aims:</w:t>
            </w:r>
            <w:r>
              <w:rPr>
                <w:rFonts w:ascii="Arial" w:eastAsia="Calibri" w:hAnsi="Arial" w:cs="Arial"/>
                <w:szCs w:val="22"/>
                <w:lang w:val="en-IN"/>
              </w:rPr>
              <w:br/>
              <w:t>Salinity is a major abiotic stress limiting crop productivity, particularly in arid and semi-arid regions. Rice (</w:t>
            </w:r>
            <w:r>
              <w:rPr>
                <w:rFonts w:ascii="Arial" w:eastAsia="Calibri" w:hAnsi="Arial" w:cs="Arial"/>
                <w:i/>
                <w:iCs/>
                <w:szCs w:val="22"/>
                <w:lang w:val="en-IN"/>
              </w:rPr>
              <w:t>Oryza sativa</w:t>
            </w:r>
            <w:r>
              <w:rPr>
                <w:rFonts w:ascii="Arial" w:eastAsia="Calibri" w:hAnsi="Arial" w:cs="Arial"/>
                <w:szCs w:val="22"/>
                <w:lang w:val="en-IN"/>
              </w:rPr>
              <w:t xml:space="preserve"> L.) is highly sensitive to salinity, especially during the germination stage. This study aimed to evaluate the effect of gibberellic acid (GA₃) seed priming on mitigating salinity stress and improving seed germination and early seedling growth in differen</w:t>
            </w:r>
            <w:r>
              <w:rPr>
                <w:rFonts w:ascii="Arial" w:eastAsia="Calibri" w:hAnsi="Arial" w:cs="Arial"/>
                <w:szCs w:val="22"/>
                <w:lang w:val="en-IN"/>
              </w:rPr>
              <w:t>t rice genotypes.</w:t>
            </w:r>
          </w:p>
          <w:p w:rsidR="007F3A31" w:rsidRDefault="0066394B">
            <w:pPr>
              <w:pStyle w:val="Body"/>
              <w:spacing w:after="0" w:line="360" w:lineRule="auto"/>
              <w:rPr>
                <w:rFonts w:ascii="Arial" w:eastAsia="Calibri" w:hAnsi="Arial" w:cs="Arial"/>
                <w:szCs w:val="22"/>
                <w:lang w:val="en-IN"/>
              </w:rPr>
            </w:pPr>
            <w:r>
              <w:rPr>
                <w:rFonts w:ascii="Arial" w:eastAsia="Calibri" w:hAnsi="Arial" w:cs="Arial"/>
                <w:b/>
                <w:bCs/>
                <w:szCs w:val="22"/>
                <w:lang w:val="en-IN"/>
              </w:rPr>
              <w:t>Study</w:t>
            </w:r>
            <w:r>
              <w:rPr>
                <w:rFonts w:ascii="Arial" w:eastAsia="Calibri" w:hAnsi="Arial" w:cs="Arial"/>
                <w:b/>
                <w:bCs/>
                <w:szCs w:val="22"/>
                <w:lang w:val="en-IN"/>
              </w:rPr>
              <w:t xml:space="preserve"> </w:t>
            </w:r>
            <w:r>
              <w:rPr>
                <w:rFonts w:ascii="Arial" w:eastAsia="Calibri" w:hAnsi="Arial" w:cs="Arial"/>
                <w:b/>
                <w:bCs/>
                <w:szCs w:val="22"/>
                <w:lang w:val="en-IN"/>
              </w:rPr>
              <w:t>Design:</w:t>
            </w:r>
            <w:r>
              <w:rPr>
                <w:rFonts w:ascii="Arial" w:eastAsia="Calibri" w:hAnsi="Arial" w:cs="Arial"/>
                <w:szCs w:val="22"/>
                <w:lang w:val="en-IN"/>
              </w:rPr>
              <w:br/>
              <w:t>The experiment followed a factorial block design under laboratory conditions, testing the interaction of four rice genotypes and varying salinity levels, with and without GA₃ priming.</w:t>
            </w:r>
          </w:p>
          <w:p w:rsidR="007F3A31" w:rsidRDefault="0066394B">
            <w:pPr>
              <w:pStyle w:val="Body"/>
              <w:spacing w:after="0" w:line="360" w:lineRule="auto"/>
              <w:rPr>
                <w:rFonts w:ascii="Arial" w:eastAsia="Calibri" w:hAnsi="Arial" w:cs="Arial"/>
                <w:szCs w:val="22"/>
                <w:lang w:val="en-IN"/>
              </w:rPr>
            </w:pPr>
            <w:r>
              <w:rPr>
                <w:rFonts w:ascii="Arial" w:eastAsia="Calibri" w:hAnsi="Arial" w:cs="Arial"/>
                <w:b/>
                <w:bCs/>
                <w:szCs w:val="22"/>
                <w:lang w:val="en-IN"/>
              </w:rPr>
              <w:t>Place and Duration of Study:</w:t>
            </w:r>
            <w:r>
              <w:rPr>
                <w:rFonts w:ascii="Arial" w:eastAsia="Calibri" w:hAnsi="Arial" w:cs="Arial"/>
                <w:szCs w:val="22"/>
                <w:lang w:val="en-IN"/>
              </w:rPr>
              <w:br/>
              <w:t>The lab exp</w:t>
            </w:r>
            <w:r>
              <w:rPr>
                <w:rFonts w:ascii="Arial" w:eastAsia="Calibri" w:hAnsi="Arial" w:cs="Arial"/>
                <w:szCs w:val="22"/>
                <w:lang w:val="en-IN"/>
              </w:rPr>
              <w:t xml:space="preserve">eriment was conducted in department </w:t>
            </w:r>
            <w:r>
              <w:rPr>
                <w:rFonts w:ascii="Arial" w:eastAsia="Calibri" w:hAnsi="Arial" w:cs="Arial"/>
                <w:szCs w:val="22"/>
                <w:lang w:val="en-IN"/>
              </w:rPr>
              <w:t>P</w:t>
            </w:r>
            <w:r>
              <w:rPr>
                <w:rFonts w:ascii="Arial" w:eastAsia="Calibri" w:hAnsi="Arial" w:cs="Arial"/>
                <w:szCs w:val="22"/>
                <w:lang w:val="en-IN"/>
              </w:rPr>
              <w:t xml:space="preserve">lant </w:t>
            </w:r>
            <w:r>
              <w:rPr>
                <w:rFonts w:ascii="Arial" w:eastAsia="Calibri" w:hAnsi="Arial" w:cs="Arial"/>
                <w:szCs w:val="22"/>
                <w:lang w:val="en-IN"/>
              </w:rPr>
              <w:t>p</w:t>
            </w:r>
            <w:r>
              <w:rPr>
                <w:rFonts w:ascii="Arial" w:eastAsia="Calibri" w:hAnsi="Arial" w:cs="Arial"/>
                <w:szCs w:val="22"/>
                <w:lang w:val="en-IN"/>
              </w:rPr>
              <w:t xml:space="preserve">hysiology laboratory in GBPUAT </w:t>
            </w:r>
            <w:proofErr w:type="spellStart"/>
            <w:r>
              <w:rPr>
                <w:rFonts w:ascii="Arial" w:eastAsia="Calibri" w:hAnsi="Arial" w:cs="Arial"/>
                <w:szCs w:val="22"/>
                <w:lang w:val="en-IN"/>
              </w:rPr>
              <w:t>P</w:t>
            </w:r>
            <w:r>
              <w:rPr>
                <w:rFonts w:ascii="Arial" w:eastAsia="Calibri" w:hAnsi="Arial" w:cs="Arial"/>
                <w:szCs w:val="22"/>
                <w:lang w:val="en-IN"/>
              </w:rPr>
              <w:t>antnagar</w:t>
            </w:r>
            <w:proofErr w:type="spellEnd"/>
            <w:r>
              <w:rPr>
                <w:rFonts w:ascii="Arial" w:eastAsia="Calibri" w:hAnsi="Arial" w:cs="Arial"/>
                <w:szCs w:val="22"/>
                <w:lang w:val="en-IN"/>
              </w:rPr>
              <w:t xml:space="preserve"> over a period of four weeks.</w:t>
            </w:r>
          </w:p>
          <w:p w:rsidR="007F3A31" w:rsidRDefault="0066394B">
            <w:pPr>
              <w:pStyle w:val="Body"/>
              <w:spacing w:after="0" w:line="360" w:lineRule="auto"/>
              <w:rPr>
                <w:rFonts w:ascii="Arial" w:eastAsia="Calibri" w:hAnsi="Arial" w:cs="Arial"/>
                <w:szCs w:val="22"/>
                <w:lang w:val="en-IN"/>
              </w:rPr>
            </w:pPr>
            <w:r>
              <w:rPr>
                <w:rFonts w:ascii="Arial" w:eastAsia="Calibri" w:hAnsi="Arial" w:cs="Arial"/>
                <w:b/>
                <w:bCs/>
                <w:szCs w:val="22"/>
                <w:lang w:val="en-IN"/>
              </w:rPr>
              <w:t>Methodology:</w:t>
            </w:r>
            <w:r>
              <w:rPr>
                <w:rFonts w:ascii="Arial" w:eastAsia="Calibri" w:hAnsi="Arial" w:cs="Arial"/>
                <w:szCs w:val="22"/>
                <w:lang w:val="en-IN"/>
              </w:rPr>
              <w:br/>
              <w:t>Four rice genotypes</w:t>
            </w:r>
            <w:r>
              <w:rPr>
                <w:rFonts w:ascii="Arial" w:eastAsia="Calibri" w:hAnsi="Arial" w:cs="Arial"/>
                <w:szCs w:val="22"/>
                <w:lang w:val="en-IN"/>
              </w:rPr>
              <w:t xml:space="preserve"> </w:t>
            </w:r>
            <w:r>
              <w:rPr>
                <w:rFonts w:ascii="Arial" w:eastAsia="Calibri" w:hAnsi="Arial" w:cs="Arial"/>
                <w:szCs w:val="22"/>
                <w:lang w:val="en-IN"/>
              </w:rPr>
              <w:t>Pant Basmati 1, Pant Basmati 2, Pant Sugandh 21, and CSR 36were evaluated under four NaCl concentrations (0, 5</w:t>
            </w:r>
            <w:r>
              <w:rPr>
                <w:rFonts w:ascii="Arial" w:eastAsia="Calibri" w:hAnsi="Arial" w:cs="Arial"/>
                <w:szCs w:val="22"/>
                <w:lang w:val="en-IN"/>
              </w:rPr>
              <w:t xml:space="preserve">0, 100, and 150 mM). Seeds were primed with </w:t>
            </w:r>
            <w:r>
              <w:rPr>
                <w:rFonts w:ascii="Arial" w:eastAsia="Calibri" w:hAnsi="Arial" w:cs="Arial"/>
                <w:szCs w:val="22"/>
                <w:lang w:val="en-IN"/>
              </w:rPr>
              <w:t xml:space="preserve">20 and </w:t>
            </w:r>
            <w:r>
              <w:rPr>
                <w:rFonts w:ascii="Arial" w:eastAsia="Calibri" w:hAnsi="Arial" w:cs="Arial"/>
                <w:szCs w:val="22"/>
                <w:lang w:val="en-IN"/>
              </w:rPr>
              <w:t>30 µM GA₃ and compared to untreated controls. Key germination and seedling parameters including germination percentage, shoot and root length, dry weight, seedling vigour index, and seedling tolerance inde</w:t>
            </w:r>
            <w:r>
              <w:rPr>
                <w:rFonts w:ascii="Arial" w:eastAsia="Calibri" w:hAnsi="Arial" w:cs="Arial"/>
                <w:szCs w:val="22"/>
                <w:lang w:val="en-IN"/>
              </w:rPr>
              <w:t>x were measured and statistically analysed.</w:t>
            </w:r>
          </w:p>
          <w:p w:rsidR="007F3A31" w:rsidRDefault="0066394B">
            <w:pPr>
              <w:pStyle w:val="Body"/>
              <w:spacing w:after="0" w:line="360" w:lineRule="auto"/>
              <w:rPr>
                <w:rFonts w:ascii="Arial" w:eastAsia="Calibri" w:hAnsi="Arial" w:cs="Arial"/>
                <w:szCs w:val="22"/>
                <w:lang w:val="en-IN"/>
              </w:rPr>
            </w:pPr>
            <w:r>
              <w:rPr>
                <w:rFonts w:ascii="Arial" w:eastAsia="Calibri" w:hAnsi="Arial" w:cs="Arial"/>
                <w:b/>
                <w:bCs/>
                <w:szCs w:val="22"/>
                <w:lang w:val="en-IN"/>
              </w:rPr>
              <w:t>Results:</w:t>
            </w:r>
            <w:r>
              <w:rPr>
                <w:rFonts w:ascii="Arial" w:eastAsia="Calibri" w:hAnsi="Arial" w:cs="Arial"/>
                <w:szCs w:val="22"/>
                <w:lang w:val="en-IN"/>
              </w:rPr>
              <w:br/>
              <w:t xml:space="preserve">Increased salinity significantly reduced all measured parameters across genotypes. Pant Basmati 1 was most sensitive, while CSR 36 showed the highest tolerance. At 150 mM NaCl, germination occurred only </w:t>
            </w:r>
            <w:r>
              <w:rPr>
                <w:rFonts w:ascii="Arial" w:eastAsia="Calibri" w:hAnsi="Arial" w:cs="Arial"/>
                <w:szCs w:val="22"/>
                <w:lang w:val="en-IN"/>
              </w:rPr>
              <w:t>in CSR 36. GA₃ priming significantly improved germination and seedling growth, particularly in sensitive genotypes. Pant Sugandh 21 and Pant Basmati 1 showed 30% and 23% increased germination, respectively, with GA₃ at high salinity. More than 15% improvem</w:t>
            </w:r>
            <w:r>
              <w:rPr>
                <w:rFonts w:ascii="Arial" w:eastAsia="Calibri" w:hAnsi="Arial" w:cs="Arial"/>
                <w:szCs w:val="22"/>
                <w:lang w:val="en-IN"/>
              </w:rPr>
              <w:t>ent in shoot and root length was observed in all GA₃-treated genotypes at 100 and 150 mM NaCl.</w:t>
            </w:r>
          </w:p>
          <w:p w:rsidR="007F3A31" w:rsidRDefault="0066394B">
            <w:pPr>
              <w:pStyle w:val="Body"/>
              <w:spacing w:after="0" w:line="360" w:lineRule="auto"/>
              <w:rPr>
                <w:rFonts w:ascii="Arial" w:eastAsia="Calibri" w:hAnsi="Arial" w:cs="Arial"/>
                <w:szCs w:val="22"/>
                <w:lang w:val="en-IN"/>
              </w:rPr>
            </w:pPr>
            <w:r>
              <w:rPr>
                <w:rFonts w:ascii="Arial" w:eastAsia="Calibri" w:hAnsi="Arial" w:cs="Arial"/>
                <w:b/>
                <w:bCs/>
                <w:szCs w:val="22"/>
                <w:lang w:val="en-IN"/>
              </w:rPr>
              <w:t>Conclusion:</w:t>
            </w:r>
            <w:r>
              <w:rPr>
                <w:rFonts w:ascii="Arial" w:eastAsia="Calibri" w:hAnsi="Arial" w:cs="Arial"/>
                <w:szCs w:val="22"/>
                <w:lang w:val="en-IN"/>
              </w:rPr>
              <w:br/>
              <w:t xml:space="preserve">Seed priming with 30 µM GA₃ effectively mitigates salinity stress during rice germination, enhancing </w:t>
            </w:r>
            <w:r>
              <w:rPr>
                <w:rFonts w:ascii="Arial" w:eastAsia="Calibri" w:hAnsi="Arial" w:cs="Arial"/>
                <w:szCs w:val="22"/>
                <w:lang w:val="en-IN"/>
              </w:rPr>
              <w:lastRenderedPageBreak/>
              <w:t>seedling growth and tolerance, especially in sal</w:t>
            </w:r>
            <w:r>
              <w:rPr>
                <w:rFonts w:ascii="Arial" w:eastAsia="Calibri" w:hAnsi="Arial" w:cs="Arial"/>
                <w:szCs w:val="22"/>
                <w:lang w:val="en-IN"/>
              </w:rPr>
              <w:t>t-sensitive cultivars. This approach holds promise for improving rice cultivation in salt-affected areas.</w:t>
            </w:r>
          </w:p>
          <w:p w:rsidR="007F3A31" w:rsidRDefault="007F3A31">
            <w:pPr>
              <w:pStyle w:val="Body"/>
              <w:spacing w:after="0" w:line="360" w:lineRule="auto"/>
              <w:rPr>
                <w:rFonts w:ascii="Arial" w:eastAsia="Calibri" w:hAnsi="Arial" w:cs="Arial"/>
                <w:szCs w:val="22"/>
              </w:rPr>
            </w:pPr>
          </w:p>
        </w:tc>
      </w:tr>
    </w:tbl>
    <w:p w:rsidR="007F3A31" w:rsidRDefault="007F3A31">
      <w:pPr>
        <w:pStyle w:val="Body"/>
        <w:spacing w:after="0" w:line="360" w:lineRule="auto"/>
        <w:rPr>
          <w:rFonts w:ascii="Arial" w:hAnsi="Arial" w:cs="Arial"/>
          <w:i/>
        </w:rPr>
      </w:pPr>
    </w:p>
    <w:p w:rsidR="007F3A31" w:rsidRDefault="0066394B">
      <w:pPr>
        <w:pStyle w:val="Body"/>
        <w:spacing w:after="0" w:line="360" w:lineRule="auto"/>
        <w:rPr>
          <w:rFonts w:ascii="Arial" w:hAnsi="Arial" w:cs="Arial"/>
          <w:i/>
        </w:rPr>
      </w:pPr>
      <w:r>
        <w:rPr>
          <w:rFonts w:ascii="Arial" w:hAnsi="Arial" w:cs="Arial"/>
          <w:i/>
        </w:rPr>
        <w:t>Key words</w:t>
      </w:r>
      <w:r w:rsidR="00DC124B">
        <w:rPr>
          <w:rFonts w:ascii="Arial" w:hAnsi="Arial" w:cs="Arial"/>
          <w:i/>
        </w:rPr>
        <w:t>:</w:t>
      </w:r>
      <w:r>
        <w:rPr>
          <w:rFonts w:ascii="Arial" w:hAnsi="Arial" w:cs="Arial"/>
          <w:i/>
        </w:rPr>
        <w:t xml:space="preserve"> </w:t>
      </w:r>
      <w:proofErr w:type="spellStart"/>
      <w:proofErr w:type="gramStart"/>
      <w:r>
        <w:rPr>
          <w:rFonts w:ascii="Arial" w:hAnsi="Arial" w:cs="Arial"/>
          <w:i/>
        </w:rPr>
        <w:t>Rice,priming</w:t>
      </w:r>
      <w:proofErr w:type="spellEnd"/>
      <w:proofErr w:type="gramEnd"/>
      <w:r>
        <w:rPr>
          <w:rFonts w:ascii="Arial" w:hAnsi="Arial" w:cs="Arial"/>
          <w:i/>
        </w:rPr>
        <w:t>,</w:t>
      </w:r>
      <w:r w:rsidR="00DC124B">
        <w:rPr>
          <w:rFonts w:ascii="Arial" w:hAnsi="Arial" w:cs="Arial"/>
          <w:i/>
        </w:rPr>
        <w:t xml:space="preserve"> </w:t>
      </w:r>
      <w:r>
        <w:rPr>
          <w:rFonts w:ascii="Arial" w:hAnsi="Arial" w:cs="Arial"/>
          <w:i/>
        </w:rPr>
        <w:t>germination,</w:t>
      </w:r>
      <w:r w:rsidR="00DC124B">
        <w:rPr>
          <w:rFonts w:ascii="Arial" w:hAnsi="Arial" w:cs="Arial"/>
          <w:i/>
        </w:rPr>
        <w:t xml:space="preserve"> </w:t>
      </w:r>
      <w:proofErr w:type="spellStart"/>
      <w:r>
        <w:rPr>
          <w:rFonts w:ascii="Arial" w:hAnsi="Arial" w:cs="Arial"/>
          <w:i/>
        </w:rPr>
        <w:t>Gibbrellic</w:t>
      </w:r>
      <w:proofErr w:type="spellEnd"/>
      <w:r>
        <w:rPr>
          <w:rFonts w:ascii="Arial" w:hAnsi="Arial" w:cs="Arial"/>
          <w:i/>
        </w:rPr>
        <w:t xml:space="preserve"> acid,</w:t>
      </w:r>
      <w:r w:rsidR="00DC124B">
        <w:rPr>
          <w:rFonts w:ascii="Arial" w:hAnsi="Arial" w:cs="Arial"/>
          <w:i/>
        </w:rPr>
        <w:t xml:space="preserve"> </w:t>
      </w:r>
      <w:r>
        <w:rPr>
          <w:rFonts w:ascii="Arial" w:hAnsi="Arial" w:cs="Arial"/>
          <w:i/>
        </w:rPr>
        <w:t>salinity</w:t>
      </w:r>
    </w:p>
    <w:p w:rsidR="007F3A31" w:rsidRDefault="007F3A31">
      <w:pPr>
        <w:pStyle w:val="Body"/>
        <w:spacing w:after="0" w:line="360" w:lineRule="auto"/>
        <w:rPr>
          <w:rFonts w:ascii="Arial" w:hAnsi="Arial" w:cs="Arial"/>
          <w:i/>
        </w:rPr>
      </w:pPr>
    </w:p>
    <w:p w:rsidR="007F3A31" w:rsidRDefault="0066394B">
      <w:pPr>
        <w:pStyle w:val="Body"/>
        <w:spacing w:after="0" w:line="360" w:lineRule="auto"/>
        <w:rPr>
          <w:rFonts w:ascii="Arial" w:hAnsi="Arial" w:cs="Arial"/>
          <w:i/>
          <w:sz w:val="22"/>
          <w:szCs w:val="22"/>
        </w:rPr>
      </w:pPr>
      <w:proofErr w:type="gramStart"/>
      <w:r>
        <w:rPr>
          <w:rFonts w:ascii="Arial" w:hAnsi="Arial" w:cs="Arial"/>
          <w:b/>
          <w:bCs/>
          <w:sz w:val="22"/>
          <w:szCs w:val="22"/>
          <w:lang w:val="en-IN"/>
        </w:rPr>
        <w:t xml:space="preserve">1 </w:t>
      </w:r>
      <w:r>
        <w:rPr>
          <w:rFonts w:ascii="Arial" w:hAnsi="Arial" w:cs="Arial"/>
          <w:b/>
          <w:bCs/>
          <w:sz w:val="22"/>
          <w:szCs w:val="22"/>
        </w:rPr>
        <w:t xml:space="preserve"> INTRODUCTION</w:t>
      </w:r>
      <w:proofErr w:type="gramEnd"/>
      <w:r>
        <w:rPr>
          <w:rFonts w:ascii="Arial" w:hAnsi="Arial" w:cs="Arial"/>
          <w:sz w:val="22"/>
          <w:szCs w:val="22"/>
        </w:rPr>
        <w:t xml:space="preserve"> </w:t>
      </w:r>
    </w:p>
    <w:p w:rsidR="007F3A31" w:rsidRDefault="0066394B">
      <w:pPr>
        <w:spacing w:line="360" w:lineRule="auto"/>
        <w:ind w:firstLine="720"/>
        <w:jc w:val="both"/>
        <w:rPr>
          <w:rFonts w:ascii="Arial" w:hAnsi="Arial" w:cs="Arial"/>
        </w:rPr>
      </w:pPr>
      <w:r>
        <w:rPr>
          <w:rFonts w:ascii="Arial" w:hAnsi="Arial" w:cs="Arial"/>
        </w:rPr>
        <w:t xml:space="preserve">Salinity, is one of the pernicious abiotic stress that adversely </w:t>
      </w:r>
      <w:r>
        <w:rPr>
          <w:rFonts w:ascii="Arial" w:hAnsi="Arial" w:cs="Arial"/>
        </w:rPr>
        <w:t>affects the physiological functioning of the plants and restricts the productivity in most of crop plants (</w:t>
      </w:r>
      <w:proofErr w:type="spellStart"/>
      <w:r>
        <w:rPr>
          <w:rFonts w:ascii="Arial" w:hAnsi="Arial" w:cs="Arial"/>
        </w:rPr>
        <w:t>Bazakos</w:t>
      </w:r>
      <w:proofErr w:type="spellEnd"/>
      <w:r>
        <w:rPr>
          <w:rFonts w:ascii="Arial" w:hAnsi="Arial" w:cs="Arial"/>
        </w:rPr>
        <w:t xml:space="preserve"> et al., 2015). Approximately 45 million hectares of land, which is almost 20% of irrigated land and provides one-third of the world's food ne</w:t>
      </w:r>
      <w:r>
        <w:rPr>
          <w:rFonts w:ascii="Arial" w:hAnsi="Arial" w:cs="Arial"/>
        </w:rPr>
        <w:t xml:space="preserve">eds, is affected by salinity (Abdel et al., 2018). It is estimated that by 2050, fifty per cent of the world's arable land will be affected by salinity (Machado and </w:t>
      </w:r>
      <w:proofErr w:type="spellStart"/>
      <w:r>
        <w:rPr>
          <w:rFonts w:ascii="Arial" w:hAnsi="Arial" w:cs="Arial"/>
        </w:rPr>
        <w:t>Serralheiro</w:t>
      </w:r>
      <w:proofErr w:type="spellEnd"/>
      <w:r>
        <w:rPr>
          <w:rFonts w:ascii="Arial" w:hAnsi="Arial" w:cs="Arial"/>
        </w:rPr>
        <w:t>, 2017). All the agricultural land contains some amount of salt whereas, the amo</w:t>
      </w:r>
      <w:r>
        <w:rPr>
          <w:rFonts w:ascii="Arial" w:hAnsi="Arial" w:cs="Arial"/>
        </w:rPr>
        <w:t>unt of salt depends on the types of soil and quality of irrigation water. Soil is considered saline when the salt content in the root zone is high enough to prevent optimum growth and yield of the plant (FAO, 2013). A high concentration of salt in the soil</w:t>
      </w:r>
      <w:r>
        <w:rPr>
          <w:rFonts w:ascii="Arial" w:hAnsi="Arial" w:cs="Arial"/>
        </w:rPr>
        <w:t xml:space="preserve"> reduces the osmotic ability of the soil and further affects the uptake of water and nutrients by the roots, thereby affecting the germination and metabolism of the plants, resulting in significant crop damage and poor productivity (Tester and Davenport, 2</w:t>
      </w:r>
      <w:r>
        <w:rPr>
          <w:rFonts w:ascii="Arial" w:hAnsi="Arial" w:cs="Arial"/>
        </w:rPr>
        <w:t>003).</w:t>
      </w:r>
    </w:p>
    <w:p w:rsidR="007F3A31" w:rsidRDefault="0066394B">
      <w:pPr>
        <w:spacing w:line="360" w:lineRule="auto"/>
        <w:ind w:firstLine="720"/>
        <w:jc w:val="both"/>
        <w:rPr>
          <w:rFonts w:ascii="Arial" w:hAnsi="Arial" w:cs="Arial"/>
          <w:lang w:val="en-IN"/>
        </w:rPr>
      </w:pPr>
      <w:r>
        <w:rPr>
          <w:rFonts w:ascii="Arial" w:hAnsi="Arial" w:cs="Arial"/>
        </w:rPr>
        <w:t xml:space="preserve">Rice is the most critical food crop worldwide, cultivated in wide regions of the world with expanded crop production. However, Salinity has a harmful effect on rice over entire growth phases as reduced germination and seedling growth, biomass </w:t>
      </w:r>
      <w:r>
        <w:rPr>
          <w:rFonts w:ascii="Arial" w:hAnsi="Arial" w:cs="Arial"/>
        </w:rPr>
        <w:t xml:space="preserve">accumulation, decrease in </w:t>
      </w:r>
      <w:proofErr w:type="spellStart"/>
      <w:r>
        <w:rPr>
          <w:rFonts w:ascii="Arial" w:hAnsi="Arial" w:cs="Arial"/>
        </w:rPr>
        <w:t>tillering</w:t>
      </w:r>
      <w:proofErr w:type="spellEnd"/>
      <w:r>
        <w:rPr>
          <w:rFonts w:ascii="Arial" w:hAnsi="Arial" w:cs="Arial"/>
        </w:rPr>
        <w:t>, spikelet per panicle, panicle weight, and a finally significant reduction in grain yield (Zhao et al., 2006</w:t>
      </w:r>
      <w:proofErr w:type="gramStart"/>
      <w:r>
        <w:rPr>
          <w:rFonts w:ascii="Arial" w:hAnsi="Arial" w:cs="Arial"/>
        </w:rPr>
        <w:t>).Seed</w:t>
      </w:r>
      <w:proofErr w:type="gramEnd"/>
      <w:r>
        <w:rPr>
          <w:rFonts w:ascii="Arial" w:hAnsi="Arial" w:cs="Arial"/>
        </w:rPr>
        <w:t xml:space="preserve"> germination is a vital phase of plant life. Successful germination depends on the ability of the plant em</w:t>
      </w:r>
      <w:r>
        <w:rPr>
          <w:rFonts w:ascii="Arial" w:hAnsi="Arial" w:cs="Arial"/>
        </w:rPr>
        <w:t>bryo metabolism, which depends upon strict regulation of plant hormones including Gibberellic acid, Abscisic acid, auxin and ethylene (</w:t>
      </w:r>
      <w:proofErr w:type="spellStart"/>
      <w:r>
        <w:rPr>
          <w:rFonts w:ascii="Arial" w:hAnsi="Arial" w:cs="Arial"/>
        </w:rPr>
        <w:t>Savvides</w:t>
      </w:r>
      <w:proofErr w:type="spellEnd"/>
      <w:r>
        <w:rPr>
          <w:rFonts w:ascii="Arial" w:hAnsi="Arial" w:cs="Arial"/>
        </w:rPr>
        <w:t xml:space="preserve"> et al., </w:t>
      </w:r>
      <w:proofErr w:type="gramStart"/>
      <w:r>
        <w:rPr>
          <w:rFonts w:ascii="Arial" w:hAnsi="Arial" w:cs="Arial"/>
        </w:rPr>
        <w:t>2016</w:t>
      </w:r>
      <w:r>
        <w:rPr>
          <w:rFonts w:ascii="Arial" w:hAnsi="Arial" w:cs="Arial"/>
          <w:lang w:val="en-IN"/>
        </w:rPr>
        <w:t>,</w:t>
      </w:r>
      <w:r>
        <w:rPr>
          <w:rFonts w:ascii="Arial" w:hAnsi="Arial" w:cs="Arial"/>
          <w:color w:val="222222"/>
          <w:shd w:val="clear" w:color="auto" w:fill="FFFFFF"/>
        </w:rPr>
        <w:t>Mohammed</w:t>
      </w:r>
      <w:proofErr w:type="gramEnd"/>
      <w:r>
        <w:rPr>
          <w:rFonts w:ascii="Arial" w:hAnsi="Arial" w:cs="Arial"/>
          <w:color w:val="222222"/>
          <w:shd w:val="clear" w:color="auto" w:fill="FFFFFF"/>
          <w:lang w:val="en-IN"/>
        </w:rPr>
        <w:t xml:space="preserve"> and </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Nulit</w:t>
      </w:r>
      <w:proofErr w:type="spellEnd"/>
      <w:r>
        <w:rPr>
          <w:rFonts w:ascii="Arial" w:hAnsi="Arial" w:cs="Arial"/>
          <w:color w:val="222222"/>
          <w:shd w:val="clear" w:color="auto" w:fill="FFFFFF"/>
          <w:lang w:val="en-IN"/>
        </w:rPr>
        <w:t>,</w:t>
      </w:r>
      <w:r>
        <w:rPr>
          <w:rFonts w:ascii="Arial" w:hAnsi="Arial" w:cs="Arial"/>
          <w:color w:val="222222"/>
          <w:shd w:val="clear" w:color="auto" w:fill="FFFFFF"/>
        </w:rPr>
        <w:t>2019).</w:t>
      </w:r>
    </w:p>
    <w:p w:rsidR="007F3A31" w:rsidRDefault="0066394B">
      <w:pPr>
        <w:spacing w:line="360" w:lineRule="auto"/>
        <w:ind w:firstLine="720"/>
        <w:jc w:val="both"/>
        <w:rPr>
          <w:rFonts w:ascii="Arial" w:hAnsi="Arial" w:cs="Arial"/>
        </w:rPr>
      </w:pPr>
      <w:r>
        <w:rPr>
          <w:rFonts w:ascii="Arial" w:hAnsi="Arial" w:cs="Arial"/>
        </w:rPr>
        <w:t>Salinity leads to reduced germination and seedling growth is often the r</w:t>
      </w:r>
      <w:r>
        <w:rPr>
          <w:rFonts w:ascii="Arial" w:hAnsi="Arial" w:cs="Arial"/>
        </w:rPr>
        <w:t>esult of increased concentrations of salt in the root zone due to the upward rise of the soil solution and resulting evaporation on the soil surface but the magnitude of reduction is genotypes dependent (Hakim et al., 2014</w:t>
      </w:r>
      <w:r>
        <w:rPr>
          <w:rFonts w:ascii="Arial" w:hAnsi="Arial" w:cs="Arial"/>
          <w:lang w:val="en-IN"/>
        </w:rPr>
        <w:t>).</w:t>
      </w:r>
      <w:r>
        <w:rPr>
          <w:rFonts w:ascii="Arial" w:hAnsi="Arial" w:cs="Arial"/>
        </w:rPr>
        <w:t xml:space="preserve"> α-amylase plays an integral par</w:t>
      </w:r>
      <w:r>
        <w:rPr>
          <w:rFonts w:ascii="Arial" w:hAnsi="Arial" w:cs="Arial"/>
        </w:rPr>
        <w:t>t in the hydrolyzation of the endosperm starches into metabolic sugars during cereal seed germination, which provides energy to the developing seedling. Under salinity stress, enzyme activity declines due to the downregulation of alpha-amylase gene express</w:t>
      </w:r>
      <w:r>
        <w:rPr>
          <w:rFonts w:ascii="Arial" w:hAnsi="Arial" w:cs="Arial"/>
        </w:rPr>
        <w:t>ion. (Liu et al., 2018). However, Seeds can be primed to increase their resistance against NaCl stress using a range of chemical compounds and plant growth regulators which provide physiological conditions to mount a more rapid resistance response upon exp</w:t>
      </w:r>
      <w:r>
        <w:rPr>
          <w:rFonts w:ascii="Arial" w:hAnsi="Arial" w:cs="Arial"/>
        </w:rPr>
        <w:t>osure to stress. Priming confers long-lasting low-cost cost and long-lasting effectiveness to plant and environment-friendly (</w:t>
      </w:r>
      <w:proofErr w:type="spellStart"/>
      <w:r>
        <w:rPr>
          <w:rFonts w:ascii="Arial" w:hAnsi="Arial" w:cs="Arial"/>
        </w:rPr>
        <w:t>Savvides</w:t>
      </w:r>
      <w:proofErr w:type="spellEnd"/>
      <w:r>
        <w:rPr>
          <w:rFonts w:ascii="Arial" w:hAnsi="Arial" w:cs="Arial"/>
        </w:rPr>
        <w:t xml:space="preserve"> et al., 2016).</w:t>
      </w:r>
    </w:p>
    <w:p w:rsidR="007F3A31" w:rsidRDefault="0066394B">
      <w:pPr>
        <w:spacing w:line="360" w:lineRule="auto"/>
        <w:ind w:firstLine="720"/>
        <w:jc w:val="both"/>
        <w:rPr>
          <w:rFonts w:ascii="Arial" w:hAnsi="Arial" w:cs="Arial"/>
        </w:rPr>
      </w:pPr>
      <w:r>
        <w:rPr>
          <w:rFonts w:ascii="Arial" w:hAnsi="Arial" w:cs="Arial"/>
        </w:rPr>
        <w:t xml:space="preserve">Among all the priming compounds, Gibberellic acid plays an important role in the adaptive response of the </w:t>
      </w:r>
      <w:r>
        <w:rPr>
          <w:rFonts w:ascii="Arial" w:hAnsi="Arial" w:cs="Arial"/>
        </w:rPr>
        <w:t xml:space="preserve">plant to various abiotic stresses. During germination, the endosperm is </w:t>
      </w:r>
      <w:proofErr w:type="spellStart"/>
      <w:r>
        <w:rPr>
          <w:rFonts w:ascii="Arial" w:hAnsi="Arial" w:cs="Arial"/>
        </w:rPr>
        <w:t>mobil</w:t>
      </w:r>
      <w:r>
        <w:rPr>
          <w:rFonts w:ascii="Arial" w:hAnsi="Arial" w:cs="Arial"/>
          <w:lang w:val="en-IN"/>
        </w:rPr>
        <w:t>ized</w:t>
      </w:r>
      <w:proofErr w:type="spellEnd"/>
      <w:r>
        <w:rPr>
          <w:rFonts w:ascii="Arial" w:hAnsi="Arial" w:cs="Arial"/>
          <w:lang w:val="en-IN"/>
        </w:rPr>
        <w:t xml:space="preserve"> </w:t>
      </w:r>
      <w:r>
        <w:rPr>
          <w:rFonts w:ascii="Arial" w:hAnsi="Arial" w:cs="Arial"/>
        </w:rPr>
        <w:t>to provide the energy to developing seedlings. Bioactive GA</w:t>
      </w:r>
      <w:r>
        <w:rPr>
          <w:rFonts w:ascii="Arial" w:hAnsi="Arial" w:cs="Arial"/>
          <w:vertAlign w:val="subscript"/>
        </w:rPr>
        <w:t>3</w:t>
      </w:r>
      <w:r>
        <w:rPr>
          <w:rFonts w:ascii="Arial" w:hAnsi="Arial" w:cs="Arial"/>
        </w:rPr>
        <w:t xml:space="preserve"> is also </w:t>
      </w:r>
      <w:proofErr w:type="spellStart"/>
      <w:r>
        <w:rPr>
          <w:rFonts w:ascii="Arial" w:hAnsi="Arial" w:cs="Arial"/>
        </w:rPr>
        <w:t>synthesised</w:t>
      </w:r>
      <w:proofErr w:type="spellEnd"/>
      <w:r>
        <w:rPr>
          <w:rFonts w:ascii="Arial" w:hAnsi="Arial" w:cs="Arial"/>
        </w:rPr>
        <w:t xml:space="preserve"> in the embryo during seed germination and moved to the aleurone layer to induce alpha-amylase</w:t>
      </w:r>
      <w:r>
        <w:rPr>
          <w:rFonts w:ascii="Arial" w:hAnsi="Arial" w:cs="Arial"/>
        </w:rPr>
        <w:t xml:space="preserve"> gene expression for starch hydrolysis in the endosperm. Under salinity, inhibited germination and growth could be induced by decreased GA</w:t>
      </w:r>
      <w:r>
        <w:rPr>
          <w:rFonts w:ascii="Arial" w:hAnsi="Arial" w:cs="Arial"/>
          <w:vertAlign w:val="subscript"/>
        </w:rPr>
        <w:t xml:space="preserve">3 </w:t>
      </w:r>
      <w:r>
        <w:rPr>
          <w:rFonts w:ascii="Arial" w:hAnsi="Arial" w:cs="Arial"/>
        </w:rPr>
        <w:t>content. It seems that the exogenous application of GA</w:t>
      </w:r>
      <w:r>
        <w:rPr>
          <w:rFonts w:ascii="Arial" w:hAnsi="Arial" w:cs="Arial"/>
          <w:vertAlign w:val="subscript"/>
        </w:rPr>
        <w:t>3</w:t>
      </w:r>
      <w:r>
        <w:rPr>
          <w:rFonts w:ascii="Arial" w:hAnsi="Arial" w:cs="Arial"/>
        </w:rPr>
        <w:t xml:space="preserve"> rescued this decline (Liu et al., 2018). This study aims to evaluate salt tolerance through germination and seedling characterizations among rice genotypes under </w:t>
      </w:r>
      <w:r>
        <w:rPr>
          <w:rFonts w:ascii="Arial" w:hAnsi="Arial" w:cs="Arial"/>
          <w:lang w:val="en-IN"/>
        </w:rPr>
        <w:t xml:space="preserve">20 and </w:t>
      </w:r>
      <w:r>
        <w:rPr>
          <w:rFonts w:ascii="Arial" w:hAnsi="Arial" w:cs="Arial"/>
        </w:rPr>
        <w:t>30µM GA</w:t>
      </w:r>
      <w:r>
        <w:rPr>
          <w:rFonts w:ascii="Arial" w:hAnsi="Arial" w:cs="Arial"/>
          <w:vertAlign w:val="subscript"/>
        </w:rPr>
        <w:t xml:space="preserve">3 </w:t>
      </w:r>
      <w:r>
        <w:rPr>
          <w:rFonts w:ascii="Arial" w:hAnsi="Arial" w:cs="Arial"/>
        </w:rPr>
        <w:t>concentration.</w:t>
      </w:r>
    </w:p>
    <w:p w:rsidR="007F3A31" w:rsidRDefault="007F3A31">
      <w:pPr>
        <w:spacing w:line="360" w:lineRule="auto"/>
        <w:ind w:firstLine="720"/>
        <w:jc w:val="both"/>
        <w:rPr>
          <w:rFonts w:ascii="Arial" w:hAnsi="Arial" w:cs="Arial"/>
        </w:rPr>
      </w:pPr>
    </w:p>
    <w:p w:rsidR="007F3A31" w:rsidRDefault="0066394B">
      <w:pPr>
        <w:pStyle w:val="AbstHead"/>
        <w:spacing w:after="0" w:line="360" w:lineRule="auto"/>
        <w:jc w:val="both"/>
        <w:rPr>
          <w:rFonts w:ascii="Arial" w:hAnsi="Arial" w:cs="Arial"/>
        </w:rPr>
      </w:pPr>
      <w:r>
        <w:rPr>
          <w:rFonts w:ascii="Arial" w:hAnsi="Arial" w:cs="Arial"/>
        </w:rPr>
        <w:lastRenderedPageBreak/>
        <w:t xml:space="preserve">2. material and methods </w:t>
      </w:r>
    </w:p>
    <w:p w:rsidR="007F3A31" w:rsidRDefault="0066394B">
      <w:pPr>
        <w:spacing w:line="360" w:lineRule="auto"/>
        <w:ind w:firstLine="720"/>
        <w:jc w:val="both"/>
        <w:rPr>
          <w:rFonts w:ascii="Arial" w:hAnsi="Arial" w:cs="Arial"/>
        </w:rPr>
      </w:pPr>
      <w:r>
        <w:rPr>
          <w:rFonts w:ascii="Arial" w:hAnsi="Arial" w:cs="Arial"/>
        </w:rPr>
        <w:t>The seeds of rice genotypes i.e., Pa</w:t>
      </w:r>
      <w:r>
        <w:rPr>
          <w:rFonts w:ascii="Arial" w:hAnsi="Arial" w:cs="Arial"/>
        </w:rPr>
        <w:t xml:space="preserve">nt Basmati1, Pant Basmati2 and Pant Sugandh21 were obtained from Govind </w:t>
      </w:r>
      <w:proofErr w:type="spellStart"/>
      <w:r>
        <w:rPr>
          <w:rFonts w:ascii="Arial" w:hAnsi="Arial" w:cs="Arial"/>
        </w:rPr>
        <w:t>Ballabh</w:t>
      </w:r>
      <w:proofErr w:type="spellEnd"/>
      <w:r>
        <w:rPr>
          <w:rFonts w:ascii="Arial" w:hAnsi="Arial" w:cs="Arial"/>
        </w:rPr>
        <w:t xml:space="preserve"> Pant University of Agriculture and Technology, </w:t>
      </w:r>
      <w:proofErr w:type="spellStart"/>
      <w:r>
        <w:rPr>
          <w:rFonts w:ascii="Arial" w:hAnsi="Arial" w:cs="Arial"/>
        </w:rPr>
        <w:t>Pantnagar</w:t>
      </w:r>
      <w:proofErr w:type="spellEnd"/>
      <w:r>
        <w:rPr>
          <w:rFonts w:ascii="Arial" w:hAnsi="Arial" w:cs="Arial"/>
        </w:rPr>
        <w:t xml:space="preserve"> (Uttarakhand) however CSR36 from Central Soil Salinity Research Institute (CSSRI), Karnal, Haryana.</w:t>
      </w:r>
    </w:p>
    <w:p w:rsidR="007F3A31" w:rsidRDefault="0066394B">
      <w:pPr>
        <w:spacing w:line="360" w:lineRule="auto"/>
        <w:ind w:firstLine="720"/>
        <w:jc w:val="both"/>
        <w:rPr>
          <w:rFonts w:ascii="Arial" w:hAnsi="Arial" w:cs="Arial"/>
        </w:rPr>
      </w:pPr>
      <w:r>
        <w:rPr>
          <w:rFonts w:ascii="Arial" w:hAnsi="Arial" w:cs="Arial"/>
        </w:rPr>
        <w:t xml:space="preserve">The experiment was </w:t>
      </w:r>
      <w:r>
        <w:rPr>
          <w:rFonts w:ascii="Arial" w:hAnsi="Arial" w:cs="Arial"/>
        </w:rPr>
        <w:t>performed with three variables as rice genotypes (Pant Basmati1, Pant Basmati 2, Pant Sugandh 21 and CSR 36), salinity (50, 100 and 150 NaCl) and 20 and 30μM of GA</w:t>
      </w:r>
      <w:r>
        <w:rPr>
          <w:rFonts w:ascii="Arial" w:hAnsi="Arial" w:cs="Arial"/>
          <w:vertAlign w:val="subscript"/>
        </w:rPr>
        <w:t>3</w:t>
      </w:r>
      <w:r>
        <w:rPr>
          <w:rFonts w:ascii="Arial" w:hAnsi="Arial" w:cs="Arial"/>
        </w:rPr>
        <w:t xml:space="preserve"> in Petri plate lined by moist germination paper. The seeds were disinfected with 1 % sodium</w:t>
      </w:r>
      <w:r>
        <w:rPr>
          <w:rFonts w:ascii="Arial" w:hAnsi="Arial" w:cs="Arial"/>
        </w:rPr>
        <w:t xml:space="preserve"> hypochlorite solution followed by several washings with pure water and pre-soaked in 30μM GA</w:t>
      </w:r>
      <w:r>
        <w:rPr>
          <w:rFonts w:ascii="Arial" w:hAnsi="Arial" w:cs="Arial"/>
          <w:vertAlign w:val="subscript"/>
        </w:rPr>
        <w:t xml:space="preserve">3 </w:t>
      </w:r>
      <w:r>
        <w:rPr>
          <w:rFonts w:ascii="Arial" w:hAnsi="Arial" w:cs="Arial"/>
        </w:rPr>
        <w:t>solution for 24 hours. In each treatment, 10 seeds for each genotype were allowed to germinate with a solution of 5 ml of varying concentrations of NaCl</w:t>
      </w:r>
    </w:p>
    <w:p w:rsidR="007F3A31" w:rsidRDefault="0066394B">
      <w:pPr>
        <w:spacing w:line="360" w:lineRule="auto"/>
        <w:jc w:val="both"/>
        <w:rPr>
          <w:rFonts w:ascii="Arial" w:hAnsi="Arial" w:cs="Arial"/>
          <w:b/>
          <w:bCs/>
          <w:sz w:val="22"/>
          <w:szCs w:val="22"/>
        </w:rPr>
      </w:pPr>
      <w:r>
        <w:rPr>
          <w:rFonts w:ascii="Arial" w:hAnsi="Arial" w:cs="Arial"/>
          <w:b/>
          <w:bCs/>
          <w:sz w:val="22"/>
          <w:szCs w:val="22"/>
          <w:lang w:val="en-IN"/>
        </w:rPr>
        <w:t xml:space="preserve">2.1 </w:t>
      </w:r>
      <w:r>
        <w:rPr>
          <w:rFonts w:ascii="Arial" w:hAnsi="Arial" w:cs="Arial"/>
          <w:b/>
          <w:bCs/>
          <w:sz w:val="22"/>
          <w:szCs w:val="22"/>
        </w:rPr>
        <w:t>Germ</w:t>
      </w:r>
      <w:r>
        <w:rPr>
          <w:rFonts w:ascii="Arial" w:hAnsi="Arial" w:cs="Arial"/>
          <w:b/>
          <w:bCs/>
          <w:sz w:val="22"/>
          <w:szCs w:val="22"/>
        </w:rPr>
        <w:t>ination and Seedling Growth:</w:t>
      </w:r>
    </w:p>
    <w:p w:rsidR="007F3A31" w:rsidRDefault="0066394B">
      <w:pPr>
        <w:spacing w:line="360" w:lineRule="auto"/>
        <w:ind w:firstLine="720"/>
        <w:jc w:val="both"/>
        <w:rPr>
          <w:rFonts w:ascii="Arial" w:hAnsi="Arial" w:cs="Arial"/>
        </w:rPr>
      </w:pPr>
      <w:r>
        <w:rPr>
          <w:rFonts w:ascii="Arial" w:hAnsi="Arial" w:cs="Arial"/>
        </w:rPr>
        <w:t>Final germination percentage: The final germination percentage (FGP) was recorded on the 11th day by using the following equation provided by Ellis and Robert, 1981.</w:t>
      </w:r>
    </w:p>
    <w:p w:rsidR="007F3A31" w:rsidRDefault="0066394B">
      <w:pPr>
        <w:spacing w:line="360" w:lineRule="auto"/>
        <w:jc w:val="both"/>
        <w:rPr>
          <w:rFonts w:ascii="Arial" w:hAnsi="Arial" w:cs="Arial"/>
        </w:rPr>
      </w:pPr>
      <w:r>
        <w:rPr>
          <w:rFonts w:ascii="Arial" w:hAnsi="Arial" w:cs="Arial"/>
        </w:rPr>
        <w:t>Final germination percentage (%) = (</w:t>
      </w:r>
      <w:proofErr w:type="spellStart"/>
      <w:proofErr w:type="gramStart"/>
      <w:r>
        <w:rPr>
          <w:rFonts w:ascii="Arial" w:hAnsi="Arial" w:cs="Arial"/>
        </w:rPr>
        <w:t>No.of</w:t>
      </w:r>
      <w:proofErr w:type="spellEnd"/>
      <w:proofErr w:type="gramEnd"/>
      <w:r>
        <w:rPr>
          <w:rFonts w:ascii="Arial" w:hAnsi="Arial" w:cs="Arial"/>
        </w:rPr>
        <w:t xml:space="preserve"> germinated seeds)/(</w:t>
      </w:r>
      <w:r>
        <w:rPr>
          <w:rFonts w:ascii="Arial" w:hAnsi="Arial" w:cs="Arial"/>
        </w:rPr>
        <w:t xml:space="preserve">Total </w:t>
      </w:r>
      <w:proofErr w:type="spellStart"/>
      <w:r>
        <w:rPr>
          <w:rFonts w:ascii="Arial" w:hAnsi="Arial" w:cs="Arial"/>
        </w:rPr>
        <w:t>no.of</w:t>
      </w:r>
      <w:proofErr w:type="spellEnd"/>
      <w:r>
        <w:rPr>
          <w:rFonts w:ascii="Arial" w:hAnsi="Arial" w:cs="Arial"/>
        </w:rPr>
        <w:t xml:space="preserve"> seeds taken) ×100</w:t>
      </w:r>
    </w:p>
    <w:p w:rsidR="007F3A31" w:rsidRDefault="0066394B">
      <w:pPr>
        <w:spacing w:line="360" w:lineRule="auto"/>
        <w:jc w:val="both"/>
        <w:rPr>
          <w:rFonts w:ascii="Arial" w:hAnsi="Arial" w:cs="Arial"/>
          <w:b/>
          <w:bCs/>
          <w:sz w:val="22"/>
          <w:szCs w:val="22"/>
        </w:rPr>
      </w:pPr>
      <w:r>
        <w:rPr>
          <w:rFonts w:ascii="Arial" w:hAnsi="Arial" w:cs="Arial"/>
          <w:b/>
          <w:bCs/>
          <w:sz w:val="22"/>
          <w:szCs w:val="22"/>
          <w:lang w:val="en-IN"/>
        </w:rPr>
        <w:t xml:space="preserve">2.2 </w:t>
      </w:r>
      <w:r>
        <w:rPr>
          <w:rFonts w:ascii="Arial" w:hAnsi="Arial" w:cs="Arial"/>
          <w:b/>
          <w:bCs/>
          <w:sz w:val="22"/>
          <w:szCs w:val="22"/>
        </w:rPr>
        <w:t>Root and shoot length (cm)</w:t>
      </w:r>
    </w:p>
    <w:p w:rsidR="007F3A31" w:rsidRDefault="0066394B">
      <w:pPr>
        <w:spacing w:line="360" w:lineRule="auto"/>
        <w:ind w:firstLine="720"/>
        <w:jc w:val="both"/>
        <w:rPr>
          <w:rFonts w:ascii="Arial" w:hAnsi="Arial" w:cs="Arial"/>
        </w:rPr>
      </w:pPr>
      <w:r>
        <w:rPr>
          <w:rFonts w:ascii="Arial" w:hAnsi="Arial" w:cs="Arial"/>
        </w:rPr>
        <w:t xml:space="preserve"> At the 11th day seedlings were collected and the following observations were taken, Root and shoot length of the 5 seedlings were determined by using a scale at random from each replication.</w:t>
      </w:r>
    </w:p>
    <w:p w:rsidR="007F3A31" w:rsidRDefault="0066394B">
      <w:pPr>
        <w:spacing w:line="360" w:lineRule="auto"/>
        <w:jc w:val="both"/>
        <w:rPr>
          <w:rFonts w:ascii="Arial" w:hAnsi="Arial" w:cs="Arial"/>
          <w:b/>
          <w:bCs/>
          <w:sz w:val="22"/>
          <w:szCs w:val="22"/>
        </w:rPr>
      </w:pPr>
      <w:r>
        <w:rPr>
          <w:rFonts w:ascii="Arial" w:hAnsi="Arial" w:cs="Arial"/>
          <w:b/>
          <w:bCs/>
          <w:sz w:val="22"/>
          <w:szCs w:val="22"/>
          <w:lang w:val="en-IN"/>
        </w:rPr>
        <w:t>2.3</w:t>
      </w:r>
      <w:r>
        <w:rPr>
          <w:rFonts w:ascii="Arial" w:hAnsi="Arial" w:cs="Arial"/>
          <w:b/>
          <w:bCs/>
          <w:sz w:val="22"/>
          <w:szCs w:val="22"/>
          <w:lang w:val="en-IN"/>
        </w:rPr>
        <w:t xml:space="preserve"> </w:t>
      </w:r>
      <w:r>
        <w:rPr>
          <w:rFonts w:ascii="Arial" w:hAnsi="Arial" w:cs="Arial"/>
          <w:b/>
          <w:bCs/>
          <w:sz w:val="22"/>
          <w:szCs w:val="22"/>
        </w:rPr>
        <w:t>Dry weight of seedling (mg)</w:t>
      </w:r>
    </w:p>
    <w:p w:rsidR="007F3A31" w:rsidRDefault="0066394B">
      <w:pPr>
        <w:spacing w:line="360" w:lineRule="auto"/>
        <w:ind w:firstLine="720"/>
        <w:jc w:val="both"/>
        <w:rPr>
          <w:rFonts w:ascii="Arial" w:hAnsi="Arial" w:cs="Arial"/>
        </w:rPr>
      </w:pPr>
      <w:r>
        <w:rPr>
          <w:rFonts w:ascii="Arial" w:hAnsi="Arial" w:cs="Arial"/>
        </w:rPr>
        <w:t>Randomly collected 5 seedlings from each Petri plate were overdried at 80˚C for 24 hours and used for dry weight.</w:t>
      </w:r>
    </w:p>
    <w:p w:rsidR="007F3A31" w:rsidRDefault="0066394B">
      <w:pPr>
        <w:spacing w:line="360" w:lineRule="auto"/>
        <w:ind w:firstLineChars="150" w:firstLine="331"/>
        <w:jc w:val="both"/>
        <w:rPr>
          <w:rFonts w:ascii="Arial" w:hAnsi="Arial" w:cs="Arial"/>
        </w:rPr>
      </w:pPr>
      <w:r>
        <w:rPr>
          <w:rFonts w:ascii="Arial" w:hAnsi="Arial" w:cs="Arial"/>
          <w:b/>
          <w:bCs/>
          <w:sz w:val="22"/>
          <w:szCs w:val="22"/>
        </w:rPr>
        <w:t xml:space="preserve">Seedling </w:t>
      </w:r>
      <w:proofErr w:type="spellStart"/>
      <w:r>
        <w:rPr>
          <w:rFonts w:ascii="Arial" w:hAnsi="Arial" w:cs="Arial"/>
          <w:b/>
          <w:bCs/>
          <w:sz w:val="22"/>
          <w:szCs w:val="22"/>
        </w:rPr>
        <w:t>vigour</w:t>
      </w:r>
      <w:proofErr w:type="spellEnd"/>
      <w:r>
        <w:rPr>
          <w:rFonts w:ascii="Arial" w:hAnsi="Arial" w:cs="Arial"/>
          <w:b/>
          <w:bCs/>
          <w:sz w:val="22"/>
          <w:szCs w:val="22"/>
        </w:rPr>
        <w:t xml:space="preserve"> index</w:t>
      </w:r>
    </w:p>
    <w:p w:rsidR="007F3A31" w:rsidRDefault="0066394B">
      <w:pPr>
        <w:spacing w:line="360" w:lineRule="auto"/>
        <w:ind w:firstLine="720"/>
        <w:jc w:val="both"/>
        <w:rPr>
          <w:rFonts w:ascii="Arial" w:hAnsi="Arial" w:cs="Arial"/>
        </w:rPr>
      </w:pPr>
      <w:r>
        <w:rPr>
          <w:rFonts w:ascii="Arial" w:hAnsi="Arial" w:cs="Arial"/>
        </w:rPr>
        <w:t xml:space="preserve">Seedling </w:t>
      </w:r>
      <w:proofErr w:type="spellStart"/>
      <w:r>
        <w:rPr>
          <w:rFonts w:ascii="Arial" w:hAnsi="Arial" w:cs="Arial"/>
        </w:rPr>
        <w:t>vigour</w:t>
      </w:r>
      <w:proofErr w:type="spellEnd"/>
      <w:r>
        <w:rPr>
          <w:rFonts w:ascii="Arial" w:hAnsi="Arial" w:cs="Arial"/>
        </w:rPr>
        <w:t xml:space="preserve"> index (SVI) was calculated by following formula given by </w:t>
      </w:r>
      <w:proofErr w:type="spellStart"/>
      <w:r>
        <w:rPr>
          <w:rFonts w:ascii="Arial" w:hAnsi="Arial" w:cs="Arial"/>
        </w:rPr>
        <w:t>Abdulbaki</w:t>
      </w:r>
      <w:proofErr w:type="spellEnd"/>
      <w:r>
        <w:rPr>
          <w:rFonts w:ascii="Arial" w:hAnsi="Arial" w:cs="Arial"/>
        </w:rPr>
        <w:t xml:space="preserve"> and Ande</w:t>
      </w:r>
      <w:r>
        <w:rPr>
          <w:rFonts w:ascii="Arial" w:hAnsi="Arial" w:cs="Arial"/>
        </w:rPr>
        <w:t>rson, 1970.</w:t>
      </w:r>
    </w:p>
    <w:p w:rsidR="007F3A31" w:rsidRDefault="0066394B">
      <w:pPr>
        <w:spacing w:line="360" w:lineRule="auto"/>
        <w:jc w:val="both"/>
        <w:rPr>
          <w:rFonts w:ascii="Arial" w:hAnsi="Arial" w:cs="Arial"/>
          <w:b/>
          <w:bCs/>
        </w:rPr>
      </w:pPr>
      <w:r>
        <w:rPr>
          <w:rFonts w:ascii="Arial" w:hAnsi="Arial" w:cs="Arial"/>
          <w:b/>
          <w:bCs/>
          <w:lang w:val="en-IN"/>
        </w:rPr>
        <w:t>2.4</w:t>
      </w:r>
      <w:r>
        <w:rPr>
          <w:rFonts w:ascii="Arial" w:hAnsi="Arial" w:cs="Arial"/>
        </w:rPr>
        <w:t xml:space="preserve">   </w:t>
      </w:r>
      <w:r>
        <w:rPr>
          <w:rFonts w:ascii="Arial" w:hAnsi="Arial" w:cs="Arial"/>
          <w:b/>
          <w:bCs/>
        </w:rPr>
        <w:t>SVI= (Average shoot length+ Average root length) ×Germination percentage)</w:t>
      </w:r>
    </w:p>
    <w:p w:rsidR="007F3A31" w:rsidRDefault="0066394B">
      <w:pPr>
        <w:spacing w:line="360" w:lineRule="auto"/>
        <w:jc w:val="both"/>
        <w:rPr>
          <w:rFonts w:ascii="Arial" w:hAnsi="Arial" w:cs="Arial"/>
        </w:rPr>
      </w:pPr>
      <w:r>
        <w:rPr>
          <w:rFonts w:ascii="Arial" w:hAnsi="Arial" w:cs="Arial"/>
        </w:rPr>
        <w:t xml:space="preserve">Salt tolerance index: It is determined using the following formula given by </w:t>
      </w:r>
      <w:proofErr w:type="spellStart"/>
      <w:r>
        <w:rPr>
          <w:rFonts w:ascii="Arial" w:hAnsi="Arial" w:cs="Arial"/>
        </w:rPr>
        <w:t>Carpýcýet</w:t>
      </w:r>
      <w:proofErr w:type="spellEnd"/>
      <w:r>
        <w:rPr>
          <w:rFonts w:ascii="Arial" w:hAnsi="Arial" w:cs="Arial"/>
        </w:rPr>
        <w:t xml:space="preserve"> al., 2009 </w:t>
      </w:r>
    </w:p>
    <w:p w:rsidR="007F3A31" w:rsidRDefault="0066394B">
      <w:pPr>
        <w:spacing w:line="360" w:lineRule="auto"/>
        <w:jc w:val="both"/>
        <w:rPr>
          <w:rFonts w:ascii="Arial" w:hAnsi="Arial" w:cs="Arial"/>
        </w:rPr>
      </w:pPr>
      <w:r>
        <w:rPr>
          <w:rFonts w:ascii="Arial" w:hAnsi="Arial" w:cs="Arial"/>
        </w:rPr>
        <w:t>Salt tolerance index = (Total dry weight at salt concentration)</w:t>
      </w:r>
      <w:proofErr w:type="gramStart"/>
      <w:r>
        <w:rPr>
          <w:rFonts w:ascii="Arial" w:hAnsi="Arial" w:cs="Arial"/>
        </w:rPr>
        <w:t>/(</w:t>
      </w:r>
      <w:proofErr w:type="gramEnd"/>
      <w:r>
        <w:rPr>
          <w:rFonts w:ascii="Arial" w:hAnsi="Arial" w:cs="Arial"/>
        </w:rPr>
        <w:t>To</w:t>
      </w:r>
      <w:r>
        <w:rPr>
          <w:rFonts w:ascii="Arial" w:hAnsi="Arial" w:cs="Arial"/>
        </w:rPr>
        <w:t>tal dry weight at control) ×100</w:t>
      </w:r>
    </w:p>
    <w:p w:rsidR="007F3A31" w:rsidRDefault="0066394B">
      <w:pPr>
        <w:spacing w:line="360" w:lineRule="auto"/>
        <w:jc w:val="both"/>
        <w:rPr>
          <w:rFonts w:ascii="Times New Roman" w:hAnsi="Times New Roman"/>
          <w:b/>
          <w:bCs/>
          <w:sz w:val="24"/>
          <w:szCs w:val="24"/>
        </w:rPr>
      </w:pPr>
      <w:r>
        <w:rPr>
          <w:rFonts w:ascii="Arial" w:hAnsi="Arial" w:cs="Arial"/>
          <w:b/>
          <w:bCs/>
          <w:lang w:val="en-IN"/>
        </w:rPr>
        <w:t xml:space="preserve">2.5 </w:t>
      </w:r>
      <w:r>
        <w:rPr>
          <w:rFonts w:ascii="Times New Roman" w:hAnsi="Times New Roman"/>
          <w:b/>
          <w:bCs/>
          <w:sz w:val="24"/>
          <w:szCs w:val="24"/>
        </w:rPr>
        <w:t>Alpha amylase activity</w:t>
      </w:r>
    </w:p>
    <w:p w:rsidR="007F3A31" w:rsidRDefault="0066394B">
      <w:pPr>
        <w:tabs>
          <w:tab w:val="left" w:pos="4373"/>
        </w:tabs>
        <w:spacing w:line="360" w:lineRule="auto"/>
        <w:jc w:val="both"/>
        <w:rPr>
          <w:rFonts w:ascii="Arial" w:hAnsi="Arial" w:cs="Arial"/>
        </w:rPr>
      </w:pPr>
      <w:r>
        <w:rPr>
          <w:rFonts w:ascii="Times New Roman" w:hAnsi="Times New Roman"/>
          <w:sz w:val="24"/>
          <w:szCs w:val="24"/>
        </w:rPr>
        <w:t>One unit of amylase activity was defined as the amount required for liberating 1mg of maltose in 1min at 37˚C.Amylase activity was estimated by Jayaraman</w:t>
      </w:r>
      <w:r>
        <w:rPr>
          <w:rFonts w:ascii="Times New Roman" w:hAnsi="Times New Roman"/>
          <w:b/>
          <w:bCs/>
          <w:sz w:val="24"/>
          <w:szCs w:val="24"/>
        </w:rPr>
        <w:t>, (1981</w:t>
      </w:r>
      <w:r>
        <w:rPr>
          <w:rFonts w:ascii="Times New Roman" w:hAnsi="Times New Roman"/>
          <w:sz w:val="24"/>
          <w:szCs w:val="24"/>
        </w:rPr>
        <w:t>) method.</w:t>
      </w:r>
    </w:p>
    <w:p w:rsidR="007F3A31" w:rsidRDefault="0066394B">
      <w:pPr>
        <w:spacing w:line="360" w:lineRule="auto"/>
        <w:jc w:val="both"/>
        <w:rPr>
          <w:rFonts w:ascii="Arial" w:hAnsi="Arial" w:cs="Arial"/>
          <w:b/>
          <w:bCs/>
          <w:sz w:val="22"/>
          <w:szCs w:val="22"/>
        </w:rPr>
      </w:pPr>
      <w:r>
        <w:rPr>
          <w:rFonts w:ascii="Arial" w:hAnsi="Arial" w:cs="Arial"/>
          <w:b/>
          <w:bCs/>
          <w:sz w:val="22"/>
          <w:szCs w:val="22"/>
          <w:lang w:val="en-IN"/>
        </w:rPr>
        <w:t>2.</w:t>
      </w:r>
      <w:r>
        <w:rPr>
          <w:rFonts w:ascii="Arial" w:hAnsi="Arial" w:cs="Arial"/>
          <w:b/>
          <w:bCs/>
          <w:sz w:val="22"/>
          <w:szCs w:val="22"/>
          <w:lang w:val="en-IN"/>
        </w:rPr>
        <w:t>6</w:t>
      </w:r>
      <w:r>
        <w:rPr>
          <w:rFonts w:ascii="Arial" w:hAnsi="Arial" w:cs="Arial"/>
          <w:b/>
          <w:bCs/>
          <w:sz w:val="22"/>
          <w:szCs w:val="22"/>
          <w:lang w:val="en-IN"/>
        </w:rPr>
        <w:t xml:space="preserve"> </w:t>
      </w:r>
      <w:r>
        <w:rPr>
          <w:rFonts w:ascii="Arial" w:hAnsi="Arial" w:cs="Arial"/>
          <w:b/>
          <w:bCs/>
          <w:sz w:val="22"/>
          <w:szCs w:val="22"/>
        </w:rPr>
        <w:t>Data analysis</w:t>
      </w:r>
    </w:p>
    <w:p w:rsidR="007F3A31" w:rsidRDefault="0066394B">
      <w:pPr>
        <w:spacing w:line="360" w:lineRule="auto"/>
        <w:jc w:val="both"/>
        <w:rPr>
          <w:rFonts w:ascii="Arial" w:hAnsi="Arial" w:cs="Arial"/>
        </w:rPr>
      </w:pPr>
      <w:r>
        <w:rPr>
          <w:rFonts w:ascii="Arial" w:hAnsi="Arial" w:cs="Arial"/>
        </w:rPr>
        <w:t xml:space="preserve"> Analysis of variance was </w:t>
      </w:r>
      <w:proofErr w:type="spellStart"/>
      <w:r>
        <w:rPr>
          <w:rFonts w:ascii="Arial" w:hAnsi="Arial" w:cs="Arial"/>
          <w:lang w:val="en-IN"/>
        </w:rPr>
        <w:t>analy</w:t>
      </w:r>
      <w:r>
        <w:rPr>
          <w:rFonts w:ascii="Arial" w:hAnsi="Arial" w:cs="Arial"/>
          <w:lang w:val="en-IN"/>
        </w:rPr>
        <w:t>zed</w:t>
      </w:r>
      <w:proofErr w:type="spellEnd"/>
      <w:r>
        <w:rPr>
          <w:rFonts w:ascii="Arial" w:hAnsi="Arial" w:cs="Arial"/>
        </w:rPr>
        <w:t xml:space="preserve"> by using SPSS software (SPSS for WINDOW, Standard version 26.0), Mean values of all parameters including germination percentage, shoot and root length, dry weight, seedling </w:t>
      </w:r>
      <w:proofErr w:type="spellStart"/>
      <w:r>
        <w:rPr>
          <w:rFonts w:ascii="Arial" w:hAnsi="Arial" w:cs="Arial"/>
        </w:rPr>
        <w:t>vigour</w:t>
      </w:r>
      <w:proofErr w:type="spellEnd"/>
      <w:r>
        <w:rPr>
          <w:rFonts w:ascii="Arial" w:hAnsi="Arial" w:cs="Arial"/>
        </w:rPr>
        <w:t xml:space="preserve"> index and salt tolerance index were compa</w:t>
      </w:r>
      <w:r>
        <w:rPr>
          <w:rFonts w:ascii="Arial" w:hAnsi="Arial" w:cs="Arial"/>
        </w:rPr>
        <w:t>red by Duncan’s test.</w:t>
      </w:r>
    </w:p>
    <w:p w:rsidR="007F3A31" w:rsidRDefault="0066394B">
      <w:pPr>
        <w:spacing w:line="360" w:lineRule="auto"/>
        <w:jc w:val="both"/>
        <w:rPr>
          <w:rFonts w:ascii="Arial" w:hAnsi="Arial" w:cs="Arial"/>
        </w:rPr>
      </w:pPr>
      <w:r>
        <w:rPr>
          <w:rFonts w:ascii="Arial" w:hAnsi="Arial" w:cs="Arial"/>
        </w:rPr>
        <w:t xml:space="preserve">. </w:t>
      </w:r>
    </w:p>
    <w:p w:rsidR="007F3A31" w:rsidRDefault="0066394B">
      <w:pPr>
        <w:pStyle w:val="Head1"/>
        <w:spacing w:after="0" w:line="360" w:lineRule="auto"/>
        <w:jc w:val="both"/>
        <w:rPr>
          <w:rFonts w:ascii="Arial" w:hAnsi="Arial" w:cs="Arial"/>
          <w:szCs w:val="22"/>
        </w:rPr>
      </w:pPr>
      <w:proofErr w:type="gramStart"/>
      <w:r>
        <w:rPr>
          <w:rFonts w:ascii="Arial" w:hAnsi="Arial" w:cs="Arial"/>
          <w:lang w:val="en-IN"/>
        </w:rPr>
        <w:t xml:space="preserve">3 </w:t>
      </w:r>
      <w:r>
        <w:rPr>
          <w:rFonts w:ascii="Arial" w:hAnsi="Arial" w:cs="Arial"/>
        </w:rPr>
        <w:t xml:space="preserve"> </w:t>
      </w:r>
      <w:r>
        <w:rPr>
          <w:rFonts w:ascii="Arial" w:hAnsi="Arial" w:cs="Arial"/>
          <w:szCs w:val="22"/>
        </w:rPr>
        <w:t>results</w:t>
      </w:r>
      <w:proofErr w:type="gramEnd"/>
      <w:r>
        <w:rPr>
          <w:rFonts w:ascii="Arial" w:hAnsi="Arial" w:cs="Arial"/>
          <w:szCs w:val="22"/>
        </w:rPr>
        <w:t xml:space="preserve"> and discussion</w:t>
      </w:r>
    </w:p>
    <w:p w:rsidR="007F3A31" w:rsidRDefault="0066394B">
      <w:pPr>
        <w:spacing w:line="360" w:lineRule="auto"/>
        <w:jc w:val="both"/>
        <w:rPr>
          <w:rFonts w:ascii="Arial" w:hAnsi="Arial" w:cs="Arial"/>
          <w:b/>
          <w:bCs/>
          <w:sz w:val="22"/>
          <w:szCs w:val="22"/>
        </w:rPr>
      </w:pPr>
      <w:r>
        <w:rPr>
          <w:rFonts w:ascii="Arial" w:hAnsi="Arial" w:cs="Arial"/>
          <w:b/>
          <w:bCs/>
          <w:sz w:val="22"/>
          <w:szCs w:val="22"/>
          <w:lang w:val="en-IN"/>
        </w:rPr>
        <w:t xml:space="preserve">3.1 </w:t>
      </w:r>
      <w:r>
        <w:rPr>
          <w:rFonts w:ascii="Arial" w:hAnsi="Arial" w:cs="Arial"/>
          <w:b/>
          <w:bCs/>
          <w:sz w:val="22"/>
          <w:szCs w:val="22"/>
        </w:rPr>
        <w:t>Germination percentage</w:t>
      </w:r>
    </w:p>
    <w:p w:rsidR="007F3A31" w:rsidRDefault="0066394B">
      <w:pPr>
        <w:spacing w:line="360" w:lineRule="auto"/>
        <w:ind w:firstLine="720"/>
        <w:jc w:val="both"/>
        <w:rPr>
          <w:rFonts w:ascii="Arial" w:hAnsi="Arial" w:cs="Arial"/>
        </w:rPr>
      </w:pPr>
      <w:r>
        <w:rPr>
          <w:rFonts w:ascii="Arial" w:hAnsi="Arial" w:cs="Arial"/>
        </w:rPr>
        <w:t xml:space="preserve">The results showed that seed germination in all the rice genotypes decreased with increasing salinity from 50mM to 150mM NaCl (Figure 1). However, at lower salinity (50mM NaCl), </w:t>
      </w:r>
      <w:r>
        <w:rPr>
          <w:rFonts w:ascii="Arial" w:hAnsi="Arial" w:cs="Arial"/>
        </w:rPr>
        <w:t>it was least affected for all the genotypes. In salt tolerant genotype i.e., CSR36, higher germination (90%) was recorded while Pant Basmati 1 showed minimum (73%) germination. As the salinity level increases up to 100mM NaCl germination was reduced by 40%</w:t>
      </w:r>
      <w:r>
        <w:rPr>
          <w:rFonts w:ascii="Arial" w:hAnsi="Arial" w:cs="Arial"/>
        </w:rPr>
        <w:t xml:space="preserve"> in all genotypes except CSR36(less than 30%), While Pant Basmati1(16%) showed the lowest germination followed by Sugandh 21</w:t>
      </w:r>
      <w:r>
        <w:rPr>
          <w:rFonts w:ascii="Arial" w:hAnsi="Arial" w:cs="Arial"/>
          <w:lang w:val="en-IN"/>
        </w:rPr>
        <w:t xml:space="preserve"> </w:t>
      </w:r>
      <w:r>
        <w:rPr>
          <w:rFonts w:ascii="Arial" w:hAnsi="Arial" w:cs="Arial"/>
        </w:rPr>
        <w:t xml:space="preserve">(20%) respectively. </w:t>
      </w:r>
      <w:r>
        <w:rPr>
          <w:rFonts w:ascii="Arial" w:hAnsi="Arial" w:cs="Arial"/>
        </w:rPr>
        <w:lastRenderedPageBreak/>
        <w:t>Germination was completely inhibited for all the genotypes at high salinity (150mM NaCl) except CSR36(43.3%). A</w:t>
      </w:r>
      <w:r>
        <w:rPr>
          <w:rFonts w:ascii="Arial" w:hAnsi="Arial" w:cs="Arial"/>
        </w:rPr>
        <w:t>mong all the salinity levels, CSR36 showed less reduction in germination as compared to the others.</w:t>
      </w:r>
    </w:p>
    <w:p w:rsidR="007F3A31" w:rsidRDefault="0066394B">
      <w:pPr>
        <w:spacing w:line="360" w:lineRule="auto"/>
        <w:ind w:firstLine="720"/>
        <w:jc w:val="both"/>
        <w:rPr>
          <w:rFonts w:ascii="Arial" w:hAnsi="Arial" w:cs="Arial"/>
        </w:rPr>
      </w:pPr>
      <w:r>
        <w:rPr>
          <w:rFonts w:ascii="Arial" w:hAnsi="Arial" w:cs="Arial"/>
        </w:rPr>
        <w:t xml:space="preserve">On the other </w:t>
      </w:r>
      <w:proofErr w:type="spellStart"/>
      <w:proofErr w:type="gramStart"/>
      <w:r>
        <w:rPr>
          <w:rFonts w:ascii="Arial" w:hAnsi="Arial" w:cs="Arial"/>
        </w:rPr>
        <w:t>hand,both</w:t>
      </w:r>
      <w:proofErr w:type="spellEnd"/>
      <w:proofErr w:type="gramEnd"/>
      <w:r>
        <w:rPr>
          <w:rFonts w:ascii="Arial" w:hAnsi="Arial" w:cs="Arial"/>
        </w:rPr>
        <w:t xml:space="preserve"> the concentrations (20 and 30µM) of GA</w:t>
      </w:r>
      <w:r>
        <w:rPr>
          <w:rFonts w:ascii="Arial" w:hAnsi="Arial" w:cs="Arial"/>
          <w:vertAlign w:val="subscript"/>
        </w:rPr>
        <w:t xml:space="preserve">3 </w:t>
      </w:r>
      <w:r>
        <w:rPr>
          <w:rFonts w:ascii="Arial" w:hAnsi="Arial" w:cs="Arial"/>
        </w:rPr>
        <w:t>showed improvement in germination in all the genotypes at higher salinity levels of 100 &amp; 150</w:t>
      </w:r>
      <w:r>
        <w:rPr>
          <w:rFonts w:ascii="Arial" w:hAnsi="Arial" w:cs="Arial"/>
        </w:rPr>
        <w:t xml:space="preserve"> NaCl. At lower salinity (50mM NaCl), above 80% germination was achieved in all the genotypes with both the concentrations of GA</w:t>
      </w:r>
      <w:r>
        <w:rPr>
          <w:rFonts w:ascii="Arial" w:hAnsi="Arial" w:cs="Arial"/>
          <w:vertAlign w:val="subscript"/>
        </w:rPr>
        <w:t>3</w:t>
      </w:r>
      <w:r>
        <w:rPr>
          <w:rFonts w:ascii="Arial" w:hAnsi="Arial" w:cs="Arial"/>
        </w:rPr>
        <w:t xml:space="preserve"> while maximum (100%) germination was recorded in CSR36 with 30µM GA</w:t>
      </w:r>
      <w:r>
        <w:rPr>
          <w:rFonts w:ascii="Arial" w:hAnsi="Arial" w:cs="Arial"/>
          <w:vertAlign w:val="subscript"/>
        </w:rPr>
        <w:t>3</w:t>
      </w:r>
      <w:r>
        <w:rPr>
          <w:rFonts w:ascii="Arial" w:hAnsi="Arial" w:cs="Arial"/>
        </w:rPr>
        <w:t xml:space="preserve"> and above 90% germination was found in Pant Basmati1.Similarly at higher salinity (100 and 150 mM NaCl), an increase in germination was significant with both the conc. While maximum (above 40 and 30%) germination was found with 30µM GA</w:t>
      </w:r>
      <w:r>
        <w:rPr>
          <w:rFonts w:ascii="Arial" w:hAnsi="Arial" w:cs="Arial"/>
          <w:vertAlign w:val="subscript"/>
        </w:rPr>
        <w:t>3</w:t>
      </w:r>
      <w:r>
        <w:rPr>
          <w:rFonts w:ascii="Arial" w:hAnsi="Arial" w:cs="Arial"/>
        </w:rPr>
        <w:t xml:space="preserve"> at 100 and 150mM N</w:t>
      </w:r>
      <w:r>
        <w:rPr>
          <w:rFonts w:ascii="Arial" w:hAnsi="Arial" w:cs="Arial"/>
        </w:rPr>
        <w:t xml:space="preserve">aCl in all the genotypes. Among all the </w:t>
      </w:r>
      <w:proofErr w:type="gramStart"/>
      <w:r>
        <w:rPr>
          <w:rFonts w:ascii="Arial" w:hAnsi="Arial" w:cs="Arial"/>
        </w:rPr>
        <w:t>genotypes,CSR</w:t>
      </w:r>
      <w:proofErr w:type="gramEnd"/>
      <w:r>
        <w:rPr>
          <w:rFonts w:ascii="Arial" w:hAnsi="Arial" w:cs="Arial"/>
        </w:rPr>
        <w:t>36 showed superior germination under all the salinity levels (Figure 1).</w:t>
      </w:r>
    </w:p>
    <w:p w:rsidR="007F3A31" w:rsidRDefault="007F3A31">
      <w:pPr>
        <w:spacing w:line="360" w:lineRule="auto"/>
        <w:jc w:val="both"/>
        <w:rPr>
          <w:rFonts w:ascii="Arial" w:hAnsi="Arial" w:cs="Arial"/>
          <w:b/>
          <w:bCs/>
        </w:rPr>
      </w:pPr>
    </w:p>
    <w:p w:rsidR="007F3A31" w:rsidRDefault="0066394B">
      <w:pPr>
        <w:spacing w:line="360" w:lineRule="auto"/>
        <w:jc w:val="both"/>
        <w:rPr>
          <w:rFonts w:ascii="Arial" w:hAnsi="Arial" w:cs="Arial"/>
          <w:b/>
          <w:bCs/>
          <w:sz w:val="22"/>
          <w:szCs w:val="22"/>
        </w:rPr>
      </w:pPr>
      <w:r>
        <w:rPr>
          <w:rFonts w:ascii="Arial" w:hAnsi="Arial" w:cs="Arial"/>
          <w:b/>
          <w:bCs/>
          <w:sz w:val="22"/>
          <w:szCs w:val="22"/>
          <w:lang w:val="en-IN"/>
        </w:rPr>
        <w:t xml:space="preserve">3.2 </w:t>
      </w:r>
      <w:r>
        <w:rPr>
          <w:rFonts w:ascii="Arial" w:hAnsi="Arial" w:cs="Arial"/>
          <w:b/>
          <w:bCs/>
          <w:sz w:val="22"/>
          <w:szCs w:val="22"/>
        </w:rPr>
        <w:t xml:space="preserve">Root and Shoot length </w:t>
      </w:r>
    </w:p>
    <w:p w:rsidR="007F3A31" w:rsidRDefault="0066394B">
      <w:pPr>
        <w:spacing w:line="360" w:lineRule="auto"/>
        <w:ind w:firstLine="720"/>
        <w:jc w:val="both"/>
        <w:rPr>
          <w:rFonts w:ascii="Arial" w:hAnsi="Arial" w:cs="Arial"/>
        </w:rPr>
      </w:pPr>
      <w:r>
        <w:rPr>
          <w:rFonts w:ascii="Arial" w:hAnsi="Arial" w:cs="Arial"/>
        </w:rPr>
        <w:t xml:space="preserve">The shoot and root length decreased with increased salinity (Figure 2 and figure3). At lower salinity </w:t>
      </w:r>
      <w:r>
        <w:rPr>
          <w:rFonts w:ascii="Arial" w:hAnsi="Arial" w:cs="Arial"/>
        </w:rPr>
        <w:t xml:space="preserve">(50mM NaCl), Pant Basmati1 showed a maximum (33%) reduction in shoot length followed by Pant Basmati 2 (31%) while a minimum was recorded in CSR36(6%). At 100mM </w:t>
      </w:r>
      <w:proofErr w:type="spellStart"/>
      <w:proofErr w:type="gramStart"/>
      <w:r>
        <w:rPr>
          <w:rFonts w:ascii="Arial" w:hAnsi="Arial" w:cs="Arial"/>
        </w:rPr>
        <w:t>NaCl,above</w:t>
      </w:r>
      <w:proofErr w:type="spellEnd"/>
      <w:proofErr w:type="gramEnd"/>
      <w:r>
        <w:rPr>
          <w:rFonts w:ascii="Arial" w:hAnsi="Arial" w:cs="Arial"/>
        </w:rPr>
        <w:t xml:space="preserve"> 50% reduction found in Pant Basmati1(55%) and Pant Basmati 2(56%) while minimum </w:t>
      </w:r>
      <w:proofErr w:type="spellStart"/>
      <w:r>
        <w:rPr>
          <w:rFonts w:ascii="Arial" w:hAnsi="Arial" w:cs="Arial"/>
        </w:rPr>
        <w:t>i.e</w:t>
      </w:r>
      <w:proofErr w:type="spellEnd"/>
      <w:r>
        <w:rPr>
          <w:rFonts w:ascii="Arial" w:hAnsi="Arial" w:cs="Arial"/>
        </w:rPr>
        <w:t xml:space="preserve"> </w:t>
      </w:r>
      <w:r>
        <w:rPr>
          <w:rFonts w:ascii="Arial" w:hAnsi="Arial" w:cs="Arial"/>
        </w:rPr>
        <w:t xml:space="preserve">21% in CSR36. Further rise in salinity up to 150mM NaCl, only CSR36 showed seedling growth with a 73% reduction as compared to </w:t>
      </w:r>
      <w:proofErr w:type="gramStart"/>
      <w:r>
        <w:rPr>
          <w:rFonts w:ascii="Arial" w:hAnsi="Arial" w:cs="Arial"/>
        </w:rPr>
        <w:t>control(</w:t>
      </w:r>
      <w:proofErr w:type="gramEnd"/>
      <w:r>
        <w:rPr>
          <w:rFonts w:ascii="Arial" w:hAnsi="Arial" w:cs="Arial"/>
        </w:rPr>
        <w:t>figure 2). However, both concentrations of GA</w:t>
      </w:r>
      <w:r>
        <w:rPr>
          <w:rFonts w:ascii="Arial" w:hAnsi="Arial" w:cs="Arial"/>
          <w:vertAlign w:val="subscript"/>
        </w:rPr>
        <w:t>3</w:t>
      </w:r>
      <w:r>
        <w:rPr>
          <w:rFonts w:ascii="Arial" w:hAnsi="Arial" w:cs="Arial"/>
        </w:rPr>
        <w:t xml:space="preserve"> treated seedlings showed significant improvement in shoot length. Under 50</w:t>
      </w:r>
      <w:r>
        <w:rPr>
          <w:rFonts w:ascii="Arial" w:hAnsi="Arial" w:cs="Arial"/>
        </w:rPr>
        <w:t xml:space="preserve"> and 100 mM NaCl, genotype Pant Basmati</w:t>
      </w:r>
      <w:proofErr w:type="gramStart"/>
      <w:r>
        <w:rPr>
          <w:rFonts w:ascii="Arial" w:hAnsi="Arial" w:cs="Arial"/>
        </w:rPr>
        <w:t>1  treated</w:t>
      </w:r>
      <w:proofErr w:type="gramEnd"/>
      <w:r>
        <w:rPr>
          <w:rFonts w:ascii="Arial" w:hAnsi="Arial" w:cs="Arial"/>
        </w:rPr>
        <w:t xml:space="preserve"> with 30µM GA</w:t>
      </w:r>
      <w:r>
        <w:rPr>
          <w:rFonts w:ascii="Arial" w:hAnsi="Arial" w:cs="Arial"/>
          <w:vertAlign w:val="subscript"/>
        </w:rPr>
        <w:t>3</w:t>
      </w:r>
      <w:r>
        <w:rPr>
          <w:rFonts w:ascii="Arial" w:hAnsi="Arial" w:cs="Arial"/>
        </w:rPr>
        <w:t xml:space="preserve"> showed a maximum (33 and 27%) increase in shoot length followed by Pant Basmati2 (29 and 25 %). As there was no germination of seeds was observed in 150mM, data on shoot and root length was no</w:t>
      </w:r>
      <w:r>
        <w:rPr>
          <w:rFonts w:ascii="Arial" w:hAnsi="Arial" w:cs="Arial"/>
        </w:rPr>
        <w:t>t taken.</w:t>
      </w:r>
    </w:p>
    <w:p w:rsidR="007F3A31" w:rsidRDefault="0066394B">
      <w:pPr>
        <w:spacing w:line="360" w:lineRule="auto"/>
        <w:ind w:firstLine="720"/>
        <w:jc w:val="both"/>
        <w:rPr>
          <w:rFonts w:ascii="Arial" w:hAnsi="Arial" w:cs="Arial"/>
        </w:rPr>
      </w:pPr>
      <w:r>
        <w:rPr>
          <w:rFonts w:ascii="Arial" w:hAnsi="Arial" w:cs="Arial"/>
        </w:rPr>
        <w:t>With all the salinity levels, CSR36 developed the longest root lengths relative to other genotypes. Results showed that, at 50mM NaCl, the highest reduction in root length was recorded in Pant Basmati1 (50%) followed by Pant Sugandh21(39%) and Pan</w:t>
      </w:r>
      <w:r>
        <w:rPr>
          <w:rFonts w:ascii="Arial" w:hAnsi="Arial" w:cs="Arial"/>
        </w:rPr>
        <w:t>t Basmati2(34%). However, at 100mM NaCl, it enhanced by 76%,63 %and 62% respectively. In the present study root length in seedlings was more noticeable as compared to the shoot length. (Figure 3). Under lower salinity (50mM NaCl), all the genotypes with 30</w:t>
      </w:r>
      <w:r>
        <w:rPr>
          <w:rFonts w:ascii="Arial" w:hAnsi="Arial" w:cs="Arial"/>
        </w:rPr>
        <w:t>µM GA</w:t>
      </w:r>
      <w:r>
        <w:rPr>
          <w:rFonts w:ascii="Arial" w:hAnsi="Arial" w:cs="Arial"/>
          <w:vertAlign w:val="subscript"/>
        </w:rPr>
        <w:t>3</w:t>
      </w:r>
      <w:r>
        <w:rPr>
          <w:rFonts w:ascii="Arial" w:hAnsi="Arial" w:cs="Arial"/>
        </w:rPr>
        <w:t xml:space="preserve"> exhibit the above 10% recovery of root length as compared to 50mM </w:t>
      </w:r>
      <w:proofErr w:type="spellStart"/>
      <w:r>
        <w:rPr>
          <w:rFonts w:ascii="Arial" w:hAnsi="Arial" w:cs="Arial"/>
        </w:rPr>
        <w:t>NaCl.While</w:t>
      </w:r>
      <w:proofErr w:type="spellEnd"/>
      <w:r>
        <w:rPr>
          <w:rFonts w:ascii="Arial" w:hAnsi="Arial" w:cs="Arial"/>
        </w:rPr>
        <w:t xml:space="preserve"> </w:t>
      </w:r>
      <w:proofErr w:type="gramStart"/>
      <w:r>
        <w:rPr>
          <w:rFonts w:ascii="Arial" w:hAnsi="Arial" w:cs="Arial"/>
        </w:rPr>
        <w:t>maximum(</w:t>
      </w:r>
      <w:proofErr w:type="gramEnd"/>
      <w:r>
        <w:rPr>
          <w:rFonts w:ascii="Arial" w:hAnsi="Arial" w:cs="Arial"/>
        </w:rPr>
        <w:t>30%) recorded in Pant Basmati1(30%).While at 100 NaCl, pre-treated seeds of CSR36  with 30µM GA</w:t>
      </w:r>
      <w:r>
        <w:rPr>
          <w:rFonts w:ascii="Arial" w:hAnsi="Arial" w:cs="Arial"/>
          <w:vertAlign w:val="subscript"/>
        </w:rPr>
        <w:t xml:space="preserve">3  </w:t>
      </w:r>
      <w:r>
        <w:rPr>
          <w:rFonts w:ascii="Arial" w:hAnsi="Arial" w:cs="Arial"/>
        </w:rPr>
        <w:t xml:space="preserve">showed the highest increase (30%) followed by Pant Sugandh21(18%) </w:t>
      </w:r>
      <w:r>
        <w:rPr>
          <w:rFonts w:ascii="Arial" w:hAnsi="Arial" w:cs="Arial"/>
        </w:rPr>
        <w:t>as compared to the 100 NaCl. However, both the concentrations (20 and 30µM GA3</w:t>
      </w:r>
      <w:proofErr w:type="gramStart"/>
      <w:r>
        <w:rPr>
          <w:rFonts w:ascii="Arial" w:hAnsi="Arial" w:cs="Arial"/>
        </w:rPr>
        <w:t>)  pre</w:t>
      </w:r>
      <w:proofErr w:type="gramEnd"/>
      <w:r>
        <w:rPr>
          <w:rFonts w:ascii="Arial" w:hAnsi="Arial" w:cs="Arial"/>
        </w:rPr>
        <w:t>-treated at high salinity(150mM) showed more than 20% increase in all the genotypes, while the maximum increase (25%) was recorded in Pant Sugandh21. Among all the GA</w:t>
      </w:r>
      <w:r>
        <w:rPr>
          <w:rFonts w:ascii="Arial" w:hAnsi="Arial" w:cs="Arial"/>
          <w:vertAlign w:val="subscript"/>
        </w:rPr>
        <w:t>3</w:t>
      </w:r>
      <w:r>
        <w:rPr>
          <w:rFonts w:ascii="Arial" w:hAnsi="Arial" w:cs="Arial"/>
        </w:rPr>
        <w:t>, tre</w:t>
      </w:r>
      <w:r>
        <w:rPr>
          <w:rFonts w:ascii="Arial" w:hAnsi="Arial" w:cs="Arial"/>
        </w:rPr>
        <w:t>ated genotypes, Pant sugandh21 showed higher root length in 50 and 150 NaCl while CSR36 showed higher root length at 100mM NaCl. In the present study, salinity stress affects seedling growth by decreasing shoot and root length. salinity decreased shoot and</w:t>
      </w:r>
      <w:r>
        <w:rPr>
          <w:rFonts w:ascii="Arial" w:hAnsi="Arial" w:cs="Arial"/>
        </w:rPr>
        <w:t xml:space="preserve"> root length as salinity levels increased; nevertheless, the maximum reduction in shoot length under all salinity levels was found in Pant Basmati1(figure 2 and Figure 3).</w:t>
      </w:r>
    </w:p>
    <w:p w:rsidR="007F3A31" w:rsidRDefault="007F3A31">
      <w:pPr>
        <w:spacing w:line="360" w:lineRule="auto"/>
        <w:jc w:val="both"/>
        <w:rPr>
          <w:rFonts w:ascii="Arial" w:hAnsi="Arial" w:cs="Arial"/>
          <w:b/>
          <w:bCs/>
        </w:rPr>
      </w:pPr>
    </w:p>
    <w:p w:rsidR="007F3A31" w:rsidRDefault="0066394B">
      <w:pPr>
        <w:spacing w:line="360" w:lineRule="auto"/>
        <w:jc w:val="both"/>
        <w:rPr>
          <w:rFonts w:ascii="Arial" w:hAnsi="Arial" w:cs="Arial"/>
          <w:b/>
          <w:bCs/>
          <w:sz w:val="22"/>
          <w:szCs w:val="22"/>
        </w:rPr>
      </w:pPr>
      <w:r>
        <w:rPr>
          <w:rFonts w:ascii="Arial" w:hAnsi="Arial" w:cs="Arial"/>
          <w:b/>
          <w:bCs/>
          <w:sz w:val="22"/>
          <w:szCs w:val="22"/>
          <w:lang w:val="en-IN"/>
        </w:rPr>
        <w:t xml:space="preserve">3.3 </w:t>
      </w:r>
      <w:r>
        <w:rPr>
          <w:rFonts w:ascii="Arial" w:hAnsi="Arial" w:cs="Arial"/>
          <w:b/>
          <w:bCs/>
          <w:sz w:val="22"/>
          <w:szCs w:val="22"/>
        </w:rPr>
        <w:t xml:space="preserve">Dry weight </w:t>
      </w:r>
    </w:p>
    <w:p w:rsidR="007F3A31" w:rsidRDefault="0066394B">
      <w:pPr>
        <w:spacing w:line="360" w:lineRule="auto"/>
        <w:ind w:firstLine="720"/>
        <w:jc w:val="both"/>
        <w:rPr>
          <w:rFonts w:ascii="Arial" w:hAnsi="Arial" w:cs="Arial"/>
        </w:rPr>
      </w:pPr>
      <w:r>
        <w:rPr>
          <w:rFonts w:ascii="Arial" w:hAnsi="Arial" w:cs="Arial"/>
        </w:rPr>
        <w:t xml:space="preserve">Increased salinity negatively influenced the dry weight in all the </w:t>
      </w:r>
      <w:r>
        <w:rPr>
          <w:rFonts w:ascii="Arial" w:hAnsi="Arial" w:cs="Arial"/>
        </w:rPr>
        <w:t>rice genotypes (Figure 4). At 50mM NaCl the highest dry weight reduction was recorded in Pant Sugandh21 (21.2%) followed by Pant Basmati 2(17.8%) as compared to control. Similarly, at 100 mM NaCl, a maximum (57.90%) reduction was found in Pant Basmati1 fol</w:t>
      </w:r>
      <w:r>
        <w:rPr>
          <w:rFonts w:ascii="Arial" w:hAnsi="Arial" w:cs="Arial"/>
        </w:rPr>
        <w:t xml:space="preserve">lowed by Pant Basmati 2 (54.47%). While less than 30% reduction was reported in CSR36(25.2%). Similarly, at higher salinity (150mM), dry weight was only encountered in CSR36 with a 53.67% reduction. </w:t>
      </w:r>
    </w:p>
    <w:p w:rsidR="007F3A31" w:rsidRDefault="0066394B">
      <w:pPr>
        <w:spacing w:line="360" w:lineRule="auto"/>
        <w:ind w:firstLine="720"/>
        <w:jc w:val="both"/>
        <w:rPr>
          <w:rFonts w:ascii="Arial" w:hAnsi="Arial" w:cs="Arial"/>
        </w:rPr>
      </w:pPr>
      <w:r>
        <w:rPr>
          <w:rFonts w:ascii="Arial" w:hAnsi="Arial" w:cs="Arial"/>
        </w:rPr>
        <w:lastRenderedPageBreak/>
        <w:t>Dry weight was positively influenced in GA</w:t>
      </w:r>
      <w:r>
        <w:rPr>
          <w:rFonts w:ascii="Arial" w:hAnsi="Arial" w:cs="Arial"/>
          <w:vertAlign w:val="subscript"/>
        </w:rPr>
        <w:t>3</w:t>
      </w:r>
      <w:r>
        <w:rPr>
          <w:rFonts w:ascii="Arial" w:hAnsi="Arial" w:cs="Arial"/>
        </w:rPr>
        <w:t xml:space="preserve"> treatment ri</w:t>
      </w:r>
      <w:r>
        <w:rPr>
          <w:rFonts w:ascii="Arial" w:hAnsi="Arial" w:cs="Arial"/>
        </w:rPr>
        <w:t>ce genotypes (Figure 4). In our study results revealed that maximum dry weight reduction was reported in Pant Basmati1 under all salinity levels. These results indicate that NaCl inhibits the growth of rice seedlings and leads to a decrease in biomass. Und</w:t>
      </w:r>
      <w:r>
        <w:rPr>
          <w:rFonts w:ascii="Arial" w:hAnsi="Arial" w:cs="Arial"/>
        </w:rPr>
        <w:t>er lower salinity (50mM NaCl) both the GA</w:t>
      </w:r>
      <w:r>
        <w:rPr>
          <w:rFonts w:ascii="Arial" w:hAnsi="Arial" w:cs="Arial"/>
          <w:vertAlign w:val="subscript"/>
        </w:rPr>
        <w:t xml:space="preserve">3 </w:t>
      </w:r>
      <w:r>
        <w:rPr>
          <w:rFonts w:ascii="Arial" w:hAnsi="Arial" w:cs="Arial"/>
        </w:rPr>
        <w:t>concentrations (20 and 30 µ</w:t>
      </w:r>
      <w:proofErr w:type="gramStart"/>
      <w:r>
        <w:rPr>
          <w:rFonts w:ascii="Arial" w:hAnsi="Arial" w:cs="Arial"/>
        </w:rPr>
        <w:t>M )</w:t>
      </w:r>
      <w:proofErr w:type="gramEnd"/>
      <w:r>
        <w:rPr>
          <w:rFonts w:ascii="Arial" w:hAnsi="Arial" w:cs="Arial"/>
        </w:rPr>
        <w:t xml:space="preserve"> treated seedlings showed a 5% increase in dry weight in all the genotypes. At 100mM NaCl, less than a 10% increase was reported in all the genotypes. Under higher salinity (150), bot</w:t>
      </w:r>
      <w:r>
        <w:rPr>
          <w:rFonts w:ascii="Arial" w:hAnsi="Arial" w:cs="Arial"/>
        </w:rPr>
        <w:t>h 20 and 30µM GA</w:t>
      </w:r>
      <w:r>
        <w:rPr>
          <w:rFonts w:ascii="Arial" w:hAnsi="Arial" w:cs="Arial"/>
          <w:vertAlign w:val="subscript"/>
        </w:rPr>
        <w:t>3</w:t>
      </w:r>
      <w:r>
        <w:rPr>
          <w:rFonts w:ascii="Arial" w:hAnsi="Arial" w:cs="Arial"/>
        </w:rPr>
        <w:t>-treated seedlings showed dry weight in all the genotypes.</w:t>
      </w:r>
    </w:p>
    <w:p w:rsidR="007F3A31" w:rsidRDefault="007F3A31">
      <w:pPr>
        <w:spacing w:line="360" w:lineRule="auto"/>
        <w:jc w:val="both"/>
        <w:rPr>
          <w:rFonts w:ascii="Arial" w:hAnsi="Arial" w:cs="Arial"/>
          <w:b/>
          <w:bCs/>
        </w:rPr>
      </w:pPr>
    </w:p>
    <w:p w:rsidR="007F3A31" w:rsidRDefault="0066394B">
      <w:pPr>
        <w:spacing w:line="360" w:lineRule="auto"/>
        <w:jc w:val="both"/>
        <w:rPr>
          <w:rFonts w:ascii="Arial" w:hAnsi="Arial" w:cs="Arial"/>
          <w:b/>
          <w:bCs/>
          <w:sz w:val="22"/>
          <w:szCs w:val="22"/>
        </w:rPr>
      </w:pPr>
      <w:r>
        <w:rPr>
          <w:rFonts w:ascii="Arial" w:hAnsi="Arial" w:cs="Arial"/>
          <w:b/>
          <w:bCs/>
          <w:sz w:val="22"/>
          <w:szCs w:val="22"/>
          <w:lang w:val="en-IN"/>
        </w:rPr>
        <w:t xml:space="preserve">3.4 </w:t>
      </w:r>
      <w:r>
        <w:rPr>
          <w:rFonts w:ascii="Arial" w:hAnsi="Arial" w:cs="Arial"/>
          <w:b/>
          <w:bCs/>
          <w:sz w:val="22"/>
          <w:szCs w:val="22"/>
        </w:rPr>
        <w:t xml:space="preserve">Seedling </w:t>
      </w:r>
      <w:proofErr w:type="spellStart"/>
      <w:r>
        <w:rPr>
          <w:rFonts w:ascii="Arial" w:hAnsi="Arial" w:cs="Arial"/>
          <w:b/>
          <w:bCs/>
          <w:sz w:val="22"/>
          <w:szCs w:val="22"/>
        </w:rPr>
        <w:t>vigour</w:t>
      </w:r>
      <w:proofErr w:type="spellEnd"/>
      <w:r>
        <w:rPr>
          <w:rFonts w:ascii="Arial" w:hAnsi="Arial" w:cs="Arial"/>
          <w:b/>
          <w:bCs/>
          <w:sz w:val="22"/>
          <w:szCs w:val="22"/>
        </w:rPr>
        <w:t xml:space="preserve"> index</w:t>
      </w:r>
    </w:p>
    <w:p w:rsidR="007F3A31" w:rsidRDefault="0066394B">
      <w:pPr>
        <w:spacing w:line="360" w:lineRule="auto"/>
        <w:ind w:firstLine="720"/>
        <w:jc w:val="both"/>
        <w:rPr>
          <w:rFonts w:ascii="Arial" w:hAnsi="Arial" w:cs="Arial"/>
        </w:rPr>
      </w:pPr>
      <w:r>
        <w:rPr>
          <w:rFonts w:ascii="Arial" w:hAnsi="Arial" w:cs="Arial"/>
        </w:rPr>
        <w:t xml:space="preserve">Results showed that increased salinity negatively affects the seedling </w:t>
      </w:r>
      <w:proofErr w:type="spellStart"/>
      <w:r>
        <w:rPr>
          <w:rFonts w:ascii="Arial" w:hAnsi="Arial" w:cs="Arial"/>
        </w:rPr>
        <w:t>vigour</w:t>
      </w:r>
      <w:proofErr w:type="spellEnd"/>
      <w:r>
        <w:rPr>
          <w:rFonts w:ascii="Arial" w:hAnsi="Arial" w:cs="Arial"/>
        </w:rPr>
        <w:t xml:space="preserve"> index in all genotypes (Figure 5). </w:t>
      </w:r>
    </w:p>
    <w:p w:rsidR="007F3A31" w:rsidRDefault="0066394B">
      <w:pPr>
        <w:spacing w:line="360" w:lineRule="auto"/>
        <w:ind w:firstLine="720"/>
        <w:jc w:val="both"/>
        <w:rPr>
          <w:rFonts w:ascii="Arial" w:hAnsi="Arial" w:cs="Arial"/>
        </w:rPr>
      </w:pPr>
      <w:r>
        <w:rPr>
          <w:rFonts w:ascii="Arial" w:hAnsi="Arial" w:cs="Arial"/>
        </w:rPr>
        <w:t xml:space="preserve">The highest </w:t>
      </w:r>
      <w:proofErr w:type="spellStart"/>
      <w:r>
        <w:rPr>
          <w:rFonts w:ascii="Arial" w:hAnsi="Arial" w:cs="Arial"/>
        </w:rPr>
        <w:t>vigour</w:t>
      </w:r>
      <w:proofErr w:type="spellEnd"/>
      <w:r>
        <w:rPr>
          <w:rFonts w:ascii="Arial" w:hAnsi="Arial" w:cs="Arial"/>
        </w:rPr>
        <w:t xml:space="preserve"> index has been recor</w:t>
      </w:r>
      <w:r>
        <w:rPr>
          <w:rFonts w:ascii="Arial" w:hAnsi="Arial" w:cs="Arial"/>
        </w:rPr>
        <w:t>ded in Pant Basmati 1(529 cm) followed by CSR36(497cm), Pant Basmati2(459cm) and Pant Sugaandh21(378cm). At the lowest salinity level (50 mM), Pant Basmai1 showed a maximum (55%) reduction in SVI followed by Pant Basmati 2 (44.7%). Over 90% reduction in SV</w:t>
      </w:r>
      <w:r>
        <w:rPr>
          <w:rFonts w:ascii="Arial" w:hAnsi="Arial" w:cs="Arial"/>
        </w:rPr>
        <w:t xml:space="preserve">I was reported in Pant Basmati1 and Pant Basmati2 at 100mM. While above 80% and 50% reduction were recorded in Pant Sugandh21 and CSR36 respectively. In the present study, results showed that Pant Basmati1 had the lowest </w:t>
      </w:r>
      <w:proofErr w:type="spellStart"/>
      <w:r>
        <w:rPr>
          <w:rFonts w:ascii="Arial" w:hAnsi="Arial" w:cs="Arial"/>
        </w:rPr>
        <w:t>vigour</w:t>
      </w:r>
      <w:proofErr w:type="spellEnd"/>
      <w:r>
        <w:rPr>
          <w:rFonts w:ascii="Arial" w:hAnsi="Arial" w:cs="Arial"/>
        </w:rPr>
        <w:t xml:space="preserve"> index in all the salinity le</w:t>
      </w:r>
      <w:r>
        <w:rPr>
          <w:rFonts w:ascii="Arial" w:hAnsi="Arial" w:cs="Arial"/>
        </w:rPr>
        <w:t>vels (Figure 5).</w:t>
      </w:r>
    </w:p>
    <w:p w:rsidR="007F3A31" w:rsidRDefault="0066394B">
      <w:pPr>
        <w:spacing w:line="360" w:lineRule="auto"/>
        <w:ind w:firstLine="720"/>
        <w:jc w:val="both"/>
        <w:rPr>
          <w:rFonts w:ascii="Arial" w:hAnsi="Arial" w:cs="Arial"/>
        </w:rPr>
      </w:pPr>
      <w:r>
        <w:rPr>
          <w:rFonts w:ascii="Arial" w:hAnsi="Arial" w:cs="Arial"/>
        </w:rPr>
        <w:t>At 50 NaCl, both the concentrations of 20 and 30 µM GA</w:t>
      </w:r>
      <w:proofErr w:type="gramStart"/>
      <w:r>
        <w:rPr>
          <w:rFonts w:ascii="Arial" w:hAnsi="Arial" w:cs="Arial"/>
          <w:vertAlign w:val="subscript"/>
        </w:rPr>
        <w:t xml:space="preserve">3  </w:t>
      </w:r>
      <w:r>
        <w:rPr>
          <w:rFonts w:ascii="Arial" w:hAnsi="Arial" w:cs="Arial"/>
        </w:rPr>
        <w:t>improved</w:t>
      </w:r>
      <w:proofErr w:type="gramEnd"/>
      <w:r>
        <w:rPr>
          <w:rFonts w:ascii="Arial" w:hAnsi="Arial" w:cs="Arial"/>
        </w:rPr>
        <w:t xml:space="preserve"> the seedling </w:t>
      </w:r>
      <w:proofErr w:type="spellStart"/>
      <w:r>
        <w:rPr>
          <w:rFonts w:ascii="Arial" w:hAnsi="Arial" w:cs="Arial"/>
        </w:rPr>
        <w:t>vigour</w:t>
      </w:r>
      <w:proofErr w:type="spellEnd"/>
      <w:r>
        <w:rPr>
          <w:rFonts w:ascii="Arial" w:hAnsi="Arial" w:cs="Arial"/>
        </w:rPr>
        <w:t xml:space="preserve"> index in all the genotypes. However, Pant Basmatii1 showed the highest increase (42.7</w:t>
      </w:r>
      <w:proofErr w:type="gramStart"/>
      <w:r>
        <w:rPr>
          <w:rFonts w:ascii="Arial" w:hAnsi="Arial" w:cs="Arial"/>
        </w:rPr>
        <w:t>%)  in</w:t>
      </w:r>
      <w:proofErr w:type="gramEnd"/>
      <w:r>
        <w:rPr>
          <w:rFonts w:ascii="Arial" w:hAnsi="Arial" w:cs="Arial"/>
        </w:rPr>
        <w:t xml:space="preserve"> SVI with 30µM GA</w:t>
      </w:r>
      <w:r>
        <w:rPr>
          <w:rFonts w:ascii="Arial" w:hAnsi="Arial" w:cs="Arial"/>
          <w:vertAlign w:val="subscript"/>
        </w:rPr>
        <w:t>3</w:t>
      </w:r>
      <w:r>
        <w:rPr>
          <w:rFonts w:ascii="Arial" w:hAnsi="Arial" w:cs="Arial"/>
        </w:rPr>
        <w:t xml:space="preserve">. Similarly, at100mM NaCl, improved SVI was </w:t>
      </w:r>
      <w:r>
        <w:rPr>
          <w:rFonts w:ascii="Arial" w:hAnsi="Arial" w:cs="Arial"/>
        </w:rPr>
        <w:t>recorded in all the genotypes with both the GA3 concentrations. The maximum increase (49%) was recorded in Pant Sugandh21 followed by Pant Basmati2(46%). While GA</w:t>
      </w:r>
      <w:r>
        <w:rPr>
          <w:rFonts w:ascii="Arial" w:hAnsi="Arial" w:cs="Arial"/>
          <w:vertAlign w:val="subscript"/>
        </w:rPr>
        <w:t xml:space="preserve">3 </w:t>
      </w:r>
      <w:r>
        <w:rPr>
          <w:rFonts w:ascii="Arial" w:hAnsi="Arial" w:cs="Arial"/>
        </w:rPr>
        <w:t>treated seedlings of CSR36 showed SVI of 26cm. With both the GA</w:t>
      </w:r>
      <w:r>
        <w:rPr>
          <w:rFonts w:ascii="Arial" w:hAnsi="Arial" w:cs="Arial"/>
          <w:vertAlign w:val="subscript"/>
        </w:rPr>
        <w:t xml:space="preserve">3 </w:t>
      </w:r>
      <w:r>
        <w:rPr>
          <w:rFonts w:ascii="Arial" w:hAnsi="Arial" w:cs="Arial"/>
        </w:rPr>
        <w:t>concentrations SVI improved</w:t>
      </w:r>
      <w:r>
        <w:rPr>
          <w:rFonts w:ascii="Arial" w:hAnsi="Arial" w:cs="Arial"/>
        </w:rPr>
        <w:t xml:space="preserve"> at high salinity but more positive results were observed with the conc. 30µM GA</w:t>
      </w:r>
      <w:r>
        <w:rPr>
          <w:rFonts w:ascii="Arial" w:hAnsi="Arial" w:cs="Arial"/>
          <w:vertAlign w:val="subscript"/>
        </w:rPr>
        <w:t>3</w:t>
      </w:r>
      <w:r>
        <w:rPr>
          <w:rFonts w:ascii="Arial" w:hAnsi="Arial" w:cs="Arial"/>
        </w:rPr>
        <w:t xml:space="preserve">. </w:t>
      </w:r>
    </w:p>
    <w:p w:rsidR="007F3A31" w:rsidRDefault="007F3A31">
      <w:pPr>
        <w:spacing w:line="360" w:lineRule="auto"/>
        <w:jc w:val="both"/>
        <w:rPr>
          <w:rFonts w:ascii="Arial" w:hAnsi="Arial" w:cs="Arial"/>
          <w:b/>
          <w:bCs/>
        </w:rPr>
      </w:pPr>
    </w:p>
    <w:p w:rsidR="007F3A31" w:rsidRDefault="0066394B">
      <w:pPr>
        <w:spacing w:line="360" w:lineRule="auto"/>
        <w:jc w:val="both"/>
        <w:rPr>
          <w:rFonts w:ascii="Arial" w:hAnsi="Arial" w:cs="Arial"/>
          <w:b/>
          <w:bCs/>
          <w:sz w:val="22"/>
          <w:szCs w:val="22"/>
        </w:rPr>
      </w:pPr>
      <w:r>
        <w:rPr>
          <w:rFonts w:ascii="Arial" w:hAnsi="Arial" w:cs="Arial"/>
          <w:b/>
          <w:bCs/>
        </w:rPr>
        <w:t xml:space="preserve"> </w:t>
      </w:r>
      <w:r>
        <w:rPr>
          <w:rFonts w:ascii="Arial" w:hAnsi="Arial" w:cs="Arial"/>
          <w:b/>
          <w:bCs/>
          <w:lang w:val="en-IN"/>
        </w:rPr>
        <w:t xml:space="preserve">3.5 </w:t>
      </w:r>
      <w:r>
        <w:rPr>
          <w:rFonts w:ascii="Arial" w:hAnsi="Arial" w:cs="Arial"/>
          <w:b/>
          <w:bCs/>
          <w:sz w:val="22"/>
          <w:szCs w:val="22"/>
        </w:rPr>
        <w:t>Salt Tolerance Index</w:t>
      </w:r>
    </w:p>
    <w:p w:rsidR="007F3A31" w:rsidRDefault="0066394B">
      <w:pPr>
        <w:spacing w:line="360" w:lineRule="auto"/>
        <w:ind w:firstLine="720"/>
        <w:jc w:val="both"/>
        <w:rPr>
          <w:rFonts w:ascii="Arial" w:hAnsi="Arial" w:cs="Arial"/>
        </w:rPr>
      </w:pPr>
      <w:r>
        <w:rPr>
          <w:rFonts w:ascii="Arial" w:hAnsi="Arial" w:cs="Arial"/>
        </w:rPr>
        <w:t xml:space="preserve">STI was reduced with increased salinity levels in all genotypes. (Figure 5).CSR36 had the highest STI in all the salinity levels. At 50mM NaCl, </w:t>
      </w:r>
      <w:r>
        <w:rPr>
          <w:rFonts w:ascii="Arial" w:hAnsi="Arial" w:cs="Arial"/>
        </w:rPr>
        <w:t xml:space="preserve">over 80% STI was reported in all the genotypes while the highest tolerance (94.26%) was recorded in CSR36 followed by Pant Sugandh21(90%). At 100mM NaCl, Pant Basmati1 showed lowest (44.1%) tolerance index followed </w:t>
      </w:r>
      <w:proofErr w:type="gramStart"/>
      <w:r>
        <w:rPr>
          <w:rFonts w:ascii="Arial" w:hAnsi="Arial" w:cs="Arial"/>
        </w:rPr>
        <w:t>by  Pant</w:t>
      </w:r>
      <w:proofErr w:type="gramEnd"/>
      <w:r>
        <w:rPr>
          <w:rFonts w:ascii="Arial" w:hAnsi="Arial" w:cs="Arial"/>
        </w:rPr>
        <w:t xml:space="preserve"> Basmati2 (50%). While a maximum </w:t>
      </w:r>
      <w:r>
        <w:rPr>
          <w:rFonts w:ascii="Arial" w:hAnsi="Arial" w:cs="Arial"/>
        </w:rPr>
        <w:t>(78.85%) STI was reported in CSR36.At high salinity (150mM NaCl), the tolerance index was only observed in CSR36(38.46%).</w:t>
      </w:r>
    </w:p>
    <w:p w:rsidR="007F3A31" w:rsidRDefault="0066394B">
      <w:pPr>
        <w:spacing w:line="360" w:lineRule="auto"/>
        <w:ind w:firstLine="720"/>
        <w:jc w:val="both"/>
        <w:rPr>
          <w:rFonts w:ascii="Arial" w:hAnsi="Arial" w:cs="Arial"/>
        </w:rPr>
      </w:pPr>
      <w:r>
        <w:rPr>
          <w:rFonts w:ascii="Arial" w:hAnsi="Arial" w:cs="Arial"/>
        </w:rPr>
        <w:t xml:space="preserve"> According to the present study, at lower salinity level (50mM NaCl) salt tolerance index was least affected in all the genotypes as c</w:t>
      </w:r>
      <w:r>
        <w:rPr>
          <w:rFonts w:ascii="Arial" w:hAnsi="Arial" w:cs="Arial"/>
        </w:rPr>
        <w:t>ompare to other salinity levels. however, Pant Basmati 1 showed lowest STI in all the salinity levels as compare to other genotypes (Figure 5). Under all the salinity levels, pretreated seedlings with 20 and 30µM GA</w:t>
      </w:r>
      <w:r>
        <w:rPr>
          <w:rFonts w:ascii="Arial" w:hAnsi="Arial" w:cs="Arial"/>
          <w:vertAlign w:val="subscript"/>
        </w:rPr>
        <w:t>3</w:t>
      </w:r>
      <w:r>
        <w:rPr>
          <w:rFonts w:ascii="Arial" w:hAnsi="Arial" w:cs="Arial"/>
        </w:rPr>
        <w:t xml:space="preserve"> significantly improved the STI in all t</w:t>
      </w:r>
      <w:r>
        <w:rPr>
          <w:rFonts w:ascii="Arial" w:hAnsi="Arial" w:cs="Arial"/>
        </w:rPr>
        <w:t>he genotypes. At 100mM NaCl, an above 60% increase in STI was recorded in Pant Basmati 1 and Pant Basmati 2. However, CSR36 obtained a maximum (77%) increase in STI. At high salinity (150mM NaCl), all genotypes showed above 20% increase in STI with respect</w:t>
      </w:r>
      <w:r>
        <w:rPr>
          <w:rFonts w:ascii="Arial" w:hAnsi="Arial" w:cs="Arial"/>
        </w:rPr>
        <w:t xml:space="preserve"> to 150mM NaCl while the maximum increase was reported in CSR36(71%).</w:t>
      </w:r>
    </w:p>
    <w:p w:rsidR="007F3A31" w:rsidRDefault="007F3A31">
      <w:pPr>
        <w:spacing w:line="360" w:lineRule="auto"/>
        <w:ind w:firstLine="720"/>
        <w:jc w:val="both"/>
        <w:rPr>
          <w:rFonts w:ascii="Arial" w:hAnsi="Arial" w:cs="Arial"/>
          <w:lang w:val="en-IN"/>
        </w:rPr>
      </w:pPr>
    </w:p>
    <w:p w:rsidR="007F3A31" w:rsidRDefault="0066394B">
      <w:pPr>
        <w:spacing w:line="360" w:lineRule="auto"/>
        <w:jc w:val="both"/>
        <w:rPr>
          <w:rFonts w:ascii="Arial" w:hAnsi="Arial" w:cs="Arial"/>
          <w:b/>
          <w:bCs/>
          <w:sz w:val="22"/>
          <w:szCs w:val="22"/>
        </w:rPr>
      </w:pPr>
      <w:r>
        <w:rPr>
          <w:rFonts w:ascii="Arial" w:hAnsi="Arial" w:cs="Arial"/>
          <w:b/>
          <w:bCs/>
          <w:sz w:val="22"/>
          <w:szCs w:val="22"/>
          <w:lang w:val="en-IN"/>
        </w:rPr>
        <w:t>3.6</w:t>
      </w:r>
      <w:r>
        <w:rPr>
          <w:rFonts w:ascii="Arial" w:hAnsi="Arial" w:cs="Arial"/>
          <w:b/>
          <w:bCs/>
          <w:sz w:val="22"/>
          <w:szCs w:val="22"/>
        </w:rPr>
        <w:t xml:space="preserve"> Alpha amylase content</w:t>
      </w:r>
    </w:p>
    <w:p w:rsidR="007F3A31" w:rsidRDefault="0066394B">
      <w:pPr>
        <w:spacing w:line="360" w:lineRule="auto"/>
        <w:ind w:firstLine="720"/>
        <w:jc w:val="both"/>
        <w:rPr>
          <w:rFonts w:ascii="Arial" w:hAnsi="Arial" w:cs="Arial"/>
        </w:rPr>
      </w:pPr>
      <w:r>
        <w:rPr>
          <w:rFonts w:ascii="Arial" w:hAnsi="Arial" w:cs="Arial"/>
        </w:rPr>
        <w:t xml:space="preserve">The table shows alpha-amylase content in rice seedlings under different treatments under </w:t>
      </w:r>
      <w:proofErr w:type="gramStart"/>
      <w:r>
        <w:rPr>
          <w:rFonts w:ascii="Arial" w:hAnsi="Arial" w:cs="Arial"/>
        </w:rPr>
        <w:t>24 hour</w:t>
      </w:r>
      <w:proofErr w:type="gramEnd"/>
      <w:r>
        <w:rPr>
          <w:rFonts w:ascii="Arial" w:hAnsi="Arial" w:cs="Arial"/>
        </w:rPr>
        <w:t xml:space="preserve"> incubation. The result showed that amylase content was decreas</w:t>
      </w:r>
      <w:r>
        <w:rPr>
          <w:rFonts w:ascii="Arial" w:hAnsi="Arial" w:cs="Arial"/>
        </w:rPr>
        <w:t>ed with increased salinity levels. Maximum amylase activity was observed in 30µM GA</w:t>
      </w:r>
      <w:r>
        <w:rPr>
          <w:rFonts w:ascii="Arial" w:hAnsi="Arial" w:cs="Arial"/>
          <w:vertAlign w:val="subscript"/>
        </w:rPr>
        <w:t xml:space="preserve">3 </w:t>
      </w:r>
      <w:r>
        <w:rPr>
          <w:rFonts w:ascii="Arial" w:hAnsi="Arial" w:cs="Arial"/>
        </w:rPr>
        <w:t>treated seedlings in all the genotypes. However, in the control condition, the highest amylase activity was recorded in CSR36(34ug/ml) followed by Pant Basmati2 (26ug/ml).</w:t>
      </w:r>
      <w:r>
        <w:rPr>
          <w:rFonts w:ascii="Arial" w:hAnsi="Arial" w:cs="Arial"/>
        </w:rPr>
        <w:t xml:space="preserve"> At 50mM NaCl, activity starts to decrease in all the genotypes while the highest (above 30%) decrease was recorded in Pant Basmati2, Pant Sugandh21, and Pant Basmati1, respectively, while less than 10% reduction was recorded in CSR36. Pre-treatment of 20µ</w:t>
      </w:r>
      <w:r>
        <w:rPr>
          <w:rFonts w:ascii="Arial" w:hAnsi="Arial" w:cs="Arial"/>
        </w:rPr>
        <w:t>M GA</w:t>
      </w:r>
      <w:r>
        <w:rPr>
          <w:rFonts w:ascii="Arial" w:hAnsi="Arial" w:cs="Arial"/>
          <w:vertAlign w:val="subscript"/>
        </w:rPr>
        <w:t xml:space="preserve">3 </w:t>
      </w:r>
      <w:r>
        <w:rPr>
          <w:rFonts w:ascii="Arial" w:hAnsi="Arial" w:cs="Arial"/>
        </w:rPr>
        <w:t>and 30 µM GA</w:t>
      </w:r>
      <w:proofErr w:type="gramStart"/>
      <w:r>
        <w:rPr>
          <w:rFonts w:ascii="Arial" w:hAnsi="Arial" w:cs="Arial"/>
          <w:vertAlign w:val="subscript"/>
        </w:rPr>
        <w:t xml:space="preserve">3 </w:t>
      </w:r>
      <w:r>
        <w:rPr>
          <w:rFonts w:ascii="Arial" w:hAnsi="Arial" w:cs="Arial"/>
        </w:rPr>
        <w:t xml:space="preserve"> improved</w:t>
      </w:r>
      <w:proofErr w:type="gramEnd"/>
      <w:r>
        <w:rPr>
          <w:rFonts w:ascii="Arial" w:hAnsi="Arial" w:cs="Arial"/>
        </w:rPr>
        <w:t xml:space="preserve"> </w:t>
      </w:r>
      <w:r>
        <w:rPr>
          <w:rFonts w:ascii="Arial" w:hAnsi="Arial" w:cs="Arial"/>
        </w:rPr>
        <w:lastRenderedPageBreak/>
        <w:t>the amylase content in all the seedlings. The highest increase was recorded in Pant Basmati2 (7%) followed by Pant Sugandh21(6%) compared to the 50mM NaCl. Similarly, at 100mM NaCl, an above 50% reduction in alpha-amylase cont</w:t>
      </w:r>
      <w:r>
        <w:rPr>
          <w:rFonts w:ascii="Arial" w:hAnsi="Arial" w:cs="Arial"/>
        </w:rPr>
        <w:t>ent was recorded in Pant basmati1 (54.99%) and Pant Sugandh21(55.96%) while the lowest reduction (19.45%) was recorded in CSR36. Further pre-treatment with 30µM GA</w:t>
      </w:r>
      <w:proofErr w:type="gramStart"/>
      <w:r>
        <w:rPr>
          <w:rFonts w:ascii="Arial" w:hAnsi="Arial" w:cs="Arial"/>
          <w:vertAlign w:val="subscript"/>
        </w:rPr>
        <w:t xml:space="preserve">3 </w:t>
      </w:r>
      <w:r>
        <w:rPr>
          <w:rFonts w:ascii="Arial" w:hAnsi="Arial" w:cs="Arial"/>
        </w:rPr>
        <w:t xml:space="preserve"> improved</w:t>
      </w:r>
      <w:proofErr w:type="gramEnd"/>
      <w:r>
        <w:rPr>
          <w:rFonts w:ascii="Arial" w:hAnsi="Arial" w:cs="Arial"/>
        </w:rPr>
        <w:t xml:space="preserve"> the alpha-amylase content in all the genotypes as compared to the 100mM NaCl. How</w:t>
      </w:r>
      <w:r>
        <w:rPr>
          <w:rFonts w:ascii="Arial" w:hAnsi="Arial" w:cs="Arial"/>
        </w:rPr>
        <w:t xml:space="preserve">ever, the highest increased (5%) was reported in Pant Basmati1. At 150mM NaCl, and above 85% reduction in alpha-amylase content was recorded in all the </w:t>
      </w:r>
      <w:proofErr w:type="gramStart"/>
      <w:r>
        <w:rPr>
          <w:rFonts w:ascii="Arial" w:hAnsi="Arial" w:cs="Arial"/>
        </w:rPr>
        <w:t>genotypes  CSR</w:t>
      </w:r>
      <w:proofErr w:type="gramEnd"/>
      <w:r>
        <w:rPr>
          <w:rFonts w:ascii="Arial" w:hAnsi="Arial" w:cs="Arial"/>
        </w:rPr>
        <w:t>36. The highest value of alpha-amylase content was recorded in CSR36(12.56ug/g) followed b</w:t>
      </w:r>
      <w:r>
        <w:rPr>
          <w:rFonts w:ascii="Arial" w:hAnsi="Arial" w:cs="Arial"/>
        </w:rPr>
        <w:t>y CSR23(11.56ug/g), respectively. However, pre-treatment with GA</w:t>
      </w:r>
      <w:r>
        <w:rPr>
          <w:rFonts w:ascii="Arial" w:hAnsi="Arial" w:cs="Arial"/>
          <w:vertAlign w:val="subscript"/>
        </w:rPr>
        <w:t>3</w:t>
      </w:r>
      <w:r>
        <w:rPr>
          <w:rFonts w:ascii="Arial" w:hAnsi="Arial" w:cs="Arial"/>
        </w:rPr>
        <w:t xml:space="preserve"> improved the amylase content in all the genotypes. While 30 µM GA</w:t>
      </w:r>
      <w:proofErr w:type="gramStart"/>
      <w:r>
        <w:rPr>
          <w:rFonts w:ascii="Arial" w:hAnsi="Arial" w:cs="Arial"/>
          <w:vertAlign w:val="subscript"/>
        </w:rPr>
        <w:t xml:space="preserve">3 </w:t>
      </w:r>
      <w:r>
        <w:rPr>
          <w:rFonts w:ascii="Arial" w:hAnsi="Arial" w:cs="Arial"/>
        </w:rPr>
        <w:t xml:space="preserve"> treatment</w:t>
      </w:r>
      <w:proofErr w:type="gramEnd"/>
      <w:r>
        <w:rPr>
          <w:rFonts w:ascii="Arial" w:hAnsi="Arial" w:cs="Arial"/>
        </w:rPr>
        <w:t xml:space="preserve"> showed  maximum amylase content in all the genotypes  as compared to the 150mM NaCl. </w:t>
      </w:r>
    </w:p>
    <w:p w:rsidR="007F3A31" w:rsidRDefault="007F3A31">
      <w:pPr>
        <w:spacing w:line="360" w:lineRule="auto"/>
        <w:jc w:val="both"/>
        <w:rPr>
          <w:rFonts w:ascii="Arial" w:hAnsi="Arial" w:cs="Arial"/>
          <w:b/>
          <w:bCs/>
        </w:rPr>
      </w:pPr>
    </w:p>
    <w:p w:rsidR="007F3A31" w:rsidRDefault="0066394B">
      <w:pPr>
        <w:spacing w:line="360" w:lineRule="auto"/>
        <w:jc w:val="both"/>
        <w:rPr>
          <w:rFonts w:ascii="Arial" w:hAnsi="Arial" w:cs="Arial"/>
          <w:b/>
          <w:bCs/>
        </w:rPr>
      </w:pPr>
      <w:r>
        <w:rPr>
          <w:rFonts w:ascii="Arial" w:hAnsi="Arial" w:cs="Arial"/>
          <w:b/>
          <w:bCs/>
          <w:sz w:val="22"/>
          <w:szCs w:val="22"/>
          <w:lang w:val="en-IN"/>
        </w:rPr>
        <w:t>3.7</w:t>
      </w:r>
      <w:r>
        <w:rPr>
          <w:rFonts w:ascii="Arial" w:hAnsi="Arial" w:cs="Arial"/>
          <w:b/>
          <w:bCs/>
          <w:sz w:val="22"/>
          <w:szCs w:val="22"/>
        </w:rPr>
        <w:t xml:space="preserve"> Principal Component Analysis</w:t>
      </w:r>
      <w:r>
        <w:rPr>
          <w:rFonts w:ascii="Arial" w:hAnsi="Arial" w:cs="Arial"/>
          <w:b/>
          <w:bCs/>
        </w:rPr>
        <w:t>:</w:t>
      </w:r>
    </w:p>
    <w:p w:rsidR="007F3A31" w:rsidRDefault="0066394B">
      <w:pPr>
        <w:spacing w:line="360" w:lineRule="auto"/>
        <w:ind w:firstLine="720"/>
        <w:jc w:val="both"/>
        <w:rPr>
          <w:rFonts w:ascii="Arial" w:hAnsi="Arial" w:cs="Arial"/>
        </w:rPr>
      </w:pPr>
      <w:r>
        <w:rPr>
          <w:rFonts w:ascii="Arial" w:hAnsi="Arial" w:cs="Arial"/>
        </w:rPr>
        <w:t xml:space="preserve">Principle component analysis (PCA) for Seedling </w:t>
      </w:r>
      <w:proofErr w:type="spellStart"/>
      <w:r>
        <w:rPr>
          <w:rFonts w:ascii="Arial" w:hAnsi="Arial" w:cs="Arial"/>
        </w:rPr>
        <w:t>vigour</w:t>
      </w:r>
      <w:proofErr w:type="spellEnd"/>
      <w:r>
        <w:rPr>
          <w:rFonts w:ascii="Arial" w:hAnsi="Arial" w:cs="Arial"/>
        </w:rPr>
        <w:t xml:space="preserve"> index and salt tolerant index revealed that treatments viz 150mM NaCl+20µM GA</w:t>
      </w:r>
      <w:r>
        <w:rPr>
          <w:rFonts w:ascii="Arial" w:hAnsi="Arial" w:cs="Arial"/>
          <w:vertAlign w:val="subscript"/>
        </w:rPr>
        <w:t>3</w:t>
      </w:r>
      <w:r>
        <w:rPr>
          <w:rFonts w:ascii="Arial" w:hAnsi="Arial" w:cs="Arial"/>
        </w:rPr>
        <w:t>, 150 NaCl,150NaCl+30µM GA</w:t>
      </w:r>
      <w:r>
        <w:rPr>
          <w:rFonts w:ascii="Arial" w:hAnsi="Arial" w:cs="Arial"/>
          <w:vertAlign w:val="subscript"/>
        </w:rPr>
        <w:t>3</w:t>
      </w:r>
      <w:r>
        <w:rPr>
          <w:rFonts w:ascii="Arial" w:hAnsi="Arial" w:cs="Arial"/>
        </w:rPr>
        <w:t xml:space="preserve"> and 100mM NaCl lies opposite quadrate in biplot. In treatments, </w:t>
      </w:r>
      <w:r>
        <w:rPr>
          <w:rFonts w:ascii="Arial" w:hAnsi="Arial" w:cs="Arial"/>
        </w:rPr>
        <w:t xml:space="preserve">PCA for SVI revealed that the first two principal components explained the total variation of 98.1% (PC1=90.16%, PC2=7.94%). While, PCA for the Salt tolerance index revealed that the first two principal </w:t>
      </w:r>
      <w:proofErr w:type="gramStart"/>
      <w:r>
        <w:rPr>
          <w:rFonts w:ascii="Arial" w:hAnsi="Arial" w:cs="Arial"/>
        </w:rPr>
        <w:t>component  explained</w:t>
      </w:r>
      <w:proofErr w:type="gramEnd"/>
      <w:r>
        <w:rPr>
          <w:rFonts w:ascii="Arial" w:hAnsi="Arial" w:cs="Arial"/>
        </w:rPr>
        <w:t xml:space="preserve"> total of 98.97% variation (PC1=9</w:t>
      </w:r>
      <w:r>
        <w:rPr>
          <w:rFonts w:ascii="Arial" w:hAnsi="Arial" w:cs="Arial"/>
        </w:rPr>
        <w:t>1.09, PC2=7.88).The magnitude of each quantitative trait in different treatments is shown in Figure 5. and the treatment on same side of the quantitative trait has a higher value for the quantitative trait and vice versa.</w:t>
      </w:r>
    </w:p>
    <w:p w:rsidR="007F3A31" w:rsidRDefault="007F3A31">
      <w:pPr>
        <w:spacing w:line="360" w:lineRule="auto"/>
        <w:jc w:val="both"/>
        <w:rPr>
          <w:rFonts w:ascii="Arial" w:hAnsi="Arial" w:cs="Arial"/>
          <w:b/>
          <w:bCs/>
        </w:rPr>
      </w:pPr>
    </w:p>
    <w:p w:rsidR="007F3A31" w:rsidRDefault="0066394B">
      <w:pPr>
        <w:spacing w:line="360" w:lineRule="auto"/>
        <w:jc w:val="both"/>
        <w:rPr>
          <w:rFonts w:ascii="Arial" w:hAnsi="Arial" w:cs="Arial"/>
          <w:b/>
          <w:bCs/>
          <w:sz w:val="22"/>
          <w:szCs w:val="22"/>
        </w:rPr>
      </w:pPr>
      <w:r>
        <w:rPr>
          <w:rFonts w:ascii="Arial" w:hAnsi="Arial" w:cs="Arial"/>
          <w:b/>
          <w:bCs/>
          <w:sz w:val="22"/>
          <w:szCs w:val="22"/>
          <w:lang w:val="en-IN"/>
        </w:rPr>
        <w:t xml:space="preserve">4 </w:t>
      </w:r>
      <w:r>
        <w:rPr>
          <w:rFonts w:ascii="Arial" w:hAnsi="Arial" w:cs="Arial"/>
          <w:b/>
          <w:bCs/>
          <w:sz w:val="22"/>
          <w:szCs w:val="22"/>
        </w:rPr>
        <w:t xml:space="preserve">Discussion </w:t>
      </w:r>
    </w:p>
    <w:p w:rsidR="007F3A31" w:rsidRDefault="0066394B">
      <w:pPr>
        <w:spacing w:line="360" w:lineRule="auto"/>
        <w:ind w:firstLine="720"/>
        <w:jc w:val="both"/>
        <w:rPr>
          <w:rFonts w:ascii="Arial" w:hAnsi="Arial" w:cs="Arial"/>
          <w:lang w:val="en-IN"/>
        </w:rPr>
      </w:pPr>
      <w:r>
        <w:rPr>
          <w:rFonts w:ascii="Arial" w:hAnsi="Arial" w:cs="Arial"/>
        </w:rPr>
        <w:t>Rice is a salt susc</w:t>
      </w:r>
      <w:r>
        <w:rPr>
          <w:rFonts w:ascii="Arial" w:hAnsi="Arial" w:cs="Arial"/>
        </w:rPr>
        <w:t>eptible crop and highly sensitive to the germination stage. Healthy seedling growth and high germination are essential for crop establishment, which is necessary for reaching economical yield, if there is good germination and seedling growth than there wou</w:t>
      </w:r>
      <w:r>
        <w:rPr>
          <w:rFonts w:ascii="Arial" w:hAnsi="Arial" w:cs="Arial"/>
        </w:rPr>
        <w:t>ld be adequate seedlings which will lead to proper plant density. In the present experiment four genotypes (Pant Basmati1, PantBasmati2, PantSugandh21 and CSR36), showed genotypic variation to different salinity levels. Moreover, there was variation in the</w:t>
      </w:r>
      <w:r>
        <w:rPr>
          <w:rFonts w:ascii="Arial" w:hAnsi="Arial" w:cs="Arial"/>
        </w:rPr>
        <w:t xml:space="preserve"> germination percentage and seedling growth characteristics. However, with increased salinity germination is reduced in all the genotypes. A significant reduction was observed in all the genotypes</w:t>
      </w:r>
      <w:r>
        <w:rPr>
          <w:rFonts w:ascii="Arial" w:hAnsi="Arial" w:cs="Arial"/>
          <w:lang w:val="en-IN"/>
        </w:rPr>
        <w:t xml:space="preserve"> </w:t>
      </w:r>
      <w:r>
        <w:rPr>
          <w:rFonts w:ascii="Arial" w:hAnsi="Arial" w:cs="Arial"/>
        </w:rPr>
        <w:t>above 100mM NaCl, although CSR36 showed less reduction as c</w:t>
      </w:r>
      <w:r>
        <w:rPr>
          <w:rFonts w:ascii="Arial" w:hAnsi="Arial" w:cs="Arial"/>
        </w:rPr>
        <w:t>ompare to the others</w:t>
      </w:r>
      <w:r>
        <w:rPr>
          <w:rFonts w:ascii="Arial" w:hAnsi="Arial" w:cs="Arial"/>
          <w:lang w:val="en-IN"/>
        </w:rPr>
        <w:t>.</w:t>
      </w:r>
    </w:p>
    <w:p w:rsidR="007F3A31" w:rsidRDefault="0066394B">
      <w:pPr>
        <w:spacing w:line="360" w:lineRule="auto"/>
        <w:jc w:val="both"/>
        <w:rPr>
          <w:rFonts w:ascii="Arial" w:hAnsi="Arial" w:cs="Arial"/>
          <w:lang w:val="en-IN"/>
        </w:rPr>
      </w:pPr>
      <w:r>
        <w:rPr>
          <w:rFonts w:ascii="Arial" w:hAnsi="Arial" w:cs="Arial"/>
          <w:lang w:val="en-IN"/>
        </w:rPr>
        <w:t xml:space="preserve">Inhibition  in germination during stress condition is due to the  reduction of  bioactive GAs  which down regulate the Alpha amylase  activity responsible for starch hydrolysis and devoid the seedling of energy and osmotic support </w:t>
      </w:r>
      <w:r>
        <w:rPr>
          <w:rFonts w:ascii="Arial" w:hAnsi="Arial" w:cs="Arial"/>
          <w:lang w:val="en-IN"/>
        </w:rPr>
        <w:t xml:space="preserve">necessary to initiate </w:t>
      </w:r>
      <w:proofErr w:type="spellStart"/>
      <w:r>
        <w:rPr>
          <w:rFonts w:ascii="Arial" w:hAnsi="Arial" w:cs="Arial"/>
          <w:lang w:val="en-IN"/>
        </w:rPr>
        <w:t>germination.</w:t>
      </w:r>
      <w:r>
        <w:rPr>
          <w:rFonts w:ascii="Arial" w:eastAsia="SimSun" w:hAnsi="Arial" w:cs="Arial"/>
          <w:lang w:val="en-IN"/>
        </w:rPr>
        <w:t>Under</w:t>
      </w:r>
      <w:proofErr w:type="spellEnd"/>
      <w:r>
        <w:rPr>
          <w:rFonts w:ascii="Arial" w:eastAsia="SimSun" w:hAnsi="Arial" w:cs="Arial"/>
          <w:lang w:val="en-IN"/>
        </w:rPr>
        <w:t xml:space="preserve"> normal condition bioactive GA </w:t>
      </w:r>
      <w:r>
        <w:rPr>
          <w:rFonts w:ascii="Arial" w:eastAsia="SimSun" w:hAnsi="Arial" w:cs="Arial"/>
        </w:rPr>
        <w:t xml:space="preserve"> triggers α</w:t>
      </w:r>
      <w:r>
        <w:rPr>
          <w:rFonts w:ascii="Arial" w:eastAsia="SimSun" w:hAnsi="Arial" w:cs="Arial"/>
        </w:rPr>
        <w:noBreakHyphen/>
        <w:t xml:space="preserve">amylase production in aleurone </w:t>
      </w:r>
      <w:r>
        <w:rPr>
          <w:rFonts w:ascii="Arial" w:eastAsia="SimSun" w:hAnsi="Arial" w:cs="Arial"/>
          <w:lang w:val="en-IN"/>
        </w:rPr>
        <w:t>layer</w:t>
      </w:r>
      <w:r>
        <w:rPr>
          <w:rFonts w:ascii="Arial" w:eastAsia="SimSun" w:hAnsi="Arial" w:cs="Arial"/>
        </w:rPr>
        <w:t xml:space="preserve"> </w:t>
      </w:r>
      <w:r>
        <w:rPr>
          <w:rFonts w:ascii="Arial" w:eastAsia="SimSun" w:hAnsi="Arial" w:cs="Arial"/>
          <w:lang w:val="en-IN"/>
        </w:rPr>
        <w:t xml:space="preserve">which </w:t>
      </w:r>
      <w:r>
        <w:rPr>
          <w:rFonts w:ascii="Arial" w:eastAsia="SimSun" w:hAnsi="Arial" w:cs="Arial"/>
        </w:rPr>
        <w:t xml:space="preserve"> diffuses from the embryo, activates GID1-DELLA </w:t>
      </w:r>
      <w:proofErr w:type="spellStart"/>
      <w:r>
        <w:rPr>
          <w:rFonts w:ascii="Arial" w:eastAsia="SimSun" w:hAnsi="Arial" w:cs="Arial"/>
          <w:lang w:val="en-IN"/>
        </w:rPr>
        <w:t>signaling</w:t>
      </w:r>
      <w:proofErr w:type="spellEnd"/>
      <w:r>
        <w:rPr>
          <w:rFonts w:ascii="Arial" w:eastAsia="SimSun" w:hAnsi="Arial" w:cs="Arial"/>
          <w:lang w:val="en-IN"/>
        </w:rPr>
        <w:t xml:space="preserve"> pathways </w:t>
      </w:r>
      <w:r>
        <w:rPr>
          <w:rFonts w:ascii="Arial" w:eastAsia="SimSun" w:hAnsi="Arial" w:cs="Arial"/>
        </w:rPr>
        <w:t>, and promotes α</w:t>
      </w:r>
      <w:r>
        <w:rPr>
          <w:rFonts w:ascii="Arial" w:eastAsia="SimSun" w:hAnsi="Arial" w:cs="Arial"/>
        </w:rPr>
        <w:noBreakHyphen/>
        <w:t xml:space="preserve">amylase gene expression </w:t>
      </w:r>
      <w:proofErr w:type="spellStart"/>
      <w:r>
        <w:rPr>
          <w:rFonts w:ascii="Arial" w:eastAsia="SimSun" w:hAnsi="Arial" w:cs="Arial"/>
          <w:lang w:val="en-IN"/>
        </w:rPr>
        <w:t>I.e</w:t>
      </w:r>
      <w:proofErr w:type="spellEnd"/>
      <w:r>
        <w:rPr>
          <w:rFonts w:ascii="Arial" w:eastAsia="SimSun" w:hAnsi="Arial" w:cs="Arial"/>
          <w:lang w:val="en-IN"/>
        </w:rPr>
        <w:t xml:space="preserve"> </w:t>
      </w:r>
      <w:r>
        <w:rPr>
          <w:rStyle w:val="Emphasis"/>
          <w:rFonts w:ascii="Arial" w:eastAsia="SimSun" w:hAnsi="Arial" w:cs="Arial"/>
          <w:i w:val="0"/>
          <w:iCs w:val="0"/>
        </w:rPr>
        <w:t>Amy1</w:t>
      </w:r>
      <w:r>
        <w:rPr>
          <w:rFonts w:ascii="Arial" w:eastAsia="SimSun" w:hAnsi="Arial" w:cs="Arial"/>
        </w:rPr>
        <w:t xml:space="preserve">, </w:t>
      </w:r>
      <w:r>
        <w:rPr>
          <w:rStyle w:val="Emphasis"/>
          <w:rFonts w:ascii="Arial" w:eastAsia="SimSun" w:hAnsi="Arial" w:cs="Arial"/>
          <w:i w:val="0"/>
          <w:iCs w:val="0"/>
        </w:rPr>
        <w:t>Amy2</w:t>
      </w:r>
      <w:r>
        <w:rPr>
          <w:rFonts w:ascii="Arial" w:eastAsia="SimSun" w:hAnsi="Arial" w:cs="Arial"/>
        </w:rPr>
        <w:t xml:space="preserve">, </w:t>
      </w:r>
      <w:r>
        <w:rPr>
          <w:rStyle w:val="Emphasis"/>
          <w:rFonts w:ascii="Arial" w:eastAsia="SimSun" w:hAnsi="Arial" w:cs="Arial"/>
          <w:i w:val="0"/>
          <w:iCs w:val="0"/>
        </w:rPr>
        <w:t>Amy3</w:t>
      </w:r>
      <w:r>
        <w:rPr>
          <w:rStyle w:val="Emphasis"/>
          <w:rFonts w:ascii="Arial" w:eastAsia="SimSun" w:hAnsi="Arial" w:cs="Arial"/>
          <w:i w:val="0"/>
          <w:iCs w:val="0"/>
          <w:lang w:val="en-IN"/>
        </w:rPr>
        <w:t xml:space="preserve"> </w:t>
      </w:r>
      <w:r>
        <w:rPr>
          <w:rFonts w:ascii="Arial" w:eastAsia="SimSun" w:hAnsi="Arial" w:cs="Arial"/>
        </w:rPr>
        <w:t>)</w:t>
      </w:r>
      <w:r>
        <w:rPr>
          <w:rFonts w:ascii="Arial" w:eastAsia="SimSun" w:hAnsi="Arial" w:cs="Arial"/>
          <w:lang w:val="en-IN"/>
        </w:rPr>
        <w:t>(</w:t>
      </w:r>
      <w:hyperlink r:id="rId14" w:history="1">
        <w:r>
          <w:rPr>
            <w:rStyle w:val="Hyperlink"/>
            <w:rFonts w:ascii="Arial" w:eastAsia="Bahnschrift" w:hAnsi="Arial" w:cs="Arial"/>
            <w:color w:val="auto"/>
            <w:u w:val="none"/>
            <w:shd w:val="clear" w:color="auto" w:fill="FFFFFF"/>
          </w:rPr>
          <w:t>Miyuki Kaneko</w:t>
        </w:r>
      </w:hyperlink>
      <w:r>
        <w:rPr>
          <w:rFonts w:ascii="Arial" w:eastAsia="Bahnschrift" w:hAnsi="Arial" w:cs="Arial"/>
          <w:shd w:val="clear" w:color="auto" w:fill="FFFFFF"/>
          <w:lang w:val="en-IN"/>
        </w:rPr>
        <w:t>,2002)</w:t>
      </w:r>
    </w:p>
    <w:p w:rsidR="007F3A31" w:rsidRDefault="0066394B">
      <w:pPr>
        <w:spacing w:line="360" w:lineRule="auto"/>
        <w:ind w:firstLine="720"/>
        <w:jc w:val="both"/>
        <w:rPr>
          <w:rFonts w:ascii="Arial" w:hAnsi="Arial" w:cs="Arial"/>
        </w:rPr>
      </w:pPr>
      <w:r>
        <w:rPr>
          <w:rFonts w:ascii="Arial" w:hAnsi="Arial" w:cs="Arial"/>
        </w:rPr>
        <w:t xml:space="preserve">Present findings </w:t>
      </w:r>
      <w:proofErr w:type="gramStart"/>
      <w:r>
        <w:rPr>
          <w:rFonts w:ascii="Arial" w:hAnsi="Arial" w:cs="Arial"/>
        </w:rPr>
        <w:t>are in agreement</w:t>
      </w:r>
      <w:proofErr w:type="gramEnd"/>
      <w:r>
        <w:rPr>
          <w:rFonts w:ascii="Arial" w:hAnsi="Arial" w:cs="Arial"/>
        </w:rPr>
        <w:t xml:space="preserve"> with previous studies in rice, which concluded that seed germination and early seedling growth of rice is highly sensitive to </w:t>
      </w:r>
      <w:r>
        <w:rPr>
          <w:rFonts w:ascii="Arial" w:hAnsi="Arial" w:cs="Arial"/>
        </w:rPr>
        <w:t xml:space="preserve">salt stress because of the marked effects of osmotic stress and specific ion toxicity on the growth stages, their results showed that on increasing salinity from 4 to 20 </w:t>
      </w:r>
      <w:proofErr w:type="spellStart"/>
      <w:r>
        <w:rPr>
          <w:rFonts w:ascii="Arial" w:hAnsi="Arial" w:cs="Arial"/>
        </w:rPr>
        <w:t>dS</w:t>
      </w:r>
      <w:proofErr w:type="spellEnd"/>
      <w:r>
        <w:rPr>
          <w:rFonts w:ascii="Arial" w:hAnsi="Arial" w:cs="Arial"/>
        </w:rPr>
        <w:t xml:space="preserve"> m</w:t>
      </w:r>
      <w:r>
        <w:rPr>
          <w:rFonts w:ascii="Arial" w:hAnsi="Arial" w:cs="Arial"/>
          <w:vertAlign w:val="superscript"/>
        </w:rPr>
        <w:t>-1</w:t>
      </w:r>
      <w:r>
        <w:rPr>
          <w:rFonts w:ascii="Arial" w:hAnsi="Arial" w:cs="Arial"/>
        </w:rPr>
        <w:t xml:space="preserve">, germination in all the rice genotypes reduced significantly. While at 20 </w:t>
      </w:r>
      <w:proofErr w:type="spellStart"/>
      <w:r>
        <w:rPr>
          <w:rFonts w:ascii="Arial" w:hAnsi="Arial" w:cs="Arial"/>
        </w:rPr>
        <w:t>dS</w:t>
      </w:r>
      <w:proofErr w:type="spellEnd"/>
      <w:r>
        <w:rPr>
          <w:rFonts w:ascii="Arial" w:hAnsi="Arial" w:cs="Arial"/>
        </w:rPr>
        <w:t xml:space="preserve"> m-</w:t>
      </w:r>
      <w:r>
        <w:rPr>
          <w:rFonts w:ascii="Arial" w:hAnsi="Arial" w:cs="Arial"/>
        </w:rPr>
        <w:t xml:space="preserve">1 germination was completely inhibited for all the genotypes. Overall genotypes, MR211, MR232 and IR20 showed better tolerance up to 12 </w:t>
      </w:r>
      <w:proofErr w:type="spellStart"/>
      <w:r>
        <w:rPr>
          <w:rFonts w:ascii="Arial" w:hAnsi="Arial" w:cs="Arial"/>
        </w:rPr>
        <w:t>dS</w:t>
      </w:r>
      <w:proofErr w:type="spellEnd"/>
      <w:r>
        <w:rPr>
          <w:rFonts w:ascii="Arial" w:hAnsi="Arial" w:cs="Arial"/>
        </w:rPr>
        <w:t xml:space="preserve"> m-1. The weakness of seeds to germinate under salt stress may be due to embryo damage by Na</w:t>
      </w:r>
      <w:r>
        <w:rPr>
          <w:rFonts w:ascii="Arial" w:hAnsi="Arial" w:cs="Arial"/>
          <w:vertAlign w:val="superscript"/>
        </w:rPr>
        <w:t>+</w:t>
      </w:r>
      <w:r>
        <w:rPr>
          <w:rFonts w:ascii="Arial" w:hAnsi="Arial" w:cs="Arial"/>
        </w:rPr>
        <w:t>/Cl</w:t>
      </w:r>
      <w:r>
        <w:rPr>
          <w:rFonts w:ascii="Arial" w:hAnsi="Arial" w:cs="Arial"/>
          <w:vertAlign w:val="superscript"/>
        </w:rPr>
        <w:t xml:space="preserve">- </w:t>
      </w:r>
      <w:r>
        <w:rPr>
          <w:rFonts w:ascii="Arial" w:hAnsi="Arial" w:cs="Arial"/>
        </w:rPr>
        <w:t>ions or inhibition o</w:t>
      </w:r>
      <w:r>
        <w:rPr>
          <w:rFonts w:ascii="Arial" w:hAnsi="Arial" w:cs="Arial"/>
        </w:rPr>
        <w:t>f seed water imbibition (Hakim et al., 2010). Further pre-treatment with 30µM GA</w:t>
      </w:r>
      <w:r>
        <w:rPr>
          <w:rFonts w:ascii="Arial" w:hAnsi="Arial" w:cs="Arial"/>
          <w:vertAlign w:val="subscript"/>
        </w:rPr>
        <w:t xml:space="preserve">3 </w:t>
      </w:r>
      <w:r>
        <w:rPr>
          <w:rFonts w:ascii="Arial" w:hAnsi="Arial" w:cs="Arial"/>
        </w:rPr>
        <w:t>significantly improved the germination up to higher salinity (100 and150mM NaCl). The pre-soaked wheat seedlings with 0.58mM GA</w:t>
      </w:r>
      <w:r>
        <w:rPr>
          <w:rFonts w:ascii="Arial" w:hAnsi="Arial" w:cs="Arial"/>
          <w:vertAlign w:val="subscript"/>
        </w:rPr>
        <w:t xml:space="preserve">3 </w:t>
      </w:r>
      <w:r>
        <w:rPr>
          <w:rFonts w:ascii="Arial" w:hAnsi="Arial" w:cs="Arial"/>
        </w:rPr>
        <w:t>alleviates the toxic effect of salinity by im</w:t>
      </w:r>
      <w:r>
        <w:rPr>
          <w:rFonts w:ascii="Arial" w:hAnsi="Arial" w:cs="Arial"/>
        </w:rPr>
        <w:t xml:space="preserve">proving amylase activity in seedlings </w:t>
      </w:r>
      <w:r>
        <w:rPr>
          <w:rFonts w:ascii="Arial" w:hAnsi="Arial" w:cs="Arial"/>
        </w:rPr>
        <w:lastRenderedPageBreak/>
        <w:t xml:space="preserve">which </w:t>
      </w:r>
      <w:proofErr w:type="spellStart"/>
      <w:r>
        <w:rPr>
          <w:rFonts w:ascii="Arial" w:hAnsi="Arial" w:cs="Arial"/>
        </w:rPr>
        <w:t>hydrolysed</w:t>
      </w:r>
      <w:proofErr w:type="spellEnd"/>
      <w:r>
        <w:rPr>
          <w:rFonts w:ascii="Arial" w:hAnsi="Arial" w:cs="Arial"/>
        </w:rPr>
        <w:t xml:space="preserve"> storage material i.e., starch and transform into simple sugars that ultimately leads to better germination and seedling growth (Ibrahim et al., 2019).</w:t>
      </w:r>
    </w:p>
    <w:p w:rsidR="007F3A31" w:rsidRDefault="0066394B">
      <w:pPr>
        <w:spacing w:line="360" w:lineRule="auto"/>
        <w:ind w:firstLine="720"/>
        <w:jc w:val="both"/>
        <w:rPr>
          <w:rFonts w:ascii="Arial" w:hAnsi="Arial" w:cs="Arial"/>
        </w:rPr>
      </w:pPr>
      <w:r>
        <w:rPr>
          <w:rFonts w:ascii="Arial" w:hAnsi="Arial" w:cs="Arial"/>
        </w:rPr>
        <w:t>With increasing salinity, seedling growth, root an</w:t>
      </w:r>
      <w:r>
        <w:rPr>
          <w:rFonts w:ascii="Arial" w:hAnsi="Arial" w:cs="Arial"/>
        </w:rPr>
        <w:t>d shoot length, and dry weight of seedlings are negatively affected, rate of reduction was more prominent at higher salinity levels (100 and 150mM NaCl). Whereas with increased salinity, reduction in root length was more prominent as compare to the shoot l</w:t>
      </w:r>
      <w:r>
        <w:rPr>
          <w:rFonts w:ascii="Arial" w:hAnsi="Arial" w:cs="Arial"/>
        </w:rPr>
        <w:t>ength. Overall CSR36 had a lower rate of reduction among all the genotypes. Salinity screening of 30 rice genotypes revealed that growth was adversely affected by increased salt concentration but sensitive genotypes were more adversely affected by an incre</w:t>
      </w:r>
      <w:r>
        <w:rPr>
          <w:rFonts w:ascii="Arial" w:hAnsi="Arial" w:cs="Arial"/>
        </w:rPr>
        <w:t>ased salt concentration while certain genotypes, including CSR36, were less affected (Rima et al., 2018). Similarly, the reduction in the ratio of the root shoot was less than 5% at a concentration of 5 dsm</w:t>
      </w:r>
      <w:r>
        <w:rPr>
          <w:rFonts w:ascii="Arial" w:hAnsi="Arial" w:cs="Arial"/>
          <w:vertAlign w:val="superscript"/>
        </w:rPr>
        <w:t>-1</w:t>
      </w:r>
      <w:r>
        <w:rPr>
          <w:rFonts w:ascii="Arial" w:hAnsi="Arial" w:cs="Arial"/>
        </w:rPr>
        <w:t xml:space="preserve"> for sensitive cultivars (</w:t>
      </w:r>
      <w:proofErr w:type="spellStart"/>
      <w:r>
        <w:rPr>
          <w:rFonts w:ascii="Arial" w:hAnsi="Arial" w:cs="Arial"/>
        </w:rPr>
        <w:t>Olugundudu</w:t>
      </w:r>
      <w:proofErr w:type="spellEnd"/>
      <w:r>
        <w:rPr>
          <w:rFonts w:ascii="Arial" w:hAnsi="Arial" w:cs="Arial"/>
        </w:rPr>
        <w:t xml:space="preserve"> et al., 201</w:t>
      </w:r>
      <w:r>
        <w:rPr>
          <w:rFonts w:ascii="Arial" w:hAnsi="Arial" w:cs="Arial"/>
        </w:rPr>
        <w:t>4). Results agree with another researcher who revealed that root growth under salinity stress was more adversely affected in wheat cultivars as compared to shoot length (Ibrahim et al., 2019). Shoot and root length, dry weight reduced with increased salt c</w:t>
      </w:r>
      <w:r>
        <w:rPr>
          <w:rFonts w:ascii="Arial" w:hAnsi="Arial" w:cs="Arial"/>
        </w:rPr>
        <w:t xml:space="preserve">oncentration from 50 to 150mM in all the rice genotypes however reduction was more pronounced in salt-sensitive </w:t>
      </w:r>
      <w:proofErr w:type="spellStart"/>
      <w:r>
        <w:rPr>
          <w:rFonts w:ascii="Arial" w:hAnsi="Arial" w:cs="Arial"/>
        </w:rPr>
        <w:t>Shaheen</w:t>
      </w:r>
      <w:proofErr w:type="spellEnd"/>
      <w:r>
        <w:rPr>
          <w:rFonts w:ascii="Arial" w:hAnsi="Arial" w:cs="Arial"/>
        </w:rPr>
        <w:t xml:space="preserve"> Basmati while reduction rate was significant at higher salinity i.e.,100 &amp;150mM NaCl (Jamil et al., 2012). Tolerant cultivars have the a</w:t>
      </w:r>
      <w:r>
        <w:rPr>
          <w:rFonts w:ascii="Arial" w:hAnsi="Arial" w:cs="Arial"/>
        </w:rPr>
        <w:t>bility to avoid Na</w:t>
      </w:r>
      <w:r>
        <w:rPr>
          <w:rFonts w:ascii="Arial" w:hAnsi="Arial" w:cs="Arial"/>
          <w:vertAlign w:val="superscript"/>
        </w:rPr>
        <w:t xml:space="preserve">+ </w:t>
      </w:r>
      <w:r>
        <w:rPr>
          <w:rFonts w:ascii="Arial" w:hAnsi="Arial" w:cs="Arial"/>
        </w:rPr>
        <w:t>accumulation and absorb K</w:t>
      </w:r>
      <w:r>
        <w:rPr>
          <w:rFonts w:ascii="Arial" w:hAnsi="Arial" w:cs="Arial"/>
          <w:vertAlign w:val="superscript"/>
        </w:rPr>
        <w:t>+</w:t>
      </w:r>
      <w:r>
        <w:rPr>
          <w:rFonts w:ascii="Arial" w:hAnsi="Arial" w:cs="Arial"/>
        </w:rPr>
        <w:t xml:space="preserve"> to maintain low Na</w:t>
      </w:r>
      <w:r>
        <w:rPr>
          <w:rFonts w:ascii="Arial" w:hAnsi="Arial" w:cs="Arial"/>
          <w:vertAlign w:val="superscript"/>
        </w:rPr>
        <w:t>+</w:t>
      </w:r>
      <w:r>
        <w:rPr>
          <w:rFonts w:ascii="Arial" w:hAnsi="Arial" w:cs="Arial"/>
        </w:rPr>
        <w:t xml:space="preserve"> /K</w:t>
      </w:r>
      <w:r>
        <w:rPr>
          <w:rFonts w:ascii="Arial" w:hAnsi="Arial" w:cs="Arial"/>
          <w:vertAlign w:val="superscript"/>
        </w:rPr>
        <w:t>+</w:t>
      </w:r>
      <w:r>
        <w:rPr>
          <w:rFonts w:ascii="Arial" w:hAnsi="Arial" w:cs="Arial"/>
        </w:rPr>
        <w:t xml:space="preserve"> ratios, which could be a good tolerance determinant for NaCl stress. While sensitive cultivars accumulated a larger amount of Na</w:t>
      </w:r>
      <w:r>
        <w:rPr>
          <w:rFonts w:ascii="Arial" w:hAnsi="Arial" w:cs="Arial"/>
          <w:vertAlign w:val="superscript"/>
        </w:rPr>
        <w:t>+</w:t>
      </w:r>
      <w:r>
        <w:rPr>
          <w:rFonts w:ascii="Arial" w:hAnsi="Arial" w:cs="Arial"/>
        </w:rPr>
        <w:t xml:space="preserve"> and absorbed a smaller amount of K</w:t>
      </w:r>
      <w:r>
        <w:rPr>
          <w:rFonts w:ascii="Arial" w:hAnsi="Arial" w:cs="Arial"/>
          <w:vertAlign w:val="superscript"/>
        </w:rPr>
        <w:t>+</w:t>
      </w:r>
      <w:r>
        <w:rPr>
          <w:rFonts w:ascii="Arial" w:hAnsi="Arial" w:cs="Arial"/>
        </w:rPr>
        <w:t xml:space="preserve"> in roots and shoots</w:t>
      </w:r>
      <w:r>
        <w:rPr>
          <w:rFonts w:ascii="Arial" w:hAnsi="Arial" w:cs="Arial"/>
        </w:rPr>
        <w:t xml:space="preserve"> than the tolerant cultivars. This fact shows that the noticeable variation in sensitivity at different growth stages is due to the difference in Na</w:t>
      </w:r>
      <w:r>
        <w:rPr>
          <w:rFonts w:ascii="Arial" w:hAnsi="Arial" w:cs="Arial"/>
          <w:vertAlign w:val="superscript"/>
        </w:rPr>
        <w:t>+</w:t>
      </w:r>
      <w:r>
        <w:rPr>
          <w:rFonts w:ascii="Arial" w:hAnsi="Arial" w:cs="Arial"/>
        </w:rPr>
        <w:t xml:space="preserve"> and K</w:t>
      </w:r>
      <w:r>
        <w:rPr>
          <w:rFonts w:ascii="Arial" w:hAnsi="Arial" w:cs="Arial"/>
          <w:vertAlign w:val="superscript"/>
        </w:rPr>
        <w:t>+</w:t>
      </w:r>
      <w:r>
        <w:rPr>
          <w:rFonts w:ascii="Arial" w:hAnsi="Arial" w:cs="Arial"/>
        </w:rPr>
        <w:t xml:space="preserve"> aggregation and not to the difference in the physiological adaptation process (</w:t>
      </w:r>
      <w:proofErr w:type="spellStart"/>
      <w:r>
        <w:rPr>
          <w:rFonts w:ascii="Arial" w:hAnsi="Arial" w:cs="Arial"/>
        </w:rPr>
        <w:t>Ferdose</w:t>
      </w:r>
      <w:proofErr w:type="spellEnd"/>
      <w:r>
        <w:rPr>
          <w:rFonts w:ascii="Arial" w:hAnsi="Arial" w:cs="Arial"/>
        </w:rPr>
        <w:t xml:space="preserve"> et al., 2009</w:t>
      </w:r>
      <w:r>
        <w:rPr>
          <w:rFonts w:ascii="Arial" w:hAnsi="Arial" w:cs="Arial"/>
        </w:rPr>
        <w:t>). At high salinity root length of the sensitive cultivar has been adversely affected, root growth is most critical for the survival of the plant at high concentration, while pre-soaking of sensitive and tolerant oat cultivar at 100ppm GA</w:t>
      </w:r>
      <w:r>
        <w:rPr>
          <w:rFonts w:ascii="Arial" w:hAnsi="Arial" w:cs="Arial"/>
          <w:vertAlign w:val="subscript"/>
        </w:rPr>
        <w:t>3</w:t>
      </w:r>
      <w:r>
        <w:rPr>
          <w:rFonts w:ascii="Arial" w:hAnsi="Arial" w:cs="Arial"/>
        </w:rPr>
        <w:t xml:space="preserve"> promotes root an</w:t>
      </w:r>
      <w:r>
        <w:rPr>
          <w:rFonts w:ascii="Arial" w:hAnsi="Arial" w:cs="Arial"/>
        </w:rPr>
        <w:t>d shoot length under salinity stress (Chauhan et al., 2019). Primed seedling of rice genotypes showed an increase in dry weight under salinity stress. Pre-soaking of a wheat cultivar with 0.58mM GA</w:t>
      </w:r>
      <w:r>
        <w:rPr>
          <w:rFonts w:ascii="Arial" w:hAnsi="Arial" w:cs="Arial"/>
          <w:vertAlign w:val="subscript"/>
        </w:rPr>
        <w:t xml:space="preserve">3 </w:t>
      </w:r>
      <w:r>
        <w:rPr>
          <w:rFonts w:ascii="Arial" w:hAnsi="Arial" w:cs="Arial"/>
        </w:rPr>
        <w:t>increased the dry weight up to 76 % under high salinity l</w:t>
      </w:r>
      <w:r>
        <w:rPr>
          <w:rFonts w:ascii="Arial" w:hAnsi="Arial" w:cs="Arial"/>
        </w:rPr>
        <w:t>evels from 100 to 300mM NaCl (Ibrahim et al., 2019).</w:t>
      </w:r>
    </w:p>
    <w:p w:rsidR="007F3A31" w:rsidRDefault="0066394B">
      <w:pPr>
        <w:spacing w:line="360" w:lineRule="auto"/>
        <w:ind w:firstLine="720"/>
        <w:jc w:val="both"/>
        <w:rPr>
          <w:rFonts w:ascii="Arial" w:hAnsi="Arial" w:cs="Arial"/>
        </w:rPr>
      </w:pPr>
      <w:r>
        <w:rPr>
          <w:rFonts w:ascii="Arial" w:hAnsi="Arial" w:cs="Arial"/>
        </w:rPr>
        <w:t xml:space="preserve">Seedlings with higher </w:t>
      </w:r>
      <w:proofErr w:type="spellStart"/>
      <w:r>
        <w:rPr>
          <w:rFonts w:ascii="Arial" w:hAnsi="Arial" w:cs="Arial"/>
        </w:rPr>
        <w:t>vigour</w:t>
      </w:r>
      <w:proofErr w:type="spellEnd"/>
      <w:r>
        <w:rPr>
          <w:rFonts w:ascii="Arial" w:hAnsi="Arial" w:cs="Arial"/>
        </w:rPr>
        <w:t xml:space="preserve"> can yield strong seedlings that become vigorous and uniform plants. On the other hand, seeds shown to be low in </w:t>
      </w:r>
      <w:proofErr w:type="spellStart"/>
      <w:r>
        <w:rPr>
          <w:rFonts w:ascii="Arial" w:hAnsi="Arial" w:cs="Arial"/>
        </w:rPr>
        <w:t>vigour</w:t>
      </w:r>
      <w:proofErr w:type="spellEnd"/>
      <w:r>
        <w:rPr>
          <w:rFonts w:ascii="Arial" w:hAnsi="Arial" w:cs="Arial"/>
        </w:rPr>
        <w:t>, would create weakened seedlings that will be more pron</w:t>
      </w:r>
      <w:r>
        <w:rPr>
          <w:rFonts w:ascii="Arial" w:hAnsi="Arial" w:cs="Arial"/>
        </w:rPr>
        <w:t xml:space="preserve">e to attack, damage, and other environmental issues. Seedling </w:t>
      </w:r>
      <w:proofErr w:type="spellStart"/>
      <w:r>
        <w:rPr>
          <w:rFonts w:ascii="Arial" w:hAnsi="Arial" w:cs="Arial"/>
        </w:rPr>
        <w:t>vigour</w:t>
      </w:r>
      <w:proofErr w:type="spellEnd"/>
      <w:r>
        <w:rPr>
          <w:rFonts w:ascii="Arial" w:hAnsi="Arial" w:cs="Arial"/>
        </w:rPr>
        <w:t xml:space="preserve"> index was significantly reduced in all the genotypes with increased salt concentrations while at high salinity (100mM NaCl), above 50% reduction was recorded in all genotypes. Similar fin</w:t>
      </w:r>
      <w:r>
        <w:rPr>
          <w:rFonts w:ascii="Arial" w:hAnsi="Arial" w:cs="Arial"/>
        </w:rPr>
        <w:t xml:space="preserve">dings also agreed with our results, they concluded that with increasing salt concentration in maize from 20 to 40mM NaCl, the </w:t>
      </w:r>
      <w:proofErr w:type="spellStart"/>
      <w:r>
        <w:rPr>
          <w:rFonts w:ascii="Arial" w:hAnsi="Arial" w:cs="Arial"/>
        </w:rPr>
        <w:t>vigour</w:t>
      </w:r>
      <w:proofErr w:type="spellEnd"/>
      <w:r>
        <w:rPr>
          <w:rFonts w:ascii="Arial" w:hAnsi="Arial" w:cs="Arial"/>
        </w:rPr>
        <w:t xml:space="preserve"> index decreases from 4.53 and 9.98 % respectively while the highest reduction (94.2 %) was reported at 320mM NaCl (Ahmed at</w:t>
      </w:r>
      <w:r>
        <w:rPr>
          <w:rFonts w:ascii="Arial" w:hAnsi="Arial" w:cs="Arial"/>
        </w:rPr>
        <w:t xml:space="preserve"> al., 2017). Primed seedings with GA</w:t>
      </w:r>
      <w:r>
        <w:rPr>
          <w:rFonts w:ascii="Arial" w:hAnsi="Arial" w:cs="Arial"/>
          <w:vertAlign w:val="subscript"/>
        </w:rPr>
        <w:t xml:space="preserve">3 </w:t>
      </w:r>
      <w:r>
        <w:rPr>
          <w:rFonts w:ascii="Arial" w:hAnsi="Arial" w:cs="Arial"/>
        </w:rPr>
        <w:t xml:space="preserve">showed significant increase in </w:t>
      </w:r>
      <w:proofErr w:type="spellStart"/>
      <w:r>
        <w:rPr>
          <w:rFonts w:ascii="Arial" w:hAnsi="Arial" w:cs="Arial"/>
        </w:rPr>
        <w:t>vigour</w:t>
      </w:r>
      <w:proofErr w:type="spellEnd"/>
      <w:r>
        <w:rPr>
          <w:rFonts w:ascii="Arial" w:hAnsi="Arial" w:cs="Arial"/>
        </w:rPr>
        <w:t xml:space="preserve"> index as compared to the untreated seedlings. Similarly, pre-soaking of 150ppm GA3</w:t>
      </w:r>
      <w:r>
        <w:rPr>
          <w:rFonts w:ascii="Arial" w:hAnsi="Arial" w:cs="Arial"/>
          <w:vertAlign w:val="subscript"/>
        </w:rPr>
        <w:t xml:space="preserve"> </w:t>
      </w:r>
      <w:r>
        <w:rPr>
          <w:rFonts w:ascii="Arial" w:hAnsi="Arial" w:cs="Arial"/>
        </w:rPr>
        <w:t xml:space="preserve">has been shown to increase the </w:t>
      </w:r>
      <w:proofErr w:type="spellStart"/>
      <w:r>
        <w:rPr>
          <w:rFonts w:ascii="Arial" w:hAnsi="Arial" w:cs="Arial"/>
        </w:rPr>
        <w:t>vigour</w:t>
      </w:r>
      <w:proofErr w:type="spellEnd"/>
      <w:r>
        <w:rPr>
          <w:rFonts w:ascii="Arial" w:hAnsi="Arial" w:cs="Arial"/>
        </w:rPr>
        <w:t xml:space="preserve"> index of tolerant oat cultivars at high salinity levels (10</w:t>
      </w:r>
      <w:r>
        <w:rPr>
          <w:rFonts w:ascii="Arial" w:hAnsi="Arial" w:cs="Arial"/>
        </w:rPr>
        <w:t>0 and 150mM), whereas 100ppm GA</w:t>
      </w:r>
      <w:proofErr w:type="gramStart"/>
      <w:r>
        <w:rPr>
          <w:rFonts w:ascii="Arial" w:hAnsi="Arial" w:cs="Arial"/>
          <w:vertAlign w:val="subscript"/>
        </w:rPr>
        <w:t xml:space="preserve">3  </w:t>
      </w:r>
      <w:r>
        <w:rPr>
          <w:rFonts w:ascii="Arial" w:hAnsi="Arial" w:cs="Arial"/>
        </w:rPr>
        <w:t>was</w:t>
      </w:r>
      <w:proofErr w:type="gramEnd"/>
      <w:r>
        <w:rPr>
          <w:rFonts w:ascii="Arial" w:hAnsi="Arial" w:cs="Arial"/>
        </w:rPr>
        <w:t xml:space="preserve"> more effective for sensitive cultivars (Chauhan et al., 2019).</w:t>
      </w:r>
    </w:p>
    <w:p w:rsidR="007F3A31" w:rsidRDefault="0066394B">
      <w:pPr>
        <w:spacing w:line="360" w:lineRule="auto"/>
        <w:ind w:firstLine="720"/>
        <w:jc w:val="both"/>
        <w:rPr>
          <w:rFonts w:ascii="Arial" w:hAnsi="Arial" w:cs="Arial"/>
          <w:b/>
          <w:bCs/>
        </w:rPr>
      </w:pPr>
      <w:r>
        <w:rPr>
          <w:rFonts w:ascii="Arial" w:hAnsi="Arial" w:cs="Arial"/>
        </w:rPr>
        <w:t xml:space="preserve">The salt tolerance index is a heritable measure of plant salt tolerance. Higher value of STI indicates that plants have higher ability to survive in </w:t>
      </w:r>
      <w:r>
        <w:rPr>
          <w:rFonts w:ascii="Arial" w:hAnsi="Arial" w:cs="Arial"/>
        </w:rPr>
        <w:t>salt-stress conditions lower than the value of STI results in poor tolerance toward salinity stress. The salt tolerance index was also reduced in all genotypes while CSR36 exhibits a higher Salt tolerance index in all salinity levels as compared to other c</w:t>
      </w:r>
      <w:r>
        <w:rPr>
          <w:rFonts w:ascii="Arial" w:hAnsi="Arial" w:cs="Arial"/>
        </w:rPr>
        <w:t>ultivars. Results also agreed with the previous findings, which revealed that salt tolerance indices in maize decreased with the increased salinity while the lowest STI was recorded in a high salinity level (250mM) in all maize cultivars (</w:t>
      </w:r>
      <w:proofErr w:type="spellStart"/>
      <w:r>
        <w:rPr>
          <w:rFonts w:ascii="Arial" w:hAnsi="Arial" w:cs="Arial"/>
        </w:rPr>
        <w:t>Carpıcı</w:t>
      </w:r>
      <w:proofErr w:type="spellEnd"/>
      <w:r>
        <w:rPr>
          <w:rFonts w:ascii="Arial" w:hAnsi="Arial" w:cs="Arial"/>
        </w:rPr>
        <w:t xml:space="preserve"> et al., 2</w:t>
      </w:r>
      <w:r>
        <w:rPr>
          <w:rFonts w:ascii="Arial" w:hAnsi="Arial" w:cs="Arial"/>
        </w:rPr>
        <w:t>009). In the present study, results indicate that CSR36 had higher STI among all whereas priming with 30µM GA</w:t>
      </w:r>
      <w:r>
        <w:rPr>
          <w:rFonts w:ascii="Arial" w:hAnsi="Arial" w:cs="Arial"/>
          <w:vertAlign w:val="subscript"/>
        </w:rPr>
        <w:t>3</w:t>
      </w:r>
      <w:r>
        <w:rPr>
          <w:rFonts w:ascii="Arial" w:hAnsi="Arial" w:cs="Arial"/>
        </w:rPr>
        <w:t xml:space="preserve"> significantly improved the tolerance index in all the genotypes.</w:t>
      </w:r>
      <w:r>
        <w:rPr>
          <w:rFonts w:ascii="Arial" w:hAnsi="Arial" w:cs="Arial"/>
          <w:lang w:val="en-IN"/>
        </w:rPr>
        <w:t xml:space="preserve"> </w:t>
      </w:r>
      <w:r>
        <w:rPr>
          <w:rFonts w:ascii="Arial" w:hAnsi="Arial" w:cs="Arial"/>
        </w:rPr>
        <w:t xml:space="preserve">Pre-soaking of </w:t>
      </w:r>
      <w:r>
        <w:rPr>
          <w:rFonts w:ascii="Arial" w:hAnsi="Arial" w:cs="Arial"/>
        </w:rPr>
        <w:t>wheat seeds in 0.58mM GA</w:t>
      </w:r>
      <w:r>
        <w:rPr>
          <w:rFonts w:ascii="Arial" w:hAnsi="Arial" w:cs="Arial"/>
          <w:vertAlign w:val="subscript"/>
        </w:rPr>
        <w:t>3</w:t>
      </w:r>
      <w:r>
        <w:rPr>
          <w:rFonts w:ascii="Arial" w:hAnsi="Arial" w:cs="Arial"/>
        </w:rPr>
        <w:t xml:space="preserve"> greatly increases STI at all salinity l</w:t>
      </w:r>
      <w:r>
        <w:rPr>
          <w:rFonts w:ascii="Arial" w:hAnsi="Arial" w:cs="Arial"/>
        </w:rPr>
        <w:t>evels, GA</w:t>
      </w:r>
      <w:r>
        <w:rPr>
          <w:rFonts w:ascii="Arial" w:hAnsi="Arial" w:cs="Arial"/>
          <w:vertAlign w:val="subscript"/>
        </w:rPr>
        <w:t xml:space="preserve">3 </w:t>
      </w:r>
      <w:r>
        <w:rPr>
          <w:rFonts w:ascii="Arial" w:hAnsi="Arial" w:cs="Arial"/>
        </w:rPr>
        <w:t xml:space="preserve">increased STI by 67.12 % relative to control in </w:t>
      </w:r>
      <w:r>
        <w:rPr>
          <w:rFonts w:ascii="Arial" w:hAnsi="Arial" w:cs="Arial"/>
        </w:rPr>
        <w:t xml:space="preserve">wheat cultivars </w:t>
      </w:r>
      <w:r>
        <w:rPr>
          <w:rFonts w:ascii="Arial" w:hAnsi="Arial" w:cs="Arial"/>
        </w:rPr>
        <w:lastRenderedPageBreak/>
        <w:t xml:space="preserve">at high salinity (Ibrahim et al., 2019). </w:t>
      </w:r>
      <w:r>
        <w:rPr>
          <w:rFonts w:ascii="Arial" w:hAnsi="Arial" w:cs="Arial"/>
          <w:lang w:val="en-IN"/>
        </w:rPr>
        <w:t xml:space="preserve">Salt accumulation leads to ion toxicity that enhance ABA and decline GA activity leads to reduces alpha amylase </w:t>
      </w:r>
      <w:proofErr w:type="gramStart"/>
      <w:r>
        <w:rPr>
          <w:rFonts w:ascii="Arial" w:hAnsi="Arial" w:cs="Arial"/>
          <w:lang w:val="en-IN"/>
        </w:rPr>
        <w:t>activity.</w:t>
      </w:r>
      <w:r>
        <w:rPr>
          <w:rFonts w:ascii="Arial" w:hAnsi="Arial" w:cs="Arial"/>
        </w:rPr>
        <w:t>The</w:t>
      </w:r>
      <w:proofErr w:type="gramEnd"/>
      <w:r>
        <w:rPr>
          <w:rFonts w:ascii="Arial" w:hAnsi="Arial" w:cs="Arial"/>
        </w:rPr>
        <w:t xml:space="preserve"> decreased amyla</w:t>
      </w:r>
      <w:r>
        <w:rPr>
          <w:rFonts w:ascii="Arial" w:hAnsi="Arial" w:cs="Arial"/>
        </w:rPr>
        <w:t>se activity in cotyledons of stressed seedlings could result in a reduced formation of glucose from starch, thereby leading to a decreased synthesis of sucrose and its restricted supply to the embryonic axis, resulting in reduced germination and seedling g</w:t>
      </w:r>
      <w:r>
        <w:rPr>
          <w:rFonts w:ascii="Arial" w:hAnsi="Arial" w:cs="Arial"/>
        </w:rPr>
        <w:t>rowth under water-stressed conditions. This process seems to be partially reversed by the exogenous application of GA</w:t>
      </w:r>
      <w:r>
        <w:rPr>
          <w:rFonts w:ascii="Arial" w:hAnsi="Arial" w:cs="Arial"/>
          <w:vertAlign w:val="subscript"/>
        </w:rPr>
        <w:t>3</w:t>
      </w:r>
      <w:r>
        <w:rPr>
          <w:rFonts w:ascii="Arial" w:hAnsi="Arial" w:cs="Arial"/>
        </w:rPr>
        <w:t xml:space="preserve"> (</w:t>
      </w:r>
      <w:r>
        <w:rPr>
          <w:rFonts w:ascii="Arial" w:hAnsi="Arial" w:cs="Arial"/>
          <w:b/>
          <w:bCs/>
        </w:rPr>
        <w:t xml:space="preserve">Kaur </w:t>
      </w:r>
      <w:r>
        <w:rPr>
          <w:rFonts w:ascii="Arial" w:hAnsi="Arial" w:cs="Arial"/>
          <w:b/>
          <w:bCs/>
          <w:i/>
          <w:iCs/>
        </w:rPr>
        <w:t>et al</w:t>
      </w:r>
      <w:r>
        <w:rPr>
          <w:rFonts w:ascii="Arial" w:hAnsi="Arial" w:cs="Arial"/>
          <w:b/>
          <w:bCs/>
        </w:rPr>
        <w:t>., 2000</w:t>
      </w:r>
      <w:r>
        <w:rPr>
          <w:rFonts w:ascii="Arial" w:hAnsi="Arial" w:cs="Arial"/>
        </w:rPr>
        <w:t xml:space="preserve">). </w:t>
      </w:r>
      <w:r>
        <w:rPr>
          <w:rFonts w:ascii="Arial" w:eastAsia="SimSun" w:hAnsi="Arial" w:cs="Arial"/>
        </w:rPr>
        <w:t>Lipid profiling</w:t>
      </w:r>
      <w:r>
        <w:rPr>
          <w:rFonts w:ascii="Arial" w:eastAsia="SimSun" w:hAnsi="Arial" w:cs="Arial"/>
          <w:lang w:val="en-IN"/>
        </w:rPr>
        <w:t xml:space="preserve"> in rice</w:t>
      </w:r>
      <w:r>
        <w:rPr>
          <w:rFonts w:ascii="Arial" w:eastAsia="SimSun" w:hAnsi="Arial" w:cs="Arial"/>
        </w:rPr>
        <w:t xml:space="preserve"> revealed that salt stress substantially reduced levels of all </w:t>
      </w:r>
      <w:r>
        <w:rPr>
          <w:rFonts w:ascii="Arial" w:eastAsia="SimSun" w:hAnsi="Arial" w:cs="Arial"/>
          <w:lang w:val="en-IN"/>
        </w:rPr>
        <w:t xml:space="preserve">lipids such </w:t>
      </w:r>
      <w:proofErr w:type="gramStart"/>
      <w:r>
        <w:rPr>
          <w:rFonts w:ascii="Arial" w:eastAsia="SimSun" w:hAnsi="Arial" w:cs="Arial"/>
          <w:lang w:val="en-IN"/>
        </w:rPr>
        <w:t xml:space="preserve">as </w:t>
      </w:r>
      <w:r>
        <w:rPr>
          <w:rFonts w:ascii="Arial" w:eastAsia="SimSun" w:hAnsi="Arial" w:cs="Arial"/>
        </w:rPr>
        <w:t xml:space="preserve"> monogalactosyl</w:t>
      </w:r>
      <w:r>
        <w:rPr>
          <w:rFonts w:ascii="Arial" w:eastAsia="SimSun" w:hAnsi="Arial" w:cs="Arial"/>
        </w:rPr>
        <w:t>diacylglycerol</w:t>
      </w:r>
      <w:proofErr w:type="gramEnd"/>
      <w:r>
        <w:rPr>
          <w:rFonts w:ascii="Arial" w:eastAsia="SimSun" w:hAnsi="Arial" w:cs="Arial"/>
        </w:rPr>
        <w:t xml:space="preserve"> (MGDG), </w:t>
      </w:r>
      <w:proofErr w:type="spellStart"/>
      <w:r>
        <w:rPr>
          <w:rFonts w:ascii="Arial" w:eastAsia="SimSun" w:hAnsi="Arial" w:cs="Arial"/>
        </w:rPr>
        <w:t>digalactosyldiacylglycerol</w:t>
      </w:r>
      <w:proofErr w:type="spellEnd"/>
      <w:r>
        <w:rPr>
          <w:rFonts w:ascii="Arial" w:eastAsia="SimSun" w:hAnsi="Arial" w:cs="Arial"/>
        </w:rPr>
        <w:t xml:space="preserve"> (DGDG), and combined phospholipids plus</w:t>
      </w:r>
      <w:r>
        <w:rPr>
          <w:rFonts w:ascii="Arial" w:eastAsia="SimSun" w:hAnsi="Arial" w:cs="Arial"/>
          <w:lang w:val="en-IN"/>
        </w:rPr>
        <w:t xml:space="preserve"> </w:t>
      </w:r>
      <w:proofErr w:type="spellStart"/>
      <w:r>
        <w:rPr>
          <w:rFonts w:ascii="Arial" w:eastAsia="SimSun" w:hAnsi="Arial" w:cs="Arial"/>
          <w:lang w:val="en-IN"/>
        </w:rPr>
        <w:t>diacyglycerol.While,priming</w:t>
      </w:r>
      <w:proofErr w:type="spellEnd"/>
      <w:r>
        <w:rPr>
          <w:rFonts w:ascii="Arial" w:eastAsia="SimSun" w:hAnsi="Arial" w:cs="Arial"/>
          <w:lang w:val="en-IN"/>
        </w:rPr>
        <w:t xml:space="preserve"> with GA3 before salt treatment ,ration of these lipid remains high (</w:t>
      </w:r>
      <w:r>
        <w:rPr>
          <w:rFonts w:ascii="Arial" w:eastAsia="SimSun" w:hAnsi="Arial" w:cs="Arial"/>
          <w:b/>
          <w:bCs/>
          <w:lang w:val="en-IN"/>
        </w:rPr>
        <w:t xml:space="preserve">Liu et al.,2018). </w:t>
      </w:r>
      <w:r>
        <w:rPr>
          <w:rFonts w:ascii="Arial" w:hAnsi="Arial" w:cs="Arial"/>
        </w:rPr>
        <w:t>All GA</w:t>
      </w:r>
      <w:r>
        <w:rPr>
          <w:rFonts w:ascii="Arial" w:hAnsi="Arial" w:cs="Arial"/>
          <w:vertAlign w:val="subscript"/>
        </w:rPr>
        <w:t xml:space="preserve">3 </w:t>
      </w:r>
      <w:r>
        <w:rPr>
          <w:rFonts w:ascii="Arial" w:hAnsi="Arial" w:cs="Arial"/>
        </w:rPr>
        <w:t xml:space="preserve">primed seedlings significantly improved the </w:t>
      </w:r>
      <w:r>
        <w:rPr>
          <w:rFonts w:ascii="Arial" w:hAnsi="Arial" w:cs="Arial"/>
        </w:rPr>
        <w:t>seedling growth in all genotypes. Seedling growth in GA</w:t>
      </w:r>
      <w:r>
        <w:rPr>
          <w:rFonts w:ascii="Arial" w:hAnsi="Arial" w:cs="Arial"/>
          <w:vertAlign w:val="subscript"/>
        </w:rPr>
        <w:t>3</w:t>
      </w:r>
      <w:r>
        <w:rPr>
          <w:rFonts w:ascii="Arial" w:hAnsi="Arial" w:cs="Arial"/>
        </w:rPr>
        <w:t xml:space="preserve"> primed oat seedlings enhanced significantly under salinity stress and mitigates the negative effect of salinity. The increased growth of seedlings is due to an increase in invertase production, which</w:t>
      </w:r>
      <w:r>
        <w:rPr>
          <w:rFonts w:ascii="Arial" w:hAnsi="Arial" w:cs="Arial"/>
        </w:rPr>
        <w:t xml:space="preserve"> improves sucrose transport in the shoot, which has been decreased due to an increase in salinity stress (</w:t>
      </w:r>
      <w:r>
        <w:rPr>
          <w:rFonts w:ascii="Arial" w:hAnsi="Arial" w:cs="Arial"/>
          <w:b/>
          <w:bCs/>
        </w:rPr>
        <w:t xml:space="preserve">Chauhan et al., 2019). </w:t>
      </w:r>
    </w:p>
    <w:p w:rsidR="007F3A31" w:rsidRDefault="007F3A31">
      <w:pPr>
        <w:spacing w:line="360" w:lineRule="auto"/>
        <w:jc w:val="both"/>
        <w:rPr>
          <w:rFonts w:ascii="SimSun" w:eastAsia="SimSun" w:hAnsi="SimSun" w:cs="SimSun"/>
          <w:sz w:val="24"/>
          <w:szCs w:val="24"/>
        </w:rPr>
      </w:pPr>
    </w:p>
    <w:p w:rsidR="007F3A31" w:rsidRDefault="007F3A31">
      <w:pPr>
        <w:spacing w:line="360" w:lineRule="auto"/>
        <w:ind w:firstLine="720"/>
        <w:jc w:val="both"/>
        <w:rPr>
          <w:rFonts w:ascii="Arial" w:hAnsi="Arial" w:cs="Arial"/>
          <w:b/>
          <w:bCs/>
        </w:rPr>
      </w:pPr>
    </w:p>
    <w:p w:rsidR="007F3A31" w:rsidRDefault="0066394B">
      <w:pPr>
        <w:spacing w:line="360" w:lineRule="auto"/>
        <w:ind w:firstLine="720"/>
        <w:jc w:val="both"/>
        <w:rPr>
          <w:rFonts w:ascii="Arial" w:hAnsi="Arial" w:cs="Arial"/>
          <w:b/>
          <w:bCs/>
        </w:rPr>
      </w:pPr>
      <w:r>
        <w:rPr>
          <w:rFonts w:ascii="Arial" w:hAnsi="Arial" w:cs="Arial"/>
          <w:noProof/>
          <w14:ligatures w14:val="standardContextual"/>
        </w:rPr>
        <w:drawing>
          <wp:inline distT="0" distB="0" distL="0" distR="0">
            <wp:extent cx="4798695" cy="3205480"/>
            <wp:effectExtent l="0" t="0" r="1905" b="13970"/>
            <wp:docPr id="138998189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F3A31" w:rsidRDefault="007F3A31">
      <w:pPr>
        <w:spacing w:line="360" w:lineRule="auto"/>
        <w:ind w:firstLine="720"/>
        <w:jc w:val="both"/>
        <w:rPr>
          <w:rFonts w:ascii="Arial" w:hAnsi="Arial" w:cs="Arial"/>
          <w:b/>
          <w:bCs/>
        </w:rPr>
      </w:pPr>
    </w:p>
    <w:p w:rsidR="007F3A31" w:rsidRDefault="0066394B">
      <w:pPr>
        <w:spacing w:line="360" w:lineRule="auto"/>
        <w:jc w:val="both"/>
        <w:rPr>
          <w:rFonts w:ascii="Arial" w:hAnsi="Arial" w:cs="Arial"/>
          <w:sz w:val="22"/>
          <w:szCs w:val="22"/>
        </w:rPr>
      </w:pPr>
      <w:r>
        <w:rPr>
          <w:rFonts w:ascii="Arial" w:hAnsi="Arial" w:cs="Arial"/>
          <w:b/>
          <w:bCs/>
          <w:sz w:val="24"/>
          <w:szCs w:val="24"/>
        </w:rPr>
        <w:t>Figure 1.</w:t>
      </w:r>
      <w:r>
        <w:rPr>
          <w:rFonts w:ascii="Arial" w:hAnsi="Arial" w:cs="Arial"/>
          <w:sz w:val="22"/>
          <w:szCs w:val="22"/>
        </w:rPr>
        <w:t xml:space="preserve"> Effect GA</w:t>
      </w:r>
      <w:r>
        <w:rPr>
          <w:rFonts w:ascii="Arial" w:hAnsi="Arial" w:cs="Arial"/>
          <w:sz w:val="22"/>
          <w:szCs w:val="22"/>
          <w:vertAlign w:val="subscript"/>
        </w:rPr>
        <w:t xml:space="preserve">3 </w:t>
      </w:r>
      <w:r>
        <w:rPr>
          <w:rFonts w:ascii="Arial" w:hAnsi="Arial" w:cs="Arial"/>
          <w:sz w:val="22"/>
          <w:szCs w:val="22"/>
        </w:rPr>
        <w:t xml:space="preserve">concentrations on germination of rice genotypes under different salinity levels. Vertical bars </w:t>
      </w:r>
      <w:r>
        <w:rPr>
          <w:rFonts w:ascii="Arial" w:hAnsi="Arial" w:cs="Arial"/>
          <w:sz w:val="22"/>
          <w:szCs w:val="22"/>
        </w:rPr>
        <w:t>indicate ±standard error.</w:t>
      </w:r>
    </w:p>
    <w:p w:rsidR="007F3A31" w:rsidRDefault="0066394B">
      <w:pPr>
        <w:spacing w:line="360" w:lineRule="auto"/>
        <w:jc w:val="both"/>
        <w:rPr>
          <w:rFonts w:ascii="Arial" w:hAnsi="Arial" w:cs="Arial"/>
          <w:sz w:val="24"/>
          <w:szCs w:val="24"/>
        </w:rPr>
      </w:pPr>
      <w:r>
        <w:rPr>
          <w:rFonts w:ascii="Arial" w:hAnsi="Arial" w:cs="Arial"/>
          <w:noProof/>
          <w14:ligatures w14:val="standardContextual"/>
        </w:rPr>
        <w:lastRenderedPageBreak/>
        <w:drawing>
          <wp:inline distT="0" distB="0" distL="0" distR="0">
            <wp:extent cx="5163820" cy="3459480"/>
            <wp:effectExtent l="4445" t="4445" r="13335" b="22225"/>
            <wp:docPr id="11856797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F3A31" w:rsidRDefault="007F3A31">
      <w:pPr>
        <w:spacing w:line="360" w:lineRule="auto"/>
        <w:jc w:val="both"/>
        <w:rPr>
          <w:rFonts w:ascii="Arial" w:hAnsi="Arial" w:cs="Arial"/>
          <w:sz w:val="24"/>
          <w:szCs w:val="24"/>
        </w:rPr>
      </w:pPr>
    </w:p>
    <w:p w:rsidR="007F3A31" w:rsidRDefault="0066394B">
      <w:pPr>
        <w:spacing w:line="360" w:lineRule="auto"/>
        <w:jc w:val="both"/>
        <w:rPr>
          <w:rFonts w:ascii="Arial" w:hAnsi="Arial" w:cs="Arial"/>
        </w:rPr>
      </w:pPr>
      <w:r>
        <w:rPr>
          <w:rFonts w:ascii="Arial" w:hAnsi="Arial" w:cs="Arial"/>
          <w:noProof/>
          <w14:ligatures w14:val="standardContextual"/>
        </w:rPr>
        <w:drawing>
          <wp:anchor distT="0" distB="0" distL="114300" distR="114300" simplePos="0" relativeHeight="251661312" behindDoc="1" locked="0" layoutInCell="1" allowOverlap="1">
            <wp:simplePos x="0" y="0"/>
            <wp:positionH relativeFrom="column">
              <wp:posOffset>290830</wp:posOffset>
            </wp:positionH>
            <wp:positionV relativeFrom="paragraph">
              <wp:posOffset>438150</wp:posOffset>
            </wp:positionV>
            <wp:extent cx="4901565" cy="3089275"/>
            <wp:effectExtent l="4445" t="4445" r="8890" b="11430"/>
            <wp:wrapTight wrapText="bothSides">
              <wp:wrapPolygon edited="0">
                <wp:start x="-20" y="-31"/>
                <wp:lineTo x="-20" y="21547"/>
                <wp:lineTo x="21555" y="21547"/>
                <wp:lineTo x="21555" y="-31"/>
                <wp:lineTo x="-20" y="-31"/>
              </wp:wrapPolygon>
            </wp:wrapTight>
            <wp:docPr id="162258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Arial" w:hAnsi="Arial" w:cs="Arial"/>
          <w:b/>
          <w:bCs/>
        </w:rPr>
        <w:t>Figure 2.</w:t>
      </w:r>
      <w:r>
        <w:rPr>
          <w:rFonts w:ascii="Arial" w:hAnsi="Arial" w:cs="Arial"/>
        </w:rPr>
        <w:t xml:space="preserve"> Effect GA</w:t>
      </w:r>
      <w:r>
        <w:rPr>
          <w:rFonts w:ascii="Arial" w:hAnsi="Arial" w:cs="Arial"/>
          <w:vertAlign w:val="subscript"/>
        </w:rPr>
        <w:t>3</w:t>
      </w:r>
      <w:r>
        <w:rPr>
          <w:rFonts w:ascii="Arial" w:hAnsi="Arial" w:cs="Arial"/>
        </w:rPr>
        <w:t xml:space="preserve"> concentrations on root length of rice genotypes under different salinity levels. Vertical bars indicate ± standard error.</w:t>
      </w:r>
    </w:p>
    <w:p w:rsidR="007F3A31" w:rsidRDefault="007F3A31">
      <w:pPr>
        <w:spacing w:line="360" w:lineRule="auto"/>
        <w:jc w:val="both"/>
        <w:rPr>
          <w:rFonts w:ascii="Arial" w:hAnsi="Arial" w:cs="Arial"/>
          <w:b/>
          <w:bCs/>
          <w:sz w:val="24"/>
          <w:szCs w:val="24"/>
        </w:rPr>
      </w:pPr>
    </w:p>
    <w:p w:rsidR="007F3A31" w:rsidRDefault="007F3A31">
      <w:pPr>
        <w:spacing w:line="360" w:lineRule="auto"/>
        <w:jc w:val="both"/>
        <w:rPr>
          <w:rFonts w:ascii="Arial" w:hAnsi="Arial" w:cs="Arial"/>
          <w:b/>
          <w:bCs/>
          <w:sz w:val="24"/>
          <w:szCs w:val="24"/>
        </w:rPr>
      </w:pPr>
    </w:p>
    <w:p w:rsidR="007F3A31" w:rsidRDefault="007F3A31">
      <w:pPr>
        <w:spacing w:line="360" w:lineRule="auto"/>
        <w:jc w:val="both"/>
        <w:rPr>
          <w:rFonts w:ascii="Arial" w:hAnsi="Arial" w:cs="Arial"/>
          <w:b/>
          <w:bCs/>
          <w:sz w:val="24"/>
          <w:szCs w:val="24"/>
        </w:rPr>
      </w:pPr>
    </w:p>
    <w:p w:rsidR="007F3A31" w:rsidRDefault="007F3A31">
      <w:pPr>
        <w:spacing w:line="360" w:lineRule="auto"/>
        <w:jc w:val="both"/>
        <w:rPr>
          <w:rFonts w:ascii="Arial" w:hAnsi="Arial" w:cs="Arial"/>
          <w:b/>
          <w:bCs/>
          <w:sz w:val="24"/>
          <w:szCs w:val="24"/>
        </w:rPr>
      </w:pPr>
    </w:p>
    <w:p w:rsidR="007F3A31" w:rsidRDefault="007F3A31">
      <w:pPr>
        <w:spacing w:line="360" w:lineRule="auto"/>
        <w:jc w:val="both"/>
        <w:rPr>
          <w:rFonts w:ascii="Arial" w:hAnsi="Arial" w:cs="Arial"/>
          <w:b/>
          <w:bCs/>
          <w:sz w:val="24"/>
          <w:szCs w:val="24"/>
        </w:rPr>
      </w:pPr>
    </w:p>
    <w:p w:rsidR="007F3A31" w:rsidRDefault="007F3A31">
      <w:pPr>
        <w:spacing w:line="360" w:lineRule="auto"/>
        <w:jc w:val="both"/>
        <w:rPr>
          <w:rFonts w:ascii="Arial" w:hAnsi="Arial" w:cs="Arial"/>
          <w:b/>
          <w:bCs/>
          <w:sz w:val="24"/>
          <w:szCs w:val="24"/>
        </w:rPr>
      </w:pPr>
    </w:p>
    <w:p w:rsidR="007F3A31" w:rsidRDefault="007F3A31">
      <w:pPr>
        <w:spacing w:line="360" w:lineRule="auto"/>
        <w:jc w:val="both"/>
        <w:rPr>
          <w:rFonts w:ascii="Arial" w:hAnsi="Arial" w:cs="Arial"/>
          <w:b/>
          <w:bCs/>
          <w:sz w:val="24"/>
          <w:szCs w:val="24"/>
        </w:rPr>
      </w:pPr>
    </w:p>
    <w:p w:rsidR="007F3A31" w:rsidRDefault="007F3A31">
      <w:pPr>
        <w:spacing w:line="360" w:lineRule="auto"/>
        <w:jc w:val="both"/>
        <w:rPr>
          <w:rFonts w:ascii="Arial" w:hAnsi="Arial" w:cs="Arial"/>
          <w:b/>
          <w:bCs/>
          <w:sz w:val="24"/>
          <w:szCs w:val="24"/>
        </w:rPr>
      </w:pPr>
    </w:p>
    <w:p w:rsidR="007F3A31" w:rsidRDefault="007F3A31">
      <w:pPr>
        <w:spacing w:line="360" w:lineRule="auto"/>
        <w:jc w:val="both"/>
        <w:rPr>
          <w:rFonts w:ascii="Arial" w:hAnsi="Arial" w:cs="Arial"/>
          <w:b/>
          <w:bCs/>
          <w:sz w:val="24"/>
          <w:szCs w:val="24"/>
        </w:rPr>
      </w:pPr>
    </w:p>
    <w:p w:rsidR="007F3A31" w:rsidRDefault="007F3A31">
      <w:pPr>
        <w:spacing w:line="360" w:lineRule="auto"/>
        <w:jc w:val="both"/>
        <w:rPr>
          <w:rFonts w:ascii="Arial" w:hAnsi="Arial" w:cs="Arial"/>
          <w:b/>
          <w:bCs/>
          <w:sz w:val="24"/>
          <w:szCs w:val="24"/>
        </w:rPr>
      </w:pPr>
    </w:p>
    <w:p w:rsidR="007F3A31" w:rsidRDefault="007F3A31">
      <w:pPr>
        <w:spacing w:line="360" w:lineRule="auto"/>
        <w:jc w:val="both"/>
        <w:rPr>
          <w:rFonts w:ascii="Arial" w:hAnsi="Arial" w:cs="Arial"/>
          <w:b/>
          <w:bCs/>
          <w:sz w:val="24"/>
          <w:szCs w:val="24"/>
        </w:rPr>
      </w:pPr>
    </w:p>
    <w:p w:rsidR="007F3A31" w:rsidRDefault="007F3A31">
      <w:pPr>
        <w:spacing w:line="360" w:lineRule="auto"/>
        <w:jc w:val="both"/>
        <w:rPr>
          <w:rFonts w:ascii="Arial" w:hAnsi="Arial" w:cs="Arial"/>
          <w:b/>
          <w:bCs/>
          <w:sz w:val="24"/>
          <w:szCs w:val="24"/>
        </w:rPr>
      </w:pPr>
    </w:p>
    <w:p w:rsidR="007F3A31" w:rsidRDefault="007F3A31">
      <w:pPr>
        <w:spacing w:line="360" w:lineRule="auto"/>
        <w:jc w:val="both"/>
        <w:rPr>
          <w:rFonts w:ascii="Arial" w:hAnsi="Arial" w:cs="Arial"/>
          <w:b/>
          <w:bCs/>
          <w:sz w:val="24"/>
          <w:szCs w:val="24"/>
        </w:rPr>
      </w:pPr>
    </w:p>
    <w:p w:rsidR="007F3A31" w:rsidRDefault="007F3A31">
      <w:pPr>
        <w:spacing w:line="360" w:lineRule="auto"/>
        <w:jc w:val="both"/>
        <w:rPr>
          <w:rFonts w:ascii="Arial" w:hAnsi="Arial" w:cs="Arial"/>
          <w:b/>
          <w:bCs/>
          <w:sz w:val="24"/>
          <w:szCs w:val="24"/>
        </w:rPr>
      </w:pPr>
    </w:p>
    <w:p w:rsidR="007F3A31" w:rsidRDefault="0066394B">
      <w:pPr>
        <w:spacing w:line="360" w:lineRule="auto"/>
        <w:jc w:val="both"/>
        <w:rPr>
          <w:rFonts w:ascii="Arial" w:hAnsi="Arial" w:cs="Arial"/>
        </w:rPr>
      </w:pPr>
      <w:r>
        <w:rPr>
          <w:rFonts w:ascii="Arial" w:hAnsi="Arial" w:cs="Arial"/>
          <w:b/>
          <w:bCs/>
        </w:rPr>
        <w:t>Figure 3.</w:t>
      </w:r>
      <w:r>
        <w:rPr>
          <w:rFonts w:ascii="Arial" w:hAnsi="Arial" w:cs="Arial"/>
        </w:rPr>
        <w:t xml:space="preserve"> Effect GA</w:t>
      </w:r>
      <w:r>
        <w:rPr>
          <w:rFonts w:ascii="Arial" w:hAnsi="Arial" w:cs="Arial"/>
          <w:vertAlign w:val="subscript"/>
        </w:rPr>
        <w:t xml:space="preserve">3 </w:t>
      </w:r>
      <w:r>
        <w:rPr>
          <w:rFonts w:ascii="Arial" w:hAnsi="Arial" w:cs="Arial"/>
        </w:rPr>
        <w:t>concentrations on shoot length of rice genotypes</w:t>
      </w:r>
      <w:r>
        <w:rPr>
          <w:rFonts w:ascii="Arial" w:hAnsi="Arial" w:cs="Arial"/>
        </w:rPr>
        <w:t xml:space="preserve"> under different salinity levels. Vertical bars indicate ±standard error.</w:t>
      </w:r>
    </w:p>
    <w:p w:rsidR="007F3A31" w:rsidRDefault="0066394B">
      <w:pPr>
        <w:spacing w:line="360" w:lineRule="auto"/>
        <w:jc w:val="both"/>
        <w:rPr>
          <w:rFonts w:ascii="Arial" w:hAnsi="Arial" w:cs="Arial"/>
          <w:sz w:val="24"/>
          <w:szCs w:val="24"/>
        </w:rPr>
      </w:pPr>
      <w:r>
        <w:rPr>
          <w:rFonts w:ascii="Arial" w:hAnsi="Arial" w:cs="Arial"/>
          <w:noProof/>
          <w14:ligatures w14:val="standardContextual"/>
        </w:rPr>
        <w:lastRenderedPageBreak/>
        <w:drawing>
          <wp:inline distT="0" distB="0" distL="0" distR="0">
            <wp:extent cx="5210810" cy="3608070"/>
            <wp:effectExtent l="4445" t="4445" r="23495" b="6985"/>
            <wp:docPr id="20298099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F3A31" w:rsidRDefault="0066394B">
      <w:pPr>
        <w:spacing w:line="360" w:lineRule="auto"/>
        <w:jc w:val="both"/>
        <w:rPr>
          <w:rFonts w:ascii="Arial" w:hAnsi="Arial" w:cs="Arial"/>
        </w:rPr>
      </w:pPr>
      <w:r>
        <w:rPr>
          <w:rFonts w:ascii="Arial" w:hAnsi="Arial" w:cs="Arial"/>
          <w:b/>
          <w:bCs/>
        </w:rPr>
        <w:t>Figure 4.</w:t>
      </w:r>
      <w:r>
        <w:rPr>
          <w:rFonts w:ascii="Arial" w:hAnsi="Arial" w:cs="Arial"/>
        </w:rPr>
        <w:t xml:space="preserve"> Effect GA</w:t>
      </w:r>
      <w:r>
        <w:rPr>
          <w:rFonts w:ascii="Arial" w:hAnsi="Arial" w:cs="Arial"/>
          <w:vertAlign w:val="subscript"/>
        </w:rPr>
        <w:t xml:space="preserve">3 </w:t>
      </w:r>
      <w:r>
        <w:rPr>
          <w:rFonts w:ascii="Arial" w:hAnsi="Arial" w:cs="Arial"/>
        </w:rPr>
        <w:t>concentrations on dry weight of rice genotypes under different salinity levels. Vertical bars indicate ±standard error.</w:t>
      </w:r>
    </w:p>
    <w:p w:rsidR="007F3A31" w:rsidRDefault="0066394B">
      <w:pPr>
        <w:spacing w:line="360" w:lineRule="auto"/>
        <w:jc w:val="both"/>
        <w:rPr>
          <w:rFonts w:ascii="Arial" w:hAnsi="Arial" w:cs="Arial"/>
          <w:sz w:val="24"/>
          <w:szCs w:val="24"/>
        </w:rPr>
      </w:pPr>
      <w:r>
        <w:rPr>
          <w:rFonts w:ascii="Arial" w:hAnsi="Arial" w:cs="Arial"/>
          <w:noProof/>
          <w14:ligatures w14:val="standardContextual"/>
        </w:rPr>
        <w:drawing>
          <wp:inline distT="0" distB="0" distL="0" distR="0">
            <wp:extent cx="5200650" cy="3253740"/>
            <wp:effectExtent l="5080" t="4445" r="13970" b="18415"/>
            <wp:docPr id="16623954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Arial" w:hAnsi="Arial" w:cs="Arial"/>
          <w:sz w:val="24"/>
          <w:szCs w:val="24"/>
        </w:rPr>
        <w:t xml:space="preserve"> </w:t>
      </w:r>
    </w:p>
    <w:p w:rsidR="007F3A31" w:rsidRDefault="0066394B">
      <w:pPr>
        <w:spacing w:line="360" w:lineRule="auto"/>
        <w:jc w:val="both"/>
        <w:rPr>
          <w:rFonts w:ascii="Arial" w:hAnsi="Arial" w:cs="Arial"/>
        </w:rPr>
      </w:pPr>
      <w:r>
        <w:rPr>
          <w:rFonts w:ascii="Arial" w:hAnsi="Arial" w:cs="Arial"/>
          <w:b/>
          <w:bCs/>
        </w:rPr>
        <w:t>Figure 5.</w:t>
      </w:r>
      <w:r>
        <w:rPr>
          <w:rFonts w:ascii="Arial" w:hAnsi="Arial" w:cs="Arial"/>
        </w:rPr>
        <w:t xml:space="preserve"> Effect GA3 concentrations </w:t>
      </w:r>
      <w:r>
        <w:rPr>
          <w:rFonts w:ascii="Arial" w:hAnsi="Arial" w:cs="Arial"/>
        </w:rPr>
        <w:t xml:space="preserve">on </w:t>
      </w:r>
      <w:proofErr w:type="spellStart"/>
      <w:r>
        <w:rPr>
          <w:rFonts w:ascii="Arial" w:hAnsi="Arial" w:cs="Arial"/>
        </w:rPr>
        <w:t>vigour</w:t>
      </w:r>
      <w:proofErr w:type="spellEnd"/>
      <w:r>
        <w:rPr>
          <w:rFonts w:ascii="Arial" w:hAnsi="Arial" w:cs="Arial"/>
        </w:rPr>
        <w:t xml:space="preserve"> index of rice genotypes under different salinity levels. Vertical bars indicate ±standard error.</w:t>
      </w:r>
    </w:p>
    <w:p w:rsidR="007F3A31" w:rsidRDefault="0066394B">
      <w:pPr>
        <w:spacing w:line="360" w:lineRule="auto"/>
        <w:jc w:val="both"/>
        <w:rPr>
          <w:rFonts w:ascii="Arial" w:hAnsi="Arial" w:cs="Arial"/>
          <w:sz w:val="24"/>
          <w:szCs w:val="24"/>
        </w:rPr>
      </w:pPr>
      <w:r>
        <w:rPr>
          <w:rFonts w:ascii="Arial" w:hAnsi="Arial" w:cs="Arial"/>
          <w:noProof/>
          <w14:ligatures w14:val="standardContextual"/>
        </w:rPr>
        <w:lastRenderedPageBreak/>
        <w:drawing>
          <wp:inline distT="0" distB="0" distL="0" distR="0">
            <wp:extent cx="5029835" cy="3086735"/>
            <wp:effectExtent l="4445" t="4445" r="13970" b="13970"/>
            <wp:docPr id="15864639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F3A31" w:rsidRDefault="0066394B">
      <w:pPr>
        <w:spacing w:line="360" w:lineRule="auto"/>
        <w:jc w:val="both"/>
        <w:rPr>
          <w:rFonts w:ascii="Arial" w:hAnsi="Arial" w:cs="Arial"/>
        </w:rPr>
      </w:pPr>
      <w:r>
        <w:rPr>
          <w:rFonts w:ascii="Arial" w:hAnsi="Arial" w:cs="Arial"/>
          <w:b/>
          <w:bCs/>
        </w:rPr>
        <w:t>Figure 6.</w:t>
      </w:r>
      <w:r>
        <w:rPr>
          <w:rFonts w:ascii="Arial" w:hAnsi="Arial" w:cs="Arial"/>
        </w:rPr>
        <w:t xml:space="preserve"> Effect GA</w:t>
      </w:r>
      <w:r>
        <w:rPr>
          <w:rFonts w:ascii="Arial" w:hAnsi="Arial" w:cs="Arial"/>
          <w:vertAlign w:val="subscript"/>
        </w:rPr>
        <w:t>3</w:t>
      </w:r>
      <w:r>
        <w:rPr>
          <w:rFonts w:ascii="Arial" w:hAnsi="Arial" w:cs="Arial"/>
        </w:rPr>
        <w:t xml:space="preserve"> concentrations on </w:t>
      </w:r>
      <w:r w:rsidR="00DC124B" w:rsidRPr="00DC124B">
        <w:rPr>
          <w:rFonts w:ascii="Arial" w:hAnsi="Arial" w:cs="Arial"/>
        </w:rPr>
        <w:t xml:space="preserve">Salt Tolerance Index </w:t>
      </w:r>
      <w:r>
        <w:rPr>
          <w:rFonts w:ascii="Arial" w:hAnsi="Arial" w:cs="Arial"/>
        </w:rPr>
        <w:t>of rice genotypes under different salinity levels. Vertical bars indicate ±standard error.</w:t>
      </w:r>
      <w:bookmarkStart w:id="1" w:name="_GoBack"/>
      <w:bookmarkEnd w:id="1"/>
    </w:p>
    <w:p w:rsidR="007F3A31" w:rsidRDefault="007F3A31">
      <w:pPr>
        <w:spacing w:line="360" w:lineRule="auto"/>
        <w:jc w:val="both"/>
        <w:rPr>
          <w:rFonts w:ascii="Arial" w:hAnsi="Arial" w:cs="Arial"/>
          <w:sz w:val="24"/>
          <w:szCs w:val="24"/>
        </w:rPr>
      </w:pPr>
    </w:p>
    <w:p w:rsidR="007F3A31" w:rsidRDefault="0066394B">
      <w:pPr>
        <w:spacing w:line="360" w:lineRule="auto"/>
        <w:jc w:val="both"/>
        <w:rPr>
          <w:rFonts w:ascii="Arial" w:hAnsi="Arial" w:cs="Arial"/>
          <w:sz w:val="24"/>
          <w:szCs w:val="24"/>
        </w:rPr>
      </w:pPr>
      <w:r>
        <w:rPr>
          <w:rFonts w:ascii="Arial" w:hAnsi="Arial" w:cs="Arial"/>
          <w:noProof/>
          <w14:ligatures w14:val="standardContextual"/>
        </w:rPr>
        <w:drawing>
          <wp:inline distT="0" distB="0" distL="0" distR="0">
            <wp:extent cx="5266055" cy="3284220"/>
            <wp:effectExtent l="4445" t="4445" r="6350" b="6985"/>
            <wp:docPr id="122315928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F3A31" w:rsidRDefault="0066394B">
      <w:pPr>
        <w:spacing w:line="360" w:lineRule="auto"/>
        <w:jc w:val="both"/>
        <w:rPr>
          <w:rFonts w:ascii="Arial" w:hAnsi="Arial" w:cs="Arial"/>
        </w:rPr>
      </w:pPr>
      <w:r>
        <w:rPr>
          <w:rFonts w:ascii="Arial" w:hAnsi="Arial" w:cs="Arial"/>
          <w:b/>
          <w:bCs/>
        </w:rPr>
        <w:t>Figure 7.</w:t>
      </w:r>
      <w:r>
        <w:rPr>
          <w:rFonts w:ascii="Arial" w:hAnsi="Arial" w:cs="Arial"/>
        </w:rPr>
        <w:t xml:space="preserve"> Effect GA</w:t>
      </w:r>
      <w:r>
        <w:rPr>
          <w:rFonts w:ascii="Arial" w:hAnsi="Arial" w:cs="Arial"/>
          <w:vertAlign w:val="subscript"/>
        </w:rPr>
        <w:t xml:space="preserve">3 </w:t>
      </w:r>
      <w:r>
        <w:rPr>
          <w:rFonts w:ascii="Arial" w:hAnsi="Arial" w:cs="Arial"/>
        </w:rPr>
        <w:t>concentrations on alpha amylase content of rice genotypes under different salinity levels. Vertical bars indicate ± standard error.</w:t>
      </w:r>
    </w:p>
    <w:p w:rsidR="007F3A31" w:rsidRDefault="0066394B">
      <w:pPr>
        <w:spacing w:line="360" w:lineRule="auto"/>
        <w:jc w:val="both"/>
        <w:rPr>
          <w:rFonts w:ascii="Arial" w:hAnsi="Arial" w:cs="Arial"/>
          <w:sz w:val="24"/>
          <w:szCs w:val="24"/>
        </w:rPr>
      </w:pPr>
      <w:r>
        <w:rPr>
          <w:rFonts w:ascii="Arial" w:hAnsi="Arial" w:cs="Arial"/>
          <w:noProof/>
        </w:rPr>
        <w:lastRenderedPageBreak/>
        <w:drawing>
          <wp:anchor distT="0" distB="0" distL="114300" distR="114300" simplePos="0" relativeHeight="251662336" behindDoc="1" locked="1" layoutInCell="1" allowOverlap="1">
            <wp:simplePos x="0" y="0"/>
            <wp:positionH relativeFrom="column">
              <wp:posOffset>-70485</wp:posOffset>
            </wp:positionH>
            <wp:positionV relativeFrom="page">
              <wp:posOffset>4168140</wp:posOffset>
            </wp:positionV>
            <wp:extent cx="5113020" cy="3437255"/>
            <wp:effectExtent l="0" t="0" r="11430" b="0"/>
            <wp:wrapTight wrapText="bothSides">
              <wp:wrapPolygon edited="0">
                <wp:start x="0" y="0"/>
                <wp:lineTo x="0" y="21428"/>
                <wp:lineTo x="21487" y="21428"/>
                <wp:lineTo x="21487" y="0"/>
                <wp:lineTo x="0" y="0"/>
              </wp:wrapPolygon>
            </wp:wrapTight>
            <wp:docPr id="1671464421" name="Picture 2" descr="A graph with a lin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64421" name="Picture 2" descr="A graph with a line and a lin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113020" cy="3437255"/>
                    </a:xfrm>
                    <a:prstGeom prst="rect">
                      <a:avLst/>
                    </a:prstGeom>
                    <a:noFill/>
                    <a:ln>
                      <a:noFill/>
                    </a:ln>
                  </pic:spPr>
                </pic:pic>
              </a:graphicData>
            </a:graphic>
          </wp:anchor>
        </w:drawing>
      </w:r>
    </w:p>
    <w:p w:rsidR="007F3A31" w:rsidRDefault="0066394B">
      <w:pPr>
        <w:spacing w:line="360" w:lineRule="auto"/>
        <w:jc w:val="both"/>
        <w:rPr>
          <w:rFonts w:ascii="Arial" w:eastAsia="SimSun" w:hAnsi="Arial" w:cs="Arial"/>
          <w:b/>
          <w:bCs/>
        </w:rPr>
      </w:pPr>
      <w:r>
        <w:rPr>
          <w:rFonts w:ascii="Arial" w:hAnsi="Arial" w:cs="Arial"/>
          <w:noProof/>
        </w:rPr>
        <w:lastRenderedPageBreak/>
        <w:drawing>
          <wp:inline distT="0" distB="0" distL="0" distR="0">
            <wp:extent cx="5106035" cy="3311525"/>
            <wp:effectExtent l="0" t="0" r="18415" b="3175"/>
            <wp:docPr id="1213770140"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70140" name="Picture 1" descr="A graph of a function&#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106035" cy="3317802"/>
                    </a:xfrm>
                    <a:prstGeom prst="rect">
                      <a:avLst/>
                    </a:prstGeom>
                    <a:noFill/>
                    <a:ln>
                      <a:noFill/>
                    </a:ln>
                  </pic:spPr>
                </pic:pic>
              </a:graphicData>
            </a:graphic>
          </wp:inline>
        </w:drawing>
      </w:r>
      <w:bookmarkStart w:id="2" w:name="_Hlk161655909"/>
    </w:p>
    <w:p w:rsidR="007F3A31" w:rsidRDefault="0066394B">
      <w:pPr>
        <w:spacing w:line="360" w:lineRule="auto"/>
        <w:jc w:val="both"/>
        <w:rPr>
          <w:rFonts w:ascii="Arial" w:eastAsia="SimSun" w:hAnsi="Arial" w:cs="Arial"/>
          <w:sz w:val="24"/>
          <w:szCs w:val="24"/>
        </w:rPr>
      </w:pPr>
      <w:r>
        <w:rPr>
          <w:rFonts w:ascii="Arial" w:eastAsia="SimSun" w:hAnsi="Arial" w:cs="Arial"/>
          <w:b/>
          <w:bCs/>
        </w:rPr>
        <w:t>Fi</w:t>
      </w:r>
      <w:proofErr w:type="spellStart"/>
      <w:r>
        <w:rPr>
          <w:rFonts w:ascii="Arial" w:eastAsia="SimSun" w:hAnsi="Arial" w:cs="Arial"/>
          <w:b/>
          <w:bCs/>
          <w:lang w:val="en-IN"/>
        </w:rPr>
        <w:t>gure</w:t>
      </w:r>
      <w:proofErr w:type="spellEnd"/>
      <w:r>
        <w:rPr>
          <w:rFonts w:ascii="Arial" w:eastAsia="SimSun" w:hAnsi="Arial" w:cs="Arial"/>
          <w:b/>
          <w:bCs/>
          <w:lang w:val="en-IN"/>
        </w:rPr>
        <w:t xml:space="preserve"> 8.</w:t>
      </w:r>
      <w:r w:rsidR="00DC124B">
        <w:rPr>
          <w:rFonts w:ascii="Arial" w:eastAsia="SimSun" w:hAnsi="Arial" w:cs="Arial"/>
          <w:b/>
          <w:bCs/>
          <w:lang w:val="en-IN"/>
        </w:rPr>
        <w:t xml:space="preserve"> </w:t>
      </w:r>
      <w:proofErr w:type="gramStart"/>
      <w:r>
        <w:rPr>
          <w:rStyle w:val="Strong"/>
          <w:rFonts w:ascii="Arial" w:eastAsia="SimSun" w:hAnsi="Arial" w:cs="Arial"/>
        </w:rPr>
        <w:t>Principal</w:t>
      </w:r>
      <w:proofErr w:type="gramEnd"/>
      <w:r>
        <w:rPr>
          <w:rStyle w:val="Strong"/>
          <w:rFonts w:ascii="Arial" w:eastAsia="SimSun" w:hAnsi="Arial" w:cs="Arial"/>
        </w:rPr>
        <w:t xml:space="preserve"> Component Analysis (PCA) biplot illustrating the response of rice genotypes unde</w:t>
      </w:r>
      <w:r>
        <w:rPr>
          <w:rStyle w:val="Strong"/>
          <w:rFonts w:ascii="Arial" w:eastAsia="SimSun" w:hAnsi="Arial" w:cs="Arial"/>
        </w:rPr>
        <w:t xml:space="preserve">r various NaCl and GA₃ treatments based on Seedling </w:t>
      </w:r>
      <w:proofErr w:type="spellStart"/>
      <w:r>
        <w:rPr>
          <w:rStyle w:val="Strong"/>
          <w:rFonts w:ascii="Arial" w:eastAsia="SimSun" w:hAnsi="Arial" w:cs="Arial"/>
        </w:rPr>
        <w:t>Vigour</w:t>
      </w:r>
      <w:proofErr w:type="spellEnd"/>
      <w:r>
        <w:rPr>
          <w:rStyle w:val="Strong"/>
          <w:rFonts w:ascii="Arial" w:eastAsia="SimSun" w:hAnsi="Arial" w:cs="Arial"/>
        </w:rPr>
        <w:t xml:space="preserve"> Index and Salt Tolerance Index during germination.</w:t>
      </w:r>
      <w:r>
        <w:rPr>
          <w:rFonts w:ascii="Arial" w:eastAsia="SimSun" w:hAnsi="Arial" w:cs="Arial"/>
          <w:sz w:val="24"/>
          <w:szCs w:val="24"/>
        </w:rPr>
        <w:t xml:space="preserve"> </w:t>
      </w:r>
    </w:p>
    <w:p w:rsidR="007F3A31" w:rsidRDefault="007F3A31">
      <w:pPr>
        <w:spacing w:line="360" w:lineRule="auto"/>
        <w:jc w:val="both"/>
        <w:rPr>
          <w:rFonts w:ascii="Arial" w:hAnsi="Arial" w:cs="Arial"/>
          <w:b/>
          <w:bCs/>
          <w:sz w:val="22"/>
          <w:szCs w:val="22"/>
        </w:rPr>
      </w:pPr>
    </w:p>
    <w:p w:rsidR="007F3A31" w:rsidRDefault="007F3A31">
      <w:pPr>
        <w:spacing w:line="360" w:lineRule="auto"/>
        <w:jc w:val="both"/>
        <w:rPr>
          <w:rFonts w:ascii="Arial" w:hAnsi="Arial" w:cs="Arial"/>
          <w:b/>
          <w:bCs/>
          <w:sz w:val="22"/>
          <w:szCs w:val="22"/>
        </w:rPr>
      </w:pPr>
    </w:p>
    <w:p w:rsidR="007F3A31" w:rsidRDefault="0066394B">
      <w:pPr>
        <w:spacing w:line="360" w:lineRule="auto"/>
        <w:jc w:val="both"/>
        <w:rPr>
          <w:rFonts w:ascii="Arial" w:hAnsi="Arial" w:cs="Arial"/>
        </w:rPr>
      </w:pPr>
      <w:r>
        <w:rPr>
          <w:rFonts w:ascii="Arial" w:hAnsi="Arial" w:cs="Arial"/>
          <w:b/>
          <w:bCs/>
          <w:sz w:val="22"/>
          <w:szCs w:val="22"/>
        </w:rPr>
        <w:t>Conclusion</w:t>
      </w:r>
    </w:p>
    <w:p w:rsidR="007F3A31" w:rsidRDefault="0066394B">
      <w:pPr>
        <w:spacing w:line="360" w:lineRule="auto"/>
        <w:jc w:val="both"/>
        <w:rPr>
          <w:rFonts w:ascii="Arial" w:hAnsi="Arial" w:cs="Arial"/>
        </w:rPr>
      </w:pPr>
      <w:r>
        <w:rPr>
          <w:rFonts w:ascii="Arial" w:hAnsi="Arial" w:cs="Arial"/>
        </w:rPr>
        <w:t>It could be concluded from the present study that under control conditions all four genotype of rice had good germination with bette</w:t>
      </w:r>
      <w:r>
        <w:rPr>
          <w:rFonts w:ascii="Arial" w:hAnsi="Arial" w:cs="Arial"/>
        </w:rPr>
        <w:t xml:space="preserve">r seedling growth, but they showed a different response to increased levels of salt concentration from 50mM to 150mM NaCl. However, salinity reduced all germination properties of rice cultivars, mainly seed </w:t>
      </w:r>
      <w:proofErr w:type="spellStart"/>
      <w:r>
        <w:rPr>
          <w:rFonts w:ascii="Arial" w:hAnsi="Arial" w:cs="Arial"/>
        </w:rPr>
        <w:t>vigour</w:t>
      </w:r>
      <w:proofErr w:type="spellEnd"/>
      <w:r>
        <w:rPr>
          <w:rFonts w:ascii="Arial" w:hAnsi="Arial" w:cs="Arial"/>
        </w:rPr>
        <w:t xml:space="preserve">. Based on the above results CSR36 was the </w:t>
      </w:r>
      <w:r>
        <w:rPr>
          <w:rFonts w:ascii="Arial" w:hAnsi="Arial" w:cs="Arial"/>
        </w:rPr>
        <w:t xml:space="preserve">most tolerant genotype whereas Pant Basmati 1 was considered more sensitive to salinity stress as compared to other cultivars. Further </w:t>
      </w:r>
      <w:proofErr w:type="gramStart"/>
      <w:r>
        <w:rPr>
          <w:rFonts w:ascii="Arial" w:hAnsi="Arial" w:cs="Arial"/>
        </w:rPr>
        <w:t>24 hour</w:t>
      </w:r>
      <w:proofErr w:type="gramEnd"/>
      <w:r>
        <w:rPr>
          <w:rFonts w:ascii="Arial" w:hAnsi="Arial" w:cs="Arial"/>
        </w:rPr>
        <w:t xml:space="preserve"> pre</w:t>
      </w:r>
      <w:r>
        <w:rPr>
          <w:rFonts w:ascii="Arial" w:hAnsi="Arial" w:cs="Arial"/>
          <w:lang w:val="en-IN"/>
        </w:rPr>
        <w:t>-</w:t>
      </w:r>
      <w:r>
        <w:rPr>
          <w:rFonts w:ascii="Arial" w:hAnsi="Arial" w:cs="Arial"/>
        </w:rPr>
        <w:t>soaked rice genotypes with 30µM GA</w:t>
      </w:r>
      <w:r>
        <w:rPr>
          <w:rFonts w:ascii="Arial" w:hAnsi="Arial" w:cs="Arial"/>
          <w:vertAlign w:val="subscript"/>
        </w:rPr>
        <w:t>3</w:t>
      </w:r>
      <w:r>
        <w:rPr>
          <w:rFonts w:ascii="Arial" w:hAnsi="Arial" w:cs="Arial"/>
        </w:rPr>
        <w:t xml:space="preserve"> mitigate the toxic effect of salinity and improved the germination and seedling growth in all the genotypes at higher salinity (150mM). Pant Basmati1 proved to have better germination, shoot and root length under GA</w:t>
      </w:r>
      <w:r>
        <w:rPr>
          <w:rFonts w:ascii="Arial" w:hAnsi="Arial" w:cs="Arial"/>
          <w:vertAlign w:val="subscript"/>
        </w:rPr>
        <w:t xml:space="preserve">3 </w:t>
      </w:r>
      <w:r>
        <w:rPr>
          <w:rFonts w:ascii="Arial" w:hAnsi="Arial" w:cs="Arial"/>
        </w:rPr>
        <w:t>treatment up to 100 NaCl. Whereas GA</w:t>
      </w:r>
      <w:r>
        <w:rPr>
          <w:rFonts w:ascii="Arial" w:hAnsi="Arial" w:cs="Arial"/>
          <w:vertAlign w:val="subscript"/>
        </w:rPr>
        <w:t>3</w:t>
      </w:r>
      <w:r>
        <w:rPr>
          <w:rFonts w:ascii="Arial" w:hAnsi="Arial" w:cs="Arial"/>
        </w:rPr>
        <w:t xml:space="preserve"> </w:t>
      </w:r>
      <w:r>
        <w:rPr>
          <w:rFonts w:ascii="Arial" w:hAnsi="Arial" w:cs="Arial"/>
        </w:rPr>
        <w:t>treatment in Pant Sugandh 21 showed better improvement in the dry weight of seedlings as compared to another cultivar. Pant basmati2 showed maximum SVI with GA</w:t>
      </w:r>
      <w:r>
        <w:rPr>
          <w:rFonts w:ascii="Arial" w:hAnsi="Arial" w:cs="Arial"/>
          <w:vertAlign w:val="subscript"/>
        </w:rPr>
        <w:t>3</w:t>
      </w:r>
      <w:r>
        <w:rPr>
          <w:rFonts w:ascii="Arial" w:hAnsi="Arial" w:cs="Arial"/>
        </w:rPr>
        <w:t xml:space="preserve"> treated seedlings under 100 mM NaCl. GA</w:t>
      </w:r>
      <w:r>
        <w:rPr>
          <w:rFonts w:ascii="Arial" w:hAnsi="Arial" w:cs="Arial"/>
          <w:vertAlign w:val="subscript"/>
        </w:rPr>
        <w:t>3</w:t>
      </w:r>
      <w:r>
        <w:rPr>
          <w:rFonts w:ascii="Arial" w:hAnsi="Arial" w:cs="Arial"/>
        </w:rPr>
        <w:t xml:space="preserve"> treated seedlings of Pant Basmati1 and Pant Basmati2 s</w:t>
      </w:r>
      <w:r>
        <w:rPr>
          <w:rFonts w:ascii="Arial" w:hAnsi="Arial" w:cs="Arial"/>
        </w:rPr>
        <w:t>howed up to 60% salt tolerance index whereas, at high salinity (150mM NaCl), highest tolerance was found in CSR36. These results indicate that genetic variation exists among rice genotypes in terms of early seedling growth rate under salt stress conditions</w:t>
      </w:r>
      <w:r>
        <w:rPr>
          <w:rFonts w:ascii="Arial" w:hAnsi="Arial" w:cs="Arial"/>
        </w:rPr>
        <w:t>.</w:t>
      </w:r>
    </w:p>
    <w:p w:rsidR="007F3A31" w:rsidRDefault="007F3A31">
      <w:pPr>
        <w:spacing w:line="360" w:lineRule="auto"/>
        <w:jc w:val="both"/>
        <w:rPr>
          <w:rFonts w:ascii="Arial" w:hAnsi="Arial" w:cs="Arial"/>
        </w:rPr>
      </w:pPr>
    </w:p>
    <w:p w:rsidR="00DC124B" w:rsidRDefault="0066394B">
      <w:pPr>
        <w:pStyle w:val="ReferHead"/>
        <w:spacing w:after="0" w:line="360" w:lineRule="auto"/>
        <w:jc w:val="both"/>
        <w:rPr>
          <w:rFonts w:ascii="Arial" w:eastAsia="sans-serif" w:hAnsi="Arial" w:cs="Arial"/>
          <w:caps w:val="0"/>
          <w:sz w:val="20"/>
          <w:shd w:val="clear" w:color="auto" w:fill="FFFFFF"/>
          <w:lang w:val="en-IN"/>
        </w:rPr>
      </w:pPr>
      <w:r>
        <w:rPr>
          <w:rFonts w:ascii="Arial" w:eastAsia="sans-serif" w:hAnsi="Arial" w:cs="Arial"/>
          <w:sz w:val="20"/>
          <w:shd w:val="clear" w:color="auto" w:fill="FFFFFF"/>
          <w:lang w:val="en-IN"/>
        </w:rPr>
        <w:lastRenderedPageBreak/>
        <w:t>DISCLAMER</w:t>
      </w:r>
      <w:r>
        <w:rPr>
          <w:rFonts w:ascii="Arial" w:eastAsia="sans-serif" w:hAnsi="Arial" w:cs="Arial"/>
          <w:caps w:val="0"/>
          <w:sz w:val="20"/>
          <w:shd w:val="clear" w:color="auto" w:fill="FFFFFF"/>
          <w:lang w:val="en-IN"/>
        </w:rPr>
        <w:t xml:space="preserve"> </w:t>
      </w:r>
    </w:p>
    <w:p w:rsidR="00DC124B" w:rsidRPr="00DC124B" w:rsidRDefault="00DC124B" w:rsidP="00DC124B">
      <w:pPr>
        <w:pStyle w:val="ReferHead"/>
        <w:spacing w:line="360" w:lineRule="auto"/>
        <w:jc w:val="both"/>
        <w:rPr>
          <w:rFonts w:ascii="Arial" w:eastAsia="sans-serif" w:hAnsi="Arial" w:cs="Arial"/>
          <w:b w:val="0"/>
          <w:bCs/>
          <w:caps w:val="0"/>
          <w:sz w:val="20"/>
          <w:shd w:val="clear" w:color="auto" w:fill="FFFFFF"/>
        </w:rPr>
      </w:pPr>
      <w:r w:rsidRPr="00DC124B">
        <w:rPr>
          <w:rFonts w:ascii="Arial" w:eastAsia="sans-serif" w:hAnsi="Arial" w:cs="Arial"/>
          <w:b w:val="0"/>
          <w:bCs/>
          <w:caps w:val="0"/>
          <w:sz w:val="20"/>
          <w:shd w:val="clear" w:color="auto" w:fill="FFFFFF"/>
        </w:rPr>
        <w:t xml:space="preserve">Option 2: </w:t>
      </w:r>
    </w:p>
    <w:p w:rsidR="00DC124B" w:rsidRPr="00DC124B" w:rsidRDefault="00DC124B" w:rsidP="00DC124B">
      <w:pPr>
        <w:pStyle w:val="ReferHead"/>
        <w:spacing w:line="360" w:lineRule="auto"/>
        <w:jc w:val="both"/>
        <w:rPr>
          <w:rFonts w:ascii="Arial" w:eastAsia="sans-serif" w:hAnsi="Arial" w:cs="Arial"/>
          <w:b w:val="0"/>
          <w:bCs/>
          <w:caps w:val="0"/>
          <w:sz w:val="20"/>
          <w:shd w:val="clear" w:color="auto" w:fill="FFFFFF"/>
        </w:rPr>
      </w:pPr>
      <w:r w:rsidRPr="00DC124B">
        <w:rPr>
          <w:rFonts w:ascii="Arial" w:eastAsia="sans-serif" w:hAnsi="Arial" w:cs="Arial"/>
          <w:b w:val="0"/>
          <w:bCs/>
          <w:caps w:val="0"/>
          <w:sz w:val="20"/>
          <w:shd w:val="clear" w:color="auto" w:fill="FFFFFF"/>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C124B" w:rsidRDefault="00DC124B" w:rsidP="00DC124B">
      <w:pPr>
        <w:pStyle w:val="ReferHead"/>
        <w:spacing w:after="0" w:line="360" w:lineRule="auto"/>
        <w:jc w:val="both"/>
        <w:rPr>
          <w:rFonts w:ascii="Arial" w:eastAsia="sans-serif" w:hAnsi="Arial" w:cs="Arial"/>
          <w:b w:val="0"/>
          <w:bCs/>
          <w:caps w:val="0"/>
          <w:sz w:val="20"/>
          <w:shd w:val="clear" w:color="auto" w:fill="FFFFFF"/>
        </w:rPr>
      </w:pPr>
      <w:r w:rsidRPr="00DC124B">
        <w:rPr>
          <w:rFonts w:ascii="Arial" w:eastAsia="sans-serif" w:hAnsi="Arial" w:cs="Arial"/>
          <w:b w:val="0"/>
          <w:bCs/>
          <w:caps w:val="0"/>
          <w:sz w:val="20"/>
          <w:shd w:val="clear" w:color="auto" w:fill="FFFFFF"/>
        </w:rPr>
        <w:t>Details of the AI usage are given below:</w:t>
      </w:r>
    </w:p>
    <w:p w:rsidR="007F3A31" w:rsidRDefault="0066394B">
      <w:pPr>
        <w:pStyle w:val="ReferHead"/>
        <w:spacing w:after="0" w:line="360" w:lineRule="auto"/>
        <w:jc w:val="both"/>
        <w:rPr>
          <w:rFonts w:ascii="Arial" w:hAnsi="Arial" w:cs="Arial"/>
          <w:bCs/>
        </w:rPr>
      </w:pPr>
      <w:r>
        <w:rPr>
          <w:rFonts w:ascii="Arial" w:eastAsia="sans-serif" w:hAnsi="Arial" w:cs="Arial"/>
          <w:b w:val="0"/>
          <w:bCs/>
          <w:caps w:val="0"/>
          <w:sz w:val="20"/>
          <w:shd w:val="clear" w:color="auto" w:fill="FFFFFF"/>
        </w:rPr>
        <w:t xml:space="preserve">Author(s) hereby declare that </w:t>
      </w:r>
      <w:r>
        <w:rPr>
          <w:rFonts w:ascii="Arial" w:eastAsia="sans-serif" w:hAnsi="Arial" w:cs="Arial"/>
          <w:b w:val="0"/>
          <w:bCs/>
          <w:caps w:val="0"/>
          <w:sz w:val="20"/>
          <w:shd w:val="clear" w:color="auto" w:fill="FFFFFF"/>
        </w:rPr>
        <w:t xml:space="preserve">AI technologies </w:t>
      </w:r>
      <w:r>
        <w:rPr>
          <w:rFonts w:ascii="Arial" w:eastAsia="sans-serif" w:hAnsi="Arial" w:cs="Arial"/>
          <w:b w:val="0"/>
          <w:bCs/>
          <w:caps w:val="0"/>
          <w:sz w:val="20"/>
          <w:shd w:val="clear" w:color="auto" w:fill="FFFFFF"/>
          <w:lang w:val="en-IN"/>
        </w:rPr>
        <w:t>Chat GPT has been used for grammar correction</w:t>
      </w:r>
    </w:p>
    <w:p w:rsidR="007F3A31" w:rsidRDefault="007F3A31">
      <w:pPr>
        <w:spacing w:line="360" w:lineRule="auto"/>
        <w:jc w:val="both"/>
        <w:rPr>
          <w:rFonts w:ascii="Arial" w:hAnsi="Arial" w:cs="Arial"/>
          <w:b/>
          <w:bCs/>
          <w:sz w:val="24"/>
          <w:szCs w:val="24"/>
        </w:rPr>
      </w:pPr>
    </w:p>
    <w:p w:rsidR="007F3A31" w:rsidRDefault="0066394B">
      <w:pPr>
        <w:spacing w:line="360" w:lineRule="auto"/>
        <w:jc w:val="both"/>
        <w:rPr>
          <w:rFonts w:ascii="Arial" w:hAnsi="Arial" w:cs="Arial"/>
          <w:sz w:val="24"/>
          <w:szCs w:val="24"/>
          <w:lang w:eastAsia="en-IN"/>
        </w:rPr>
      </w:pPr>
      <w:r>
        <w:rPr>
          <w:rFonts w:ascii="Arial" w:hAnsi="Arial" w:cs="Arial"/>
          <w:b/>
          <w:bCs/>
          <w:sz w:val="24"/>
          <w:szCs w:val="24"/>
        </w:rPr>
        <w:t>References</w:t>
      </w:r>
    </w:p>
    <w:bookmarkEnd w:id="2"/>
    <w:p w:rsidR="007F3A31" w:rsidRDefault="0066394B">
      <w:pPr>
        <w:pStyle w:val="NormalWeb"/>
        <w:spacing w:before="100" w:after="100" w:line="360" w:lineRule="auto"/>
        <w:ind w:left="-360"/>
        <w:rPr>
          <w:rFonts w:ascii="Arial" w:hAnsi="Arial" w:cs="Arial"/>
          <w:sz w:val="20"/>
          <w:szCs w:val="20"/>
        </w:rPr>
      </w:pPr>
      <w:r>
        <w:rPr>
          <w:rFonts w:ascii="Arial" w:hAnsi="Arial" w:cs="Arial"/>
          <w:sz w:val="20"/>
          <w:szCs w:val="20"/>
        </w:rPr>
        <w:t xml:space="preserve">Abdel </w:t>
      </w:r>
      <w:proofErr w:type="spellStart"/>
      <w:r>
        <w:rPr>
          <w:rFonts w:ascii="Arial" w:hAnsi="Arial" w:cs="Arial"/>
          <w:sz w:val="20"/>
          <w:szCs w:val="20"/>
        </w:rPr>
        <w:t>Latef</w:t>
      </w:r>
      <w:proofErr w:type="spellEnd"/>
      <w:r>
        <w:rPr>
          <w:rFonts w:ascii="Arial" w:hAnsi="Arial" w:cs="Arial"/>
          <w:sz w:val="20"/>
          <w:szCs w:val="20"/>
        </w:rPr>
        <w:t xml:space="preserve"> AAH, Srivastava AK, El-</w:t>
      </w:r>
      <w:proofErr w:type="spellStart"/>
      <w:r>
        <w:rPr>
          <w:rFonts w:ascii="Arial" w:hAnsi="Arial" w:cs="Arial"/>
          <w:sz w:val="20"/>
          <w:szCs w:val="20"/>
        </w:rPr>
        <w:t>sadek</w:t>
      </w:r>
      <w:proofErr w:type="spellEnd"/>
      <w:r>
        <w:rPr>
          <w:rFonts w:ascii="Arial" w:hAnsi="Arial" w:cs="Arial"/>
          <w:sz w:val="20"/>
          <w:szCs w:val="20"/>
        </w:rPr>
        <w:t xml:space="preserve"> MSA, </w:t>
      </w:r>
      <w:proofErr w:type="spellStart"/>
      <w:r>
        <w:rPr>
          <w:rFonts w:ascii="Arial" w:hAnsi="Arial" w:cs="Arial"/>
          <w:sz w:val="20"/>
          <w:szCs w:val="20"/>
        </w:rPr>
        <w:t>Kordrostami</w:t>
      </w:r>
      <w:proofErr w:type="spellEnd"/>
      <w:r>
        <w:rPr>
          <w:rFonts w:ascii="Arial" w:hAnsi="Arial" w:cs="Arial"/>
          <w:sz w:val="20"/>
          <w:szCs w:val="20"/>
        </w:rPr>
        <w:t xml:space="preserve"> M, Tran LSP 2018: Titanium dioxide nanoparticles improve growth and enhance tolerance of broad bean plants under saline soil conditions. Land </w:t>
      </w:r>
      <w:proofErr w:type="spellStart"/>
      <w:r>
        <w:rPr>
          <w:rFonts w:ascii="Arial" w:hAnsi="Arial" w:cs="Arial"/>
          <w:sz w:val="20"/>
          <w:szCs w:val="20"/>
        </w:rPr>
        <w:t>Degrad</w:t>
      </w:r>
      <w:proofErr w:type="spellEnd"/>
      <w:r>
        <w:rPr>
          <w:rFonts w:ascii="Arial" w:hAnsi="Arial" w:cs="Arial"/>
          <w:sz w:val="20"/>
          <w:szCs w:val="20"/>
        </w:rPr>
        <w:t xml:space="preserve">. Dev., 29, 1065–1073. </w:t>
      </w:r>
      <w:hyperlink r:id="rId24" w:tgtFrame="_new" w:history="1">
        <w:r>
          <w:rPr>
            <w:rStyle w:val="Hyperlink"/>
            <w:rFonts w:ascii="Arial" w:hAnsi="Arial" w:cs="Arial"/>
            <w:sz w:val="20"/>
            <w:szCs w:val="20"/>
          </w:rPr>
          <w:t>https://doi.org/10.1002/ldr.2780</w:t>
        </w:r>
      </w:hyperlink>
    </w:p>
    <w:p w:rsidR="007F3A31" w:rsidRDefault="0066394B">
      <w:pPr>
        <w:pStyle w:val="NormalWeb"/>
        <w:spacing w:line="360" w:lineRule="auto"/>
        <w:ind w:left="-360"/>
        <w:rPr>
          <w:rFonts w:ascii="Arial" w:hAnsi="Arial" w:cs="Arial"/>
          <w:sz w:val="20"/>
          <w:szCs w:val="20"/>
        </w:rPr>
      </w:pPr>
      <w:proofErr w:type="spellStart"/>
      <w:r>
        <w:rPr>
          <w:rFonts w:ascii="Arial" w:hAnsi="Arial" w:cs="Arial"/>
          <w:sz w:val="20"/>
          <w:szCs w:val="20"/>
        </w:rPr>
        <w:t>Asgharipour</w:t>
      </w:r>
      <w:proofErr w:type="spellEnd"/>
      <w:r>
        <w:rPr>
          <w:rFonts w:ascii="Arial" w:hAnsi="Arial" w:cs="Arial"/>
          <w:sz w:val="20"/>
          <w:szCs w:val="20"/>
        </w:rPr>
        <w:t xml:space="preserve"> MR, </w:t>
      </w:r>
      <w:proofErr w:type="spellStart"/>
      <w:r>
        <w:rPr>
          <w:rFonts w:ascii="Arial" w:hAnsi="Arial" w:cs="Arial"/>
          <w:sz w:val="20"/>
          <w:szCs w:val="20"/>
        </w:rPr>
        <w:t>Rafiei</w:t>
      </w:r>
      <w:proofErr w:type="spellEnd"/>
      <w:r>
        <w:rPr>
          <w:rFonts w:ascii="Arial" w:hAnsi="Arial" w:cs="Arial"/>
          <w:sz w:val="20"/>
          <w:szCs w:val="20"/>
        </w:rPr>
        <w:t xml:space="preserve"> M 2011: Effect of salinity on germination and seedling growth of lentils. Aust. J. Basic Appl. Sci., 5, 2002–2004.</w:t>
      </w:r>
    </w:p>
    <w:p w:rsidR="007F3A31" w:rsidRDefault="0066394B">
      <w:pPr>
        <w:pStyle w:val="NormalWeb"/>
        <w:spacing w:line="360" w:lineRule="auto"/>
        <w:ind w:left="-360"/>
        <w:rPr>
          <w:rFonts w:ascii="Arial" w:hAnsi="Arial" w:cs="Arial"/>
          <w:sz w:val="20"/>
          <w:szCs w:val="20"/>
        </w:rPr>
      </w:pPr>
      <w:proofErr w:type="spellStart"/>
      <w:r>
        <w:rPr>
          <w:rFonts w:ascii="Arial" w:hAnsi="Arial" w:cs="Arial"/>
          <w:sz w:val="20"/>
          <w:szCs w:val="20"/>
        </w:rPr>
        <w:t>Bazakos</w:t>
      </w:r>
      <w:proofErr w:type="spellEnd"/>
      <w:r>
        <w:rPr>
          <w:rFonts w:ascii="Arial" w:hAnsi="Arial" w:cs="Arial"/>
          <w:sz w:val="20"/>
          <w:szCs w:val="20"/>
        </w:rPr>
        <w:t xml:space="preserve"> C, </w:t>
      </w:r>
      <w:proofErr w:type="spellStart"/>
      <w:r>
        <w:rPr>
          <w:rFonts w:ascii="Arial" w:hAnsi="Arial" w:cs="Arial"/>
          <w:sz w:val="20"/>
          <w:szCs w:val="20"/>
        </w:rPr>
        <w:t>Manioudaki</w:t>
      </w:r>
      <w:proofErr w:type="spellEnd"/>
      <w:r>
        <w:rPr>
          <w:rFonts w:ascii="Arial" w:hAnsi="Arial" w:cs="Arial"/>
          <w:sz w:val="20"/>
          <w:szCs w:val="20"/>
        </w:rPr>
        <w:t xml:space="preserve"> ME, </w:t>
      </w:r>
      <w:proofErr w:type="spellStart"/>
      <w:r>
        <w:rPr>
          <w:rFonts w:ascii="Arial" w:hAnsi="Arial" w:cs="Arial"/>
          <w:sz w:val="20"/>
          <w:szCs w:val="20"/>
        </w:rPr>
        <w:t>Sarropoulou</w:t>
      </w:r>
      <w:proofErr w:type="spellEnd"/>
      <w:r>
        <w:rPr>
          <w:rFonts w:ascii="Arial" w:hAnsi="Arial" w:cs="Arial"/>
          <w:sz w:val="20"/>
          <w:szCs w:val="20"/>
        </w:rPr>
        <w:t xml:space="preserve"> E, Spano T, </w:t>
      </w:r>
      <w:proofErr w:type="spellStart"/>
      <w:r>
        <w:rPr>
          <w:rFonts w:ascii="Arial" w:hAnsi="Arial" w:cs="Arial"/>
          <w:sz w:val="20"/>
          <w:szCs w:val="20"/>
        </w:rPr>
        <w:t>Kalaitzis</w:t>
      </w:r>
      <w:proofErr w:type="spellEnd"/>
      <w:r>
        <w:rPr>
          <w:rFonts w:ascii="Arial" w:hAnsi="Arial" w:cs="Arial"/>
          <w:sz w:val="20"/>
          <w:szCs w:val="20"/>
        </w:rPr>
        <w:t xml:space="preserve"> P 2015: 454 pyrosequencing of olive (Olea </w:t>
      </w:r>
      <w:proofErr w:type="spellStart"/>
      <w:r>
        <w:rPr>
          <w:rFonts w:ascii="Arial" w:hAnsi="Arial" w:cs="Arial"/>
          <w:sz w:val="20"/>
          <w:szCs w:val="20"/>
        </w:rPr>
        <w:t>europaea</w:t>
      </w:r>
      <w:proofErr w:type="spellEnd"/>
      <w:r>
        <w:rPr>
          <w:rFonts w:ascii="Arial" w:hAnsi="Arial" w:cs="Arial"/>
          <w:sz w:val="20"/>
          <w:szCs w:val="20"/>
        </w:rPr>
        <w:t xml:space="preserve"> L.) transcriptome in response to salinity. </w:t>
      </w:r>
      <w:proofErr w:type="spellStart"/>
      <w:r>
        <w:rPr>
          <w:rFonts w:ascii="Arial" w:hAnsi="Arial" w:cs="Arial"/>
          <w:sz w:val="20"/>
          <w:szCs w:val="20"/>
        </w:rPr>
        <w:t>PLoS</w:t>
      </w:r>
      <w:proofErr w:type="spellEnd"/>
      <w:r>
        <w:rPr>
          <w:rFonts w:ascii="Arial" w:hAnsi="Arial" w:cs="Arial"/>
          <w:sz w:val="20"/>
          <w:szCs w:val="20"/>
        </w:rPr>
        <w:t xml:space="preserve"> One, 10(11), e0143000.</w:t>
      </w:r>
    </w:p>
    <w:p w:rsidR="007F3A31" w:rsidRDefault="0066394B">
      <w:pPr>
        <w:pStyle w:val="NormalWeb"/>
        <w:spacing w:line="360" w:lineRule="auto"/>
        <w:ind w:left="-360"/>
        <w:rPr>
          <w:rFonts w:ascii="Arial" w:hAnsi="Arial" w:cs="Arial"/>
          <w:sz w:val="20"/>
          <w:szCs w:val="20"/>
        </w:rPr>
      </w:pPr>
      <w:r>
        <w:rPr>
          <w:rFonts w:ascii="Arial" w:hAnsi="Arial" w:cs="Arial"/>
          <w:sz w:val="20"/>
          <w:szCs w:val="20"/>
        </w:rPr>
        <w:t xml:space="preserve">Chauhan A, </w:t>
      </w:r>
      <w:proofErr w:type="spellStart"/>
      <w:r>
        <w:rPr>
          <w:rFonts w:ascii="Arial" w:hAnsi="Arial" w:cs="Arial"/>
          <w:sz w:val="20"/>
          <w:szCs w:val="20"/>
        </w:rPr>
        <w:t>AbuAmarah</w:t>
      </w:r>
      <w:proofErr w:type="spellEnd"/>
      <w:r>
        <w:rPr>
          <w:rFonts w:ascii="Arial" w:hAnsi="Arial" w:cs="Arial"/>
          <w:sz w:val="20"/>
          <w:szCs w:val="20"/>
        </w:rPr>
        <w:t xml:space="preserve"> BA, Kumar A, Verma JS, </w:t>
      </w:r>
      <w:proofErr w:type="spellStart"/>
      <w:r>
        <w:rPr>
          <w:rFonts w:ascii="Arial" w:hAnsi="Arial" w:cs="Arial"/>
          <w:sz w:val="20"/>
          <w:szCs w:val="20"/>
        </w:rPr>
        <w:t>Ghramh</w:t>
      </w:r>
      <w:proofErr w:type="spellEnd"/>
      <w:r>
        <w:rPr>
          <w:rFonts w:ascii="Arial" w:hAnsi="Arial" w:cs="Arial"/>
          <w:sz w:val="20"/>
          <w:szCs w:val="20"/>
        </w:rPr>
        <w:t xml:space="preserve"> HA, Khan KA, Ansari MJ 2019: Influence of gibberellic acid and different </w:t>
      </w:r>
      <w:r>
        <w:rPr>
          <w:rFonts w:ascii="Arial" w:hAnsi="Arial" w:cs="Arial"/>
          <w:sz w:val="20"/>
          <w:szCs w:val="20"/>
        </w:rPr>
        <w:t xml:space="preserve">salt concentrations on germination percentage and physiological parameters of oat cultivars. Saudi J. Biol. Sci., 26, 1298–1304. </w:t>
      </w:r>
      <w:hyperlink r:id="rId25" w:tgtFrame="_new" w:history="1">
        <w:r>
          <w:rPr>
            <w:rStyle w:val="Hyperlink"/>
            <w:rFonts w:ascii="Arial" w:hAnsi="Arial" w:cs="Arial"/>
            <w:sz w:val="20"/>
            <w:szCs w:val="20"/>
          </w:rPr>
          <w:t>https://doi.org/10.1016/j.sjbs.2019.04.014</w:t>
        </w:r>
      </w:hyperlink>
    </w:p>
    <w:p w:rsidR="007F3A31" w:rsidRDefault="0066394B">
      <w:pPr>
        <w:pStyle w:val="NormalWeb"/>
        <w:spacing w:line="360" w:lineRule="auto"/>
        <w:ind w:left="-360"/>
        <w:rPr>
          <w:rFonts w:ascii="Arial" w:hAnsi="Arial" w:cs="Arial"/>
          <w:sz w:val="20"/>
          <w:szCs w:val="20"/>
        </w:rPr>
      </w:pPr>
      <w:r>
        <w:rPr>
          <w:rFonts w:ascii="Arial" w:hAnsi="Arial" w:cs="Arial"/>
          <w:sz w:val="20"/>
          <w:szCs w:val="20"/>
        </w:rPr>
        <w:t>Ellis RH, Rober</w:t>
      </w:r>
      <w:r>
        <w:rPr>
          <w:rFonts w:ascii="Arial" w:hAnsi="Arial" w:cs="Arial"/>
          <w:sz w:val="20"/>
          <w:szCs w:val="20"/>
        </w:rPr>
        <w:t xml:space="preserve">ts EH 1980: Improved equations for the prediction of seed longevity. Ann. Bot., 45, 13–30. </w:t>
      </w:r>
      <w:hyperlink r:id="rId26" w:tgtFrame="_new" w:history="1">
        <w:r>
          <w:rPr>
            <w:rStyle w:val="Hyperlink"/>
            <w:rFonts w:ascii="Arial" w:hAnsi="Arial" w:cs="Arial"/>
            <w:sz w:val="20"/>
            <w:szCs w:val="20"/>
          </w:rPr>
          <w:t>https://doi.org/10.1093/oxfordjournals.aob.a085797</w:t>
        </w:r>
      </w:hyperlink>
    </w:p>
    <w:p w:rsidR="007F3A31" w:rsidRDefault="0066394B">
      <w:pPr>
        <w:pStyle w:val="NormalWeb"/>
        <w:spacing w:line="360" w:lineRule="auto"/>
        <w:ind w:left="-360"/>
        <w:rPr>
          <w:rFonts w:ascii="Arial" w:hAnsi="Arial" w:cs="Arial"/>
          <w:sz w:val="20"/>
          <w:szCs w:val="20"/>
        </w:rPr>
      </w:pPr>
      <w:r>
        <w:rPr>
          <w:rFonts w:ascii="Arial" w:hAnsi="Arial" w:cs="Arial"/>
          <w:sz w:val="20"/>
          <w:szCs w:val="20"/>
        </w:rPr>
        <w:t xml:space="preserve">FAO 2013: Global cereals forecast to </w:t>
      </w:r>
      <w:r>
        <w:rPr>
          <w:rFonts w:ascii="Arial" w:hAnsi="Arial" w:cs="Arial"/>
          <w:sz w:val="20"/>
          <w:szCs w:val="20"/>
        </w:rPr>
        <w:t xml:space="preserve">increase by 7 percent in 2013. </w:t>
      </w:r>
      <w:hyperlink r:id="rId27" w:tgtFrame="_new" w:history="1">
        <w:r>
          <w:rPr>
            <w:rStyle w:val="Hyperlink"/>
            <w:rFonts w:ascii="Arial" w:hAnsi="Arial" w:cs="Arial"/>
            <w:sz w:val="20"/>
            <w:szCs w:val="20"/>
          </w:rPr>
          <w:t>http://www.fao.org/asiapacific/rap/home/news/detail/en/?news_uid=180032</w:t>
        </w:r>
      </w:hyperlink>
      <w:r>
        <w:rPr>
          <w:rFonts w:ascii="Arial" w:hAnsi="Arial" w:cs="Arial"/>
          <w:sz w:val="20"/>
          <w:szCs w:val="20"/>
        </w:rPr>
        <w:t xml:space="preserve"> (Accessed June 2, 2025).</w:t>
      </w:r>
    </w:p>
    <w:p w:rsidR="007F3A31" w:rsidRDefault="0066394B">
      <w:pPr>
        <w:pStyle w:val="NormalWeb"/>
        <w:spacing w:line="360" w:lineRule="auto"/>
        <w:ind w:left="-360"/>
        <w:rPr>
          <w:rFonts w:ascii="Arial" w:hAnsi="Arial" w:cs="Arial"/>
          <w:sz w:val="20"/>
          <w:szCs w:val="20"/>
        </w:rPr>
      </w:pPr>
      <w:proofErr w:type="spellStart"/>
      <w:r>
        <w:rPr>
          <w:rFonts w:ascii="Arial" w:hAnsi="Arial" w:cs="Arial"/>
          <w:sz w:val="20"/>
          <w:szCs w:val="20"/>
        </w:rPr>
        <w:t>Ferdose</w:t>
      </w:r>
      <w:proofErr w:type="spellEnd"/>
      <w:r>
        <w:rPr>
          <w:rFonts w:ascii="Arial" w:hAnsi="Arial" w:cs="Arial"/>
          <w:sz w:val="20"/>
          <w:szCs w:val="20"/>
        </w:rPr>
        <w:t xml:space="preserve"> J, Kawasaki M, Taniguc</w:t>
      </w:r>
      <w:r>
        <w:rPr>
          <w:rFonts w:ascii="Arial" w:hAnsi="Arial" w:cs="Arial"/>
          <w:sz w:val="20"/>
          <w:szCs w:val="20"/>
        </w:rPr>
        <w:t xml:space="preserve">hi M, Miyake H 2009: Differential sensitivity of rice cultivars to salinity and its relation to ion accumulation and root tip structure. Plant Prod. Sci., 12, 453–461. </w:t>
      </w:r>
      <w:hyperlink r:id="rId28" w:tgtFrame="_new" w:history="1">
        <w:r>
          <w:rPr>
            <w:rStyle w:val="Hyperlink"/>
            <w:rFonts w:ascii="Arial" w:hAnsi="Arial" w:cs="Arial"/>
            <w:sz w:val="20"/>
            <w:szCs w:val="20"/>
          </w:rPr>
          <w:t>https://doi.org/10.1626/pps.12</w:t>
        </w:r>
        <w:r>
          <w:rPr>
            <w:rStyle w:val="Hyperlink"/>
            <w:rFonts w:ascii="Arial" w:hAnsi="Arial" w:cs="Arial"/>
            <w:sz w:val="20"/>
            <w:szCs w:val="20"/>
          </w:rPr>
          <w:t>.453</w:t>
        </w:r>
      </w:hyperlink>
    </w:p>
    <w:p w:rsidR="007F3A31" w:rsidRDefault="0066394B">
      <w:pPr>
        <w:pStyle w:val="NormalWeb"/>
        <w:spacing w:line="360" w:lineRule="auto"/>
        <w:ind w:left="-360"/>
        <w:rPr>
          <w:rFonts w:ascii="Arial" w:hAnsi="Arial" w:cs="Arial"/>
          <w:sz w:val="20"/>
          <w:szCs w:val="20"/>
        </w:rPr>
      </w:pPr>
      <w:r>
        <w:rPr>
          <w:rFonts w:ascii="Arial" w:hAnsi="Arial" w:cs="Arial"/>
          <w:sz w:val="20"/>
          <w:szCs w:val="20"/>
        </w:rPr>
        <w:t xml:space="preserve">Hakim MA, </w:t>
      </w:r>
      <w:proofErr w:type="spellStart"/>
      <w:r>
        <w:rPr>
          <w:rFonts w:ascii="Arial" w:hAnsi="Arial" w:cs="Arial"/>
          <w:sz w:val="20"/>
          <w:szCs w:val="20"/>
        </w:rPr>
        <w:t>Juraimi</w:t>
      </w:r>
      <w:proofErr w:type="spellEnd"/>
      <w:r>
        <w:rPr>
          <w:rFonts w:ascii="Arial" w:hAnsi="Arial" w:cs="Arial"/>
          <w:sz w:val="20"/>
          <w:szCs w:val="20"/>
        </w:rPr>
        <w:t xml:space="preserve"> AS, Begum M, Hanafi MM, Ismail MR, </w:t>
      </w:r>
      <w:proofErr w:type="spellStart"/>
      <w:r>
        <w:rPr>
          <w:rFonts w:ascii="Arial" w:hAnsi="Arial" w:cs="Arial"/>
          <w:sz w:val="20"/>
          <w:szCs w:val="20"/>
        </w:rPr>
        <w:t>Selamat</w:t>
      </w:r>
      <w:proofErr w:type="spellEnd"/>
      <w:r>
        <w:rPr>
          <w:rFonts w:ascii="Arial" w:hAnsi="Arial" w:cs="Arial"/>
          <w:sz w:val="20"/>
          <w:szCs w:val="20"/>
        </w:rPr>
        <w:t xml:space="preserve"> A 2010: Effect of salt stress on germination and early seedling growth of rice. Afr. J. </w:t>
      </w:r>
      <w:proofErr w:type="spellStart"/>
      <w:r>
        <w:rPr>
          <w:rFonts w:ascii="Arial" w:hAnsi="Arial" w:cs="Arial"/>
          <w:sz w:val="20"/>
          <w:szCs w:val="20"/>
        </w:rPr>
        <w:t>Biotechnol</w:t>
      </w:r>
      <w:proofErr w:type="spellEnd"/>
      <w:r>
        <w:rPr>
          <w:rFonts w:ascii="Arial" w:hAnsi="Arial" w:cs="Arial"/>
          <w:sz w:val="20"/>
          <w:szCs w:val="20"/>
        </w:rPr>
        <w:t>., 9, 1911–1918.</w:t>
      </w:r>
    </w:p>
    <w:p w:rsidR="007F3A31" w:rsidRDefault="0066394B">
      <w:pPr>
        <w:pStyle w:val="NormalWeb"/>
        <w:spacing w:line="360" w:lineRule="auto"/>
        <w:ind w:left="-360"/>
        <w:rPr>
          <w:rFonts w:ascii="Arial" w:hAnsi="Arial" w:cs="Arial"/>
          <w:sz w:val="20"/>
          <w:szCs w:val="20"/>
        </w:rPr>
      </w:pPr>
      <w:r>
        <w:rPr>
          <w:rFonts w:ascii="Arial" w:hAnsi="Arial" w:cs="Arial"/>
          <w:sz w:val="20"/>
          <w:szCs w:val="20"/>
        </w:rPr>
        <w:t xml:space="preserve">Hakim MA, </w:t>
      </w:r>
      <w:proofErr w:type="spellStart"/>
      <w:r>
        <w:rPr>
          <w:rFonts w:ascii="Arial" w:hAnsi="Arial" w:cs="Arial"/>
          <w:sz w:val="20"/>
          <w:szCs w:val="20"/>
        </w:rPr>
        <w:t>Juraimi</w:t>
      </w:r>
      <w:proofErr w:type="spellEnd"/>
      <w:r>
        <w:rPr>
          <w:rFonts w:ascii="Arial" w:hAnsi="Arial" w:cs="Arial"/>
          <w:sz w:val="20"/>
          <w:szCs w:val="20"/>
        </w:rPr>
        <w:t xml:space="preserve"> AS, Hanafi MM, Ismail MR, </w:t>
      </w:r>
      <w:proofErr w:type="spellStart"/>
      <w:r>
        <w:rPr>
          <w:rFonts w:ascii="Arial" w:hAnsi="Arial" w:cs="Arial"/>
          <w:sz w:val="20"/>
          <w:szCs w:val="20"/>
        </w:rPr>
        <w:t>Selamat</w:t>
      </w:r>
      <w:proofErr w:type="spellEnd"/>
      <w:r>
        <w:rPr>
          <w:rFonts w:ascii="Arial" w:hAnsi="Arial" w:cs="Arial"/>
          <w:sz w:val="20"/>
          <w:szCs w:val="20"/>
        </w:rPr>
        <w:t xml:space="preserve"> A, </w:t>
      </w:r>
      <w:proofErr w:type="spellStart"/>
      <w:r>
        <w:rPr>
          <w:rFonts w:ascii="Arial" w:hAnsi="Arial" w:cs="Arial"/>
          <w:sz w:val="20"/>
          <w:szCs w:val="20"/>
        </w:rPr>
        <w:t>Rafii</w:t>
      </w:r>
      <w:proofErr w:type="spellEnd"/>
      <w:r>
        <w:rPr>
          <w:rFonts w:ascii="Arial" w:hAnsi="Arial" w:cs="Arial"/>
          <w:sz w:val="20"/>
          <w:szCs w:val="20"/>
        </w:rPr>
        <w:t xml:space="preserve"> MY, Latif M</w:t>
      </w:r>
      <w:r>
        <w:rPr>
          <w:rFonts w:ascii="Arial" w:hAnsi="Arial" w:cs="Arial"/>
          <w:sz w:val="20"/>
          <w:szCs w:val="20"/>
        </w:rPr>
        <w:t xml:space="preserve">A 2014: Biochemical and anatomical changes and yield reduction in rice (Oryza sativa L.) under varied salinity regimes. Biomed Res. Int., 2014, 1–10. </w:t>
      </w:r>
      <w:hyperlink r:id="rId29" w:tgtFrame="_new" w:history="1">
        <w:r>
          <w:rPr>
            <w:rStyle w:val="Hyperlink"/>
            <w:rFonts w:ascii="Arial" w:hAnsi="Arial" w:cs="Arial"/>
            <w:sz w:val="20"/>
            <w:szCs w:val="20"/>
          </w:rPr>
          <w:t>https://doi.org/10.1155/2014/208584</w:t>
        </w:r>
      </w:hyperlink>
    </w:p>
    <w:p w:rsidR="007F3A31" w:rsidRDefault="0066394B">
      <w:pPr>
        <w:pStyle w:val="NormalWeb"/>
        <w:spacing w:line="360" w:lineRule="auto"/>
        <w:ind w:left="-360"/>
        <w:rPr>
          <w:rFonts w:ascii="Arial" w:hAnsi="Arial" w:cs="Arial"/>
          <w:sz w:val="20"/>
          <w:szCs w:val="20"/>
        </w:rPr>
      </w:pPr>
      <w:proofErr w:type="spellStart"/>
      <w:r>
        <w:rPr>
          <w:rFonts w:ascii="Arial" w:hAnsi="Arial" w:cs="Arial"/>
          <w:sz w:val="20"/>
          <w:szCs w:val="20"/>
        </w:rPr>
        <w:lastRenderedPageBreak/>
        <w:t>Hussien</w:t>
      </w:r>
      <w:proofErr w:type="spellEnd"/>
      <w:r>
        <w:rPr>
          <w:rFonts w:ascii="Arial" w:hAnsi="Arial" w:cs="Arial"/>
          <w:sz w:val="20"/>
          <w:szCs w:val="20"/>
        </w:rPr>
        <w:t xml:space="preserve"> </w:t>
      </w:r>
      <w:r>
        <w:rPr>
          <w:rFonts w:ascii="Arial" w:hAnsi="Arial" w:cs="Arial"/>
          <w:sz w:val="20"/>
          <w:szCs w:val="20"/>
        </w:rPr>
        <w:t xml:space="preserve">Ibrahim ME, Zhu X, Zhou G, Adam Ali AY, Ibrahim </w:t>
      </w:r>
      <w:proofErr w:type="spellStart"/>
      <w:r>
        <w:rPr>
          <w:rFonts w:ascii="Arial" w:hAnsi="Arial" w:cs="Arial"/>
          <w:sz w:val="20"/>
          <w:szCs w:val="20"/>
        </w:rPr>
        <w:t>Elsiddig</w:t>
      </w:r>
      <w:proofErr w:type="spellEnd"/>
      <w:r>
        <w:rPr>
          <w:rFonts w:ascii="Arial" w:hAnsi="Arial" w:cs="Arial"/>
          <w:sz w:val="20"/>
          <w:szCs w:val="20"/>
        </w:rPr>
        <w:t xml:space="preserve"> AM, Farah GA 2019: Response of some wheat varieties to gibberellic acid under saline conditions. </w:t>
      </w:r>
      <w:proofErr w:type="spellStart"/>
      <w:r>
        <w:rPr>
          <w:rFonts w:ascii="Arial" w:hAnsi="Arial" w:cs="Arial"/>
          <w:sz w:val="20"/>
          <w:szCs w:val="20"/>
        </w:rPr>
        <w:t>Agrosyst</w:t>
      </w:r>
      <w:proofErr w:type="spellEnd"/>
      <w:r>
        <w:rPr>
          <w:rFonts w:ascii="Arial" w:hAnsi="Arial" w:cs="Arial"/>
          <w:sz w:val="20"/>
          <w:szCs w:val="20"/>
        </w:rPr>
        <w:t xml:space="preserve">. </w:t>
      </w:r>
      <w:proofErr w:type="spellStart"/>
      <w:r>
        <w:rPr>
          <w:rFonts w:ascii="Arial" w:hAnsi="Arial" w:cs="Arial"/>
          <w:sz w:val="20"/>
          <w:szCs w:val="20"/>
        </w:rPr>
        <w:t>Geosci</w:t>
      </w:r>
      <w:proofErr w:type="spellEnd"/>
      <w:r>
        <w:rPr>
          <w:rFonts w:ascii="Arial" w:hAnsi="Arial" w:cs="Arial"/>
          <w:sz w:val="20"/>
          <w:szCs w:val="20"/>
        </w:rPr>
        <w:t xml:space="preserve">. Environ., 2, 1–7. </w:t>
      </w:r>
      <w:hyperlink r:id="rId30" w:tgtFrame="_new" w:history="1">
        <w:r>
          <w:rPr>
            <w:rStyle w:val="Hyperlink"/>
            <w:rFonts w:ascii="Arial" w:hAnsi="Arial" w:cs="Arial"/>
            <w:sz w:val="20"/>
            <w:szCs w:val="20"/>
          </w:rPr>
          <w:t>htt</w:t>
        </w:r>
        <w:r>
          <w:rPr>
            <w:rStyle w:val="Hyperlink"/>
            <w:rFonts w:ascii="Arial" w:hAnsi="Arial" w:cs="Arial"/>
            <w:sz w:val="20"/>
            <w:szCs w:val="20"/>
          </w:rPr>
          <w:t>ps://doi.org/10.2134/age2019.01.0003</w:t>
        </w:r>
      </w:hyperlink>
    </w:p>
    <w:p w:rsidR="007F3A31" w:rsidRDefault="0066394B">
      <w:pPr>
        <w:pStyle w:val="NormalWeb"/>
        <w:spacing w:line="360" w:lineRule="auto"/>
        <w:ind w:left="-360"/>
        <w:rPr>
          <w:rFonts w:ascii="Arial" w:hAnsi="Arial" w:cs="Arial"/>
          <w:sz w:val="20"/>
          <w:szCs w:val="20"/>
        </w:rPr>
      </w:pPr>
      <w:r>
        <w:rPr>
          <w:rFonts w:ascii="Arial" w:hAnsi="Arial" w:cs="Arial"/>
          <w:sz w:val="20"/>
          <w:szCs w:val="20"/>
        </w:rPr>
        <w:t xml:space="preserve">Jamil M, Bashir S, Anwar S, Bibi S, Bangash A, Ullah F, </w:t>
      </w:r>
      <w:proofErr w:type="spellStart"/>
      <w:r>
        <w:rPr>
          <w:rFonts w:ascii="Arial" w:hAnsi="Arial" w:cs="Arial"/>
          <w:sz w:val="20"/>
          <w:szCs w:val="20"/>
        </w:rPr>
        <w:t>Rha</w:t>
      </w:r>
      <w:proofErr w:type="spellEnd"/>
      <w:r>
        <w:rPr>
          <w:rFonts w:ascii="Arial" w:hAnsi="Arial" w:cs="Arial"/>
          <w:sz w:val="20"/>
          <w:szCs w:val="20"/>
        </w:rPr>
        <w:t xml:space="preserve"> ES 2012: Effect of salinity on physiological and biochemical characteristics of different varieties of rice. Pak. J. Bot., 44(1), 7–13.</w:t>
      </w:r>
    </w:p>
    <w:p w:rsidR="007F3A31" w:rsidRDefault="0066394B">
      <w:pPr>
        <w:pStyle w:val="NormalWeb"/>
        <w:spacing w:line="360" w:lineRule="auto"/>
        <w:ind w:left="-360"/>
        <w:rPr>
          <w:rFonts w:ascii="Arial" w:hAnsi="Arial" w:cs="Arial"/>
          <w:color w:val="222222"/>
          <w:sz w:val="20"/>
          <w:szCs w:val="20"/>
          <w:shd w:val="clear" w:color="auto" w:fill="FFFFFF"/>
        </w:rPr>
      </w:pPr>
      <w:r>
        <w:rPr>
          <w:rFonts w:ascii="Arial" w:hAnsi="Arial" w:cs="Arial"/>
          <w:color w:val="222222"/>
          <w:sz w:val="20"/>
          <w:szCs w:val="20"/>
          <w:shd w:val="clear" w:color="auto" w:fill="FFFFFF"/>
        </w:rPr>
        <w:t>Kaneko, M., Itoh, H.</w:t>
      </w: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Ueguchi</w:t>
      </w:r>
      <w:proofErr w:type="spellEnd"/>
      <w:r>
        <w:rPr>
          <w:rFonts w:ascii="Arial" w:hAnsi="Arial" w:cs="Arial"/>
          <w:color w:val="222222"/>
          <w:sz w:val="20"/>
          <w:szCs w:val="20"/>
          <w:shd w:val="clear" w:color="auto" w:fill="FFFFFF"/>
        </w:rPr>
        <w:t xml:space="preserve">-Tanaka, M., </w:t>
      </w:r>
      <w:proofErr w:type="spellStart"/>
      <w:r>
        <w:rPr>
          <w:rFonts w:ascii="Arial" w:hAnsi="Arial" w:cs="Arial"/>
          <w:color w:val="222222"/>
          <w:sz w:val="20"/>
          <w:szCs w:val="20"/>
          <w:shd w:val="clear" w:color="auto" w:fill="FFFFFF"/>
        </w:rPr>
        <w:t>Ashikari</w:t>
      </w:r>
      <w:proofErr w:type="spellEnd"/>
      <w:r>
        <w:rPr>
          <w:rFonts w:ascii="Arial" w:hAnsi="Arial" w:cs="Arial"/>
          <w:color w:val="222222"/>
          <w:sz w:val="20"/>
          <w:szCs w:val="20"/>
          <w:shd w:val="clear" w:color="auto" w:fill="FFFFFF"/>
        </w:rPr>
        <w:t>, M., &amp; Matsuoka, M. (2002). The α-amylase induction in endosperm during rice seed germination is caused by gibberellin synthesized in epithelium. </w:t>
      </w:r>
      <w:r>
        <w:rPr>
          <w:rFonts w:ascii="Arial" w:hAnsi="Arial" w:cs="Arial"/>
          <w:i/>
          <w:iCs/>
          <w:color w:val="222222"/>
          <w:sz w:val="20"/>
          <w:szCs w:val="20"/>
          <w:shd w:val="clear" w:color="auto" w:fill="FFFFFF"/>
        </w:rPr>
        <w:t>Plant Physiology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128</w:t>
      </w:r>
      <w:r>
        <w:rPr>
          <w:rFonts w:ascii="Arial" w:hAnsi="Arial" w:cs="Arial"/>
          <w:color w:val="222222"/>
          <w:sz w:val="20"/>
          <w:szCs w:val="20"/>
          <w:shd w:val="clear" w:color="auto" w:fill="FFFFFF"/>
        </w:rPr>
        <w:t>(4), 1264-1270.</w:t>
      </w:r>
    </w:p>
    <w:p w:rsidR="007F3A31" w:rsidRDefault="0066394B">
      <w:pPr>
        <w:pStyle w:val="NormalWeb"/>
        <w:spacing w:line="360" w:lineRule="auto"/>
        <w:ind w:left="-360"/>
        <w:rPr>
          <w:rFonts w:ascii="Arial" w:hAnsi="Arial" w:cs="Arial"/>
          <w:sz w:val="20"/>
          <w:szCs w:val="20"/>
        </w:rPr>
      </w:pPr>
      <w:r>
        <w:rPr>
          <w:rFonts w:ascii="Arial" w:hAnsi="Arial" w:cs="Arial"/>
          <w:sz w:val="20"/>
          <w:szCs w:val="20"/>
        </w:rPr>
        <w:t xml:space="preserve">Kaur S, Gupta AK, Kaur N 2000: Effect of GA3, kinetin and indole acetic acid on carbohydrate metabolism in chickpea seedlings germinating under water stress. Plant Growth </w:t>
      </w:r>
      <w:proofErr w:type="spellStart"/>
      <w:r>
        <w:rPr>
          <w:rFonts w:ascii="Arial" w:hAnsi="Arial" w:cs="Arial"/>
          <w:sz w:val="20"/>
          <w:szCs w:val="20"/>
        </w:rPr>
        <w:t>Regul</w:t>
      </w:r>
      <w:proofErr w:type="spellEnd"/>
      <w:r>
        <w:rPr>
          <w:rFonts w:ascii="Arial" w:hAnsi="Arial" w:cs="Arial"/>
          <w:sz w:val="20"/>
          <w:szCs w:val="20"/>
        </w:rPr>
        <w:t xml:space="preserve">., 30, 61–70. </w:t>
      </w:r>
      <w:hyperlink r:id="rId31" w:tgtFrame="_new" w:history="1">
        <w:r>
          <w:rPr>
            <w:rStyle w:val="Hyperlink"/>
            <w:rFonts w:ascii="Arial" w:hAnsi="Arial" w:cs="Arial"/>
            <w:sz w:val="20"/>
            <w:szCs w:val="20"/>
          </w:rPr>
          <w:t>htt</w:t>
        </w:r>
        <w:r>
          <w:rPr>
            <w:rStyle w:val="Hyperlink"/>
            <w:rFonts w:ascii="Arial" w:hAnsi="Arial" w:cs="Arial"/>
            <w:sz w:val="20"/>
            <w:szCs w:val="20"/>
          </w:rPr>
          <w:t>ps://doi.org/10.1023/A:1006371219048</w:t>
        </w:r>
      </w:hyperlink>
    </w:p>
    <w:p w:rsidR="007F3A31" w:rsidRDefault="0066394B">
      <w:pPr>
        <w:pStyle w:val="NormalWeb"/>
        <w:spacing w:line="360" w:lineRule="auto"/>
        <w:ind w:left="-360"/>
        <w:rPr>
          <w:rFonts w:ascii="Arial" w:hAnsi="Arial" w:cs="Arial"/>
          <w:sz w:val="20"/>
          <w:szCs w:val="20"/>
        </w:rPr>
      </w:pPr>
      <w:r>
        <w:rPr>
          <w:rFonts w:ascii="Arial" w:hAnsi="Arial" w:cs="Arial"/>
          <w:sz w:val="20"/>
          <w:szCs w:val="20"/>
        </w:rPr>
        <w:t xml:space="preserve">Kumari R, Kumar P, Sharma VK, Kumar H 2018: Evaluation of salinity tolerance of rice varieties through in vitro seed germination and seedling growth. Int. J. </w:t>
      </w:r>
      <w:proofErr w:type="spellStart"/>
      <w:r>
        <w:rPr>
          <w:rFonts w:ascii="Arial" w:hAnsi="Arial" w:cs="Arial"/>
          <w:sz w:val="20"/>
          <w:szCs w:val="20"/>
        </w:rPr>
        <w:t>Curr</w:t>
      </w:r>
      <w:proofErr w:type="spellEnd"/>
      <w:r>
        <w:rPr>
          <w:rFonts w:ascii="Arial" w:hAnsi="Arial" w:cs="Arial"/>
          <w:sz w:val="20"/>
          <w:szCs w:val="20"/>
        </w:rPr>
        <w:t>. Microbiol. App. Sci., 7(3), 2648–2659.</w:t>
      </w:r>
    </w:p>
    <w:p w:rsidR="007F3A31" w:rsidRDefault="0066394B">
      <w:pPr>
        <w:pStyle w:val="NormalWeb"/>
        <w:spacing w:line="360" w:lineRule="auto"/>
        <w:ind w:left="-360"/>
        <w:rPr>
          <w:rFonts w:ascii="Arial" w:hAnsi="Arial" w:cs="Arial"/>
          <w:sz w:val="20"/>
          <w:szCs w:val="20"/>
        </w:rPr>
      </w:pPr>
      <w:r>
        <w:rPr>
          <w:rFonts w:ascii="Arial" w:hAnsi="Arial" w:cs="Arial"/>
          <w:sz w:val="20"/>
          <w:szCs w:val="20"/>
        </w:rPr>
        <w:t>Liu L, Xia W,</w:t>
      </w:r>
      <w:r>
        <w:rPr>
          <w:rFonts w:ascii="Arial" w:hAnsi="Arial" w:cs="Arial"/>
          <w:sz w:val="20"/>
          <w:szCs w:val="20"/>
        </w:rPr>
        <w:t xml:space="preserve"> Li H, Zeng H, Wei B, Han S, Yin C 2018: Salinity inhibits rice seed germination by reducing α-amylase activity via decreased bioactive gibberellin content. Front. Plant Sci., 9, 275. </w:t>
      </w:r>
      <w:hyperlink r:id="rId32" w:tgtFrame="_new" w:history="1">
        <w:r>
          <w:rPr>
            <w:rStyle w:val="Hyperlink"/>
            <w:rFonts w:ascii="Arial" w:hAnsi="Arial" w:cs="Arial"/>
            <w:sz w:val="20"/>
            <w:szCs w:val="20"/>
          </w:rPr>
          <w:t>https://d</w:t>
        </w:r>
        <w:r>
          <w:rPr>
            <w:rStyle w:val="Hyperlink"/>
            <w:rFonts w:ascii="Arial" w:hAnsi="Arial" w:cs="Arial"/>
            <w:sz w:val="20"/>
            <w:szCs w:val="20"/>
          </w:rPr>
          <w:t>oi.org/10.3389/fpls.2018.00275</w:t>
        </w:r>
      </w:hyperlink>
    </w:p>
    <w:p w:rsidR="007F3A31" w:rsidRDefault="0066394B">
      <w:pPr>
        <w:pStyle w:val="NormalWeb"/>
        <w:spacing w:line="360" w:lineRule="auto"/>
        <w:ind w:left="-360"/>
        <w:rPr>
          <w:rFonts w:ascii="Arial" w:hAnsi="Arial" w:cs="Arial"/>
          <w:color w:val="222222"/>
          <w:sz w:val="20"/>
          <w:szCs w:val="20"/>
          <w:shd w:val="clear" w:color="auto" w:fill="FFFFFF"/>
          <w:lang w:eastAsia="en-IN"/>
        </w:rPr>
      </w:pPr>
      <w:r>
        <w:rPr>
          <w:rFonts w:ascii="Arial" w:hAnsi="Arial" w:cs="Arial"/>
          <w:color w:val="222222"/>
          <w:sz w:val="20"/>
          <w:szCs w:val="20"/>
          <w:shd w:val="clear" w:color="auto" w:fill="FFFFFF"/>
        </w:rPr>
        <w:t>Liu, X., Wang, X., Yin, L., Deng, X., &amp; Wang, S. (2018). Exogenous application of gibberellic acid participates in up-regulation of lipid biosynthesis under salt stress in rice. </w:t>
      </w:r>
      <w:r>
        <w:rPr>
          <w:rFonts w:ascii="Arial" w:hAnsi="Arial" w:cs="Arial"/>
          <w:i/>
          <w:iCs/>
          <w:color w:val="222222"/>
          <w:sz w:val="20"/>
          <w:szCs w:val="20"/>
          <w:shd w:val="clear" w:color="auto" w:fill="FFFFFF"/>
        </w:rPr>
        <w:t>Theoretical and Experimental Plant Physiolog</w:t>
      </w:r>
      <w:r>
        <w:rPr>
          <w:rFonts w:ascii="Arial" w:hAnsi="Arial" w:cs="Arial"/>
          <w:i/>
          <w:iCs/>
          <w:color w:val="222222"/>
          <w:sz w:val="20"/>
          <w:szCs w:val="20"/>
          <w:shd w:val="clear" w:color="auto" w:fill="FFFFFF"/>
        </w:rPr>
        <w: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 335-345.</w:t>
      </w:r>
    </w:p>
    <w:p w:rsidR="007F3A31" w:rsidRDefault="0066394B">
      <w:pPr>
        <w:pStyle w:val="NormalWeb"/>
        <w:spacing w:before="100" w:after="100" w:line="360" w:lineRule="auto"/>
        <w:ind w:left="-360"/>
        <w:rPr>
          <w:rFonts w:ascii="Arial" w:hAnsi="Arial" w:cs="Arial"/>
          <w:sz w:val="20"/>
          <w:szCs w:val="20"/>
        </w:rPr>
      </w:pPr>
      <w:r>
        <w:rPr>
          <w:rFonts w:ascii="Arial" w:hAnsi="Arial" w:cs="Arial"/>
          <w:sz w:val="20"/>
          <w:szCs w:val="20"/>
        </w:rPr>
        <w:t xml:space="preserve">Machado RMA, </w:t>
      </w:r>
      <w:proofErr w:type="spellStart"/>
      <w:r>
        <w:rPr>
          <w:rFonts w:ascii="Arial" w:hAnsi="Arial" w:cs="Arial"/>
          <w:sz w:val="20"/>
          <w:szCs w:val="20"/>
        </w:rPr>
        <w:t>Serralheiro</w:t>
      </w:r>
      <w:proofErr w:type="spellEnd"/>
      <w:r>
        <w:rPr>
          <w:rFonts w:ascii="Arial" w:hAnsi="Arial" w:cs="Arial"/>
          <w:sz w:val="20"/>
          <w:szCs w:val="20"/>
        </w:rPr>
        <w:t xml:space="preserve"> RP 2017: Soil salinity: effect on vegetable crop growth. Management practices to prevent and mitigate soil salinization. </w:t>
      </w:r>
      <w:proofErr w:type="spellStart"/>
      <w:r>
        <w:rPr>
          <w:rFonts w:ascii="Arial" w:hAnsi="Arial" w:cs="Arial"/>
          <w:sz w:val="20"/>
          <w:szCs w:val="20"/>
        </w:rPr>
        <w:t>Horticulturae</w:t>
      </w:r>
      <w:proofErr w:type="spellEnd"/>
      <w:r>
        <w:rPr>
          <w:rFonts w:ascii="Arial" w:hAnsi="Arial" w:cs="Arial"/>
          <w:sz w:val="20"/>
          <w:szCs w:val="20"/>
        </w:rPr>
        <w:t>, 3(2), 30.</w:t>
      </w:r>
    </w:p>
    <w:p w:rsidR="007F3A31" w:rsidRDefault="0066394B">
      <w:pPr>
        <w:pStyle w:val="NormalWeb"/>
        <w:spacing w:line="360" w:lineRule="auto"/>
        <w:ind w:left="-36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Mohammed, S. J., &amp; </w:t>
      </w:r>
      <w:proofErr w:type="spellStart"/>
      <w:r>
        <w:rPr>
          <w:rFonts w:ascii="Arial" w:hAnsi="Arial" w:cs="Arial"/>
          <w:color w:val="222222"/>
          <w:sz w:val="20"/>
          <w:szCs w:val="20"/>
          <w:shd w:val="clear" w:color="auto" w:fill="FFFFFF"/>
        </w:rPr>
        <w:t>Nulit</w:t>
      </w:r>
      <w:proofErr w:type="spellEnd"/>
      <w:r>
        <w:rPr>
          <w:rFonts w:ascii="Arial" w:hAnsi="Arial" w:cs="Arial"/>
          <w:color w:val="222222"/>
          <w:sz w:val="20"/>
          <w:szCs w:val="20"/>
          <w:shd w:val="clear" w:color="auto" w:fill="FFFFFF"/>
        </w:rPr>
        <w:t>, R. (2019). Impact of NACL, KCI, MCL2, MGSO4</w:t>
      </w:r>
      <w:r>
        <w:rPr>
          <w:rFonts w:ascii="Arial" w:hAnsi="Arial" w:cs="Arial"/>
          <w:color w:val="222222"/>
          <w:sz w:val="20"/>
          <w:szCs w:val="20"/>
          <w:shd w:val="clear" w:color="auto" w:fill="FFFFFF"/>
        </w:rPr>
        <w:t xml:space="preserve"> and CACL2 on the seed germination and seedling growth of cucumber (Cucumis sativus cv. MTi2). </w:t>
      </w:r>
      <w:r>
        <w:rPr>
          <w:rFonts w:ascii="Arial" w:hAnsi="Arial" w:cs="Arial"/>
          <w:i/>
          <w:iCs/>
          <w:color w:val="222222"/>
          <w:sz w:val="20"/>
          <w:szCs w:val="20"/>
          <w:shd w:val="clear" w:color="auto" w:fill="FFFFFF"/>
        </w:rPr>
        <w:t>Plant Archives (09725210)</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(2).</w:t>
      </w:r>
    </w:p>
    <w:p w:rsidR="007F3A31" w:rsidRDefault="0066394B">
      <w:pPr>
        <w:pStyle w:val="NormalWeb"/>
        <w:spacing w:line="360" w:lineRule="auto"/>
        <w:ind w:left="-360"/>
        <w:rPr>
          <w:rStyle w:val="Hyperlink"/>
          <w:rFonts w:ascii="Arial" w:hAnsi="Arial" w:cs="Arial"/>
          <w:sz w:val="20"/>
          <w:szCs w:val="20"/>
          <w:lang w:eastAsia="en-IN"/>
        </w:rPr>
      </w:pPr>
      <w:r>
        <w:rPr>
          <w:rFonts w:ascii="Arial" w:hAnsi="Arial" w:cs="Arial"/>
          <w:color w:val="222222"/>
          <w:sz w:val="20"/>
          <w:szCs w:val="20"/>
          <w:shd w:val="clear" w:color="auto" w:fill="FFFFFF"/>
        </w:rPr>
        <w:t xml:space="preserve">Mohammed, S. J., &amp; </w:t>
      </w:r>
      <w:proofErr w:type="spellStart"/>
      <w:r>
        <w:rPr>
          <w:rFonts w:ascii="Arial" w:hAnsi="Arial" w:cs="Arial"/>
          <w:color w:val="222222"/>
          <w:sz w:val="20"/>
          <w:szCs w:val="20"/>
          <w:shd w:val="clear" w:color="auto" w:fill="FFFFFF"/>
        </w:rPr>
        <w:t>Nulit</w:t>
      </w:r>
      <w:proofErr w:type="spellEnd"/>
      <w:r>
        <w:rPr>
          <w:rFonts w:ascii="Arial" w:hAnsi="Arial" w:cs="Arial"/>
          <w:color w:val="222222"/>
          <w:sz w:val="20"/>
          <w:szCs w:val="20"/>
          <w:shd w:val="clear" w:color="auto" w:fill="FFFFFF"/>
        </w:rPr>
        <w:t xml:space="preserve">, R. (2019). Impact of NaCl, MgCl2 and CaCl2 on seed germination and seedling growth on turnip </w:t>
      </w:r>
      <w:r>
        <w:rPr>
          <w:rFonts w:ascii="Arial" w:hAnsi="Arial" w:cs="Arial"/>
          <w:color w:val="222222"/>
          <w:sz w:val="20"/>
          <w:szCs w:val="20"/>
          <w:shd w:val="clear" w:color="auto" w:fill="FFFFFF"/>
        </w:rPr>
        <w:t xml:space="preserve">(Brassica </w:t>
      </w:r>
      <w:proofErr w:type="spellStart"/>
      <w:r>
        <w:rPr>
          <w:rFonts w:ascii="Arial" w:hAnsi="Arial" w:cs="Arial"/>
          <w:color w:val="222222"/>
          <w:sz w:val="20"/>
          <w:szCs w:val="20"/>
          <w:shd w:val="clear" w:color="auto" w:fill="FFFFFF"/>
        </w:rPr>
        <w:t>rapa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rapa</w:t>
      </w:r>
      <w:proofErr w:type="spellEnd"/>
      <w:r>
        <w:rPr>
          <w:rFonts w:ascii="Arial" w:hAnsi="Arial" w:cs="Arial"/>
          <w:color w:val="222222"/>
          <w:sz w:val="20"/>
          <w:szCs w:val="20"/>
          <w:shd w:val="clear" w:color="auto" w:fill="FFFFFF"/>
        </w:rPr>
        <w:t>).</w:t>
      </w:r>
    </w:p>
    <w:p w:rsidR="007F3A31" w:rsidRDefault="0066394B">
      <w:pPr>
        <w:pStyle w:val="NormalWeb"/>
        <w:spacing w:line="360" w:lineRule="auto"/>
        <w:ind w:left="-360"/>
        <w:rPr>
          <w:rFonts w:ascii="Arial" w:hAnsi="Arial" w:cs="Arial"/>
          <w:sz w:val="20"/>
          <w:szCs w:val="20"/>
        </w:rPr>
      </w:pPr>
      <w:proofErr w:type="spellStart"/>
      <w:r>
        <w:rPr>
          <w:rFonts w:ascii="Arial" w:hAnsi="Arial" w:cs="Arial"/>
          <w:sz w:val="20"/>
          <w:szCs w:val="20"/>
        </w:rPr>
        <w:t>Ologundudu</w:t>
      </w:r>
      <w:proofErr w:type="spellEnd"/>
      <w:r>
        <w:rPr>
          <w:rFonts w:ascii="Arial" w:hAnsi="Arial" w:cs="Arial"/>
          <w:sz w:val="20"/>
          <w:szCs w:val="20"/>
        </w:rPr>
        <w:t xml:space="preserve"> AF, </w:t>
      </w:r>
      <w:proofErr w:type="spellStart"/>
      <w:r>
        <w:rPr>
          <w:rFonts w:ascii="Arial" w:hAnsi="Arial" w:cs="Arial"/>
          <w:sz w:val="20"/>
          <w:szCs w:val="20"/>
        </w:rPr>
        <w:t>Adelusi</w:t>
      </w:r>
      <w:proofErr w:type="spellEnd"/>
      <w:r>
        <w:rPr>
          <w:rFonts w:ascii="Arial" w:hAnsi="Arial" w:cs="Arial"/>
          <w:sz w:val="20"/>
          <w:szCs w:val="20"/>
        </w:rPr>
        <w:t xml:space="preserve"> AA, </w:t>
      </w:r>
      <w:proofErr w:type="spellStart"/>
      <w:r>
        <w:rPr>
          <w:rFonts w:ascii="Arial" w:hAnsi="Arial" w:cs="Arial"/>
          <w:sz w:val="20"/>
          <w:szCs w:val="20"/>
        </w:rPr>
        <w:t>Akinwale</w:t>
      </w:r>
      <w:proofErr w:type="spellEnd"/>
      <w:r>
        <w:rPr>
          <w:rFonts w:ascii="Arial" w:hAnsi="Arial" w:cs="Arial"/>
          <w:sz w:val="20"/>
          <w:szCs w:val="20"/>
        </w:rPr>
        <w:t xml:space="preserve"> RO 2014: Effect of salt stress on germination and growth parameters of rice (Oryza sativa L.). Int. J. Sci. Res. Publ., 6, 237–243.</w:t>
      </w:r>
    </w:p>
    <w:p w:rsidR="007F3A31" w:rsidRDefault="0066394B">
      <w:pPr>
        <w:pStyle w:val="NormalWeb"/>
        <w:spacing w:line="360" w:lineRule="auto"/>
        <w:ind w:left="-360"/>
        <w:rPr>
          <w:rFonts w:ascii="Arial" w:hAnsi="Arial" w:cs="Arial"/>
          <w:sz w:val="20"/>
          <w:szCs w:val="20"/>
        </w:rPr>
      </w:pPr>
      <w:proofErr w:type="spellStart"/>
      <w:r>
        <w:rPr>
          <w:rFonts w:ascii="Arial" w:hAnsi="Arial" w:cs="Arial"/>
          <w:sz w:val="20"/>
          <w:szCs w:val="20"/>
        </w:rPr>
        <w:t>Savvides</w:t>
      </w:r>
      <w:proofErr w:type="spellEnd"/>
      <w:r>
        <w:rPr>
          <w:rFonts w:ascii="Arial" w:hAnsi="Arial" w:cs="Arial"/>
          <w:sz w:val="20"/>
          <w:szCs w:val="20"/>
        </w:rPr>
        <w:t xml:space="preserve"> A, Ali S, Tester M, Fotopoulos V 2016: Chemical priming o</w:t>
      </w:r>
      <w:r>
        <w:rPr>
          <w:rFonts w:ascii="Arial" w:hAnsi="Arial" w:cs="Arial"/>
          <w:sz w:val="20"/>
          <w:szCs w:val="20"/>
        </w:rPr>
        <w:t xml:space="preserve">f plants against multiple abiotic stresses: mission possible? Trends Plant Sci., 21, 329–340. </w:t>
      </w:r>
      <w:hyperlink r:id="rId33" w:tgtFrame="_new" w:history="1">
        <w:r>
          <w:rPr>
            <w:rStyle w:val="Hyperlink"/>
            <w:rFonts w:ascii="Arial" w:hAnsi="Arial" w:cs="Arial"/>
            <w:sz w:val="20"/>
            <w:szCs w:val="20"/>
          </w:rPr>
          <w:t>https://doi.org/10.1016/j.tplants.2015.11.003</w:t>
        </w:r>
      </w:hyperlink>
    </w:p>
    <w:p w:rsidR="007F3A31" w:rsidRDefault="0066394B">
      <w:pPr>
        <w:pStyle w:val="NormalWeb"/>
        <w:spacing w:line="360" w:lineRule="auto"/>
        <w:ind w:left="-360"/>
        <w:rPr>
          <w:rFonts w:ascii="Arial" w:hAnsi="Arial" w:cs="Arial"/>
          <w:sz w:val="20"/>
          <w:szCs w:val="20"/>
        </w:rPr>
      </w:pPr>
      <w:r>
        <w:rPr>
          <w:rFonts w:ascii="Arial" w:hAnsi="Arial" w:cs="Arial"/>
          <w:sz w:val="20"/>
          <w:szCs w:val="20"/>
        </w:rPr>
        <w:t>Tester M, Davenport R 2003: Na+ tolerance an</w:t>
      </w:r>
      <w:r>
        <w:rPr>
          <w:rFonts w:ascii="Arial" w:hAnsi="Arial" w:cs="Arial"/>
          <w:sz w:val="20"/>
          <w:szCs w:val="20"/>
        </w:rPr>
        <w:t xml:space="preserve">d Na+ transport in higher plants. Ann. Bot., 91, 503–527. </w:t>
      </w:r>
      <w:hyperlink r:id="rId34" w:tgtFrame="_new" w:history="1">
        <w:r>
          <w:rPr>
            <w:rStyle w:val="Hyperlink"/>
            <w:rFonts w:ascii="Arial" w:hAnsi="Arial" w:cs="Arial"/>
            <w:sz w:val="20"/>
            <w:szCs w:val="20"/>
          </w:rPr>
          <w:t>https://doi.org/10.1093/aob/mcg058</w:t>
        </w:r>
      </w:hyperlink>
    </w:p>
    <w:p w:rsidR="007F3A31" w:rsidRDefault="0066394B">
      <w:pPr>
        <w:pStyle w:val="NormalWeb"/>
        <w:spacing w:line="360" w:lineRule="auto"/>
        <w:ind w:left="-360"/>
        <w:rPr>
          <w:rStyle w:val="Hyperlink"/>
          <w:rFonts w:ascii="Arial" w:hAnsi="Arial" w:cs="Arial"/>
          <w:sz w:val="20"/>
          <w:szCs w:val="20"/>
          <w:lang w:eastAsia="en-IN"/>
        </w:rPr>
      </w:pPr>
      <w:r>
        <w:rPr>
          <w:rFonts w:ascii="Arial" w:hAnsi="Arial" w:cs="Arial"/>
          <w:sz w:val="20"/>
          <w:szCs w:val="20"/>
        </w:rPr>
        <w:t>Zhao F, Wang Z, Zhang Q, Zhao Y, Zhang H 2006: Analysis of the physiological mechanism of salt-toleran</w:t>
      </w:r>
      <w:r>
        <w:rPr>
          <w:rFonts w:ascii="Arial" w:hAnsi="Arial" w:cs="Arial"/>
          <w:sz w:val="20"/>
          <w:szCs w:val="20"/>
        </w:rPr>
        <w:t xml:space="preserve">t transgenic rice carrying a vacuolar Na+/H+ antiporter gene from </w:t>
      </w:r>
      <w:proofErr w:type="spellStart"/>
      <w:r>
        <w:rPr>
          <w:rFonts w:ascii="Arial" w:hAnsi="Arial" w:cs="Arial"/>
          <w:sz w:val="20"/>
          <w:szCs w:val="20"/>
        </w:rPr>
        <w:t>Suaeda</w:t>
      </w:r>
      <w:proofErr w:type="spellEnd"/>
      <w:r>
        <w:rPr>
          <w:rFonts w:ascii="Arial" w:hAnsi="Arial" w:cs="Arial"/>
          <w:sz w:val="20"/>
          <w:szCs w:val="20"/>
        </w:rPr>
        <w:t xml:space="preserve"> salsa. J. Plant Res., 119, 95–104. </w:t>
      </w:r>
      <w:hyperlink r:id="rId35" w:tgtFrame="_new" w:history="1">
        <w:r>
          <w:rPr>
            <w:rStyle w:val="Hyperlink"/>
            <w:rFonts w:ascii="Arial" w:hAnsi="Arial" w:cs="Arial"/>
            <w:sz w:val="20"/>
            <w:szCs w:val="20"/>
          </w:rPr>
          <w:t>https://doi.org/10.1007/s10265-005-0250-2</w:t>
        </w:r>
      </w:hyperlink>
    </w:p>
    <w:sectPr w:rsidR="007F3A31">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94B" w:rsidRDefault="0066394B">
      <w:r>
        <w:separator/>
      </w:r>
    </w:p>
  </w:endnote>
  <w:endnote w:type="continuationSeparator" w:id="0">
    <w:p w:rsidR="0066394B" w:rsidRDefault="0066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Aptos Display">
    <w:altName w:val="Mangal"/>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ans-serif">
    <w:altName w:val="Mang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31" w:rsidRDefault="007F3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31" w:rsidRDefault="007F3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31" w:rsidRDefault="007F3A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31" w:rsidRDefault="007F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94B" w:rsidRDefault="0066394B">
      <w:r>
        <w:separator/>
      </w:r>
    </w:p>
  </w:footnote>
  <w:footnote w:type="continuationSeparator" w:id="0">
    <w:p w:rsidR="0066394B" w:rsidRDefault="00663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31" w:rsidRDefault="0066394B">
    <w:pPr>
      <w:pStyle w:val="Header"/>
    </w:pPr>
    <w:r>
      <w:pict w14:anchorId="00644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7" o:spid="_x0000_s2050" type="#_x0000_t136" style="position:absolute;margin-left:0;margin-top:0;width:685.25pt;height:76.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31" w:rsidRDefault="0066394B">
    <w:pPr>
      <w:pStyle w:val="Header"/>
    </w:pPr>
    <w:r>
      <w:pict w14:anchorId="7D922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8" o:spid="_x0000_s2051" type="#_x0000_t136" style="position:absolute;margin-left:0;margin-top:0;width:685.25pt;height:76.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31" w:rsidRDefault="0066394B">
    <w:pPr>
      <w:ind w:left="2160"/>
      <w:jc w:val="center"/>
      <w:rPr>
        <w:rFonts w:ascii="Times New Roman" w:eastAsia="Calibri" w:hAnsi="Times New Roman"/>
        <w:i/>
        <w:sz w:val="18"/>
        <w:szCs w:val="22"/>
      </w:rPr>
    </w:pPr>
    <w:r>
      <w:pict w14:anchorId="71DF5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6" o:spid="_x0000_s2049" type="#_x0000_t136" style="position:absolute;left:0;text-align:left;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7F3A31" w:rsidRDefault="0066394B">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7F3A31" w:rsidRDefault="0066394B">
    <w:pPr>
      <w:jc w:val="center"/>
      <w:rPr>
        <w:rFonts w:ascii="Times New Roman" w:eastAsia="Calibri" w:hAnsi="Times New Roman"/>
        <w:i/>
        <w:sz w:val="18"/>
        <w:szCs w:val="22"/>
      </w:rPr>
    </w:pPr>
    <w:r>
      <w:rPr>
        <w:rFonts w:ascii="Times New Roman" w:eastAsia="Calibri" w:hAnsi="Times New Roman"/>
        <w:i/>
        <w:sz w:val="18"/>
        <w:szCs w:val="22"/>
      </w:rPr>
      <w:t>.</w:t>
    </w:r>
  </w:p>
  <w:p w:rsidR="007F3A31" w:rsidRDefault="0066394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7F3A31" w:rsidRDefault="0066394B">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7F3A31" w:rsidRDefault="0066394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F3A31" w:rsidRDefault="0066394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31" w:rsidRDefault="0066394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685.25pt;height:76.1pt;rotation:315;z-index:-25164492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31" w:rsidRDefault="0066394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685.25pt;height:76.1pt;rotation:315;z-index:-25164390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31" w:rsidRDefault="0066394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685.25pt;height:76.1pt;rotation:315;z-index:-25164595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939"/>
    <w:rsid w:val="00006F19"/>
    <w:rsid w:val="00072B3F"/>
    <w:rsid w:val="000A5E7B"/>
    <w:rsid w:val="000D6FF5"/>
    <w:rsid w:val="00103A4C"/>
    <w:rsid w:val="00103D5A"/>
    <w:rsid w:val="001322E7"/>
    <w:rsid w:val="00181C3A"/>
    <w:rsid w:val="00194667"/>
    <w:rsid w:val="001A5939"/>
    <w:rsid w:val="001F0B0C"/>
    <w:rsid w:val="002410A2"/>
    <w:rsid w:val="00273E36"/>
    <w:rsid w:val="00486013"/>
    <w:rsid w:val="004F28DC"/>
    <w:rsid w:val="005D18A5"/>
    <w:rsid w:val="00625C23"/>
    <w:rsid w:val="006400ED"/>
    <w:rsid w:val="0066394B"/>
    <w:rsid w:val="00671F63"/>
    <w:rsid w:val="006B5395"/>
    <w:rsid w:val="006C345E"/>
    <w:rsid w:val="00705AE6"/>
    <w:rsid w:val="007459F7"/>
    <w:rsid w:val="00764D9A"/>
    <w:rsid w:val="007747C4"/>
    <w:rsid w:val="007D622A"/>
    <w:rsid w:val="007F3A31"/>
    <w:rsid w:val="0080047C"/>
    <w:rsid w:val="008064AC"/>
    <w:rsid w:val="00865EEA"/>
    <w:rsid w:val="008B51AF"/>
    <w:rsid w:val="008F284B"/>
    <w:rsid w:val="008F4672"/>
    <w:rsid w:val="009112B1"/>
    <w:rsid w:val="00937FC4"/>
    <w:rsid w:val="00977D91"/>
    <w:rsid w:val="009E2B03"/>
    <w:rsid w:val="00AA49B4"/>
    <w:rsid w:val="00AC31AB"/>
    <w:rsid w:val="00B0276C"/>
    <w:rsid w:val="00B223C5"/>
    <w:rsid w:val="00B74158"/>
    <w:rsid w:val="00BA75CD"/>
    <w:rsid w:val="00C10395"/>
    <w:rsid w:val="00C64891"/>
    <w:rsid w:val="00C82F22"/>
    <w:rsid w:val="00D373BD"/>
    <w:rsid w:val="00D527CD"/>
    <w:rsid w:val="00DC124B"/>
    <w:rsid w:val="00DC35F0"/>
    <w:rsid w:val="00E02D07"/>
    <w:rsid w:val="00E20F0D"/>
    <w:rsid w:val="00E54548"/>
    <w:rsid w:val="00E6010D"/>
    <w:rsid w:val="00E62323"/>
    <w:rsid w:val="00E75ABF"/>
    <w:rsid w:val="00E802E0"/>
    <w:rsid w:val="00EB1BFC"/>
    <w:rsid w:val="00F06428"/>
    <w:rsid w:val="00F276C7"/>
    <w:rsid w:val="00FC140D"/>
    <w:rsid w:val="013768AC"/>
    <w:rsid w:val="01A86BBB"/>
    <w:rsid w:val="02AE6679"/>
    <w:rsid w:val="02EC685C"/>
    <w:rsid w:val="03057ADE"/>
    <w:rsid w:val="031629EF"/>
    <w:rsid w:val="03195AC6"/>
    <w:rsid w:val="03864EFF"/>
    <w:rsid w:val="03D26FD0"/>
    <w:rsid w:val="03DF12E7"/>
    <w:rsid w:val="043C7483"/>
    <w:rsid w:val="04F763EB"/>
    <w:rsid w:val="05114226"/>
    <w:rsid w:val="0587448E"/>
    <w:rsid w:val="05CC3A8E"/>
    <w:rsid w:val="062A245A"/>
    <w:rsid w:val="062B047D"/>
    <w:rsid w:val="080055AF"/>
    <w:rsid w:val="0820214A"/>
    <w:rsid w:val="08BB245F"/>
    <w:rsid w:val="0A172984"/>
    <w:rsid w:val="0A262D36"/>
    <w:rsid w:val="0A542580"/>
    <w:rsid w:val="0BB25A4B"/>
    <w:rsid w:val="0BF906B3"/>
    <w:rsid w:val="0C530DEB"/>
    <w:rsid w:val="0DBC0F94"/>
    <w:rsid w:val="0DC17C9E"/>
    <w:rsid w:val="0DC41553"/>
    <w:rsid w:val="0F00691E"/>
    <w:rsid w:val="100179D3"/>
    <w:rsid w:val="11E6296C"/>
    <w:rsid w:val="12ED1069"/>
    <w:rsid w:val="130F4961"/>
    <w:rsid w:val="1337030D"/>
    <w:rsid w:val="14244083"/>
    <w:rsid w:val="151C7F30"/>
    <w:rsid w:val="16810304"/>
    <w:rsid w:val="171811A1"/>
    <w:rsid w:val="17A36655"/>
    <w:rsid w:val="17D007DC"/>
    <w:rsid w:val="195F530F"/>
    <w:rsid w:val="1A84670E"/>
    <w:rsid w:val="1A85418F"/>
    <w:rsid w:val="1B217891"/>
    <w:rsid w:val="1BEF11B0"/>
    <w:rsid w:val="1C2A5604"/>
    <w:rsid w:val="1CB57CA7"/>
    <w:rsid w:val="1D64056B"/>
    <w:rsid w:val="1DFC50C0"/>
    <w:rsid w:val="1EBA70F8"/>
    <w:rsid w:val="20080B09"/>
    <w:rsid w:val="210B6142"/>
    <w:rsid w:val="21D26751"/>
    <w:rsid w:val="22B3482A"/>
    <w:rsid w:val="23CD7DA1"/>
    <w:rsid w:val="24F34167"/>
    <w:rsid w:val="251C3FFD"/>
    <w:rsid w:val="264A2C40"/>
    <w:rsid w:val="26E0627B"/>
    <w:rsid w:val="2A1046A7"/>
    <w:rsid w:val="2A7B1B12"/>
    <w:rsid w:val="2AA61387"/>
    <w:rsid w:val="2BEE14B9"/>
    <w:rsid w:val="2D042986"/>
    <w:rsid w:val="2DDD65CB"/>
    <w:rsid w:val="2E6E3EB7"/>
    <w:rsid w:val="2E8D2405"/>
    <w:rsid w:val="2ED51AAE"/>
    <w:rsid w:val="2F3C0F4C"/>
    <w:rsid w:val="2FC10896"/>
    <w:rsid w:val="30AA629D"/>
    <w:rsid w:val="320078BE"/>
    <w:rsid w:val="325767A5"/>
    <w:rsid w:val="34DA42C5"/>
    <w:rsid w:val="354A7309"/>
    <w:rsid w:val="363A1903"/>
    <w:rsid w:val="37BC458D"/>
    <w:rsid w:val="380769FB"/>
    <w:rsid w:val="39D964D7"/>
    <w:rsid w:val="3A075A5C"/>
    <w:rsid w:val="3A9202A3"/>
    <w:rsid w:val="3B8E4CC3"/>
    <w:rsid w:val="3BA26D92"/>
    <w:rsid w:val="3CD92EDA"/>
    <w:rsid w:val="3DCA206F"/>
    <w:rsid w:val="3DF83E38"/>
    <w:rsid w:val="3E840C26"/>
    <w:rsid w:val="40A32B51"/>
    <w:rsid w:val="413357D3"/>
    <w:rsid w:val="42050ED1"/>
    <w:rsid w:val="42382BB3"/>
    <w:rsid w:val="4355237D"/>
    <w:rsid w:val="43EB3B75"/>
    <w:rsid w:val="45EA3344"/>
    <w:rsid w:val="48F006FA"/>
    <w:rsid w:val="490B4844"/>
    <w:rsid w:val="491F6C69"/>
    <w:rsid w:val="49405DB8"/>
    <w:rsid w:val="49C40087"/>
    <w:rsid w:val="4A71268D"/>
    <w:rsid w:val="4BB22E3F"/>
    <w:rsid w:val="4D72580D"/>
    <w:rsid w:val="4E537F10"/>
    <w:rsid w:val="502245A8"/>
    <w:rsid w:val="51065A3A"/>
    <w:rsid w:val="51253231"/>
    <w:rsid w:val="51582D2B"/>
    <w:rsid w:val="51F90B48"/>
    <w:rsid w:val="52D618FA"/>
    <w:rsid w:val="54167D00"/>
    <w:rsid w:val="54582F22"/>
    <w:rsid w:val="55780C75"/>
    <w:rsid w:val="579C1BCB"/>
    <w:rsid w:val="57A23AD5"/>
    <w:rsid w:val="57E532C4"/>
    <w:rsid w:val="58E4602A"/>
    <w:rsid w:val="599D4186"/>
    <w:rsid w:val="5A35600C"/>
    <w:rsid w:val="5AA10BBF"/>
    <w:rsid w:val="5ACE63F9"/>
    <w:rsid w:val="5B416A3F"/>
    <w:rsid w:val="5C8726FD"/>
    <w:rsid w:val="5CC475BF"/>
    <w:rsid w:val="5FDA7ED2"/>
    <w:rsid w:val="60E0587D"/>
    <w:rsid w:val="618B4015"/>
    <w:rsid w:val="61D00F14"/>
    <w:rsid w:val="62A34AE2"/>
    <w:rsid w:val="62DC10F5"/>
    <w:rsid w:val="63147CC6"/>
    <w:rsid w:val="637F0FCD"/>
    <w:rsid w:val="64976216"/>
    <w:rsid w:val="64AE2BB3"/>
    <w:rsid w:val="65E7150F"/>
    <w:rsid w:val="66B21D89"/>
    <w:rsid w:val="66FE4406"/>
    <w:rsid w:val="67237D00"/>
    <w:rsid w:val="67F012C2"/>
    <w:rsid w:val="68295FCC"/>
    <w:rsid w:val="6A8B2F63"/>
    <w:rsid w:val="6B7B6019"/>
    <w:rsid w:val="6D1E4827"/>
    <w:rsid w:val="6DAC1C9E"/>
    <w:rsid w:val="6DE446DA"/>
    <w:rsid w:val="6E8635C3"/>
    <w:rsid w:val="6E8F7FD8"/>
    <w:rsid w:val="71052C43"/>
    <w:rsid w:val="714107CD"/>
    <w:rsid w:val="71812947"/>
    <w:rsid w:val="72697041"/>
    <w:rsid w:val="729E6ED9"/>
    <w:rsid w:val="73AA3458"/>
    <w:rsid w:val="73DA58ED"/>
    <w:rsid w:val="75DC4E4E"/>
    <w:rsid w:val="78416033"/>
    <w:rsid w:val="78CD47BD"/>
    <w:rsid w:val="792A1DAD"/>
    <w:rsid w:val="7A3D1D82"/>
    <w:rsid w:val="7AD13F8D"/>
    <w:rsid w:val="7B2C5D88"/>
    <w:rsid w:val="7B700614"/>
    <w:rsid w:val="7BA2165C"/>
    <w:rsid w:val="7C054CFB"/>
    <w:rsid w:val="7C2466D2"/>
    <w:rsid w:val="7CED1929"/>
    <w:rsid w:val="7E9A6830"/>
    <w:rsid w:val="7EAE51E2"/>
    <w:rsid w:val="7EBC7D01"/>
    <w:rsid w:val="7EBE5553"/>
    <w:rsid w:val="7ED06A1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78E0D106"/>
  <w15:docId w15:val="{20A0E618-5266-4B99-96DE-B8945504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qFormat/>
    <w:pPr>
      <w:spacing w:after="120"/>
    </w:pPr>
    <w:rPr>
      <w:sz w:val="16"/>
      <w:szCs w:val="16"/>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qFormat/>
    <w:rPr>
      <w:color w:val="96607D"/>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uiPriority w:val="99"/>
    <w:semiHidden/>
    <w:unhideWhenUsed/>
    <w:qFormat/>
  </w:style>
  <w:style w:type="paragraph" w:styleId="NormalWeb">
    <w:name w:val="Normal (Web)"/>
    <w:uiPriority w:val="99"/>
    <w:semiHidden/>
    <w:unhideWhenUsed/>
    <w:qFormat/>
    <w:pPr>
      <w:spacing w:beforeAutospacing="1" w:afterAutospacing="1"/>
    </w:pPr>
    <w:rPr>
      <w:rFonts w:ascii="SimSun" w:hAnsi="SimSun"/>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Normal"/>
    <w:qFormat/>
    <w:pPr>
      <w:keepNext/>
      <w:spacing w:after="240"/>
    </w:pPr>
    <w:rPr>
      <w:b/>
      <w:caps/>
      <w:sz w:val="22"/>
    </w:rPr>
  </w:style>
  <w:style w:type="paragraph" w:customStyle="1" w:styleId="ConcHead">
    <w:name w:val="Conc Head"/>
    <w:basedOn w:val="Normal"/>
    <w:qFormat/>
    <w:pPr>
      <w:keepNext/>
      <w:spacing w:after="240"/>
    </w:pPr>
    <w:rPr>
      <w:b/>
      <w:caps/>
      <w:sz w:val="22"/>
    </w:rPr>
  </w:style>
  <w:style w:type="paragraph" w:customStyle="1" w:styleId="AcknHead">
    <w:name w:val="Ackn Head"/>
    <w:basedOn w:val="Normal"/>
    <w:qFormat/>
    <w:pPr>
      <w:keepNext/>
      <w:spacing w:after="240"/>
    </w:pPr>
    <w:rPr>
      <w:b/>
      <w:caps/>
      <w:sz w:val="22"/>
    </w:rPr>
  </w:style>
  <w:style w:type="paragraph" w:customStyle="1" w:styleId="ReferHead">
    <w:name w:val="Refer Head"/>
    <w:basedOn w:val="Normal"/>
    <w:qFormat/>
    <w:pPr>
      <w:keepNext/>
      <w:spacing w:after="240"/>
    </w:pPr>
    <w:rPr>
      <w:b/>
      <w:caps/>
      <w:sz w:val="22"/>
    </w:rPr>
  </w:style>
  <w:style w:type="paragraph" w:customStyle="1" w:styleId="DefAcrHead">
    <w:name w:val="DefAcrHead"/>
    <w:basedOn w:val="Normal"/>
    <w:qFormat/>
    <w:pPr>
      <w:keepNext/>
      <w:spacing w:after="240"/>
    </w:pPr>
    <w:rPr>
      <w:b/>
      <w:caps/>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Normal"/>
    <w:qFormat/>
    <w:pPr>
      <w:keepNext/>
      <w:spacing w:after="240"/>
    </w:pPr>
    <w:rPr>
      <w:b/>
      <w:caps/>
      <w:sz w:val="22"/>
    </w:rPr>
  </w:style>
  <w:style w:type="paragraph" w:customStyle="1" w:styleId="Appendix">
    <w:name w:val="Appendix"/>
    <w:basedOn w:val="Normal"/>
    <w:qFormat/>
    <w:pPr>
      <w:keepNext/>
      <w:spacing w:after="240"/>
    </w:pPr>
    <w:rPr>
      <w:b/>
      <w:caps/>
      <w:sz w:val="22"/>
    </w:rPr>
  </w:style>
  <w:style w:type="character" w:customStyle="1" w:styleId="FooterChar">
    <w:name w:val="Footer Char"/>
    <w:basedOn w:val="DefaultParagraphFont"/>
    <w:link w:val="Footer"/>
    <w:qFormat/>
    <w:rPr>
      <w:rFonts w:ascii="Helvetica" w:eastAsia="Times New Roman" w:hAnsi="Helvetica" w:cs="Times New Roman"/>
      <w:kern w:val="0"/>
      <w:sz w:val="20"/>
      <w:szCs w:val="20"/>
      <w:lang w:val="en-US"/>
      <w14:ligatures w14:val="none"/>
    </w:rPr>
  </w:style>
  <w:style w:type="character" w:customStyle="1" w:styleId="HeaderChar">
    <w:name w:val="Header Char"/>
    <w:basedOn w:val="DefaultParagraphFont"/>
    <w:link w:val="Header"/>
    <w:qFormat/>
    <w:rPr>
      <w:rFonts w:ascii="Helvetica" w:eastAsia="Times New Roman" w:hAnsi="Helvetica" w:cs="Times New Roman"/>
      <w:kern w:val="0"/>
      <w:sz w:val="20"/>
      <w:szCs w:val="20"/>
      <w:lang w:val="en-US"/>
      <w14:ligatures w14:val="none"/>
    </w:rPr>
  </w:style>
  <w:style w:type="character" w:customStyle="1" w:styleId="BodyText3Char">
    <w:name w:val="Body Text 3 Char"/>
    <w:basedOn w:val="DefaultParagraphFont"/>
    <w:link w:val="BodyText3"/>
    <w:qFormat/>
    <w:rPr>
      <w:rFonts w:ascii="Helvetica" w:eastAsia="Times New Roman" w:hAnsi="Helvetica" w:cs="Times New Roman"/>
      <w:kern w:val="0"/>
      <w:sz w:val="16"/>
      <w:szCs w:val="16"/>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yperlink" Target="https://doi.org/10.1093/oxfordjournals.aob.a085797" TargetMode="External"/><Relationship Id="rId39" Type="http://schemas.openxmlformats.org/officeDocument/2006/relationships/header" Target="header6.xml"/><Relationship Id="rId21" Type="http://schemas.openxmlformats.org/officeDocument/2006/relationships/chart" Target="charts/chart7.xml"/><Relationship Id="rId34" Type="http://schemas.openxmlformats.org/officeDocument/2006/relationships/hyperlink" Target="https://doi.org/10.1093/aob/mcg05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yperlink" Target="https://doi.org/10.1155/2014/20858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2/ldr.2780" TargetMode="External"/><Relationship Id="rId32" Type="http://schemas.openxmlformats.org/officeDocument/2006/relationships/hyperlink" Target="https://doi.org/10.3389/fpls.2018.00275"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2.jpeg"/><Relationship Id="rId28" Type="http://schemas.openxmlformats.org/officeDocument/2006/relationships/hyperlink" Target="https://doi.org/10.1626/pps.12.453"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hyperlink" Target="https://doi.org/10.1023/A:100637121904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ubmed.ncbi.nlm.nih.gov/?term=" TargetMode="External"/><Relationship Id="rId22" Type="http://schemas.openxmlformats.org/officeDocument/2006/relationships/image" Target="media/image1.jpeg"/><Relationship Id="rId27" Type="http://schemas.openxmlformats.org/officeDocument/2006/relationships/hyperlink" Target="http://www.fao.org/asiapacific/rap/home/news/detail/en/?news_uid=180032" TargetMode="External"/><Relationship Id="rId30" Type="http://schemas.openxmlformats.org/officeDocument/2006/relationships/hyperlink" Target="https://doi.org/10.2134/age2019.01.0003" TargetMode="External"/><Relationship Id="rId35" Type="http://schemas.openxmlformats.org/officeDocument/2006/relationships/hyperlink" Target="https://doi.org/10.1007/s10265-005-0250-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1016/j.sjbs.2019.04.014" TargetMode="External"/><Relationship Id="rId33" Type="http://schemas.openxmlformats.org/officeDocument/2006/relationships/hyperlink" Target="https://doi.org/10.1016/j.tplants.2015.11.003" TargetMode="External"/><Relationship Id="rId38"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ubham\Desktop\data%20paper%2025se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ubham\Desktop\data%20paper%2025se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hubham\Desktop\data%20paper%2025se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hubham\Desktop\data%20paper%2027%20feb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hubham\Desktop\data%20paper%2027%20feb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hubham\Desktop\data%20paper%2027%20feb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hubham\Desktop\paper%20related%2024\data%20paper%20%206%20march2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04048913298303"/>
          <c:y val="0.10393887966856757"/>
          <c:w val="0.79275222609572704"/>
          <c:h val="0.410235897435897"/>
        </c:manualLayout>
      </c:layout>
      <c:lineChart>
        <c:grouping val="standard"/>
        <c:varyColors val="0"/>
        <c:ser>
          <c:idx val="0"/>
          <c:order val="0"/>
          <c:tx>
            <c:strRef>
              <c:f>'root lenght'!$J$3</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'root lenght'!$K$11:$K$21</c:f>
                <c:numCache>
                  <c:formatCode>General</c:formatCode>
                  <c:ptCount val="11"/>
                  <c:pt idx="0">
                    <c:v>0.09</c:v>
                  </c:pt>
                  <c:pt idx="1">
                    <c:v>7.0000000000000007E-2</c:v>
                  </c:pt>
                  <c:pt idx="2">
                    <c:v>0.09</c:v>
                  </c:pt>
                  <c:pt idx="3">
                    <c:v>0.09</c:v>
                  </c:pt>
                  <c:pt idx="4">
                    <c:v>0.09</c:v>
                  </c:pt>
                  <c:pt idx="5">
                    <c:v>0.06</c:v>
                  </c:pt>
                  <c:pt idx="6">
                    <c:v>0.08</c:v>
                  </c:pt>
                  <c:pt idx="7">
                    <c:v>0</c:v>
                  </c:pt>
                  <c:pt idx="8">
                    <c:v>0.1</c:v>
                  </c:pt>
                  <c:pt idx="9">
                    <c:v>0.06</c:v>
                  </c:pt>
                </c:numCache>
              </c:numRef>
            </c:plus>
            <c:minus>
              <c:numRef>
                <c:f>'root lenght'!$K$11:$K$20</c:f>
                <c:numCache>
                  <c:formatCode>General</c:formatCode>
                  <c:ptCount val="10"/>
                  <c:pt idx="0">
                    <c:v>0.09</c:v>
                  </c:pt>
                  <c:pt idx="1">
                    <c:v>7.0000000000000007E-2</c:v>
                  </c:pt>
                  <c:pt idx="2">
                    <c:v>0.09</c:v>
                  </c:pt>
                  <c:pt idx="3">
                    <c:v>0.09</c:v>
                  </c:pt>
                  <c:pt idx="4">
                    <c:v>0.09</c:v>
                  </c:pt>
                  <c:pt idx="5">
                    <c:v>0.06</c:v>
                  </c:pt>
                  <c:pt idx="6">
                    <c:v>0.08</c:v>
                  </c:pt>
                  <c:pt idx="7">
                    <c:v>0</c:v>
                  </c:pt>
                  <c:pt idx="8">
                    <c:v>0.1</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lenght'!$K$3:$T$3</c:f>
              <c:numCache>
                <c:formatCode>General</c:formatCode>
                <c:ptCount val="10"/>
                <c:pt idx="0">
                  <c:v>1.42</c:v>
                </c:pt>
                <c:pt idx="1">
                  <c:v>0.7</c:v>
                </c:pt>
                <c:pt idx="2">
                  <c:v>0.8</c:v>
                </c:pt>
                <c:pt idx="3">
                  <c:v>1</c:v>
                </c:pt>
                <c:pt idx="4">
                  <c:v>0.33</c:v>
                </c:pt>
                <c:pt idx="5">
                  <c:v>0.5</c:v>
                </c:pt>
                <c:pt idx="6">
                  <c:v>0.5</c:v>
                </c:pt>
                <c:pt idx="7">
                  <c:v>0</c:v>
                </c:pt>
                <c:pt idx="8">
                  <c:v>0.4</c:v>
                </c:pt>
                <c:pt idx="9">
                  <c:v>0.5</c:v>
                </c:pt>
              </c:numCache>
            </c:numRef>
          </c:val>
          <c:smooth val="0"/>
          <c:extLst>
            <c:ext xmlns:c16="http://schemas.microsoft.com/office/drawing/2014/chart" uri="{C3380CC4-5D6E-409C-BE32-E72D297353CC}">
              <c16:uniqueId val="{00000000-5921-4CFD-95D9-1F4EF8774239}"/>
            </c:ext>
          </c:extLst>
        </c:ser>
        <c:ser>
          <c:idx val="1"/>
          <c:order val="1"/>
          <c:tx>
            <c:strRef>
              <c:f>'root lenght'!$J$4</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plus>
            <c:min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lenght'!$K$4:$T$4</c:f>
              <c:numCache>
                <c:formatCode>General</c:formatCode>
                <c:ptCount val="10"/>
                <c:pt idx="0">
                  <c:v>1.24</c:v>
                </c:pt>
                <c:pt idx="1">
                  <c:v>0.81</c:v>
                </c:pt>
                <c:pt idx="2">
                  <c:v>0.89</c:v>
                </c:pt>
                <c:pt idx="3">
                  <c:v>0.9</c:v>
                </c:pt>
                <c:pt idx="4">
                  <c:v>0.46</c:v>
                </c:pt>
                <c:pt idx="5">
                  <c:v>0.56999999999999995</c:v>
                </c:pt>
                <c:pt idx="6">
                  <c:v>0.63</c:v>
                </c:pt>
                <c:pt idx="7">
                  <c:v>0</c:v>
                </c:pt>
                <c:pt idx="8">
                  <c:v>0.5</c:v>
                </c:pt>
                <c:pt idx="9">
                  <c:v>0.5</c:v>
                </c:pt>
              </c:numCache>
            </c:numRef>
          </c:val>
          <c:smooth val="0"/>
          <c:extLst>
            <c:ext xmlns:c16="http://schemas.microsoft.com/office/drawing/2014/chart" uri="{C3380CC4-5D6E-409C-BE32-E72D297353CC}">
              <c16:uniqueId val="{00000001-5921-4CFD-95D9-1F4EF8774239}"/>
            </c:ext>
          </c:extLst>
        </c:ser>
        <c:ser>
          <c:idx val="2"/>
          <c:order val="2"/>
          <c:tx>
            <c:strRef>
              <c:f>'root lenght'!$J$5</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plus>
            <c:min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lenght'!$K$5:$T$5</c:f>
              <c:numCache>
                <c:formatCode>General</c:formatCode>
                <c:ptCount val="10"/>
                <c:pt idx="0">
                  <c:v>1.2</c:v>
                </c:pt>
                <c:pt idx="1">
                  <c:v>0.73</c:v>
                </c:pt>
                <c:pt idx="2">
                  <c:v>0.82</c:v>
                </c:pt>
                <c:pt idx="3">
                  <c:v>0.82</c:v>
                </c:pt>
                <c:pt idx="4">
                  <c:v>0.42</c:v>
                </c:pt>
                <c:pt idx="5">
                  <c:v>0.69</c:v>
                </c:pt>
                <c:pt idx="6">
                  <c:v>0.63</c:v>
                </c:pt>
                <c:pt idx="7">
                  <c:v>0</c:v>
                </c:pt>
                <c:pt idx="8">
                  <c:v>0.43</c:v>
                </c:pt>
                <c:pt idx="9">
                  <c:v>0.55000000000000004</c:v>
                </c:pt>
              </c:numCache>
            </c:numRef>
          </c:val>
          <c:smooth val="0"/>
          <c:extLst>
            <c:ext xmlns:c16="http://schemas.microsoft.com/office/drawing/2014/chart" uri="{C3380CC4-5D6E-409C-BE32-E72D297353CC}">
              <c16:uniqueId val="{00000002-5921-4CFD-95D9-1F4EF8774239}"/>
            </c:ext>
          </c:extLst>
        </c:ser>
        <c:ser>
          <c:idx val="3"/>
          <c:order val="3"/>
          <c:tx>
            <c:strRef>
              <c:f>'root lenght'!$J$6</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plus>
            <c:min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lenght'!$K$6:$T$6</c:f>
              <c:numCache>
                <c:formatCode>General</c:formatCode>
                <c:ptCount val="10"/>
                <c:pt idx="0">
                  <c:v>1.31</c:v>
                </c:pt>
                <c:pt idx="1">
                  <c:v>1.1000000000000001</c:v>
                </c:pt>
                <c:pt idx="2">
                  <c:v>1.1599999999999999</c:v>
                </c:pt>
                <c:pt idx="3">
                  <c:v>1.23</c:v>
                </c:pt>
                <c:pt idx="4">
                  <c:v>0.7</c:v>
                </c:pt>
                <c:pt idx="5">
                  <c:v>0.67</c:v>
                </c:pt>
                <c:pt idx="6">
                  <c:v>0.97</c:v>
                </c:pt>
                <c:pt idx="7">
                  <c:v>0.53</c:v>
                </c:pt>
                <c:pt idx="8">
                  <c:v>0.62</c:v>
                </c:pt>
                <c:pt idx="9">
                  <c:v>0.7</c:v>
                </c:pt>
              </c:numCache>
            </c:numRef>
          </c:val>
          <c:smooth val="0"/>
          <c:extLst>
            <c:ext xmlns:c16="http://schemas.microsoft.com/office/drawing/2014/chart" uri="{C3380CC4-5D6E-409C-BE32-E72D297353CC}">
              <c16:uniqueId val="{00000003-5921-4CFD-95D9-1F4EF8774239}"/>
            </c:ext>
          </c:extLst>
        </c:ser>
        <c:dLbls>
          <c:showLegendKey val="0"/>
          <c:showVal val="0"/>
          <c:showCatName val="0"/>
          <c:showSerName val="0"/>
          <c:showPercent val="0"/>
          <c:showBubbleSize val="0"/>
        </c:dLbls>
        <c:smooth val="0"/>
        <c:axId val="1730784800"/>
        <c:axId val="1579330176"/>
      </c:lineChart>
      <c:catAx>
        <c:axId val="173078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9330176"/>
        <c:crosses val="autoZero"/>
        <c:auto val="1"/>
        <c:lblAlgn val="ctr"/>
        <c:lblOffset val="100"/>
        <c:noMultiLvlLbl val="0"/>
      </c:catAx>
      <c:valAx>
        <c:axId val="1579330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30784800"/>
        <c:crosses val="autoZero"/>
        <c:crossBetween val="between"/>
      </c:valAx>
      <c:spPr>
        <a:noFill/>
        <a:ln>
          <a:noFill/>
        </a:ln>
        <a:effectLst/>
      </c:spPr>
    </c:plotArea>
    <c:legend>
      <c:legendPos val="b"/>
      <c:layout>
        <c:manualLayout>
          <c:xMode val="edge"/>
          <c:yMode val="edge"/>
          <c:x val="9.8187111287548007E-2"/>
          <c:y val="0.9189778129952459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d1c8e29-9a07-4927-a079-d41f3590955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t>Root</a:t>
            </a:r>
            <a:r>
              <a:rPr lang="en-IN" sz="1200" b="1" baseline="0"/>
              <a:t> lenght(cm)</a:t>
            </a:r>
            <a:endParaRPr lang="en-IN" sz="1200" b="1"/>
          </a:p>
        </c:rich>
      </c:tx>
      <c:layout>
        <c:manualLayout>
          <c:xMode val="edge"/>
          <c:yMode val="edge"/>
          <c:x val="0.39035287829552501"/>
          <c:y val="2.8415818138763899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9081686342668"/>
          <c:y val="0.127042646472698"/>
          <c:w val="0.79274812182260501"/>
          <c:h val="0.35151454762853701"/>
        </c:manualLayout>
      </c:layout>
      <c:lineChart>
        <c:grouping val="standard"/>
        <c:varyColors val="0"/>
        <c:ser>
          <c:idx val="0"/>
          <c:order val="0"/>
          <c:tx>
            <c:strRef>
              <c:f>'root lenght'!$J$3</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'root lenght'!$K$11:$K$21</c:f>
                <c:numCache>
                  <c:formatCode>General</c:formatCode>
                  <c:ptCount val="11"/>
                  <c:pt idx="0">
                    <c:v>0.09</c:v>
                  </c:pt>
                  <c:pt idx="1">
                    <c:v>7.0000000000000007E-2</c:v>
                  </c:pt>
                  <c:pt idx="2">
                    <c:v>0.09</c:v>
                  </c:pt>
                  <c:pt idx="3">
                    <c:v>0.09</c:v>
                  </c:pt>
                  <c:pt idx="4">
                    <c:v>0.09</c:v>
                  </c:pt>
                  <c:pt idx="5">
                    <c:v>0.06</c:v>
                  </c:pt>
                  <c:pt idx="6">
                    <c:v>0.08</c:v>
                  </c:pt>
                  <c:pt idx="7">
                    <c:v>0</c:v>
                  </c:pt>
                  <c:pt idx="8">
                    <c:v>0.1</c:v>
                  </c:pt>
                  <c:pt idx="9">
                    <c:v>0.06</c:v>
                  </c:pt>
                </c:numCache>
              </c:numRef>
            </c:plus>
            <c:minus>
              <c:numRef>
                <c:f>'root lenght'!$K$11:$K$20</c:f>
                <c:numCache>
                  <c:formatCode>General</c:formatCode>
                  <c:ptCount val="10"/>
                  <c:pt idx="0">
                    <c:v>0.09</c:v>
                  </c:pt>
                  <c:pt idx="1">
                    <c:v>7.0000000000000007E-2</c:v>
                  </c:pt>
                  <c:pt idx="2">
                    <c:v>0.09</c:v>
                  </c:pt>
                  <c:pt idx="3">
                    <c:v>0.09</c:v>
                  </c:pt>
                  <c:pt idx="4">
                    <c:v>0.09</c:v>
                  </c:pt>
                  <c:pt idx="5">
                    <c:v>0.06</c:v>
                  </c:pt>
                  <c:pt idx="6">
                    <c:v>0.08</c:v>
                  </c:pt>
                  <c:pt idx="7">
                    <c:v>0</c:v>
                  </c:pt>
                  <c:pt idx="8">
                    <c:v>0.1</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lenght'!$K$3:$T$3</c:f>
              <c:numCache>
                <c:formatCode>General</c:formatCode>
                <c:ptCount val="10"/>
                <c:pt idx="0">
                  <c:v>1.42</c:v>
                </c:pt>
                <c:pt idx="1">
                  <c:v>0.7</c:v>
                </c:pt>
                <c:pt idx="2">
                  <c:v>0.8</c:v>
                </c:pt>
                <c:pt idx="3">
                  <c:v>1</c:v>
                </c:pt>
                <c:pt idx="4">
                  <c:v>0.33</c:v>
                </c:pt>
                <c:pt idx="5">
                  <c:v>0.5</c:v>
                </c:pt>
                <c:pt idx="6">
                  <c:v>0.5</c:v>
                </c:pt>
                <c:pt idx="7">
                  <c:v>0</c:v>
                </c:pt>
                <c:pt idx="8">
                  <c:v>0.4</c:v>
                </c:pt>
                <c:pt idx="9">
                  <c:v>0.5</c:v>
                </c:pt>
              </c:numCache>
            </c:numRef>
          </c:val>
          <c:smooth val="0"/>
          <c:extLst>
            <c:ext xmlns:c16="http://schemas.microsoft.com/office/drawing/2014/chart" uri="{C3380CC4-5D6E-409C-BE32-E72D297353CC}">
              <c16:uniqueId val="{00000000-7E37-4850-A712-709B72B924B5}"/>
            </c:ext>
          </c:extLst>
        </c:ser>
        <c:ser>
          <c:idx val="1"/>
          <c:order val="1"/>
          <c:tx>
            <c:strRef>
              <c:f>'root lenght'!$J$4</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plus>
            <c:min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lenght'!$K$4:$T$4</c:f>
              <c:numCache>
                <c:formatCode>General</c:formatCode>
                <c:ptCount val="10"/>
                <c:pt idx="0">
                  <c:v>1.24</c:v>
                </c:pt>
                <c:pt idx="1">
                  <c:v>0.81</c:v>
                </c:pt>
                <c:pt idx="2">
                  <c:v>0.89</c:v>
                </c:pt>
                <c:pt idx="3">
                  <c:v>0.9</c:v>
                </c:pt>
                <c:pt idx="4">
                  <c:v>0.46</c:v>
                </c:pt>
                <c:pt idx="5">
                  <c:v>0.56999999999999995</c:v>
                </c:pt>
                <c:pt idx="6">
                  <c:v>0.63</c:v>
                </c:pt>
                <c:pt idx="7">
                  <c:v>0</c:v>
                </c:pt>
                <c:pt idx="8">
                  <c:v>0.5</c:v>
                </c:pt>
                <c:pt idx="9">
                  <c:v>0.5</c:v>
                </c:pt>
              </c:numCache>
            </c:numRef>
          </c:val>
          <c:smooth val="0"/>
          <c:extLst>
            <c:ext xmlns:c16="http://schemas.microsoft.com/office/drawing/2014/chart" uri="{C3380CC4-5D6E-409C-BE32-E72D297353CC}">
              <c16:uniqueId val="{00000001-7E37-4850-A712-709B72B924B5}"/>
            </c:ext>
          </c:extLst>
        </c:ser>
        <c:ser>
          <c:idx val="2"/>
          <c:order val="2"/>
          <c:tx>
            <c:strRef>
              <c:f>'root lenght'!$J$5</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plus>
            <c:min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lenght'!$K$5:$T$5</c:f>
              <c:numCache>
                <c:formatCode>General</c:formatCode>
                <c:ptCount val="10"/>
                <c:pt idx="0">
                  <c:v>1.2</c:v>
                </c:pt>
                <c:pt idx="1">
                  <c:v>0.73</c:v>
                </c:pt>
                <c:pt idx="2">
                  <c:v>0.82</c:v>
                </c:pt>
                <c:pt idx="3">
                  <c:v>0.82</c:v>
                </c:pt>
                <c:pt idx="4">
                  <c:v>0.42</c:v>
                </c:pt>
                <c:pt idx="5">
                  <c:v>0.69</c:v>
                </c:pt>
                <c:pt idx="6">
                  <c:v>0.63</c:v>
                </c:pt>
                <c:pt idx="7">
                  <c:v>0</c:v>
                </c:pt>
                <c:pt idx="8">
                  <c:v>0.43</c:v>
                </c:pt>
                <c:pt idx="9">
                  <c:v>0.55000000000000004</c:v>
                </c:pt>
              </c:numCache>
            </c:numRef>
          </c:val>
          <c:smooth val="0"/>
          <c:extLst>
            <c:ext xmlns:c16="http://schemas.microsoft.com/office/drawing/2014/chart" uri="{C3380CC4-5D6E-409C-BE32-E72D297353CC}">
              <c16:uniqueId val="{00000002-7E37-4850-A712-709B72B924B5}"/>
            </c:ext>
          </c:extLst>
        </c:ser>
        <c:ser>
          <c:idx val="3"/>
          <c:order val="3"/>
          <c:tx>
            <c:strRef>
              <c:f>'root lenght'!$J$6</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plus>
            <c:min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lenght'!$K$6:$T$6</c:f>
              <c:numCache>
                <c:formatCode>General</c:formatCode>
                <c:ptCount val="10"/>
                <c:pt idx="0">
                  <c:v>1.31</c:v>
                </c:pt>
                <c:pt idx="1">
                  <c:v>1.1000000000000001</c:v>
                </c:pt>
                <c:pt idx="2">
                  <c:v>1.1599999999999999</c:v>
                </c:pt>
                <c:pt idx="3">
                  <c:v>1.23</c:v>
                </c:pt>
                <c:pt idx="4">
                  <c:v>0.7</c:v>
                </c:pt>
                <c:pt idx="5">
                  <c:v>0.67</c:v>
                </c:pt>
                <c:pt idx="6">
                  <c:v>0.97</c:v>
                </c:pt>
                <c:pt idx="7">
                  <c:v>0.53</c:v>
                </c:pt>
                <c:pt idx="8">
                  <c:v>0.62</c:v>
                </c:pt>
                <c:pt idx="9">
                  <c:v>0.7</c:v>
                </c:pt>
              </c:numCache>
            </c:numRef>
          </c:val>
          <c:smooth val="0"/>
          <c:extLst>
            <c:ext xmlns:c16="http://schemas.microsoft.com/office/drawing/2014/chart" uri="{C3380CC4-5D6E-409C-BE32-E72D297353CC}">
              <c16:uniqueId val="{00000003-7E37-4850-A712-709B72B924B5}"/>
            </c:ext>
          </c:extLst>
        </c:ser>
        <c:dLbls>
          <c:showLegendKey val="0"/>
          <c:showVal val="0"/>
          <c:showCatName val="0"/>
          <c:showSerName val="0"/>
          <c:showPercent val="0"/>
          <c:showBubbleSize val="0"/>
        </c:dLbls>
        <c:smooth val="0"/>
        <c:axId val="1730784800"/>
        <c:axId val="1579330176"/>
      </c:lineChart>
      <c:catAx>
        <c:axId val="173078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9330176"/>
        <c:crosses val="autoZero"/>
        <c:auto val="1"/>
        <c:lblAlgn val="ctr"/>
        <c:lblOffset val="100"/>
        <c:noMultiLvlLbl val="0"/>
      </c:catAx>
      <c:valAx>
        <c:axId val="1579330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3078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ce9f581-308f-41c3-9abd-a9a6efa07a4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Root</a:t>
            </a:r>
            <a:r>
              <a:rPr lang="en-IN" sz="1100" b="1" baseline="0">
                <a:latin typeface="Times New Roman" panose="02020603050405020304" charset="0"/>
                <a:cs typeface="Times New Roman" panose="02020603050405020304" charset="0"/>
              </a:rPr>
              <a:t> lenght(cm)</a:t>
            </a:r>
            <a:endParaRPr lang="en-IN" sz="11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9685039370078694E-2"/>
          <c:y val="0.108263214670982"/>
          <c:w val="0.88306909271476197"/>
          <c:h val="0.48075937109803002"/>
        </c:manualLayout>
      </c:layout>
      <c:lineChart>
        <c:grouping val="standard"/>
        <c:varyColors val="0"/>
        <c:ser>
          <c:idx val="0"/>
          <c:order val="0"/>
          <c:tx>
            <c:strRef>
              <c:f>'shoot lenght'!$I$18</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'shoot lenght'!$J$26:$J$35</c:f>
                <c:numCache>
                  <c:formatCode>General</c:formatCode>
                  <c:ptCount val="10"/>
                  <c:pt idx="0">
                    <c:v>0.08</c:v>
                  </c:pt>
                  <c:pt idx="1">
                    <c:v>7.0000000000000007E-2</c:v>
                  </c:pt>
                  <c:pt idx="2">
                    <c:v>0.09</c:v>
                  </c:pt>
                  <c:pt idx="3">
                    <c:v>0.06</c:v>
                  </c:pt>
                  <c:pt idx="4">
                    <c:v>0.1</c:v>
                  </c:pt>
                  <c:pt idx="5">
                    <c:v>0.06</c:v>
                  </c:pt>
                  <c:pt idx="6">
                    <c:v>0.09</c:v>
                  </c:pt>
                  <c:pt idx="7">
                    <c:v>0</c:v>
                  </c:pt>
                  <c:pt idx="8">
                    <c:v>5.5E-2</c:v>
                  </c:pt>
                  <c:pt idx="9">
                    <c:v>0</c:v>
                  </c:pt>
                </c:numCache>
              </c:numRef>
            </c:plus>
            <c:minus>
              <c:numRef>
                <c:f>'shoot lenght'!$J$26:$J$35</c:f>
                <c:numCache>
                  <c:formatCode>General</c:formatCode>
                  <c:ptCount val="10"/>
                  <c:pt idx="0">
                    <c:v>0.08</c:v>
                  </c:pt>
                  <c:pt idx="1">
                    <c:v>7.0000000000000007E-2</c:v>
                  </c:pt>
                  <c:pt idx="2">
                    <c:v>0.09</c:v>
                  </c:pt>
                  <c:pt idx="3">
                    <c:v>0.06</c:v>
                  </c:pt>
                  <c:pt idx="4">
                    <c:v>0.1</c:v>
                  </c:pt>
                  <c:pt idx="5">
                    <c:v>0.06</c:v>
                  </c:pt>
                  <c:pt idx="6">
                    <c:v>0.09</c:v>
                  </c:pt>
                  <c:pt idx="7">
                    <c:v>0</c:v>
                  </c:pt>
                  <c:pt idx="8">
                    <c:v>5.5E-2</c:v>
                  </c:pt>
                  <c:pt idx="9">
                    <c:v>0</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lenght'!$J$18:$S$18</c:f>
              <c:numCache>
                <c:formatCode>General</c:formatCode>
                <c:ptCount val="10"/>
                <c:pt idx="0">
                  <c:v>4.03</c:v>
                </c:pt>
                <c:pt idx="1">
                  <c:v>2.7</c:v>
                </c:pt>
                <c:pt idx="2">
                  <c:v>3.1</c:v>
                </c:pt>
                <c:pt idx="3">
                  <c:v>3.6</c:v>
                </c:pt>
                <c:pt idx="4">
                  <c:v>1.8</c:v>
                </c:pt>
                <c:pt idx="5">
                  <c:v>2</c:v>
                </c:pt>
                <c:pt idx="6">
                  <c:v>2.2999999999999998</c:v>
                </c:pt>
                <c:pt idx="7">
                  <c:v>0</c:v>
                </c:pt>
                <c:pt idx="8">
                  <c:v>0.43</c:v>
                </c:pt>
                <c:pt idx="9">
                  <c:v>0.5</c:v>
                </c:pt>
              </c:numCache>
            </c:numRef>
          </c:val>
          <c:smooth val="0"/>
          <c:extLst>
            <c:ext xmlns:c16="http://schemas.microsoft.com/office/drawing/2014/chart" uri="{C3380CC4-5D6E-409C-BE32-E72D297353CC}">
              <c16:uniqueId val="{00000000-6204-4BB0-BA3C-70561DECA82C}"/>
            </c:ext>
          </c:extLst>
        </c:ser>
        <c:ser>
          <c:idx val="1"/>
          <c:order val="1"/>
          <c:tx>
            <c:strRef>
              <c:f>'shoot lenght'!$I$19</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'shoot lenght'!$K$26:$K$35</c:f>
                <c:numCache>
                  <c:formatCode>General</c:formatCode>
                  <c:ptCount val="10"/>
                  <c:pt idx="0">
                    <c:v>0.04</c:v>
                  </c:pt>
                  <c:pt idx="1">
                    <c:v>0.18</c:v>
                  </c:pt>
                  <c:pt idx="2">
                    <c:v>0.15</c:v>
                  </c:pt>
                  <c:pt idx="3">
                    <c:v>0.06</c:v>
                  </c:pt>
                  <c:pt idx="4">
                    <c:v>0.12</c:v>
                  </c:pt>
                  <c:pt idx="5">
                    <c:v>0.11</c:v>
                  </c:pt>
                  <c:pt idx="6">
                    <c:v>0.06</c:v>
                  </c:pt>
                  <c:pt idx="7">
                    <c:v>0</c:v>
                  </c:pt>
                  <c:pt idx="8">
                    <c:v>2.3E-2</c:v>
                  </c:pt>
                  <c:pt idx="9">
                    <c:v>0.12</c:v>
                  </c:pt>
                </c:numCache>
              </c:numRef>
            </c:plus>
            <c:minus>
              <c:numRef>
                <c:f>'shoot lenght'!$K$26:$K$35</c:f>
                <c:numCache>
                  <c:formatCode>General</c:formatCode>
                  <c:ptCount val="10"/>
                  <c:pt idx="0">
                    <c:v>0.04</c:v>
                  </c:pt>
                  <c:pt idx="1">
                    <c:v>0.18</c:v>
                  </c:pt>
                  <c:pt idx="2">
                    <c:v>0.15</c:v>
                  </c:pt>
                  <c:pt idx="3">
                    <c:v>0.06</c:v>
                  </c:pt>
                  <c:pt idx="4">
                    <c:v>0.12</c:v>
                  </c:pt>
                  <c:pt idx="5">
                    <c:v>0.11</c:v>
                  </c:pt>
                  <c:pt idx="6">
                    <c:v>0.06</c:v>
                  </c:pt>
                  <c:pt idx="7">
                    <c:v>0</c:v>
                  </c:pt>
                  <c:pt idx="8">
                    <c:v>2.3E-2</c:v>
                  </c:pt>
                  <c:pt idx="9">
                    <c:v>0.12</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lenght'!$J$19:$S$19</c:f>
              <c:numCache>
                <c:formatCode>General</c:formatCode>
                <c:ptCount val="10"/>
                <c:pt idx="0">
                  <c:v>3.7</c:v>
                </c:pt>
                <c:pt idx="1">
                  <c:v>2.54</c:v>
                </c:pt>
                <c:pt idx="2">
                  <c:v>3.1</c:v>
                </c:pt>
                <c:pt idx="3">
                  <c:v>3.3</c:v>
                </c:pt>
                <c:pt idx="4">
                  <c:v>1.6</c:v>
                </c:pt>
                <c:pt idx="5">
                  <c:v>1.6</c:v>
                </c:pt>
                <c:pt idx="6">
                  <c:v>2</c:v>
                </c:pt>
                <c:pt idx="7">
                  <c:v>0</c:v>
                </c:pt>
                <c:pt idx="8">
                  <c:v>1.08</c:v>
                </c:pt>
                <c:pt idx="9">
                  <c:v>1.1299999999999999</c:v>
                </c:pt>
              </c:numCache>
            </c:numRef>
          </c:val>
          <c:smooth val="0"/>
          <c:extLst>
            <c:ext xmlns:c16="http://schemas.microsoft.com/office/drawing/2014/chart" uri="{C3380CC4-5D6E-409C-BE32-E72D297353CC}">
              <c16:uniqueId val="{00000001-6204-4BB0-BA3C-70561DECA82C}"/>
            </c:ext>
          </c:extLst>
        </c:ser>
        <c:ser>
          <c:idx val="2"/>
          <c:order val="2"/>
          <c:tx>
            <c:strRef>
              <c:f>'shoot lenght'!$I$20</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plus>
            <c:min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lenght'!$J$20:$S$20</c:f>
              <c:numCache>
                <c:formatCode>General</c:formatCode>
                <c:ptCount val="10"/>
                <c:pt idx="0">
                  <c:v>3.21</c:v>
                </c:pt>
                <c:pt idx="1">
                  <c:v>2.37</c:v>
                </c:pt>
                <c:pt idx="2">
                  <c:v>2.4</c:v>
                </c:pt>
                <c:pt idx="3">
                  <c:v>2.8</c:v>
                </c:pt>
                <c:pt idx="4">
                  <c:v>2.17</c:v>
                </c:pt>
                <c:pt idx="5">
                  <c:v>2.2000000000000002</c:v>
                </c:pt>
                <c:pt idx="6">
                  <c:v>2.6</c:v>
                </c:pt>
                <c:pt idx="7">
                  <c:v>0</c:v>
                </c:pt>
                <c:pt idx="8">
                  <c:v>1</c:v>
                </c:pt>
                <c:pt idx="9">
                  <c:v>1.06</c:v>
                </c:pt>
              </c:numCache>
            </c:numRef>
          </c:val>
          <c:smooth val="0"/>
          <c:extLst>
            <c:ext xmlns:c16="http://schemas.microsoft.com/office/drawing/2014/chart" uri="{C3380CC4-5D6E-409C-BE32-E72D297353CC}">
              <c16:uniqueId val="{00000002-6204-4BB0-BA3C-70561DECA82C}"/>
            </c:ext>
          </c:extLst>
        </c:ser>
        <c:ser>
          <c:idx val="3"/>
          <c:order val="3"/>
          <c:tx>
            <c:strRef>
              <c:f>'shoot lenght'!$I$21</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plus>
            <c:min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lenght'!$J$21:$S$21</c:f>
              <c:numCache>
                <c:formatCode>General</c:formatCode>
                <c:ptCount val="10"/>
                <c:pt idx="0">
                  <c:v>3.83</c:v>
                </c:pt>
                <c:pt idx="1">
                  <c:v>3.6</c:v>
                </c:pt>
                <c:pt idx="2">
                  <c:v>3.9</c:v>
                </c:pt>
                <c:pt idx="3">
                  <c:v>4</c:v>
                </c:pt>
                <c:pt idx="4">
                  <c:v>3</c:v>
                </c:pt>
                <c:pt idx="5">
                  <c:v>3.2</c:v>
                </c:pt>
                <c:pt idx="6">
                  <c:v>3.6</c:v>
                </c:pt>
                <c:pt idx="7">
                  <c:v>0.83</c:v>
                </c:pt>
                <c:pt idx="8">
                  <c:v>1.4</c:v>
                </c:pt>
                <c:pt idx="9">
                  <c:v>1.57</c:v>
                </c:pt>
              </c:numCache>
            </c:numRef>
          </c:val>
          <c:smooth val="0"/>
          <c:extLst>
            <c:ext xmlns:c16="http://schemas.microsoft.com/office/drawing/2014/chart" uri="{C3380CC4-5D6E-409C-BE32-E72D297353CC}">
              <c16:uniqueId val="{00000003-6204-4BB0-BA3C-70561DECA82C}"/>
            </c:ext>
          </c:extLst>
        </c:ser>
        <c:dLbls>
          <c:showLegendKey val="0"/>
          <c:showVal val="0"/>
          <c:showCatName val="0"/>
          <c:showSerName val="0"/>
          <c:showPercent val="0"/>
          <c:showBubbleSize val="0"/>
        </c:dLbls>
        <c:smooth val="0"/>
        <c:axId val="1530385696"/>
        <c:axId val="1652350272"/>
      </c:lineChart>
      <c:catAx>
        <c:axId val="153038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52350272"/>
        <c:crosses val="autoZero"/>
        <c:auto val="1"/>
        <c:lblAlgn val="ctr"/>
        <c:lblOffset val="100"/>
        <c:noMultiLvlLbl val="0"/>
      </c:catAx>
      <c:valAx>
        <c:axId val="16523502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30385696"/>
        <c:crosses val="autoZero"/>
        <c:crossBetween val="between"/>
      </c:valAx>
      <c:spPr>
        <a:noFill/>
        <a:ln>
          <a:noFill/>
        </a:ln>
        <a:effectLst/>
      </c:spPr>
    </c:plotArea>
    <c:legend>
      <c:legendPos val="b"/>
      <c:layout>
        <c:manualLayout>
          <c:xMode val="edge"/>
          <c:yMode val="edge"/>
          <c:x val="0.13571077829609601"/>
          <c:y val="0.91409225560727903"/>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921db5b-638c-4c2d-94ce-260f554b70a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Dry</a:t>
            </a:r>
            <a:r>
              <a:rPr lang="en-IN" sz="1100" b="1" baseline="0">
                <a:latin typeface="Times New Roman" panose="02020603050405020304" charset="0"/>
                <a:cs typeface="Times New Roman" panose="02020603050405020304" charset="0"/>
              </a:rPr>
              <a:t> weight(mg)</a:t>
            </a:r>
            <a:endParaRPr lang="en-IN" sz="1100" b="1">
              <a:latin typeface="Times New Roman" panose="02020603050405020304" charset="0"/>
              <a:cs typeface="Times New Roman" panose="02020603050405020304" charset="0"/>
            </a:endParaRPr>
          </a:p>
        </c:rich>
      </c:tx>
      <c:layout>
        <c:manualLayout>
          <c:xMode val="edge"/>
          <c:yMode val="edge"/>
          <c:x val="0.40515943485787698"/>
          <c:y val="5.4054054054054099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1989049121668794E-2"/>
          <c:y val="9.8689934028516696E-2"/>
          <c:w val="0.85872340425531901"/>
          <c:h val="0.48845655103922803"/>
        </c:manualLayout>
      </c:layout>
      <c:lineChart>
        <c:grouping val="standard"/>
        <c:varyColors val="0"/>
        <c:ser>
          <c:idx val="0"/>
          <c:order val="0"/>
          <c:tx>
            <c:strRef>
              <c:f>'dry weight'!$D$17</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'dry weight'!$E$23:$E$32</c:f>
                <c:numCache>
                  <c:formatCode>General</c:formatCode>
                  <c:ptCount val="10"/>
                  <c:pt idx="0">
                    <c:v>0.33</c:v>
                  </c:pt>
                  <c:pt idx="1">
                    <c:v>0.33</c:v>
                  </c:pt>
                  <c:pt idx="2">
                    <c:v>0.28000000000000003</c:v>
                  </c:pt>
                  <c:pt idx="3">
                    <c:v>0.33</c:v>
                  </c:pt>
                  <c:pt idx="4">
                    <c:v>0.88</c:v>
                  </c:pt>
                  <c:pt idx="5">
                    <c:v>0.73</c:v>
                  </c:pt>
                  <c:pt idx="6">
                    <c:v>0.76</c:v>
                  </c:pt>
                  <c:pt idx="7">
                    <c:v>0</c:v>
                  </c:pt>
                  <c:pt idx="8">
                    <c:v>0.33</c:v>
                  </c:pt>
                  <c:pt idx="9">
                    <c:v>0.39</c:v>
                  </c:pt>
                </c:numCache>
              </c:numRef>
            </c:plus>
            <c:minus>
              <c:numRef>
                <c:f>'dry weight'!$E$23:$E$32</c:f>
                <c:numCache>
                  <c:formatCode>General</c:formatCode>
                  <c:ptCount val="10"/>
                  <c:pt idx="0">
                    <c:v>0.33</c:v>
                  </c:pt>
                  <c:pt idx="1">
                    <c:v>0.33</c:v>
                  </c:pt>
                  <c:pt idx="2">
                    <c:v>0.28000000000000003</c:v>
                  </c:pt>
                  <c:pt idx="3">
                    <c:v>0.33</c:v>
                  </c:pt>
                  <c:pt idx="4">
                    <c:v>0.88</c:v>
                  </c:pt>
                  <c:pt idx="5">
                    <c:v>0.73</c:v>
                  </c:pt>
                  <c:pt idx="6">
                    <c:v>0.76</c:v>
                  </c:pt>
                  <c:pt idx="7">
                    <c:v>0</c:v>
                  </c:pt>
                  <c:pt idx="8">
                    <c:v>0.33</c:v>
                  </c:pt>
                  <c:pt idx="9">
                    <c:v>0.39</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weight'!$E$17:$O$17</c:f>
              <c:numCache>
                <c:formatCode>General</c:formatCode>
                <c:ptCount val="11"/>
                <c:pt idx="0">
                  <c:v>20.67</c:v>
                </c:pt>
                <c:pt idx="1">
                  <c:v>17.5</c:v>
                </c:pt>
                <c:pt idx="2">
                  <c:v>17.329999999999998</c:v>
                </c:pt>
                <c:pt idx="3">
                  <c:v>17.88</c:v>
                </c:pt>
                <c:pt idx="4">
                  <c:v>8.3000000000000007</c:v>
                </c:pt>
                <c:pt idx="5">
                  <c:v>9.4</c:v>
                </c:pt>
                <c:pt idx="6">
                  <c:v>10.5</c:v>
                </c:pt>
                <c:pt idx="7">
                  <c:v>0</c:v>
                </c:pt>
                <c:pt idx="8">
                  <c:v>6</c:v>
                </c:pt>
                <c:pt idx="9">
                  <c:v>6.8</c:v>
                </c:pt>
              </c:numCache>
            </c:numRef>
          </c:val>
          <c:smooth val="0"/>
          <c:extLst>
            <c:ext xmlns:c16="http://schemas.microsoft.com/office/drawing/2014/chart" uri="{C3380CC4-5D6E-409C-BE32-E72D297353CC}">
              <c16:uniqueId val="{00000000-4848-42E1-A134-7D4BC8711792}"/>
            </c:ext>
          </c:extLst>
        </c:ser>
        <c:ser>
          <c:idx val="1"/>
          <c:order val="1"/>
          <c:tx>
            <c:strRef>
              <c:f>'dry weight'!$D$18</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'dry weight'!$F$23:$F$32</c:f>
                <c:numCache>
                  <c:formatCode>General</c:formatCode>
                  <c:ptCount val="10"/>
                  <c:pt idx="0">
                    <c:v>0.44</c:v>
                  </c:pt>
                  <c:pt idx="1">
                    <c:v>0.96</c:v>
                  </c:pt>
                  <c:pt idx="2">
                    <c:v>0.56000000000000005</c:v>
                  </c:pt>
                  <c:pt idx="3">
                    <c:v>0.31</c:v>
                  </c:pt>
                  <c:pt idx="4">
                    <c:v>0.56000000000000005</c:v>
                  </c:pt>
                  <c:pt idx="5">
                    <c:v>0.57999999999999996</c:v>
                  </c:pt>
                  <c:pt idx="6">
                    <c:v>0.44</c:v>
                  </c:pt>
                  <c:pt idx="7">
                    <c:v>0</c:v>
                  </c:pt>
                  <c:pt idx="8">
                    <c:v>0.54</c:v>
                  </c:pt>
                  <c:pt idx="9">
                    <c:v>0.41</c:v>
                  </c:pt>
                </c:numCache>
              </c:numRef>
            </c:plus>
            <c:minus>
              <c:numRef>
                <c:f>'dry weight'!$F$23:$F$32</c:f>
                <c:numCache>
                  <c:formatCode>General</c:formatCode>
                  <c:ptCount val="10"/>
                  <c:pt idx="0">
                    <c:v>0.44</c:v>
                  </c:pt>
                  <c:pt idx="1">
                    <c:v>0.96</c:v>
                  </c:pt>
                  <c:pt idx="2">
                    <c:v>0.56000000000000005</c:v>
                  </c:pt>
                  <c:pt idx="3">
                    <c:v>0.31</c:v>
                  </c:pt>
                  <c:pt idx="4">
                    <c:v>0.56000000000000005</c:v>
                  </c:pt>
                  <c:pt idx="5">
                    <c:v>0.57999999999999996</c:v>
                  </c:pt>
                  <c:pt idx="6">
                    <c:v>0.44</c:v>
                  </c:pt>
                  <c:pt idx="7">
                    <c:v>0</c:v>
                  </c:pt>
                  <c:pt idx="8">
                    <c:v>0.54</c:v>
                  </c:pt>
                  <c:pt idx="9">
                    <c:v>0.41</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weight'!$E$18:$O$18</c:f>
              <c:numCache>
                <c:formatCode>General</c:formatCode>
                <c:ptCount val="11"/>
                <c:pt idx="0">
                  <c:v>18.670000000000002</c:v>
                </c:pt>
                <c:pt idx="1">
                  <c:v>15.33</c:v>
                </c:pt>
                <c:pt idx="2">
                  <c:v>15.8</c:v>
                </c:pt>
                <c:pt idx="3">
                  <c:v>16.670000000000002</c:v>
                </c:pt>
                <c:pt idx="4">
                  <c:v>8.5</c:v>
                </c:pt>
                <c:pt idx="5">
                  <c:v>8.8000000000000007</c:v>
                </c:pt>
                <c:pt idx="6">
                  <c:v>9.8000000000000007</c:v>
                </c:pt>
                <c:pt idx="7">
                  <c:v>0</c:v>
                </c:pt>
                <c:pt idx="8">
                  <c:v>5.67</c:v>
                </c:pt>
                <c:pt idx="9">
                  <c:v>6.23</c:v>
                </c:pt>
              </c:numCache>
            </c:numRef>
          </c:val>
          <c:smooth val="0"/>
          <c:extLst>
            <c:ext xmlns:c16="http://schemas.microsoft.com/office/drawing/2014/chart" uri="{C3380CC4-5D6E-409C-BE32-E72D297353CC}">
              <c16:uniqueId val="{00000001-4848-42E1-A134-7D4BC8711792}"/>
            </c:ext>
          </c:extLst>
        </c:ser>
        <c:ser>
          <c:idx val="2"/>
          <c:order val="2"/>
          <c:tx>
            <c:strRef>
              <c:f>'dry weight'!$D$19</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'dry weight'!$G$23:$G$32</c:f>
                <c:numCache>
                  <c:formatCode>General</c:formatCode>
                  <c:ptCount val="10"/>
                  <c:pt idx="0">
                    <c:v>0.88</c:v>
                  </c:pt>
                  <c:pt idx="1">
                    <c:v>0.94</c:v>
                  </c:pt>
                  <c:pt idx="2">
                    <c:v>0.88</c:v>
                  </c:pt>
                  <c:pt idx="3">
                    <c:v>0.31</c:v>
                  </c:pt>
                  <c:pt idx="4">
                    <c:v>0.57999999999999996</c:v>
                  </c:pt>
                  <c:pt idx="5">
                    <c:v>0.45</c:v>
                  </c:pt>
                  <c:pt idx="6">
                    <c:v>0.47</c:v>
                  </c:pt>
                  <c:pt idx="7">
                    <c:v>0</c:v>
                  </c:pt>
                  <c:pt idx="8">
                    <c:v>0.89</c:v>
                  </c:pt>
                  <c:pt idx="9">
                    <c:v>0.33</c:v>
                  </c:pt>
                </c:numCache>
              </c:numRef>
            </c:plus>
            <c:minus>
              <c:numRef>
                <c:f>'dry weight'!$G$23:$G$32</c:f>
                <c:numCache>
                  <c:formatCode>General</c:formatCode>
                  <c:ptCount val="10"/>
                  <c:pt idx="0">
                    <c:v>0.88</c:v>
                  </c:pt>
                  <c:pt idx="1">
                    <c:v>0.94</c:v>
                  </c:pt>
                  <c:pt idx="2">
                    <c:v>0.88</c:v>
                  </c:pt>
                  <c:pt idx="3">
                    <c:v>0.31</c:v>
                  </c:pt>
                  <c:pt idx="4">
                    <c:v>0.57999999999999996</c:v>
                  </c:pt>
                  <c:pt idx="5">
                    <c:v>0.45</c:v>
                  </c:pt>
                  <c:pt idx="6">
                    <c:v>0.47</c:v>
                  </c:pt>
                  <c:pt idx="7">
                    <c:v>0</c:v>
                  </c:pt>
                  <c:pt idx="8">
                    <c:v>0.89</c:v>
                  </c:pt>
                  <c:pt idx="9">
                    <c:v>0.33</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weight'!$E$19:$O$19</c:f>
              <c:numCache>
                <c:formatCode>General</c:formatCode>
                <c:ptCount val="11"/>
                <c:pt idx="0">
                  <c:v>19.329999999999998</c:v>
                </c:pt>
                <c:pt idx="1">
                  <c:v>15.3</c:v>
                </c:pt>
                <c:pt idx="2">
                  <c:v>17.600000000000001</c:v>
                </c:pt>
                <c:pt idx="3">
                  <c:v>18.399999999999999</c:v>
                </c:pt>
                <c:pt idx="4">
                  <c:v>10.4</c:v>
                </c:pt>
                <c:pt idx="5">
                  <c:v>10.77</c:v>
                </c:pt>
                <c:pt idx="6">
                  <c:v>12.2</c:v>
                </c:pt>
                <c:pt idx="7">
                  <c:v>0</c:v>
                </c:pt>
                <c:pt idx="8">
                  <c:v>5.72</c:v>
                </c:pt>
                <c:pt idx="9">
                  <c:v>6.43</c:v>
                </c:pt>
              </c:numCache>
            </c:numRef>
          </c:val>
          <c:smooth val="0"/>
          <c:extLst>
            <c:ext xmlns:c16="http://schemas.microsoft.com/office/drawing/2014/chart" uri="{C3380CC4-5D6E-409C-BE32-E72D297353CC}">
              <c16:uniqueId val="{00000002-4848-42E1-A134-7D4BC8711792}"/>
            </c:ext>
          </c:extLst>
        </c:ser>
        <c:ser>
          <c:idx val="3"/>
          <c:order val="3"/>
          <c:tx>
            <c:strRef>
              <c:f>'dry weight'!$D$20</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'dry weight'!$H$23:$H$32</c:f>
                <c:numCache>
                  <c:formatCode>General</c:formatCode>
                  <c:ptCount val="10"/>
                  <c:pt idx="0">
                    <c:v>0.67</c:v>
                  </c:pt>
                  <c:pt idx="1">
                    <c:v>0.6</c:v>
                  </c:pt>
                  <c:pt idx="2">
                    <c:v>0.73</c:v>
                  </c:pt>
                  <c:pt idx="3">
                    <c:v>0.44</c:v>
                  </c:pt>
                  <c:pt idx="4">
                    <c:v>0.57999999999999996</c:v>
                  </c:pt>
                  <c:pt idx="5">
                    <c:v>0.42</c:v>
                  </c:pt>
                  <c:pt idx="6">
                    <c:v>0.45</c:v>
                  </c:pt>
                  <c:pt idx="7">
                    <c:v>0.74</c:v>
                  </c:pt>
                  <c:pt idx="8">
                    <c:v>0.46</c:v>
                  </c:pt>
                  <c:pt idx="9">
                    <c:v>0.31</c:v>
                  </c:pt>
                </c:numCache>
              </c:numRef>
            </c:plus>
            <c:minus>
              <c:numRef>
                <c:f>'dry weight'!$H$23:$H$32</c:f>
                <c:numCache>
                  <c:formatCode>General</c:formatCode>
                  <c:ptCount val="10"/>
                  <c:pt idx="0">
                    <c:v>0.67</c:v>
                  </c:pt>
                  <c:pt idx="1">
                    <c:v>0.6</c:v>
                  </c:pt>
                  <c:pt idx="2">
                    <c:v>0.73</c:v>
                  </c:pt>
                  <c:pt idx="3">
                    <c:v>0.44</c:v>
                  </c:pt>
                  <c:pt idx="4">
                    <c:v>0.57999999999999996</c:v>
                  </c:pt>
                  <c:pt idx="5">
                    <c:v>0.42</c:v>
                  </c:pt>
                  <c:pt idx="6">
                    <c:v>0.45</c:v>
                  </c:pt>
                  <c:pt idx="7">
                    <c:v>0.74</c:v>
                  </c:pt>
                  <c:pt idx="8">
                    <c:v>0.46</c:v>
                  </c:pt>
                  <c:pt idx="9">
                    <c:v>0.31</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weight'!$E$20:$O$20</c:f>
              <c:numCache>
                <c:formatCode>General</c:formatCode>
                <c:ptCount val="11"/>
                <c:pt idx="0">
                  <c:v>20.329999999999998</c:v>
                </c:pt>
                <c:pt idx="1">
                  <c:v>19.170000000000002</c:v>
                </c:pt>
                <c:pt idx="2">
                  <c:v>18.670000000000002</c:v>
                </c:pt>
                <c:pt idx="3">
                  <c:v>19.670000000000002</c:v>
                </c:pt>
                <c:pt idx="4">
                  <c:v>15.2</c:v>
                </c:pt>
                <c:pt idx="5">
                  <c:v>15.67</c:v>
                </c:pt>
                <c:pt idx="6">
                  <c:v>16.34</c:v>
                </c:pt>
                <c:pt idx="7">
                  <c:v>9.4</c:v>
                </c:pt>
                <c:pt idx="8">
                  <c:v>9.8000000000000007</c:v>
                </c:pt>
                <c:pt idx="9">
                  <c:v>10.3</c:v>
                </c:pt>
              </c:numCache>
            </c:numRef>
          </c:val>
          <c:smooth val="0"/>
          <c:extLst>
            <c:ext xmlns:c16="http://schemas.microsoft.com/office/drawing/2014/chart" uri="{C3380CC4-5D6E-409C-BE32-E72D297353CC}">
              <c16:uniqueId val="{00000003-4848-42E1-A134-7D4BC8711792}"/>
            </c:ext>
          </c:extLst>
        </c:ser>
        <c:dLbls>
          <c:showLegendKey val="0"/>
          <c:showVal val="0"/>
          <c:showCatName val="0"/>
          <c:showSerName val="0"/>
          <c:showPercent val="0"/>
          <c:showBubbleSize val="0"/>
        </c:dLbls>
        <c:smooth val="0"/>
        <c:axId val="2046205600"/>
        <c:axId val="1293447760"/>
      </c:lineChart>
      <c:catAx>
        <c:axId val="204620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93447760"/>
        <c:crosses val="autoZero"/>
        <c:auto val="1"/>
        <c:lblAlgn val="ctr"/>
        <c:lblOffset val="100"/>
        <c:noMultiLvlLbl val="0"/>
      </c:catAx>
      <c:valAx>
        <c:axId val="1293447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46205600"/>
        <c:crosses val="autoZero"/>
        <c:crossBetween val="between"/>
      </c:valAx>
      <c:spPr>
        <a:noFill/>
        <a:ln>
          <a:noFill/>
        </a:ln>
        <a:effectLst/>
      </c:spPr>
    </c:plotArea>
    <c:legend>
      <c:legendPos val="b"/>
      <c:layout>
        <c:manualLayout>
          <c:xMode val="edge"/>
          <c:yMode val="edge"/>
          <c:x val="0.13002680965147501"/>
          <c:y val="0.92784230904611098"/>
          <c:w val="0.74006824274920802"/>
          <c:h val="6.6877859908482898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e78aa69-ce44-488e-909e-1b8c2145efb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SVI</a:t>
            </a:r>
          </a:p>
        </c:rich>
      </c:tx>
      <c:layout>
        <c:manualLayout>
          <c:xMode val="edge"/>
          <c:yMode val="edge"/>
          <c:x val="0.47122335771858298"/>
          <c:y val="6.6173608407940801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425305995166401"/>
          <c:y val="9.9513889101736905E-2"/>
          <c:w val="0.740292872209941"/>
          <c:h val="0.456490929097078"/>
        </c:manualLayout>
      </c:layout>
      <c:lineChart>
        <c:grouping val="standard"/>
        <c:varyColors val="0"/>
        <c:ser>
          <c:idx val="0"/>
          <c:order val="0"/>
          <c:tx>
            <c:strRef>
              <c:f>SVI!$D$7</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SVI!$E$16:$E$25</c:f>
                <c:numCache>
                  <c:formatCode>General</c:formatCode>
                  <c:ptCount val="10"/>
                  <c:pt idx="0">
                    <c:v>28</c:v>
                  </c:pt>
                  <c:pt idx="1">
                    <c:v>15.7</c:v>
                  </c:pt>
                  <c:pt idx="2">
                    <c:v>16.510000000000002</c:v>
                  </c:pt>
                  <c:pt idx="3">
                    <c:v>15.59</c:v>
                  </c:pt>
                  <c:pt idx="4">
                    <c:v>5.77</c:v>
                  </c:pt>
                  <c:pt idx="5">
                    <c:v>12.7</c:v>
                  </c:pt>
                  <c:pt idx="6">
                    <c:v>10.86</c:v>
                  </c:pt>
                  <c:pt idx="7">
                    <c:v>0</c:v>
                  </c:pt>
                  <c:pt idx="8">
                    <c:v>5.55</c:v>
                  </c:pt>
                  <c:pt idx="9">
                    <c:v>1.45</c:v>
                  </c:pt>
                </c:numCache>
              </c:numRef>
            </c:plus>
            <c:minus>
              <c:numRef>
                <c:f>SVI!$E$16:$E$25</c:f>
                <c:numCache>
                  <c:formatCode>General</c:formatCode>
                  <c:ptCount val="10"/>
                  <c:pt idx="0">
                    <c:v>28</c:v>
                  </c:pt>
                  <c:pt idx="1">
                    <c:v>15.7</c:v>
                  </c:pt>
                  <c:pt idx="2">
                    <c:v>16.510000000000002</c:v>
                  </c:pt>
                  <c:pt idx="3">
                    <c:v>15.59</c:v>
                  </c:pt>
                  <c:pt idx="4">
                    <c:v>5.77</c:v>
                  </c:pt>
                  <c:pt idx="5">
                    <c:v>12.7</c:v>
                  </c:pt>
                  <c:pt idx="6">
                    <c:v>10.86</c:v>
                  </c:pt>
                  <c:pt idx="7">
                    <c:v>0</c:v>
                  </c:pt>
                  <c:pt idx="8">
                    <c:v>5.55</c:v>
                  </c:pt>
                  <c:pt idx="9">
                    <c:v>1.45</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SVI!$E$7:$N$7</c:f>
              <c:numCache>
                <c:formatCode>General</c:formatCode>
                <c:ptCount val="10"/>
                <c:pt idx="0">
                  <c:v>529.06700000000001</c:v>
                </c:pt>
                <c:pt idx="1">
                  <c:v>237.6</c:v>
                </c:pt>
                <c:pt idx="2">
                  <c:v>298</c:v>
                </c:pt>
                <c:pt idx="3">
                  <c:v>303</c:v>
                </c:pt>
                <c:pt idx="4">
                  <c:v>24</c:v>
                </c:pt>
                <c:pt idx="5">
                  <c:v>72.599999999999994</c:v>
                </c:pt>
                <c:pt idx="6">
                  <c:v>76.3</c:v>
                </c:pt>
                <c:pt idx="7">
                  <c:v>0</c:v>
                </c:pt>
                <c:pt idx="8">
                  <c:v>18.3333333333333</c:v>
                </c:pt>
                <c:pt idx="9">
                  <c:v>22.67</c:v>
                </c:pt>
              </c:numCache>
            </c:numRef>
          </c:val>
          <c:smooth val="0"/>
          <c:extLst>
            <c:ext xmlns:c16="http://schemas.microsoft.com/office/drawing/2014/chart" uri="{C3380CC4-5D6E-409C-BE32-E72D297353CC}">
              <c16:uniqueId val="{00000000-8C1B-4AA5-9870-F078F4129E42}"/>
            </c:ext>
          </c:extLst>
        </c:ser>
        <c:ser>
          <c:idx val="1"/>
          <c:order val="1"/>
          <c:tx>
            <c:strRef>
              <c:f>SVI!$D$8</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SVI!$F$16:$F$25</c:f>
                <c:numCache>
                  <c:formatCode>General</c:formatCode>
                  <c:ptCount val="10"/>
                  <c:pt idx="0">
                    <c:v>9.01</c:v>
                  </c:pt>
                  <c:pt idx="1">
                    <c:v>32</c:v>
                  </c:pt>
                  <c:pt idx="2">
                    <c:v>25.5</c:v>
                  </c:pt>
                  <c:pt idx="3">
                    <c:v>15.13</c:v>
                  </c:pt>
                  <c:pt idx="4">
                    <c:v>8.09</c:v>
                  </c:pt>
                  <c:pt idx="5">
                    <c:v>19.739999999999998</c:v>
                  </c:pt>
                  <c:pt idx="6">
                    <c:v>4.2699999999999996</c:v>
                  </c:pt>
                  <c:pt idx="7">
                    <c:v>0</c:v>
                  </c:pt>
                  <c:pt idx="8">
                    <c:v>10.53</c:v>
                  </c:pt>
                  <c:pt idx="9">
                    <c:v>7.57</c:v>
                  </c:pt>
                </c:numCache>
              </c:numRef>
            </c:plus>
            <c:minus>
              <c:numRef>
                <c:f>SVI!$F$16:$F$25</c:f>
                <c:numCache>
                  <c:formatCode>General</c:formatCode>
                  <c:ptCount val="10"/>
                  <c:pt idx="0">
                    <c:v>9.01</c:v>
                  </c:pt>
                  <c:pt idx="1">
                    <c:v>32</c:v>
                  </c:pt>
                  <c:pt idx="2">
                    <c:v>25.5</c:v>
                  </c:pt>
                  <c:pt idx="3">
                    <c:v>15.13</c:v>
                  </c:pt>
                  <c:pt idx="4">
                    <c:v>8.09</c:v>
                  </c:pt>
                  <c:pt idx="5">
                    <c:v>19.739999999999998</c:v>
                  </c:pt>
                  <c:pt idx="6">
                    <c:v>4.2699999999999996</c:v>
                  </c:pt>
                  <c:pt idx="7">
                    <c:v>0</c:v>
                  </c:pt>
                  <c:pt idx="8">
                    <c:v>10.53</c:v>
                  </c:pt>
                  <c:pt idx="9">
                    <c:v>7.57</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SVI!$E$8:$N$8</c:f>
              <c:numCache>
                <c:formatCode>General</c:formatCode>
                <c:ptCount val="10"/>
                <c:pt idx="0">
                  <c:v>459.4</c:v>
                </c:pt>
                <c:pt idx="1">
                  <c:v>253.733</c:v>
                </c:pt>
                <c:pt idx="2">
                  <c:v>281.67</c:v>
                </c:pt>
                <c:pt idx="3">
                  <c:v>286</c:v>
                </c:pt>
                <c:pt idx="4">
                  <c:v>40.299999999999997</c:v>
                </c:pt>
                <c:pt idx="5">
                  <c:v>52.4</c:v>
                </c:pt>
                <c:pt idx="6">
                  <c:v>109.5</c:v>
                </c:pt>
                <c:pt idx="7">
                  <c:v>0</c:v>
                </c:pt>
                <c:pt idx="8">
                  <c:v>36.266666666666701</c:v>
                </c:pt>
                <c:pt idx="9">
                  <c:v>41.4</c:v>
                </c:pt>
              </c:numCache>
            </c:numRef>
          </c:val>
          <c:smooth val="0"/>
          <c:extLst>
            <c:ext xmlns:c16="http://schemas.microsoft.com/office/drawing/2014/chart" uri="{C3380CC4-5D6E-409C-BE32-E72D297353CC}">
              <c16:uniqueId val="{00000001-8C1B-4AA5-9870-F078F4129E42}"/>
            </c:ext>
          </c:extLst>
        </c:ser>
        <c:ser>
          <c:idx val="2"/>
          <c:order val="2"/>
          <c:tx>
            <c:strRef>
              <c:f>SVI!$D$9</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SVI!$G$16:$G$25</c:f>
                <c:numCache>
                  <c:formatCode>General</c:formatCode>
                  <c:ptCount val="10"/>
                  <c:pt idx="0">
                    <c:v>16.829999999999998</c:v>
                  </c:pt>
                  <c:pt idx="1">
                    <c:v>9.61</c:v>
                  </c:pt>
                  <c:pt idx="2">
                    <c:v>23</c:v>
                  </c:pt>
                  <c:pt idx="3">
                    <c:v>15.84</c:v>
                  </c:pt>
                  <c:pt idx="4">
                    <c:v>12.4</c:v>
                  </c:pt>
                  <c:pt idx="5">
                    <c:v>33</c:v>
                  </c:pt>
                  <c:pt idx="6">
                    <c:v>19.399999999999999</c:v>
                  </c:pt>
                  <c:pt idx="7">
                    <c:v>0</c:v>
                  </c:pt>
                  <c:pt idx="8">
                    <c:v>27</c:v>
                  </c:pt>
                  <c:pt idx="9">
                    <c:v>1.2</c:v>
                  </c:pt>
                </c:numCache>
              </c:numRef>
            </c:plus>
            <c:minus>
              <c:numRef>
                <c:f>SVI!$G$16:$G$25</c:f>
                <c:numCache>
                  <c:formatCode>General</c:formatCode>
                  <c:ptCount val="10"/>
                  <c:pt idx="0">
                    <c:v>16.829999999999998</c:v>
                  </c:pt>
                  <c:pt idx="1">
                    <c:v>9.61</c:v>
                  </c:pt>
                  <c:pt idx="2">
                    <c:v>23</c:v>
                  </c:pt>
                  <c:pt idx="3">
                    <c:v>15.84</c:v>
                  </c:pt>
                  <c:pt idx="4">
                    <c:v>12.4</c:v>
                  </c:pt>
                  <c:pt idx="5">
                    <c:v>33</c:v>
                  </c:pt>
                  <c:pt idx="6">
                    <c:v>19.399999999999999</c:v>
                  </c:pt>
                  <c:pt idx="7">
                    <c:v>0</c:v>
                  </c:pt>
                  <c:pt idx="8">
                    <c:v>27</c:v>
                  </c:pt>
                  <c:pt idx="9">
                    <c:v>1.2</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SVI!$E$9:$N$9</c:f>
              <c:numCache>
                <c:formatCode>General</c:formatCode>
                <c:ptCount val="10"/>
                <c:pt idx="0">
                  <c:v>378.53</c:v>
                </c:pt>
                <c:pt idx="1">
                  <c:v>107.467</c:v>
                </c:pt>
                <c:pt idx="2">
                  <c:v>126.56</c:v>
                </c:pt>
                <c:pt idx="3">
                  <c:v>128.667</c:v>
                </c:pt>
                <c:pt idx="4">
                  <c:v>67.459999999999994</c:v>
                </c:pt>
                <c:pt idx="5">
                  <c:v>126</c:v>
                </c:pt>
                <c:pt idx="6">
                  <c:v>132.667</c:v>
                </c:pt>
                <c:pt idx="7">
                  <c:v>0</c:v>
                </c:pt>
                <c:pt idx="8">
                  <c:v>34.1</c:v>
                </c:pt>
                <c:pt idx="9">
                  <c:v>76.47</c:v>
                </c:pt>
              </c:numCache>
            </c:numRef>
          </c:val>
          <c:smooth val="0"/>
          <c:extLst>
            <c:ext xmlns:c16="http://schemas.microsoft.com/office/drawing/2014/chart" uri="{C3380CC4-5D6E-409C-BE32-E72D297353CC}">
              <c16:uniqueId val="{00000002-8C1B-4AA5-9870-F078F4129E42}"/>
            </c:ext>
          </c:extLst>
        </c:ser>
        <c:ser>
          <c:idx val="3"/>
          <c:order val="3"/>
          <c:tx>
            <c:strRef>
              <c:f>SVI!$D$10</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SVI!$H$16:$H$25</c:f>
                <c:numCache>
                  <c:formatCode>General</c:formatCode>
                  <c:ptCount val="10"/>
                  <c:pt idx="0">
                    <c:v>29</c:v>
                  </c:pt>
                  <c:pt idx="1">
                    <c:v>19.739999999999998</c:v>
                  </c:pt>
                  <c:pt idx="2">
                    <c:v>29</c:v>
                  </c:pt>
                  <c:pt idx="3">
                    <c:v>13.75</c:v>
                  </c:pt>
                  <c:pt idx="4">
                    <c:v>22.39</c:v>
                  </c:pt>
                  <c:pt idx="5">
                    <c:v>21.5</c:v>
                  </c:pt>
                  <c:pt idx="6">
                    <c:v>24.4</c:v>
                  </c:pt>
                  <c:pt idx="7">
                    <c:v>4.8099999999999996</c:v>
                  </c:pt>
                  <c:pt idx="8">
                    <c:v>19</c:v>
                  </c:pt>
                  <c:pt idx="9">
                    <c:v>12.77</c:v>
                  </c:pt>
                </c:numCache>
              </c:numRef>
            </c:plus>
            <c:minus>
              <c:numRef>
                <c:f>SVI!$H$16:$H$25</c:f>
                <c:numCache>
                  <c:formatCode>General</c:formatCode>
                  <c:ptCount val="10"/>
                  <c:pt idx="0">
                    <c:v>29</c:v>
                  </c:pt>
                  <c:pt idx="1">
                    <c:v>19.739999999999998</c:v>
                  </c:pt>
                  <c:pt idx="2">
                    <c:v>29</c:v>
                  </c:pt>
                  <c:pt idx="3">
                    <c:v>13.75</c:v>
                  </c:pt>
                  <c:pt idx="4">
                    <c:v>22.39</c:v>
                  </c:pt>
                  <c:pt idx="5">
                    <c:v>21.5</c:v>
                  </c:pt>
                  <c:pt idx="6">
                    <c:v>24.4</c:v>
                  </c:pt>
                  <c:pt idx="7">
                    <c:v>4.8099999999999996</c:v>
                  </c:pt>
                  <c:pt idx="8">
                    <c:v>19</c:v>
                  </c:pt>
                  <c:pt idx="9">
                    <c:v>12.77</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SVI!$E$10:$N$10</c:f>
              <c:numCache>
                <c:formatCode>General</c:formatCode>
                <c:ptCount val="10"/>
                <c:pt idx="0">
                  <c:v>497.2</c:v>
                </c:pt>
                <c:pt idx="1">
                  <c:v>400.67</c:v>
                </c:pt>
                <c:pt idx="2">
                  <c:v>350</c:v>
                </c:pt>
                <c:pt idx="3">
                  <c:v>396</c:v>
                </c:pt>
                <c:pt idx="4">
                  <c:v>222</c:v>
                </c:pt>
                <c:pt idx="5">
                  <c:v>228</c:v>
                </c:pt>
                <c:pt idx="6">
                  <c:v>234.67</c:v>
                </c:pt>
                <c:pt idx="7">
                  <c:v>26.67</c:v>
                </c:pt>
                <c:pt idx="8">
                  <c:v>90</c:v>
                </c:pt>
                <c:pt idx="9">
                  <c:v>135</c:v>
                </c:pt>
              </c:numCache>
            </c:numRef>
          </c:val>
          <c:smooth val="0"/>
          <c:extLst>
            <c:ext xmlns:c16="http://schemas.microsoft.com/office/drawing/2014/chart" uri="{C3380CC4-5D6E-409C-BE32-E72D297353CC}">
              <c16:uniqueId val="{00000003-8C1B-4AA5-9870-F078F4129E42}"/>
            </c:ext>
          </c:extLst>
        </c:ser>
        <c:dLbls>
          <c:showLegendKey val="0"/>
          <c:showVal val="0"/>
          <c:showCatName val="0"/>
          <c:showSerName val="0"/>
          <c:showPercent val="0"/>
          <c:showBubbleSize val="0"/>
        </c:dLbls>
        <c:smooth val="0"/>
        <c:axId val="806405919"/>
        <c:axId val="880049583"/>
      </c:lineChart>
      <c:catAx>
        <c:axId val="806405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0049583"/>
        <c:crosses val="autoZero"/>
        <c:auto val="1"/>
        <c:lblAlgn val="ctr"/>
        <c:lblOffset val="100"/>
        <c:noMultiLvlLbl val="0"/>
      </c:catAx>
      <c:valAx>
        <c:axId val="8800495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06405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9701283-bd9c-40b5-8e18-9ea6d9183cc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t>STI(%)</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349832647065899"/>
          <c:y val="0.10034135906422099"/>
          <c:w val="0.82414178044258202"/>
          <c:h val="0.47326848849776099"/>
        </c:manualLayout>
      </c:layout>
      <c:lineChart>
        <c:grouping val="standard"/>
        <c:varyColors val="0"/>
        <c:ser>
          <c:idx val="0"/>
          <c:order val="0"/>
          <c:tx>
            <c:strRef>
              <c:f>STI!$B$7</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STI!$C$15:$C$24</c:f>
                <c:numCache>
                  <c:formatCode>General</c:formatCode>
                  <c:ptCount val="10"/>
                  <c:pt idx="0">
                    <c:v>0</c:v>
                  </c:pt>
                  <c:pt idx="1">
                    <c:v>3.31</c:v>
                  </c:pt>
                  <c:pt idx="2">
                    <c:v>3.29</c:v>
                  </c:pt>
                  <c:pt idx="3">
                    <c:v>3.38</c:v>
                  </c:pt>
                  <c:pt idx="4">
                    <c:v>4.22</c:v>
                  </c:pt>
                  <c:pt idx="5">
                    <c:v>7.8</c:v>
                  </c:pt>
                  <c:pt idx="6">
                    <c:v>4.49</c:v>
                  </c:pt>
                  <c:pt idx="7">
                    <c:v>0</c:v>
                  </c:pt>
                  <c:pt idx="8">
                    <c:v>2.11</c:v>
                  </c:pt>
                  <c:pt idx="9">
                    <c:v>1.74</c:v>
                  </c:pt>
                </c:numCache>
              </c:numRef>
            </c:plus>
            <c:minus>
              <c:numRef>
                <c:f>STI!$C$15:$C$24</c:f>
                <c:numCache>
                  <c:formatCode>General</c:formatCode>
                  <c:ptCount val="10"/>
                  <c:pt idx="0">
                    <c:v>0</c:v>
                  </c:pt>
                  <c:pt idx="1">
                    <c:v>3.31</c:v>
                  </c:pt>
                  <c:pt idx="2">
                    <c:v>3.29</c:v>
                  </c:pt>
                  <c:pt idx="3">
                    <c:v>3.38</c:v>
                  </c:pt>
                  <c:pt idx="4">
                    <c:v>4.22</c:v>
                  </c:pt>
                  <c:pt idx="5">
                    <c:v>7.8</c:v>
                  </c:pt>
                  <c:pt idx="6">
                    <c:v>4.49</c:v>
                  </c:pt>
                  <c:pt idx="7">
                    <c:v>0</c:v>
                  </c:pt>
                  <c:pt idx="8">
                    <c:v>2.11</c:v>
                  </c:pt>
                  <c:pt idx="9">
                    <c:v>1.74</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STI!$C$7:$M$7</c:f>
              <c:numCache>
                <c:formatCode>General</c:formatCode>
                <c:ptCount val="11"/>
                <c:pt idx="0">
                  <c:v>100</c:v>
                </c:pt>
                <c:pt idx="1">
                  <c:v>82.261208576998001</c:v>
                </c:pt>
                <c:pt idx="2">
                  <c:v>69.69</c:v>
                </c:pt>
                <c:pt idx="3">
                  <c:v>108.7</c:v>
                </c:pt>
                <c:pt idx="4">
                  <c:v>44.146000000000001</c:v>
                </c:pt>
                <c:pt idx="5">
                  <c:v>53.51</c:v>
                </c:pt>
                <c:pt idx="6">
                  <c:v>111.640211640212</c:v>
                </c:pt>
                <c:pt idx="7">
                  <c:v>0</c:v>
                </c:pt>
                <c:pt idx="8">
                  <c:v>30.41</c:v>
                </c:pt>
                <c:pt idx="9">
                  <c:v>33.362573099415201</c:v>
                </c:pt>
              </c:numCache>
            </c:numRef>
          </c:val>
          <c:smooth val="0"/>
          <c:extLst>
            <c:ext xmlns:c16="http://schemas.microsoft.com/office/drawing/2014/chart" uri="{C3380CC4-5D6E-409C-BE32-E72D297353CC}">
              <c16:uniqueId val="{00000000-30E8-4081-972E-58FBE5C91152}"/>
            </c:ext>
          </c:extLst>
        </c:ser>
        <c:ser>
          <c:idx val="1"/>
          <c:order val="1"/>
          <c:tx>
            <c:strRef>
              <c:f>STI!$B$8</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plus>
            <c:min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STI!$C$8:$M$8</c:f>
              <c:numCache>
                <c:formatCode>General</c:formatCode>
                <c:ptCount val="11"/>
                <c:pt idx="0">
                  <c:v>100</c:v>
                </c:pt>
                <c:pt idx="1">
                  <c:v>87.080157080157093</c:v>
                </c:pt>
                <c:pt idx="2">
                  <c:v>86.22</c:v>
                </c:pt>
                <c:pt idx="3">
                  <c:v>109</c:v>
                </c:pt>
                <c:pt idx="4">
                  <c:v>50</c:v>
                </c:pt>
                <c:pt idx="5">
                  <c:v>51.69</c:v>
                </c:pt>
                <c:pt idx="6">
                  <c:v>111.3</c:v>
                </c:pt>
                <c:pt idx="7">
                  <c:v>0</c:v>
                </c:pt>
                <c:pt idx="8">
                  <c:v>33.299999999999997</c:v>
                </c:pt>
                <c:pt idx="9">
                  <c:v>29.411873411873401</c:v>
                </c:pt>
              </c:numCache>
            </c:numRef>
          </c:val>
          <c:smooth val="0"/>
          <c:extLst>
            <c:ext xmlns:c16="http://schemas.microsoft.com/office/drawing/2014/chart" uri="{C3380CC4-5D6E-409C-BE32-E72D297353CC}">
              <c16:uniqueId val="{00000001-30E8-4081-972E-58FBE5C91152}"/>
            </c:ext>
          </c:extLst>
        </c:ser>
        <c:ser>
          <c:idx val="2"/>
          <c:order val="2"/>
          <c:tx>
            <c:strRef>
              <c:f>STI!$B$9</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plus>
            <c:min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STI!$C$9:$M$9</c:f>
              <c:numCache>
                <c:formatCode>General</c:formatCode>
                <c:ptCount val="11"/>
                <c:pt idx="0">
                  <c:v>100</c:v>
                </c:pt>
                <c:pt idx="1">
                  <c:v>90.800865800865793</c:v>
                </c:pt>
                <c:pt idx="2">
                  <c:v>81.819999999999993</c:v>
                </c:pt>
                <c:pt idx="3">
                  <c:v>103.717948717949</c:v>
                </c:pt>
                <c:pt idx="4">
                  <c:v>63.8</c:v>
                </c:pt>
                <c:pt idx="5">
                  <c:v>70.97</c:v>
                </c:pt>
                <c:pt idx="6">
                  <c:v>110.1</c:v>
                </c:pt>
                <c:pt idx="7">
                  <c:v>0</c:v>
                </c:pt>
                <c:pt idx="8">
                  <c:v>28.23</c:v>
                </c:pt>
                <c:pt idx="9">
                  <c:v>30.014430014430001</c:v>
                </c:pt>
              </c:numCache>
            </c:numRef>
          </c:val>
          <c:smooth val="0"/>
          <c:extLst>
            <c:ext xmlns:c16="http://schemas.microsoft.com/office/drawing/2014/chart" uri="{C3380CC4-5D6E-409C-BE32-E72D297353CC}">
              <c16:uniqueId val="{00000002-30E8-4081-972E-58FBE5C91152}"/>
            </c:ext>
          </c:extLst>
        </c:ser>
        <c:ser>
          <c:idx val="3"/>
          <c:order val="3"/>
          <c:tx>
            <c:strRef>
              <c:f>STI!$B$10</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STI!$F$15:$F$24</c:f>
                <c:numCache>
                  <c:formatCode>General</c:formatCode>
                  <c:ptCount val="10"/>
                  <c:pt idx="0">
                    <c:v>0</c:v>
                  </c:pt>
                  <c:pt idx="1">
                    <c:v>1.45</c:v>
                  </c:pt>
                  <c:pt idx="2">
                    <c:v>1.45</c:v>
                  </c:pt>
                  <c:pt idx="3">
                    <c:v>1.35</c:v>
                  </c:pt>
                  <c:pt idx="4">
                    <c:v>2.0299999999999998</c:v>
                  </c:pt>
                  <c:pt idx="5">
                    <c:v>5.8</c:v>
                  </c:pt>
                  <c:pt idx="6">
                    <c:v>1.34</c:v>
                  </c:pt>
                  <c:pt idx="7">
                    <c:v>0</c:v>
                  </c:pt>
                  <c:pt idx="8">
                    <c:v>1.23</c:v>
                  </c:pt>
                  <c:pt idx="9">
                    <c:v>1.45</c:v>
                  </c:pt>
                </c:numCache>
              </c:numRef>
            </c:plus>
            <c:minus>
              <c:numRef>
                <c:f>STI!$F$15:$F$24</c:f>
                <c:numCache>
                  <c:formatCode>General</c:formatCode>
                  <c:ptCount val="10"/>
                  <c:pt idx="0">
                    <c:v>0</c:v>
                  </c:pt>
                  <c:pt idx="1">
                    <c:v>1.45</c:v>
                  </c:pt>
                  <c:pt idx="2">
                    <c:v>1.45</c:v>
                  </c:pt>
                  <c:pt idx="3">
                    <c:v>1.35</c:v>
                  </c:pt>
                  <c:pt idx="4">
                    <c:v>2.0299999999999998</c:v>
                  </c:pt>
                  <c:pt idx="5">
                    <c:v>5.8</c:v>
                  </c:pt>
                  <c:pt idx="6">
                    <c:v>1.34</c:v>
                  </c:pt>
                  <c:pt idx="7">
                    <c:v>0</c:v>
                  </c:pt>
                  <c:pt idx="8">
                    <c:v>1.23</c:v>
                  </c:pt>
                  <c:pt idx="9">
                    <c:v>1.45</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STI!$C$10:$M$10</c:f>
              <c:numCache>
                <c:formatCode>General</c:formatCode>
                <c:ptCount val="11"/>
                <c:pt idx="0">
                  <c:v>100</c:v>
                </c:pt>
                <c:pt idx="1">
                  <c:v>94.263000000000005</c:v>
                </c:pt>
                <c:pt idx="2">
                  <c:v>87.3</c:v>
                </c:pt>
                <c:pt idx="3">
                  <c:v>108.3</c:v>
                </c:pt>
                <c:pt idx="4">
                  <c:v>78.849999999999994</c:v>
                </c:pt>
                <c:pt idx="5">
                  <c:v>73.02</c:v>
                </c:pt>
                <c:pt idx="6">
                  <c:v>111.78</c:v>
                </c:pt>
                <c:pt idx="7">
                  <c:v>38.46</c:v>
                </c:pt>
                <c:pt idx="8">
                  <c:v>41.27</c:v>
                </c:pt>
                <c:pt idx="9">
                  <c:v>106</c:v>
                </c:pt>
              </c:numCache>
            </c:numRef>
          </c:val>
          <c:smooth val="0"/>
          <c:extLst>
            <c:ext xmlns:c16="http://schemas.microsoft.com/office/drawing/2014/chart" uri="{C3380CC4-5D6E-409C-BE32-E72D297353CC}">
              <c16:uniqueId val="{00000003-30E8-4081-972E-58FBE5C91152}"/>
            </c:ext>
          </c:extLst>
        </c:ser>
        <c:dLbls>
          <c:showLegendKey val="0"/>
          <c:showVal val="0"/>
          <c:showCatName val="0"/>
          <c:showSerName val="0"/>
          <c:showPercent val="0"/>
          <c:showBubbleSize val="0"/>
        </c:dLbls>
        <c:smooth val="0"/>
        <c:axId val="697220687"/>
        <c:axId val="880063967"/>
      </c:lineChart>
      <c:catAx>
        <c:axId val="697220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25000">
                <a:solidFill>
                  <a:schemeClr val="tx1">
                    <a:lumMod val="65000"/>
                    <a:lumOff val="35000"/>
                  </a:schemeClr>
                </a:solidFill>
                <a:latin typeface="+mn-lt"/>
                <a:ea typeface="+mn-ea"/>
                <a:cs typeface="+mn-cs"/>
              </a:defRPr>
            </a:pPr>
            <a:endParaRPr lang="en-US"/>
          </a:p>
        </c:txPr>
        <c:crossAx val="880063967"/>
        <c:crosses val="autoZero"/>
        <c:auto val="1"/>
        <c:lblAlgn val="ctr"/>
        <c:lblOffset val="100"/>
        <c:noMultiLvlLbl val="0"/>
      </c:catAx>
      <c:valAx>
        <c:axId val="88006396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97220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017077d-7749-4342-b0a5-7bebf79cd44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804109959568201E-2"/>
          <c:y val="8.6820230952480898E-2"/>
          <c:w val="0.91756178856325499"/>
          <c:h val="0.48772536747607498"/>
        </c:manualLayout>
      </c:layout>
      <c:lineChart>
        <c:grouping val="standard"/>
        <c:varyColors val="0"/>
        <c:ser>
          <c:idx val="0"/>
          <c:order val="0"/>
          <c:tx>
            <c:strRef>
              <c:f>'antioxidant activity'!$H$3</c:f>
              <c:strCache>
                <c:ptCount val="1"/>
                <c:pt idx="0">
                  <c:v>Pant Basmati1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'antioxidant activity'!$C$16:$C$25</c:f>
                <c:numCache>
                  <c:formatCode>General</c:formatCode>
                  <c:ptCount val="10"/>
                  <c:pt idx="0">
                    <c:v>1.02</c:v>
                  </c:pt>
                  <c:pt idx="1">
                    <c:v>0.72</c:v>
                  </c:pt>
                  <c:pt idx="2">
                    <c:v>0.54</c:v>
                  </c:pt>
                  <c:pt idx="3">
                    <c:v>0.65</c:v>
                  </c:pt>
                  <c:pt idx="4">
                    <c:v>0.34</c:v>
                  </c:pt>
                  <c:pt idx="5">
                    <c:v>0.43</c:v>
                  </c:pt>
                  <c:pt idx="6">
                    <c:v>0.48</c:v>
                  </c:pt>
                  <c:pt idx="7">
                    <c:v>0.22</c:v>
                  </c:pt>
                  <c:pt idx="8">
                    <c:v>0.32</c:v>
                  </c:pt>
                  <c:pt idx="9">
                    <c:v>0.45</c:v>
                  </c:pt>
                </c:numCache>
              </c:numRef>
            </c:plus>
            <c:minus>
              <c:numRef>
                <c:f>'antioxidant activity'!$C$16:$C$25</c:f>
                <c:numCache>
                  <c:formatCode>General</c:formatCode>
                  <c:ptCount val="10"/>
                  <c:pt idx="0">
                    <c:v>1.02</c:v>
                  </c:pt>
                  <c:pt idx="1">
                    <c:v>0.72</c:v>
                  </c:pt>
                  <c:pt idx="2">
                    <c:v>0.54</c:v>
                  </c:pt>
                  <c:pt idx="3">
                    <c:v>0.65</c:v>
                  </c:pt>
                  <c:pt idx="4">
                    <c:v>0.34</c:v>
                  </c:pt>
                  <c:pt idx="5">
                    <c:v>0.43</c:v>
                  </c:pt>
                  <c:pt idx="6">
                    <c:v>0.48</c:v>
                  </c:pt>
                  <c:pt idx="7">
                    <c:v>0.22</c:v>
                  </c:pt>
                  <c:pt idx="8">
                    <c:v>0.32</c:v>
                  </c:pt>
                  <c:pt idx="9">
                    <c:v>0.45</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activity'!$I$3:$S$3</c:f>
              <c:numCache>
                <c:formatCode>General</c:formatCode>
                <c:ptCount val="11"/>
                <c:pt idx="0">
                  <c:v>11.26</c:v>
                </c:pt>
                <c:pt idx="1">
                  <c:v>12.68</c:v>
                </c:pt>
                <c:pt idx="2">
                  <c:v>12.76</c:v>
                </c:pt>
                <c:pt idx="3">
                  <c:v>13.32</c:v>
                </c:pt>
                <c:pt idx="4">
                  <c:v>12.91</c:v>
                </c:pt>
                <c:pt idx="5">
                  <c:v>13.4</c:v>
                </c:pt>
                <c:pt idx="6">
                  <c:v>13.76</c:v>
                </c:pt>
                <c:pt idx="7">
                  <c:v>14.03</c:v>
                </c:pt>
                <c:pt idx="8">
                  <c:v>14.3</c:v>
                </c:pt>
                <c:pt idx="9">
                  <c:v>14.8</c:v>
                </c:pt>
              </c:numCache>
            </c:numRef>
          </c:val>
          <c:smooth val="0"/>
          <c:extLst>
            <c:ext xmlns:c16="http://schemas.microsoft.com/office/drawing/2014/chart" uri="{C3380CC4-5D6E-409C-BE32-E72D297353CC}">
              <c16:uniqueId val="{00000000-A291-4C52-97DA-51F4B9F8C601}"/>
            </c:ext>
          </c:extLst>
        </c:ser>
        <c:ser>
          <c:idx val="1"/>
          <c:order val="1"/>
          <c:tx>
            <c:strRef>
              <c:f>'antioxidant activity'!$H$4</c:f>
              <c:strCache>
                <c:ptCount val="1"/>
                <c:pt idx="0">
                  <c:v>Pant Basmati2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'antioxidant activity'!$D$16:$D$25</c:f>
                <c:numCache>
                  <c:formatCode>General</c:formatCode>
                  <c:ptCount val="10"/>
                  <c:pt idx="0">
                    <c:v>0.42</c:v>
                  </c:pt>
                  <c:pt idx="1">
                    <c:v>0.96</c:v>
                  </c:pt>
                  <c:pt idx="2">
                    <c:v>0.54</c:v>
                  </c:pt>
                  <c:pt idx="3">
                    <c:v>0.56000000000000005</c:v>
                  </c:pt>
                  <c:pt idx="4">
                    <c:v>0.21</c:v>
                  </c:pt>
                  <c:pt idx="5">
                    <c:v>0.22</c:v>
                  </c:pt>
                  <c:pt idx="6">
                    <c:v>0.45</c:v>
                  </c:pt>
                  <c:pt idx="7">
                    <c:v>0.33</c:v>
                  </c:pt>
                  <c:pt idx="8">
                    <c:v>0.37</c:v>
                  </c:pt>
                  <c:pt idx="9">
                    <c:v>0.34</c:v>
                  </c:pt>
                </c:numCache>
              </c:numRef>
            </c:plus>
            <c:minus>
              <c:numRef>
                <c:f>'antioxidant activity'!$D$16:$D$25</c:f>
                <c:numCache>
                  <c:formatCode>General</c:formatCode>
                  <c:ptCount val="10"/>
                  <c:pt idx="0">
                    <c:v>0.42</c:v>
                  </c:pt>
                  <c:pt idx="1">
                    <c:v>0.96</c:v>
                  </c:pt>
                  <c:pt idx="2">
                    <c:v>0.54</c:v>
                  </c:pt>
                  <c:pt idx="3">
                    <c:v>0.56000000000000005</c:v>
                  </c:pt>
                  <c:pt idx="4">
                    <c:v>0.21</c:v>
                  </c:pt>
                  <c:pt idx="5">
                    <c:v>0.22</c:v>
                  </c:pt>
                  <c:pt idx="6">
                    <c:v>0.45</c:v>
                  </c:pt>
                  <c:pt idx="7">
                    <c:v>0.33</c:v>
                  </c:pt>
                  <c:pt idx="8">
                    <c:v>0.37</c:v>
                  </c:pt>
                  <c:pt idx="9">
                    <c:v>0.34</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activity'!$I$4:$S$4</c:f>
              <c:numCache>
                <c:formatCode>General</c:formatCode>
                <c:ptCount val="11"/>
                <c:pt idx="0">
                  <c:v>11.86</c:v>
                </c:pt>
                <c:pt idx="1">
                  <c:v>12.97</c:v>
                </c:pt>
                <c:pt idx="2">
                  <c:v>13.5</c:v>
                </c:pt>
                <c:pt idx="3">
                  <c:v>13.9</c:v>
                </c:pt>
                <c:pt idx="4">
                  <c:v>13.17</c:v>
                </c:pt>
                <c:pt idx="5">
                  <c:v>13.23</c:v>
                </c:pt>
                <c:pt idx="6">
                  <c:v>13.34</c:v>
                </c:pt>
                <c:pt idx="7">
                  <c:v>14.07</c:v>
                </c:pt>
                <c:pt idx="8">
                  <c:v>14.5</c:v>
                </c:pt>
                <c:pt idx="9">
                  <c:v>14.9</c:v>
                </c:pt>
              </c:numCache>
            </c:numRef>
          </c:val>
          <c:smooth val="0"/>
          <c:extLst>
            <c:ext xmlns:c16="http://schemas.microsoft.com/office/drawing/2014/chart" uri="{C3380CC4-5D6E-409C-BE32-E72D297353CC}">
              <c16:uniqueId val="{00000001-A291-4C52-97DA-51F4B9F8C601}"/>
            </c:ext>
          </c:extLst>
        </c:ser>
        <c:ser>
          <c:idx val="2"/>
          <c:order val="2"/>
          <c:tx>
            <c:strRef>
              <c:f>'antioxidant activity'!$H$5</c:f>
              <c:strCache>
                <c:ptCount val="1"/>
                <c:pt idx="0">
                  <c:v>Pant Sugandh21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'antioxidant activity'!$E$16:$E$25</c:f>
                <c:numCache>
                  <c:formatCode>General</c:formatCode>
                  <c:ptCount val="10"/>
                  <c:pt idx="0">
                    <c:v>1</c:v>
                  </c:pt>
                  <c:pt idx="1">
                    <c:v>0.59</c:v>
                  </c:pt>
                  <c:pt idx="2">
                    <c:v>0.53</c:v>
                  </c:pt>
                  <c:pt idx="3">
                    <c:v>0.48</c:v>
                  </c:pt>
                  <c:pt idx="4">
                    <c:v>0.98</c:v>
                  </c:pt>
                  <c:pt idx="5">
                    <c:v>0.76</c:v>
                  </c:pt>
                  <c:pt idx="6">
                    <c:v>0.56000000000000005</c:v>
                  </c:pt>
                  <c:pt idx="7">
                    <c:v>0.44</c:v>
                  </c:pt>
                  <c:pt idx="8">
                    <c:v>0.51</c:v>
                  </c:pt>
                  <c:pt idx="9">
                    <c:v>0.54</c:v>
                  </c:pt>
                </c:numCache>
              </c:numRef>
            </c:plus>
            <c:minus>
              <c:numRef>
                <c:f>'antioxidant activity'!$E$16:$E$25</c:f>
                <c:numCache>
                  <c:formatCode>General</c:formatCode>
                  <c:ptCount val="10"/>
                  <c:pt idx="0">
                    <c:v>1</c:v>
                  </c:pt>
                  <c:pt idx="1">
                    <c:v>0.59</c:v>
                  </c:pt>
                  <c:pt idx="2">
                    <c:v>0.53</c:v>
                  </c:pt>
                  <c:pt idx="3">
                    <c:v>0.48</c:v>
                  </c:pt>
                  <c:pt idx="4">
                    <c:v>0.98</c:v>
                  </c:pt>
                  <c:pt idx="5">
                    <c:v>0.76</c:v>
                  </c:pt>
                  <c:pt idx="6">
                    <c:v>0.56000000000000005</c:v>
                  </c:pt>
                  <c:pt idx="7">
                    <c:v>0.44</c:v>
                  </c:pt>
                  <c:pt idx="8">
                    <c:v>0.51</c:v>
                  </c:pt>
                  <c:pt idx="9">
                    <c:v>0.54</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activity'!$I$5:$S$5</c:f>
              <c:numCache>
                <c:formatCode>General</c:formatCode>
                <c:ptCount val="11"/>
                <c:pt idx="0">
                  <c:v>8.0399999999999991</c:v>
                </c:pt>
                <c:pt idx="1">
                  <c:v>9.18</c:v>
                </c:pt>
                <c:pt idx="2">
                  <c:v>9.23</c:v>
                </c:pt>
                <c:pt idx="3">
                  <c:v>9.4499999999999993</c:v>
                </c:pt>
                <c:pt idx="4">
                  <c:v>9.4700000000000006</c:v>
                </c:pt>
                <c:pt idx="5">
                  <c:v>9.5399999999999991</c:v>
                </c:pt>
                <c:pt idx="6">
                  <c:v>9.76</c:v>
                </c:pt>
                <c:pt idx="7">
                  <c:v>10.199999999999999</c:v>
                </c:pt>
                <c:pt idx="8">
                  <c:v>10.34</c:v>
                </c:pt>
                <c:pt idx="9">
                  <c:v>10.54</c:v>
                </c:pt>
              </c:numCache>
            </c:numRef>
          </c:val>
          <c:smooth val="0"/>
          <c:extLst>
            <c:ext xmlns:c16="http://schemas.microsoft.com/office/drawing/2014/chart" uri="{C3380CC4-5D6E-409C-BE32-E72D297353CC}">
              <c16:uniqueId val="{00000002-A291-4C52-97DA-51F4B9F8C601}"/>
            </c:ext>
          </c:extLst>
        </c:ser>
        <c:ser>
          <c:idx val="3"/>
          <c:order val="3"/>
          <c:tx>
            <c:strRef>
              <c:f>'antioxidant activity'!$H$6</c:f>
              <c:strCache>
                <c:ptCount val="1"/>
                <c:pt idx="0">
                  <c:v>CSR36</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'antioxidant activity'!$F$16:$F$25</c:f>
                <c:numCache>
                  <c:formatCode>General</c:formatCode>
                  <c:ptCount val="10"/>
                  <c:pt idx="0">
                    <c:v>1.57</c:v>
                  </c:pt>
                  <c:pt idx="1">
                    <c:v>0.83</c:v>
                  </c:pt>
                  <c:pt idx="2">
                    <c:v>0.56000000000000005</c:v>
                  </c:pt>
                  <c:pt idx="3">
                    <c:v>0.67</c:v>
                  </c:pt>
                  <c:pt idx="4">
                    <c:v>0.57999999999999996</c:v>
                  </c:pt>
                  <c:pt idx="5">
                    <c:v>0.64</c:v>
                  </c:pt>
                  <c:pt idx="6">
                    <c:v>0.56000000000000005</c:v>
                  </c:pt>
                  <c:pt idx="7">
                    <c:v>0.28000000000000003</c:v>
                  </c:pt>
                  <c:pt idx="8">
                    <c:v>0.32</c:v>
                  </c:pt>
                  <c:pt idx="9">
                    <c:v>0.37</c:v>
                  </c:pt>
                </c:numCache>
              </c:numRef>
            </c:plus>
            <c:minus>
              <c:numRef>
                <c:f>'antioxidant activity'!$F$16:$F$25</c:f>
                <c:numCache>
                  <c:formatCode>General</c:formatCode>
                  <c:ptCount val="10"/>
                  <c:pt idx="0">
                    <c:v>1.57</c:v>
                  </c:pt>
                  <c:pt idx="1">
                    <c:v>0.83</c:v>
                  </c:pt>
                  <c:pt idx="2">
                    <c:v>0.56000000000000005</c:v>
                  </c:pt>
                  <c:pt idx="3">
                    <c:v>0.67</c:v>
                  </c:pt>
                  <c:pt idx="4">
                    <c:v>0.57999999999999996</c:v>
                  </c:pt>
                  <c:pt idx="5">
                    <c:v>0.64</c:v>
                  </c:pt>
                  <c:pt idx="6">
                    <c:v>0.56000000000000005</c:v>
                  </c:pt>
                  <c:pt idx="7">
                    <c:v>0.28000000000000003</c:v>
                  </c:pt>
                  <c:pt idx="8">
                    <c:v>0.32</c:v>
                  </c:pt>
                  <c:pt idx="9">
                    <c:v>0.37</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activity'!$I$6:$S$6</c:f>
              <c:numCache>
                <c:formatCode>General</c:formatCode>
                <c:ptCount val="11"/>
                <c:pt idx="0">
                  <c:v>16.5</c:v>
                </c:pt>
                <c:pt idx="1">
                  <c:v>17.190000000000001</c:v>
                </c:pt>
                <c:pt idx="2">
                  <c:v>17.3</c:v>
                </c:pt>
                <c:pt idx="3">
                  <c:v>17.670000000000002</c:v>
                </c:pt>
                <c:pt idx="4">
                  <c:v>18.53</c:v>
                </c:pt>
                <c:pt idx="5">
                  <c:v>18.600000000000001</c:v>
                </c:pt>
                <c:pt idx="6">
                  <c:v>18.899999999999999</c:v>
                </c:pt>
                <c:pt idx="7">
                  <c:v>19.18</c:v>
                </c:pt>
                <c:pt idx="8">
                  <c:v>19.2</c:v>
                </c:pt>
                <c:pt idx="9">
                  <c:v>19.87</c:v>
                </c:pt>
              </c:numCache>
            </c:numRef>
          </c:val>
          <c:smooth val="0"/>
          <c:extLst>
            <c:ext xmlns:c16="http://schemas.microsoft.com/office/drawing/2014/chart" uri="{C3380CC4-5D6E-409C-BE32-E72D297353CC}">
              <c16:uniqueId val="{00000003-A291-4C52-97DA-51F4B9F8C601}"/>
            </c:ext>
          </c:extLst>
        </c:ser>
        <c:dLbls>
          <c:showLegendKey val="0"/>
          <c:showVal val="0"/>
          <c:showCatName val="0"/>
          <c:showSerName val="0"/>
          <c:showPercent val="0"/>
          <c:showBubbleSize val="0"/>
        </c:dLbls>
        <c:marker val="1"/>
        <c:smooth val="0"/>
        <c:axId val="2056092703"/>
        <c:axId val="2043490431"/>
      </c:lineChart>
      <c:catAx>
        <c:axId val="2056092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43490431"/>
        <c:crosses val="autoZero"/>
        <c:auto val="1"/>
        <c:lblAlgn val="ctr"/>
        <c:lblOffset val="100"/>
        <c:noMultiLvlLbl val="0"/>
      </c:catAx>
      <c:valAx>
        <c:axId val="20434904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56092703"/>
        <c:crosses val="autoZero"/>
        <c:crossBetween val="between"/>
      </c:valAx>
      <c:spPr>
        <a:noFill/>
        <a:ln>
          <a:noFill/>
        </a:ln>
        <a:effectLst/>
      </c:spPr>
    </c:plotArea>
    <c:legend>
      <c:legendPos val="b"/>
      <c:layout>
        <c:manualLayout>
          <c:xMode val="edge"/>
          <c:yMode val="edge"/>
          <c:x val="4.7574315043449403E-2"/>
          <c:y val="0.89239754756759404"/>
          <c:w val="0.87575865705608502"/>
          <c:h val="6.28847330360955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618ce84-ebca-4fce-8dbe-4cac3ba803f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Info spid="_x0000_s1035"/>
    <customShpInfo spid="_x0000_s1036"/>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5260</Words>
  <Characters>29982</Characters>
  <Application>Microsoft Office Word</Application>
  <DocSecurity>0</DocSecurity>
  <Lines>249</Lines>
  <Paragraphs>70</Paragraphs>
  <ScaleCrop>false</ScaleCrop>
  <Company/>
  <LinksUpToDate>false</LinksUpToDate>
  <CharactersWithSpaces>35172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8B-3794-SAKSHAM BAUNTHIYAL</dc:creator>
  <cp:lastModifiedBy>SDI 1183</cp:lastModifiedBy>
  <cp:revision>53</cp:revision>
  <dcterms:created xsi:type="dcterms:W3CDTF">2025-05-25T16:12:00Z</dcterms:created>
  <dcterms:modified xsi:type="dcterms:W3CDTF">2025-06-14T07:25:00Z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4DB664B9DC804EC1B513BECFB2696C24_13</vt:lpwstr>
  </property>
</Properties>
</file>