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2C546" w14:textId="703C7AD3" w:rsidR="00E02F19" w:rsidRPr="003C7367" w:rsidRDefault="00E02F19" w:rsidP="00C11C38">
      <w:pPr>
        <w:spacing w:line="360" w:lineRule="auto"/>
        <w:jc w:val="center"/>
        <w:rPr>
          <w:rFonts w:ascii="Times New Roman" w:hAnsi="Times New Roman" w:cs="Times New Roman"/>
          <w:b/>
          <w:bCs/>
          <w:i/>
          <w:iCs/>
          <w:sz w:val="28"/>
          <w:szCs w:val="28"/>
        </w:rPr>
      </w:pPr>
      <w:bookmarkStart w:id="0" w:name="_Hlk200024073"/>
      <w:bookmarkEnd w:id="0"/>
      <w:r w:rsidRPr="003C7367">
        <w:rPr>
          <w:rFonts w:ascii="Times New Roman" w:hAnsi="Times New Roman" w:cs="Times New Roman"/>
          <w:b/>
          <w:bCs/>
          <w:sz w:val="28"/>
          <w:szCs w:val="28"/>
        </w:rPr>
        <w:t xml:space="preserve">Biological Control of Southern Blight in Tomato </w:t>
      </w:r>
      <w:r w:rsidR="00602ECC">
        <w:rPr>
          <w:rFonts w:ascii="Times New Roman" w:hAnsi="Times New Roman" w:cs="Times New Roman"/>
          <w:b/>
          <w:bCs/>
          <w:sz w:val="28"/>
          <w:szCs w:val="28"/>
        </w:rPr>
        <w:t xml:space="preserve">Caused by </w:t>
      </w:r>
      <w:r w:rsidR="00602ECC" w:rsidRPr="003C7367">
        <w:rPr>
          <w:rFonts w:ascii="Times New Roman" w:hAnsi="Times New Roman" w:cs="Times New Roman"/>
          <w:b/>
          <w:bCs/>
          <w:i/>
          <w:iCs/>
          <w:sz w:val="28"/>
          <w:szCs w:val="28"/>
        </w:rPr>
        <w:t>Sclerotium rolfsii</w:t>
      </w:r>
      <w:r w:rsidR="00602ECC">
        <w:rPr>
          <w:rFonts w:ascii="Times New Roman" w:hAnsi="Times New Roman" w:cs="Times New Roman"/>
          <w:b/>
          <w:bCs/>
          <w:i/>
          <w:iCs/>
          <w:sz w:val="28"/>
          <w:szCs w:val="28"/>
        </w:rPr>
        <w:t xml:space="preserve"> </w:t>
      </w:r>
      <w:r w:rsidR="00602ECC">
        <w:rPr>
          <w:rFonts w:ascii="Times New Roman" w:hAnsi="Times New Roman" w:cs="Times New Roman"/>
          <w:b/>
          <w:bCs/>
          <w:sz w:val="28"/>
          <w:szCs w:val="28"/>
        </w:rPr>
        <w:t>u</w:t>
      </w:r>
      <w:r w:rsidRPr="003C7367">
        <w:rPr>
          <w:rFonts w:ascii="Times New Roman" w:hAnsi="Times New Roman" w:cs="Times New Roman"/>
          <w:b/>
          <w:bCs/>
          <w:sz w:val="28"/>
          <w:szCs w:val="28"/>
        </w:rPr>
        <w:t xml:space="preserve">sing </w:t>
      </w:r>
      <w:r w:rsidRPr="003C7367">
        <w:rPr>
          <w:rFonts w:ascii="Times New Roman" w:hAnsi="Times New Roman" w:cs="Times New Roman"/>
          <w:b/>
          <w:bCs/>
          <w:i/>
          <w:iCs/>
          <w:sz w:val="28"/>
          <w:szCs w:val="28"/>
        </w:rPr>
        <w:t>Trichoderma</w:t>
      </w:r>
      <w:r w:rsidRPr="003C7367">
        <w:rPr>
          <w:rFonts w:ascii="Times New Roman" w:hAnsi="Times New Roman" w:cs="Times New Roman"/>
          <w:b/>
          <w:bCs/>
          <w:sz w:val="28"/>
          <w:szCs w:val="28"/>
        </w:rPr>
        <w:t xml:space="preserve"> spp.</w:t>
      </w:r>
      <w:r w:rsidR="00602ECC">
        <w:rPr>
          <w:rFonts w:ascii="Times New Roman" w:hAnsi="Times New Roman" w:cs="Times New Roman"/>
          <w:b/>
          <w:bCs/>
          <w:sz w:val="28"/>
          <w:szCs w:val="28"/>
        </w:rPr>
        <w:t xml:space="preserve"> under </w:t>
      </w:r>
      <w:r w:rsidRPr="003C7367">
        <w:rPr>
          <w:rFonts w:ascii="Times New Roman" w:hAnsi="Times New Roman" w:cs="Times New Roman"/>
          <w:b/>
          <w:bCs/>
          <w:sz w:val="28"/>
          <w:szCs w:val="28"/>
        </w:rPr>
        <w:t>In</w:t>
      </w:r>
      <w:r w:rsidR="00602ECC">
        <w:rPr>
          <w:rFonts w:ascii="Times New Roman" w:hAnsi="Times New Roman" w:cs="Times New Roman"/>
          <w:b/>
          <w:bCs/>
          <w:sz w:val="28"/>
          <w:szCs w:val="28"/>
        </w:rPr>
        <w:t>-</w:t>
      </w:r>
      <w:r w:rsidRPr="003C7367">
        <w:rPr>
          <w:rFonts w:ascii="Times New Roman" w:hAnsi="Times New Roman" w:cs="Times New Roman"/>
          <w:b/>
          <w:bCs/>
          <w:sz w:val="28"/>
          <w:szCs w:val="28"/>
        </w:rPr>
        <w:t>Vitro and In</w:t>
      </w:r>
      <w:r w:rsidR="00602ECC">
        <w:rPr>
          <w:rFonts w:ascii="Times New Roman" w:hAnsi="Times New Roman" w:cs="Times New Roman"/>
          <w:b/>
          <w:bCs/>
          <w:sz w:val="28"/>
          <w:szCs w:val="28"/>
        </w:rPr>
        <w:t>-</w:t>
      </w:r>
      <w:r w:rsidRPr="003C7367">
        <w:rPr>
          <w:rFonts w:ascii="Times New Roman" w:hAnsi="Times New Roman" w:cs="Times New Roman"/>
          <w:b/>
          <w:bCs/>
          <w:sz w:val="28"/>
          <w:szCs w:val="28"/>
        </w:rPr>
        <w:t xml:space="preserve">Vivo </w:t>
      </w:r>
      <w:r w:rsidR="00602ECC">
        <w:rPr>
          <w:rFonts w:ascii="Times New Roman" w:hAnsi="Times New Roman" w:cs="Times New Roman"/>
          <w:b/>
          <w:bCs/>
          <w:sz w:val="28"/>
          <w:szCs w:val="28"/>
        </w:rPr>
        <w:t xml:space="preserve">Conditions </w:t>
      </w:r>
    </w:p>
    <w:p w14:paraId="46C2874D" w14:textId="77777777" w:rsidR="00E02F19" w:rsidRPr="00E02F19" w:rsidRDefault="00E02F19" w:rsidP="00C11C38">
      <w:pPr>
        <w:spacing w:line="360" w:lineRule="auto"/>
        <w:jc w:val="center"/>
        <w:rPr>
          <w:rFonts w:ascii="Times New Roman" w:hAnsi="Times New Roman" w:cs="Times New Roman"/>
          <w:b/>
          <w:bCs/>
          <w:sz w:val="28"/>
          <w:szCs w:val="28"/>
        </w:rPr>
      </w:pPr>
    </w:p>
    <w:p w14:paraId="2036BC23" w14:textId="1933C42A" w:rsidR="00E02F19" w:rsidRP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b/>
          <w:bCs/>
          <w:sz w:val="24"/>
          <w:szCs w:val="24"/>
        </w:rPr>
        <w:t>ABSTRACT</w:t>
      </w:r>
      <w:r w:rsidRPr="00E02F19">
        <w:rPr>
          <w:rFonts w:ascii="Times New Roman" w:hAnsi="Times New Roman" w:cs="Times New Roman"/>
          <w:b/>
          <w:bCs/>
          <w:sz w:val="24"/>
          <w:szCs w:val="24"/>
        </w:rPr>
        <w:br/>
      </w:r>
      <w:r w:rsidRPr="00E02F19">
        <w:rPr>
          <w:rFonts w:ascii="Times New Roman" w:hAnsi="Times New Roman" w:cs="Times New Roman"/>
          <w:sz w:val="24"/>
          <w:szCs w:val="24"/>
        </w:rPr>
        <w:t>Tomato (</w:t>
      </w:r>
      <w:r w:rsidRPr="00E02F19">
        <w:rPr>
          <w:rFonts w:ascii="Times New Roman" w:hAnsi="Times New Roman" w:cs="Times New Roman"/>
          <w:i/>
          <w:iCs/>
          <w:sz w:val="24"/>
          <w:szCs w:val="24"/>
        </w:rPr>
        <w:t>Solanum lycopersicum</w:t>
      </w:r>
      <w:r w:rsidRPr="00E02F19">
        <w:rPr>
          <w:rFonts w:ascii="Times New Roman" w:hAnsi="Times New Roman" w:cs="Times New Roman"/>
          <w:sz w:val="24"/>
          <w:szCs w:val="24"/>
        </w:rPr>
        <w:t xml:space="preserve"> L.) is a globally important crop often affected by southern blight, caused by the soil-borne fungus </w:t>
      </w:r>
      <w:r w:rsidRPr="00E02F19">
        <w:rPr>
          <w:rFonts w:ascii="Times New Roman" w:hAnsi="Times New Roman" w:cs="Times New Roman"/>
          <w:i/>
          <w:iCs/>
          <w:sz w:val="24"/>
          <w:szCs w:val="24"/>
        </w:rPr>
        <w:t>Sclerotium rolfsii</w:t>
      </w:r>
      <w:r w:rsidRPr="00E02F19">
        <w:rPr>
          <w:rFonts w:ascii="Times New Roman" w:hAnsi="Times New Roman" w:cs="Times New Roman"/>
          <w:sz w:val="24"/>
          <w:szCs w:val="24"/>
        </w:rPr>
        <w:t xml:space="preserve">, leading to significant yield losses. Conventional management using chemical fungicides faces challenges including pathogen resistance and environmental hazards, necessitating sustainable alternatives. This study evaluated the biocontrol potential of three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species (</w:t>
      </w:r>
      <w:r w:rsidRPr="00E02F19">
        <w:rPr>
          <w:rFonts w:ascii="Times New Roman" w:hAnsi="Times New Roman" w:cs="Times New Roman"/>
          <w:i/>
          <w:iCs/>
          <w:sz w:val="24"/>
          <w:szCs w:val="24"/>
        </w:rPr>
        <w:t>T. harzianum</w:t>
      </w:r>
      <w:r w:rsidRPr="00E02F19">
        <w:rPr>
          <w:rFonts w:ascii="Times New Roman" w:hAnsi="Times New Roman" w:cs="Times New Roman"/>
          <w:sz w:val="24"/>
          <w:szCs w:val="24"/>
        </w:rPr>
        <w:t xml:space="preserve">,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and </w:t>
      </w:r>
      <w:r w:rsidRPr="00E02F19">
        <w:rPr>
          <w:rFonts w:ascii="Times New Roman" w:hAnsi="Times New Roman" w:cs="Times New Roman"/>
          <w:i/>
          <w:iCs/>
          <w:sz w:val="24"/>
          <w:szCs w:val="24"/>
        </w:rPr>
        <w:t>T. asperellum</w:t>
      </w:r>
      <w:r w:rsidRPr="00E02F19">
        <w:rPr>
          <w:rFonts w:ascii="Times New Roman" w:hAnsi="Times New Roman" w:cs="Times New Roman"/>
          <w:sz w:val="24"/>
          <w:szCs w:val="24"/>
        </w:rPr>
        <w:t xml:space="preserve">) against </w:t>
      </w:r>
      <w:r w:rsidRPr="00E02F19">
        <w:rPr>
          <w:rFonts w:ascii="Times New Roman" w:hAnsi="Times New Roman" w:cs="Times New Roman"/>
          <w:i/>
          <w:iCs/>
          <w:sz w:val="24"/>
          <w:szCs w:val="24"/>
        </w:rPr>
        <w:t>S. rolfsii</w:t>
      </w:r>
      <w:r w:rsidRPr="00E02F19">
        <w:rPr>
          <w:rFonts w:ascii="Times New Roman" w:hAnsi="Times New Roman" w:cs="Times New Roman"/>
          <w:sz w:val="24"/>
          <w:szCs w:val="24"/>
        </w:rPr>
        <w:t xml:space="preserve"> under laboratory and greenhouse conditions. In vitro dual culture assays demonstrated significant inhibition of pathogen mycelial growth, with </w:t>
      </w:r>
      <w:r w:rsidRPr="00E02F19">
        <w:rPr>
          <w:rFonts w:ascii="Times New Roman" w:hAnsi="Times New Roman" w:cs="Times New Roman"/>
          <w:i/>
          <w:iCs/>
          <w:sz w:val="24"/>
          <w:szCs w:val="24"/>
        </w:rPr>
        <w:t>T. harzianum</w:t>
      </w:r>
      <w:r w:rsidRPr="00E02F19">
        <w:rPr>
          <w:rFonts w:ascii="Times New Roman" w:hAnsi="Times New Roman" w:cs="Times New Roman"/>
          <w:sz w:val="24"/>
          <w:szCs w:val="24"/>
        </w:rPr>
        <w:t xml:space="preserve"> showing the highest antagonistic effect (64.95% inhibition), followed by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and </w:t>
      </w:r>
      <w:r w:rsidRPr="00E02F19">
        <w:rPr>
          <w:rFonts w:ascii="Times New Roman" w:hAnsi="Times New Roman" w:cs="Times New Roman"/>
          <w:i/>
          <w:iCs/>
          <w:sz w:val="24"/>
          <w:szCs w:val="24"/>
        </w:rPr>
        <w:t>T. asperellum</w:t>
      </w:r>
      <w:r w:rsidRPr="00E02F19">
        <w:rPr>
          <w:rFonts w:ascii="Times New Roman" w:hAnsi="Times New Roman" w:cs="Times New Roman"/>
          <w:sz w:val="24"/>
          <w:szCs w:val="24"/>
        </w:rPr>
        <w:t xml:space="preserve">. Subsequent pot experiments assessed disease incidence and plant growth parameters in tomato plants challenged with </w:t>
      </w:r>
      <w:r w:rsidRPr="00E02F19">
        <w:rPr>
          <w:rFonts w:ascii="Times New Roman" w:hAnsi="Times New Roman" w:cs="Times New Roman"/>
          <w:i/>
          <w:iCs/>
          <w:sz w:val="24"/>
          <w:szCs w:val="24"/>
        </w:rPr>
        <w:t>S. rolfsii</w:t>
      </w:r>
      <w:r w:rsidRPr="00E02F19">
        <w:rPr>
          <w:rFonts w:ascii="Times New Roman" w:hAnsi="Times New Roman" w:cs="Times New Roman"/>
          <w:sz w:val="24"/>
          <w:szCs w:val="24"/>
        </w:rPr>
        <w:t xml:space="preserve">. All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treatments significantly reduced disease incidence compared to the inoculated control, with the combined application of all three species achieving the highest disease suppression (85.93%) comparable to the chemical fungicide mancozeb (92.85%). Moreover,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treatments enhanced plant growth, reflected in increased shoot and root lengths and biomass. These results highlight the efficacy of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spp. as eco-friendly biocontrol agents, capable of suppressing southern blight and promoting tomato growth. Integrating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bioagents offers a sustainable approach to managing </w:t>
      </w:r>
      <w:r w:rsidRPr="00E02F19">
        <w:rPr>
          <w:rFonts w:ascii="Times New Roman" w:hAnsi="Times New Roman" w:cs="Times New Roman"/>
          <w:i/>
          <w:iCs/>
          <w:sz w:val="24"/>
          <w:szCs w:val="24"/>
        </w:rPr>
        <w:t>S. rolfsii</w:t>
      </w:r>
      <w:r w:rsidRPr="00E02F19">
        <w:rPr>
          <w:rFonts w:ascii="Times New Roman" w:hAnsi="Times New Roman" w:cs="Times New Roman"/>
          <w:sz w:val="24"/>
          <w:szCs w:val="24"/>
        </w:rPr>
        <w:t>, reducing reliance on chemical fungicides and contributing to environmentally safe crop production.</w:t>
      </w:r>
    </w:p>
    <w:p w14:paraId="4891AB56" w14:textId="77777777" w:rsidR="00C11C38"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b/>
          <w:bCs/>
          <w:sz w:val="24"/>
          <w:szCs w:val="24"/>
        </w:rPr>
        <w:t>Keywords:</w:t>
      </w:r>
      <w:r w:rsidRPr="00E02F19">
        <w:rPr>
          <w:rFonts w:ascii="Times New Roman" w:hAnsi="Times New Roman" w:cs="Times New Roman"/>
          <w:b/>
          <w:bCs/>
          <w:sz w:val="24"/>
          <w:szCs w:val="24"/>
        </w:rPr>
        <w:br/>
      </w:r>
      <w:r w:rsidRPr="00E02F19">
        <w:rPr>
          <w:rFonts w:ascii="Times New Roman" w:hAnsi="Times New Roman" w:cs="Times New Roman"/>
          <w:sz w:val="24"/>
          <w:szCs w:val="24"/>
        </w:rPr>
        <w:t xml:space="preserve">Tomato, Southern blight, </w:t>
      </w:r>
      <w:r w:rsidRPr="00E02F19">
        <w:rPr>
          <w:rFonts w:ascii="Times New Roman" w:hAnsi="Times New Roman" w:cs="Times New Roman"/>
          <w:i/>
          <w:iCs/>
          <w:sz w:val="24"/>
          <w:szCs w:val="24"/>
        </w:rPr>
        <w:t>Sclerotium rolfsii</w:t>
      </w:r>
      <w:r w:rsidRPr="00E02F19">
        <w:rPr>
          <w:rFonts w:ascii="Times New Roman" w:hAnsi="Times New Roman" w:cs="Times New Roman"/>
          <w:sz w:val="24"/>
          <w:szCs w:val="24"/>
        </w:rPr>
        <w:t xml:space="preserve">,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spp., biological control, Disease suppression, Plant growth promotion</w:t>
      </w:r>
      <w:r>
        <w:rPr>
          <w:rFonts w:ascii="Times New Roman" w:hAnsi="Times New Roman" w:cs="Times New Roman"/>
          <w:sz w:val="24"/>
          <w:szCs w:val="24"/>
        </w:rPr>
        <w:t>.</w:t>
      </w:r>
    </w:p>
    <w:p w14:paraId="53DC56A6" w14:textId="77777777" w:rsidR="00C11C38" w:rsidRDefault="00C11C38" w:rsidP="00C11C38">
      <w:pPr>
        <w:spacing w:line="360" w:lineRule="auto"/>
        <w:jc w:val="both"/>
        <w:rPr>
          <w:rFonts w:ascii="Times New Roman" w:hAnsi="Times New Roman" w:cs="Times New Roman"/>
          <w:sz w:val="24"/>
          <w:szCs w:val="24"/>
        </w:rPr>
      </w:pPr>
    </w:p>
    <w:p w14:paraId="64A62628" w14:textId="601F0311" w:rsidR="00946804" w:rsidRPr="00C11C38" w:rsidRDefault="00C11C38" w:rsidP="00C11C38">
      <w:pPr>
        <w:spacing w:line="360" w:lineRule="auto"/>
        <w:jc w:val="both"/>
        <w:rPr>
          <w:rFonts w:ascii="Times New Roman" w:hAnsi="Times New Roman" w:cs="Times New Roman"/>
          <w:sz w:val="24"/>
          <w:szCs w:val="24"/>
        </w:rPr>
      </w:pPr>
      <w:r w:rsidRPr="00C11C38">
        <w:rPr>
          <w:rFonts w:ascii="Times New Roman" w:hAnsi="Times New Roman" w:cs="Times New Roman"/>
          <w:b/>
          <w:bCs/>
          <w:sz w:val="24"/>
          <w:szCs w:val="24"/>
        </w:rPr>
        <w:t>1.</w:t>
      </w:r>
      <w:r>
        <w:rPr>
          <w:rFonts w:ascii="Times New Roman" w:hAnsi="Times New Roman" w:cs="Times New Roman"/>
          <w:sz w:val="24"/>
          <w:szCs w:val="24"/>
        </w:rPr>
        <w:t xml:space="preserve"> </w:t>
      </w:r>
      <w:r w:rsidR="00946804" w:rsidRPr="00C11C38">
        <w:rPr>
          <w:rFonts w:ascii="Times New Roman" w:hAnsi="Times New Roman" w:cs="Times New Roman"/>
          <w:b/>
          <w:bCs/>
          <w:sz w:val="24"/>
          <w:szCs w:val="24"/>
        </w:rPr>
        <w:t>INTRODUCTION</w:t>
      </w:r>
    </w:p>
    <w:p w14:paraId="5512C34B" w14:textId="09072131" w:rsidR="00946804" w:rsidRPr="00946804" w:rsidRDefault="00946804" w:rsidP="00C11C38">
      <w:pPr>
        <w:spacing w:line="360" w:lineRule="auto"/>
        <w:jc w:val="both"/>
        <w:rPr>
          <w:rFonts w:ascii="Times New Roman" w:hAnsi="Times New Roman" w:cs="Times New Roman"/>
          <w:sz w:val="24"/>
          <w:szCs w:val="24"/>
        </w:rPr>
      </w:pPr>
      <w:r w:rsidRPr="00946804">
        <w:rPr>
          <w:rFonts w:ascii="Times New Roman" w:hAnsi="Times New Roman" w:cs="Times New Roman"/>
          <w:sz w:val="24"/>
          <w:szCs w:val="24"/>
        </w:rPr>
        <w:t>Tomato (</w:t>
      </w:r>
      <w:r w:rsidRPr="00946804">
        <w:rPr>
          <w:rFonts w:ascii="Times New Roman" w:hAnsi="Times New Roman" w:cs="Times New Roman"/>
          <w:i/>
          <w:iCs/>
          <w:sz w:val="24"/>
          <w:szCs w:val="24"/>
        </w:rPr>
        <w:t>Solanum lycopersicum</w:t>
      </w:r>
      <w:r w:rsidRPr="00946804">
        <w:rPr>
          <w:rFonts w:ascii="Times New Roman" w:hAnsi="Times New Roman" w:cs="Times New Roman"/>
          <w:sz w:val="24"/>
          <w:szCs w:val="24"/>
        </w:rPr>
        <w:t xml:space="preserve"> L.) is a major crop globally, valued for its rich nutritional content and economic importance. Its adaptability, short growing cycle, and high market demand have led to widespread cultivation, particularly in tropical and subtropical regions. However, tomato production is frequently threatened by various biotic stresses, especially soil-</w:t>
      </w:r>
      <w:r w:rsidRPr="00946804">
        <w:rPr>
          <w:rFonts w:ascii="Times New Roman" w:hAnsi="Times New Roman" w:cs="Times New Roman"/>
          <w:sz w:val="24"/>
          <w:szCs w:val="24"/>
        </w:rPr>
        <w:lastRenderedPageBreak/>
        <w:t>borne fungal pathogens</w:t>
      </w:r>
      <w:r w:rsidR="00DA3345">
        <w:rPr>
          <w:rFonts w:ascii="Times New Roman" w:hAnsi="Times New Roman" w:cs="Times New Roman"/>
          <w:sz w:val="24"/>
          <w:szCs w:val="24"/>
        </w:rPr>
        <w:t xml:space="preserve"> (</w:t>
      </w:r>
      <w:r w:rsidR="00DA3345" w:rsidRPr="00DA3345">
        <w:rPr>
          <w:rFonts w:ascii="Times New Roman" w:hAnsi="Times New Roman" w:cs="Times New Roman"/>
          <w:sz w:val="24"/>
          <w:szCs w:val="24"/>
          <w:lang w:val="en-GB"/>
        </w:rPr>
        <w:t>Singh and Jangre</w:t>
      </w:r>
      <w:r w:rsidR="00DA3345">
        <w:rPr>
          <w:rFonts w:ascii="Times New Roman" w:hAnsi="Times New Roman" w:cs="Times New Roman"/>
          <w:sz w:val="24"/>
          <w:szCs w:val="24"/>
        </w:rPr>
        <w:t>, 2022)</w:t>
      </w:r>
      <w:r w:rsidRPr="00946804">
        <w:rPr>
          <w:rFonts w:ascii="Times New Roman" w:hAnsi="Times New Roman" w:cs="Times New Roman"/>
          <w:sz w:val="24"/>
          <w:szCs w:val="24"/>
        </w:rPr>
        <w:t xml:space="preserve">. Among these, </w:t>
      </w:r>
      <w:r w:rsidRPr="00946804">
        <w:rPr>
          <w:rFonts w:ascii="Times New Roman" w:hAnsi="Times New Roman" w:cs="Times New Roman"/>
          <w:i/>
          <w:iCs/>
          <w:sz w:val="24"/>
          <w:szCs w:val="24"/>
        </w:rPr>
        <w:t>Sclerotium rolfsii</w:t>
      </w:r>
      <w:r w:rsidRPr="00946804">
        <w:rPr>
          <w:rFonts w:ascii="Times New Roman" w:hAnsi="Times New Roman" w:cs="Times New Roman"/>
          <w:sz w:val="24"/>
          <w:szCs w:val="24"/>
        </w:rPr>
        <w:t xml:space="preserve"> Sacc. is one of the most destructive, causing southern blight disease (Aycock, 1966; Punja, 19</w:t>
      </w:r>
      <w:r w:rsidR="004A7CEE">
        <w:rPr>
          <w:rFonts w:ascii="Times New Roman" w:hAnsi="Times New Roman" w:cs="Times New Roman"/>
          <w:sz w:val="24"/>
          <w:szCs w:val="24"/>
        </w:rPr>
        <w:t>97</w:t>
      </w:r>
      <w:r w:rsidRPr="00946804">
        <w:rPr>
          <w:rFonts w:ascii="Times New Roman" w:hAnsi="Times New Roman" w:cs="Times New Roman"/>
          <w:sz w:val="24"/>
          <w:szCs w:val="24"/>
        </w:rPr>
        <w:t>).</w:t>
      </w:r>
    </w:p>
    <w:p w14:paraId="4BDAEA43" w14:textId="49E3F129" w:rsidR="00946804" w:rsidRPr="00C677BC" w:rsidRDefault="00946804" w:rsidP="00C677BC">
      <w:pPr>
        <w:spacing w:line="360" w:lineRule="auto"/>
        <w:jc w:val="both"/>
      </w:pPr>
      <w:r w:rsidRPr="00946804">
        <w:rPr>
          <w:rFonts w:ascii="Times New Roman" w:hAnsi="Times New Roman" w:cs="Times New Roman"/>
          <w:sz w:val="24"/>
          <w:szCs w:val="24"/>
        </w:rPr>
        <w:t>Southern blight is marked by seedling damping-off, basal stem rot, wilting, and eventual plant death. The pathogen produces dense white mycelia and hard brown sclerotia, which enable it to survive in soil for extended periods even under unfavorable conditions (</w:t>
      </w:r>
      <w:r w:rsidR="00C677BC" w:rsidRPr="00C677BC">
        <w:rPr>
          <w:rFonts w:ascii="Times New Roman" w:hAnsi="Times New Roman" w:cs="Times New Roman"/>
          <w:sz w:val="24"/>
          <w:szCs w:val="24"/>
        </w:rPr>
        <w:t>Dwivedi</w:t>
      </w:r>
      <w:r w:rsidR="00C677BC">
        <w:t xml:space="preserve"> </w:t>
      </w:r>
      <w:r w:rsidR="00C677BC">
        <w:rPr>
          <w:rFonts w:ascii="Times New Roman" w:hAnsi="Times New Roman" w:cs="Times New Roman"/>
          <w:sz w:val="24"/>
          <w:szCs w:val="24"/>
        </w:rPr>
        <w:t>and</w:t>
      </w:r>
      <w:r w:rsidR="00C677BC" w:rsidRPr="00C677BC">
        <w:rPr>
          <w:rFonts w:ascii="Times New Roman" w:hAnsi="Times New Roman" w:cs="Times New Roman"/>
          <w:sz w:val="24"/>
          <w:szCs w:val="24"/>
        </w:rPr>
        <w:t xml:space="preserve"> Prasad</w:t>
      </w:r>
      <w:r w:rsidR="00C677BC">
        <w:rPr>
          <w:rFonts w:ascii="Times New Roman" w:hAnsi="Times New Roman" w:cs="Times New Roman"/>
          <w:sz w:val="24"/>
          <w:szCs w:val="24"/>
        </w:rPr>
        <w:t xml:space="preserve">, </w:t>
      </w:r>
      <w:r w:rsidR="0073383E">
        <w:rPr>
          <w:rFonts w:ascii="Times New Roman" w:hAnsi="Times New Roman" w:cs="Times New Roman"/>
          <w:sz w:val="24"/>
          <w:szCs w:val="24"/>
        </w:rPr>
        <w:t>2016</w:t>
      </w:r>
      <w:r w:rsidRPr="00946804">
        <w:rPr>
          <w:rFonts w:ascii="Times New Roman" w:hAnsi="Times New Roman" w:cs="Times New Roman"/>
          <w:sz w:val="24"/>
          <w:szCs w:val="24"/>
        </w:rPr>
        <w:t xml:space="preserve">). This persistence poses a serious challenge for disease management, making </w:t>
      </w:r>
      <w:r w:rsidRPr="00946804">
        <w:rPr>
          <w:rFonts w:ascii="Times New Roman" w:hAnsi="Times New Roman" w:cs="Times New Roman"/>
          <w:i/>
          <w:iCs/>
          <w:sz w:val="24"/>
          <w:szCs w:val="24"/>
        </w:rPr>
        <w:t>S. rolfsii</w:t>
      </w:r>
      <w:r w:rsidRPr="00946804">
        <w:rPr>
          <w:rFonts w:ascii="Times New Roman" w:hAnsi="Times New Roman" w:cs="Times New Roman"/>
          <w:sz w:val="24"/>
          <w:szCs w:val="24"/>
        </w:rPr>
        <w:t xml:space="preserve"> difficult to control using conventional agricultural practices</w:t>
      </w:r>
      <w:r w:rsidR="00916096">
        <w:rPr>
          <w:rFonts w:ascii="Times New Roman" w:hAnsi="Times New Roman" w:cs="Times New Roman"/>
          <w:sz w:val="24"/>
          <w:szCs w:val="24"/>
        </w:rPr>
        <w:t xml:space="preserve"> (</w:t>
      </w:r>
      <w:r w:rsidR="00916096" w:rsidRPr="00CA44DF">
        <w:rPr>
          <w:rFonts w:ascii="Times New Roman" w:hAnsi="Times New Roman" w:cs="Times New Roman"/>
          <w:sz w:val="24"/>
          <w:szCs w:val="24"/>
        </w:rPr>
        <w:t>Mahadevakumar</w:t>
      </w:r>
      <w:r w:rsidR="00916096">
        <w:rPr>
          <w:rFonts w:ascii="Times New Roman" w:hAnsi="Times New Roman" w:cs="Times New Roman"/>
          <w:sz w:val="24"/>
          <w:szCs w:val="24"/>
        </w:rPr>
        <w:t xml:space="preserve"> </w:t>
      </w:r>
      <w:r w:rsidR="00916096">
        <w:rPr>
          <w:rFonts w:ascii="Times New Roman" w:hAnsi="Times New Roman" w:cs="Times New Roman"/>
          <w:i/>
          <w:iCs/>
          <w:sz w:val="24"/>
          <w:szCs w:val="24"/>
        </w:rPr>
        <w:t xml:space="preserve">et al., </w:t>
      </w:r>
      <w:r w:rsidR="00916096">
        <w:rPr>
          <w:rFonts w:ascii="Times New Roman" w:hAnsi="Times New Roman" w:cs="Times New Roman"/>
          <w:sz w:val="24"/>
          <w:szCs w:val="24"/>
        </w:rPr>
        <w:t xml:space="preserve">2018; </w:t>
      </w:r>
      <w:r w:rsidR="00916096" w:rsidRPr="00916096">
        <w:rPr>
          <w:rFonts w:ascii="Times New Roman" w:hAnsi="Times New Roman" w:cs="Times New Roman"/>
          <w:sz w:val="24"/>
          <w:szCs w:val="24"/>
        </w:rPr>
        <w:t xml:space="preserve">Aljabali </w:t>
      </w:r>
      <w:r w:rsidR="00916096" w:rsidRPr="00916096">
        <w:rPr>
          <w:rFonts w:ascii="Times New Roman" w:hAnsi="Times New Roman" w:cs="Times New Roman"/>
          <w:i/>
          <w:iCs/>
          <w:sz w:val="24"/>
          <w:szCs w:val="24"/>
        </w:rPr>
        <w:t>et al.</w:t>
      </w:r>
      <w:r w:rsidR="00916096">
        <w:rPr>
          <w:rFonts w:ascii="Times New Roman" w:hAnsi="Times New Roman" w:cs="Times New Roman"/>
          <w:i/>
          <w:iCs/>
          <w:sz w:val="24"/>
          <w:szCs w:val="24"/>
        </w:rPr>
        <w:t xml:space="preserve">, </w:t>
      </w:r>
      <w:r w:rsidR="00916096">
        <w:rPr>
          <w:rFonts w:ascii="Times New Roman" w:hAnsi="Times New Roman" w:cs="Times New Roman"/>
          <w:sz w:val="24"/>
          <w:szCs w:val="24"/>
        </w:rPr>
        <w:t>2025)</w:t>
      </w:r>
      <w:r w:rsidRPr="00946804">
        <w:rPr>
          <w:rFonts w:ascii="Times New Roman" w:hAnsi="Times New Roman" w:cs="Times New Roman"/>
          <w:sz w:val="24"/>
          <w:szCs w:val="24"/>
        </w:rPr>
        <w:t>.</w:t>
      </w:r>
    </w:p>
    <w:p w14:paraId="55396956" w14:textId="37AE501F" w:rsidR="00946804" w:rsidRDefault="00946804" w:rsidP="00C11C38">
      <w:pPr>
        <w:spacing w:line="360" w:lineRule="auto"/>
        <w:jc w:val="both"/>
        <w:rPr>
          <w:rFonts w:ascii="Times New Roman" w:hAnsi="Times New Roman" w:cs="Times New Roman"/>
          <w:sz w:val="24"/>
          <w:szCs w:val="24"/>
        </w:rPr>
      </w:pPr>
      <w:r w:rsidRPr="00946804">
        <w:rPr>
          <w:rFonts w:ascii="Times New Roman" w:hAnsi="Times New Roman" w:cs="Times New Roman"/>
          <w:sz w:val="24"/>
          <w:szCs w:val="24"/>
        </w:rPr>
        <w:t>Chemical fungicides have long been used to manage soil-borne pathogens, offering rapid and broad-spectrum control. Despite their effectiveness, the overreliance on synthetic fungicides has led to significant issues, including the development of resistant pathogen strains, disruption of beneficial soil organisms, toxic residues in food, and environmental contamination (</w:t>
      </w:r>
      <w:r w:rsidR="004A7CEE" w:rsidRPr="004A7CEE">
        <w:rPr>
          <w:rFonts w:ascii="Times New Roman" w:hAnsi="Times New Roman" w:cs="Times New Roman"/>
          <w:sz w:val="24"/>
          <w:szCs w:val="24"/>
        </w:rPr>
        <w:t>Dethoup</w:t>
      </w:r>
      <w:r w:rsidRPr="00946804">
        <w:rPr>
          <w:rFonts w:ascii="Times New Roman" w:hAnsi="Times New Roman" w:cs="Times New Roman"/>
          <w:sz w:val="24"/>
          <w:szCs w:val="24"/>
        </w:rPr>
        <w:t xml:space="preserve">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20</w:t>
      </w:r>
      <w:r w:rsidR="004A7CEE">
        <w:rPr>
          <w:rFonts w:ascii="Times New Roman" w:hAnsi="Times New Roman" w:cs="Times New Roman"/>
          <w:sz w:val="24"/>
          <w:szCs w:val="24"/>
        </w:rPr>
        <w:t>22</w:t>
      </w:r>
      <w:r w:rsidRPr="00946804">
        <w:rPr>
          <w:rFonts w:ascii="Times New Roman" w:hAnsi="Times New Roman" w:cs="Times New Roman"/>
          <w:sz w:val="24"/>
          <w:szCs w:val="24"/>
        </w:rPr>
        <w:t xml:space="preserve">; </w:t>
      </w:r>
      <w:r w:rsidR="004A7CEE" w:rsidRPr="004A7CEE">
        <w:rPr>
          <w:rFonts w:ascii="Times New Roman" w:hAnsi="Times New Roman" w:cs="Times New Roman"/>
          <w:sz w:val="24"/>
          <w:szCs w:val="24"/>
        </w:rPr>
        <w:t>Hollomon</w:t>
      </w:r>
      <w:r w:rsidRPr="00946804">
        <w:rPr>
          <w:rFonts w:ascii="Times New Roman" w:hAnsi="Times New Roman" w:cs="Times New Roman"/>
          <w:sz w:val="24"/>
          <w:szCs w:val="24"/>
        </w:rPr>
        <w:t xml:space="preserve">, 2015). Additionally, fungicides often fail to eliminate </w:t>
      </w:r>
      <w:r w:rsidRPr="00946804">
        <w:rPr>
          <w:rFonts w:ascii="Times New Roman" w:hAnsi="Times New Roman" w:cs="Times New Roman"/>
          <w:i/>
          <w:iCs/>
          <w:sz w:val="24"/>
          <w:szCs w:val="24"/>
        </w:rPr>
        <w:t>S. rolfsii</w:t>
      </w:r>
      <w:r w:rsidRPr="00946804">
        <w:rPr>
          <w:rFonts w:ascii="Times New Roman" w:hAnsi="Times New Roman" w:cs="Times New Roman"/>
          <w:sz w:val="24"/>
          <w:szCs w:val="24"/>
        </w:rPr>
        <w:t xml:space="preserve"> entirely due to the pathogen’s sclerotia-based survival.</w:t>
      </w:r>
      <w:r>
        <w:rPr>
          <w:rFonts w:ascii="Times New Roman" w:hAnsi="Times New Roman" w:cs="Times New Roman"/>
          <w:sz w:val="24"/>
          <w:szCs w:val="24"/>
        </w:rPr>
        <w:t xml:space="preserve"> </w:t>
      </w:r>
      <w:r w:rsidRPr="00946804">
        <w:rPr>
          <w:rFonts w:ascii="Times New Roman" w:hAnsi="Times New Roman" w:cs="Times New Roman"/>
          <w:sz w:val="24"/>
          <w:szCs w:val="24"/>
        </w:rPr>
        <w:t>Other management strategies—such as crop rotation, sanitation, use of organic amendments, and resistant cultivars—have shown inconsistent results. Although breeding for resistant tomato varieties is a preferred solution, its success is hindered by the scarcity of resistant genotypes and the rapid evolution of virulent strains (</w:t>
      </w:r>
      <w:r w:rsidR="000623C9" w:rsidRPr="000623C9">
        <w:rPr>
          <w:rFonts w:ascii="Times New Roman" w:hAnsi="Times New Roman" w:cs="Times New Roman"/>
          <w:sz w:val="24"/>
          <w:szCs w:val="24"/>
        </w:rPr>
        <w:t>Martínez-Ramírez</w:t>
      </w:r>
      <w:r w:rsidRPr="00946804">
        <w:rPr>
          <w:rFonts w:ascii="Times New Roman" w:hAnsi="Times New Roman" w:cs="Times New Roman"/>
          <w:sz w:val="24"/>
          <w:szCs w:val="24"/>
        </w:rPr>
        <w:t xml:space="preserve">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201</w:t>
      </w:r>
      <w:r w:rsidR="000623C9">
        <w:rPr>
          <w:rFonts w:ascii="Times New Roman" w:hAnsi="Times New Roman" w:cs="Times New Roman"/>
          <w:sz w:val="24"/>
          <w:szCs w:val="24"/>
        </w:rPr>
        <w:t>5</w:t>
      </w:r>
      <w:r w:rsidRPr="00946804">
        <w:rPr>
          <w:rFonts w:ascii="Times New Roman" w:hAnsi="Times New Roman" w:cs="Times New Roman"/>
          <w:sz w:val="24"/>
          <w:szCs w:val="24"/>
        </w:rPr>
        <w:t>).</w:t>
      </w:r>
      <w:r>
        <w:rPr>
          <w:rFonts w:ascii="Times New Roman" w:hAnsi="Times New Roman" w:cs="Times New Roman"/>
          <w:sz w:val="24"/>
          <w:szCs w:val="24"/>
        </w:rPr>
        <w:t xml:space="preserve"> </w:t>
      </w:r>
    </w:p>
    <w:p w14:paraId="665C38EB" w14:textId="43A29A93" w:rsidR="00946804" w:rsidRPr="00946804" w:rsidRDefault="00946804" w:rsidP="00C11C38">
      <w:pPr>
        <w:spacing w:line="360" w:lineRule="auto"/>
        <w:jc w:val="both"/>
        <w:rPr>
          <w:rFonts w:ascii="Times New Roman" w:hAnsi="Times New Roman" w:cs="Times New Roman"/>
          <w:sz w:val="24"/>
          <w:szCs w:val="24"/>
        </w:rPr>
      </w:pPr>
      <w:r w:rsidRPr="00946804">
        <w:rPr>
          <w:rFonts w:ascii="Times New Roman" w:hAnsi="Times New Roman" w:cs="Times New Roman"/>
          <w:sz w:val="24"/>
          <w:szCs w:val="24"/>
        </w:rPr>
        <w:t xml:space="preserve">Given the limitations of chemical and traditional control measures, current research emphasizes sustainable, eco-friendly alternatives. Biological control has emerged as a promising strategy, offering effective disease suppression without harming the environment. Among microbial biocontrol agents (BCAs), </w:t>
      </w:r>
      <w:r w:rsidRPr="00946804">
        <w:rPr>
          <w:rFonts w:ascii="Times New Roman" w:hAnsi="Times New Roman" w:cs="Times New Roman"/>
          <w:i/>
          <w:iCs/>
          <w:sz w:val="24"/>
          <w:szCs w:val="24"/>
        </w:rPr>
        <w:t>Trichoderma</w:t>
      </w:r>
      <w:r w:rsidRPr="00946804">
        <w:rPr>
          <w:rFonts w:ascii="Times New Roman" w:hAnsi="Times New Roman" w:cs="Times New Roman"/>
          <w:sz w:val="24"/>
          <w:szCs w:val="24"/>
        </w:rPr>
        <w:t xml:space="preserve"> species stand out due to their strong antagonistic activity, environmental adaptability, and plant growth-promoting effects (Harman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xml:space="preserve">., 2004; Vinale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2008).</w:t>
      </w:r>
      <w:r>
        <w:rPr>
          <w:rFonts w:ascii="Times New Roman" w:hAnsi="Times New Roman" w:cs="Times New Roman"/>
          <w:sz w:val="24"/>
          <w:szCs w:val="24"/>
        </w:rPr>
        <w:t xml:space="preserve"> </w:t>
      </w:r>
      <w:r w:rsidRPr="00946804">
        <w:rPr>
          <w:rFonts w:ascii="Times New Roman" w:hAnsi="Times New Roman" w:cs="Times New Roman"/>
          <w:i/>
          <w:iCs/>
          <w:sz w:val="24"/>
          <w:szCs w:val="24"/>
        </w:rPr>
        <w:t>Trichoderma</w:t>
      </w:r>
      <w:r w:rsidRPr="00946804">
        <w:rPr>
          <w:rFonts w:ascii="Times New Roman" w:hAnsi="Times New Roman" w:cs="Times New Roman"/>
          <w:sz w:val="24"/>
          <w:szCs w:val="24"/>
        </w:rPr>
        <w:t xml:space="preserve"> spp. combat pathogens through multiple mechanisms: mycoparasitism, secretion of lytic enzymes and antifungal compounds, competition for nutrients and space, and induction of systemic resistance in host plants. These mechanisms make them effective against a wide range of soil-borne fungi including </w:t>
      </w:r>
      <w:r w:rsidRPr="00946804">
        <w:rPr>
          <w:rFonts w:ascii="Times New Roman" w:hAnsi="Times New Roman" w:cs="Times New Roman"/>
          <w:i/>
          <w:iCs/>
          <w:sz w:val="24"/>
          <w:szCs w:val="24"/>
        </w:rPr>
        <w:t>Rhizoctonia solani</w:t>
      </w:r>
      <w:r w:rsidRPr="00946804">
        <w:rPr>
          <w:rFonts w:ascii="Times New Roman" w:hAnsi="Times New Roman" w:cs="Times New Roman"/>
          <w:sz w:val="24"/>
          <w:szCs w:val="24"/>
        </w:rPr>
        <w:t xml:space="preserve">, </w:t>
      </w:r>
      <w:r w:rsidRPr="00946804">
        <w:rPr>
          <w:rFonts w:ascii="Times New Roman" w:hAnsi="Times New Roman" w:cs="Times New Roman"/>
          <w:i/>
          <w:iCs/>
          <w:sz w:val="24"/>
          <w:szCs w:val="24"/>
        </w:rPr>
        <w:t>Fusarium oxysporum</w:t>
      </w:r>
      <w:r w:rsidRPr="00946804">
        <w:rPr>
          <w:rFonts w:ascii="Times New Roman" w:hAnsi="Times New Roman" w:cs="Times New Roman"/>
          <w:sz w:val="24"/>
          <w:szCs w:val="24"/>
        </w:rPr>
        <w:t xml:space="preserve">, </w:t>
      </w:r>
      <w:r w:rsidRPr="00946804">
        <w:rPr>
          <w:rFonts w:ascii="Times New Roman" w:hAnsi="Times New Roman" w:cs="Times New Roman"/>
          <w:i/>
          <w:iCs/>
          <w:sz w:val="24"/>
          <w:szCs w:val="24"/>
        </w:rPr>
        <w:t>Pythium</w:t>
      </w:r>
      <w:r w:rsidRPr="00946804">
        <w:rPr>
          <w:rFonts w:ascii="Times New Roman" w:hAnsi="Times New Roman" w:cs="Times New Roman"/>
          <w:sz w:val="24"/>
          <w:szCs w:val="24"/>
        </w:rPr>
        <w:t xml:space="preserve"> spp., </w:t>
      </w:r>
      <w:r w:rsidRPr="00946804">
        <w:rPr>
          <w:rFonts w:ascii="Times New Roman" w:hAnsi="Times New Roman" w:cs="Times New Roman"/>
          <w:i/>
          <w:iCs/>
          <w:sz w:val="24"/>
          <w:szCs w:val="24"/>
        </w:rPr>
        <w:t>Verticillium dahliae</w:t>
      </w:r>
      <w:r w:rsidRPr="00946804">
        <w:rPr>
          <w:rFonts w:ascii="Times New Roman" w:hAnsi="Times New Roman" w:cs="Times New Roman"/>
          <w:sz w:val="24"/>
          <w:szCs w:val="24"/>
        </w:rPr>
        <w:t xml:space="preserve">, and </w:t>
      </w:r>
      <w:r w:rsidRPr="00946804">
        <w:rPr>
          <w:rFonts w:ascii="Times New Roman" w:hAnsi="Times New Roman" w:cs="Times New Roman"/>
          <w:i/>
          <w:iCs/>
          <w:sz w:val="24"/>
          <w:szCs w:val="24"/>
        </w:rPr>
        <w:t>Sclerotium rolfsii</w:t>
      </w:r>
      <w:r w:rsidRPr="00946804">
        <w:rPr>
          <w:rFonts w:ascii="Times New Roman" w:hAnsi="Times New Roman" w:cs="Times New Roman"/>
          <w:sz w:val="24"/>
          <w:szCs w:val="24"/>
        </w:rPr>
        <w:t xml:space="preserve"> (Elad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xml:space="preserve">., 1983; </w:t>
      </w:r>
      <w:r w:rsidR="004A7CEE" w:rsidRPr="004A7CEE">
        <w:rPr>
          <w:rFonts w:ascii="Times New Roman" w:hAnsi="Times New Roman" w:cs="Times New Roman"/>
          <w:sz w:val="24"/>
          <w:szCs w:val="24"/>
        </w:rPr>
        <w:t>Bisen</w:t>
      </w:r>
      <w:r w:rsidRPr="00946804">
        <w:rPr>
          <w:rFonts w:ascii="Times New Roman" w:hAnsi="Times New Roman" w:cs="Times New Roman"/>
          <w:sz w:val="24"/>
          <w:szCs w:val="24"/>
        </w:rPr>
        <w:t xml:space="preserve">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201</w:t>
      </w:r>
      <w:r w:rsidR="004A7CEE">
        <w:rPr>
          <w:rFonts w:ascii="Times New Roman" w:hAnsi="Times New Roman" w:cs="Times New Roman"/>
          <w:sz w:val="24"/>
          <w:szCs w:val="24"/>
        </w:rPr>
        <w:t>6</w:t>
      </w:r>
      <w:r w:rsidRPr="00946804">
        <w:rPr>
          <w:rFonts w:ascii="Times New Roman" w:hAnsi="Times New Roman" w:cs="Times New Roman"/>
          <w:sz w:val="24"/>
          <w:szCs w:val="24"/>
        </w:rPr>
        <w:t xml:space="preserve">; </w:t>
      </w:r>
      <w:r w:rsidR="004A7CEE" w:rsidRPr="004A7CEE">
        <w:rPr>
          <w:rFonts w:ascii="Times New Roman" w:hAnsi="Times New Roman" w:cs="Times New Roman"/>
          <w:sz w:val="24"/>
          <w:szCs w:val="24"/>
        </w:rPr>
        <w:t>Bastakoti</w:t>
      </w:r>
      <w:r w:rsidRPr="00946804">
        <w:rPr>
          <w:rFonts w:ascii="Times New Roman" w:hAnsi="Times New Roman" w:cs="Times New Roman"/>
          <w:sz w:val="24"/>
          <w:szCs w:val="24"/>
        </w:rPr>
        <w:t xml:space="preserve">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20</w:t>
      </w:r>
      <w:r w:rsidR="004A7CEE">
        <w:rPr>
          <w:rFonts w:ascii="Times New Roman" w:hAnsi="Times New Roman" w:cs="Times New Roman"/>
          <w:sz w:val="24"/>
          <w:szCs w:val="24"/>
        </w:rPr>
        <w:t>17</w:t>
      </w:r>
      <w:r w:rsidRPr="00946804">
        <w:rPr>
          <w:rFonts w:ascii="Times New Roman" w:hAnsi="Times New Roman" w:cs="Times New Roman"/>
          <w:sz w:val="24"/>
          <w:szCs w:val="24"/>
        </w:rPr>
        <w:t xml:space="preserve">; </w:t>
      </w:r>
      <w:r w:rsidR="00B03F09">
        <w:rPr>
          <w:rFonts w:ascii="Times New Roman" w:hAnsi="Times New Roman" w:cs="Times New Roman"/>
          <w:sz w:val="24"/>
          <w:szCs w:val="24"/>
        </w:rPr>
        <w:t xml:space="preserve">Ram </w:t>
      </w:r>
      <w:r w:rsidR="00B03F09">
        <w:rPr>
          <w:rFonts w:ascii="Times New Roman" w:hAnsi="Times New Roman" w:cs="Times New Roman"/>
          <w:i/>
          <w:iCs/>
          <w:sz w:val="24"/>
          <w:szCs w:val="24"/>
        </w:rPr>
        <w:t>et al.</w:t>
      </w:r>
      <w:r w:rsidRPr="00946804">
        <w:rPr>
          <w:rFonts w:ascii="Times New Roman" w:hAnsi="Times New Roman" w:cs="Times New Roman"/>
          <w:sz w:val="24"/>
          <w:szCs w:val="24"/>
        </w:rPr>
        <w:t>, 202</w:t>
      </w:r>
      <w:r w:rsidR="00B03F09">
        <w:rPr>
          <w:rFonts w:ascii="Times New Roman" w:hAnsi="Times New Roman" w:cs="Times New Roman"/>
          <w:sz w:val="24"/>
          <w:szCs w:val="24"/>
        </w:rPr>
        <w:t>0</w:t>
      </w:r>
      <w:r w:rsidRPr="00946804">
        <w:rPr>
          <w:rFonts w:ascii="Times New Roman" w:hAnsi="Times New Roman" w:cs="Times New Roman"/>
          <w:sz w:val="24"/>
          <w:szCs w:val="24"/>
        </w:rPr>
        <w:t>).</w:t>
      </w:r>
    </w:p>
    <w:p w14:paraId="7B0074BF" w14:textId="08332753" w:rsidR="00946804" w:rsidRPr="00946804" w:rsidRDefault="00946804" w:rsidP="00C11C38">
      <w:pPr>
        <w:spacing w:line="360" w:lineRule="auto"/>
        <w:jc w:val="both"/>
        <w:rPr>
          <w:rFonts w:ascii="Times New Roman" w:hAnsi="Times New Roman" w:cs="Times New Roman"/>
          <w:sz w:val="24"/>
          <w:szCs w:val="24"/>
        </w:rPr>
      </w:pPr>
      <w:r w:rsidRPr="00946804">
        <w:rPr>
          <w:rFonts w:ascii="Times New Roman" w:hAnsi="Times New Roman" w:cs="Times New Roman"/>
          <w:sz w:val="24"/>
          <w:szCs w:val="24"/>
        </w:rPr>
        <w:t xml:space="preserve">Several species, including </w:t>
      </w:r>
      <w:r w:rsidRPr="00946804">
        <w:rPr>
          <w:rFonts w:ascii="Times New Roman" w:hAnsi="Times New Roman" w:cs="Times New Roman"/>
          <w:i/>
          <w:iCs/>
          <w:sz w:val="24"/>
          <w:szCs w:val="24"/>
        </w:rPr>
        <w:t>T. harzianum</w:t>
      </w:r>
      <w:r w:rsidRPr="00946804">
        <w:rPr>
          <w:rFonts w:ascii="Times New Roman" w:hAnsi="Times New Roman" w:cs="Times New Roman"/>
          <w:sz w:val="24"/>
          <w:szCs w:val="24"/>
        </w:rPr>
        <w:t xml:space="preserve">, </w:t>
      </w:r>
      <w:r w:rsidRPr="00946804">
        <w:rPr>
          <w:rFonts w:ascii="Times New Roman" w:hAnsi="Times New Roman" w:cs="Times New Roman"/>
          <w:i/>
          <w:iCs/>
          <w:sz w:val="24"/>
          <w:szCs w:val="24"/>
        </w:rPr>
        <w:t>T. viride</w:t>
      </w:r>
      <w:r w:rsidRPr="00946804">
        <w:rPr>
          <w:rFonts w:ascii="Times New Roman" w:hAnsi="Times New Roman" w:cs="Times New Roman"/>
          <w:sz w:val="24"/>
          <w:szCs w:val="24"/>
        </w:rPr>
        <w:t xml:space="preserve">, and </w:t>
      </w:r>
      <w:r w:rsidRPr="00946804">
        <w:rPr>
          <w:rFonts w:ascii="Times New Roman" w:hAnsi="Times New Roman" w:cs="Times New Roman"/>
          <w:i/>
          <w:iCs/>
          <w:sz w:val="24"/>
          <w:szCs w:val="24"/>
        </w:rPr>
        <w:t>T. asperellum</w:t>
      </w:r>
      <w:r w:rsidRPr="00946804">
        <w:rPr>
          <w:rFonts w:ascii="Times New Roman" w:hAnsi="Times New Roman" w:cs="Times New Roman"/>
          <w:sz w:val="24"/>
          <w:szCs w:val="24"/>
        </w:rPr>
        <w:t xml:space="preserve">, have demonstrated efficacy in controlling </w:t>
      </w:r>
      <w:r w:rsidRPr="00946804">
        <w:rPr>
          <w:rFonts w:ascii="Times New Roman" w:hAnsi="Times New Roman" w:cs="Times New Roman"/>
          <w:i/>
          <w:iCs/>
          <w:sz w:val="24"/>
          <w:szCs w:val="24"/>
        </w:rPr>
        <w:t>S. rolfsii</w:t>
      </w:r>
      <w:r w:rsidRPr="00946804">
        <w:rPr>
          <w:rFonts w:ascii="Times New Roman" w:hAnsi="Times New Roman" w:cs="Times New Roman"/>
          <w:sz w:val="24"/>
          <w:szCs w:val="24"/>
        </w:rPr>
        <w:t xml:space="preserve"> in crops through in vitro and greenhouse studies (</w:t>
      </w:r>
      <w:r w:rsidR="00B03F09">
        <w:rPr>
          <w:rFonts w:ascii="Times New Roman" w:hAnsi="Times New Roman" w:cs="Times New Roman"/>
          <w:sz w:val="24"/>
          <w:szCs w:val="24"/>
        </w:rPr>
        <w:t>Kamel</w:t>
      </w:r>
      <w:r w:rsidRPr="00946804">
        <w:rPr>
          <w:rFonts w:ascii="Times New Roman" w:hAnsi="Times New Roman" w:cs="Times New Roman"/>
          <w:sz w:val="24"/>
          <w:szCs w:val="24"/>
        </w:rPr>
        <w:t xml:space="preserve">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20</w:t>
      </w:r>
      <w:r w:rsidR="00B03F09">
        <w:rPr>
          <w:rFonts w:ascii="Times New Roman" w:hAnsi="Times New Roman" w:cs="Times New Roman"/>
          <w:sz w:val="24"/>
          <w:szCs w:val="24"/>
        </w:rPr>
        <w:t>2</w:t>
      </w:r>
      <w:r w:rsidRPr="00946804">
        <w:rPr>
          <w:rFonts w:ascii="Times New Roman" w:hAnsi="Times New Roman" w:cs="Times New Roman"/>
          <w:sz w:val="24"/>
          <w:szCs w:val="24"/>
        </w:rPr>
        <w:t xml:space="preserve">0). Beyond disease control, </w:t>
      </w:r>
      <w:r w:rsidRPr="00946804">
        <w:rPr>
          <w:rFonts w:ascii="Times New Roman" w:hAnsi="Times New Roman" w:cs="Times New Roman"/>
          <w:i/>
          <w:iCs/>
          <w:sz w:val="24"/>
          <w:szCs w:val="24"/>
        </w:rPr>
        <w:t>Trichoderma</w:t>
      </w:r>
      <w:r w:rsidRPr="00946804">
        <w:rPr>
          <w:rFonts w:ascii="Times New Roman" w:hAnsi="Times New Roman" w:cs="Times New Roman"/>
          <w:sz w:val="24"/>
          <w:szCs w:val="24"/>
        </w:rPr>
        <w:t xml:space="preserve"> spp. enhances plant growth, nutrient uptake, and </w:t>
      </w:r>
      <w:r w:rsidRPr="00946804">
        <w:rPr>
          <w:rFonts w:ascii="Times New Roman" w:hAnsi="Times New Roman" w:cs="Times New Roman"/>
          <w:sz w:val="24"/>
          <w:szCs w:val="24"/>
        </w:rPr>
        <w:lastRenderedPageBreak/>
        <w:t>yield by positively influencing rhizosphere microbial communities.</w:t>
      </w:r>
      <w:r>
        <w:rPr>
          <w:rFonts w:ascii="Times New Roman" w:hAnsi="Times New Roman" w:cs="Times New Roman"/>
          <w:sz w:val="24"/>
          <w:szCs w:val="24"/>
        </w:rPr>
        <w:t xml:space="preserve"> </w:t>
      </w:r>
      <w:r w:rsidRPr="00946804">
        <w:rPr>
          <w:rFonts w:ascii="Times New Roman" w:hAnsi="Times New Roman" w:cs="Times New Roman"/>
          <w:sz w:val="24"/>
          <w:szCs w:val="24"/>
        </w:rPr>
        <w:t>With increasing concerns over pesticide use, there is growing interest in microbial-based plant protection products. In India and globally, bioformulations are gaining acceptance among farmers and researchers as safe and sustainable alternatives to synthetic fungicides (</w:t>
      </w:r>
      <w:r w:rsidR="0073383E">
        <w:rPr>
          <w:rFonts w:ascii="Times New Roman" w:hAnsi="Times New Roman" w:cs="Times New Roman"/>
          <w:sz w:val="24"/>
          <w:szCs w:val="24"/>
        </w:rPr>
        <w:t>Tariq</w:t>
      </w:r>
      <w:r w:rsidRPr="00946804">
        <w:rPr>
          <w:rFonts w:ascii="Times New Roman" w:hAnsi="Times New Roman" w:cs="Times New Roman"/>
          <w:sz w:val="24"/>
          <w:szCs w:val="24"/>
        </w:rPr>
        <w:t xml:space="preserve">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2020). Furthermore, integrated management approaches combining BCAs with reduced fungicide doses have shown synergistic effects, improved disease control while minimizing chemical residues (</w:t>
      </w:r>
      <w:r w:rsidR="00B03F09">
        <w:rPr>
          <w:rFonts w:ascii="Times New Roman" w:hAnsi="Times New Roman" w:cs="Times New Roman"/>
          <w:sz w:val="24"/>
          <w:szCs w:val="24"/>
        </w:rPr>
        <w:t xml:space="preserve">Meshram </w:t>
      </w:r>
      <w:r w:rsidR="00B03F09">
        <w:rPr>
          <w:rFonts w:ascii="Times New Roman" w:hAnsi="Times New Roman" w:cs="Times New Roman"/>
          <w:i/>
          <w:iCs/>
          <w:sz w:val="24"/>
          <w:szCs w:val="24"/>
        </w:rPr>
        <w:t>et al</w:t>
      </w:r>
      <w:r w:rsidR="00B03F09">
        <w:rPr>
          <w:rFonts w:ascii="Times New Roman" w:hAnsi="Times New Roman" w:cs="Times New Roman"/>
          <w:sz w:val="24"/>
          <w:szCs w:val="24"/>
        </w:rPr>
        <w:t>., 2024</w:t>
      </w:r>
      <w:r w:rsidRPr="00946804">
        <w:rPr>
          <w:rFonts w:ascii="Times New Roman" w:hAnsi="Times New Roman" w:cs="Times New Roman"/>
          <w:sz w:val="24"/>
          <w:szCs w:val="24"/>
        </w:rPr>
        <w:t>).</w:t>
      </w:r>
    </w:p>
    <w:p w14:paraId="5B8BBA5F" w14:textId="77777777" w:rsidR="00946804" w:rsidRPr="00946804" w:rsidRDefault="00946804" w:rsidP="00C11C38">
      <w:pPr>
        <w:spacing w:line="360" w:lineRule="auto"/>
        <w:jc w:val="both"/>
        <w:rPr>
          <w:rFonts w:ascii="Times New Roman" w:hAnsi="Times New Roman" w:cs="Times New Roman"/>
          <w:sz w:val="24"/>
          <w:szCs w:val="24"/>
        </w:rPr>
      </w:pPr>
      <w:r w:rsidRPr="00946804">
        <w:rPr>
          <w:rFonts w:ascii="Times New Roman" w:hAnsi="Times New Roman" w:cs="Times New Roman"/>
          <w:sz w:val="24"/>
          <w:szCs w:val="24"/>
        </w:rPr>
        <w:t xml:space="preserve">In this context, the present study evaluates the biocontrol potential of three </w:t>
      </w:r>
      <w:r w:rsidRPr="00946804">
        <w:rPr>
          <w:rFonts w:ascii="Times New Roman" w:hAnsi="Times New Roman" w:cs="Times New Roman"/>
          <w:i/>
          <w:iCs/>
          <w:sz w:val="24"/>
          <w:szCs w:val="24"/>
        </w:rPr>
        <w:t>Trichoderma</w:t>
      </w:r>
      <w:r w:rsidRPr="00946804">
        <w:rPr>
          <w:rFonts w:ascii="Times New Roman" w:hAnsi="Times New Roman" w:cs="Times New Roman"/>
          <w:sz w:val="24"/>
          <w:szCs w:val="24"/>
        </w:rPr>
        <w:t xml:space="preserve"> species against </w:t>
      </w:r>
      <w:r w:rsidRPr="00946804">
        <w:rPr>
          <w:rFonts w:ascii="Times New Roman" w:hAnsi="Times New Roman" w:cs="Times New Roman"/>
          <w:i/>
          <w:iCs/>
          <w:sz w:val="24"/>
          <w:szCs w:val="24"/>
        </w:rPr>
        <w:t>S. rolfsii</w:t>
      </w:r>
      <w:r w:rsidRPr="00946804">
        <w:rPr>
          <w:rFonts w:ascii="Times New Roman" w:hAnsi="Times New Roman" w:cs="Times New Roman"/>
          <w:sz w:val="24"/>
          <w:szCs w:val="24"/>
        </w:rPr>
        <w:t>, the causal agent of southern blight in tomato. The research includes both in vitro dual culture assays and in vivo pot experiments to assess efficacy under controlled conditions. The outcomes aim to support the development of an integrated, eco-friendly disease management strategy for tomato cultivation.</w:t>
      </w:r>
    </w:p>
    <w:p w14:paraId="3BD7A2C5" w14:textId="4EF72B10" w:rsidR="00946804" w:rsidRPr="00946804"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946804" w:rsidRPr="00946804">
        <w:rPr>
          <w:rFonts w:ascii="Times New Roman" w:hAnsi="Times New Roman" w:cs="Times New Roman"/>
          <w:b/>
          <w:bCs/>
          <w:sz w:val="24"/>
          <w:szCs w:val="24"/>
        </w:rPr>
        <w:t>MATERIALS AND METHODS</w:t>
      </w:r>
    </w:p>
    <w:p w14:paraId="5A8C32F6" w14:textId="56FF2097" w:rsidR="00946804" w:rsidRPr="00EB7447"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946804" w:rsidRPr="00EB7447">
        <w:rPr>
          <w:rFonts w:ascii="Times New Roman" w:hAnsi="Times New Roman" w:cs="Times New Roman"/>
          <w:b/>
          <w:bCs/>
          <w:sz w:val="24"/>
          <w:szCs w:val="24"/>
        </w:rPr>
        <w:t>Isolation and Identification of Causal Pathogen</w:t>
      </w:r>
    </w:p>
    <w:p w14:paraId="4F8BE793" w14:textId="77777777" w:rsidR="00946804" w:rsidRDefault="00946804" w:rsidP="00C11C38">
      <w:pPr>
        <w:spacing w:line="360" w:lineRule="auto"/>
        <w:jc w:val="both"/>
        <w:rPr>
          <w:rFonts w:ascii="Times New Roman" w:hAnsi="Times New Roman" w:cs="Times New Roman"/>
          <w:sz w:val="24"/>
          <w:szCs w:val="24"/>
        </w:rPr>
      </w:pPr>
      <w:r w:rsidRPr="00CA44DF">
        <w:rPr>
          <w:rFonts w:ascii="Times New Roman" w:hAnsi="Times New Roman" w:cs="Times New Roman"/>
          <w:sz w:val="24"/>
          <w:szCs w:val="24"/>
        </w:rPr>
        <w:t xml:space="preserve">A field survey was conducted in the Mysuru region of Karnataka to collect tomato plants exhibiting symptoms of root rot. Infected plant tissues showing characteristic signs of </w:t>
      </w:r>
      <w:r w:rsidRPr="00CA44DF">
        <w:rPr>
          <w:rFonts w:ascii="Times New Roman" w:hAnsi="Times New Roman" w:cs="Times New Roman"/>
          <w:i/>
          <w:iCs/>
          <w:sz w:val="24"/>
          <w:szCs w:val="24"/>
        </w:rPr>
        <w:t>Sclerotium rolfsii</w:t>
      </w:r>
      <w:r w:rsidRPr="00CA44DF">
        <w:rPr>
          <w:rFonts w:ascii="Times New Roman" w:hAnsi="Times New Roman" w:cs="Times New Roman"/>
          <w:sz w:val="24"/>
          <w:szCs w:val="24"/>
        </w:rPr>
        <w:t xml:space="preserve"> infection, including necrosis and the presence of sclerotia, were carefully uprooted and transported to the laboratory for analysis. The samples were initially washed under running tap water to eliminate adhering soil and debris.</w:t>
      </w:r>
      <w:r>
        <w:rPr>
          <w:rFonts w:ascii="Times New Roman" w:hAnsi="Times New Roman" w:cs="Times New Roman"/>
          <w:sz w:val="24"/>
          <w:szCs w:val="24"/>
        </w:rPr>
        <w:t xml:space="preserve"> </w:t>
      </w:r>
      <w:r w:rsidRPr="00CA44DF">
        <w:rPr>
          <w:rFonts w:ascii="Times New Roman" w:hAnsi="Times New Roman" w:cs="Times New Roman"/>
          <w:sz w:val="24"/>
          <w:szCs w:val="24"/>
        </w:rPr>
        <w:t>Surface sterilization of the infected tissues was carried out by immersing segments (approximately 5 mm) in 1% sodium hypochlorite (NaOCl) solution for 1 minute. The sterilized tissues were then rinsed three times with sterile distilled water to remove any residual disinfectant.</w:t>
      </w:r>
    </w:p>
    <w:p w14:paraId="453FD4EF" w14:textId="77777777" w:rsidR="00946804" w:rsidRDefault="00946804" w:rsidP="00C11C38">
      <w:pPr>
        <w:spacing w:line="360" w:lineRule="auto"/>
        <w:jc w:val="both"/>
        <w:rPr>
          <w:rFonts w:ascii="Times New Roman" w:hAnsi="Times New Roman" w:cs="Times New Roman"/>
          <w:sz w:val="24"/>
          <w:szCs w:val="24"/>
        </w:rPr>
      </w:pPr>
      <w:r w:rsidRPr="00CA44DF">
        <w:rPr>
          <w:rFonts w:ascii="Times New Roman" w:hAnsi="Times New Roman" w:cs="Times New Roman"/>
          <w:sz w:val="24"/>
          <w:szCs w:val="24"/>
        </w:rPr>
        <w:t>The disinfected tissue segments were aseptically transferred onto sterile Petri dishes containing potato dextrose agar (PDA) medium. The plates were incubated at 27 ± 2 °C for 5 to 7 days to allow fungal growth. Emerging fungal colonies were observed and subcultured repeatedly onto fresh PDA to obtain pure cultures.</w:t>
      </w:r>
    </w:p>
    <w:p w14:paraId="3CD8A932" w14:textId="7FCE8BF9" w:rsidR="00946804" w:rsidRPr="00CA44DF" w:rsidRDefault="00946804" w:rsidP="00C11C38">
      <w:pPr>
        <w:spacing w:line="360" w:lineRule="auto"/>
        <w:jc w:val="both"/>
        <w:rPr>
          <w:rFonts w:ascii="Times New Roman" w:hAnsi="Times New Roman" w:cs="Times New Roman"/>
          <w:sz w:val="24"/>
          <w:szCs w:val="24"/>
        </w:rPr>
      </w:pPr>
      <w:r w:rsidRPr="00CA44DF">
        <w:rPr>
          <w:rFonts w:ascii="Times New Roman" w:hAnsi="Times New Roman" w:cs="Times New Roman"/>
          <w:sz w:val="24"/>
          <w:szCs w:val="24"/>
        </w:rPr>
        <w:t xml:space="preserve">The fungal isolates were subjected to morphological identification based on their colony characteristics, growth rate, and sclerotial formation. Observations included the texture and pigmentation of the mycelium, as well as the size, shape, and coloration of the sclerotia. These morphological traits were evaluated under a stereomicroscope at 10× magnification and </w:t>
      </w:r>
      <w:r w:rsidRPr="00CA44DF">
        <w:rPr>
          <w:rFonts w:ascii="Times New Roman" w:hAnsi="Times New Roman" w:cs="Times New Roman"/>
          <w:sz w:val="24"/>
          <w:szCs w:val="24"/>
        </w:rPr>
        <w:lastRenderedPageBreak/>
        <w:t xml:space="preserve">compared with the taxonomic keys described by </w:t>
      </w:r>
      <w:r w:rsidR="00C677BC" w:rsidRPr="00CA44DF">
        <w:rPr>
          <w:rFonts w:ascii="Times New Roman" w:hAnsi="Times New Roman" w:cs="Times New Roman"/>
          <w:sz w:val="24"/>
          <w:szCs w:val="24"/>
        </w:rPr>
        <w:t>Mahadevakumar</w:t>
      </w:r>
      <w:r w:rsidR="00C677BC">
        <w:rPr>
          <w:rFonts w:ascii="Times New Roman" w:hAnsi="Times New Roman" w:cs="Times New Roman"/>
          <w:sz w:val="24"/>
          <w:szCs w:val="24"/>
        </w:rPr>
        <w:t xml:space="preserve"> </w:t>
      </w:r>
      <w:r w:rsidR="00C677BC">
        <w:rPr>
          <w:rFonts w:ascii="Times New Roman" w:hAnsi="Times New Roman" w:cs="Times New Roman"/>
          <w:i/>
          <w:iCs/>
          <w:sz w:val="24"/>
          <w:szCs w:val="24"/>
        </w:rPr>
        <w:t xml:space="preserve">et al. </w:t>
      </w:r>
      <w:r w:rsidR="00C677BC">
        <w:rPr>
          <w:rFonts w:ascii="Times New Roman" w:hAnsi="Times New Roman" w:cs="Times New Roman"/>
          <w:sz w:val="24"/>
          <w:szCs w:val="24"/>
        </w:rPr>
        <w:t xml:space="preserve">(2018) and </w:t>
      </w:r>
      <w:r w:rsidRPr="00CA44DF">
        <w:rPr>
          <w:rFonts w:ascii="Times New Roman" w:hAnsi="Times New Roman" w:cs="Times New Roman"/>
          <w:sz w:val="24"/>
          <w:szCs w:val="24"/>
        </w:rPr>
        <w:t xml:space="preserve">Mahadevakumar and Janardhana (2016) for the identification of </w:t>
      </w:r>
      <w:r w:rsidRPr="00CA44DF">
        <w:rPr>
          <w:rFonts w:ascii="Times New Roman" w:hAnsi="Times New Roman" w:cs="Times New Roman"/>
          <w:i/>
          <w:iCs/>
          <w:sz w:val="24"/>
          <w:szCs w:val="24"/>
        </w:rPr>
        <w:t>Sclerotium rolfsii</w:t>
      </w:r>
      <w:r w:rsidRPr="00CA44DF">
        <w:rPr>
          <w:rFonts w:ascii="Times New Roman" w:hAnsi="Times New Roman" w:cs="Times New Roman"/>
          <w:sz w:val="24"/>
          <w:szCs w:val="24"/>
        </w:rPr>
        <w:t>.</w:t>
      </w:r>
    </w:p>
    <w:p w14:paraId="5EDFAADE" w14:textId="4F653F5C" w:rsidR="00946804" w:rsidRPr="00EB7447"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946804" w:rsidRPr="00EB7447">
        <w:rPr>
          <w:rFonts w:ascii="Times New Roman" w:hAnsi="Times New Roman" w:cs="Times New Roman"/>
          <w:b/>
          <w:bCs/>
          <w:sz w:val="24"/>
          <w:szCs w:val="24"/>
        </w:rPr>
        <w:t>Collection and Maintenance of Fungal Bioagents</w:t>
      </w:r>
    </w:p>
    <w:p w14:paraId="6F175ADE" w14:textId="77777777" w:rsidR="00946804" w:rsidRDefault="00946804" w:rsidP="00C11C38">
      <w:pPr>
        <w:spacing w:line="360" w:lineRule="auto"/>
        <w:jc w:val="both"/>
        <w:rPr>
          <w:rFonts w:ascii="Times New Roman" w:hAnsi="Times New Roman" w:cs="Times New Roman"/>
          <w:sz w:val="24"/>
          <w:szCs w:val="24"/>
        </w:rPr>
      </w:pPr>
      <w:r w:rsidRPr="00EB7447">
        <w:rPr>
          <w:rFonts w:ascii="Times New Roman" w:hAnsi="Times New Roman" w:cs="Times New Roman"/>
          <w:sz w:val="24"/>
          <w:szCs w:val="24"/>
        </w:rPr>
        <w:t xml:space="preserve">Pure cultures of </w:t>
      </w:r>
      <w:r w:rsidRPr="00EB7447">
        <w:rPr>
          <w:rFonts w:ascii="Times New Roman" w:hAnsi="Times New Roman" w:cs="Times New Roman"/>
          <w:i/>
          <w:iCs/>
          <w:sz w:val="24"/>
          <w:szCs w:val="24"/>
        </w:rPr>
        <w:t>Trichoderma viride</w:t>
      </w:r>
      <w:r w:rsidRPr="00EB7447">
        <w:rPr>
          <w:rFonts w:ascii="Times New Roman" w:hAnsi="Times New Roman" w:cs="Times New Roman"/>
          <w:sz w:val="24"/>
          <w:szCs w:val="24"/>
        </w:rPr>
        <w:t xml:space="preserve">, </w:t>
      </w:r>
      <w:r w:rsidRPr="00EB7447">
        <w:rPr>
          <w:rFonts w:ascii="Times New Roman" w:hAnsi="Times New Roman" w:cs="Times New Roman"/>
          <w:i/>
          <w:iCs/>
          <w:sz w:val="24"/>
          <w:szCs w:val="24"/>
        </w:rPr>
        <w:t>Trichoderma harzianum</w:t>
      </w:r>
      <w:r w:rsidRPr="00EB7447">
        <w:rPr>
          <w:rFonts w:ascii="Times New Roman" w:hAnsi="Times New Roman" w:cs="Times New Roman"/>
          <w:sz w:val="24"/>
          <w:szCs w:val="24"/>
        </w:rPr>
        <w:t xml:space="preserve">, and </w:t>
      </w:r>
      <w:r w:rsidRPr="00EB7447">
        <w:rPr>
          <w:rFonts w:ascii="Times New Roman" w:hAnsi="Times New Roman" w:cs="Times New Roman"/>
          <w:i/>
          <w:iCs/>
          <w:sz w:val="24"/>
          <w:szCs w:val="24"/>
        </w:rPr>
        <w:t>Trichoderma asperellum</w:t>
      </w:r>
      <w:r w:rsidRPr="00EB7447">
        <w:rPr>
          <w:rFonts w:ascii="Times New Roman" w:hAnsi="Times New Roman" w:cs="Times New Roman"/>
          <w:sz w:val="24"/>
          <w:szCs w:val="24"/>
        </w:rPr>
        <w:t xml:space="preserve"> were obtained from the </w:t>
      </w:r>
      <w:r w:rsidRPr="004817A1">
        <w:rPr>
          <w:rFonts w:ascii="Times New Roman" w:hAnsi="Times New Roman" w:cs="Times New Roman"/>
          <w:sz w:val="24"/>
          <w:szCs w:val="24"/>
        </w:rPr>
        <w:t>Department</w:t>
      </w:r>
      <w:r>
        <w:rPr>
          <w:rFonts w:ascii="Times New Roman" w:hAnsi="Times New Roman" w:cs="Times New Roman"/>
          <w:sz w:val="24"/>
          <w:szCs w:val="24"/>
        </w:rPr>
        <w:t xml:space="preserve"> of Microbiology, University of Horticultural Sciences, Bagalkot, Karnataka, India – 587104, and </w:t>
      </w:r>
      <w:r w:rsidRPr="004817A1">
        <w:rPr>
          <w:rFonts w:ascii="Times New Roman" w:hAnsi="Times New Roman" w:cs="Times New Roman"/>
          <w:sz w:val="24"/>
          <w:szCs w:val="24"/>
        </w:rPr>
        <w:t>Department</w:t>
      </w:r>
      <w:r>
        <w:rPr>
          <w:rFonts w:ascii="Times New Roman" w:hAnsi="Times New Roman" w:cs="Times New Roman"/>
          <w:sz w:val="24"/>
          <w:szCs w:val="24"/>
        </w:rPr>
        <w:t xml:space="preserve"> of Microbiology, University of Agricultural Sciences, Dharwad, Karnataka, India – 580005. </w:t>
      </w:r>
      <w:r w:rsidRPr="00EB7447">
        <w:rPr>
          <w:rFonts w:ascii="Times New Roman" w:hAnsi="Times New Roman" w:cs="Times New Roman"/>
          <w:sz w:val="24"/>
          <w:szCs w:val="24"/>
        </w:rPr>
        <w:t>The isolates were maintained on Potato Dextrose Agar (PDA) and periodically sub-cultured at 10-day intervals. All cultures were incubated at 28 ± 1 °C and stored at 4 °C for further use (Dennis and Webster, 1971)</w:t>
      </w:r>
      <w:r>
        <w:rPr>
          <w:rFonts w:ascii="Times New Roman" w:hAnsi="Times New Roman" w:cs="Times New Roman"/>
          <w:sz w:val="24"/>
          <w:szCs w:val="24"/>
        </w:rPr>
        <w:t>.</w:t>
      </w:r>
    </w:p>
    <w:p w14:paraId="4C38961E" w14:textId="3FC65688" w:rsidR="00946804" w:rsidRPr="00946804" w:rsidRDefault="00C11C38" w:rsidP="00C11C3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00946804" w:rsidRPr="00EB7447">
        <w:rPr>
          <w:rFonts w:ascii="Times New Roman" w:hAnsi="Times New Roman" w:cs="Times New Roman"/>
          <w:b/>
          <w:bCs/>
          <w:sz w:val="24"/>
          <w:szCs w:val="24"/>
        </w:rPr>
        <w:t>In Vitro Dual Culture Assay</w:t>
      </w:r>
    </w:p>
    <w:p w14:paraId="31E3E38D" w14:textId="77777777" w:rsidR="00946804" w:rsidRPr="00EB7447" w:rsidRDefault="00946804" w:rsidP="00C11C38">
      <w:pPr>
        <w:spacing w:line="360" w:lineRule="auto"/>
        <w:jc w:val="both"/>
        <w:rPr>
          <w:rFonts w:ascii="Times New Roman" w:hAnsi="Times New Roman" w:cs="Times New Roman"/>
          <w:sz w:val="24"/>
          <w:szCs w:val="24"/>
        </w:rPr>
      </w:pPr>
      <w:r w:rsidRPr="00EB7447">
        <w:rPr>
          <w:rFonts w:ascii="Times New Roman" w:hAnsi="Times New Roman" w:cs="Times New Roman"/>
          <w:sz w:val="24"/>
          <w:szCs w:val="24"/>
        </w:rPr>
        <w:t xml:space="preserve">The antagonistic potential of the bioagents against </w:t>
      </w:r>
      <w:r w:rsidRPr="00EB7447">
        <w:rPr>
          <w:rFonts w:ascii="Times New Roman" w:hAnsi="Times New Roman" w:cs="Times New Roman"/>
          <w:i/>
          <w:iCs/>
          <w:sz w:val="24"/>
          <w:szCs w:val="24"/>
        </w:rPr>
        <w:t>Sclerotium rolfsii</w:t>
      </w:r>
      <w:r w:rsidRPr="00EB7447">
        <w:rPr>
          <w:rFonts w:ascii="Times New Roman" w:hAnsi="Times New Roman" w:cs="Times New Roman"/>
          <w:sz w:val="24"/>
          <w:szCs w:val="24"/>
        </w:rPr>
        <w:t xml:space="preserve"> was evaluated using the dual culture technique (Dennis and Webster, 1971). A 5 mm disc of actively growing mycelium of </w:t>
      </w:r>
      <w:r w:rsidRPr="00EB7447">
        <w:rPr>
          <w:rFonts w:ascii="Times New Roman" w:hAnsi="Times New Roman" w:cs="Times New Roman"/>
          <w:i/>
          <w:iCs/>
          <w:sz w:val="24"/>
          <w:szCs w:val="24"/>
        </w:rPr>
        <w:t>S. rolfsii</w:t>
      </w:r>
      <w:r w:rsidRPr="00EB7447">
        <w:rPr>
          <w:rFonts w:ascii="Times New Roman" w:hAnsi="Times New Roman" w:cs="Times New Roman"/>
          <w:sz w:val="24"/>
          <w:szCs w:val="24"/>
        </w:rPr>
        <w:t xml:space="preserve"> was placed on one side of a PDA Petri plate, and a disc of the test </w:t>
      </w:r>
      <w:r w:rsidRPr="00EB7447">
        <w:rPr>
          <w:rFonts w:ascii="Times New Roman" w:hAnsi="Times New Roman" w:cs="Times New Roman"/>
          <w:i/>
          <w:iCs/>
          <w:sz w:val="24"/>
          <w:szCs w:val="24"/>
        </w:rPr>
        <w:t>Trichoderma</w:t>
      </w:r>
      <w:r w:rsidRPr="00EB7447">
        <w:rPr>
          <w:rFonts w:ascii="Times New Roman" w:hAnsi="Times New Roman" w:cs="Times New Roman"/>
          <w:sz w:val="24"/>
          <w:szCs w:val="24"/>
        </w:rPr>
        <w:t xml:space="preserve"> isolate was placed on the opposite side, 5 cm apart. A control plate with </w:t>
      </w:r>
      <w:r w:rsidRPr="00EB7447">
        <w:rPr>
          <w:rFonts w:ascii="Times New Roman" w:hAnsi="Times New Roman" w:cs="Times New Roman"/>
          <w:i/>
          <w:iCs/>
          <w:sz w:val="24"/>
          <w:szCs w:val="24"/>
        </w:rPr>
        <w:t>S. rolfsii</w:t>
      </w:r>
      <w:r w:rsidRPr="00EB7447">
        <w:rPr>
          <w:rFonts w:ascii="Times New Roman" w:hAnsi="Times New Roman" w:cs="Times New Roman"/>
          <w:sz w:val="24"/>
          <w:szCs w:val="24"/>
        </w:rPr>
        <w:t xml:space="preserve"> alone was maintained for comparison. Each treatment was replicated five times and incubated at 28 ± 2 °C. The radial mycelial growth of the pathogen was measured after 7 days. Percent inhibition of pathogen growth was calculated using the formula:</w:t>
      </w:r>
    </w:p>
    <w:p w14:paraId="0E9D6C38" w14:textId="77777777" w:rsidR="00946804" w:rsidRDefault="00946804" w:rsidP="00C11C38">
      <w:pPr>
        <w:spacing w:line="360" w:lineRule="auto"/>
        <w:jc w:val="center"/>
        <w:rPr>
          <w:rFonts w:ascii="Times New Roman" w:hAnsi="Times New Roman" w:cs="Times New Roman"/>
          <w:sz w:val="24"/>
          <w:szCs w:val="24"/>
        </w:rPr>
      </w:pPr>
      <w:r w:rsidRPr="00EB7447">
        <w:rPr>
          <w:rFonts w:ascii="Times New Roman" w:hAnsi="Times New Roman" w:cs="Times New Roman"/>
          <w:b/>
          <w:bCs/>
          <w:sz w:val="24"/>
          <w:szCs w:val="24"/>
        </w:rPr>
        <w:t>Inhibition (%) = [(C − T) / C] × 100</w:t>
      </w:r>
    </w:p>
    <w:p w14:paraId="484D6B92" w14:textId="77777777" w:rsidR="00946804" w:rsidRDefault="00946804" w:rsidP="00C11C38">
      <w:pPr>
        <w:spacing w:line="360" w:lineRule="auto"/>
        <w:rPr>
          <w:rFonts w:ascii="Times New Roman" w:hAnsi="Times New Roman" w:cs="Times New Roman"/>
          <w:sz w:val="24"/>
          <w:szCs w:val="24"/>
        </w:rPr>
      </w:pPr>
      <w:r w:rsidRPr="00EB7447">
        <w:rPr>
          <w:rFonts w:ascii="Times New Roman" w:hAnsi="Times New Roman" w:cs="Times New Roman"/>
          <w:sz w:val="24"/>
          <w:szCs w:val="24"/>
        </w:rPr>
        <w:t>Where C = radial growth in control; T = radial growth in treatment.</w:t>
      </w:r>
    </w:p>
    <w:p w14:paraId="5D24A7F7" w14:textId="5565CD02" w:rsidR="00946804" w:rsidRPr="00EB7447" w:rsidRDefault="00C11C38" w:rsidP="00C11C38">
      <w:pPr>
        <w:spacing w:line="360" w:lineRule="auto"/>
        <w:rPr>
          <w:rFonts w:ascii="Times New Roman" w:hAnsi="Times New Roman" w:cs="Times New Roman"/>
          <w:b/>
          <w:bCs/>
          <w:sz w:val="24"/>
          <w:szCs w:val="24"/>
        </w:rPr>
      </w:pPr>
      <w:bookmarkStart w:id="1" w:name="_Hlk198737248"/>
      <w:r>
        <w:rPr>
          <w:rFonts w:ascii="Times New Roman" w:hAnsi="Times New Roman" w:cs="Times New Roman"/>
          <w:b/>
          <w:bCs/>
          <w:sz w:val="24"/>
          <w:szCs w:val="24"/>
        </w:rPr>
        <w:t xml:space="preserve">2.4. </w:t>
      </w:r>
      <w:r w:rsidR="00946804" w:rsidRPr="00EB7447">
        <w:rPr>
          <w:rFonts w:ascii="Times New Roman" w:hAnsi="Times New Roman" w:cs="Times New Roman"/>
          <w:b/>
          <w:bCs/>
          <w:sz w:val="24"/>
          <w:szCs w:val="24"/>
        </w:rPr>
        <w:t>Pathogen Inoculum Preparation</w:t>
      </w:r>
    </w:p>
    <w:p w14:paraId="624C8618" w14:textId="5284FF96" w:rsidR="00946804" w:rsidRPr="00EB7447" w:rsidRDefault="00946804" w:rsidP="00C11C38">
      <w:pPr>
        <w:spacing w:line="360" w:lineRule="auto"/>
        <w:rPr>
          <w:rFonts w:ascii="Times New Roman" w:hAnsi="Times New Roman" w:cs="Times New Roman"/>
          <w:sz w:val="24"/>
          <w:szCs w:val="24"/>
        </w:rPr>
      </w:pPr>
      <w:r w:rsidRPr="00EB7447">
        <w:rPr>
          <w:rFonts w:ascii="Times New Roman" w:hAnsi="Times New Roman" w:cs="Times New Roman"/>
          <w:sz w:val="24"/>
          <w:szCs w:val="24"/>
        </w:rPr>
        <w:t xml:space="preserve">The pathogen </w:t>
      </w:r>
      <w:r w:rsidRPr="00EB7447">
        <w:rPr>
          <w:rFonts w:ascii="Times New Roman" w:hAnsi="Times New Roman" w:cs="Times New Roman"/>
          <w:i/>
          <w:iCs/>
          <w:sz w:val="24"/>
          <w:szCs w:val="24"/>
        </w:rPr>
        <w:t>Sclerotium rolfsii</w:t>
      </w:r>
      <w:r w:rsidRPr="00EB7447">
        <w:rPr>
          <w:rFonts w:ascii="Times New Roman" w:hAnsi="Times New Roman" w:cs="Times New Roman"/>
          <w:sz w:val="24"/>
          <w:szCs w:val="24"/>
        </w:rPr>
        <w:t xml:space="preserve"> was mass multiplied on sterilized sand-maize meal medium (2:1, w/w) and incubated at 26 ± 1 °C for 15 days (</w:t>
      </w:r>
      <w:r w:rsidR="00FF77F1" w:rsidRPr="00FF77F1">
        <w:rPr>
          <w:rFonts w:ascii="Times New Roman" w:hAnsi="Times New Roman" w:cs="Times New Roman"/>
          <w:sz w:val="24"/>
          <w:szCs w:val="24"/>
        </w:rPr>
        <w:t>Basumatary</w:t>
      </w:r>
      <w:r w:rsidR="00FF77F1">
        <w:rPr>
          <w:rFonts w:ascii="Times New Roman" w:hAnsi="Times New Roman" w:cs="Times New Roman"/>
          <w:sz w:val="24"/>
          <w:szCs w:val="24"/>
        </w:rPr>
        <w:t xml:space="preserve"> </w:t>
      </w:r>
      <w:r w:rsidR="00FF77F1">
        <w:rPr>
          <w:rFonts w:ascii="Times New Roman" w:hAnsi="Times New Roman" w:cs="Times New Roman"/>
          <w:i/>
          <w:iCs/>
          <w:sz w:val="24"/>
          <w:szCs w:val="24"/>
        </w:rPr>
        <w:t>et al</w:t>
      </w:r>
      <w:r w:rsidR="00FF77F1">
        <w:rPr>
          <w:rFonts w:ascii="Times New Roman" w:hAnsi="Times New Roman" w:cs="Times New Roman"/>
          <w:sz w:val="24"/>
          <w:szCs w:val="24"/>
        </w:rPr>
        <w:t>., 2015</w:t>
      </w:r>
      <w:r w:rsidRPr="00EB7447">
        <w:rPr>
          <w:rFonts w:ascii="Times New Roman" w:hAnsi="Times New Roman" w:cs="Times New Roman"/>
          <w:sz w:val="24"/>
          <w:szCs w:val="24"/>
        </w:rPr>
        <w:t>). Inoculum (50 g per pot) was mixed uniformly into the topsoil layer of the experimental pots.</w:t>
      </w:r>
    </w:p>
    <w:bookmarkEnd w:id="1"/>
    <w:p w14:paraId="2CC13EFB" w14:textId="55B175E9" w:rsidR="00946804" w:rsidRPr="00EB7447" w:rsidRDefault="00C11C38" w:rsidP="00C11C3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2.5. </w:t>
      </w:r>
      <w:r w:rsidR="00946804" w:rsidRPr="00EB7447">
        <w:rPr>
          <w:rFonts w:ascii="Times New Roman" w:hAnsi="Times New Roman" w:cs="Times New Roman"/>
          <w:b/>
          <w:bCs/>
          <w:sz w:val="24"/>
          <w:szCs w:val="24"/>
        </w:rPr>
        <w:t>In Vivo Evaluation in Pot Culture</w:t>
      </w:r>
    </w:p>
    <w:p w14:paraId="0C99EB1E" w14:textId="77777777" w:rsidR="00946804" w:rsidRDefault="00946804" w:rsidP="00C11C38">
      <w:pPr>
        <w:spacing w:line="360" w:lineRule="auto"/>
        <w:jc w:val="both"/>
        <w:rPr>
          <w:rFonts w:ascii="Times New Roman" w:hAnsi="Times New Roman" w:cs="Times New Roman"/>
          <w:sz w:val="24"/>
          <w:szCs w:val="24"/>
        </w:rPr>
      </w:pPr>
      <w:bookmarkStart w:id="2" w:name="_Hlk198737847"/>
      <w:r w:rsidRPr="00EB7447">
        <w:rPr>
          <w:rFonts w:ascii="Times New Roman" w:hAnsi="Times New Roman" w:cs="Times New Roman"/>
          <w:sz w:val="24"/>
          <w:szCs w:val="24"/>
        </w:rPr>
        <w:t xml:space="preserve">A pot experiment was conducted under glasshouse conditions to evaluate the efficacy of </w:t>
      </w:r>
      <w:r w:rsidRPr="00EB7447">
        <w:rPr>
          <w:rFonts w:ascii="Times New Roman" w:hAnsi="Times New Roman" w:cs="Times New Roman"/>
          <w:i/>
          <w:iCs/>
          <w:sz w:val="24"/>
          <w:szCs w:val="24"/>
        </w:rPr>
        <w:t>Trichoderma</w:t>
      </w:r>
      <w:r w:rsidRPr="00EB7447">
        <w:rPr>
          <w:rFonts w:ascii="Times New Roman" w:hAnsi="Times New Roman" w:cs="Times New Roman"/>
          <w:sz w:val="24"/>
          <w:szCs w:val="24"/>
        </w:rPr>
        <w:t xml:space="preserve"> spp. in managing Southern Blight in tomato. Tomato seedlings were transplanted into earthen pots (30 cm diameter) containing pathogen-infested soil.</w:t>
      </w:r>
      <w:bookmarkEnd w:id="2"/>
      <w:r w:rsidRPr="00EB7447">
        <w:rPr>
          <w:rFonts w:ascii="Times New Roman" w:hAnsi="Times New Roman" w:cs="Times New Roman"/>
          <w:sz w:val="24"/>
          <w:szCs w:val="24"/>
        </w:rPr>
        <w:t xml:space="preserve"> Treatments included individual and combined applications of </w:t>
      </w:r>
      <w:r w:rsidRPr="00EB7447">
        <w:rPr>
          <w:rFonts w:ascii="Times New Roman" w:hAnsi="Times New Roman" w:cs="Times New Roman"/>
          <w:i/>
          <w:iCs/>
          <w:sz w:val="24"/>
          <w:szCs w:val="24"/>
        </w:rPr>
        <w:t>T. viride</w:t>
      </w:r>
      <w:r w:rsidRPr="00EB7447">
        <w:rPr>
          <w:rFonts w:ascii="Times New Roman" w:hAnsi="Times New Roman" w:cs="Times New Roman"/>
          <w:sz w:val="24"/>
          <w:szCs w:val="24"/>
        </w:rPr>
        <w:t xml:space="preserve">, </w:t>
      </w:r>
      <w:r w:rsidRPr="00EB7447">
        <w:rPr>
          <w:rFonts w:ascii="Times New Roman" w:hAnsi="Times New Roman" w:cs="Times New Roman"/>
          <w:i/>
          <w:iCs/>
          <w:sz w:val="24"/>
          <w:szCs w:val="24"/>
        </w:rPr>
        <w:t>T. harzianum</w:t>
      </w:r>
      <w:r w:rsidRPr="00EB7447">
        <w:rPr>
          <w:rFonts w:ascii="Times New Roman" w:hAnsi="Times New Roman" w:cs="Times New Roman"/>
          <w:sz w:val="24"/>
          <w:szCs w:val="24"/>
        </w:rPr>
        <w:t xml:space="preserve">, and </w:t>
      </w:r>
      <w:r w:rsidRPr="00EB7447">
        <w:rPr>
          <w:rFonts w:ascii="Times New Roman" w:hAnsi="Times New Roman" w:cs="Times New Roman"/>
          <w:i/>
          <w:iCs/>
          <w:sz w:val="24"/>
          <w:szCs w:val="24"/>
        </w:rPr>
        <w:t>T. asperellum</w:t>
      </w:r>
      <w:r w:rsidRPr="00EB7447">
        <w:rPr>
          <w:rFonts w:ascii="Times New Roman" w:hAnsi="Times New Roman" w:cs="Times New Roman"/>
          <w:sz w:val="24"/>
          <w:szCs w:val="24"/>
        </w:rPr>
        <w:t xml:space="preserve">, along with uninoculated and inoculated controls and a chemical fungicide for comparison. Bioagents were applied as soil treatments </w:t>
      </w:r>
      <w:r>
        <w:rPr>
          <w:rFonts w:ascii="Times New Roman" w:hAnsi="Times New Roman" w:cs="Times New Roman"/>
          <w:sz w:val="24"/>
          <w:szCs w:val="24"/>
        </w:rPr>
        <w:t>as per the treatments as follows,</w:t>
      </w:r>
    </w:p>
    <w:p w14:paraId="07DD9FC4"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lastRenderedPageBreak/>
        <w:t>T1</w:t>
      </w:r>
      <w:r w:rsidRPr="007521C5">
        <w:rPr>
          <w:rFonts w:ascii="Times New Roman" w:hAnsi="Times New Roman" w:cs="Times New Roman"/>
          <w:sz w:val="24"/>
          <w:szCs w:val="24"/>
        </w:rPr>
        <w:t xml:space="preserve"> – Uninoculated control (neither pathogen nor biocontrol agent applied)</w:t>
      </w:r>
    </w:p>
    <w:p w14:paraId="5C46C8B7"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T2</w:t>
      </w:r>
      <w:r w:rsidRPr="007521C5">
        <w:rPr>
          <w:rFonts w:ascii="Times New Roman" w:hAnsi="Times New Roman" w:cs="Times New Roman"/>
          <w:sz w:val="24"/>
          <w:szCs w:val="24"/>
        </w:rPr>
        <w:t xml:space="preserve"> – Inoculated control (</w:t>
      </w:r>
      <w:r w:rsidRPr="007521C5">
        <w:rPr>
          <w:rFonts w:ascii="Times New Roman" w:hAnsi="Times New Roman" w:cs="Times New Roman"/>
          <w:i/>
          <w:iCs/>
          <w:sz w:val="24"/>
          <w:szCs w:val="24"/>
        </w:rPr>
        <w:t>Sclerotium rolfsii</w:t>
      </w:r>
      <w:r w:rsidRPr="007521C5">
        <w:rPr>
          <w:rFonts w:ascii="Times New Roman" w:hAnsi="Times New Roman" w:cs="Times New Roman"/>
          <w:sz w:val="24"/>
          <w:szCs w:val="24"/>
        </w:rPr>
        <w:t xml:space="preserve"> inoculated without any treatment)</w:t>
      </w:r>
    </w:p>
    <w:p w14:paraId="228EFC42"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T3</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Trichoderma viride</w:t>
      </w:r>
      <w:r w:rsidRPr="007521C5">
        <w:rPr>
          <w:rFonts w:ascii="Times New Roman" w:hAnsi="Times New Roman" w:cs="Times New Roman"/>
          <w:sz w:val="24"/>
          <w:szCs w:val="24"/>
        </w:rPr>
        <w:t xml:space="preserve"> alone</w:t>
      </w:r>
      <w:r>
        <w:rPr>
          <w:rFonts w:ascii="Times New Roman" w:hAnsi="Times New Roman" w:cs="Times New Roman"/>
          <w:sz w:val="24"/>
          <w:szCs w:val="24"/>
        </w:rPr>
        <w:t xml:space="preserve"> (10g/kg)</w:t>
      </w:r>
    </w:p>
    <w:p w14:paraId="62703968"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T4</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Trichoderma harzianum</w:t>
      </w:r>
      <w:r w:rsidRPr="007521C5">
        <w:rPr>
          <w:rFonts w:ascii="Times New Roman" w:hAnsi="Times New Roman" w:cs="Times New Roman"/>
          <w:sz w:val="24"/>
          <w:szCs w:val="24"/>
        </w:rPr>
        <w:t xml:space="preserve"> alone</w:t>
      </w:r>
      <w:r>
        <w:rPr>
          <w:rFonts w:ascii="Times New Roman" w:hAnsi="Times New Roman" w:cs="Times New Roman"/>
          <w:sz w:val="24"/>
          <w:szCs w:val="24"/>
        </w:rPr>
        <w:t xml:space="preserve"> (10g/kg)</w:t>
      </w:r>
    </w:p>
    <w:p w14:paraId="065724ED"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T5</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Trichoderma asperellum</w:t>
      </w:r>
      <w:r w:rsidRPr="007521C5">
        <w:rPr>
          <w:rFonts w:ascii="Times New Roman" w:hAnsi="Times New Roman" w:cs="Times New Roman"/>
          <w:sz w:val="24"/>
          <w:szCs w:val="24"/>
        </w:rPr>
        <w:t xml:space="preserve"> alone</w:t>
      </w:r>
      <w:r>
        <w:rPr>
          <w:rFonts w:ascii="Times New Roman" w:hAnsi="Times New Roman" w:cs="Times New Roman"/>
          <w:sz w:val="24"/>
          <w:szCs w:val="24"/>
        </w:rPr>
        <w:t xml:space="preserve"> (10g/kg)</w:t>
      </w:r>
    </w:p>
    <w:p w14:paraId="583038EA"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T6</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viride</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harzianum</w:t>
      </w:r>
      <w:r>
        <w:rPr>
          <w:rFonts w:ascii="Times New Roman" w:hAnsi="Times New Roman" w:cs="Times New Roman"/>
          <w:i/>
          <w:iCs/>
          <w:sz w:val="24"/>
          <w:szCs w:val="24"/>
        </w:rPr>
        <w:t xml:space="preserve"> </w:t>
      </w:r>
      <w:r>
        <w:rPr>
          <w:rFonts w:ascii="Times New Roman" w:hAnsi="Times New Roman" w:cs="Times New Roman"/>
          <w:sz w:val="24"/>
          <w:szCs w:val="24"/>
        </w:rPr>
        <w:t>(5g+5g/kg)</w:t>
      </w:r>
    </w:p>
    <w:p w14:paraId="4D045847"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T7</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harzianum</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asperellum</w:t>
      </w:r>
      <w:r>
        <w:rPr>
          <w:rFonts w:ascii="Times New Roman" w:hAnsi="Times New Roman" w:cs="Times New Roman"/>
          <w:sz w:val="24"/>
          <w:szCs w:val="24"/>
        </w:rPr>
        <w:t xml:space="preserve"> (5g+5g/kg)</w:t>
      </w:r>
    </w:p>
    <w:p w14:paraId="3ABB6B84"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T8</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asperellum</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viride</w:t>
      </w:r>
      <w:r>
        <w:rPr>
          <w:rFonts w:ascii="Times New Roman" w:hAnsi="Times New Roman" w:cs="Times New Roman"/>
          <w:sz w:val="24"/>
          <w:szCs w:val="24"/>
        </w:rPr>
        <w:t xml:space="preserve"> (5g+5g/kg)</w:t>
      </w:r>
    </w:p>
    <w:p w14:paraId="43188AFC"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T9</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viride</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harzianum</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asperellum</w:t>
      </w:r>
      <w:r>
        <w:rPr>
          <w:rFonts w:ascii="Times New Roman" w:hAnsi="Times New Roman" w:cs="Times New Roman"/>
          <w:i/>
          <w:iCs/>
          <w:sz w:val="24"/>
          <w:szCs w:val="24"/>
        </w:rPr>
        <w:t xml:space="preserve"> </w:t>
      </w:r>
      <w:r>
        <w:rPr>
          <w:rFonts w:ascii="Times New Roman" w:hAnsi="Times New Roman" w:cs="Times New Roman"/>
          <w:sz w:val="24"/>
          <w:szCs w:val="24"/>
        </w:rPr>
        <w:t>(5g+5g+5g/kg)</w:t>
      </w:r>
    </w:p>
    <w:p w14:paraId="1F98ABD5"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T10</w:t>
      </w:r>
      <w:r w:rsidRPr="007521C5">
        <w:rPr>
          <w:rFonts w:ascii="Times New Roman" w:hAnsi="Times New Roman" w:cs="Times New Roman"/>
          <w:sz w:val="24"/>
          <w:szCs w:val="24"/>
        </w:rPr>
        <w:t xml:space="preserve"> – Chemical fungicide (standard check)</w:t>
      </w:r>
      <w:r>
        <w:rPr>
          <w:rFonts w:ascii="Times New Roman" w:hAnsi="Times New Roman" w:cs="Times New Roman"/>
          <w:sz w:val="24"/>
          <w:szCs w:val="24"/>
        </w:rPr>
        <w:t xml:space="preserve"> </w:t>
      </w:r>
      <w:r w:rsidRPr="00854B6A">
        <w:rPr>
          <w:rFonts w:ascii="Times New Roman" w:hAnsi="Times New Roman" w:cs="Times New Roman"/>
          <w:sz w:val="24"/>
          <w:szCs w:val="24"/>
        </w:rPr>
        <w:t xml:space="preserve">(mancozeb </w:t>
      </w:r>
      <w:r>
        <w:rPr>
          <w:rFonts w:ascii="Times New Roman" w:hAnsi="Times New Roman" w:cs="Times New Roman"/>
          <w:sz w:val="24"/>
          <w:szCs w:val="24"/>
        </w:rPr>
        <w:t>5</w:t>
      </w:r>
      <w:r w:rsidRPr="00854B6A">
        <w:rPr>
          <w:rFonts w:ascii="Times New Roman" w:hAnsi="Times New Roman" w:cs="Times New Roman"/>
          <w:sz w:val="24"/>
          <w:szCs w:val="24"/>
        </w:rPr>
        <w:t xml:space="preserve"> g/</w:t>
      </w:r>
      <w:r>
        <w:rPr>
          <w:rFonts w:ascii="Times New Roman" w:hAnsi="Times New Roman" w:cs="Times New Roman"/>
          <w:sz w:val="24"/>
          <w:szCs w:val="24"/>
        </w:rPr>
        <w:t>kg</w:t>
      </w:r>
      <w:r w:rsidRPr="00854B6A">
        <w:rPr>
          <w:rFonts w:ascii="Times New Roman" w:hAnsi="Times New Roman" w:cs="Times New Roman"/>
          <w:sz w:val="24"/>
          <w:szCs w:val="24"/>
        </w:rPr>
        <w:t>)</w:t>
      </w:r>
    </w:p>
    <w:p w14:paraId="3F04CC64" w14:textId="77777777" w:rsidR="00946804" w:rsidRPr="00EB7447" w:rsidRDefault="00946804" w:rsidP="00C11C38">
      <w:pPr>
        <w:spacing w:line="360" w:lineRule="auto"/>
        <w:jc w:val="both"/>
        <w:rPr>
          <w:rFonts w:ascii="Times New Roman" w:hAnsi="Times New Roman" w:cs="Times New Roman"/>
          <w:sz w:val="24"/>
          <w:szCs w:val="24"/>
        </w:rPr>
      </w:pPr>
      <w:r w:rsidRPr="007521C5">
        <w:rPr>
          <w:rFonts w:ascii="Times New Roman" w:hAnsi="Times New Roman" w:cs="Times New Roman"/>
          <w:sz w:val="24"/>
          <w:szCs w:val="24"/>
        </w:rPr>
        <w:t xml:space="preserve">Each treatment was applied by soil incorporation of the respective </w:t>
      </w:r>
      <w:r w:rsidRPr="007521C5">
        <w:rPr>
          <w:rFonts w:ascii="Times New Roman" w:hAnsi="Times New Roman" w:cs="Times New Roman"/>
          <w:i/>
          <w:iCs/>
          <w:sz w:val="24"/>
          <w:szCs w:val="24"/>
        </w:rPr>
        <w:t>Trichoderma</w:t>
      </w:r>
      <w:r w:rsidRPr="007521C5">
        <w:rPr>
          <w:rFonts w:ascii="Times New Roman" w:hAnsi="Times New Roman" w:cs="Times New Roman"/>
          <w:sz w:val="24"/>
          <w:szCs w:val="24"/>
        </w:rPr>
        <w:t xml:space="preserve"> formulations or fungicide at recommended dosages </w:t>
      </w:r>
      <w:r>
        <w:rPr>
          <w:rFonts w:ascii="Times New Roman" w:hAnsi="Times New Roman" w:cs="Times New Roman"/>
          <w:sz w:val="24"/>
          <w:szCs w:val="24"/>
        </w:rPr>
        <w:t>before</w:t>
      </w:r>
      <w:r w:rsidRPr="007521C5">
        <w:rPr>
          <w:rFonts w:ascii="Times New Roman" w:hAnsi="Times New Roman" w:cs="Times New Roman"/>
          <w:sz w:val="24"/>
          <w:szCs w:val="24"/>
        </w:rPr>
        <w:t xml:space="preserve"> pathogen inoculation, except for the uninoculated control.</w:t>
      </w:r>
    </w:p>
    <w:p w14:paraId="3621F324" w14:textId="77777777" w:rsidR="00946804" w:rsidRPr="00EB7447" w:rsidRDefault="00946804" w:rsidP="00C11C38">
      <w:pPr>
        <w:spacing w:line="360" w:lineRule="auto"/>
        <w:rPr>
          <w:rFonts w:ascii="Times New Roman" w:hAnsi="Times New Roman" w:cs="Times New Roman"/>
          <w:sz w:val="24"/>
          <w:szCs w:val="24"/>
        </w:rPr>
      </w:pPr>
      <w:r w:rsidRPr="00EB7447">
        <w:rPr>
          <w:rFonts w:ascii="Times New Roman" w:hAnsi="Times New Roman" w:cs="Times New Roman"/>
          <w:sz w:val="24"/>
          <w:szCs w:val="24"/>
        </w:rPr>
        <w:t>Disease incidence was recorded at fortnightly intervals using the formula:</w:t>
      </w:r>
    </w:p>
    <w:p w14:paraId="4F798B9C" w14:textId="7F3EEB0B" w:rsidR="00946804" w:rsidRPr="00EB7447" w:rsidRDefault="00946804" w:rsidP="00C11C38">
      <w:pPr>
        <w:spacing w:line="360" w:lineRule="auto"/>
        <w:rPr>
          <w:rFonts w:ascii="Times New Roman" w:hAnsi="Times New Roman" w:cs="Times New Roman"/>
          <w:sz w:val="24"/>
          <w:szCs w:val="24"/>
        </w:rPr>
      </w:pPr>
      <w:r w:rsidRPr="00EB7447">
        <w:rPr>
          <w:rFonts w:ascii="Times New Roman" w:hAnsi="Times New Roman" w:cs="Times New Roman"/>
          <w:b/>
          <w:bCs/>
          <w:sz w:val="24"/>
          <w:szCs w:val="24"/>
        </w:rPr>
        <w:t>Disease Incidence (%) = (Number of infected plants / Total number of plants) × 100</w:t>
      </w:r>
    </w:p>
    <w:p w14:paraId="04EDD038" w14:textId="77777777" w:rsidR="00946804" w:rsidRPr="00EB7447" w:rsidRDefault="00946804" w:rsidP="00C11C38">
      <w:pPr>
        <w:spacing w:line="360" w:lineRule="auto"/>
        <w:rPr>
          <w:rFonts w:ascii="Times New Roman" w:hAnsi="Times New Roman" w:cs="Times New Roman"/>
          <w:sz w:val="24"/>
          <w:szCs w:val="24"/>
        </w:rPr>
      </w:pPr>
      <w:r w:rsidRPr="00EB7447">
        <w:rPr>
          <w:rFonts w:ascii="Times New Roman" w:hAnsi="Times New Roman" w:cs="Times New Roman"/>
          <w:sz w:val="24"/>
          <w:szCs w:val="24"/>
        </w:rPr>
        <w:t>Percent disease control (PDC) was calculated as:</w:t>
      </w:r>
    </w:p>
    <w:p w14:paraId="3259A114" w14:textId="77777777" w:rsidR="00946804" w:rsidRPr="00EB7447" w:rsidRDefault="00946804" w:rsidP="00C11C38">
      <w:pPr>
        <w:spacing w:line="360" w:lineRule="auto"/>
        <w:rPr>
          <w:rFonts w:ascii="Times New Roman" w:hAnsi="Times New Roman" w:cs="Times New Roman"/>
          <w:sz w:val="24"/>
          <w:szCs w:val="24"/>
        </w:rPr>
      </w:pPr>
      <w:r w:rsidRPr="00EB7447">
        <w:rPr>
          <w:rFonts w:ascii="Times New Roman" w:hAnsi="Times New Roman" w:cs="Times New Roman"/>
          <w:b/>
          <w:bCs/>
          <w:sz w:val="24"/>
          <w:szCs w:val="24"/>
        </w:rPr>
        <w:t>PDC (%) = [(DI in control − DI in treatment) / DI in control] × 100</w:t>
      </w:r>
    </w:p>
    <w:p w14:paraId="3385409A" w14:textId="4A2D2717" w:rsidR="00946804" w:rsidRPr="00EB7447" w:rsidRDefault="00C11C38" w:rsidP="00C11C38">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r w:rsidR="00073D40">
        <w:rPr>
          <w:rFonts w:ascii="Times New Roman" w:hAnsi="Times New Roman" w:cs="Times New Roman"/>
          <w:b/>
          <w:bCs/>
          <w:sz w:val="24"/>
          <w:szCs w:val="24"/>
        </w:rPr>
        <w:t>6</w:t>
      </w:r>
      <w:r>
        <w:rPr>
          <w:rFonts w:ascii="Times New Roman" w:hAnsi="Times New Roman" w:cs="Times New Roman"/>
          <w:b/>
          <w:bCs/>
          <w:sz w:val="24"/>
          <w:szCs w:val="24"/>
        </w:rPr>
        <w:t xml:space="preserve">. </w:t>
      </w:r>
      <w:r w:rsidR="00946804" w:rsidRPr="00EB7447">
        <w:rPr>
          <w:rFonts w:ascii="Times New Roman" w:hAnsi="Times New Roman" w:cs="Times New Roman"/>
          <w:b/>
          <w:bCs/>
          <w:sz w:val="24"/>
          <w:szCs w:val="24"/>
        </w:rPr>
        <w:t>Assessment of Plant Growth Parameters</w:t>
      </w:r>
    </w:p>
    <w:p w14:paraId="4155F8CB" w14:textId="0A3F3BCF" w:rsidR="00C11C38" w:rsidRPr="00EB7447" w:rsidRDefault="00946804" w:rsidP="00C11C38">
      <w:pPr>
        <w:spacing w:line="360" w:lineRule="auto"/>
        <w:jc w:val="both"/>
        <w:rPr>
          <w:rFonts w:ascii="Times New Roman" w:hAnsi="Times New Roman" w:cs="Times New Roman"/>
          <w:sz w:val="24"/>
          <w:szCs w:val="24"/>
        </w:rPr>
      </w:pPr>
      <w:r w:rsidRPr="00EB7447">
        <w:rPr>
          <w:rFonts w:ascii="Times New Roman" w:hAnsi="Times New Roman" w:cs="Times New Roman"/>
          <w:sz w:val="24"/>
          <w:szCs w:val="24"/>
        </w:rPr>
        <w:t>At 60 days after transplanting, five randomly selected plants from each treatment were uprooted to record shoot and root lengths using a measuring scale. Fresh and dry weights of shoots and roots were also measured. Samples were oven-dried at 60 °C for 24 hours to obtain dry biomass (</w:t>
      </w:r>
      <w:r w:rsidR="000623C9" w:rsidRPr="000623C9">
        <w:rPr>
          <w:rFonts w:ascii="Times New Roman" w:hAnsi="Times New Roman" w:cs="Times New Roman"/>
          <w:sz w:val="24"/>
          <w:szCs w:val="24"/>
        </w:rPr>
        <w:t>Elshahawy</w:t>
      </w:r>
      <w:r w:rsidR="000623C9">
        <w:rPr>
          <w:rFonts w:ascii="Times New Roman" w:hAnsi="Times New Roman" w:cs="Times New Roman"/>
          <w:sz w:val="24"/>
          <w:szCs w:val="24"/>
        </w:rPr>
        <w:t xml:space="preserve"> and El-Mohamedy,</w:t>
      </w:r>
      <w:r w:rsidRPr="00EB7447">
        <w:rPr>
          <w:rFonts w:ascii="Times New Roman" w:hAnsi="Times New Roman" w:cs="Times New Roman"/>
          <w:sz w:val="24"/>
          <w:szCs w:val="24"/>
        </w:rPr>
        <w:t xml:space="preserve"> 2019</w:t>
      </w:r>
      <w:r w:rsidR="006F2DBC">
        <w:rPr>
          <w:rFonts w:ascii="Times New Roman" w:hAnsi="Times New Roman" w:cs="Times New Roman"/>
          <w:sz w:val="24"/>
          <w:szCs w:val="24"/>
        </w:rPr>
        <w:t xml:space="preserve">; Gopal </w:t>
      </w:r>
      <w:r w:rsidR="006F2DBC">
        <w:rPr>
          <w:rFonts w:ascii="Times New Roman" w:hAnsi="Times New Roman" w:cs="Times New Roman"/>
          <w:i/>
          <w:iCs/>
          <w:sz w:val="24"/>
          <w:szCs w:val="24"/>
        </w:rPr>
        <w:t>et al</w:t>
      </w:r>
      <w:r w:rsidR="006F2DBC">
        <w:rPr>
          <w:rFonts w:ascii="Times New Roman" w:hAnsi="Times New Roman" w:cs="Times New Roman"/>
          <w:sz w:val="24"/>
          <w:szCs w:val="24"/>
        </w:rPr>
        <w:t>., 2024</w:t>
      </w:r>
      <w:r w:rsidRPr="00EB7447">
        <w:rPr>
          <w:rFonts w:ascii="Times New Roman" w:hAnsi="Times New Roman" w:cs="Times New Roman"/>
          <w:sz w:val="24"/>
          <w:szCs w:val="24"/>
        </w:rPr>
        <w:t>).</w:t>
      </w:r>
    </w:p>
    <w:p w14:paraId="5E4B6074" w14:textId="0533859C" w:rsidR="00946804" w:rsidRPr="00EB7447" w:rsidRDefault="00C11C38" w:rsidP="00C11C38">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r w:rsidR="00073D40">
        <w:rPr>
          <w:rFonts w:ascii="Times New Roman" w:hAnsi="Times New Roman" w:cs="Times New Roman"/>
          <w:b/>
          <w:bCs/>
          <w:sz w:val="24"/>
          <w:szCs w:val="24"/>
        </w:rPr>
        <w:t>7</w:t>
      </w:r>
      <w:r>
        <w:rPr>
          <w:rFonts w:ascii="Times New Roman" w:hAnsi="Times New Roman" w:cs="Times New Roman"/>
          <w:b/>
          <w:bCs/>
          <w:sz w:val="24"/>
          <w:szCs w:val="24"/>
        </w:rPr>
        <w:t xml:space="preserve">. </w:t>
      </w:r>
      <w:r w:rsidR="00946804" w:rsidRPr="00EB7447">
        <w:rPr>
          <w:rFonts w:ascii="Times New Roman" w:hAnsi="Times New Roman" w:cs="Times New Roman"/>
          <w:b/>
          <w:bCs/>
          <w:sz w:val="24"/>
          <w:szCs w:val="24"/>
        </w:rPr>
        <w:t>Statistical Analysis</w:t>
      </w:r>
    </w:p>
    <w:p w14:paraId="390DECAE" w14:textId="3A8F0FAD" w:rsidR="00DA3345" w:rsidRPr="00916096" w:rsidRDefault="00946804" w:rsidP="00C11C38">
      <w:pPr>
        <w:spacing w:line="360" w:lineRule="auto"/>
        <w:jc w:val="both"/>
        <w:rPr>
          <w:rFonts w:ascii="Times New Roman" w:hAnsi="Times New Roman" w:cs="Times New Roman"/>
          <w:sz w:val="24"/>
          <w:szCs w:val="24"/>
        </w:rPr>
      </w:pPr>
      <w:r w:rsidRPr="00EB7447">
        <w:rPr>
          <w:rFonts w:ascii="Times New Roman" w:hAnsi="Times New Roman" w:cs="Times New Roman"/>
          <w:sz w:val="24"/>
          <w:szCs w:val="24"/>
        </w:rPr>
        <w:t>The experiment was laid out in a completely randomized design (CRD) with three replications. Data were statistically analyzed using ANOVA</w:t>
      </w:r>
      <w:r>
        <w:rPr>
          <w:rFonts w:ascii="Times New Roman" w:hAnsi="Times New Roman" w:cs="Times New Roman"/>
          <w:sz w:val="24"/>
          <w:szCs w:val="24"/>
        </w:rPr>
        <w:t xml:space="preserve"> by using</w:t>
      </w:r>
      <w:r w:rsidRPr="009346CD">
        <w:rPr>
          <w:rFonts w:ascii="Times New Roman" w:hAnsi="Times New Roman" w:cs="Times New Roman"/>
          <w:sz w:val="24"/>
          <w:szCs w:val="24"/>
          <w:lang w:val="en-US"/>
        </w:rPr>
        <w:t xml:space="preserve"> OPSTAT, which is available online at CCSHAU, Hisar website (www.hau.ac.in)</w:t>
      </w:r>
      <w:r w:rsidRPr="00EB7447">
        <w:rPr>
          <w:rFonts w:ascii="Times New Roman" w:hAnsi="Times New Roman" w:cs="Times New Roman"/>
          <w:sz w:val="24"/>
          <w:szCs w:val="24"/>
        </w:rPr>
        <w:t>, and the critical difference (C.D.) at 5% probability was used for comparison of treatment means</w:t>
      </w:r>
      <w:r>
        <w:rPr>
          <w:rFonts w:ascii="Times New Roman" w:hAnsi="Times New Roman" w:cs="Times New Roman"/>
          <w:sz w:val="24"/>
          <w:szCs w:val="24"/>
        </w:rPr>
        <w:t xml:space="preserve">. </w:t>
      </w:r>
    </w:p>
    <w:p w14:paraId="6976978F" w14:textId="36E63863" w:rsidR="00E02F19"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00E02F19" w:rsidRPr="00E02F19">
        <w:rPr>
          <w:rFonts w:ascii="Times New Roman" w:hAnsi="Times New Roman" w:cs="Times New Roman"/>
          <w:b/>
          <w:bCs/>
          <w:sz w:val="24"/>
          <w:szCs w:val="24"/>
        </w:rPr>
        <w:t>RESULTS</w:t>
      </w:r>
    </w:p>
    <w:p w14:paraId="02F5A764" w14:textId="0D4220A1" w:rsidR="00916096" w:rsidRDefault="00916096"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Identification of </w:t>
      </w:r>
      <w:r w:rsidRPr="00E02F19">
        <w:rPr>
          <w:rFonts w:ascii="Times New Roman" w:hAnsi="Times New Roman" w:cs="Times New Roman"/>
          <w:b/>
          <w:bCs/>
          <w:i/>
          <w:iCs/>
          <w:sz w:val="24"/>
          <w:szCs w:val="24"/>
        </w:rPr>
        <w:t>Sclerotium rolfsii</w:t>
      </w:r>
    </w:p>
    <w:p w14:paraId="3AFA0B31" w14:textId="77777777" w:rsidR="0052563D" w:rsidRDefault="0052563D" w:rsidP="00C11C38">
      <w:pPr>
        <w:spacing w:line="360" w:lineRule="auto"/>
        <w:jc w:val="both"/>
        <w:rPr>
          <w:rFonts w:ascii="Times New Roman" w:hAnsi="Times New Roman" w:cs="Times New Roman"/>
          <w:sz w:val="24"/>
          <w:szCs w:val="24"/>
        </w:rPr>
      </w:pPr>
      <w:r w:rsidRPr="0052563D">
        <w:rPr>
          <w:rFonts w:ascii="Times New Roman" w:hAnsi="Times New Roman" w:cs="Times New Roman"/>
          <w:sz w:val="24"/>
          <w:szCs w:val="24"/>
        </w:rPr>
        <w:t xml:space="preserve">Fungal growth on potato dextrose agar (PDA) developed dense, white, cottony aerial mycelium. After 10 days, numerous small, globular sclerotia appeared, averaging 312 per plate (range: 276–360; n=20). These sclerotia measured between 1–3 mm in diameter (mean: 2.21 ± 0.11 mm; n=20), starting white and maturing to dark brown. Cultural and morphological features confirmed the fungus as </w:t>
      </w:r>
      <w:r w:rsidRPr="0052563D">
        <w:rPr>
          <w:rFonts w:ascii="Times New Roman" w:hAnsi="Times New Roman" w:cs="Times New Roman"/>
          <w:i/>
          <w:iCs/>
          <w:sz w:val="24"/>
          <w:szCs w:val="24"/>
        </w:rPr>
        <w:t>Sclerotium rolfsii</w:t>
      </w:r>
      <w:r w:rsidRPr="0052563D">
        <w:rPr>
          <w:rFonts w:ascii="Times New Roman" w:hAnsi="Times New Roman" w:cs="Times New Roman"/>
          <w:sz w:val="24"/>
          <w:szCs w:val="24"/>
        </w:rPr>
        <w:t xml:space="preserve"> Sacc., the anamorph of </w:t>
      </w:r>
      <w:r w:rsidRPr="0052563D">
        <w:rPr>
          <w:rFonts w:ascii="Times New Roman" w:hAnsi="Times New Roman" w:cs="Times New Roman"/>
          <w:i/>
          <w:iCs/>
          <w:sz w:val="24"/>
          <w:szCs w:val="24"/>
        </w:rPr>
        <w:t>Agroathelia rolfsii</w:t>
      </w:r>
      <w:r w:rsidRPr="0052563D">
        <w:rPr>
          <w:rFonts w:ascii="Times New Roman" w:hAnsi="Times New Roman" w:cs="Times New Roman"/>
          <w:sz w:val="24"/>
          <w:szCs w:val="24"/>
        </w:rPr>
        <w:t xml:space="preserve"> (Sacc.) Redhead &amp; Mullineux, consistent with findings from Aljabali </w:t>
      </w:r>
      <w:r w:rsidRPr="0052563D">
        <w:rPr>
          <w:rFonts w:ascii="Times New Roman" w:hAnsi="Times New Roman" w:cs="Times New Roman"/>
          <w:i/>
          <w:iCs/>
          <w:sz w:val="24"/>
          <w:szCs w:val="24"/>
        </w:rPr>
        <w:t>et al</w:t>
      </w:r>
      <w:r w:rsidRPr="0052563D">
        <w:rPr>
          <w:rFonts w:ascii="Times New Roman" w:hAnsi="Times New Roman" w:cs="Times New Roman"/>
          <w:sz w:val="24"/>
          <w:szCs w:val="24"/>
        </w:rPr>
        <w:t>. (2025).</w:t>
      </w:r>
    </w:p>
    <w:p w14:paraId="05A13B5E" w14:textId="013DCD4F" w:rsidR="00E02F19" w:rsidRPr="00E02F19"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916096">
        <w:rPr>
          <w:rFonts w:ascii="Times New Roman" w:hAnsi="Times New Roman" w:cs="Times New Roman"/>
          <w:b/>
          <w:bCs/>
          <w:sz w:val="24"/>
          <w:szCs w:val="24"/>
        </w:rPr>
        <w:t>2</w:t>
      </w:r>
      <w:r>
        <w:rPr>
          <w:rFonts w:ascii="Times New Roman" w:hAnsi="Times New Roman" w:cs="Times New Roman"/>
          <w:b/>
          <w:bCs/>
          <w:sz w:val="24"/>
          <w:szCs w:val="24"/>
        </w:rPr>
        <w:t xml:space="preserve">. </w:t>
      </w:r>
      <w:r w:rsidR="00E02F19" w:rsidRPr="00E02F19">
        <w:rPr>
          <w:rFonts w:ascii="Times New Roman" w:hAnsi="Times New Roman" w:cs="Times New Roman"/>
          <w:b/>
          <w:bCs/>
          <w:sz w:val="24"/>
          <w:szCs w:val="24"/>
        </w:rPr>
        <w:t xml:space="preserve">In Vitro Evaluation of </w:t>
      </w:r>
      <w:r w:rsidR="00E02F19" w:rsidRPr="00E02F19">
        <w:rPr>
          <w:rFonts w:ascii="Times New Roman" w:hAnsi="Times New Roman" w:cs="Times New Roman"/>
          <w:b/>
          <w:bCs/>
          <w:i/>
          <w:iCs/>
          <w:sz w:val="24"/>
          <w:szCs w:val="24"/>
        </w:rPr>
        <w:t>Trichoderma</w:t>
      </w:r>
      <w:r w:rsidR="00E02F19" w:rsidRPr="00E02F19">
        <w:rPr>
          <w:rFonts w:ascii="Times New Roman" w:hAnsi="Times New Roman" w:cs="Times New Roman"/>
          <w:b/>
          <w:bCs/>
          <w:sz w:val="24"/>
          <w:szCs w:val="24"/>
        </w:rPr>
        <w:t xml:space="preserve"> spp. Against </w:t>
      </w:r>
      <w:r w:rsidR="00E02F19" w:rsidRPr="00E02F19">
        <w:rPr>
          <w:rFonts w:ascii="Times New Roman" w:hAnsi="Times New Roman" w:cs="Times New Roman"/>
          <w:b/>
          <w:bCs/>
          <w:i/>
          <w:iCs/>
          <w:sz w:val="24"/>
          <w:szCs w:val="24"/>
        </w:rPr>
        <w:t>Sclerotium rolfsii</w:t>
      </w:r>
    </w:p>
    <w:p w14:paraId="156F46A4" w14:textId="44BA3C93" w:rsidR="00E02F19" w:rsidRP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t xml:space="preserve">The antagonistic efficacy of three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species—</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w:t>
      </w:r>
      <w:r w:rsidRPr="00E02F19">
        <w:rPr>
          <w:rFonts w:ascii="Times New Roman" w:hAnsi="Times New Roman" w:cs="Times New Roman"/>
          <w:i/>
          <w:iCs/>
          <w:sz w:val="24"/>
          <w:szCs w:val="24"/>
        </w:rPr>
        <w:t>T. harzianum</w:t>
      </w:r>
      <w:r w:rsidRPr="00E02F19">
        <w:rPr>
          <w:rFonts w:ascii="Times New Roman" w:hAnsi="Times New Roman" w:cs="Times New Roman"/>
          <w:sz w:val="24"/>
          <w:szCs w:val="24"/>
        </w:rPr>
        <w:t xml:space="preserve">, and </w:t>
      </w:r>
      <w:r w:rsidRPr="00E02F19">
        <w:rPr>
          <w:rFonts w:ascii="Times New Roman" w:hAnsi="Times New Roman" w:cs="Times New Roman"/>
          <w:i/>
          <w:iCs/>
          <w:sz w:val="24"/>
          <w:szCs w:val="24"/>
        </w:rPr>
        <w:t>T. asperellum</w:t>
      </w:r>
      <w:r w:rsidRPr="00E02F19">
        <w:rPr>
          <w:rFonts w:ascii="Times New Roman" w:hAnsi="Times New Roman" w:cs="Times New Roman"/>
          <w:sz w:val="24"/>
          <w:szCs w:val="24"/>
        </w:rPr>
        <w:t xml:space="preserve">—against </w:t>
      </w:r>
      <w:r w:rsidRPr="00E02F19">
        <w:rPr>
          <w:rFonts w:ascii="Times New Roman" w:hAnsi="Times New Roman" w:cs="Times New Roman"/>
          <w:i/>
          <w:iCs/>
          <w:sz w:val="24"/>
          <w:szCs w:val="24"/>
        </w:rPr>
        <w:t>Sclerotium rolfsii</w:t>
      </w:r>
      <w:r w:rsidRPr="00E02F19">
        <w:rPr>
          <w:rFonts w:ascii="Times New Roman" w:hAnsi="Times New Roman" w:cs="Times New Roman"/>
          <w:sz w:val="24"/>
          <w:szCs w:val="24"/>
        </w:rPr>
        <w:t xml:space="preserve"> was assessed using a dual culture technique. All three species significantly inhibited the radial growth of the pathogen compared to the control, demonstrating their potential as biocontrol agents</w:t>
      </w:r>
      <w:r w:rsidR="00A47047">
        <w:rPr>
          <w:rFonts w:ascii="Times New Roman" w:hAnsi="Times New Roman" w:cs="Times New Roman"/>
          <w:sz w:val="24"/>
          <w:szCs w:val="24"/>
        </w:rPr>
        <w:t xml:space="preserve"> (Fig. </w:t>
      </w:r>
      <w:r w:rsidR="00402561">
        <w:rPr>
          <w:rFonts w:ascii="Times New Roman" w:hAnsi="Times New Roman" w:cs="Times New Roman"/>
          <w:sz w:val="24"/>
          <w:szCs w:val="24"/>
        </w:rPr>
        <w:t>1 &amp; 2</w:t>
      </w:r>
      <w:r w:rsidR="00A47047">
        <w:rPr>
          <w:rFonts w:ascii="Times New Roman" w:hAnsi="Times New Roman" w:cs="Times New Roman"/>
          <w:sz w:val="24"/>
          <w:szCs w:val="24"/>
        </w:rPr>
        <w:t>)</w:t>
      </w:r>
      <w:r w:rsidRPr="00E02F19">
        <w:rPr>
          <w:rFonts w:ascii="Times New Roman" w:hAnsi="Times New Roman" w:cs="Times New Roman"/>
          <w:sz w:val="24"/>
          <w:szCs w:val="24"/>
        </w:rPr>
        <w:t>.</w:t>
      </w:r>
    </w:p>
    <w:p w14:paraId="6625C585" w14:textId="600434C1" w:rsidR="00C11C38"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t xml:space="preserve">Among the isolates, </w:t>
      </w:r>
      <w:r w:rsidRPr="00E02F19">
        <w:rPr>
          <w:rFonts w:ascii="Times New Roman" w:hAnsi="Times New Roman" w:cs="Times New Roman"/>
          <w:i/>
          <w:iCs/>
          <w:sz w:val="24"/>
          <w:szCs w:val="24"/>
        </w:rPr>
        <w:t>T. harzianum</w:t>
      </w:r>
      <w:r w:rsidRPr="00E02F19">
        <w:rPr>
          <w:rFonts w:ascii="Times New Roman" w:hAnsi="Times New Roman" w:cs="Times New Roman"/>
          <w:sz w:val="24"/>
          <w:szCs w:val="24"/>
        </w:rPr>
        <w:t xml:space="preserve"> (T2) exhibited the highest antagonistic activity, reducing mycelial growth to 3.14 ± 0.081 cm with an inhibition rate of 64.95%. This was followed by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(T1), which achieved 59.82% inhibition (3.60 ± 0.158 cm), and </w:t>
      </w:r>
      <w:r w:rsidRPr="00E02F19">
        <w:rPr>
          <w:rFonts w:ascii="Times New Roman" w:hAnsi="Times New Roman" w:cs="Times New Roman"/>
          <w:i/>
          <w:iCs/>
          <w:sz w:val="24"/>
          <w:szCs w:val="24"/>
        </w:rPr>
        <w:t>T. asperellum</w:t>
      </w:r>
      <w:r w:rsidRPr="00E02F19">
        <w:rPr>
          <w:rFonts w:ascii="Times New Roman" w:hAnsi="Times New Roman" w:cs="Times New Roman"/>
          <w:sz w:val="24"/>
          <w:szCs w:val="24"/>
        </w:rPr>
        <w:t xml:space="preserve"> (T3), which showed 50.66% inhibition (4.42 ± 0.097 cm)</w:t>
      </w:r>
      <w:r w:rsidR="00A47047">
        <w:rPr>
          <w:rFonts w:ascii="Times New Roman" w:hAnsi="Times New Roman" w:cs="Times New Roman"/>
          <w:sz w:val="24"/>
          <w:szCs w:val="24"/>
        </w:rPr>
        <w:t xml:space="preserve"> (Table 1, Graph 1 &amp; 2)</w:t>
      </w:r>
      <w:r w:rsidRPr="00E02F19">
        <w:rPr>
          <w:rFonts w:ascii="Times New Roman" w:hAnsi="Times New Roman" w:cs="Times New Roman"/>
          <w:sz w:val="24"/>
          <w:szCs w:val="24"/>
        </w:rPr>
        <w:t xml:space="preserve">. The untreated control (T4) recorded maximum pathogen growth at 8.96 ± 0.024 cm. Statistical analysis confirmed significant differences among treatments (CD: 0.308; SEm: 0.102; SEd: 0.144), establishing </w:t>
      </w:r>
      <w:r w:rsidRPr="00E02F19">
        <w:rPr>
          <w:rFonts w:ascii="Times New Roman" w:hAnsi="Times New Roman" w:cs="Times New Roman"/>
          <w:i/>
          <w:iCs/>
          <w:sz w:val="24"/>
          <w:szCs w:val="24"/>
        </w:rPr>
        <w:t>T. harzianum</w:t>
      </w:r>
      <w:r w:rsidRPr="00E02F19">
        <w:rPr>
          <w:rFonts w:ascii="Times New Roman" w:hAnsi="Times New Roman" w:cs="Times New Roman"/>
          <w:sz w:val="24"/>
          <w:szCs w:val="24"/>
        </w:rPr>
        <w:t xml:space="preserve"> and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as strong antagonists in vitro</w:t>
      </w:r>
      <w:r w:rsidR="00DA3345">
        <w:rPr>
          <w:rFonts w:ascii="Times New Roman" w:hAnsi="Times New Roman" w:cs="Times New Roman"/>
          <w:sz w:val="24"/>
          <w:szCs w:val="24"/>
        </w:rPr>
        <w:t>.</w:t>
      </w:r>
    </w:p>
    <w:p w14:paraId="121F0E19" w14:textId="77777777" w:rsidR="00916096" w:rsidRDefault="00916096" w:rsidP="00C11C38">
      <w:pPr>
        <w:spacing w:line="360" w:lineRule="auto"/>
        <w:jc w:val="both"/>
        <w:rPr>
          <w:rFonts w:ascii="Times New Roman" w:hAnsi="Times New Roman" w:cs="Times New Roman"/>
          <w:sz w:val="24"/>
          <w:szCs w:val="24"/>
        </w:rPr>
      </w:pPr>
    </w:p>
    <w:p w14:paraId="7DBF2516" w14:textId="77777777" w:rsidR="00916096" w:rsidRDefault="00916096" w:rsidP="00C11C38">
      <w:pPr>
        <w:spacing w:line="360" w:lineRule="auto"/>
        <w:jc w:val="both"/>
        <w:rPr>
          <w:rFonts w:ascii="Times New Roman" w:hAnsi="Times New Roman" w:cs="Times New Roman"/>
          <w:sz w:val="24"/>
          <w:szCs w:val="24"/>
        </w:rPr>
      </w:pPr>
    </w:p>
    <w:p w14:paraId="51704488" w14:textId="77777777" w:rsidR="00916096" w:rsidRDefault="00916096" w:rsidP="00C11C38">
      <w:pPr>
        <w:spacing w:line="360" w:lineRule="auto"/>
        <w:jc w:val="both"/>
        <w:rPr>
          <w:rFonts w:ascii="Times New Roman" w:hAnsi="Times New Roman" w:cs="Times New Roman"/>
          <w:sz w:val="24"/>
          <w:szCs w:val="24"/>
        </w:rPr>
      </w:pPr>
    </w:p>
    <w:p w14:paraId="74F92D68" w14:textId="77777777" w:rsidR="00916096" w:rsidRDefault="00916096" w:rsidP="00C11C38">
      <w:pPr>
        <w:spacing w:line="360" w:lineRule="auto"/>
        <w:jc w:val="both"/>
        <w:rPr>
          <w:rFonts w:ascii="Times New Roman" w:hAnsi="Times New Roman" w:cs="Times New Roman"/>
          <w:sz w:val="24"/>
          <w:szCs w:val="24"/>
        </w:rPr>
      </w:pPr>
    </w:p>
    <w:p w14:paraId="14D4DC9C" w14:textId="77777777" w:rsidR="00916096" w:rsidRDefault="00916096" w:rsidP="00C11C38">
      <w:pPr>
        <w:spacing w:line="360" w:lineRule="auto"/>
        <w:jc w:val="both"/>
        <w:rPr>
          <w:rFonts w:ascii="Times New Roman" w:hAnsi="Times New Roman" w:cs="Times New Roman"/>
          <w:sz w:val="24"/>
          <w:szCs w:val="24"/>
        </w:rPr>
      </w:pPr>
    </w:p>
    <w:p w14:paraId="76D52D6E" w14:textId="77777777" w:rsidR="00916096" w:rsidRDefault="00916096" w:rsidP="00C11C38">
      <w:pPr>
        <w:spacing w:line="360" w:lineRule="auto"/>
        <w:jc w:val="both"/>
        <w:rPr>
          <w:rFonts w:ascii="Times New Roman" w:hAnsi="Times New Roman" w:cs="Times New Roman"/>
          <w:sz w:val="24"/>
          <w:szCs w:val="24"/>
        </w:rPr>
      </w:pPr>
    </w:p>
    <w:p w14:paraId="0240B99C" w14:textId="77777777" w:rsidR="00916096" w:rsidRDefault="00916096" w:rsidP="00C11C38">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Y="877"/>
        <w:tblW w:w="9157" w:type="dxa"/>
        <w:tblLook w:val="04A0" w:firstRow="1" w:lastRow="0" w:firstColumn="1" w:lastColumn="0" w:noHBand="0" w:noVBand="1"/>
      </w:tblPr>
      <w:tblGrid>
        <w:gridCol w:w="3161"/>
        <w:gridCol w:w="2941"/>
        <w:gridCol w:w="3055"/>
      </w:tblGrid>
      <w:tr w:rsidR="00C11C38" w:rsidRPr="00C5480A" w14:paraId="6C8CD195" w14:textId="77777777" w:rsidTr="00DA3345">
        <w:trPr>
          <w:trHeight w:val="295"/>
        </w:trPr>
        <w:tc>
          <w:tcPr>
            <w:tcW w:w="3161" w:type="dxa"/>
            <w:vAlign w:val="center"/>
          </w:tcPr>
          <w:p w14:paraId="5A0619BD"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sidRPr="00C5480A">
              <w:rPr>
                <w:rFonts w:ascii="Times New Roman" w:hAnsi="Times New Roman" w:cs="Times New Roman"/>
                <w:sz w:val="24"/>
                <w:szCs w:val="24"/>
              </w:rPr>
              <w:lastRenderedPageBreak/>
              <w:t>Treatment</w:t>
            </w:r>
          </w:p>
        </w:tc>
        <w:tc>
          <w:tcPr>
            <w:tcW w:w="2941" w:type="dxa"/>
            <w:vAlign w:val="center"/>
          </w:tcPr>
          <w:p w14:paraId="371653DC"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Mycelial Growth of </w:t>
            </w:r>
            <w:r>
              <w:rPr>
                <w:rFonts w:ascii="Times New Roman" w:hAnsi="Times New Roman" w:cs="Times New Roman"/>
                <w:i/>
                <w:iCs/>
                <w:sz w:val="24"/>
                <w:szCs w:val="24"/>
              </w:rPr>
              <w:t>S. rolfsii</w:t>
            </w:r>
            <w:r>
              <w:rPr>
                <w:rFonts w:ascii="Times New Roman" w:hAnsi="Times New Roman" w:cs="Times New Roman"/>
                <w:sz w:val="24"/>
                <w:szCs w:val="24"/>
              </w:rPr>
              <w:t xml:space="preserve"> (cm) (Mean±SE)</w:t>
            </w:r>
          </w:p>
        </w:tc>
        <w:tc>
          <w:tcPr>
            <w:tcW w:w="3055" w:type="dxa"/>
            <w:vAlign w:val="center"/>
          </w:tcPr>
          <w:p w14:paraId="6E9BDD7C"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Inhibition (%)</w:t>
            </w:r>
          </w:p>
        </w:tc>
      </w:tr>
      <w:tr w:rsidR="00C11C38" w:rsidRPr="00C5480A" w14:paraId="51CEF3E6" w14:textId="77777777" w:rsidTr="00DA3345">
        <w:trPr>
          <w:trHeight w:val="295"/>
        </w:trPr>
        <w:tc>
          <w:tcPr>
            <w:tcW w:w="3161" w:type="dxa"/>
            <w:vAlign w:val="center"/>
          </w:tcPr>
          <w:p w14:paraId="715144ED" w14:textId="77777777" w:rsidR="00C11C38"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T1</w:t>
            </w:r>
          </w:p>
          <w:p w14:paraId="55CE256B"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 xml:space="preserve">Trichoderma viride </w:t>
            </w:r>
            <w:r>
              <w:rPr>
                <w:rFonts w:ascii="Times New Roman" w:hAnsi="Times New Roman" w:cs="Times New Roman"/>
                <w:sz w:val="24"/>
                <w:szCs w:val="24"/>
              </w:rPr>
              <w:t xml:space="preserve">+ </w:t>
            </w:r>
            <w:r w:rsidRPr="009274F4">
              <w:rPr>
                <w:rFonts w:ascii="Times New Roman" w:hAnsi="Times New Roman" w:cs="Times New Roman"/>
                <w:i/>
                <w:iCs/>
                <w:sz w:val="24"/>
                <w:szCs w:val="24"/>
              </w:rPr>
              <w:t>S. rolfsii</w:t>
            </w:r>
            <w:r>
              <w:rPr>
                <w:rFonts w:ascii="Times New Roman" w:hAnsi="Times New Roman" w:cs="Times New Roman"/>
                <w:sz w:val="24"/>
                <w:szCs w:val="24"/>
              </w:rPr>
              <w:t>)</w:t>
            </w:r>
          </w:p>
        </w:tc>
        <w:tc>
          <w:tcPr>
            <w:tcW w:w="2941" w:type="dxa"/>
            <w:vAlign w:val="center"/>
          </w:tcPr>
          <w:p w14:paraId="607E544F"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3.600±0.158</w:t>
            </w:r>
          </w:p>
        </w:tc>
        <w:tc>
          <w:tcPr>
            <w:tcW w:w="3055" w:type="dxa"/>
            <w:vAlign w:val="center"/>
          </w:tcPr>
          <w:p w14:paraId="69753DC1"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59.82</w:t>
            </w:r>
          </w:p>
        </w:tc>
      </w:tr>
      <w:tr w:rsidR="00C11C38" w:rsidRPr="00C5480A" w14:paraId="199F9CB9" w14:textId="77777777" w:rsidTr="00DA3345">
        <w:trPr>
          <w:trHeight w:val="310"/>
        </w:trPr>
        <w:tc>
          <w:tcPr>
            <w:tcW w:w="3161" w:type="dxa"/>
            <w:vAlign w:val="center"/>
          </w:tcPr>
          <w:p w14:paraId="0B6F8FC8" w14:textId="77777777" w:rsidR="00C11C38"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T2</w:t>
            </w:r>
          </w:p>
          <w:p w14:paraId="51EB9B3C"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Trichoderma harzianum</w:t>
            </w:r>
            <w:r>
              <w:rPr>
                <w:rFonts w:ascii="Times New Roman" w:hAnsi="Times New Roman" w:cs="Times New Roman"/>
                <w:sz w:val="24"/>
                <w:szCs w:val="24"/>
              </w:rPr>
              <w:t xml:space="preserve"> + </w:t>
            </w:r>
            <w:r w:rsidRPr="009274F4">
              <w:rPr>
                <w:rFonts w:ascii="Times New Roman" w:hAnsi="Times New Roman" w:cs="Times New Roman"/>
                <w:i/>
                <w:iCs/>
                <w:sz w:val="24"/>
                <w:szCs w:val="24"/>
              </w:rPr>
              <w:t>S. rolfsii</w:t>
            </w:r>
            <w:r>
              <w:rPr>
                <w:rFonts w:ascii="Times New Roman" w:hAnsi="Times New Roman" w:cs="Times New Roman"/>
                <w:sz w:val="24"/>
                <w:szCs w:val="24"/>
              </w:rPr>
              <w:t>)</w:t>
            </w:r>
          </w:p>
        </w:tc>
        <w:tc>
          <w:tcPr>
            <w:tcW w:w="2941" w:type="dxa"/>
            <w:vAlign w:val="center"/>
          </w:tcPr>
          <w:p w14:paraId="56AF33BF"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3.140±0.081</w:t>
            </w:r>
          </w:p>
        </w:tc>
        <w:tc>
          <w:tcPr>
            <w:tcW w:w="3055" w:type="dxa"/>
            <w:vAlign w:val="center"/>
          </w:tcPr>
          <w:p w14:paraId="1A611642"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64.95</w:t>
            </w:r>
          </w:p>
        </w:tc>
      </w:tr>
      <w:tr w:rsidR="00C11C38" w:rsidRPr="00C5480A" w14:paraId="3F71DB52" w14:textId="77777777" w:rsidTr="00DA3345">
        <w:trPr>
          <w:trHeight w:val="295"/>
        </w:trPr>
        <w:tc>
          <w:tcPr>
            <w:tcW w:w="3161" w:type="dxa"/>
            <w:vAlign w:val="center"/>
          </w:tcPr>
          <w:p w14:paraId="1B4C2845" w14:textId="77777777" w:rsidR="00C11C38"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T3</w:t>
            </w:r>
          </w:p>
          <w:p w14:paraId="53B1A858"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Trichoderma asperllum</w:t>
            </w:r>
            <w:r>
              <w:rPr>
                <w:rFonts w:ascii="Times New Roman" w:hAnsi="Times New Roman" w:cs="Times New Roman"/>
                <w:sz w:val="24"/>
                <w:szCs w:val="24"/>
              </w:rPr>
              <w:t xml:space="preserve"> + </w:t>
            </w:r>
            <w:r w:rsidRPr="009274F4">
              <w:rPr>
                <w:rFonts w:ascii="Times New Roman" w:hAnsi="Times New Roman" w:cs="Times New Roman"/>
                <w:i/>
                <w:iCs/>
                <w:sz w:val="24"/>
                <w:szCs w:val="24"/>
              </w:rPr>
              <w:t>S. rolfsii</w:t>
            </w:r>
            <w:r>
              <w:rPr>
                <w:rFonts w:ascii="Times New Roman" w:hAnsi="Times New Roman" w:cs="Times New Roman"/>
                <w:sz w:val="24"/>
                <w:szCs w:val="24"/>
              </w:rPr>
              <w:t>)</w:t>
            </w:r>
          </w:p>
        </w:tc>
        <w:tc>
          <w:tcPr>
            <w:tcW w:w="2941" w:type="dxa"/>
            <w:vAlign w:val="center"/>
          </w:tcPr>
          <w:p w14:paraId="61942A88"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4.420±0.097</w:t>
            </w:r>
          </w:p>
        </w:tc>
        <w:tc>
          <w:tcPr>
            <w:tcW w:w="3055" w:type="dxa"/>
            <w:vAlign w:val="center"/>
          </w:tcPr>
          <w:p w14:paraId="0C309932"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50.66</w:t>
            </w:r>
          </w:p>
        </w:tc>
      </w:tr>
      <w:tr w:rsidR="00C11C38" w:rsidRPr="00C5480A" w14:paraId="5D496D15" w14:textId="77777777" w:rsidTr="00DA3345">
        <w:trPr>
          <w:trHeight w:val="295"/>
        </w:trPr>
        <w:tc>
          <w:tcPr>
            <w:tcW w:w="3161" w:type="dxa"/>
            <w:vAlign w:val="center"/>
          </w:tcPr>
          <w:p w14:paraId="0DF7AF8F" w14:textId="77777777" w:rsidR="00C11C38"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T4</w:t>
            </w:r>
          </w:p>
          <w:p w14:paraId="7216C176"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sidRPr="009274F4">
              <w:rPr>
                <w:rFonts w:ascii="Times New Roman" w:hAnsi="Times New Roman" w:cs="Times New Roman"/>
                <w:i/>
                <w:iCs/>
                <w:sz w:val="24"/>
                <w:szCs w:val="24"/>
              </w:rPr>
              <w:t>S. rolfsii</w:t>
            </w:r>
            <w:r>
              <w:rPr>
                <w:rFonts w:ascii="Times New Roman" w:hAnsi="Times New Roman" w:cs="Times New Roman"/>
                <w:sz w:val="24"/>
                <w:szCs w:val="24"/>
              </w:rPr>
              <w:t xml:space="preserve"> only)</w:t>
            </w:r>
          </w:p>
        </w:tc>
        <w:tc>
          <w:tcPr>
            <w:tcW w:w="2941" w:type="dxa"/>
            <w:vAlign w:val="center"/>
          </w:tcPr>
          <w:p w14:paraId="6E08B4C4"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8.960±0.024</w:t>
            </w:r>
          </w:p>
        </w:tc>
        <w:tc>
          <w:tcPr>
            <w:tcW w:w="3055" w:type="dxa"/>
            <w:vAlign w:val="center"/>
          </w:tcPr>
          <w:p w14:paraId="5F0BA86E"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C11C38" w:rsidRPr="00C5480A" w14:paraId="06AB21F9" w14:textId="77777777" w:rsidTr="00DA3345">
        <w:trPr>
          <w:trHeight w:val="295"/>
        </w:trPr>
        <w:tc>
          <w:tcPr>
            <w:tcW w:w="3161" w:type="dxa"/>
            <w:vAlign w:val="center"/>
          </w:tcPr>
          <w:p w14:paraId="64EAB8C3"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sidRPr="00B11326">
              <w:rPr>
                <w:rFonts w:ascii="Times New Roman" w:hAnsi="Times New Roman" w:cs="Times New Roman"/>
                <w:sz w:val="24"/>
                <w:szCs w:val="24"/>
              </w:rPr>
              <w:t>C.D</w:t>
            </w:r>
          </w:p>
        </w:tc>
        <w:tc>
          <w:tcPr>
            <w:tcW w:w="5996" w:type="dxa"/>
            <w:gridSpan w:val="2"/>
            <w:vAlign w:val="center"/>
          </w:tcPr>
          <w:p w14:paraId="1BBEED87"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0.308</w:t>
            </w:r>
          </w:p>
        </w:tc>
      </w:tr>
      <w:tr w:rsidR="00C11C38" w:rsidRPr="00C5480A" w14:paraId="103DE0ED" w14:textId="77777777" w:rsidTr="00DA3345">
        <w:trPr>
          <w:trHeight w:val="295"/>
        </w:trPr>
        <w:tc>
          <w:tcPr>
            <w:tcW w:w="3161" w:type="dxa"/>
            <w:vAlign w:val="center"/>
          </w:tcPr>
          <w:p w14:paraId="6E42FD55"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sidRPr="00B11326">
              <w:rPr>
                <w:rFonts w:ascii="Times New Roman" w:hAnsi="Times New Roman" w:cs="Times New Roman"/>
                <w:sz w:val="24"/>
                <w:szCs w:val="24"/>
              </w:rPr>
              <w:t>S.E.(m)</w:t>
            </w:r>
          </w:p>
        </w:tc>
        <w:tc>
          <w:tcPr>
            <w:tcW w:w="5996" w:type="dxa"/>
            <w:gridSpan w:val="2"/>
            <w:vAlign w:val="center"/>
          </w:tcPr>
          <w:p w14:paraId="1AFDA8B5"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0.102</w:t>
            </w:r>
          </w:p>
        </w:tc>
      </w:tr>
      <w:tr w:rsidR="00C11C38" w:rsidRPr="00C5480A" w14:paraId="6AF16B29" w14:textId="77777777" w:rsidTr="00DA3345">
        <w:trPr>
          <w:trHeight w:val="295"/>
        </w:trPr>
        <w:tc>
          <w:tcPr>
            <w:tcW w:w="3161" w:type="dxa"/>
            <w:vAlign w:val="center"/>
          </w:tcPr>
          <w:p w14:paraId="30EAAE47"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sidRPr="00B11326">
              <w:rPr>
                <w:rFonts w:ascii="Times New Roman" w:hAnsi="Times New Roman" w:cs="Times New Roman"/>
                <w:sz w:val="24"/>
                <w:szCs w:val="24"/>
              </w:rPr>
              <w:t>S.E.(d)</w:t>
            </w:r>
          </w:p>
        </w:tc>
        <w:tc>
          <w:tcPr>
            <w:tcW w:w="5996" w:type="dxa"/>
            <w:gridSpan w:val="2"/>
            <w:vAlign w:val="center"/>
          </w:tcPr>
          <w:p w14:paraId="362CACE4"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0.144</w:t>
            </w:r>
          </w:p>
        </w:tc>
      </w:tr>
    </w:tbl>
    <w:p w14:paraId="68F526F8" w14:textId="1FE4EABC" w:rsidR="00C11C38" w:rsidRDefault="00C11C38" w:rsidP="00C11C38">
      <w:pPr>
        <w:spacing w:line="360" w:lineRule="auto"/>
        <w:jc w:val="both"/>
        <w:rPr>
          <w:rFonts w:ascii="Times New Roman" w:hAnsi="Times New Roman" w:cs="Times New Roman"/>
          <w:sz w:val="24"/>
          <w:szCs w:val="24"/>
        </w:rPr>
      </w:pPr>
      <w:r w:rsidRPr="008B62C3">
        <w:rPr>
          <w:rFonts w:ascii="Times New Roman" w:hAnsi="Times New Roman" w:cs="Times New Roman"/>
          <w:b/>
          <w:bCs/>
          <w:sz w:val="24"/>
          <w:szCs w:val="24"/>
        </w:rPr>
        <w:t>Table 1.</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mycelial growth of </w:t>
      </w:r>
      <w:r>
        <w:rPr>
          <w:rFonts w:ascii="Times New Roman" w:hAnsi="Times New Roman" w:cs="Times New Roman"/>
          <w:i/>
          <w:iCs/>
          <w:sz w:val="24"/>
          <w:szCs w:val="24"/>
        </w:rPr>
        <w:t xml:space="preserve">Sclerotium rolfsii </w:t>
      </w:r>
      <w:r>
        <w:rPr>
          <w:rFonts w:ascii="Times New Roman" w:hAnsi="Times New Roman" w:cs="Times New Roman"/>
          <w:sz w:val="24"/>
          <w:szCs w:val="24"/>
        </w:rPr>
        <w:t>in the dual culture method.</w:t>
      </w:r>
    </w:p>
    <w:p w14:paraId="3A8F905D" w14:textId="037B8AF4" w:rsidR="00E02F19" w:rsidRDefault="00E02F19" w:rsidP="00C11C38">
      <w:pPr>
        <w:spacing w:line="360" w:lineRule="auto"/>
        <w:jc w:val="both"/>
        <w:rPr>
          <w:rFonts w:ascii="Times New Roman" w:hAnsi="Times New Roman" w:cs="Times New Roman"/>
          <w:sz w:val="24"/>
          <w:szCs w:val="24"/>
        </w:rPr>
      </w:pPr>
      <w:r w:rsidRPr="009274F4">
        <w:rPr>
          <w:rFonts w:ascii="Times New Roman" w:hAnsi="Times New Roman" w:cs="Times New Roman"/>
          <w:sz w:val="24"/>
          <w:szCs w:val="24"/>
        </w:rPr>
        <w:t xml:space="preserve">*Mycelial growth of </w:t>
      </w:r>
      <w:r w:rsidRPr="009274F4">
        <w:rPr>
          <w:rFonts w:ascii="Times New Roman" w:hAnsi="Times New Roman" w:cs="Times New Roman"/>
          <w:i/>
          <w:iCs/>
          <w:sz w:val="24"/>
          <w:szCs w:val="24"/>
        </w:rPr>
        <w:t xml:space="preserve">S. rolfsii </w:t>
      </w:r>
      <w:r w:rsidRPr="009274F4">
        <w:rPr>
          <w:rFonts w:ascii="Times New Roman" w:hAnsi="Times New Roman" w:cs="Times New Roman"/>
          <w:sz w:val="24"/>
          <w:szCs w:val="24"/>
        </w:rPr>
        <w:t>recorded after 7 days of incubation. Each treatment is replicated five times.</w:t>
      </w:r>
    </w:p>
    <w:p w14:paraId="30A21EF2" w14:textId="77777777" w:rsidR="00E02F19" w:rsidRDefault="00E02F19" w:rsidP="00C11C38">
      <w:pPr>
        <w:spacing w:line="360" w:lineRule="auto"/>
        <w:jc w:val="both"/>
        <w:rPr>
          <w:rFonts w:ascii="Times New Roman" w:hAnsi="Times New Roman" w:cs="Times New Roman"/>
          <w:sz w:val="24"/>
          <w:szCs w:val="24"/>
        </w:rPr>
      </w:pPr>
      <w:r>
        <w:rPr>
          <w:noProof/>
          <w:lang w:val="en-US"/>
        </w:rPr>
        <w:drawing>
          <wp:inline distT="0" distB="0" distL="0" distR="0" wp14:anchorId="05ED29BD" wp14:editId="7666FA1E">
            <wp:extent cx="2845758" cy="2376055"/>
            <wp:effectExtent l="0" t="0" r="0" b="5715"/>
            <wp:docPr id="1938243659"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1810" cy="2397807"/>
                    </a:xfrm>
                    <a:prstGeom prst="rect">
                      <a:avLst/>
                    </a:prstGeom>
                    <a:noFill/>
                    <a:ln>
                      <a:noFill/>
                    </a:ln>
                  </pic:spPr>
                </pic:pic>
              </a:graphicData>
            </a:graphic>
          </wp:inline>
        </w:drawing>
      </w:r>
      <w:r>
        <w:rPr>
          <w:noProof/>
          <w:lang w:val="en-US"/>
        </w:rPr>
        <w:drawing>
          <wp:inline distT="0" distB="0" distL="0" distR="0" wp14:anchorId="67965585" wp14:editId="0D5BBCA4">
            <wp:extent cx="2859726" cy="2355273"/>
            <wp:effectExtent l="0" t="0" r="0" b="6985"/>
            <wp:docPr id="5906636"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2464" cy="2390472"/>
                    </a:xfrm>
                    <a:prstGeom prst="rect">
                      <a:avLst/>
                    </a:prstGeom>
                    <a:noFill/>
                    <a:ln>
                      <a:noFill/>
                    </a:ln>
                  </pic:spPr>
                </pic:pic>
              </a:graphicData>
            </a:graphic>
          </wp:inline>
        </w:drawing>
      </w:r>
    </w:p>
    <w:p w14:paraId="5689F79D" w14:textId="15000D44" w:rsidR="00E02F19" w:rsidRDefault="00E02F19" w:rsidP="00C11C38">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Graph</w:t>
      </w:r>
      <w:r w:rsidRPr="008B62C3">
        <w:rPr>
          <w:rFonts w:ascii="Times New Roman" w:hAnsi="Times New Roman" w:cs="Times New Roman"/>
          <w:b/>
          <w:bCs/>
          <w:sz w:val="24"/>
          <w:szCs w:val="24"/>
        </w:rPr>
        <w:t xml:space="preserve"> 1</w:t>
      </w:r>
      <w:r w:rsidR="003F79A5">
        <w:rPr>
          <w:rFonts w:ascii="Times New Roman" w:hAnsi="Times New Roman" w:cs="Times New Roman"/>
          <w:b/>
          <w:bCs/>
          <w:sz w:val="24"/>
          <w:szCs w:val="24"/>
        </w:rPr>
        <w:t xml:space="preserve"> &amp; 2</w:t>
      </w:r>
      <w:r w:rsidRPr="008B62C3">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mycelial growth and inhibition of </w:t>
      </w:r>
      <w:r>
        <w:rPr>
          <w:rFonts w:ascii="Times New Roman" w:hAnsi="Times New Roman" w:cs="Times New Roman"/>
          <w:i/>
          <w:iCs/>
          <w:sz w:val="24"/>
          <w:szCs w:val="24"/>
        </w:rPr>
        <w:t xml:space="preserve">Sclerotium rolfsii </w:t>
      </w:r>
      <w:r>
        <w:rPr>
          <w:rFonts w:ascii="Times New Roman" w:hAnsi="Times New Roman" w:cs="Times New Roman"/>
          <w:sz w:val="24"/>
          <w:szCs w:val="24"/>
        </w:rPr>
        <w:t>in the dual culture method.</w:t>
      </w:r>
    </w:p>
    <w:p w14:paraId="18580DF6" w14:textId="4D6C9BD5" w:rsidR="003F79A5" w:rsidRPr="00326F0C" w:rsidRDefault="003F79A5" w:rsidP="00AF0DD2">
      <w:pPr>
        <w:spacing w:after="0" w:line="360" w:lineRule="auto"/>
        <w:jc w:val="center"/>
        <w:rPr>
          <w:rFonts w:ascii="Times New Roman" w:hAnsi="Times New Roman" w:cs="Times New Roman"/>
          <w:noProof/>
          <w:sz w:val="24"/>
          <w:szCs w:val="24"/>
        </w:rPr>
      </w:pPr>
      <w:r>
        <w:rPr>
          <w:noProof/>
          <w:lang w:val="en-US"/>
        </w:rPr>
        <w:lastRenderedPageBreak/>
        <w:drawing>
          <wp:inline distT="0" distB="0" distL="0" distR="0" wp14:anchorId="5AA30A53" wp14:editId="4CCE9DC5">
            <wp:extent cx="5731510" cy="4582280"/>
            <wp:effectExtent l="0" t="0" r="2540" b="8890"/>
            <wp:docPr id="371540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582280"/>
                    </a:xfrm>
                    <a:prstGeom prst="rect">
                      <a:avLst/>
                    </a:prstGeom>
                    <a:noFill/>
                    <a:ln>
                      <a:noFill/>
                    </a:ln>
                  </pic:spPr>
                </pic:pic>
              </a:graphicData>
            </a:graphic>
          </wp:inline>
        </w:drawing>
      </w:r>
    </w:p>
    <w:p w14:paraId="2ABC8476" w14:textId="3E09B6BB" w:rsidR="003F79A5" w:rsidRPr="00721B2A" w:rsidRDefault="003F79A5" w:rsidP="00AF0DD2">
      <w:pPr>
        <w:spacing w:after="36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1. </w:t>
      </w:r>
      <w:r>
        <w:rPr>
          <w:rFonts w:ascii="Times New Roman" w:hAnsi="Times New Roman" w:cs="Times New Roman"/>
          <w:sz w:val="24"/>
          <w:szCs w:val="24"/>
        </w:rPr>
        <w:t xml:space="preserve">Biocontrol efficacy of </w:t>
      </w:r>
      <w:r>
        <w:rPr>
          <w:rFonts w:ascii="Times New Roman" w:hAnsi="Times New Roman" w:cs="Times New Roman"/>
          <w:i/>
          <w:iCs/>
          <w:sz w:val="24"/>
          <w:szCs w:val="24"/>
        </w:rPr>
        <w:t>Trichoderma spp.</w:t>
      </w:r>
      <w:r>
        <w:rPr>
          <w:rFonts w:ascii="Times New Roman" w:hAnsi="Times New Roman" w:cs="Times New Roman"/>
          <w:sz w:val="24"/>
          <w:szCs w:val="24"/>
        </w:rPr>
        <w:t xml:space="preserve"> against </w:t>
      </w:r>
      <w:r>
        <w:rPr>
          <w:rFonts w:ascii="Times New Roman" w:hAnsi="Times New Roman" w:cs="Times New Roman"/>
          <w:i/>
          <w:iCs/>
          <w:sz w:val="24"/>
          <w:szCs w:val="24"/>
        </w:rPr>
        <w:t>Sclerotium rolfsii</w:t>
      </w:r>
      <w:r>
        <w:rPr>
          <w:rFonts w:ascii="Times New Roman" w:hAnsi="Times New Roman" w:cs="Times New Roman"/>
          <w:sz w:val="24"/>
          <w:szCs w:val="24"/>
        </w:rPr>
        <w:t xml:space="preserve"> in dual culture.</w:t>
      </w:r>
    </w:p>
    <w:p w14:paraId="1D325B5E" w14:textId="77777777" w:rsidR="003F79A5" w:rsidRDefault="003F79A5" w:rsidP="00AF0DD2">
      <w:pPr>
        <w:spacing w:after="0" w:line="360" w:lineRule="auto"/>
        <w:jc w:val="center"/>
        <w:rPr>
          <w:rFonts w:ascii="Times New Roman" w:hAnsi="Times New Roman" w:cs="Times New Roman"/>
          <w:sz w:val="24"/>
          <w:szCs w:val="24"/>
        </w:rPr>
      </w:pPr>
      <w:r w:rsidRPr="00BF4421">
        <w:rPr>
          <w:rFonts w:ascii="Times New Roman" w:hAnsi="Times New Roman" w:cs="Times New Roman"/>
          <w:b/>
          <w:bCs/>
          <w:noProof/>
          <w:sz w:val="24"/>
          <w:szCs w:val="24"/>
          <w:lang w:val="en-US"/>
        </w:rPr>
        <mc:AlternateContent>
          <mc:Choice Requires="wps">
            <w:drawing>
              <wp:anchor distT="45720" distB="45720" distL="114300" distR="114300" simplePos="0" relativeHeight="251661312" behindDoc="0" locked="0" layoutInCell="1" allowOverlap="1" wp14:anchorId="0DAB8468" wp14:editId="08034880">
                <wp:simplePos x="0" y="0"/>
                <wp:positionH relativeFrom="column">
                  <wp:posOffset>3886200</wp:posOffset>
                </wp:positionH>
                <wp:positionV relativeFrom="paragraph">
                  <wp:posOffset>6985</wp:posOffset>
                </wp:positionV>
                <wp:extent cx="273050" cy="337185"/>
                <wp:effectExtent l="0" t="0" r="12700" b="24765"/>
                <wp:wrapNone/>
                <wp:docPr id="605936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37185"/>
                        </a:xfrm>
                        <a:prstGeom prst="rect">
                          <a:avLst/>
                        </a:prstGeom>
                        <a:solidFill>
                          <a:srgbClr val="FFFFFF"/>
                        </a:solidFill>
                        <a:ln w="9525">
                          <a:solidFill>
                            <a:srgbClr val="000000"/>
                          </a:solidFill>
                          <a:miter lim="800000"/>
                          <a:headEnd/>
                          <a:tailEnd/>
                        </a:ln>
                      </wps:spPr>
                      <wps:txbx>
                        <w:txbxContent>
                          <w:p w14:paraId="6CEC7720"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B8468" id="_x0000_t202" coordsize="21600,21600" o:spt="202" path="m,l,21600r21600,l21600,xe">
                <v:stroke joinstyle="miter"/>
                <v:path gradientshapeok="t" o:connecttype="rect"/>
              </v:shapetype>
              <v:shape id="Text Box 2" o:spid="_x0000_s1026" type="#_x0000_t202" style="position:absolute;left:0;text-align:left;margin-left:306pt;margin-top:.55pt;width:21.5pt;height:26.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">
                <v:textbox>
                  <w:txbxContent>
                    <w:p w14:paraId="6CEC7720"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C</w:t>
                      </w:r>
                    </w:p>
                  </w:txbxContent>
                </v:textbox>
              </v:shape>
            </w:pict>
          </mc:Fallback>
        </mc:AlternateContent>
      </w:r>
      <w:r w:rsidRPr="00BF4421">
        <w:rPr>
          <w:rFonts w:ascii="Times New Roman" w:hAnsi="Times New Roman" w:cs="Times New Roman"/>
          <w:b/>
          <w:bCs/>
          <w:noProof/>
          <w:sz w:val="24"/>
          <w:szCs w:val="24"/>
          <w:lang w:val="en-US"/>
        </w:rPr>
        <mc:AlternateContent>
          <mc:Choice Requires="wps">
            <w:drawing>
              <wp:anchor distT="45720" distB="45720" distL="114300" distR="114300" simplePos="0" relativeHeight="251660288" behindDoc="0" locked="0" layoutInCell="1" allowOverlap="1" wp14:anchorId="01010B41" wp14:editId="20196B4C">
                <wp:simplePos x="0" y="0"/>
                <wp:positionH relativeFrom="column">
                  <wp:posOffset>2019300</wp:posOffset>
                </wp:positionH>
                <wp:positionV relativeFrom="paragraph">
                  <wp:posOffset>6985</wp:posOffset>
                </wp:positionV>
                <wp:extent cx="273050" cy="337185"/>
                <wp:effectExtent l="0" t="0" r="12700" b="24765"/>
                <wp:wrapNone/>
                <wp:docPr id="155680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37185"/>
                        </a:xfrm>
                        <a:prstGeom prst="rect">
                          <a:avLst/>
                        </a:prstGeom>
                        <a:solidFill>
                          <a:srgbClr val="FFFFFF"/>
                        </a:solidFill>
                        <a:ln w="9525">
                          <a:solidFill>
                            <a:srgbClr val="000000"/>
                          </a:solidFill>
                          <a:miter lim="800000"/>
                          <a:headEnd/>
                          <a:tailEnd/>
                        </a:ln>
                      </wps:spPr>
                      <wps:txbx>
                        <w:txbxContent>
                          <w:p w14:paraId="774CA48E"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10B41" id="_x0000_s1027" type="#_x0000_t202" style="position:absolute;left:0;text-align:left;margin-left:159pt;margin-top:.55pt;width:21.5pt;height:26.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">
                <v:textbox>
                  <w:txbxContent>
                    <w:p w14:paraId="774CA48E"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B</w:t>
                      </w:r>
                    </w:p>
                  </w:txbxContent>
                </v:textbox>
              </v:shape>
            </w:pict>
          </mc:Fallback>
        </mc:AlternateContent>
      </w:r>
      <w:r w:rsidRPr="00BF4421">
        <w:rPr>
          <w:rFonts w:ascii="Times New Roman" w:hAnsi="Times New Roman" w:cs="Times New Roman"/>
          <w:b/>
          <w:bCs/>
          <w:noProof/>
          <w:sz w:val="24"/>
          <w:szCs w:val="24"/>
          <w:lang w:val="en-US"/>
        </w:rPr>
        <mc:AlternateContent>
          <mc:Choice Requires="wps">
            <w:drawing>
              <wp:anchor distT="45720" distB="45720" distL="114300" distR="114300" simplePos="0" relativeHeight="251659264" behindDoc="0" locked="0" layoutInCell="1" allowOverlap="1" wp14:anchorId="0A35FC4F" wp14:editId="541D1C6E">
                <wp:simplePos x="0" y="0"/>
                <wp:positionH relativeFrom="column">
                  <wp:posOffset>152400</wp:posOffset>
                </wp:positionH>
                <wp:positionV relativeFrom="paragraph">
                  <wp:posOffset>-635</wp:posOffset>
                </wp:positionV>
                <wp:extent cx="273050" cy="337185"/>
                <wp:effectExtent l="0" t="0" r="12700" b="24765"/>
                <wp:wrapNone/>
                <wp:docPr id="682172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37185"/>
                        </a:xfrm>
                        <a:prstGeom prst="rect">
                          <a:avLst/>
                        </a:prstGeom>
                        <a:solidFill>
                          <a:srgbClr val="FFFFFF"/>
                        </a:solidFill>
                        <a:ln w="9525">
                          <a:solidFill>
                            <a:srgbClr val="000000"/>
                          </a:solidFill>
                          <a:miter lim="800000"/>
                          <a:headEnd/>
                          <a:tailEnd/>
                        </a:ln>
                      </wps:spPr>
                      <wps:txbx>
                        <w:txbxContent>
                          <w:p w14:paraId="28BA4E18"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5FC4F" id="_x0000_s1028" type="#_x0000_t202" style="position:absolute;left:0;text-align:left;margin-left:12pt;margin-top:-.05pt;width:21.5pt;height:26.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">
                <v:textbox>
                  <w:txbxContent>
                    <w:p w14:paraId="28BA4E18"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A</w:t>
                      </w:r>
                    </w:p>
                  </w:txbxContent>
                </v:textbox>
              </v:shape>
            </w:pict>
          </mc:Fallback>
        </mc:AlternateContent>
      </w:r>
      <w:r>
        <w:rPr>
          <w:noProof/>
          <w:lang w:val="en-US"/>
        </w:rPr>
        <w:drawing>
          <wp:inline distT="0" distB="0" distL="0" distR="0" wp14:anchorId="7BD89338" wp14:editId="3E94B90A">
            <wp:extent cx="1828800" cy="2157807"/>
            <wp:effectExtent l="0" t="0" r="0" b="0"/>
            <wp:docPr id="4280087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942" r="25017"/>
                    <a:stretch>
                      <a:fillRect/>
                    </a:stretch>
                  </pic:blipFill>
                  <pic:spPr bwMode="auto">
                    <a:xfrm>
                      <a:off x="0" y="0"/>
                      <a:ext cx="1843936" cy="21756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6A8B8B79" wp14:editId="06728ECE">
            <wp:extent cx="1828800" cy="2152650"/>
            <wp:effectExtent l="0" t="0" r="0" b="0"/>
            <wp:docPr id="184819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289" r="25415"/>
                    <a:stretch>
                      <a:fillRect/>
                    </a:stretch>
                  </pic:blipFill>
                  <pic:spPr bwMode="auto">
                    <a:xfrm>
                      <a:off x="0" y="0"/>
                      <a:ext cx="1832157" cy="21566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73DD3340" wp14:editId="080403DB">
            <wp:extent cx="1691640" cy="2148840"/>
            <wp:effectExtent l="0" t="0" r="3810" b="3810"/>
            <wp:docPr id="4530187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23" t="5181" r="25415" b="8617"/>
                    <a:stretch>
                      <a:fillRect/>
                    </a:stretch>
                  </pic:blipFill>
                  <pic:spPr bwMode="auto">
                    <a:xfrm>
                      <a:off x="0" y="0"/>
                      <a:ext cx="1692759" cy="2150262"/>
                    </a:xfrm>
                    <a:prstGeom prst="rect">
                      <a:avLst/>
                    </a:prstGeom>
                    <a:noFill/>
                    <a:ln>
                      <a:noFill/>
                    </a:ln>
                    <a:extLst>
                      <a:ext uri="{53640926-AAD7-44D8-BBD7-CCE9431645EC}">
                        <a14:shadowObscured xmlns:a14="http://schemas.microsoft.com/office/drawing/2010/main"/>
                      </a:ext>
                    </a:extLst>
                  </pic:spPr>
                </pic:pic>
              </a:graphicData>
            </a:graphic>
          </wp:inline>
        </w:drawing>
      </w:r>
    </w:p>
    <w:p w14:paraId="2FE7D6FA" w14:textId="15B3F349" w:rsidR="003F79A5" w:rsidRDefault="003F79A5" w:rsidP="00AF0DD2">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Figure 2. </w:t>
      </w:r>
      <w:r>
        <w:rPr>
          <w:rFonts w:ascii="Times New Roman" w:hAnsi="Times New Roman" w:cs="Times New Roman"/>
          <w:sz w:val="24"/>
          <w:szCs w:val="24"/>
        </w:rPr>
        <w:t xml:space="preserve">Biocontrol efficacy of </w:t>
      </w:r>
      <w:r>
        <w:rPr>
          <w:rFonts w:ascii="Times New Roman" w:hAnsi="Times New Roman" w:cs="Times New Roman"/>
          <w:i/>
          <w:iCs/>
          <w:sz w:val="24"/>
          <w:szCs w:val="24"/>
        </w:rPr>
        <w:t xml:space="preserve">Trichoderma harzianum </w:t>
      </w:r>
      <w:r>
        <w:rPr>
          <w:rFonts w:ascii="Times New Roman" w:hAnsi="Times New Roman" w:cs="Times New Roman"/>
          <w:sz w:val="24"/>
          <w:szCs w:val="24"/>
        </w:rPr>
        <w:t xml:space="preserve">against </w:t>
      </w:r>
      <w:r>
        <w:rPr>
          <w:rFonts w:ascii="Times New Roman" w:hAnsi="Times New Roman" w:cs="Times New Roman"/>
          <w:i/>
          <w:iCs/>
          <w:sz w:val="24"/>
          <w:szCs w:val="24"/>
        </w:rPr>
        <w:t>Sclerotium rolfsii</w:t>
      </w:r>
      <w:r>
        <w:rPr>
          <w:rFonts w:ascii="Times New Roman" w:hAnsi="Times New Roman" w:cs="Times New Roman"/>
          <w:sz w:val="24"/>
          <w:szCs w:val="24"/>
        </w:rPr>
        <w:t xml:space="preserve">. A – </w:t>
      </w:r>
      <w:r>
        <w:rPr>
          <w:rFonts w:ascii="Times New Roman" w:hAnsi="Times New Roman" w:cs="Times New Roman"/>
          <w:i/>
          <w:iCs/>
          <w:sz w:val="24"/>
          <w:szCs w:val="24"/>
        </w:rPr>
        <w:t>Sclerotium rolfsii</w:t>
      </w:r>
      <w:r>
        <w:rPr>
          <w:rFonts w:ascii="Times New Roman" w:hAnsi="Times New Roman" w:cs="Times New Roman"/>
          <w:sz w:val="24"/>
          <w:szCs w:val="24"/>
        </w:rPr>
        <w:t xml:space="preserve">, B - </w:t>
      </w:r>
      <w:r>
        <w:rPr>
          <w:rFonts w:ascii="Times New Roman" w:hAnsi="Times New Roman" w:cs="Times New Roman"/>
          <w:i/>
          <w:iCs/>
          <w:sz w:val="24"/>
          <w:szCs w:val="24"/>
        </w:rPr>
        <w:t xml:space="preserve">T. harzianum </w:t>
      </w:r>
      <w:r w:rsidRPr="00721B2A">
        <w:rPr>
          <w:rFonts w:ascii="Times New Roman" w:hAnsi="Times New Roman" w:cs="Times New Roman"/>
          <w:sz w:val="24"/>
          <w:szCs w:val="24"/>
        </w:rPr>
        <w:t>inhibiting the growth of</w:t>
      </w:r>
      <w:r>
        <w:rPr>
          <w:rFonts w:ascii="Times New Roman" w:hAnsi="Times New Roman" w:cs="Times New Roman"/>
          <w:i/>
          <w:iCs/>
          <w:sz w:val="24"/>
          <w:szCs w:val="24"/>
        </w:rPr>
        <w:t xml:space="preserve"> S. rolfsii – </w:t>
      </w:r>
      <w:r w:rsidRPr="00721B2A">
        <w:rPr>
          <w:rFonts w:ascii="Times New Roman" w:hAnsi="Times New Roman" w:cs="Times New Roman"/>
          <w:sz w:val="24"/>
          <w:szCs w:val="24"/>
        </w:rPr>
        <w:t>front view</w:t>
      </w:r>
      <w:r>
        <w:rPr>
          <w:rFonts w:ascii="Times New Roman" w:hAnsi="Times New Roman" w:cs="Times New Roman"/>
          <w:i/>
          <w:iCs/>
          <w:sz w:val="24"/>
          <w:szCs w:val="24"/>
        </w:rPr>
        <w:t>,</w:t>
      </w:r>
      <w:r>
        <w:rPr>
          <w:rFonts w:ascii="Times New Roman" w:hAnsi="Times New Roman" w:cs="Times New Roman"/>
          <w:sz w:val="24"/>
          <w:szCs w:val="24"/>
        </w:rPr>
        <w:t xml:space="preserve"> C- </w:t>
      </w:r>
      <w:r>
        <w:rPr>
          <w:rFonts w:ascii="Times New Roman" w:hAnsi="Times New Roman" w:cs="Times New Roman"/>
          <w:i/>
          <w:iCs/>
          <w:sz w:val="24"/>
          <w:szCs w:val="24"/>
        </w:rPr>
        <w:t xml:space="preserve">T. harzianum </w:t>
      </w:r>
      <w:r w:rsidRPr="00721B2A">
        <w:rPr>
          <w:rFonts w:ascii="Times New Roman" w:hAnsi="Times New Roman" w:cs="Times New Roman"/>
          <w:sz w:val="24"/>
          <w:szCs w:val="24"/>
        </w:rPr>
        <w:t>inhibiting the growth of</w:t>
      </w:r>
      <w:r>
        <w:rPr>
          <w:rFonts w:ascii="Times New Roman" w:hAnsi="Times New Roman" w:cs="Times New Roman"/>
          <w:i/>
          <w:iCs/>
          <w:sz w:val="24"/>
          <w:szCs w:val="24"/>
        </w:rPr>
        <w:t xml:space="preserve"> S. rolfsii – </w:t>
      </w:r>
      <w:r>
        <w:rPr>
          <w:rFonts w:ascii="Times New Roman" w:hAnsi="Times New Roman" w:cs="Times New Roman"/>
          <w:sz w:val="24"/>
          <w:szCs w:val="24"/>
        </w:rPr>
        <w:t>back</w:t>
      </w:r>
      <w:r w:rsidRPr="00721B2A">
        <w:rPr>
          <w:rFonts w:ascii="Times New Roman" w:hAnsi="Times New Roman" w:cs="Times New Roman"/>
          <w:sz w:val="24"/>
          <w:szCs w:val="24"/>
        </w:rPr>
        <w:t xml:space="preserve"> view</w:t>
      </w:r>
      <w:r>
        <w:rPr>
          <w:rFonts w:ascii="Times New Roman" w:hAnsi="Times New Roman" w:cs="Times New Roman"/>
          <w:sz w:val="24"/>
          <w:szCs w:val="24"/>
        </w:rPr>
        <w:t>.</w:t>
      </w:r>
      <w:r>
        <w:rPr>
          <w:rFonts w:ascii="Times New Roman" w:hAnsi="Times New Roman" w:cs="Times New Roman"/>
          <w:i/>
          <w:iCs/>
          <w:sz w:val="24"/>
          <w:szCs w:val="24"/>
        </w:rPr>
        <w:t xml:space="preserve"> </w:t>
      </w:r>
    </w:p>
    <w:p w14:paraId="6C2F06A4" w14:textId="77777777" w:rsidR="003F79A5" w:rsidRDefault="003F79A5" w:rsidP="00AF0DD2">
      <w:pPr>
        <w:spacing w:after="0" w:line="360" w:lineRule="auto"/>
        <w:jc w:val="center"/>
        <w:rPr>
          <w:rFonts w:ascii="Times New Roman" w:hAnsi="Times New Roman" w:cs="Times New Roman"/>
          <w:sz w:val="24"/>
          <w:szCs w:val="24"/>
        </w:rPr>
      </w:pPr>
      <w:r>
        <w:rPr>
          <w:noProof/>
          <w:lang w:val="en-US"/>
        </w:rPr>
        <w:lastRenderedPageBreak/>
        <w:drawing>
          <wp:inline distT="0" distB="0" distL="0" distR="0" wp14:anchorId="1D14A7BA" wp14:editId="3C7342C4">
            <wp:extent cx="5731510" cy="4587240"/>
            <wp:effectExtent l="0" t="0" r="2540" b="3810"/>
            <wp:docPr id="17820277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587240"/>
                    </a:xfrm>
                    <a:prstGeom prst="rect">
                      <a:avLst/>
                    </a:prstGeom>
                    <a:noFill/>
                    <a:ln>
                      <a:noFill/>
                    </a:ln>
                  </pic:spPr>
                </pic:pic>
              </a:graphicData>
            </a:graphic>
          </wp:inline>
        </w:drawing>
      </w:r>
    </w:p>
    <w:p w14:paraId="2A429257" w14:textId="1A3648FC" w:rsidR="003F79A5" w:rsidRPr="00C11C38" w:rsidRDefault="003F79A5" w:rsidP="00AF0DD2">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Figure 3. </w:t>
      </w:r>
      <w:r>
        <w:rPr>
          <w:rFonts w:ascii="Times New Roman" w:hAnsi="Times New Roman" w:cs="Times New Roman"/>
          <w:i/>
          <w:iCs/>
          <w:sz w:val="24"/>
          <w:szCs w:val="24"/>
        </w:rPr>
        <w:t xml:space="preserve">T. harzianum </w:t>
      </w:r>
      <w:r w:rsidRPr="00721B2A">
        <w:rPr>
          <w:rFonts w:ascii="Times New Roman" w:hAnsi="Times New Roman" w:cs="Times New Roman"/>
          <w:sz w:val="24"/>
          <w:szCs w:val="24"/>
        </w:rPr>
        <w:t>inhibiting the growth of</w:t>
      </w:r>
      <w:r>
        <w:rPr>
          <w:rFonts w:ascii="Times New Roman" w:hAnsi="Times New Roman" w:cs="Times New Roman"/>
          <w:i/>
          <w:iCs/>
          <w:sz w:val="24"/>
          <w:szCs w:val="24"/>
        </w:rPr>
        <w:t xml:space="preserve"> S. rolfsii </w:t>
      </w:r>
      <w:r>
        <w:rPr>
          <w:rFonts w:ascii="Times New Roman" w:hAnsi="Times New Roman" w:cs="Times New Roman"/>
          <w:sz w:val="24"/>
          <w:szCs w:val="24"/>
        </w:rPr>
        <w:t>in dual culture assay.</w:t>
      </w:r>
    </w:p>
    <w:p w14:paraId="741330C2" w14:textId="77777777" w:rsidR="00DA3345" w:rsidRDefault="00DA3345" w:rsidP="00C11C38">
      <w:pPr>
        <w:spacing w:line="360" w:lineRule="auto"/>
        <w:jc w:val="both"/>
        <w:rPr>
          <w:rFonts w:ascii="Times New Roman" w:hAnsi="Times New Roman" w:cs="Times New Roman"/>
          <w:b/>
          <w:bCs/>
          <w:sz w:val="24"/>
          <w:szCs w:val="24"/>
        </w:rPr>
      </w:pPr>
    </w:p>
    <w:p w14:paraId="33C57C0E" w14:textId="3543ADAD" w:rsidR="00E02F19" w:rsidRPr="00E02F19"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402A6A">
        <w:rPr>
          <w:rFonts w:ascii="Times New Roman" w:hAnsi="Times New Roman" w:cs="Times New Roman"/>
          <w:b/>
          <w:bCs/>
          <w:sz w:val="24"/>
          <w:szCs w:val="24"/>
        </w:rPr>
        <w:t>3</w:t>
      </w:r>
      <w:r>
        <w:rPr>
          <w:rFonts w:ascii="Times New Roman" w:hAnsi="Times New Roman" w:cs="Times New Roman"/>
          <w:b/>
          <w:bCs/>
          <w:sz w:val="24"/>
          <w:szCs w:val="24"/>
        </w:rPr>
        <w:t xml:space="preserve">. </w:t>
      </w:r>
      <w:r w:rsidR="00E02F19" w:rsidRPr="00E02F19">
        <w:rPr>
          <w:rFonts w:ascii="Times New Roman" w:hAnsi="Times New Roman" w:cs="Times New Roman"/>
          <w:b/>
          <w:bCs/>
          <w:sz w:val="24"/>
          <w:szCs w:val="24"/>
        </w:rPr>
        <w:t>In Vivo Evaluation: Disease Suppression and Growth Promotion</w:t>
      </w:r>
    </w:p>
    <w:p w14:paraId="3A34ECA5" w14:textId="77777777" w:rsidR="00E02F19" w:rsidRP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t xml:space="preserve">Encouraged by the laboratory results, a pot culture experiment was conducted to assess the biocontrol potential and growth-promoting effects of the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spp. on tomato plants under greenhouse conditions.</w:t>
      </w:r>
    </w:p>
    <w:p w14:paraId="1B673B54" w14:textId="128616C1" w:rsidR="00E02F19" w:rsidRPr="00E02F19" w:rsidRDefault="00C11C38" w:rsidP="00C11C3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402A6A">
        <w:rPr>
          <w:rFonts w:ascii="Times New Roman" w:hAnsi="Times New Roman" w:cs="Times New Roman"/>
          <w:b/>
          <w:bCs/>
          <w:sz w:val="24"/>
          <w:szCs w:val="24"/>
        </w:rPr>
        <w:t>3</w:t>
      </w:r>
      <w:r>
        <w:rPr>
          <w:rFonts w:ascii="Times New Roman" w:hAnsi="Times New Roman" w:cs="Times New Roman"/>
          <w:b/>
          <w:bCs/>
          <w:sz w:val="24"/>
          <w:szCs w:val="24"/>
        </w:rPr>
        <w:t xml:space="preserve">.1. </w:t>
      </w:r>
      <w:r w:rsidR="00E02F19" w:rsidRPr="00E02F19">
        <w:rPr>
          <w:rFonts w:ascii="Times New Roman" w:hAnsi="Times New Roman" w:cs="Times New Roman"/>
          <w:b/>
          <w:bCs/>
          <w:sz w:val="24"/>
          <w:szCs w:val="24"/>
        </w:rPr>
        <w:t>Disease Incidence and Suppression:</w:t>
      </w:r>
      <w:r w:rsidR="00E02F19">
        <w:rPr>
          <w:rFonts w:ascii="Times New Roman" w:hAnsi="Times New Roman" w:cs="Times New Roman"/>
          <w:sz w:val="24"/>
          <w:szCs w:val="24"/>
        </w:rPr>
        <w:t xml:space="preserve"> </w:t>
      </w:r>
      <w:r w:rsidR="00E02F19" w:rsidRPr="00E02F19">
        <w:rPr>
          <w:rFonts w:ascii="Times New Roman" w:hAnsi="Times New Roman" w:cs="Times New Roman"/>
          <w:sz w:val="24"/>
          <w:szCs w:val="24"/>
        </w:rPr>
        <w:t xml:space="preserve">All </w:t>
      </w:r>
      <w:r w:rsidR="00E02F19" w:rsidRPr="00E02F19">
        <w:rPr>
          <w:rFonts w:ascii="Times New Roman" w:hAnsi="Times New Roman" w:cs="Times New Roman"/>
          <w:i/>
          <w:iCs/>
          <w:sz w:val="24"/>
          <w:szCs w:val="24"/>
        </w:rPr>
        <w:t>Trichoderma</w:t>
      </w:r>
      <w:r w:rsidR="00E02F19" w:rsidRPr="00E02F19">
        <w:rPr>
          <w:rFonts w:ascii="Times New Roman" w:hAnsi="Times New Roman" w:cs="Times New Roman"/>
          <w:sz w:val="24"/>
          <w:szCs w:val="24"/>
        </w:rPr>
        <w:t xml:space="preserve"> treatments significantly reduced the incidence of Southern Blight compared to the inoculated control (T2), which showed a disease incidence of 91.67 ± 1.67%. The uninoculated control (T1) showed no disease symptoms. Among individual treatments, </w:t>
      </w:r>
      <w:r w:rsidR="00E02F19" w:rsidRPr="00E02F19">
        <w:rPr>
          <w:rFonts w:ascii="Times New Roman" w:hAnsi="Times New Roman" w:cs="Times New Roman"/>
          <w:i/>
          <w:iCs/>
          <w:sz w:val="24"/>
          <w:szCs w:val="24"/>
        </w:rPr>
        <w:t>T. harzianum</w:t>
      </w:r>
      <w:r w:rsidR="00E02F19" w:rsidRPr="00E02F19">
        <w:rPr>
          <w:rFonts w:ascii="Times New Roman" w:hAnsi="Times New Roman" w:cs="Times New Roman"/>
          <w:sz w:val="24"/>
          <w:szCs w:val="24"/>
        </w:rPr>
        <w:t xml:space="preserve"> (T4) exhibited the greatest disease suppression, with a 35.00 ± 2.89% incidence and 61.67 ± 0.32% disease control. </w:t>
      </w:r>
      <w:r w:rsidR="00E02F19" w:rsidRPr="00E02F19">
        <w:rPr>
          <w:rFonts w:ascii="Times New Roman" w:hAnsi="Times New Roman" w:cs="Times New Roman"/>
          <w:i/>
          <w:iCs/>
          <w:sz w:val="24"/>
          <w:szCs w:val="24"/>
        </w:rPr>
        <w:t>T. viride</w:t>
      </w:r>
      <w:r w:rsidR="00E02F19" w:rsidRPr="00E02F19">
        <w:rPr>
          <w:rFonts w:ascii="Times New Roman" w:hAnsi="Times New Roman" w:cs="Times New Roman"/>
          <w:sz w:val="24"/>
          <w:szCs w:val="24"/>
        </w:rPr>
        <w:t xml:space="preserve"> (T3) and </w:t>
      </w:r>
      <w:r w:rsidR="00E02F19" w:rsidRPr="00E02F19">
        <w:rPr>
          <w:rFonts w:ascii="Times New Roman" w:hAnsi="Times New Roman" w:cs="Times New Roman"/>
          <w:i/>
          <w:iCs/>
          <w:sz w:val="24"/>
          <w:szCs w:val="24"/>
        </w:rPr>
        <w:t>T. asperellum</w:t>
      </w:r>
      <w:r w:rsidR="00E02F19" w:rsidRPr="00E02F19">
        <w:rPr>
          <w:rFonts w:ascii="Times New Roman" w:hAnsi="Times New Roman" w:cs="Times New Roman"/>
          <w:sz w:val="24"/>
          <w:szCs w:val="24"/>
        </w:rPr>
        <w:t xml:space="preserve"> (T5) followed with control efficacies of 57.31% and 43.11%, respectively</w:t>
      </w:r>
      <w:r w:rsidR="00402561">
        <w:rPr>
          <w:rFonts w:ascii="Times New Roman" w:hAnsi="Times New Roman" w:cs="Times New Roman"/>
          <w:sz w:val="24"/>
          <w:szCs w:val="24"/>
        </w:rPr>
        <w:t xml:space="preserve"> (Graph 3 &amp; 4)</w:t>
      </w:r>
      <w:r w:rsidR="00E02F19" w:rsidRPr="00E02F19">
        <w:rPr>
          <w:rFonts w:ascii="Times New Roman" w:hAnsi="Times New Roman" w:cs="Times New Roman"/>
          <w:sz w:val="24"/>
          <w:szCs w:val="24"/>
        </w:rPr>
        <w:t>.</w:t>
      </w:r>
    </w:p>
    <w:p w14:paraId="74F9ECC0" w14:textId="42AF0E46" w:rsidR="00E02F19" w:rsidRP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lastRenderedPageBreak/>
        <w:t xml:space="preserve">Dual formulations enhanced effectiveness further. The combination of </w:t>
      </w:r>
      <w:r w:rsidRPr="00E02F19">
        <w:rPr>
          <w:rFonts w:ascii="Times New Roman" w:hAnsi="Times New Roman" w:cs="Times New Roman"/>
          <w:i/>
          <w:iCs/>
          <w:sz w:val="24"/>
          <w:szCs w:val="24"/>
        </w:rPr>
        <w:t>T. asperellum</w:t>
      </w:r>
      <w:r w:rsidRPr="00E02F19">
        <w:rPr>
          <w:rFonts w:ascii="Times New Roman" w:hAnsi="Times New Roman" w:cs="Times New Roman"/>
          <w:sz w:val="24"/>
          <w:szCs w:val="24"/>
        </w:rPr>
        <w:t xml:space="preserve"> +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(T8) was most effective among the dual treatments, showing 20.00 ± 2.89% incidence and 77.96 ± 0.80% control. Other combinations like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 </w:t>
      </w:r>
      <w:r w:rsidRPr="00E02F19">
        <w:rPr>
          <w:rFonts w:ascii="Times New Roman" w:hAnsi="Times New Roman" w:cs="Times New Roman"/>
          <w:i/>
          <w:iCs/>
          <w:sz w:val="24"/>
          <w:szCs w:val="24"/>
        </w:rPr>
        <w:t>T. harzianum</w:t>
      </w:r>
      <w:r w:rsidRPr="00E02F19">
        <w:rPr>
          <w:rFonts w:ascii="Times New Roman" w:hAnsi="Times New Roman" w:cs="Times New Roman"/>
          <w:sz w:val="24"/>
          <w:szCs w:val="24"/>
        </w:rPr>
        <w:t xml:space="preserve"> (T6) and </w:t>
      </w:r>
      <w:r w:rsidRPr="00E02F19">
        <w:rPr>
          <w:rFonts w:ascii="Times New Roman" w:hAnsi="Times New Roman" w:cs="Times New Roman"/>
          <w:i/>
          <w:iCs/>
          <w:sz w:val="24"/>
          <w:szCs w:val="24"/>
        </w:rPr>
        <w:t>T. harzianum</w:t>
      </w:r>
      <w:r w:rsidRPr="00E02F19">
        <w:rPr>
          <w:rFonts w:ascii="Times New Roman" w:hAnsi="Times New Roman" w:cs="Times New Roman"/>
          <w:sz w:val="24"/>
          <w:szCs w:val="24"/>
        </w:rPr>
        <w:t xml:space="preserve"> + </w:t>
      </w:r>
      <w:r w:rsidRPr="00E02F19">
        <w:rPr>
          <w:rFonts w:ascii="Times New Roman" w:hAnsi="Times New Roman" w:cs="Times New Roman"/>
          <w:i/>
          <w:iCs/>
          <w:sz w:val="24"/>
          <w:szCs w:val="24"/>
        </w:rPr>
        <w:t>T. asperellum</w:t>
      </w:r>
      <w:r w:rsidRPr="00E02F19">
        <w:rPr>
          <w:rFonts w:ascii="Times New Roman" w:hAnsi="Times New Roman" w:cs="Times New Roman"/>
          <w:sz w:val="24"/>
          <w:szCs w:val="24"/>
        </w:rPr>
        <w:t xml:space="preserve"> (T7) recorded 68.36% and 63.17% disease control, respectively.</w:t>
      </w:r>
      <w:r>
        <w:rPr>
          <w:rFonts w:ascii="Times New Roman" w:hAnsi="Times New Roman" w:cs="Times New Roman"/>
          <w:sz w:val="24"/>
          <w:szCs w:val="24"/>
        </w:rPr>
        <w:t xml:space="preserve"> </w:t>
      </w:r>
      <w:r w:rsidRPr="00E02F19">
        <w:rPr>
          <w:rFonts w:ascii="Times New Roman" w:hAnsi="Times New Roman" w:cs="Times New Roman"/>
          <w:sz w:val="24"/>
          <w:szCs w:val="24"/>
        </w:rPr>
        <w:t xml:space="preserve">The triple inoculation treatment (T9: all three species) performed best among biological treatments, with only 13.33 ± 4.41% incidence and 85.93 ± 0.29% control, comparable to the chemical fungicide (T10), which recorded 6.67 ± 1.67% incidence and 92.85 ± 0.17% control. These findings were statistically significant (CD: 8.136 for incidence; 2.153 for control), underscoring the potential of combined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applications in effective disease suppression.</w:t>
      </w:r>
    </w:p>
    <w:p w14:paraId="32FC8327" w14:textId="1C613003" w:rsidR="00E02F19" w:rsidRPr="00E02F19" w:rsidRDefault="00C11C38" w:rsidP="00C11C3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402A6A">
        <w:rPr>
          <w:rFonts w:ascii="Times New Roman" w:hAnsi="Times New Roman" w:cs="Times New Roman"/>
          <w:b/>
          <w:bCs/>
          <w:sz w:val="24"/>
          <w:szCs w:val="24"/>
        </w:rPr>
        <w:t>3</w:t>
      </w:r>
      <w:r>
        <w:rPr>
          <w:rFonts w:ascii="Times New Roman" w:hAnsi="Times New Roman" w:cs="Times New Roman"/>
          <w:b/>
          <w:bCs/>
          <w:sz w:val="24"/>
          <w:szCs w:val="24"/>
        </w:rPr>
        <w:t xml:space="preserve">.2. </w:t>
      </w:r>
      <w:r w:rsidR="00E02F19" w:rsidRPr="00E02F19">
        <w:rPr>
          <w:rFonts w:ascii="Times New Roman" w:hAnsi="Times New Roman" w:cs="Times New Roman"/>
          <w:b/>
          <w:bCs/>
          <w:sz w:val="24"/>
          <w:szCs w:val="24"/>
        </w:rPr>
        <w:t>Shoot and Root Growth Performance:</w:t>
      </w:r>
      <w:r w:rsidR="00E02F19">
        <w:rPr>
          <w:rFonts w:ascii="Times New Roman" w:hAnsi="Times New Roman" w:cs="Times New Roman"/>
          <w:sz w:val="24"/>
          <w:szCs w:val="24"/>
        </w:rPr>
        <w:t xml:space="preserve"> </w:t>
      </w:r>
      <w:r w:rsidR="00E02F19" w:rsidRPr="00E02F19">
        <w:rPr>
          <w:rFonts w:ascii="Times New Roman" w:hAnsi="Times New Roman" w:cs="Times New Roman"/>
          <w:sz w:val="24"/>
          <w:szCs w:val="24"/>
        </w:rPr>
        <w:t>Pathogen infection caused marked stunting in tomato plants. The uninoculated control (T1) showed maximum shoot (38.37 ± 0.26 cm) and root length (16.20 ± 0.23 cm), while the infected control (T2) recorded the lowest values (21.90 ± 0.40 cm and 10.63 ± 0.43 cm)</w:t>
      </w:r>
      <w:r w:rsidR="00402561">
        <w:rPr>
          <w:rFonts w:ascii="Times New Roman" w:hAnsi="Times New Roman" w:cs="Times New Roman"/>
          <w:sz w:val="24"/>
          <w:szCs w:val="24"/>
        </w:rPr>
        <w:t xml:space="preserve"> (Graph 5) (Fig. 4)</w:t>
      </w:r>
      <w:r w:rsidR="00E02F19" w:rsidRPr="00E02F19">
        <w:rPr>
          <w:rFonts w:ascii="Times New Roman" w:hAnsi="Times New Roman" w:cs="Times New Roman"/>
          <w:sz w:val="24"/>
          <w:szCs w:val="24"/>
        </w:rPr>
        <w:t>.</w:t>
      </w:r>
    </w:p>
    <w:p w14:paraId="677D3792" w14:textId="74384241" w:rsidR="00E02F19" w:rsidRP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t xml:space="preserve">All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treatments improved plant growth over the infected control. Among single treatments,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(T3) resulted in 34.37 ± 0.32 cm shoot and 13.10 ± 0.17 cm root length. </w:t>
      </w:r>
      <w:r w:rsidRPr="00E02F19">
        <w:rPr>
          <w:rFonts w:ascii="Times New Roman" w:hAnsi="Times New Roman" w:cs="Times New Roman"/>
          <w:i/>
          <w:iCs/>
          <w:sz w:val="24"/>
          <w:szCs w:val="24"/>
        </w:rPr>
        <w:t>T. asperellum</w:t>
      </w:r>
      <w:r w:rsidRPr="00E02F19">
        <w:rPr>
          <w:rFonts w:ascii="Times New Roman" w:hAnsi="Times New Roman" w:cs="Times New Roman"/>
          <w:sz w:val="24"/>
          <w:szCs w:val="24"/>
        </w:rPr>
        <w:t xml:space="preserve"> (T5) showed a root length of 14.23 ± 0.09 cm, suggesting a stronger influence on root development.</w:t>
      </w:r>
      <w:r>
        <w:rPr>
          <w:rFonts w:ascii="Times New Roman" w:hAnsi="Times New Roman" w:cs="Times New Roman"/>
          <w:sz w:val="24"/>
          <w:szCs w:val="24"/>
        </w:rPr>
        <w:t xml:space="preserve"> </w:t>
      </w:r>
      <w:r w:rsidRPr="00E02F19">
        <w:rPr>
          <w:rFonts w:ascii="Times New Roman" w:hAnsi="Times New Roman" w:cs="Times New Roman"/>
          <w:sz w:val="24"/>
          <w:szCs w:val="24"/>
        </w:rPr>
        <w:t>Dual inoculations were more effective. The T8 treatment (asperellum + viride) produced 36.47 ± 0.18 cm shoots and 14.73 ± 0.09 cm roots. Other dual treatments also showed marked improvements. The best performance was seen in the triple treatment (T9), with 37.67 ± 0.48 cm shoot and 15.50 ± 0.21 cm root lengths—closely approximating the fungicide control (T10), which yielded 37.17 ± 0.54 cm and 15.40 ± 0.15 cm. All differences were statistically significant (CD: 1.014 for shoot, 0.672 for root).</w:t>
      </w:r>
    </w:p>
    <w:p w14:paraId="49C9D280" w14:textId="543B3871" w:rsidR="00E02F19" w:rsidRPr="00E02F19" w:rsidRDefault="006973C5" w:rsidP="00C11C3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3.2.3. </w:t>
      </w:r>
      <w:r w:rsidR="00E02F19" w:rsidRPr="00E02F19">
        <w:rPr>
          <w:rFonts w:ascii="Times New Roman" w:hAnsi="Times New Roman" w:cs="Times New Roman"/>
          <w:b/>
          <w:bCs/>
          <w:sz w:val="24"/>
          <w:szCs w:val="24"/>
        </w:rPr>
        <w:t>Biomass Production:</w:t>
      </w:r>
      <w:r w:rsidR="00E02F19">
        <w:rPr>
          <w:rFonts w:ascii="Times New Roman" w:hAnsi="Times New Roman" w:cs="Times New Roman"/>
          <w:sz w:val="24"/>
          <w:szCs w:val="24"/>
        </w:rPr>
        <w:t xml:space="preserve"> </w:t>
      </w:r>
      <w:r w:rsidR="00E02F19" w:rsidRPr="00E02F19">
        <w:rPr>
          <w:rFonts w:ascii="Times New Roman" w:hAnsi="Times New Roman" w:cs="Times New Roman"/>
          <w:sz w:val="24"/>
          <w:szCs w:val="24"/>
        </w:rPr>
        <w:t>Fresh and dry biomass values mirrored the trends observed in growth measurements. The uninoculated control (T1) showed the highest shoot fresh weight (29.42 ± 0.11 g), root fresh weight (9.15 ± 0.06 g), shoot dry weight (9.48 ± 0.19 g), and root dry weight (2.99 ± 0.07 g). The pathogen-inoculated control (T2) recorded the lowest biomass across all parameters</w:t>
      </w:r>
      <w:r w:rsidR="00402561">
        <w:rPr>
          <w:rFonts w:ascii="Times New Roman" w:hAnsi="Times New Roman" w:cs="Times New Roman"/>
          <w:sz w:val="24"/>
          <w:szCs w:val="24"/>
        </w:rPr>
        <w:t xml:space="preserve"> (Graph 6 &amp; 7)</w:t>
      </w:r>
      <w:r w:rsidR="00E02F19" w:rsidRPr="00E02F19">
        <w:rPr>
          <w:rFonts w:ascii="Times New Roman" w:hAnsi="Times New Roman" w:cs="Times New Roman"/>
          <w:sz w:val="24"/>
          <w:szCs w:val="24"/>
        </w:rPr>
        <w:t>.</w:t>
      </w:r>
    </w:p>
    <w:p w14:paraId="5E9D5902" w14:textId="77777777" w:rsid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t xml:space="preserve">All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treatments enhanced biomass accumulation. Among individual treatments, </w:t>
      </w:r>
      <w:r w:rsidRPr="00E02F19">
        <w:rPr>
          <w:rFonts w:ascii="Times New Roman" w:hAnsi="Times New Roman" w:cs="Times New Roman"/>
          <w:i/>
          <w:iCs/>
          <w:sz w:val="24"/>
          <w:szCs w:val="24"/>
        </w:rPr>
        <w:t>T. harzianum</w:t>
      </w:r>
      <w:r w:rsidRPr="00E02F19">
        <w:rPr>
          <w:rFonts w:ascii="Times New Roman" w:hAnsi="Times New Roman" w:cs="Times New Roman"/>
          <w:sz w:val="24"/>
          <w:szCs w:val="24"/>
        </w:rPr>
        <w:t xml:space="preserve"> and </w:t>
      </w:r>
      <w:r w:rsidRPr="00E02F19">
        <w:rPr>
          <w:rFonts w:ascii="Times New Roman" w:hAnsi="Times New Roman" w:cs="Times New Roman"/>
          <w:i/>
          <w:iCs/>
          <w:sz w:val="24"/>
          <w:szCs w:val="24"/>
        </w:rPr>
        <w:t>T. asperellum</w:t>
      </w:r>
      <w:r w:rsidRPr="00E02F19">
        <w:rPr>
          <w:rFonts w:ascii="Times New Roman" w:hAnsi="Times New Roman" w:cs="Times New Roman"/>
          <w:sz w:val="24"/>
          <w:szCs w:val="24"/>
        </w:rPr>
        <w:t xml:space="preserve"> showed better shoot and root weights than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Combined treatments, especially the triple formulation (T9), significantly improved both fresh and dry weights. T9 produced shoot fresh and dry weights of 27.94 ± 0.20 g and 9.01 ± 0.08 g, and root </w:t>
      </w:r>
      <w:r w:rsidRPr="00E02F19">
        <w:rPr>
          <w:rFonts w:ascii="Times New Roman" w:hAnsi="Times New Roman" w:cs="Times New Roman"/>
          <w:sz w:val="24"/>
          <w:szCs w:val="24"/>
        </w:rPr>
        <w:lastRenderedPageBreak/>
        <w:t xml:space="preserve">fresh and dry weights of 8.42 ± 0.05 g and 2.86 ± 0.09 g, respectively—approaching the fungicide treatment values. This emphasizes the dual benefits of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spp. in disease management and growth stimulation.</w:t>
      </w:r>
    </w:p>
    <w:p w14:paraId="1D40AFD5" w14:textId="77777777" w:rsidR="003F79A5" w:rsidRDefault="003F79A5" w:rsidP="00AF0DD2">
      <w:pPr>
        <w:spacing w:after="0" w:line="360" w:lineRule="auto"/>
        <w:jc w:val="both"/>
        <w:rPr>
          <w:rFonts w:ascii="Times New Roman" w:hAnsi="Times New Roman" w:cs="Times New Roman"/>
          <w:sz w:val="24"/>
          <w:szCs w:val="24"/>
        </w:rPr>
      </w:pPr>
      <w:r>
        <w:rPr>
          <w:noProof/>
          <w:lang w:val="en-US"/>
        </w:rPr>
        <w:drawing>
          <wp:inline distT="0" distB="0" distL="0" distR="0" wp14:anchorId="67FB0061" wp14:editId="234A6C5F">
            <wp:extent cx="2853690" cy="3241964"/>
            <wp:effectExtent l="0" t="0" r="3810" b="0"/>
            <wp:docPr id="1550971346"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830" cy="3256891"/>
                    </a:xfrm>
                    <a:prstGeom prst="rect">
                      <a:avLst/>
                    </a:prstGeom>
                    <a:noFill/>
                    <a:ln>
                      <a:noFill/>
                    </a:ln>
                  </pic:spPr>
                </pic:pic>
              </a:graphicData>
            </a:graphic>
          </wp:inline>
        </w:drawing>
      </w:r>
      <w:r>
        <w:rPr>
          <w:noProof/>
          <w:lang w:val="en-US"/>
        </w:rPr>
        <w:drawing>
          <wp:inline distT="0" distB="0" distL="0" distR="0" wp14:anchorId="792C37E6" wp14:editId="30696605">
            <wp:extent cx="2797810" cy="3242166"/>
            <wp:effectExtent l="0" t="0" r="2540" b="0"/>
            <wp:docPr id="373951775"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ut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8821" cy="3266514"/>
                    </a:xfrm>
                    <a:prstGeom prst="rect">
                      <a:avLst/>
                    </a:prstGeom>
                    <a:noFill/>
                    <a:ln>
                      <a:noFill/>
                    </a:ln>
                  </pic:spPr>
                </pic:pic>
              </a:graphicData>
            </a:graphic>
          </wp:inline>
        </w:drawing>
      </w:r>
    </w:p>
    <w:p w14:paraId="412E0348" w14:textId="6EB6A844" w:rsidR="003F79A5" w:rsidRDefault="003F79A5" w:rsidP="00AF0DD2">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Graph</w:t>
      </w:r>
      <w:r w:rsidRPr="008B62C3">
        <w:rPr>
          <w:rFonts w:ascii="Times New Roman" w:hAnsi="Times New Roman" w:cs="Times New Roman"/>
          <w:b/>
          <w:bCs/>
          <w:sz w:val="24"/>
          <w:szCs w:val="24"/>
        </w:rPr>
        <w:t xml:space="preserve"> </w:t>
      </w:r>
      <w:r>
        <w:rPr>
          <w:rFonts w:ascii="Times New Roman" w:hAnsi="Times New Roman" w:cs="Times New Roman"/>
          <w:b/>
          <w:bCs/>
          <w:sz w:val="24"/>
          <w:szCs w:val="24"/>
        </w:rPr>
        <w:t>3 &amp; 4</w:t>
      </w:r>
      <w:r w:rsidRPr="008B62C3">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as soil application for managing Southern Blight of tomato caused by </w:t>
      </w:r>
      <w:r>
        <w:rPr>
          <w:rFonts w:ascii="Times New Roman" w:hAnsi="Times New Roman" w:cs="Times New Roman"/>
          <w:i/>
          <w:iCs/>
          <w:sz w:val="24"/>
          <w:szCs w:val="24"/>
        </w:rPr>
        <w:t>Sclerotium rolfsii</w:t>
      </w:r>
      <w:r>
        <w:rPr>
          <w:rFonts w:ascii="Times New Roman" w:hAnsi="Times New Roman" w:cs="Times New Roman"/>
          <w:sz w:val="24"/>
          <w:szCs w:val="24"/>
        </w:rPr>
        <w:t>.</w:t>
      </w:r>
    </w:p>
    <w:p w14:paraId="7401512F" w14:textId="77777777" w:rsidR="003F79A5" w:rsidRDefault="003F79A5" w:rsidP="00C11C38">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2FC859DA" wp14:editId="342BCAFA">
            <wp:extent cx="5730104" cy="3458497"/>
            <wp:effectExtent l="0" t="0" r="4445" b="8890"/>
            <wp:docPr id="68797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7380" name="Picture 687973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8930" cy="3469860"/>
                    </a:xfrm>
                    <a:prstGeom prst="rect">
                      <a:avLst/>
                    </a:prstGeom>
                  </pic:spPr>
                </pic:pic>
              </a:graphicData>
            </a:graphic>
          </wp:inline>
        </w:drawing>
      </w:r>
    </w:p>
    <w:p w14:paraId="71945D4D" w14:textId="4814CFC0" w:rsidR="003F79A5" w:rsidRPr="001F72ED" w:rsidRDefault="003F79A5" w:rsidP="00C11C38">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Graph</w:t>
      </w:r>
      <w:r w:rsidRPr="001F72ED">
        <w:rPr>
          <w:rFonts w:ascii="Times New Roman" w:hAnsi="Times New Roman" w:cs="Times New Roman"/>
          <w:b/>
          <w:bCs/>
          <w:sz w:val="24"/>
          <w:szCs w:val="24"/>
        </w:rPr>
        <w:t xml:space="preserve"> </w:t>
      </w:r>
      <w:r>
        <w:rPr>
          <w:rFonts w:ascii="Times New Roman" w:hAnsi="Times New Roman" w:cs="Times New Roman"/>
          <w:b/>
          <w:bCs/>
          <w:sz w:val="24"/>
          <w:szCs w:val="24"/>
        </w:rPr>
        <w:t>5</w:t>
      </w:r>
      <w:r w:rsidRPr="001F72ED">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shoot and root length of tomato infected by </w:t>
      </w:r>
      <w:r>
        <w:rPr>
          <w:rFonts w:ascii="Times New Roman" w:hAnsi="Times New Roman" w:cs="Times New Roman"/>
          <w:i/>
          <w:iCs/>
          <w:sz w:val="24"/>
          <w:szCs w:val="24"/>
        </w:rPr>
        <w:t>Sclerotium rolfsii</w:t>
      </w:r>
      <w:r>
        <w:rPr>
          <w:rFonts w:ascii="Times New Roman" w:hAnsi="Times New Roman" w:cs="Times New Roman"/>
          <w:sz w:val="24"/>
          <w:szCs w:val="24"/>
        </w:rPr>
        <w:t>.</w:t>
      </w:r>
    </w:p>
    <w:p w14:paraId="63CC3C18" w14:textId="77777777" w:rsidR="003F79A5" w:rsidRPr="0077499E" w:rsidRDefault="003F79A5" w:rsidP="00C11C38">
      <w:pPr>
        <w:spacing w:line="360" w:lineRule="auto"/>
        <w:jc w:val="both"/>
        <w:rPr>
          <w:rFonts w:ascii="Times New Roman" w:hAnsi="Times New Roman" w:cs="Times New Roman"/>
          <w:sz w:val="24"/>
          <w:szCs w:val="24"/>
        </w:rPr>
      </w:pPr>
    </w:p>
    <w:p w14:paraId="2D2A5EEE" w14:textId="77777777" w:rsidR="003F79A5" w:rsidRDefault="003F79A5" w:rsidP="00AF0DD2">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lang w:val="en-US"/>
        </w:rPr>
        <w:drawing>
          <wp:inline distT="0" distB="0" distL="0" distR="0" wp14:anchorId="0F1696F0" wp14:editId="70A93EEA">
            <wp:extent cx="5727937" cy="2743200"/>
            <wp:effectExtent l="0" t="0" r="6350" b="0"/>
            <wp:docPr id="1369317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17108" name="Picture 136931710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7337" cy="2771648"/>
                    </a:xfrm>
                    <a:prstGeom prst="rect">
                      <a:avLst/>
                    </a:prstGeom>
                  </pic:spPr>
                </pic:pic>
              </a:graphicData>
            </a:graphic>
          </wp:inline>
        </w:drawing>
      </w:r>
    </w:p>
    <w:p w14:paraId="4D888DC0" w14:textId="4B3B4DC1" w:rsidR="003F79A5" w:rsidRPr="0077499E" w:rsidRDefault="003F79A5" w:rsidP="00AF0DD2">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Graph</w:t>
      </w:r>
      <w:r w:rsidRPr="0077499E">
        <w:rPr>
          <w:rFonts w:ascii="Times New Roman" w:hAnsi="Times New Roman" w:cs="Times New Roman"/>
          <w:b/>
          <w:bCs/>
          <w:sz w:val="24"/>
          <w:szCs w:val="24"/>
        </w:rPr>
        <w:t xml:space="preserve"> </w:t>
      </w:r>
      <w:r>
        <w:rPr>
          <w:rFonts w:ascii="Times New Roman" w:hAnsi="Times New Roman" w:cs="Times New Roman"/>
          <w:b/>
          <w:bCs/>
          <w:sz w:val="24"/>
          <w:szCs w:val="24"/>
        </w:rPr>
        <w:t>6</w:t>
      </w:r>
      <w:r w:rsidRPr="0077499E">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shoot and root fresh weight of tomato infected by </w:t>
      </w:r>
      <w:r>
        <w:rPr>
          <w:rFonts w:ascii="Times New Roman" w:hAnsi="Times New Roman" w:cs="Times New Roman"/>
          <w:i/>
          <w:iCs/>
          <w:sz w:val="24"/>
          <w:szCs w:val="24"/>
        </w:rPr>
        <w:t>Sclerotium rolfsii</w:t>
      </w:r>
      <w:r>
        <w:rPr>
          <w:rFonts w:ascii="Times New Roman" w:hAnsi="Times New Roman" w:cs="Times New Roman"/>
          <w:sz w:val="24"/>
          <w:szCs w:val="24"/>
        </w:rPr>
        <w:t>.</w:t>
      </w:r>
    </w:p>
    <w:p w14:paraId="0AB2EEEC" w14:textId="77777777" w:rsidR="003F79A5" w:rsidRDefault="003F79A5" w:rsidP="00AF0DD2">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lang w:val="en-US"/>
        </w:rPr>
        <w:drawing>
          <wp:inline distT="0" distB="0" distL="0" distR="0" wp14:anchorId="27DF8D06" wp14:editId="4631D5F4">
            <wp:extent cx="5730240" cy="2669458"/>
            <wp:effectExtent l="0" t="0" r="3810" b="0"/>
            <wp:docPr id="12054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804" name="Picture 120548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7549" cy="2677522"/>
                    </a:xfrm>
                    <a:prstGeom prst="rect">
                      <a:avLst/>
                    </a:prstGeom>
                  </pic:spPr>
                </pic:pic>
              </a:graphicData>
            </a:graphic>
          </wp:inline>
        </w:drawing>
      </w:r>
    </w:p>
    <w:p w14:paraId="4A36D30A" w14:textId="3EC43377" w:rsidR="003F79A5" w:rsidRPr="001F72ED" w:rsidRDefault="003F79A5" w:rsidP="00AF0DD2">
      <w:pPr>
        <w:spacing w:after="360" w:line="360" w:lineRule="auto"/>
        <w:jc w:val="center"/>
        <w:rPr>
          <w:rFonts w:ascii="Times New Roman" w:hAnsi="Times New Roman" w:cs="Times New Roman"/>
          <w:sz w:val="24"/>
          <w:szCs w:val="24"/>
        </w:rPr>
      </w:pPr>
      <w:r>
        <w:rPr>
          <w:rFonts w:ascii="Times New Roman" w:hAnsi="Times New Roman" w:cs="Times New Roman"/>
          <w:b/>
          <w:bCs/>
          <w:sz w:val="24"/>
          <w:szCs w:val="24"/>
        </w:rPr>
        <w:t>Graph</w:t>
      </w:r>
      <w:r w:rsidRPr="0077499E">
        <w:rPr>
          <w:rFonts w:ascii="Times New Roman" w:hAnsi="Times New Roman" w:cs="Times New Roman"/>
          <w:b/>
          <w:bCs/>
          <w:sz w:val="24"/>
          <w:szCs w:val="24"/>
        </w:rPr>
        <w:t xml:space="preserve"> </w:t>
      </w:r>
      <w:r>
        <w:rPr>
          <w:rFonts w:ascii="Times New Roman" w:hAnsi="Times New Roman" w:cs="Times New Roman"/>
          <w:b/>
          <w:bCs/>
          <w:sz w:val="24"/>
          <w:szCs w:val="24"/>
        </w:rPr>
        <w:t>7</w:t>
      </w:r>
      <w:r w:rsidRPr="0077499E">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shoot and root dry weight of tomato infected by </w:t>
      </w:r>
      <w:r>
        <w:rPr>
          <w:rFonts w:ascii="Times New Roman" w:hAnsi="Times New Roman" w:cs="Times New Roman"/>
          <w:i/>
          <w:iCs/>
          <w:sz w:val="24"/>
          <w:szCs w:val="24"/>
        </w:rPr>
        <w:t>Sclerotium rolfsii</w:t>
      </w:r>
      <w:r>
        <w:rPr>
          <w:rFonts w:ascii="Times New Roman" w:hAnsi="Times New Roman" w:cs="Times New Roman"/>
          <w:sz w:val="24"/>
          <w:szCs w:val="24"/>
        </w:rPr>
        <w:t>.</w:t>
      </w:r>
    </w:p>
    <w:p w14:paraId="344B0844" w14:textId="77777777" w:rsidR="003F79A5" w:rsidRDefault="003F79A5" w:rsidP="00C11C38">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47F34582" wp14:editId="40FB8896">
            <wp:extent cx="5730865" cy="3936570"/>
            <wp:effectExtent l="0" t="0" r="3810" b="6985"/>
            <wp:docPr id="198726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62742" name="Picture 1987262742"/>
                    <pic:cNvPicPr/>
                  </pic:nvPicPr>
                  <pic:blipFill>
                    <a:blip r:embed="rId19">
                      <a:extLst>
                        <a:ext uri="{28A0092B-C50C-407E-A947-70E740481C1C}">
                          <a14:useLocalDpi xmlns:a14="http://schemas.microsoft.com/office/drawing/2010/main" val="0"/>
                        </a:ext>
                      </a:extLst>
                    </a:blip>
                    <a:stretch>
                      <a:fillRect/>
                    </a:stretch>
                  </pic:blipFill>
                  <pic:spPr>
                    <a:xfrm>
                      <a:off x="0" y="0"/>
                      <a:ext cx="5746436" cy="3947266"/>
                    </a:xfrm>
                    <a:prstGeom prst="rect">
                      <a:avLst/>
                    </a:prstGeom>
                  </pic:spPr>
                </pic:pic>
              </a:graphicData>
            </a:graphic>
          </wp:inline>
        </w:drawing>
      </w:r>
    </w:p>
    <w:p w14:paraId="51D08AAB" w14:textId="577BA015" w:rsidR="00DA3345" w:rsidRPr="00402A6A" w:rsidRDefault="003F79A5" w:rsidP="00402A6A">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Figure </w:t>
      </w:r>
      <w:r w:rsidR="00402561">
        <w:rPr>
          <w:rFonts w:ascii="Times New Roman" w:hAnsi="Times New Roman" w:cs="Times New Roman"/>
          <w:b/>
          <w:bCs/>
          <w:sz w:val="24"/>
          <w:szCs w:val="24"/>
        </w:rPr>
        <w:t>4</w:t>
      </w:r>
      <w:r>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the growth of tomato infected by </w:t>
      </w:r>
      <w:r>
        <w:rPr>
          <w:rFonts w:ascii="Times New Roman" w:hAnsi="Times New Roman" w:cs="Times New Roman"/>
          <w:i/>
          <w:iCs/>
          <w:sz w:val="24"/>
          <w:szCs w:val="24"/>
        </w:rPr>
        <w:t>Sclerotium rolfsii</w:t>
      </w:r>
      <w:r>
        <w:rPr>
          <w:rFonts w:ascii="Times New Roman" w:hAnsi="Times New Roman" w:cs="Times New Roman"/>
          <w:sz w:val="24"/>
          <w:szCs w:val="24"/>
        </w:rPr>
        <w:t>.</w:t>
      </w:r>
    </w:p>
    <w:p w14:paraId="704665E3" w14:textId="1F42695B" w:rsidR="00E02F19" w:rsidRPr="00E02F19" w:rsidRDefault="006973C5"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E02F19" w:rsidRPr="00E02F19">
        <w:rPr>
          <w:rFonts w:ascii="Times New Roman" w:hAnsi="Times New Roman" w:cs="Times New Roman"/>
          <w:b/>
          <w:bCs/>
          <w:sz w:val="24"/>
          <w:szCs w:val="24"/>
        </w:rPr>
        <w:t>DISCUSSION</w:t>
      </w:r>
    </w:p>
    <w:p w14:paraId="57BFA81B" w14:textId="7347670E"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The study provides compelling evidence supporting the use of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 xml:space="preserve"> spp., either alone or in combination, for the effective biological control of </w:t>
      </w:r>
      <w:r w:rsidRPr="00F85A57">
        <w:rPr>
          <w:rFonts w:ascii="Times New Roman" w:hAnsi="Times New Roman" w:cs="Times New Roman"/>
          <w:i/>
          <w:iCs/>
          <w:sz w:val="24"/>
          <w:szCs w:val="24"/>
        </w:rPr>
        <w:t>Sclerotium rolfsii</w:t>
      </w:r>
      <w:r w:rsidRPr="00F85A57">
        <w:rPr>
          <w:rFonts w:ascii="Times New Roman" w:hAnsi="Times New Roman" w:cs="Times New Roman"/>
          <w:sz w:val="24"/>
          <w:szCs w:val="24"/>
        </w:rPr>
        <w:t xml:space="preserve"> in tomato. In vitro experiments revealed substantial suppression of pathogen growth by </w:t>
      </w:r>
      <w:r w:rsidRPr="00F85A57">
        <w:rPr>
          <w:rFonts w:ascii="Times New Roman" w:hAnsi="Times New Roman" w:cs="Times New Roman"/>
          <w:i/>
          <w:iCs/>
          <w:sz w:val="24"/>
          <w:szCs w:val="24"/>
        </w:rPr>
        <w:t>T. harzianum</w:t>
      </w:r>
      <w:r w:rsidRPr="00F85A57">
        <w:rPr>
          <w:rFonts w:ascii="Times New Roman" w:hAnsi="Times New Roman" w:cs="Times New Roman"/>
          <w:sz w:val="24"/>
          <w:szCs w:val="24"/>
        </w:rPr>
        <w:t xml:space="preserve"> and </w:t>
      </w:r>
      <w:r w:rsidRPr="00F85A57">
        <w:rPr>
          <w:rFonts w:ascii="Times New Roman" w:hAnsi="Times New Roman" w:cs="Times New Roman"/>
          <w:i/>
          <w:iCs/>
          <w:sz w:val="24"/>
          <w:szCs w:val="24"/>
        </w:rPr>
        <w:t>T. viride</w:t>
      </w:r>
      <w:r w:rsidRPr="00F85A57">
        <w:rPr>
          <w:rFonts w:ascii="Times New Roman" w:hAnsi="Times New Roman" w:cs="Times New Roman"/>
          <w:sz w:val="24"/>
          <w:szCs w:val="24"/>
        </w:rPr>
        <w:t xml:space="preserve">, a result consistent with earlier studies such as those by Prajapati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(2015), who documented similar inhibition in chickpea. The mechanisms involved likely include mycoparasitism, competition, and secretion of lytic enzymes (Sharma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2011), paralleling the findings of Dennis and Webster (1971), who first described the mycelial coiling behavior of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w:t>
      </w:r>
    </w:p>
    <w:p w14:paraId="6EA0EA59" w14:textId="1E2A3E82"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Pot experiments further validated the biocontrol potential under soil conditions. Disease reduction and improved plant vigor observed in treatments involving </w:t>
      </w:r>
      <w:r w:rsidRPr="00F85A57">
        <w:rPr>
          <w:rFonts w:ascii="Times New Roman" w:hAnsi="Times New Roman" w:cs="Times New Roman"/>
          <w:i/>
          <w:iCs/>
          <w:sz w:val="24"/>
          <w:szCs w:val="24"/>
        </w:rPr>
        <w:t>T. harzianum</w:t>
      </w:r>
      <w:r w:rsidRPr="00F85A57">
        <w:rPr>
          <w:rFonts w:ascii="Times New Roman" w:hAnsi="Times New Roman" w:cs="Times New Roman"/>
          <w:sz w:val="24"/>
          <w:szCs w:val="24"/>
        </w:rPr>
        <w:t xml:space="preserve">, especially in combination with </w:t>
      </w:r>
      <w:r w:rsidRPr="00F85A57">
        <w:rPr>
          <w:rFonts w:ascii="Times New Roman" w:hAnsi="Times New Roman" w:cs="Times New Roman"/>
          <w:i/>
          <w:iCs/>
          <w:sz w:val="24"/>
          <w:szCs w:val="24"/>
        </w:rPr>
        <w:t>Pseudomonas fluorescens</w:t>
      </w:r>
      <w:r w:rsidRPr="00F85A57">
        <w:rPr>
          <w:rFonts w:ascii="Times New Roman" w:hAnsi="Times New Roman" w:cs="Times New Roman"/>
          <w:sz w:val="24"/>
          <w:szCs w:val="24"/>
        </w:rPr>
        <w:t xml:space="preserve">, confirm earlier reports by Manjula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(2004) and Bora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(2013), who observed synergistic effects between fungal and bacterial antagonists. This combined approach enhances biocontrol efficacy and reinforces plant resistance mechanisms.</w:t>
      </w:r>
    </w:p>
    <w:p w14:paraId="2E4B50AB" w14:textId="5DA00EEF"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lastRenderedPageBreak/>
        <w:t xml:space="preserve">Notably, the compatibility between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 xml:space="preserve"> spp. and </w:t>
      </w:r>
      <w:r w:rsidRPr="00F85A57">
        <w:rPr>
          <w:rFonts w:ascii="Times New Roman" w:hAnsi="Times New Roman" w:cs="Times New Roman"/>
          <w:i/>
          <w:iCs/>
          <w:sz w:val="24"/>
          <w:szCs w:val="24"/>
        </w:rPr>
        <w:t>P. fluorescens</w:t>
      </w:r>
      <w:r w:rsidRPr="00F85A57">
        <w:rPr>
          <w:rFonts w:ascii="Times New Roman" w:hAnsi="Times New Roman" w:cs="Times New Roman"/>
          <w:sz w:val="24"/>
          <w:szCs w:val="24"/>
        </w:rPr>
        <w:t xml:space="preserve"> aligns with Jadon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(2018), who reported superior disease control in groundnut using integrated biocontrol strategies. Our results further support the application of such integrated treatments for tomato stem rot management.</w:t>
      </w:r>
    </w:p>
    <w:p w14:paraId="1A627F2C" w14:textId="51B1B28D"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Similar findings were reported by Safari Motlagh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(2022), who noted improved growth and reduced disease in groundnut with applications of </w:t>
      </w:r>
      <w:r w:rsidRPr="00F85A57">
        <w:rPr>
          <w:rFonts w:ascii="Times New Roman" w:hAnsi="Times New Roman" w:cs="Times New Roman"/>
          <w:i/>
          <w:iCs/>
          <w:sz w:val="24"/>
          <w:szCs w:val="24"/>
        </w:rPr>
        <w:t>T. viride</w:t>
      </w:r>
      <w:r w:rsidRPr="00F85A57">
        <w:rPr>
          <w:rFonts w:ascii="Times New Roman" w:hAnsi="Times New Roman" w:cs="Times New Roman"/>
          <w:sz w:val="24"/>
          <w:szCs w:val="24"/>
        </w:rPr>
        <w:t xml:space="preserve">, </w:t>
      </w:r>
      <w:r w:rsidRPr="00F85A57">
        <w:rPr>
          <w:rFonts w:ascii="Times New Roman" w:hAnsi="Times New Roman" w:cs="Times New Roman"/>
          <w:i/>
          <w:iCs/>
          <w:sz w:val="24"/>
          <w:szCs w:val="24"/>
        </w:rPr>
        <w:t>A. flavus</w:t>
      </w:r>
      <w:r w:rsidRPr="00F85A57">
        <w:rPr>
          <w:rFonts w:ascii="Times New Roman" w:hAnsi="Times New Roman" w:cs="Times New Roman"/>
          <w:sz w:val="24"/>
          <w:szCs w:val="24"/>
        </w:rPr>
        <w:t xml:space="preserve">, and </w:t>
      </w:r>
      <w:r w:rsidRPr="00F85A57">
        <w:rPr>
          <w:rFonts w:ascii="Times New Roman" w:hAnsi="Times New Roman" w:cs="Times New Roman"/>
          <w:i/>
          <w:iCs/>
          <w:sz w:val="24"/>
          <w:szCs w:val="24"/>
        </w:rPr>
        <w:t>P. rubens</w:t>
      </w:r>
      <w:r w:rsidRPr="00F85A57">
        <w:rPr>
          <w:rFonts w:ascii="Times New Roman" w:hAnsi="Times New Roman" w:cs="Times New Roman"/>
          <w:sz w:val="24"/>
          <w:szCs w:val="24"/>
        </w:rPr>
        <w:t xml:space="preserve">. The effectiveness of </w:t>
      </w:r>
      <w:r w:rsidRPr="00F85A57">
        <w:rPr>
          <w:rFonts w:ascii="Times New Roman" w:hAnsi="Times New Roman" w:cs="Times New Roman"/>
          <w:i/>
          <w:iCs/>
          <w:sz w:val="24"/>
          <w:szCs w:val="24"/>
        </w:rPr>
        <w:t>P. fluorescens</w:t>
      </w:r>
      <w:r w:rsidRPr="00F85A57">
        <w:rPr>
          <w:rFonts w:ascii="Times New Roman" w:hAnsi="Times New Roman" w:cs="Times New Roman"/>
          <w:sz w:val="24"/>
          <w:szCs w:val="24"/>
        </w:rPr>
        <w:t xml:space="preserve"> is attributed to its plant growth-promoting activities such as ISR induction, siderophore production, and phosphate solubilization (Raaijmakers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2002).</w:t>
      </w:r>
    </w:p>
    <w:p w14:paraId="4FB586A9" w14:textId="11553D0C"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Studies by Rakholiya and Jadeja (2010), Rasu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(2013), and Kumar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(2008) have all confirmed the reliability of seed and soil treatments with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 xml:space="preserve"> spp. in managing soilborne pathogens. Our findings extend this evidence to tomato crops, emphasizing the potential of biological agents as viable alternatives to chemical fungicides.</w:t>
      </w:r>
    </w:p>
    <w:p w14:paraId="01FBECC5" w14:textId="21949EB0"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Furthermore, the integration of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 xml:space="preserve"> with organic amendments like FYM enhances rhizosphere colonization and longevity of biocontrol action, as reported by Sarita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(2018). The persistence and adaptability of these agents contribute to their long-term effectiveness, unlike synthetic chemicals which often lead to resistance and environmental concerns (Dupler and Baker, 1984).</w:t>
      </w:r>
    </w:p>
    <w:p w14:paraId="38B70035" w14:textId="3D6E0991"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The PGPR traits of </w:t>
      </w:r>
      <w:r w:rsidRPr="00F85A57">
        <w:rPr>
          <w:rFonts w:ascii="Times New Roman" w:hAnsi="Times New Roman" w:cs="Times New Roman"/>
          <w:i/>
          <w:iCs/>
          <w:sz w:val="24"/>
          <w:szCs w:val="24"/>
        </w:rPr>
        <w:t>P. fluorescens</w:t>
      </w:r>
      <w:r w:rsidRPr="00F85A57">
        <w:rPr>
          <w:rFonts w:ascii="Times New Roman" w:hAnsi="Times New Roman" w:cs="Times New Roman"/>
          <w:sz w:val="24"/>
          <w:szCs w:val="24"/>
        </w:rPr>
        <w:t xml:space="preserve">, such as the production of auxins and lytic enzymes (Chin-A-Woeng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2001), further explain the improved growth metrics seen in our study. These multifaceted benefits solidify the case for incorporating such bioagents into integrated pest management (IPM) programs.</w:t>
      </w:r>
    </w:p>
    <w:p w14:paraId="61C46147" w14:textId="13A1F83E" w:rsidR="004835C2" w:rsidRDefault="006973C5"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E02F19">
        <w:rPr>
          <w:rFonts w:ascii="Times New Roman" w:hAnsi="Times New Roman" w:cs="Times New Roman"/>
          <w:b/>
          <w:bCs/>
          <w:sz w:val="24"/>
          <w:szCs w:val="24"/>
        </w:rPr>
        <w:t>CONCLUSION</w:t>
      </w:r>
    </w:p>
    <w:p w14:paraId="07E31B6B" w14:textId="77777777" w:rsidR="00E02F19"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In conclusion, the use of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 xml:space="preserve"> spp. and </w:t>
      </w:r>
      <w:r w:rsidRPr="00F85A57">
        <w:rPr>
          <w:rFonts w:ascii="Times New Roman" w:hAnsi="Times New Roman" w:cs="Times New Roman"/>
          <w:i/>
          <w:iCs/>
          <w:sz w:val="24"/>
          <w:szCs w:val="24"/>
        </w:rPr>
        <w:t>Pseudomonas fluorescens</w:t>
      </w:r>
      <w:r w:rsidRPr="00F85A57">
        <w:rPr>
          <w:rFonts w:ascii="Times New Roman" w:hAnsi="Times New Roman" w:cs="Times New Roman"/>
          <w:sz w:val="24"/>
          <w:szCs w:val="24"/>
        </w:rPr>
        <w:t xml:space="preserve"> offers a sustainable, environmentally sound strategy for managing </w:t>
      </w:r>
      <w:r w:rsidRPr="00F85A57">
        <w:rPr>
          <w:rFonts w:ascii="Times New Roman" w:hAnsi="Times New Roman" w:cs="Times New Roman"/>
          <w:i/>
          <w:iCs/>
          <w:sz w:val="24"/>
          <w:szCs w:val="24"/>
        </w:rPr>
        <w:t>S. rolfsii</w:t>
      </w:r>
      <w:r w:rsidRPr="00F85A57">
        <w:rPr>
          <w:rFonts w:ascii="Times New Roman" w:hAnsi="Times New Roman" w:cs="Times New Roman"/>
          <w:sz w:val="24"/>
          <w:szCs w:val="24"/>
        </w:rPr>
        <w:t xml:space="preserve"> in tomato crops. Future work should focus on optimizing formulations, delivery mechanisms, and evaluating their effectiveness across varied agro-ecological zones to facilitate broader adoption.</w:t>
      </w:r>
    </w:p>
    <w:p w14:paraId="6D308741" w14:textId="7E274558" w:rsidR="008774DE" w:rsidRPr="00402A6A" w:rsidRDefault="00402A6A" w:rsidP="008774DE">
      <w:pPr>
        <w:rPr>
          <w:rFonts w:ascii="Times New Roman" w:hAnsi="Times New Roman" w:cs="Times New Roman"/>
          <w:b/>
          <w:bCs/>
          <w:sz w:val="24"/>
          <w:szCs w:val="24"/>
        </w:rPr>
      </w:pPr>
      <w:r w:rsidRPr="00402A6A">
        <w:rPr>
          <w:rFonts w:ascii="Times New Roman" w:hAnsi="Times New Roman" w:cs="Times New Roman"/>
          <w:b/>
          <w:bCs/>
          <w:sz w:val="24"/>
          <w:szCs w:val="24"/>
        </w:rPr>
        <w:t>DISCLAIMER (ARTIFICIAL INTELLIGENCE)</w:t>
      </w:r>
    </w:p>
    <w:p w14:paraId="79C1AB4A" w14:textId="5753E8CE" w:rsidR="008774DE" w:rsidRPr="00402A6A" w:rsidRDefault="008774DE" w:rsidP="00402A6A">
      <w:pPr>
        <w:jc w:val="both"/>
        <w:rPr>
          <w:rFonts w:ascii="Times New Roman" w:hAnsi="Times New Roman" w:cs="Times New Roman"/>
          <w:sz w:val="24"/>
          <w:szCs w:val="24"/>
        </w:rPr>
      </w:pPr>
      <w:r w:rsidRPr="00402A6A">
        <w:rPr>
          <w:rFonts w:ascii="Times New Roman" w:hAnsi="Times New Roman" w:cs="Times New Roman"/>
          <w:sz w:val="24"/>
          <w:szCs w:val="24"/>
        </w:rPr>
        <w:t xml:space="preserve">Author(s) hereby </w:t>
      </w:r>
      <w:r w:rsidR="00402A6A" w:rsidRPr="00402A6A">
        <w:rPr>
          <w:rFonts w:ascii="Times New Roman" w:hAnsi="Times New Roman" w:cs="Times New Roman"/>
          <w:sz w:val="24"/>
          <w:szCs w:val="24"/>
        </w:rPr>
        <w:t>declares</w:t>
      </w:r>
      <w:r w:rsidRPr="00402A6A">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7754BA85" w14:textId="77777777" w:rsidR="00402561" w:rsidRDefault="00402561" w:rsidP="00C11C38">
      <w:pPr>
        <w:spacing w:line="360" w:lineRule="auto"/>
        <w:jc w:val="both"/>
        <w:rPr>
          <w:rFonts w:ascii="Times New Roman" w:hAnsi="Times New Roman" w:cs="Times New Roman"/>
          <w:b/>
          <w:bCs/>
          <w:sz w:val="24"/>
          <w:szCs w:val="24"/>
        </w:rPr>
      </w:pPr>
    </w:p>
    <w:p w14:paraId="1D1F7F1C" w14:textId="297C1C93" w:rsidR="00916096" w:rsidRPr="00916096" w:rsidRDefault="003F79A5" w:rsidP="00916096">
      <w:pPr>
        <w:spacing w:line="360" w:lineRule="auto"/>
        <w:jc w:val="both"/>
        <w:rPr>
          <w:rFonts w:ascii="Times New Roman" w:hAnsi="Times New Roman" w:cs="Times New Roman"/>
          <w:b/>
          <w:bCs/>
          <w:sz w:val="24"/>
          <w:szCs w:val="24"/>
        </w:rPr>
      </w:pPr>
      <w:r w:rsidRPr="003F79A5">
        <w:rPr>
          <w:rFonts w:ascii="Times New Roman" w:hAnsi="Times New Roman" w:cs="Times New Roman"/>
          <w:b/>
          <w:bCs/>
          <w:sz w:val="24"/>
          <w:szCs w:val="24"/>
        </w:rPr>
        <w:lastRenderedPageBreak/>
        <w:t>REFERENCES</w:t>
      </w:r>
    </w:p>
    <w:p w14:paraId="51923B13" w14:textId="6B638D9C" w:rsidR="00916096" w:rsidRDefault="00916096"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916096">
        <w:rPr>
          <w:rFonts w:ascii="Times New Roman" w:hAnsi="Times New Roman" w:cs="Times New Roman"/>
          <w:sz w:val="24"/>
          <w:szCs w:val="24"/>
        </w:rPr>
        <w:t xml:space="preserve">Aljabali, M. A. R. A., Basavaraj, V., Sampathkumar, M. R., &amp; Sharada, M. S. (2025). Incidence, Prevalence, and Molecular Identification of </w:t>
      </w:r>
      <w:r w:rsidRPr="00916096">
        <w:rPr>
          <w:rFonts w:ascii="Times New Roman" w:hAnsi="Times New Roman" w:cs="Times New Roman"/>
          <w:i/>
          <w:iCs/>
          <w:sz w:val="24"/>
          <w:szCs w:val="24"/>
        </w:rPr>
        <w:t>Sclerotium rolfsii</w:t>
      </w:r>
      <w:r w:rsidRPr="00916096">
        <w:rPr>
          <w:rFonts w:ascii="Times New Roman" w:hAnsi="Times New Roman" w:cs="Times New Roman"/>
          <w:sz w:val="24"/>
          <w:szCs w:val="24"/>
        </w:rPr>
        <w:t xml:space="preserve"> Causing Southern Blight in Tomato Fields of Mysuru District, Karnataka, India. </w:t>
      </w:r>
      <w:r w:rsidRPr="00916096">
        <w:rPr>
          <w:rFonts w:ascii="Times New Roman" w:hAnsi="Times New Roman" w:cs="Times New Roman"/>
          <w:i/>
          <w:iCs/>
          <w:sz w:val="24"/>
          <w:szCs w:val="24"/>
        </w:rPr>
        <w:t>Asian Research Journal of Agriculture</w:t>
      </w:r>
      <w:r w:rsidRPr="00916096">
        <w:rPr>
          <w:rFonts w:ascii="Times New Roman" w:hAnsi="Times New Roman" w:cs="Times New Roman"/>
          <w:sz w:val="24"/>
          <w:szCs w:val="24"/>
        </w:rPr>
        <w:t>, </w:t>
      </w:r>
      <w:r w:rsidRPr="00916096">
        <w:rPr>
          <w:rFonts w:ascii="Times New Roman" w:hAnsi="Times New Roman" w:cs="Times New Roman"/>
          <w:i/>
          <w:iCs/>
          <w:sz w:val="24"/>
          <w:szCs w:val="24"/>
        </w:rPr>
        <w:t>18</w:t>
      </w:r>
      <w:r w:rsidRPr="00916096">
        <w:rPr>
          <w:rFonts w:ascii="Times New Roman" w:hAnsi="Times New Roman" w:cs="Times New Roman"/>
          <w:sz w:val="24"/>
          <w:szCs w:val="24"/>
        </w:rPr>
        <w:t>(1), 42-52.</w:t>
      </w:r>
      <w:r>
        <w:rPr>
          <w:rFonts w:ascii="Times New Roman" w:hAnsi="Times New Roman" w:cs="Times New Roman"/>
          <w:sz w:val="24"/>
          <w:szCs w:val="24"/>
        </w:rPr>
        <w:t xml:space="preserve"> </w:t>
      </w:r>
      <w:r w:rsidRPr="00916096">
        <w:rPr>
          <w:rFonts w:ascii="Times New Roman" w:hAnsi="Times New Roman" w:cs="Times New Roman"/>
          <w:b/>
          <w:bCs/>
          <w:sz w:val="24"/>
          <w:szCs w:val="24"/>
        </w:rPr>
        <w:t>DOI: </w:t>
      </w:r>
      <w:hyperlink r:id="rId20" w:history="1">
        <w:r w:rsidRPr="00916096">
          <w:rPr>
            <w:rStyle w:val="Hyperlink"/>
            <w:rFonts w:ascii="Times New Roman" w:hAnsi="Times New Roman" w:cs="Times New Roman"/>
            <w:sz w:val="24"/>
            <w:szCs w:val="24"/>
          </w:rPr>
          <w:t>10.9734/arja/2025/v18i1642</w:t>
        </w:r>
      </w:hyperlink>
    </w:p>
    <w:p w14:paraId="36641C0A" w14:textId="3910B8E7" w:rsidR="00D14D1B" w:rsidRPr="00391B81" w:rsidRDefault="00D14D1B"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91B81">
        <w:rPr>
          <w:rFonts w:ascii="Times New Roman" w:hAnsi="Times New Roman" w:cs="Times New Roman"/>
          <w:sz w:val="24"/>
          <w:szCs w:val="24"/>
        </w:rPr>
        <w:t>Aycock, R. (1966). Stem rot and other diseases caused by </w:t>
      </w:r>
      <w:r w:rsidRPr="00391B81">
        <w:rPr>
          <w:rFonts w:ascii="Times New Roman" w:hAnsi="Times New Roman" w:cs="Times New Roman"/>
          <w:i/>
          <w:iCs/>
          <w:sz w:val="24"/>
          <w:szCs w:val="24"/>
        </w:rPr>
        <w:t>Sclerotium rolfsii</w:t>
      </w:r>
      <w:r w:rsidRPr="00391B81">
        <w:rPr>
          <w:rFonts w:ascii="Times New Roman" w:hAnsi="Times New Roman" w:cs="Times New Roman"/>
          <w:sz w:val="24"/>
          <w:szCs w:val="24"/>
        </w:rPr>
        <w:t>. </w:t>
      </w:r>
      <w:r w:rsidRPr="00391B81">
        <w:rPr>
          <w:rFonts w:ascii="Times New Roman" w:hAnsi="Times New Roman" w:cs="Times New Roman"/>
          <w:i/>
          <w:iCs/>
          <w:sz w:val="24"/>
          <w:szCs w:val="24"/>
        </w:rPr>
        <w:t>NC Agric. Exp. Stn. Tech. Bull.</w:t>
      </w:r>
      <w:r w:rsidRPr="00391B81">
        <w:rPr>
          <w:rFonts w:ascii="Times New Roman" w:hAnsi="Times New Roman" w:cs="Times New Roman"/>
          <w:sz w:val="24"/>
          <w:szCs w:val="24"/>
        </w:rPr>
        <w:t> 174:202.</w:t>
      </w:r>
    </w:p>
    <w:p w14:paraId="399484F3" w14:textId="77777777" w:rsidR="00D14D1B" w:rsidRDefault="00D14D1B" w:rsidP="004A7CEE">
      <w:pPr>
        <w:pStyle w:val="ListParagraph"/>
        <w:numPr>
          <w:ilvl w:val="0"/>
          <w:numId w:val="2"/>
        </w:numPr>
        <w:spacing w:line="360" w:lineRule="auto"/>
        <w:ind w:left="426" w:hanging="426"/>
        <w:jc w:val="both"/>
        <w:rPr>
          <w:rFonts w:ascii="Times New Roman" w:hAnsi="Times New Roman" w:cs="Times New Roman"/>
          <w:sz w:val="24"/>
          <w:szCs w:val="24"/>
        </w:rPr>
      </w:pPr>
      <w:r w:rsidRPr="004A7CEE">
        <w:rPr>
          <w:rFonts w:ascii="Times New Roman" w:hAnsi="Times New Roman" w:cs="Times New Roman"/>
          <w:sz w:val="24"/>
          <w:szCs w:val="24"/>
        </w:rPr>
        <w:t>Bastakoti, S., Belbase, S., Manandhar, S., &amp; Arjyal, C. (2017). Trichoderma species as biocontrol agent against soil borne fungal pathogens. </w:t>
      </w:r>
      <w:r w:rsidRPr="004A7CEE">
        <w:rPr>
          <w:rFonts w:ascii="Times New Roman" w:hAnsi="Times New Roman" w:cs="Times New Roman"/>
          <w:i/>
          <w:iCs/>
          <w:sz w:val="24"/>
          <w:szCs w:val="24"/>
        </w:rPr>
        <w:t>Nepal Journal of Biotechnology</w:t>
      </w:r>
      <w:r w:rsidRPr="004A7CEE">
        <w:rPr>
          <w:rFonts w:ascii="Times New Roman" w:hAnsi="Times New Roman" w:cs="Times New Roman"/>
          <w:sz w:val="24"/>
          <w:szCs w:val="24"/>
        </w:rPr>
        <w:t>, </w:t>
      </w:r>
      <w:r w:rsidRPr="004A7CEE">
        <w:rPr>
          <w:rFonts w:ascii="Times New Roman" w:hAnsi="Times New Roman" w:cs="Times New Roman"/>
          <w:i/>
          <w:iCs/>
          <w:sz w:val="24"/>
          <w:szCs w:val="24"/>
        </w:rPr>
        <w:t>5</w:t>
      </w:r>
      <w:r w:rsidRPr="004A7CEE">
        <w:rPr>
          <w:rFonts w:ascii="Times New Roman" w:hAnsi="Times New Roman" w:cs="Times New Roman"/>
          <w:sz w:val="24"/>
          <w:szCs w:val="24"/>
        </w:rPr>
        <w:t>(1), 39-45.</w:t>
      </w:r>
      <w:r>
        <w:rPr>
          <w:rFonts w:ascii="Times New Roman" w:hAnsi="Times New Roman" w:cs="Times New Roman"/>
          <w:sz w:val="24"/>
          <w:szCs w:val="24"/>
        </w:rPr>
        <w:t xml:space="preserve"> </w:t>
      </w:r>
      <w:hyperlink r:id="rId21" w:history="1">
        <w:r w:rsidRPr="00D77C2B">
          <w:rPr>
            <w:rStyle w:val="Hyperlink"/>
            <w:rFonts w:ascii="Times New Roman" w:hAnsi="Times New Roman" w:cs="Times New Roman"/>
            <w:sz w:val="24"/>
            <w:szCs w:val="24"/>
          </w:rPr>
          <w:t>https://doi.org/10.3126/njb.v5i1.18492</w:t>
        </w:r>
      </w:hyperlink>
    </w:p>
    <w:p w14:paraId="11BD258A" w14:textId="77777777" w:rsidR="00D14D1B" w:rsidRDefault="00D14D1B"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FF77F1">
        <w:rPr>
          <w:rFonts w:ascii="Times New Roman" w:hAnsi="Times New Roman" w:cs="Times New Roman"/>
          <w:sz w:val="24"/>
          <w:szCs w:val="24"/>
        </w:rPr>
        <w:t xml:space="preserve">Basumatary, M., Dutta, B. K., Singha, D. M., &amp; Das, N. (2015). Some in vitro observations on the biological control of </w:t>
      </w:r>
      <w:r w:rsidRPr="00FF77F1">
        <w:rPr>
          <w:rFonts w:ascii="Times New Roman" w:hAnsi="Times New Roman" w:cs="Times New Roman"/>
          <w:i/>
          <w:iCs/>
          <w:sz w:val="24"/>
          <w:szCs w:val="24"/>
        </w:rPr>
        <w:t>Sclerotium rolfsii</w:t>
      </w:r>
      <w:r w:rsidRPr="00FF77F1">
        <w:rPr>
          <w:rFonts w:ascii="Times New Roman" w:hAnsi="Times New Roman" w:cs="Times New Roman"/>
          <w:sz w:val="24"/>
          <w:szCs w:val="24"/>
        </w:rPr>
        <w:t>, a serious pathogen of various agricultural crop plants. </w:t>
      </w:r>
      <w:r w:rsidRPr="00FF77F1">
        <w:rPr>
          <w:rFonts w:ascii="Times New Roman" w:hAnsi="Times New Roman" w:cs="Times New Roman"/>
          <w:i/>
          <w:iCs/>
          <w:sz w:val="24"/>
          <w:szCs w:val="24"/>
        </w:rPr>
        <w:t>Journal of Agriculture and Veterinary Science</w:t>
      </w:r>
      <w:r w:rsidRPr="00FF77F1">
        <w:rPr>
          <w:rFonts w:ascii="Times New Roman" w:hAnsi="Times New Roman" w:cs="Times New Roman"/>
          <w:sz w:val="24"/>
          <w:szCs w:val="24"/>
        </w:rPr>
        <w:t>, </w:t>
      </w:r>
      <w:r w:rsidRPr="00FF77F1">
        <w:rPr>
          <w:rFonts w:ascii="Times New Roman" w:hAnsi="Times New Roman" w:cs="Times New Roman"/>
          <w:i/>
          <w:iCs/>
          <w:sz w:val="24"/>
          <w:szCs w:val="24"/>
        </w:rPr>
        <w:t>8</w:t>
      </w:r>
      <w:r w:rsidRPr="00FF77F1">
        <w:rPr>
          <w:rFonts w:ascii="Times New Roman" w:hAnsi="Times New Roman" w:cs="Times New Roman"/>
          <w:sz w:val="24"/>
          <w:szCs w:val="24"/>
        </w:rPr>
        <w:t>(2), 87-94.</w:t>
      </w:r>
    </w:p>
    <w:p w14:paraId="2055C8A5" w14:textId="77777777" w:rsidR="00D14D1B" w:rsidRDefault="00D14D1B"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4A7CEE">
        <w:rPr>
          <w:rFonts w:ascii="Times New Roman" w:hAnsi="Times New Roman" w:cs="Times New Roman"/>
          <w:sz w:val="24"/>
          <w:szCs w:val="24"/>
        </w:rPr>
        <w:t>Bisen, K., Keswani, C., Patel, J. S., Sarma, B. K., &amp; Singh, H. B. (2016). Trichoderma spp.: efficient inducers of systemic resistance in plants. </w:t>
      </w:r>
      <w:r w:rsidRPr="004A7CEE">
        <w:rPr>
          <w:rFonts w:ascii="Times New Roman" w:hAnsi="Times New Roman" w:cs="Times New Roman"/>
          <w:i/>
          <w:iCs/>
          <w:sz w:val="24"/>
          <w:szCs w:val="24"/>
        </w:rPr>
        <w:t>Microbial-mediated induced systemic resistance in plants</w:t>
      </w:r>
      <w:r w:rsidRPr="004A7CEE">
        <w:rPr>
          <w:rFonts w:ascii="Times New Roman" w:hAnsi="Times New Roman" w:cs="Times New Roman"/>
          <w:sz w:val="24"/>
          <w:szCs w:val="24"/>
        </w:rPr>
        <w:t>, 185-195.</w:t>
      </w:r>
    </w:p>
    <w:p w14:paraId="15FF2D8C" w14:textId="77777777" w:rsidR="00D14D1B" w:rsidRDefault="00D14D1B"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Dennis, C., &amp; Webster, J. (1971). Antagonistic properties of species groups of </w:t>
      </w:r>
      <w:r w:rsidRPr="003F79A5">
        <w:rPr>
          <w:rFonts w:ascii="Times New Roman" w:hAnsi="Times New Roman" w:cs="Times New Roman"/>
          <w:i/>
          <w:iCs/>
          <w:sz w:val="24"/>
          <w:szCs w:val="24"/>
        </w:rPr>
        <w:t>Trichoderma</w:t>
      </w:r>
      <w:r w:rsidRPr="003F79A5">
        <w:rPr>
          <w:rFonts w:ascii="Times New Roman" w:hAnsi="Times New Roman" w:cs="Times New Roman"/>
          <w:sz w:val="24"/>
          <w:szCs w:val="24"/>
        </w:rPr>
        <w:t xml:space="preserve">: I. Production of non-volatile antibiotics. </w:t>
      </w:r>
      <w:r w:rsidRPr="003F79A5">
        <w:rPr>
          <w:rFonts w:ascii="Times New Roman" w:hAnsi="Times New Roman" w:cs="Times New Roman"/>
          <w:i/>
          <w:iCs/>
          <w:sz w:val="24"/>
          <w:szCs w:val="24"/>
        </w:rPr>
        <w:t>Transactions of the British Mycological Society</w:t>
      </w:r>
      <w:r w:rsidRPr="003F79A5">
        <w:rPr>
          <w:rFonts w:ascii="Times New Roman" w:hAnsi="Times New Roman" w:cs="Times New Roman"/>
          <w:sz w:val="24"/>
          <w:szCs w:val="24"/>
        </w:rPr>
        <w:t xml:space="preserve">, 57(1), 25–39. </w:t>
      </w:r>
      <w:hyperlink r:id="rId22" w:history="1">
        <w:r w:rsidRPr="00507F41">
          <w:rPr>
            <w:rStyle w:val="Hyperlink"/>
            <w:rFonts w:ascii="Times New Roman" w:hAnsi="Times New Roman" w:cs="Times New Roman"/>
            <w:sz w:val="24"/>
            <w:szCs w:val="24"/>
          </w:rPr>
          <w:t>https://doi.org/10.1016/S0007-1536(71)80078-5</w:t>
        </w:r>
      </w:hyperlink>
    </w:p>
    <w:p w14:paraId="798311E6" w14:textId="77777777" w:rsidR="00D14D1B" w:rsidRDefault="00D14D1B" w:rsidP="004A7CEE">
      <w:pPr>
        <w:pStyle w:val="ListParagraph"/>
        <w:numPr>
          <w:ilvl w:val="0"/>
          <w:numId w:val="2"/>
        </w:numPr>
        <w:spacing w:line="360" w:lineRule="auto"/>
        <w:ind w:left="426" w:hanging="426"/>
        <w:jc w:val="both"/>
        <w:rPr>
          <w:rFonts w:ascii="Times New Roman" w:hAnsi="Times New Roman" w:cs="Times New Roman"/>
          <w:sz w:val="24"/>
          <w:szCs w:val="24"/>
        </w:rPr>
      </w:pPr>
      <w:r w:rsidRPr="004A7CEE">
        <w:rPr>
          <w:rFonts w:ascii="Times New Roman" w:hAnsi="Times New Roman" w:cs="Times New Roman"/>
          <w:sz w:val="24"/>
          <w:szCs w:val="24"/>
        </w:rPr>
        <w:t xml:space="preserve">Dethoup, T., Klaram, R., Pankaew, T., &amp; Jantasorn, A. (2022). Impact of fungicides and plant extracts on biocontrol agents and side-effects of </w:t>
      </w:r>
      <w:r w:rsidRPr="004A7CEE">
        <w:rPr>
          <w:rFonts w:ascii="Times New Roman" w:hAnsi="Times New Roman" w:cs="Times New Roman"/>
          <w:i/>
          <w:iCs/>
          <w:sz w:val="24"/>
          <w:szCs w:val="24"/>
        </w:rPr>
        <w:t>Trichoderma spp</w:t>
      </w:r>
      <w:r w:rsidRPr="004A7CEE">
        <w:rPr>
          <w:rFonts w:ascii="Times New Roman" w:hAnsi="Times New Roman" w:cs="Times New Roman"/>
          <w:sz w:val="24"/>
          <w:szCs w:val="24"/>
        </w:rPr>
        <w:t>. on rice growth. </w:t>
      </w:r>
      <w:r w:rsidRPr="004A7CEE">
        <w:rPr>
          <w:rFonts w:ascii="Times New Roman" w:hAnsi="Times New Roman" w:cs="Times New Roman"/>
          <w:i/>
          <w:iCs/>
          <w:sz w:val="24"/>
          <w:szCs w:val="24"/>
        </w:rPr>
        <w:t>European Journal of Plant Pathology</w:t>
      </w:r>
      <w:r w:rsidRPr="004A7CEE">
        <w:rPr>
          <w:rFonts w:ascii="Times New Roman" w:hAnsi="Times New Roman" w:cs="Times New Roman"/>
          <w:sz w:val="24"/>
          <w:szCs w:val="24"/>
        </w:rPr>
        <w:t>, </w:t>
      </w:r>
      <w:r w:rsidRPr="004A7CEE">
        <w:rPr>
          <w:rFonts w:ascii="Times New Roman" w:hAnsi="Times New Roman" w:cs="Times New Roman"/>
          <w:i/>
          <w:iCs/>
          <w:sz w:val="24"/>
          <w:szCs w:val="24"/>
        </w:rPr>
        <w:t>164</w:t>
      </w:r>
      <w:r w:rsidRPr="004A7CEE">
        <w:rPr>
          <w:rFonts w:ascii="Times New Roman" w:hAnsi="Times New Roman" w:cs="Times New Roman"/>
          <w:sz w:val="24"/>
          <w:szCs w:val="24"/>
        </w:rPr>
        <w:t>(4), 567-582.</w:t>
      </w:r>
      <w:r>
        <w:rPr>
          <w:rFonts w:ascii="Times New Roman" w:hAnsi="Times New Roman" w:cs="Times New Roman"/>
          <w:sz w:val="24"/>
          <w:szCs w:val="24"/>
        </w:rPr>
        <w:t xml:space="preserve"> </w:t>
      </w:r>
      <w:hyperlink r:id="rId23" w:history="1">
        <w:r w:rsidRPr="00D77C2B">
          <w:rPr>
            <w:rStyle w:val="Hyperlink"/>
            <w:rFonts w:ascii="Times New Roman" w:hAnsi="Times New Roman" w:cs="Times New Roman"/>
            <w:sz w:val="24"/>
            <w:szCs w:val="24"/>
          </w:rPr>
          <w:t>https://doi.org/10.1007/s10658-022-02581-z</w:t>
        </w:r>
      </w:hyperlink>
    </w:p>
    <w:p w14:paraId="34528DAE" w14:textId="77777777" w:rsidR="00D14D1B" w:rsidRDefault="00D14D1B"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C677BC">
        <w:rPr>
          <w:rFonts w:ascii="Times New Roman" w:hAnsi="Times New Roman" w:cs="Times New Roman"/>
          <w:sz w:val="24"/>
          <w:szCs w:val="24"/>
        </w:rPr>
        <w:t xml:space="preserve">Dwivedi, S. K., &amp; Prasad, G. (2016). Integrated management of </w:t>
      </w:r>
      <w:r w:rsidRPr="00C677BC">
        <w:rPr>
          <w:rFonts w:ascii="Times New Roman" w:hAnsi="Times New Roman" w:cs="Times New Roman"/>
          <w:i/>
          <w:iCs/>
          <w:sz w:val="24"/>
          <w:szCs w:val="24"/>
        </w:rPr>
        <w:t>Sclerotium rolfsii</w:t>
      </w:r>
      <w:r w:rsidRPr="00C677BC">
        <w:rPr>
          <w:rFonts w:ascii="Times New Roman" w:hAnsi="Times New Roman" w:cs="Times New Roman"/>
          <w:sz w:val="24"/>
          <w:szCs w:val="24"/>
        </w:rPr>
        <w:t>: an overview. </w:t>
      </w:r>
      <w:r w:rsidRPr="00C677BC">
        <w:rPr>
          <w:rFonts w:ascii="Times New Roman" w:hAnsi="Times New Roman" w:cs="Times New Roman"/>
          <w:i/>
          <w:iCs/>
          <w:sz w:val="24"/>
          <w:szCs w:val="24"/>
        </w:rPr>
        <w:t>European Journal of Biomedical and Pharmaceutical Sciences</w:t>
      </w:r>
      <w:r w:rsidRPr="00C677BC">
        <w:rPr>
          <w:rFonts w:ascii="Times New Roman" w:hAnsi="Times New Roman" w:cs="Times New Roman"/>
          <w:sz w:val="24"/>
          <w:szCs w:val="24"/>
        </w:rPr>
        <w:t>, </w:t>
      </w:r>
      <w:r w:rsidRPr="00C677BC">
        <w:rPr>
          <w:rFonts w:ascii="Times New Roman" w:hAnsi="Times New Roman" w:cs="Times New Roman"/>
          <w:i/>
          <w:iCs/>
          <w:sz w:val="24"/>
          <w:szCs w:val="24"/>
        </w:rPr>
        <w:t>3</w:t>
      </w:r>
      <w:r w:rsidRPr="00C677BC">
        <w:rPr>
          <w:rFonts w:ascii="Times New Roman" w:hAnsi="Times New Roman" w:cs="Times New Roman"/>
          <w:sz w:val="24"/>
          <w:szCs w:val="24"/>
        </w:rPr>
        <w:t>(11), 137-146.</w:t>
      </w:r>
    </w:p>
    <w:p w14:paraId="5E12200E" w14:textId="77777777" w:rsidR="00D14D1B" w:rsidRDefault="00D14D1B"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Elad, Y., Chet, I., &amp; Boyle, P. (1983). Trichoderma harzianum: A biocontrol agent effective against Sclerotium rolfsii and Rhizoctonia solani. </w:t>
      </w:r>
      <w:r w:rsidRPr="003F79A5">
        <w:rPr>
          <w:rFonts w:ascii="Times New Roman" w:hAnsi="Times New Roman" w:cs="Times New Roman"/>
          <w:i/>
          <w:iCs/>
          <w:sz w:val="24"/>
          <w:szCs w:val="24"/>
        </w:rPr>
        <w:t>Phytopathology</w:t>
      </w:r>
      <w:r w:rsidRPr="003F79A5">
        <w:rPr>
          <w:rFonts w:ascii="Times New Roman" w:hAnsi="Times New Roman" w:cs="Times New Roman"/>
          <w:sz w:val="24"/>
          <w:szCs w:val="24"/>
        </w:rPr>
        <w:t xml:space="preserve">, 73(4), 498–501. </w:t>
      </w:r>
      <w:hyperlink r:id="rId24" w:history="1">
        <w:r w:rsidRPr="00507F41">
          <w:rPr>
            <w:rStyle w:val="Hyperlink"/>
            <w:rFonts w:ascii="Times New Roman" w:hAnsi="Times New Roman" w:cs="Times New Roman"/>
            <w:sz w:val="24"/>
            <w:szCs w:val="24"/>
          </w:rPr>
          <w:t>https://doi.org/10.1094/Phyto-73-498</w:t>
        </w:r>
      </w:hyperlink>
    </w:p>
    <w:p w14:paraId="78649CBD" w14:textId="77777777" w:rsidR="00D14D1B" w:rsidRPr="000623C9" w:rsidRDefault="00D14D1B" w:rsidP="000623C9">
      <w:pPr>
        <w:pStyle w:val="ListParagraph"/>
        <w:numPr>
          <w:ilvl w:val="0"/>
          <w:numId w:val="2"/>
        </w:numPr>
        <w:spacing w:line="360" w:lineRule="auto"/>
        <w:ind w:left="426" w:hanging="426"/>
        <w:jc w:val="both"/>
        <w:rPr>
          <w:rFonts w:ascii="Times New Roman" w:hAnsi="Times New Roman" w:cs="Times New Roman"/>
          <w:sz w:val="24"/>
          <w:szCs w:val="24"/>
        </w:rPr>
      </w:pPr>
      <w:r w:rsidRPr="000623C9">
        <w:rPr>
          <w:rFonts w:ascii="Times New Roman" w:hAnsi="Times New Roman" w:cs="Times New Roman"/>
          <w:sz w:val="24"/>
          <w:szCs w:val="24"/>
        </w:rPr>
        <w:t>Elshahawy, I.E., El-Mohamedy, R.S. Biological control of </w:t>
      </w:r>
      <w:r w:rsidRPr="000623C9">
        <w:rPr>
          <w:rFonts w:ascii="Times New Roman" w:hAnsi="Times New Roman" w:cs="Times New Roman"/>
          <w:i/>
          <w:iCs/>
          <w:sz w:val="24"/>
          <w:szCs w:val="24"/>
        </w:rPr>
        <w:t>Pythium</w:t>
      </w:r>
      <w:r w:rsidRPr="000623C9">
        <w:rPr>
          <w:rFonts w:ascii="Times New Roman" w:hAnsi="Times New Roman" w:cs="Times New Roman"/>
          <w:sz w:val="24"/>
          <w:szCs w:val="24"/>
        </w:rPr>
        <w:t> damping-off and root-rot diseases of tomato using </w:t>
      </w:r>
      <w:r w:rsidRPr="000623C9">
        <w:rPr>
          <w:rFonts w:ascii="Times New Roman" w:hAnsi="Times New Roman" w:cs="Times New Roman"/>
          <w:i/>
          <w:iCs/>
          <w:sz w:val="24"/>
          <w:szCs w:val="24"/>
        </w:rPr>
        <w:t>Trichoderma</w:t>
      </w:r>
      <w:r w:rsidRPr="000623C9">
        <w:rPr>
          <w:rFonts w:ascii="Times New Roman" w:hAnsi="Times New Roman" w:cs="Times New Roman"/>
          <w:sz w:val="24"/>
          <w:szCs w:val="24"/>
        </w:rPr>
        <w:t> isolates employed alone or in combination. </w:t>
      </w:r>
      <w:r w:rsidRPr="000623C9">
        <w:rPr>
          <w:rFonts w:ascii="Times New Roman" w:hAnsi="Times New Roman" w:cs="Times New Roman"/>
          <w:i/>
          <w:iCs/>
          <w:sz w:val="24"/>
          <w:szCs w:val="24"/>
        </w:rPr>
        <w:t>J Plant Pathol</w:t>
      </w:r>
      <w:r w:rsidRPr="000623C9">
        <w:rPr>
          <w:rFonts w:ascii="Times New Roman" w:hAnsi="Times New Roman" w:cs="Times New Roman"/>
          <w:sz w:val="24"/>
          <w:szCs w:val="24"/>
        </w:rPr>
        <w:t> </w:t>
      </w:r>
      <w:r w:rsidRPr="000623C9">
        <w:rPr>
          <w:rFonts w:ascii="Times New Roman" w:hAnsi="Times New Roman" w:cs="Times New Roman"/>
          <w:b/>
          <w:bCs/>
          <w:sz w:val="24"/>
          <w:szCs w:val="24"/>
        </w:rPr>
        <w:t>101</w:t>
      </w:r>
      <w:r w:rsidRPr="000623C9">
        <w:rPr>
          <w:rFonts w:ascii="Times New Roman" w:hAnsi="Times New Roman" w:cs="Times New Roman"/>
          <w:sz w:val="24"/>
          <w:szCs w:val="24"/>
        </w:rPr>
        <w:t xml:space="preserve">, 597–608 (2019). </w:t>
      </w:r>
      <w:hyperlink r:id="rId25" w:history="1">
        <w:r w:rsidRPr="000623C9">
          <w:rPr>
            <w:rStyle w:val="Hyperlink"/>
            <w:rFonts w:ascii="Times New Roman" w:hAnsi="Times New Roman" w:cs="Times New Roman"/>
            <w:sz w:val="24"/>
            <w:szCs w:val="24"/>
          </w:rPr>
          <w:t>https://doi.org/10.1007/s42161-019-00248-z</w:t>
        </w:r>
      </w:hyperlink>
    </w:p>
    <w:p w14:paraId="46DDEED4" w14:textId="77777777" w:rsidR="00D14D1B" w:rsidRPr="00D2263E" w:rsidRDefault="00D14D1B" w:rsidP="00D2263E">
      <w:pPr>
        <w:pStyle w:val="ListParagraph"/>
        <w:numPr>
          <w:ilvl w:val="0"/>
          <w:numId w:val="2"/>
        </w:numPr>
        <w:spacing w:line="360" w:lineRule="auto"/>
        <w:ind w:left="426" w:hanging="426"/>
        <w:jc w:val="both"/>
        <w:rPr>
          <w:rFonts w:ascii="Times New Roman" w:hAnsi="Times New Roman" w:cs="Times New Roman"/>
          <w:sz w:val="24"/>
          <w:szCs w:val="24"/>
        </w:rPr>
      </w:pPr>
      <w:r w:rsidRPr="00D2263E">
        <w:rPr>
          <w:rFonts w:ascii="Times New Roman" w:hAnsi="Times New Roman" w:cs="Times New Roman"/>
          <w:sz w:val="24"/>
          <w:szCs w:val="24"/>
          <w:lang w:val="en-GB"/>
        </w:rPr>
        <w:t xml:space="preserve">Gopal, G. V., Rao, N. V., Mahesh, L., Reddy, D. S., &amp; Vijay, J. (2024). Assessment of Early Blight Disease Resistant Tomato F1 Hybrid Arka Abhed in Karimnagar District of </w:t>
      </w:r>
      <w:r w:rsidRPr="00D2263E">
        <w:rPr>
          <w:rFonts w:ascii="Times New Roman" w:hAnsi="Times New Roman" w:cs="Times New Roman"/>
          <w:sz w:val="24"/>
          <w:szCs w:val="24"/>
          <w:lang w:val="en-GB"/>
        </w:rPr>
        <w:lastRenderedPageBreak/>
        <w:t xml:space="preserve">Telangana, India. </w:t>
      </w:r>
      <w:r w:rsidRPr="00D2263E">
        <w:rPr>
          <w:rFonts w:ascii="Times New Roman" w:hAnsi="Times New Roman" w:cs="Times New Roman"/>
          <w:i/>
          <w:iCs/>
          <w:sz w:val="24"/>
          <w:szCs w:val="24"/>
          <w:lang w:val="en-GB"/>
        </w:rPr>
        <w:t>Journal of Scientific Research and Reports</w:t>
      </w:r>
      <w:r w:rsidRPr="00D2263E">
        <w:rPr>
          <w:rFonts w:ascii="Times New Roman" w:hAnsi="Times New Roman" w:cs="Times New Roman"/>
          <w:sz w:val="24"/>
          <w:szCs w:val="24"/>
          <w:lang w:val="en-GB"/>
        </w:rPr>
        <w:t xml:space="preserve">, 30(9), 936–941. </w:t>
      </w:r>
      <w:hyperlink r:id="rId26" w:history="1">
        <w:r w:rsidRPr="00D2263E">
          <w:rPr>
            <w:rStyle w:val="Hyperlink"/>
            <w:rFonts w:ascii="Times New Roman" w:hAnsi="Times New Roman" w:cs="Times New Roman"/>
            <w:sz w:val="24"/>
            <w:szCs w:val="24"/>
            <w:lang w:val="en-GB"/>
          </w:rPr>
          <w:t>https://doi.org/10.9734/jsrr/2024/v30i92421</w:t>
        </w:r>
      </w:hyperlink>
    </w:p>
    <w:p w14:paraId="4B2011B5" w14:textId="77777777" w:rsidR="00D14D1B" w:rsidRDefault="00D14D1B" w:rsidP="004E7624">
      <w:pPr>
        <w:pStyle w:val="ListParagraph"/>
        <w:numPr>
          <w:ilvl w:val="0"/>
          <w:numId w:val="2"/>
        </w:numPr>
        <w:spacing w:line="360" w:lineRule="auto"/>
        <w:ind w:left="426" w:hanging="426"/>
        <w:jc w:val="both"/>
        <w:rPr>
          <w:rFonts w:ascii="Times New Roman" w:hAnsi="Times New Roman" w:cs="Times New Roman"/>
          <w:sz w:val="24"/>
          <w:szCs w:val="24"/>
        </w:rPr>
      </w:pPr>
      <w:r w:rsidRPr="00310501">
        <w:rPr>
          <w:rFonts w:ascii="Times New Roman" w:hAnsi="Times New Roman" w:cs="Times New Roman"/>
          <w:sz w:val="24"/>
          <w:szCs w:val="24"/>
        </w:rPr>
        <w:t xml:space="preserve">Harman, G. E., Howell, C. R., Viterbo, A., Chet, I., &amp; Lorito, M. (2004). </w:t>
      </w:r>
      <w:r w:rsidRPr="00310501">
        <w:rPr>
          <w:rFonts w:ascii="Times New Roman" w:hAnsi="Times New Roman" w:cs="Times New Roman"/>
          <w:i/>
          <w:iCs/>
          <w:sz w:val="24"/>
          <w:szCs w:val="24"/>
        </w:rPr>
        <w:t>Trichoderma</w:t>
      </w:r>
      <w:r w:rsidRPr="00310501">
        <w:rPr>
          <w:rFonts w:ascii="Times New Roman" w:hAnsi="Times New Roman" w:cs="Times New Roman"/>
          <w:sz w:val="24"/>
          <w:szCs w:val="24"/>
        </w:rPr>
        <w:t> species — opportunistic, avirulent plant symbionts. </w:t>
      </w:r>
      <w:r w:rsidRPr="00310501">
        <w:rPr>
          <w:rFonts w:ascii="Times New Roman" w:hAnsi="Times New Roman" w:cs="Times New Roman"/>
          <w:i/>
          <w:iCs/>
          <w:sz w:val="24"/>
          <w:szCs w:val="24"/>
        </w:rPr>
        <w:t>Nat Rev Microbiol</w:t>
      </w:r>
      <w:r w:rsidRPr="00310501">
        <w:rPr>
          <w:rFonts w:ascii="Times New Roman" w:hAnsi="Times New Roman" w:cs="Times New Roman"/>
          <w:sz w:val="24"/>
          <w:szCs w:val="24"/>
        </w:rPr>
        <w:t> </w:t>
      </w:r>
      <w:r w:rsidRPr="00310501">
        <w:rPr>
          <w:rFonts w:ascii="Times New Roman" w:hAnsi="Times New Roman" w:cs="Times New Roman"/>
          <w:b/>
          <w:bCs/>
          <w:sz w:val="24"/>
          <w:szCs w:val="24"/>
        </w:rPr>
        <w:t>2</w:t>
      </w:r>
      <w:r w:rsidRPr="00310501">
        <w:rPr>
          <w:rFonts w:ascii="Times New Roman" w:hAnsi="Times New Roman" w:cs="Times New Roman"/>
          <w:sz w:val="24"/>
          <w:szCs w:val="24"/>
        </w:rPr>
        <w:t xml:space="preserve">, 43–56 (2004). </w:t>
      </w:r>
      <w:hyperlink r:id="rId27" w:history="1">
        <w:r w:rsidRPr="00D77C2B">
          <w:rPr>
            <w:rStyle w:val="Hyperlink"/>
            <w:rFonts w:ascii="Times New Roman" w:hAnsi="Times New Roman" w:cs="Times New Roman"/>
            <w:sz w:val="24"/>
            <w:szCs w:val="24"/>
          </w:rPr>
          <w:t>https://doi.org/10.1038/nrmicro797</w:t>
        </w:r>
      </w:hyperlink>
    </w:p>
    <w:p w14:paraId="28542CAA" w14:textId="77777777" w:rsidR="00D14D1B" w:rsidRDefault="00D14D1B" w:rsidP="004A7CEE">
      <w:pPr>
        <w:pStyle w:val="ListParagraph"/>
        <w:numPr>
          <w:ilvl w:val="0"/>
          <w:numId w:val="2"/>
        </w:numPr>
        <w:spacing w:line="360" w:lineRule="auto"/>
        <w:ind w:left="426" w:hanging="426"/>
        <w:jc w:val="both"/>
        <w:rPr>
          <w:rFonts w:ascii="Times New Roman" w:hAnsi="Times New Roman" w:cs="Times New Roman"/>
          <w:sz w:val="24"/>
          <w:szCs w:val="24"/>
        </w:rPr>
      </w:pPr>
      <w:r w:rsidRPr="004A7CEE">
        <w:rPr>
          <w:rFonts w:ascii="Times New Roman" w:hAnsi="Times New Roman" w:cs="Times New Roman"/>
          <w:sz w:val="24"/>
          <w:szCs w:val="24"/>
        </w:rPr>
        <w:t>Hollomon, D. W. (2015). Fungicide resistance: facing the challenge. </w:t>
      </w:r>
      <w:r w:rsidRPr="004A7CEE">
        <w:rPr>
          <w:rFonts w:ascii="Times New Roman" w:hAnsi="Times New Roman" w:cs="Times New Roman"/>
          <w:i/>
          <w:iCs/>
          <w:sz w:val="24"/>
          <w:szCs w:val="24"/>
        </w:rPr>
        <w:t>Plant protection science</w:t>
      </w:r>
      <w:r w:rsidRPr="004A7CEE">
        <w:rPr>
          <w:rFonts w:ascii="Times New Roman" w:hAnsi="Times New Roman" w:cs="Times New Roman"/>
          <w:sz w:val="24"/>
          <w:szCs w:val="24"/>
        </w:rPr>
        <w:t>, </w:t>
      </w:r>
      <w:r w:rsidRPr="004A7CEE">
        <w:rPr>
          <w:rFonts w:ascii="Times New Roman" w:hAnsi="Times New Roman" w:cs="Times New Roman"/>
          <w:i/>
          <w:iCs/>
          <w:sz w:val="24"/>
          <w:szCs w:val="24"/>
        </w:rPr>
        <w:t>51</w:t>
      </w:r>
      <w:r w:rsidRPr="004A7CEE">
        <w:rPr>
          <w:rFonts w:ascii="Times New Roman" w:hAnsi="Times New Roman" w:cs="Times New Roman"/>
          <w:sz w:val="24"/>
          <w:szCs w:val="24"/>
        </w:rPr>
        <w:t>(4).</w:t>
      </w:r>
      <w:r>
        <w:rPr>
          <w:rFonts w:ascii="Times New Roman" w:hAnsi="Times New Roman" w:cs="Times New Roman"/>
          <w:sz w:val="24"/>
          <w:szCs w:val="24"/>
        </w:rPr>
        <w:t xml:space="preserve"> </w:t>
      </w:r>
      <w:r w:rsidRPr="004A7CEE">
        <w:rPr>
          <w:rFonts w:ascii="Times New Roman" w:hAnsi="Times New Roman" w:cs="Times New Roman"/>
          <w:color w:val="4472C4" w:themeColor="accent1"/>
          <w:sz w:val="24"/>
          <w:szCs w:val="24"/>
        </w:rPr>
        <w:t>doi: 10.17221/42/2015-PPS</w:t>
      </w:r>
    </w:p>
    <w:p w14:paraId="40423C6A" w14:textId="77777777" w:rsidR="00D14D1B" w:rsidRDefault="00D14D1B" w:rsidP="00B03F09">
      <w:pPr>
        <w:pStyle w:val="ListParagraph"/>
        <w:numPr>
          <w:ilvl w:val="0"/>
          <w:numId w:val="2"/>
        </w:numPr>
        <w:spacing w:line="360" w:lineRule="auto"/>
        <w:ind w:left="426" w:hanging="426"/>
        <w:jc w:val="both"/>
        <w:rPr>
          <w:rFonts w:ascii="Times New Roman" w:hAnsi="Times New Roman" w:cs="Times New Roman"/>
          <w:sz w:val="24"/>
          <w:szCs w:val="24"/>
        </w:rPr>
      </w:pPr>
      <w:r w:rsidRPr="00B03F09">
        <w:rPr>
          <w:rFonts w:ascii="Times New Roman" w:hAnsi="Times New Roman" w:cs="Times New Roman"/>
          <w:sz w:val="24"/>
          <w:szCs w:val="24"/>
        </w:rPr>
        <w:t>Kamel, S. M., Farag, F. M., Arafa, R. A., &amp; Essa, T. A. (2020). Bio-control potentials of Trichoderma spp. against Sclerotium rolfsii the causative of root and crown rot in tomato, common bean and cabbage. </w:t>
      </w:r>
      <w:r w:rsidRPr="00B03F09">
        <w:rPr>
          <w:rFonts w:ascii="Times New Roman" w:hAnsi="Times New Roman" w:cs="Times New Roman"/>
          <w:i/>
          <w:iCs/>
          <w:sz w:val="24"/>
          <w:szCs w:val="24"/>
        </w:rPr>
        <w:t>Egyptian Journal of Phytopathology</w:t>
      </w:r>
      <w:r w:rsidRPr="00B03F09">
        <w:rPr>
          <w:rFonts w:ascii="Times New Roman" w:hAnsi="Times New Roman" w:cs="Times New Roman"/>
          <w:sz w:val="24"/>
          <w:szCs w:val="24"/>
        </w:rPr>
        <w:t>, </w:t>
      </w:r>
      <w:r w:rsidRPr="00B03F09">
        <w:rPr>
          <w:rFonts w:ascii="Times New Roman" w:hAnsi="Times New Roman" w:cs="Times New Roman"/>
          <w:i/>
          <w:iCs/>
          <w:sz w:val="24"/>
          <w:szCs w:val="24"/>
        </w:rPr>
        <w:t>48</w:t>
      </w:r>
      <w:r w:rsidRPr="00B03F09">
        <w:rPr>
          <w:rFonts w:ascii="Times New Roman" w:hAnsi="Times New Roman" w:cs="Times New Roman"/>
          <w:sz w:val="24"/>
          <w:szCs w:val="24"/>
        </w:rPr>
        <w:t>(1), 122-136.</w:t>
      </w:r>
      <w:r>
        <w:rPr>
          <w:rFonts w:ascii="Times New Roman" w:hAnsi="Times New Roman" w:cs="Times New Roman"/>
          <w:sz w:val="24"/>
          <w:szCs w:val="24"/>
        </w:rPr>
        <w:t xml:space="preserve"> </w:t>
      </w:r>
      <w:hyperlink r:id="rId28" w:history="1">
        <w:r w:rsidRPr="00D77C2B">
          <w:rPr>
            <w:rStyle w:val="Hyperlink"/>
            <w:rFonts w:ascii="Times New Roman" w:hAnsi="Times New Roman" w:cs="Times New Roman"/>
            <w:sz w:val="24"/>
            <w:szCs w:val="24"/>
          </w:rPr>
          <w:t>https://doi.org/10.21608/ejp.2020.54217.1018</w:t>
        </w:r>
      </w:hyperlink>
    </w:p>
    <w:p w14:paraId="4814935C" w14:textId="77777777" w:rsidR="00D14D1B" w:rsidRDefault="00D14D1B" w:rsidP="004E7624">
      <w:pPr>
        <w:pStyle w:val="ListParagraph"/>
        <w:numPr>
          <w:ilvl w:val="0"/>
          <w:numId w:val="2"/>
        </w:numPr>
        <w:spacing w:line="360" w:lineRule="auto"/>
        <w:ind w:left="426" w:hanging="426"/>
        <w:jc w:val="both"/>
        <w:rPr>
          <w:rFonts w:ascii="Times New Roman" w:hAnsi="Times New Roman" w:cs="Times New Roman"/>
          <w:sz w:val="24"/>
          <w:szCs w:val="24"/>
        </w:rPr>
      </w:pPr>
      <w:r w:rsidRPr="00C677BC">
        <w:rPr>
          <w:rFonts w:ascii="Times New Roman" w:hAnsi="Times New Roman" w:cs="Times New Roman"/>
          <w:sz w:val="24"/>
          <w:szCs w:val="24"/>
        </w:rPr>
        <w:t xml:space="preserve">Mahadevakumar, S., &amp; Janardhana, G. R. (2016). Morphological and molecular characterization of </w:t>
      </w:r>
      <w:r w:rsidRPr="00C677BC">
        <w:rPr>
          <w:rFonts w:ascii="Times New Roman" w:hAnsi="Times New Roman" w:cs="Times New Roman"/>
          <w:i/>
          <w:iCs/>
          <w:sz w:val="24"/>
          <w:szCs w:val="24"/>
        </w:rPr>
        <w:t>Sclerotium rolfsii</w:t>
      </w:r>
      <w:r w:rsidRPr="00C677BC">
        <w:rPr>
          <w:rFonts w:ascii="Times New Roman" w:hAnsi="Times New Roman" w:cs="Times New Roman"/>
          <w:sz w:val="24"/>
          <w:szCs w:val="24"/>
        </w:rPr>
        <w:t xml:space="preserve"> associated with leaf blight disease of </w:t>
      </w:r>
      <w:r w:rsidRPr="00C677BC">
        <w:rPr>
          <w:rFonts w:ascii="Times New Roman" w:hAnsi="Times New Roman" w:cs="Times New Roman"/>
          <w:i/>
          <w:iCs/>
          <w:sz w:val="24"/>
          <w:szCs w:val="24"/>
        </w:rPr>
        <w:t>Psychotria nervosa</w:t>
      </w:r>
      <w:r w:rsidRPr="00C677BC">
        <w:rPr>
          <w:rFonts w:ascii="Times New Roman" w:hAnsi="Times New Roman" w:cs="Times New Roman"/>
          <w:sz w:val="24"/>
          <w:szCs w:val="24"/>
        </w:rPr>
        <w:t xml:space="preserve"> (wild coffee). </w:t>
      </w:r>
      <w:r w:rsidRPr="00C677BC">
        <w:rPr>
          <w:rFonts w:ascii="Times New Roman" w:hAnsi="Times New Roman" w:cs="Times New Roman"/>
          <w:i/>
          <w:iCs/>
          <w:sz w:val="24"/>
          <w:szCs w:val="24"/>
        </w:rPr>
        <w:t>Journal of Plant Pathology</w:t>
      </w:r>
      <w:r w:rsidRPr="00C677BC">
        <w:rPr>
          <w:rFonts w:ascii="Times New Roman" w:hAnsi="Times New Roman" w:cs="Times New Roman"/>
          <w:sz w:val="24"/>
          <w:szCs w:val="24"/>
        </w:rPr>
        <w:t>, 351-354.</w:t>
      </w:r>
    </w:p>
    <w:p w14:paraId="58661CFE" w14:textId="77777777" w:rsidR="00D14D1B" w:rsidRDefault="00D14D1B" w:rsidP="00C677BC">
      <w:pPr>
        <w:pStyle w:val="ListParagraph"/>
        <w:numPr>
          <w:ilvl w:val="0"/>
          <w:numId w:val="2"/>
        </w:numPr>
        <w:spacing w:line="360" w:lineRule="auto"/>
        <w:ind w:left="426" w:hanging="426"/>
        <w:jc w:val="both"/>
        <w:rPr>
          <w:rFonts w:ascii="Times New Roman" w:hAnsi="Times New Roman" w:cs="Times New Roman"/>
          <w:sz w:val="24"/>
          <w:szCs w:val="24"/>
        </w:rPr>
      </w:pPr>
      <w:r w:rsidRPr="00C677BC">
        <w:rPr>
          <w:rFonts w:ascii="Times New Roman" w:hAnsi="Times New Roman" w:cs="Times New Roman"/>
          <w:sz w:val="24"/>
          <w:szCs w:val="24"/>
        </w:rPr>
        <w:t>Mahadevakumar, S., Chandana, C., Deepika, Y. S., Sumashri, K. S., Yadav, V., &amp; Janardhana, G. R. (2018). Pathological studies on the southern blight of China aster (</w:t>
      </w:r>
      <w:r w:rsidRPr="00C677BC">
        <w:rPr>
          <w:rFonts w:ascii="Times New Roman" w:hAnsi="Times New Roman" w:cs="Times New Roman"/>
          <w:i/>
          <w:iCs/>
          <w:sz w:val="24"/>
          <w:szCs w:val="24"/>
        </w:rPr>
        <w:t>Callistephus chinensis</w:t>
      </w:r>
      <w:r w:rsidRPr="00C677BC">
        <w:rPr>
          <w:rFonts w:ascii="Times New Roman" w:hAnsi="Times New Roman" w:cs="Times New Roman"/>
          <w:sz w:val="24"/>
          <w:szCs w:val="24"/>
        </w:rPr>
        <w:t xml:space="preserve">) caused by </w:t>
      </w:r>
      <w:r w:rsidRPr="00C677BC">
        <w:rPr>
          <w:rFonts w:ascii="Times New Roman" w:hAnsi="Times New Roman" w:cs="Times New Roman"/>
          <w:i/>
          <w:iCs/>
          <w:sz w:val="24"/>
          <w:szCs w:val="24"/>
        </w:rPr>
        <w:t>Sclerotium rolfsii</w:t>
      </w:r>
      <w:r w:rsidRPr="00C677BC">
        <w:rPr>
          <w:rFonts w:ascii="Times New Roman" w:hAnsi="Times New Roman" w:cs="Times New Roman"/>
          <w:sz w:val="24"/>
          <w:szCs w:val="24"/>
        </w:rPr>
        <w:t>. </w:t>
      </w:r>
      <w:r w:rsidRPr="00C677BC">
        <w:rPr>
          <w:rFonts w:ascii="Times New Roman" w:hAnsi="Times New Roman" w:cs="Times New Roman"/>
          <w:i/>
          <w:iCs/>
          <w:sz w:val="24"/>
          <w:szCs w:val="24"/>
        </w:rPr>
        <w:t>European Journal of Plant Pathology</w:t>
      </w:r>
      <w:r w:rsidRPr="00C677BC">
        <w:rPr>
          <w:rFonts w:ascii="Times New Roman" w:hAnsi="Times New Roman" w:cs="Times New Roman"/>
          <w:sz w:val="24"/>
          <w:szCs w:val="24"/>
        </w:rPr>
        <w:t>, </w:t>
      </w:r>
      <w:r w:rsidRPr="00C677BC">
        <w:rPr>
          <w:rFonts w:ascii="Times New Roman" w:hAnsi="Times New Roman" w:cs="Times New Roman"/>
          <w:i/>
          <w:iCs/>
          <w:sz w:val="24"/>
          <w:szCs w:val="24"/>
        </w:rPr>
        <w:t>151</w:t>
      </w:r>
      <w:r w:rsidRPr="00C677BC">
        <w:rPr>
          <w:rFonts w:ascii="Times New Roman" w:hAnsi="Times New Roman" w:cs="Times New Roman"/>
          <w:sz w:val="24"/>
          <w:szCs w:val="24"/>
        </w:rPr>
        <w:t>, 1081-1087.</w:t>
      </w:r>
      <w:r>
        <w:rPr>
          <w:rFonts w:ascii="Times New Roman" w:hAnsi="Times New Roman" w:cs="Times New Roman"/>
          <w:sz w:val="24"/>
          <w:szCs w:val="24"/>
        </w:rPr>
        <w:t xml:space="preserve"> </w:t>
      </w:r>
      <w:hyperlink r:id="rId29" w:history="1">
        <w:r w:rsidRPr="00D77C2B">
          <w:rPr>
            <w:rStyle w:val="Hyperlink"/>
            <w:rFonts w:ascii="Times New Roman" w:hAnsi="Times New Roman" w:cs="Times New Roman"/>
            <w:sz w:val="24"/>
            <w:szCs w:val="24"/>
          </w:rPr>
          <w:t>https://doi.org/10.1007/s10658-017-1415-2</w:t>
        </w:r>
      </w:hyperlink>
    </w:p>
    <w:p w14:paraId="60731DAE" w14:textId="77777777" w:rsidR="00D14D1B" w:rsidRPr="00C677BC" w:rsidRDefault="00D14D1B" w:rsidP="00C677BC">
      <w:pPr>
        <w:pStyle w:val="ListParagraph"/>
        <w:numPr>
          <w:ilvl w:val="0"/>
          <w:numId w:val="2"/>
        </w:numPr>
        <w:spacing w:line="360" w:lineRule="auto"/>
        <w:ind w:left="426" w:hanging="426"/>
        <w:jc w:val="both"/>
        <w:rPr>
          <w:rFonts w:ascii="Times New Roman" w:hAnsi="Times New Roman" w:cs="Times New Roman"/>
          <w:sz w:val="24"/>
          <w:szCs w:val="24"/>
        </w:rPr>
      </w:pPr>
      <w:r w:rsidRPr="00C677BC">
        <w:rPr>
          <w:rFonts w:ascii="Times New Roman" w:hAnsi="Times New Roman" w:cs="Times New Roman"/>
          <w:sz w:val="24"/>
          <w:szCs w:val="24"/>
        </w:rPr>
        <w:t>Martínez-Ramírez, J.L., Guzmán, E.R., Duran-Martínez, C.M., Navarro, J.V., Alcocer, E.L. and Abascal, G.C. (2015). Selection for Resistance to </w:t>
      </w:r>
      <w:r w:rsidRPr="00C677BC">
        <w:rPr>
          <w:rFonts w:ascii="Times New Roman" w:hAnsi="Times New Roman" w:cs="Times New Roman"/>
          <w:i/>
          <w:iCs/>
          <w:sz w:val="24"/>
          <w:szCs w:val="24"/>
        </w:rPr>
        <w:t>Sclerotium rolfsii</w:t>
      </w:r>
      <w:r w:rsidRPr="00C677BC">
        <w:rPr>
          <w:rFonts w:ascii="Times New Roman" w:hAnsi="Times New Roman" w:cs="Times New Roman"/>
          <w:sz w:val="24"/>
          <w:szCs w:val="24"/>
        </w:rPr>
        <w:t> in Accessions of </w:t>
      </w:r>
      <w:r w:rsidRPr="00C677BC">
        <w:rPr>
          <w:rFonts w:ascii="Times New Roman" w:hAnsi="Times New Roman" w:cs="Times New Roman"/>
          <w:i/>
          <w:iCs/>
          <w:sz w:val="24"/>
          <w:szCs w:val="24"/>
        </w:rPr>
        <w:t>Solanum lycopersicum </w:t>
      </w:r>
      <w:r w:rsidRPr="00C677BC">
        <w:rPr>
          <w:rFonts w:ascii="Times New Roman" w:hAnsi="Times New Roman" w:cs="Times New Roman"/>
          <w:sz w:val="24"/>
          <w:szCs w:val="24"/>
        </w:rPr>
        <w:t>Var. </w:t>
      </w:r>
      <w:r w:rsidRPr="00C677BC">
        <w:rPr>
          <w:rFonts w:ascii="Times New Roman" w:hAnsi="Times New Roman" w:cs="Times New Roman"/>
          <w:i/>
          <w:iCs/>
          <w:sz w:val="24"/>
          <w:szCs w:val="24"/>
        </w:rPr>
        <w:t>cerasiforme </w:t>
      </w:r>
      <w:r w:rsidRPr="00C677BC">
        <w:rPr>
          <w:rFonts w:ascii="Times New Roman" w:hAnsi="Times New Roman" w:cs="Times New Roman"/>
          <w:sz w:val="24"/>
          <w:szCs w:val="24"/>
        </w:rPr>
        <w:t xml:space="preserve">in Western Mexico. </w:t>
      </w:r>
      <w:r w:rsidRPr="00C677BC">
        <w:rPr>
          <w:rFonts w:ascii="Times New Roman" w:hAnsi="Times New Roman" w:cs="Times New Roman"/>
          <w:i/>
          <w:iCs/>
          <w:sz w:val="24"/>
          <w:szCs w:val="24"/>
        </w:rPr>
        <w:t>Acta Hortic</w:t>
      </w:r>
      <w:r w:rsidRPr="00C677BC">
        <w:rPr>
          <w:rFonts w:ascii="Times New Roman" w:hAnsi="Times New Roman" w:cs="Times New Roman"/>
          <w:sz w:val="24"/>
          <w:szCs w:val="24"/>
        </w:rPr>
        <w:t>. 1069, 71-76</w:t>
      </w:r>
      <w:r w:rsidRPr="00C677BC">
        <w:rPr>
          <w:rFonts w:ascii="Times New Roman" w:hAnsi="Times New Roman" w:cs="Times New Roman"/>
          <w:sz w:val="24"/>
          <w:szCs w:val="24"/>
        </w:rPr>
        <w:br/>
      </w:r>
      <w:hyperlink r:id="rId30" w:history="1">
        <w:r w:rsidRPr="00C677BC">
          <w:rPr>
            <w:rStyle w:val="Hyperlink"/>
            <w:rFonts w:ascii="Times New Roman" w:hAnsi="Times New Roman" w:cs="Times New Roman"/>
            <w:sz w:val="24"/>
            <w:szCs w:val="24"/>
          </w:rPr>
          <w:t>https://doi.org/10.17660/ActaHortic.2015.1069.9</w:t>
        </w:r>
      </w:hyperlink>
    </w:p>
    <w:p w14:paraId="3B467B25" w14:textId="77777777" w:rsidR="00D14D1B" w:rsidRDefault="00D14D1B" w:rsidP="00B03F09">
      <w:pPr>
        <w:pStyle w:val="ListParagraph"/>
        <w:numPr>
          <w:ilvl w:val="0"/>
          <w:numId w:val="2"/>
        </w:numPr>
        <w:spacing w:line="360" w:lineRule="auto"/>
        <w:ind w:left="426" w:hanging="426"/>
        <w:jc w:val="both"/>
        <w:rPr>
          <w:rFonts w:ascii="Times New Roman" w:hAnsi="Times New Roman" w:cs="Times New Roman"/>
          <w:sz w:val="24"/>
          <w:szCs w:val="24"/>
        </w:rPr>
      </w:pPr>
      <w:r w:rsidRPr="00B03F09">
        <w:rPr>
          <w:rFonts w:ascii="Times New Roman" w:hAnsi="Times New Roman" w:cs="Times New Roman"/>
          <w:sz w:val="24"/>
          <w:szCs w:val="24"/>
        </w:rPr>
        <w:t>Meshram, S., &amp; Adhikari, T. B. (2024). Microbiome-mediated strategies to manage major soil-borne diseases of tomato. </w:t>
      </w:r>
      <w:r w:rsidRPr="00B03F09">
        <w:rPr>
          <w:rFonts w:ascii="Times New Roman" w:hAnsi="Times New Roman" w:cs="Times New Roman"/>
          <w:i/>
          <w:iCs/>
          <w:sz w:val="24"/>
          <w:szCs w:val="24"/>
        </w:rPr>
        <w:t>Plants</w:t>
      </w:r>
      <w:r w:rsidRPr="00B03F09">
        <w:rPr>
          <w:rFonts w:ascii="Times New Roman" w:hAnsi="Times New Roman" w:cs="Times New Roman"/>
          <w:sz w:val="24"/>
          <w:szCs w:val="24"/>
        </w:rPr>
        <w:t>, </w:t>
      </w:r>
      <w:r w:rsidRPr="00B03F09">
        <w:rPr>
          <w:rFonts w:ascii="Times New Roman" w:hAnsi="Times New Roman" w:cs="Times New Roman"/>
          <w:i/>
          <w:iCs/>
          <w:sz w:val="24"/>
          <w:szCs w:val="24"/>
        </w:rPr>
        <w:t>13</w:t>
      </w:r>
      <w:r w:rsidRPr="00B03F09">
        <w:rPr>
          <w:rFonts w:ascii="Times New Roman" w:hAnsi="Times New Roman" w:cs="Times New Roman"/>
          <w:sz w:val="24"/>
          <w:szCs w:val="24"/>
        </w:rPr>
        <w:t>(3), 364.</w:t>
      </w:r>
      <w:r>
        <w:rPr>
          <w:rFonts w:ascii="Times New Roman" w:hAnsi="Times New Roman" w:cs="Times New Roman"/>
          <w:sz w:val="24"/>
          <w:szCs w:val="24"/>
        </w:rPr>
        <w:t xml:space="preserve"> </w:t>
      </w:r>
      <w:hyperlink r:id="rId31" w:history="1">
        <w:r w:rsidRPr="00D77C2B">
          <w:rPr>
            <w:rStyle w:val="Hyperlink"/>
            <w:rFonts w:ascii="Times New Roman" w:hAnsi="Times New Roman" w:cs="Times New Roman"/>
            <w:sz w:val="24"/>
            <w:szCs w:val="24"/>
          </w:rPr>
          <w:t>https://doi.org/10.3390/plants13030364</w:t>
        </w:r>
      </w:hyperlink>
    </w:p>
    <w:p w14:paraId="19EF199A" w14:textId="77777777" w:rsidR="00D14D1B" w:rsidRDefault="00D14D1B" w:rsidP="0073383E">
      <w:pPr>
        <w:pStyle w:val="ListParagraph"/>
        <w:numPr>
          <w:ilvl w:val="0"/>
          <w:numId w:val="2"/>
        </w:numPr>
        <w:spacing w:line="360" w:lineRule="auto"/>
        <w:ind w:left="426" w:hanging="426"/>
        <w:jc w:val="both"/>
        <w:rPr>
          <w:rFonts w:ascii="Times New Roman" w:hAnsi="Times New Roman" w:cs="Times New Roman"/>
          <w:sz w:val="24"/>
          <w:szCs w:val="24"/>
        </w:rPr>
      </w:pPr>
      <w:r w:rsidRPr="0073383E">
        <w:rPr>
          <w:rFonts w:ascii="Times New Roman" w:hAnsi="Times New Roman" w:cs="Times New Roman"/>
          <w:sz w:val="24"/>
          <w:szCs w:val="24"/>
        </w:rPr>
        <w:t xml:space="preserve">Prajapati, R. K., Srivastava, S. S. Chaudh, R. G. (2003). Incidence of chickpea dry root rot in sunflower efficacy of seed dressing fungicides on seed germination and seedling infection. </w:t>
      </w:r>
      <w:r w:rsidRPr="0073383E">
        <w:rPr>
          <w:rFonts w:ascii="Times New Roman" w:hAnsi="Times New Roman" w:cs="Times New Roman"/>
          <w:i/>
          <w:iCs/>
          <w:sz w:val="24"/>
          <w:szCs w:val="24"/>
        </w:rPr>
        <w:t>J. Farm Sci</w:t>
      </w:r>
      <w:r w:rsidRPr="0073383E">
        <w:rPr>
          <w:rFonts w:ascii="Times New Roman" w:hAnsi="Times New Roman" w:cs="Times New Roman"/>
          <w:sz w:val="24"/>
          <w:szCs w:val="24"/>
        </w:rPr>
        <w:t>. 12:170-171.</w:t>
      </w:r>
    </w:p>
    <w:p w14:paraId="04B5F6A6" w14:textId="77777777" w:rsidR="00D14D1B" w:rsidRDefault="00D14D1B"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4A7CEE">
        <w:rPr>
          <w:rFonts w:ascii="Times New Roman" w:hAnsi="Times New Roman" w:cs="Times New Roman"/>
          <w:sz w:val="24"/>
          <w:szCs w:val="24"/>
        </w:rPr>
        <w:t>Punja, Z. K. (1997). Comparative efficacy of bacteria, fungi, and yeasts as biological control agents for diseases of vegetable crops. </w:t>
      </w:r>
      <w:r w:rsidRPr="004A7CEE">
        <w:rPr>
          <w:rFonts w:ascii="Times New Roman" w:hAnsi="Times New Roman" w:cs="Times New Roman"/>
          <w:i/>
          <w:iCs/>
          <w:sz w:val="24"/>
          <w:szCs w:val="24"/>
        </w:rPr>
        <w:t>Canadian Journal of Plant Pathology</w:t>
      </w:r>
      <w:r w:rsidRPr="004A7CEE">
        <w:rPr>
          <w:rFonts w:ascii="Times New Roman" w:hAnsi="Times New Roman" w:cs="Times New Roman"/>
          <w:sz w:val="24"/>
          <w:szCs w:val="24"/>
        </w:rPr>
        <w:t>, </w:t>
      </w:r>
      <w:r w:rsidRPr="004A7CEE">
        <w:rPr>
          <w:rFonts w:ascii="Times New Roman" w:hAnsi="Times New Roman" w:cs="Times New Roman"/>
          <w:i/>
          <w:iCs/>
          <w:sz w:val="24"/>
          <w:szCs w:val="24"/>
        </w:rPr>
        <w:t>19</w:t>
      </w:r>
      <w:r w:rsidRPr="004A7CEE">
        <w:rPr>
          <w:rFonts w:ascii="Times New Roman" w:hAnsi="Times New Roman" w:cs="Times New Roman"/>
          <w:sz w:val="24"/>
          <w:szCs w:val="24"/>
        </w:rPr>
        <w:t>(3), 315-323.</w:t>
      </w:r>
    </w:p>
    <w:p w14:paraId="53C3FFA4" w14:textId="77777777" w:rsidR="00D14D1B" w:rsidRDefault="00D14D1B" w:rsidP="00B03F09">
      <w:pPr>
        <w:pStyle w:val="ListParagraph"/>
        <w:numPr>
          <w:ilvl w:val="0"/>
          <w:numId w:val="2"/>
        </w:numPr>
        <w:spacing w:line="360" w:lineRule="auto"/>
        <w:ind w:left="426" w:hanging="426"/>
        <w:jc w:val="both"/>
        <w:rPr>
          <w:rFonts w:ascii="Times New Roman" w:hAnsi="Times New Roman" w:cs="Times New Roman"/>
          <w:sz w:val="24"/>
          <w:szCs w:val="24"/>
        </w:rPr>
      </w:pPr>
      <w:r w:rsidRPr="00B03F09">
        <w:rPr>
          <w:rFonts w:ascii="Times New Roman" w:hAnsi="Times New Roman" w:cs="Times New Roman"/>
          <w:sz w:val="24"/>
          <w:szCs w:val="24"/>
        </w:rPr>
        <w:t>Ram, R. M., Rajput, R. S., &amp; Vaishnav, A. (2020). Management of Sclerotium rolfsii induced diseases in crops by Trichoderma species. </w:t>
      </w:r>
      <w:r w:rsidRPr="00B03F09">
        <w:rPr>
          <w:rFonts w:ascii="Times New Roman" w:hAnsi="Times New Roman" w:cs="Times New Roman"/>
          <w:i/>
          <w:iCs/>
          <w:sz w:val="24"/>
          <w:szCs w:val="24"/>
        </w:rPr>
        <w:t>Rhizosphere Microbes: Soil and Plant Functions</w:t>
      </w:r>
      <w:r w:rsidRPr="00B03F09">
        <w:rPr>
          <w:rFonts w:ascii="Times New Roman" w:hAnsi="Times New Roman" w:cs="Times New Roman"/>
          <w:sz w:val="24"/>
          <w:szCs w:val="24"/>
        </w:rPr>
        <w:t>, 593-617.</w:t>
      </w:r>
      <w:r>
        <w:rPr>
          <w:rFonts w:ascii="Times New Roman" w:hAnsi="Times New Roman" w:cs="Times New Roman"/>
          <w:sz w:val="24"/>
          <w:szCs w:val="24"/>
        </w:rPr>
        <w:t xml:space="preserve"> </w:t>
      </w:r>
      <w:hyperlink r:id="rId32" w:history="1">
        <w:r w:rsidRPr="00D77C2B">
          <w:rPr>
            <w:rStyle w:val="Hyperlink"/>
            <w:rFonts w:ascii="Times New Roman" w:hAnsi="Times New Roman" w:cs="Times New Roman"/>
            <w:sz w:val="24"/>
            <w:szCs w:val="24"/>
          </w:rPr>
          <w:t>https://doi.org/10.1007/978-981-15-9154-9_25</w:t>
        </w:r>
      </w:hyperlink>
    </w:p>
    <w:p w14:paraId="21331F68" w14:textId="77777777" w:rsidR="00D14D1B" w:rsidRDefault="00D14D1B" w:rsidP="00D2263E">
      <w:pPr>
        <w:pStyle w:val="ListParagraph"/>
        <w:numPr>
          <w:ilvl w:val="0"/>
          <w:numId w:val="2"/>
        </w:numPr>
        <w:spacing w:line="360" w:lineRule="auto"/>
        <w:ind w:left="426" w:hanging="426"/>
        <w:jc w:val="both"/>
        <w:rPr>
          <w:rFonts w:ascii="Times New Roman" w:hAnsi="Times New Roman" w:cs="Times New Roman"/>
          <w:sz w:val="24"/>
          <w:szCs w:val="24"/>
        </w:rPr>
      </w:pPr>
      <w:r w:rsidRPr="00D2263E">
        <w:rPr>
          <w:rFonts w:ascii="Times New Roman" w:hAnsi="Times New Roman" w:cs="Times New Roman"/>
          <w:sz w:val="24"/>
          <w:szCs w:val="24"/>
          <w:lang w:val="en-GB"/>
        </w:rPr>
        <w:lastRenderedPageBreak/>
        <w:t xml:space="preserve">Singh, S., &amp; Jangre, A. (2022). Morphological and Pathogenic Variability in </w:t>
      </w:r>
      <w:r w:rsidRPr="00D2263E">
        <w:rPr>
          <w:rFonts w:ascii="Times New Roman" w:hAnsi="Times New Roman" w:cs="Times New Roman"/>
          <w:i/>
          <w:iCs/>
          <w:sz w:val="24"/>
          <w:szCs w:val="24"/>
          <w:lang w:val="en-GB"/>
        </w:rPr>
        <w:t>Alternaria solani</w:t>
      </w:r>
      <w:r w:rsidRPr="00D2263E">
        <w:rPr>
          <w:rFonts w:ascii="Times New Roman" w:hAnsi="Times New Roman" w:cs="Times New Roman"/>
          <w:sz w:val="24"/>
          <w:szCs w:val="24"/>
          <w:lang w:val="en-GB"/>
        </w:rPr>
        <w:t xml:space="preserve"> Causing Early Blight Disease in Tomato (</w:t>
      </w:r>
      <w:r w:rsidRPr="00D2263E">
        <w:rPr>
          <w:rFonts w:ascii="Times New Roman" w:hAnsi="Times New Roman" w:cs="Times New Roman"/>
          <w:i/>
          <w:iCs/>
          <w:sz w:val="24"/>
          <w:szCs w:val="24"/>
          <w:lang w:val="en-GB"/>
        </w:rPr>
        <w:t>Lycopersicon esculentum</w:t>
      </w:r>
      <w:r w:rsidRPr="00D2263E">
        <w:rPr>
          <w:rFonts w:ascii="Times New Roman" w:hAnsi="Times New Roman" w:cs="Times New Roman"/>
          <w:sz w:val="24"/>
          <w:szCs w:val="24"/>
          <w:lang w:val="en-GB"/>
        </w:rPr>
        <w:t xml:space="preserve"> Mill.) in Chhattisgarh, India. </w:t>
      </w:r>
      <w:r w:rsidRPr="00D2263E">
        <w:rPr>
          <w:rFonts w:ascii="Times New Roman" w:hAnsi="Times New Roman" w:cs="Times New Roman"/>
          <w:i/>
          <w:iCs/>
          <w:sz w:val="24"/>
          <w:szCs w:val="24"/>
          <w:lang w:val="en-GB"/>
        </w:rPr>
        <w:t>International Journal of Plant &amp; Soil Science</w:t>
      </w:r>
      <w:r w:rsidRPr="00D2263E">
        <w:rPr>
          <w:rFonts w:ascii="Times New Roman" w:hAnsi="Times New Roman" w:cs="Times New Roman"/>
          <w:sz w:val="24"/>
          <w:szCs w:val="24"/>
          <w:lang w:val="en-GB"/>
        </w:rPr>
        <w:t xml:space="preserve">, 34(24), 1093–1101. </w:t>
      </w:r>
      <w:hyperlink r:id="rId33" w:history="1">
        <w:r w:rsidRPr="00D2263E">
          <w:rPr>
            <w:rStyle w:val="Hyperlink"/>
            <w:rFonts w:ascii="Times New Roman" w:hAnsi="Times New Roman" w:cs="Times New Roman"/>
            <w:sz w:val="24"/>
            <w:szCs w:val="24"/>
            <w:lang w:val="en-GB"/>
          </w:rPr>
          <w:t>https://doi.org/10.9734/ijpss/2022/v34i242740</w:t>
        </w:r>
      </w:hyperlink>
    </w:p>
    <w:p w14:paraId="414890AE" w14:textId="77777777" w:rsidR="00D14D1B" w:rsidRDefault="00D14D1B" w:rsidP="0073383E">
      <w:pPr>
        <w:pStyle w:val="ListParagraph"/>
        <w:numPr>
          <w:ilvl w:val="0"/>
          <w:numId w:val="2"/>
        </w:numPr>
        <w:spacing w:line="360" w:lineRule="auto"/>
        <w:ind w:left="426" w:hanging="426"/>
        <w:jc w:val="both"/>
        <w:rPr>
          <w:rFonts w:ascii="Times New Roman" w:hAnsi="Times New Roman" w:cs="Times New Roman"/>
          <w:sz w:val="24"/>
          <w:szCs w:val="24"/>
        </w:rPr>
      </w:pPr>
      <w:r w:rsidRPr="0073383E">
        <w:rPr>
          <w:rFonts w:ascii="Times New Roman" w:hAnsi="Times New Roman" w:cs="Times New Roman"/>
          <w:sz w:val="24"/>
          <w:szCs w:val="24"/>
        </w:rPr>
        <w:t>Tariq, M., Khan, A., Asif, M., Khan, F., Ansari, T., Shariq, M., &amp; Siddiqui, M. A. (2020). Biological control: a sustainable and practical approach for plant disease management. </w:t>
      </w:r>
      <w:r w:rsidRPr="0073383E">
        <w:rPr>
          <w:rFonts w:ascii="Times New Roman" w:hAnsi="Times New Roman" w:cs="Times New Roman"/>
          <w:i/>
          <w:iCs/>
          <w:sz w:val="24"/>
          <w:szCs w:val="24"/>
        </w:rPr>
        <w:t>Acta Agriculturae Scandinavica, Section B — Soil &amp; Plant Science</w:t>
      </w:r>
      <w:r w:rsidRPr="0073383E">
        <w:rPr>
          <w:rFonts w:ascii="Times New Roman" w:hAnsi="Times New Roman" w:cs="Times New Roman"/>
          <w:sz w:val="24"/>
          <w:szCs w:val="24"/>
        </w:rPr>
        <w:t>, </w:t>
      </w:r>
      <w:r w:rsidRPr="0073383E">
        <w:rPr>
          <w:rFonts w:ascii="Times New Roman" w:hAnsi="Times New Roman" w:cs="Times New Roman"/>
          <w:i/>
          <w:iCs/>
          <w:sz w:val="24"/>
          <w:szCs w:val="24"/>
        </w:rPr>
        <w:t>70</w:t>
      </w:r>
      <w:r w:rsidRPr="0073383E">
        <w:rPr>
          <w:rFonts w:ascii="Times New Roman" w:hAnsi="Times New Roman" w:cs="Times New Roman"/>
          <w:sz w:val="24"/>
          <w:szCs w:val="24"/>
        </w:rPr>
        <w:t xml:space="preserve">(6), 507–524. </w:t>
      </w:r>
      <w:hyperlink r:id="rId34" w:history="1">
        <w:r w:rsidRPr="00D77C2B">
          <w:rPr>
            <w:rStyle w:val="Hyperlink"/>
            <w:rFonts w:ascii="Times New Roman" w:hAnsi="Times New Roman" w:cs="Times New Roman"/>
            <w:sz w:val="24"/>
            <w:szCs w:val="24"/>
          </w:rPr>
          <w:t>https://doi.org/10.1080/09064710.2020.1784262</w:t>
        </w:r>
      </w:hyperlink>
    </w:p>
    <w:p w14:paraId="17E32A05" w14:textId="77777777" w:rsidR="00D14D1B" w:rsidRPr="00D2263E" w:rsidRDefault="00D14D1B" w:rsidP="00D2263E">
      <w:pPr>
        <w:pStyle w:val="ListParagraph"/>
        <w:numPr>
          <w:ilvl w:val="0"/>
          <w:numId w:val="2"/>
        </w:numPr>
        <w:spacing w:line="360" w:lineRule="auto"/>
        <w:ind w:left="426" w:hanging="426"/>
        <w:jc w:val="both"/>
        <w:rPr>
          <w:rFonts w:ascii="Times New Roman" w:hAnsi="Times New Roman" w:cs="Times New Roman"/>
          <w:sz w:val="24"/>
          <w:szCs w:val="24"/>
        </w:rPr>
      </w:pPr>
      <w:r w:rsidRPr="00B03F09">
        <w:rPr>
          <w:rFonts w:ascii="Times New Roman" w:hAnsi="Times New Roman" w:cs="Times New Roman"/>
          <w:sz w:val="24"/>
          <w:szCs w:val="24"/>
        </w:rPr>
        <w:t>Vinale, F., Sivasithamparam, K., Ghisalberti, E. L., Marra, R., Barbetti, M. J., Li, H., ... &amp; Lorito, M. (2008). A novel role for Trichoderma secondary metabolites in the interactions with plants. </w:t>
      </w:r>
      <w:r w:rsidRPr="00B03F09">
        <w:rPr>
          <w:rFonts w:ascii="Times New Roman" w:hAnsi="Times New Roman" w:cs="Times New Roman"/>
          <w:i/>
          <w:iCs/>
          <w:sz w:val="24"/>
          <w:szCs w:val="24"/>
        </w:rPr>
        <w:t>Physiological and molecular plant pathology</w:t>
      </w:r>
      <w:r w:rsidRPr="00B03F09">
        <w:rPr>
          <w:rFonts w:ascii="Times New Roman" w:hAnsi="Times New Roman" w:cs="Times New Roman"/>
          <w:sz w:val="24"/>
          <w:szCs w:val="24"/>
        </w:rPr>
        <w:t>, </w:t>
      </w:r>
      <w:r w:rsidRPr="00B03F09">
        <w:rPr>
          <w:rFonts w:ascii="Times New Roman" w:hAnsi="Times New Roman" w:cs="Times New Roman"/>
          <w:i/>
          <w:iCs/>
          <w:sz w:val="24"/>
          <w:szCs w:val="24"/>
        </w:rPr>
        <w:t>72</w:t>
      </w:r>
      <w:r w:rsidRPr="00B03F09">
        <w:rPr>
          <w:rFonts w:ascii="Times New Roman" w:hAnsi="Times New Roman" w:cs="Times New Roman"/>
          <w:sz w:val="24"/>
          <w:szCs w:val="24"/>
        </w:rPr>
        <w:t>(1-3), 80-86.</w:t>
      </w:r>
      <w:r>
        <w:rPr>
          <w:rFonts w:ascii="Times New Roman" w:hAnsi="Times New Roman" w:cs="Times New Roman"/>
          <w:sz w:val="24"/>
          <w:szCs w:val="24"/>
        </w:rPr>
        <w:t xml:space="preserve"> </w:t>
      </w:r>
      <w:hyperlink r:id="rId35" w:history="1">
        <w:r w:rsidRPr="00D77C2B">
          <w:rPr>
            <w:rStyle w:val="Hyperlink"/>
            <w:rFonts w:ascii="Times New Roman" w:hAnsi="Times New Roman" w:cs="Times New Roman"/>
            <w:sz w:val="24"/>
            <w:szCs w:val="24"/>
          </w:rPr>
          <w:t>https://doi.org/10.1016/j.pmpp.2008.05.005</w:t>
        </w:r>
      </w:hyperlink>
    </w:p>
    <w:p w14:paraId="2046C070" w14:textId="77777777" w:rsidR="00D2263E" w:rsidRPr="00D2263E" w:rsidRDefault="00D2263E" w:rsidP="00D2263E">
      <w:pPr>
        <w:pStyle w:val="ListParagraph"/>
        <w:ind w:left="502"/>
        <w:rPr>
          <w:sz w:val="20"/>
          <w:szCs w:val="20"/>
          <w:lang w:val="en-GB"/>
        </w:rPr>
      </w:pPr>
    </w:p>
    <w:p w14:paraId="51525423" w14:textId="77777777" w:rsidR="00B03F09" w:rsidRPr="00B03F09" w:rsidRDefault="00B03F09" w:rsidP="00B03F09">
      <w:pPr>
        <w:spacing w:line="360" w:lineRule="auto"/>
        <w:jc w:val="both"/>
        <w:rPr>
          <w:rFonts w:ascii="Times New Roman" w:hAnsi="Times New Roman" w:cs="Times New Roman"/>
          <w:sz w:val="24"/>
          <w:szCs w:val="24"/>
        </w:rPr>
      </w:pPr>
    </w:p>
    <w:p w14:paraId="5E724AF3" w14:textId="77777777" w:rsidR="003F79A5" w:rsidRPr="00487694" w:rsidRDefault="003F79A5" w:rsidP="00C11C38">
      <w:pPr>
        <w:spacing w:line="360" w:lineRule="auto"/>
        <w:jc w:val="both"/>
        <w:rPr>
          <w:rFonts w:ascii="Times New Roman" w:hAnsi="Times New Roman" w:cs="Times New Roman"/>
          <w:sz w:val="24"/>
          <w:szCs w:val="24"/>
        </w:rPr>
      </w:pPr>
    </w:p>
    <w:p w14:paraId="49A5E9C5" w14:textId="77777777" w:rsidR="00E02F19" w:rsidRPr="00E02F19" w:rsidRDefault="00E02F19" w:rsidP="00C11C38">
      <w:pPr>
        <w:spacing w:line="360" w:lineRule="auto"/>
        <w:jc w:val="both"/>
        <w:rPr>
          <w:rFonts w:ascii="Times New Roman" w:hAnsi="Times New Roman" w:cs="Times New Roman"/>
          <w:b/>
          <w:bCs/>
          <w:sz w:val="24"/>
          <w:szCs w:val="24"/>
        </w:rPr>
      </w:pPr>
    </w:p>
    <w:sectPr w:rsidR="00E02F19" w:rsidRPr="00E02F19">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01B52" w14:textId="77777777" w:rsidR="00DD0FD1" w:rsidRDefault="00DD0FD1" w:rsidP="002C280A">
      <w:pPr>
        <w:spacing w:after="0" w:line="240" w:lineRule="auto"/>
      </w:pPr>
      <w:r>
        <w:separator/>
      </w:r>
    </w:p>
  </w:endnote>
  <w:endnote w:type="continuationSeparator" w:id="0">
    <w:p w14:paraId="61A4D835" w14:textId="77777777" w:rsidR="00DD0FD1" w:rsidRDefault="00DD0FD1" w:rsidP="002C2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AB1E" w14:textId="77777777" w:rsidR="002C280A" w:rsidRDefault="002C2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4297A" w14:textId="77777777" w:rsidR="002C280A" w:rsidRDefault="002C28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C62B" w14:textId="77777777" w:rsidR="002C280A" w:rsidRDefault="002C28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81649" w14:textId="77777777" w:rsidR="00DD0FD1" w:rsidRDefault="00DD0FD1" w:rsidP="002C280A">
      <w:pPr>
        <w:spacing w:after="0" w:line="240" w:lineRule="auto"/>
      </w:pPr>
      <w:r>
        <w:separator/>
      </w:r>
    </w:p>
  </w:footnote>
  <w:footnote w:type="continuationSeparator" w:id="0">
    <w:p w14:paraId="0C8EBB6A" w14:textId="77777777" w:rsidR="00DD0FD1" w:rsidRDefault="00DD0FD1" w:rsidP="002C2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F4BF" w14:textId="2837E77A" w:rsidR="002C280A" w:rsidRDefault="00000000">
    <w:pPr>
      <w:pStyle w:val="Header"/>
    </w:pPr>
    <w:r>
      <w:rPr>
        <w:noProof/>
      </w:rPr>
      <w:pict w14:anchorId="0C22A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77507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7CF2" w14:textId="32209962" w:rsidR="002C280A" w:rsidRDefault="00000000">
    <w:pPr>
      <w:pStyle w:val="Header"/>
    </w:pPr>
    <w:r>
      <w:rPr>
        <w:noProof/>
      </w:rPr>
      <w:pict w14:anchorId="7CDFD5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77508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32C8F" w14:textId="75005A36" w:rsidR="002C280A" w:rsidRDefault="00000000">
    <w:pPr>
      <w:pStyle w:val="Header"/>
    </w:pPr>
    <w:r>
      <w:rPr>
        <w:noProof/>
      </w:rPr>
      <w:pict w14:anchorId="1E566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77507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6506B"/>
    <w:multiLevelType w:val="hybridMultilevel"/>
    <w:tmpl w:val="D04C7216"/>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02E1D86"/>
    <w:multiLevelType w:val="hybridMultilevel"/>
    <w:tmpl w:val="C64E46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64AE461A"/>
    <w:multiLevelType w:val="multilevel"/>
    <w:tmpl w:val="90C8CCD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9906943">
    <w:abstractNumId w:val="2"/>
  </w:num>
  <w:num w:numId="2" w16cid:durableId="1670521474">
    <w:abstractNumId w:val="0"/>
  </w:num>
  <w:num w:numId="3" w16cid:durableId="137110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804"/>
    <w:rsid w:val="000623C9"/>
    <w:rsid w:val="00073D40"/>
    <w:rsid w:val="001309AC"/>
    <w:rsid w:val="00164C2C"/>
    <w:rsid w:val="0018512C"/>
    <w:rsid w:val="002106BA"/>
    <w:rsid w:val="002A1C4D"/>
    <w:rsid w:val="002C280A"/>
    <w:rsid w:val="00310501"/>
    <w:rsid w:val="00391B81"/>
    <w:rsid w:val="003C7367"/>
    <w:rsid w:val="003F79A5"/>
    <w:rsid w:val="00401CE0"/>
    <w:rsid w:val="00402561"/>
    <w:rsid w:val="00402A6A"/>
    <w:rsid w:val="004835C2"/>
    <w:rsid w:val="004A7CEE"/>
    <w:rsid w:val="0052563D"/>
    <w:rsid w:val="00541E98"/>
    <w:rsid w:val="00602ECC"/>
    <w:rsid w:val="006119E5"/>
    <w:rsid w:val="00615AF4"/>
    <w:rsid w:val="006973C5"/>
    <w:rsid w:val="006F2DBC"/>
    <w:rsid w:val="0073383E"/>
    <w:rsid w:val="00772F2D"/>
    <w:rsid w:val="00786466"/>
    <w:rsid w:val="00845D61"/>
    <w:rsid w:val="008774DE"/>
    <w:rsid w:val="008F3564"/>
    <w:rsid w:val="00916096"/>
    <w:rsid w:val="00946804"/>
    <w:rsid w:val="009973FB"/>
    <w:rsid w:val="00A47047"/>
    <w:rsid w:val="00AF0DD2"/>
    <w:rsid w:val="00AF25C4"/>
    <w:rsid w:val="00B03F09"/>
    <w:rsid w:val="00B06FAF"/>
    <w:rsid w:val="00B96D92"/>
    <w:rsid w:val="00C11C38"/>
    <w:rsid w:val="00C65C6D"/>
    <w:rsid w:val="00C677BC"/>
    <w:rsid w:val="00D14D1B"/>
    <w:rsid w:val="00D2263E"/>
    <w:rsid w:val="00D45610"/>
    <w:rsid w:val="00D4590D"/>
    <w:rsid w:val="00D75FAC"/>
    <w:rsid w:val="00DA3345"/>
    <w:rsid w:val="00DA33B8"/>
    <w:rsid w:val="00DD0FD1"/>
    <w:rsid w:val="00E02F19"/>
    <w:rsid w:val="00E17FBF"/>
    <w:rsid w:val="00F243D2"/>
    <w:rsid w:val="00FB2EE4"/>
    <w:rsid w:val="00FF77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32FDF8"/>
  <w15:chartTrackingRefBased/>
  <w15:docId w15:val="{5A1A2C4A-B1D2-48DA-804C-86E197751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68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68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68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68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68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68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68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68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68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8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68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68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68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68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68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68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68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6804"/>
    <w:rPr>
      <w:rFonts w:eastAsiaTheme="majorEastAsia" w:cstheme="majorBidi"/>
      <w:color w:val="272727" w:themeColor="text1" w:themeTint="D8"/>
    </w:rPr>
  </w:style>
  <w:style w:type="paragraph" w:styleId="Title">
    <w:name w:val="Title"/>
    <w:basedOn w:val="Normal"/>
    <w:next w:val="Normal"/>
    <w:link w:val="TitleChar"/>
    <w:uiPriority w:val="10"/>
    <w:qFormat/>
    <w:rsid w:val="009468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68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68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68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6804"/>
    <w:pPr>
      <w:spacing w:before="160"/>
      <w:jc w:val="center"/>
    </w:pPr>
    <w:rPr>
      <w:i/>
      <w:iCs/>
      <w:color w:val="404040" w:themeColor="text1" w:themeTint="BF"/>
    </w:rPr>
  </w:style>
  <w:style w:type="character" w:customStyle="1" w:styleId="QuoteChar">
    <w:name w:val="Quote Char"/>
    <w:basedOn w:val="DefaultParagraphFont"/>
    <w:link w:val="Quote"/>
    <w:uiPriority w:val="29"/>
    <w:rsid w:val="00946804"/>
    <w:rPr>
      <w:i/>
      <w:iCs/>
      <w:color w:val="404040" w:themeColor="text1" w:themeTint="BF"/>
    </w:rPr>
  </w:style>
  <w:style w:type="paragraph" w:styleId="ListParagraph">
    <w:name w:val="List Paragraph"/>
    <w:basedOn w:val="Normal"/>
    <w:uiPriority w:val="34"/>
    <w:qFormat/>
    <w:rsid w:val="00946804"/>
    <w:pPr>
      <w:ind w:left="720"/>
      <w:contextualSpacing/>
    </w:pPr>
  </w:style>
  <w:style w:type="character" w:styleId="IntenseEmphasis">
    <w:name w:val="Intense Emphasis"/>
    <w:basedOn w:val="DefaultParagraphFont"/>
    <w:uiPriority w:val="21"/>
    <w:qFormat/>
    <w:rsid w:val="00946804"/>
    <w:rPr>
      <w:i/>
      <w:iCs/>
      <w:color w:val="2F5496" w:themeColor="accent1" w:themeShade="BF"/>
    </w:rPr>
  </w:style>
  <w:style w:type="paragraph" w:styleId="IntenseQuote">
    <w:name w:val="Intense Quote"/>
    <w:basedOn w:val="Normal"/>
    <w:next w:val="Normal"/>
    <w:link w:val="IntenseQuoteChar"/>
    <w:uiPriority w:val="30"/>
    <w:qFormat/>
    <w:rsid w:val="009468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6804"/>
    <w:rPr>
      <w:i/>
      <w:iCs/>
      <w:color w:val="2F5496" w:themeColor="accent1" w:themeShade="BF"/>
    </w:rPr>
  </w:style>
  <w:style w:type="character" w:styleId="IntenseReference">
    <w:name w:val="Intense Reference"/>
    <w:basedOn w:val="DefaultParagraphFont"/>
    <w:uiPriority w:val="32"/>
    <w:qFormat/>
    <w:rsid w:val="00946804"/>
    <w:rPr>
      <w:b/>
      <w:bCs/>
      <w:smallCaps/>
      <w:color w:val="2F5496" w:themeColor="accent1" w:themeShade="BF"/>
      <w:spacing w:val="5"/>
    </w:rPr>
  </w:style>
  <w:style w:type="character" w:styleId="Hyperlink">
    <w:name w:val="Hyperlink"/>
    <w:basedOn w:val="DefaultParagraphFont"/>
    <w:uiPriority w:val="99"/>
    <w:unhideWhenUsed/>
    <w:rsid w:val="00E02F19"/>
    <w:rPr>
      <w:color w:val="0563C1" w:themeColor="hyperlink"/>
      <w:u w:val="single"/>
    </w:rPr>
  </w:style>
  <w:style w:type="table" w:styleId="TableGrid">
    <w:name w:val="Table Grid"/>
    <w:basedOn w:val="TableNormal"/>
    <w:uiPriority w:val="39"/>
    <w:rsid w:val="00E0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F79A5"/>
    <w:rPr>
      <w:color w:val="605E5C"/>
      <w:shd w:val="clear" w:color="auto" w:fill="E1DFDD"/>
    </w:rPr>
  </w:style>
  <w:style w:type="paragraph" w:styleId="Header">
    <w:name w:val="header"/>
    <w:basedOn w:val="Normal"/>
    <w:link w:val="HeaderChar"/>
    <w:uiPriority w:val="99"/>
    <w:unhideWhenUsed/>
    <w:rsid w:val="002C2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80A"/>
  </w:style>
  <w:style w:type="paragraph" w:styleId="Footer">
    <w:name w:val="footer"/>
    <w:basedOn w:val="Normal"/>
    <w:link w:val="FooterChar"/>
    <w:uiPriority w:val="99"/>
    <w:unhideWhenUsed/>
    <w:rsid w:val="002C2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80A"/>
  </w:style>
  <w:style w:type="character" w:styleId="UnresolvedMention">
    <w:name w:val="Unresolved Mention"/>
    <w:basedOn w:val="DefaultParagraphFont"/>
    <w:uiPriority w:val="99"/>
    <w:semiHidden/>
    <w:unhideWhenUsed/>
    <w:rsid w:val="003105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911886">
      <w:bodyDiv w:val="1"/>
      <w:marLeft w:val="0"/>
      <w:marRight w:val="0"/>
      <w:marTop w:val="0"/>
      <w:marBottom w:val="0"/>
      <w:divBdr>
        <w:top w:val="none" w:sz="0" w:space="0" w:color="auto"/>
        <w:left w:val="none" w:sz="0" w:space="0" w:color="auto"/>
        <w:bottom w:val="none" w:sz="0" w:space="0" w:color="auto"/>
        <w:right w:val="none" w:sz="0" w:space="0" w:color="auto"/>
      </w:divBdr>
    </w:div>
    <w:div w:id="479274621">
      <w:bodyDiv w:val="1"/>
      <w:marLeft w:val="0"/>
      <w:marRight w:val="0"/>
      <w:marTop w:val="0"/>
      <w:marBottom w:val="0"/>
      <w:divBdr>
        <w:top w:val="none" w:sz="0" w:space="0" w:color="auto"/>
        <w:left w:val="none" w:sz="0" w:space="0" w:color="auto"/>
        <w:bottom w:val="none" w:sz="0" w:space="0" w:color="auto"/>
        <w:right w:val="none" w:sz="0" w:space="0" w:color="auto"/>
      </w:divBdr>
    </w:div>
    <w:div w:id="672684849">
      <w:bodyDiv w:val="1"/>
      <w:marLeft w:val="0"/>
      <w:marRight w:val="0"/>
      <w:marTop w:val="0"/>
      <w:marBottom w:val="0"/>
      <w:divBdr>
        <w:top w:val="none" w:sz="0" w:space="0" w:color="auto"/>
        <w:left w:val="none" w:sz="0" w:space="0" w:color="auto"/>
        <w:bottom w:val="none" w:sz="0" w:space="0" w:color="auto"/>
        <w:right w:val="none" w:sz="0" w:space="0" w:color="auto"/>
      </w:divBdr>
    </w:div>
    <w:div w:id="684407463">
      <w:bodyDiv w:val="1"/>
      <w:marLeft w:val="0"/>
      <w:marRight w:val="0"/>
      <w:marTop w:val="0"/>
      <w:marBottom w:val="0"/>
      <w:divBdr>
        <w:top w:val="none" w:sz="0" w:space="0" w:color="auto"/>
        <w:left w:val="none" w:sz="0" w:space="0" w:color="auto"/>
        <w:bottom w:val="none" w:sz="0" w:space="0" w:color="auto"/>
        <w:right w:val="none" w:sz="0" w:space="0" w:color="auto"/>
      </w:divBdr>
    </w:div>
    <w:div w:id="777288558">
      <w:bodyDiv w:val="1"/>
      <w:marLeft w:val="0"/>
      <w:marRight w:val="0"/>
      <w:marTop w:val="0"/>
      <w:marBottom w:val="0"/>
      <w:divBdr>
        <w:top w:val="none" w:sz="0" w:space="0" w:color="auto"/>
        <w:left w:val="none" w:sz="0" w:space="0" w:color="auto"/>
        <w:bottom w:val="none" w:sz="0" w:space="0" w:color="auto"/>
        <w:right w:val="none" w:sz="0" w:space="0" w:color="auto"/>
      </w:divBdr>
    </w:div>
    <w:div w:id="982198036">
      <w:bodyDiv w:val="1"/>
      <w:marLeft w:val="0"/>
      <w:marRight w:val="0"/>
      <w:marTop w:val="0"/>
      <w:marBottom w:val="0"/>
      <w:divBdr>
        <w:top w:val="none" w:sz="0" w:space="0" w:color="auto"/>
        <w:left w:val="none" w:sz="0" w:space="0" w:color="auto"/>
        <w:bottom w:val="none" w:sz="0" w:space="0" w:color="auto"/>
        <w:right w:val="none" w:sz="0" w:space="0" w:color="auto"/>
      </w:divBdr>
    </w:div>
    <w:div w:id="1082292036">
      <w:bodyDiv w:val="1"/>
      <w:marLeft w:val="0"/>
      <w:marRight w:val="0"/>
      <w:marTop w:val="0"/>
      <w:marBottom w:val="0"/>
      <w:divBdr>
        <w:top w:val="none" w:sz="0" w:space="0" w:color="auto"/>
        <w:left w:val="none" w:sz="0" w:space="0" w:color="auto"/>
        <w:bottom w:val="none" w:sz="0" w:space="0" w:color="auto"/>
        <w:right w:val="none" w:sz="0" w:space="0" w:color="auto"/>
      </w:divBdr>
    </w:div>
    <w:div w:id="1552694518">
      <w:bodyDiv w:val="1"/>
      <w:marLeft w:val="0"/>
      <w:marRight w:val="0"/>
      <w:marTop w:val="0"/>
      <w:marBottom w:val="0"/>
      <w:divBdr>
        <w:top w:val="none" w:sz="0" w:space="0" w:color="auto"/>
        <w:left w:val="none" w:sz="0" w:space="0" w:color="auto"/>
        <w:bottom w:val="none" w:sz="0" w:space="0" w:color="auto"/>
        <w:right w:val="none" w:sz="0" w:space="0" w:color="auto"/>
      </w:divBdr>
    </w:div>
    <w:div w:id="1600211510">
      <w:bodyDiv w:val="1"/>
      <w:marLeft w:val="0"/>
      <w:marRight w:val="0"/>
      <w:marTop w:val="0"/>
      <w:marBottom w:val="0"/>
      <w:divBdr>
        <w:top w:val="none" w:sz="0" w:space="0" w:color="auto"/>
        <w:left w:val="none" w:sz="0" w:space="0" w:color="auto"/>
        <w:bottom w:val="none" w:sz="0" w:space="0" w:color="auto"/>
        <w:right w:val="none" w:sz="0" w:space="0" w:color="auto"/>
      </w:divBdr>
    </w:div>
    <w:div w:id="1650985996">
      <w:bodyDiv w:val="1"/>
      <w:marLeft w:val="0"/>
      <w:marRight w:val="0"/>
      <w:marTop w:val="0"/>
      <w:marBottom w:val="0"/>
      <w:divBdr>
        <w:top w:val="none" w:sz="0" w:space="0" w:color="auto"/>
        <w:left w:val="none" w:sz="0" w:space="0" w:color="auto"/>
        <w:bottom w:val="none" w:sz="0" w:space="0" w:color="auto"/>
        <w:right w:val="none" w:sz="0" w:space="0" w:color="auto"/>
      </w:divBdr>
    </w:div>
    <w:div w:id="1822691523">
      <w:bodyDiv w:val="1"/>
      <w:marLeft w:val="0"/>
      <w:marRight w:val="0"/>
      <w:marTop w:val="0"/>
      <w:marBottom w:val="0"/>
      <w:divBdr>
        <w:top w:val="none" w:sz="0" w:space="0" w:color="auto"/>
        <w:left w:val="none" w:sz="0" w:space="0" w:color="auto"/>
        <w:bottom w:val="none" w:sz="0" w:space="0" w:color="auto"/>
        <w:right w:val="none" w:sz="0" w:space="0" w:color="auto"/>
      </w:divBdr>
    </w:div>
    <w:div w:id="1854031345">
      <w:bodyDiv w:val="1"/>
      <w:marLeft w:val="0"/>
      <w:marRight w:val="0"/>
      <w:marTop w:val="0"/>
      <w:marBottom w:val="0"/>
      <w:divBdr>
        <w:top w:val="none" w:sz="0" w:space="0" w:color="auto"/>
        <w:left w:val="none" w:sz="0" w:space="0" w:color="auto"/>
        <w:bottom w:val="none" w:sz="0" w:space="0" w:color="auto"/>
        <w:right w:val="none" w:sz="0" w:space="0" w:color="auto"/>
      </w:divBdr>
    </w:div>
    <w:div w:id="193639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doi.org/10.9734/jsrr/2024/v30i92421" TargetMode="External"/><Relationship Id="rId39" Type="http://schemas.openxmlformats.org/officeDocument/2006/relationships/footer" Target="footer2.xml"/><Relationship Id="rId21" Type="http://schemas.openxmlformats.org/officeDocument/2006/relationships/hyperlink" Target="https://doi.org/10.3126/njb.v5i1.18492" TargetMode="External"/><Relationship Id="rId34" Type="http://schemas.openxmlformats.org/officeDocument/2006/relationships/hyperlink" Target="https://doi.org/10.1080/09064710.2020.1784262"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9734/arja/2025/v18i1642" TargetMode="External"/><Relationship Id="rId29" Type="http://schemas.openxmlformats.org/officeDocument/2006/relationships/hyperlink" Target="https://doi.org/10.1007/s10658-017-1415-2"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94/Phyto-73-498" TargetMode="External"/><Relationship Id="rId32" Type="http://schemas.openxmlformats.org/officeDocument/2006/relationships/hyperlink" Target="https://doi.org/10.1007/978-981-15-9154-9_25"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7/s10658-022-02581-z" TargetMode="External"/><Relationship Id="rId28" Type="http://schemas.openxmlformats.org/officeDocument/2006/relationships/hyperlink" Target="https://doi.org/10.21608/ejp.2020.54217.1018" TargetMode="External"/><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3390/plants1303036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016/S0007-1536(71)80078-5" TargetMode="External"/><Relationship Id="rId27" Type="http://schemas.openxmlformats.org/officeDocument/2006/relationships/hyperlink" Target="https://doi.org/10.1038/nrmicro797" TargetMode="External"/><Relationship Id="rId30" Type="http://schemas.openxmlformats.org/officeDocument/2006/relationships/hyperlink" Target="https://doi.org/10.17660/ActaHortic.2015.1069.9" TargetMode="External"/><Relationship Id="rId35" Type="http://schemas.openxmlformats.org/officeDocument/2006/relationships/hyperlink" Target="https://doi.org/10.1016/j.pmpp.2008.05.005"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doi.org/10.1007/s42161-019-00248-z" TargetMode="External"/><Relationship Id="rId33" Type="http://schemas.openxmlformats.org/officeDocument/2006/relationships/hyperlink" Target="https://doi.org/10.9734/ijpss/2022/v34i242740"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440</TotalTime>
  <Pages>17</Pages>
  <Words>4210</Words>
  <Characters>24675</Characters>
  <Application>Microsoft Office Word</Application>
  <DocSecurity>0</DocSecurity>
  <Lines>822</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Basavaraj Venkatesh</dc:creator>
  <cp:keywords/>
  <dc:description/>
  <cp:lastModifiedBy>Basavaraj Venkatesh</cp:lastModifiedBy>
  <cp:revision>41</cp:revision>
  <dcterms:created xsi:type="dcterms:W3CDTF">2025-06-05T08:02:00Z</dcterms:created>
  <dcterms:modified xsi:type="dcterms:W3CDTF">2025-06-11T15:18:00Z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535477e7-d534-4446-a059-991004ab962e</vt:lpwstr>
  </property>
</Properties>
</file>