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D4A96" w14:textId="063F28B9" w:rsidR="00754C9A" w:rsidRPr="00AC44B9" w:rsidRDefault="00AC44B9" w:rsidP="00AC44B9">
      <w:pPr>
        <w:pStyle w:val="Titre"/>
        <w:spacing w:after="0"/>
        <w:rPr>
          <w:rFonts w:ascii="Arial" w:hAnsi="Arial" w:cs="Arial"/>
          <w:bCs/>
          <w:i/>
          <w:szCs w:val="36"/>
          <w:u w:val="single"/>
        </w:rPr>
      </w:pPr>
      <w:r w:rsidRPr="00AC44B9">
        <w:rPr>
          <w:rFonts w:ascii="Arial" w:hAnsi="Arial" w:cs="Arial"/>
          <w:bCs/>
          <w:i/>
          <w:szCs w:val="36"/>
          <w:u w:val="single"/>
        </w:rPr>
        <w:t>Case Report</w:t>
      </w:r>
    </w:p>
    <w:p w14:paraId="534102AA" w14:textId="77777777" w:rsidR="00AC44B9" w:rsidRPr="00E900D0" w:rsidRDefault="00AC44B9" w:rsidP="00441B6F">
      <w:pPr>
        <w:pStyle w:val="Titre"/>
        <w:spacing w:after="0"/>
        <w:jc w:val="both"/>
        <w:rPr>
          <w:rFonts w:ascii="Arial" w:hAnsi="Arial" w:cs="Arial"/>
          <w:bCs/>
          <w:szCs w:val="36"/>
        </w:rPr>
      </w:pPr>
    </w:p>
    <w:p w14:paraId="06810480" w14:textId="50AE4A2A" w:rsidR="00E900D0" w:rsidRDefault="00B1626F" w:rsidP="00B1626F">
      <w:pPr>
        <w:pStyle w:val="Author"/>
        <w:spacing w:line="240" w:lineRule="auto"/>
        <w:rPr>
          <w:rFonts w:ascii="Arial" w:hAnsi="Arial" w:cs="Arial"/>
          <w:bCs/>
          <w:iCs/>
          <w:kern w:val="28"/>
          <w:sz w:val="36"/>
        </w:rPr>
      </w:pPr>
      <w:r w:rsidRPr="00B1626F">
        <w:rPr>
          <w:rFonts w:ascii="Arial" w:hAnsi="Arial"/>
          <w:bCs/>
          <w:sz w:val="36"/>
          <w:szCs w:val="36"/>
        </w:rPr>
        <w:t>Misdiagnosed Recurrent Nodular Lesions of the Hand: A Case of Neurofibroma</w:t>
      </w:r>
      <w:r w:rsidR="00231920">
        <w:rPr>
          <w:rFonts w:ascii="Arial" w:hAnsi="Arial" w:cs="Arial"/>
          <w:bCs/>
          <w:iCs/>
          <w:kern w:val="28"/>
          <w:sz w:val="36"/>
        </w:rPr>
        <w:t xml:space="preserve"> </w:t>
      </w:r>
    </w:p>
    <w:p w14:paraId="189CE511" w14:textId="75E2AE3E" w:rsidR="00762854" w:rsidRPr="003A7347" w:rsidRDefault="003A7347" w:rsidP="00C20C80">
      <w:pPr>
        <w:pStyle w:val="Author"/>
        <w:spacing w:line="240" w:lineRule="auto"/>
        <w:jc w:val="center"/>
        <w:rPr>
          <w:rFonts w:ascii="Arial" w:hAnsi="Arial" w:cs="Arial"/>
          <w:i/>
          <w:iCs/>
        </w:rPr>
      </w:pPr>
      <w:r>
        <w:rPr>
          <w:rFonts w:ascii="Arial" w:hAnsi="Arial" w:cs="Arial"/>
        </w:rPr>
        <w:t xml:space="preserve">                  </w:t>
      </w:r>
    </w:p>
    <w:p w14:paraId="6DBF46F9" w14:textId="77777777" w:rsidR="00790ADA" w:rsidRDefault="00790ADA" w:rsidP="00441B6F">
      <w:pPr>
        <w:pStyle w:val="Affiliation"/>
        <w:spacing w:after="0" w:line="240" w:lineRule="auto"/>
        <w:jc w:val="both"/>
        <w:rPr>
          <w:rFonts w:ascii="Arial" w:hAnsi="Arial" w:cs="Arial"/>
        </w:rPr>
      </w:pPr>
    </w:p>
    <w:p w14:paraId="5E12AEEC" w14:textId="77777777" w:rsidR="002C57D2" w:rsidRPr="00FB3A86" w:rsidRDefault="002C57D2" w:rsidP="00441B6F">
      <w:pPr>
        <w:pStyle w:val="Affiliation"/>
        <w:spacing w:after="0" w:line="240" w:lineRule="auto"/>
        <w:jc w:val="both"/>
        <w:rPr>
          <w:rFonts w:ascii="Arial" w:hAnsi="Arial" w:cs="Arial"/>
        </w:rPr>
      </w:pPr>
    </w:p>
    <w:p w14:paraId="0DCD864E" w14:textId="6A493347" w:rsidR="00B01FCD" w:rsidRPr="00FB3A86" w:rsidRDefault="001E0B6A" w:rsidP="00441B6F">
      <w:pPr>
        <w:pStyle w:val="Copyright"/>
        <w:spacing w:after="0" w:line="240" w:lineRule="auto"/>
        <w:jc w:val="both"/>
        <w:rPr>
          <w:rFonts w:ascii="Arial" w:hAnsi="Arial" w:cs="Arial"/>
        </w:rPr>
        <w:sectPr w:rsidR="00B01FCD" w:rsidRPr="00FB3A86" w:rsidSect="003B277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EB1D207" wp14:editId="2D608132">
                <wp:extent cx="5303520" cy="635"/>
                <wp:effectExtent l="15240" t="15240" r="15240" b="13335"/>
                <wp:docPr id="52650087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D23603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0A60766" w14:textId="2CBC788F" w:rsidR="00B01FCD" w:rsidRDefault="00B01FCD" w:rsidP="003A7347">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769C3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AAC9A0C" w14:textId="77777777" w:rsidTr="001E44FE">
        <w:tc>
          <w:tcPr>
            <w:tcW w:w="9576" w:type="dxa"/>
            <w:shd w:val="clear" w:color="auto" w:fill="F2F2F2"/>
          </w:tcPr>
          <w:p w14:paraId="774F7016" w14:textId="77777777" w:rsidR="00E3114E" w:rsidRDefault="00E3114E" w:rsidP="00441B6F">
            <w:pPr>
              <w:pStyle w:val="Body"/>
              <w:spacing w:after="0"/>
              <w:rPr>
                <w:rFonts w:ascii="Arial" w:eastAsia="Calibri" w:hAnsi="Arial" w:cs="Arial"/>
                <w:b/>
                <w:szCs w:val="22"/>
              </w:rPr>
            </w:pPr>
          </w:p>
          <w:p w14:paraId="18F0DD5F" w14:textId="78F0DD3C" w:rsidR="00502E88" w:rsidRPr="00502E88" w:rsidRDefault="00BA1B01" w:rsidP="00502E88">
            <w:pPr>
              <w:rPr>
                <w:rFonts w:ascii="Arial" w:hAnsi="Arial"/>
              </w:rPr>
            </w:pPr>
            <w:r w:rsidRPr="00BA1B01">
              <w:rPr>
                <w:rFonts w:ascii="Arial" w:eastAsia="Calibri" w:hAnsi="Arial" w:cs="Arial"/>
                <w:b/>
                <w:szCs w:val="22"/>
              </w:rPr>
              <w:t xml:space="preserve">Aims: </w:t>
            </w:r>
            <w:r w:rsidR="003A7347" w:rsidRPr="003A7347">
              <w:rPr>
                <w:rFonts w:ascii="Arial" w:eastAsia="Calibri" w:hAnsi="Arial" w:cs="Arial"/>
                <w:bCs/>
                <w:szCs w:val="22"/>
              </w:rPr>
              <w:t>D</w:t>
            </w:r>
            <w:r w:rsidR="003A7347">
              <w:rPr>
                <w:rFonts w:ascii="Arial" w:hAnsi="Arial"/>
              </w:rPr>
              <w:t>escribe the diagnostic evolution of a rare, recurrent soft tissue tumor of the hand, initially diagnosed as nodular fibromatosis and ultimately confirmed as neurofibroma.</w:t>
            </w:r>
          </w:p>
          <w:p w14:paraId="31636107" w14:textId="4D4E9770" w:rsidR="00BA1B01" w:rsidRPr="00BA1B01" w:rsidRDefault="003A7347" w:rsidP="00441B6F">
            <w:pPr>
              <w:pStyle w:val="Body"/>
              <w:spacing w:after="0"/>
              <w:rPr>
                <w:rFonts w:ascii="Arial" w:eastAsia="Calibri" w:hAnsi="Arial" w:cs="Arial"/>
                <w:szCs w:val="22"/>
              </w:rPr>
            </w:pPr>
            <w:r>
              <w:rPr>
                <w:rFonts w:ascii="Arial" w:eastAsia="Calibri" w:hAnsi="Arial" w:cs="Arial"/>
                <w:b/>
                <w:szCs w:val="22"/>
              </w:rPr>
              <w:t>Case presentation</w:t>
            </w:r>
            <w:r w:rsidR="00502E88">
              <w:rPr>
                <w:rFonts w:ascii="Arial" w:eastAsia="Calibri" w:hAnsi="Arial" w:cs="Arial"/>
                <w:b/>
                <w:szCs w:val="22"/>
              </w:rPr>
              <w:t>:</w:t>
            </w:r>
            <w:r w:rsidR="00502E88">
              <w:rPr>
                <w:rFonts w:ascii="Arial" w:hAnsi="Arial"/>
              </w:rPr>
              <w:t xml:space="preserve"> A 22-year-old female presented with multiple recurrences of a soft tissue mass in the right index finger over six years. Initial biopsies showed fibromatosis; final diagnosis was neurofibroma confirmed histologically in 2024.</w:t>
            </w:r>
          </w:p>
          <w:p w14:paraId="41FF2108" w14:textId="7099070E" w:rsidR="00CB10D5" w:rsidRDefault="00502E88" w:rsidP="00441B6F">
            <w:pPr>
              <w:pStyle w:val="Body"/>
              <w:spacing w:after="0"/>
              <w:rPr>
                <w:rFonts w:ascii="Arial" w:hAnsi="Arial"/>
              </w:rPr>
            </w:pPr>
            <w:r>
              <w:rPr>
                <w:rFonts w:ascii="Arial" w:eastAsia="Calibri" w:hAnsi="Arial" w:cs="Arial"/>
                <w:b/>
                <w:bCs/>
                <w:szCs w:val="22"/>
              </w:rPr>
              <w:t>Discussion</w:t>
            </w:r>
            <w:r w:rsidR="00BA1B01" w:rsidRPr="00BA1B01">
              <w:rPr>
                <w:rFonts w:ascii="Arial" w:eastAsia="Calibri" w:hAnsi="Arial" w:cs="Arial"/>
                <w:b/>
                <w:bCs/>
                <w:szCs w:val="22"/>
              </w:rPr>
              <w:t>:</w:t>
            </w:r>
            <w:r w:rsidR="00BA1B01" w:rsidRPr="00BA1B01">
              <w:rPr>
                <w:rFonts w:ascii="Arial" w:eastAsia="Calibri" w:hAnsi="Arial" w:cs="Arial"/>
                <w:szCs w:val="22"/>
              </w:rPr>
              <w:t xml:space="preserve"> </w:t>
            </w:r>
            <w:r w:rsidR="00CB10D5" w:rsidRPr="00A40E21">
              <w:rPr>
                <w:rFonts w:ascii="Arial" w:hAnsi="Arial"/>
              </w:rPr>
              <w:t xml:space="preserve">Neurofibroma, though benign, may mimic other fibroblastic lesions and can lead to delayed diagnosis, particularly in the absence of immunohistochemical analysis. Their localization in the hand is exceptional, representing only 0.8% of all neurofibromas in the general population and 10–15% among patients with </w:t>
            </w:r>
            <w:r w:rsidR="00FC5E79" w:rsidRPr="00A40E21">
              <w:rPr>
                <w:rFonts w:ascii="Arial" w:hAnsi="Arial" w:cs="Arial"/>
              </w:rPr>
              <w:t>neurofibromatosis type 1</w:t>
            </w:r>
            <w:r w:rsidR="00CB10D5" w:rsidRPr="00A40E21">
              <w:rPr>
                <w:rFonts w:ascii="Arial" w:hAnsi="Arial"/>
              </w:rPr>
              <w:t>. Clinical features such as pseudo-Tinel’s sign and multifocal presentation should raise early suspicion for nerve sheath tumors.</w:t>
            </w:r>
          </w:p>
          <w:p w14:paraId="124484F2" w14:textId="02924F76"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02E88">
              <w:rPr>
                <w:rFonts w:ascii="Arial" w:hAnsi="Arial"/>
              </w:rPr>
              <w:t>Recurrent digital fibromatosis must prompt reevaluation, including immunohistochemistry. Early consideration of neurogenic tumors may prevent diagnostic delays and functional morbidity.</w:t>
            </w:r>
          </w:p>
          <w:p w14:paraId="69ACF129" w14:textId="5F9E491B" w:rsidR="00505F06" w:rsidRPr="00BA1B01" w:rsidRDefault="00505F06" w:rsidP="00441B6F">
            <w:pPr>
              <w:pStyle w:val="Body"/>
              <w:spacing w:after="0"/>
              <w:rPr>
                <w:rFonts w:ascii="Arial" w:eastAsia="Calibri" w:hAnsi="Arial" w:cs="Arial"/>
                <w:szCs w:val="22"/>
              </w:rPr>
            </w:pPr>
          </w:p>
        </w:tc>
      </w:tr>
    </w:tbl>
    <w:p w14:paraId="3A9E8445" w14:textId="77777777" w:rsidR="00636EB2" w:rsidRDefault="00636EB2" w:rsidP="00441B6F">
      <w:pPr>
        <w:pStyle w:val="Body"/>
        <w:spacing w:after="0"/>
        <w:rPr>
          <w:rFonts w:ascii="Arial" w:hAnsi="Arial" w:cs="Arial"/>
          <w:i/>
        </w:rPr>
      </w:pPr>
    </w:p>
    <w:p w14:paraId="6E451099" w14:textId="4C630F57" w:rsidR="00A24E7E" w:rsidRDefault="00A24E7E" w:rsidP="00441B6F">
      <w:pPr>
        <w:pStyle w:val="Body"/>
        <w:spacing w:after="0"/>
        <w:rPr>
          <w:rFonts w:ascii="Arial" w:hAnsi="Arial" w:cs="Arial"/>
          <w:i/>
        </w:rPr>
      </w:pPr>
      <w:r>
        <w:rPr>
          <w:rFonts w:ascii="Arial" w:hAnsi="Arial" w:cs="Arial"/>
          <w:i/>
        </w:rPr>
        <w:t xml:space="preserve">Keywords: </w:t>
      </w:r>
      <w:r w:rsidR="00502E88">
        <w:rPr>
          <w:rFonts w:ascii="Arial" w:hAnsi="Arial"/>
        </w:rPr>
        <w:t xml:space="preserve">Nodular fibromatosis; Neurofibroma; </w:t>
      </w:r>
      <w:r w:rsidR="003B2773">
        <w:rPr>
          <w:rFonts w:ascii="Arial" w:hAnsi="Arial"/>
        </w:rPr>
        <w:t>F</w:t>
      </w:r>
      <w:r w:rsidR="00502E88">
        <w:rPr>
          <w:rFonts w:ascii="Arial" w:hAnsi="Arial"/>
        </w:rPr>
        <w:t>inger tumor; Soft tissue mass; Case report; Hand surgery</w:t>
      </w:r>
    </w:p>
    <w:p w14:paraId="1734FC59" w14:textId="77777777" w:rsidR="0024282C" w:rsidRDefault="0024282C" w:rsidP="00441B6F">
      <w:pPr>
        <w:pStyle w:val="Body"/>
        <w:spacing w:after="0"/>
        <w:rPr>
          <w:rFonts w:ascii="Arial" w:hAnsi="Arial" w:cs="Arial"/>
          <w:i/>
          <w:sz w:val="18"/>
        </w:rPr>
      </w:pPr>
    </w:p>
    <w:p w14:paraId="66C19069" w14:textId="77777777" w:rsidR="00505F06" w:rsidRPr="00A24E7E" w:rsidRDefault="00505F06" w:rsidP="00441B6F">
      <w:pPr>
        <w:pStyle w:val="Body"/>
        <w:spacing w:after="0"/>
        <w:rPr>
          <w:rFonts w:ascii="Arial" w:hAnsi="Arial" w:cs="Arial"/>
          <w:i/>
        </w:rPr>
      </w:pPr>
    </w:p>
    <w:p w14:paraId="2ACE012F" w14:textId="218584D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103746" w14:textId="77777777" w:rsidR="00790ADA" w:rsidRPr="00FB3A86" w:rsidRDefault="00790ADA" w:rsidP="00441B6F">
      <w:pPr>
        <w:pStyle w:val="AbstHead"/>
        <w:spacing w:after="0"/>
        <w:jc w:val="both"/>
        <w:rPr>
          <w:rFonts w:ascii="Arial" w:hAnsi="Arial" w:cs="Arial"/>
        </w:rPr>
      </w:pPr>
    </w:p>
    <w:p w14:paraId="24EAE774" w14:textId="77777777" w:rsidR="00AC34F0" w:rsidRDefault="00502E88" w:rsidP="00CB10D5">
      <w:pPr>
        <w:pStyle w:val="Body"/>
        <w:spacing w:after="0"/>
        <w:rPr>
          <w:rFonts w:ascii="Arial" w:hAnsi="Arial" w:cs="Arial"/>
        </w:rPr>
      </w:pPr>
      <w:r w:rsidRPr="00502E88">
        <w:rPr>
          <w:rFonts w:ascii="Arial" w:hAnsi="Arial" w:cs="Arial"/>
        </w:rPr>
        <w:t>Soft tissue tumors of the hand are uncommon and can present diagnostic and therapeutic challenges, particularly in young adults</w:t>
      </w:r>
      <w:r w:rsidRPr="00A40E21">
        <w:rPr>
          <w:rFonts w:ascii="Arial" w:hAnsi="Arial" w:cs="Arial"/>
        </w:rPr>
        <w:t xml:space="preserve">. </w:t>
      </w:r>
      <w:r w:rsidR="00CB10D5" w:rsidRPr="00A40E21">
        <w:rPr>
          <w:rFonts w:ascii="Arial" w:hAnsi="Arial" w:cs="Arial"/>
        </w:rPr>
        <w:t>Neurofibromas (NFs) are rare benign peripheral nerve sheath tumors arising from the proliferation of Schwann cells and fibroblasts. Approximately 90% occur sporadically, while only 10% are associated with neurofibromatosis type 1 (NF1). Their localization in the hand is exceptional, representing only 0.8% of all NFs in the general population and 10–15% among NF1 patients</w:t>
      </w:r>
      <w:r w:rsidR="00CB10D5" w:rsidRPr="00A40E21">
        <w:rPr>
          <w:rFonts w:ascii="Arial" w:hAnsi="Arial" w:cs="Arial"/>
        </w:rPr>
        <w:fldChar w:fldCharType="begin"/>
      </w:r>
      <w:r w:rsidR="00CB10D5" w:rsidRPr="00A40E21">
        <w:rPr>
          <w:rFonts w:ascii="Arial" w:hAnsi="Arial" w:cs="Arial"/>
        </w:rPr>
        <w:instrText xml:space="preserve"> ADDIN ZOTERO_ITEM CSL_CITATION {"citationID":"182Sk2q4","properties":{"formattedCitation":"(1)","plainCitation":"(1)","noteIndex":0},"citationItems":[{"id":42,"uris":["http://zotero.org/users/local/7qifMvx1/items/8DPGHTWC"],"itemData":{"id":42,"type":"article-journal","abstract":"We report the case of a 34-year-old woman with hypothenar pain due to a solitary neurofibroma (NF) of the ulnar nerve, with an extrafascicular location, outside Guyon canal, with no clinical evidence of associated neurologic impairment, who was successfully treated with surgical resection. The identification of this isolated tumor led to the diagnosis of a new genetic variant of neurofibromatosis type 1 after genome sequencing. At the 1-year follow-up, the patient remains asymptomatic without recurrence or other peripheral nerve sheath tumors. A solitary NF of a deep-seated nerve is extremely rare, especially in the context of neurofibromatosis type 1. To our knowledge, there are no reports of a NF of the ulnar nerve with an extraneural location. In the presence of a solitary NF related to a deep-seated peripheral nerve, neurofibromatosis type 1 should always be excluded.","container-title":"Journal of Hand Surgery Global Online","DOI":"10.1016/j.jhsg.2022.04.008","ISSN":"2589-5141","issue":"5","journalAbbreviation":"J Hand Surg Glob Online","note":"PMID: 36157301\nPMCID: PMC9492796","page":"283-287","source":"PubMed Central","title":"Atypically Located Solitary Neurofibroma of the Ulnar Nerve as Inaugural Presentation of a New Genetic Variant of Neurofibromatosis Type 1: A Case Report","title-short":"Atypically Located Solitary Neurofibroma of the Ulnar Nerve as Inaugural Presentation of a New Genetic Variant of Neurofibromatosis Type 1","volume":"4","author":[{"family":"Carvalho","given":"Diogo Rocha"},{"family":"Branco","given":"Pedro Martins"},{"family":"Afonso","given":"P. Diana"},{"family":"Gerardo","given":"Gonçalo"},{"family":"Baptista","given":"Carolina"}],"issued":{"date-parts":[["2022",5,20]]}}}],"schema":"https://github.com/citation-style-language/schema/raw/master/csl-citation.json"} </w:instrText>
      </w:r>
      <w:r w:rsidR="00CB10D5" w:rsidRPr="00A40E21">
        <w:rPr>
          <w:rFonts w:ascii="Arial" w:hAnsi="Arial" w:cs="Arial"/>
        </w:rPr>
        <w:fldChar w:fldCharType="separate"/>
      </w:r>
      <w:r w:rsidR="00CB10D5" w:rsidRPr="00A40E21">
        <w:rPr>
          <w:rFonts w:ascii="Arial" w:hAnsi="Arial" w:cs="Arial"/>
        </w:rPr>
        <w:t>(1)</w:t>
      </w:r>
      <w:r w:rsidR="00CB10D5" w:rsidRPr="00A40E21">
        <w:rPr>
          <w:rFonts w:ascii="Arial" w:hAnsi="Arial" w:cs="Arial"/>
        </w:rPr>
        <w:fldChar w:fldCharType="end"/>
      </w:r>
      <w:r w:rsidR="00CB10D5" w:rsidRPr="00A40E21">
        <w:rPr>
          <w:rFonts w:ascii="Arial" w:hAnsi="Arial" w:cs="Arial"/>
        </w:rPr>
        <w:t xml:space="preserve">. </w:t>
      </w:r>
    </w:p>
    <w:p w14:paraId="4D116FA3" w14:textId="77777777" w:rsidR="00D97369" w:rsidRDefault="00D97369" w:rsidP="00D97369">
      <w:pPr>
        <w:pStyle w:val="Body"/>
        <w:rPr>
          <w:rFonts w:ascii="Arial" w:hAnsi="Arial" w:cs="Arial"/>
          <w:lang w:val="fr-MA"/>
        </w:rPr>
      </w:pPr>
      <w:r w:rsidRPr="00D97369">
        <w:rPr>
          <w:rFonts w:ascii="Arial" w:hAnsi="Arial" w:cs="Arial"/>
          <w:lang w:val="fr-MA"/>
        </w:rPr>
        <w:t xml:space="preserve">The </w:t>
      </w:r>
      <w:proofErr w:type="spellStart"/>
      <w:r w:rsidRPr="00D97369">
        <w:rPr>
          <w:rFonts w:ascii="Arial" w:hAnsi="Arial" w:cs="Arial"/>
          <w:lang w:val="fr-MA"/>
        </w:rPr>
        <w:t>clinical</w:t>
      </w:r>
      <w:proofErr w:type="spellEnd"/>
      <w:r w:rsidRPr="00D97369">
        <w:rPr>
          <w:rFonts w:ascii="Arial" w:hAnsi="Arial" w:cs="Arial"/>
          <w:lang w:val="fr-MA"/>
        </w:rPr>
        <w:t xml:space="preserve"> </w:t>
      </w:r>
      <w:proofErr w:type="spellStart"/>
      <w:r w:rsidRPr="00D97369">
        <w:rPr>
          <w:rFonts w:ascii="Arial" w:hAnsi="Arial" w:cs="Arial"/>
          <w:lang w:val="fr-MA"/>
        </w:rPr>
        <w:t>context</w:t>
      </w:r>
      <w:proofErr w:type="spellEnd"/>
      <w:r w:rsidRPr="00D97369">
        <w:rPr>
          <w:rFonts w:ascii="Arial" w:hAnsi="Arial" w:cs="Arial"/>
          <w:lang w:val="fr-MA"/>
        </w:rPr>
        <w:t xml:space="preserve"> </w:t>
      </w:r>
      <w:proofErr w:type="spellStart"/>
      <w:r w:rsidRPr="00D97369">
        <w:rPr>
          <w:rFonts w:ascii="Arial" w:hAnsi="Arial" w:cs="Arial"/>
          <w:lang w:val="fr-MA"/>
        </w:rPr>
        <w:t>is</w:t>
      </w:r>
      <w:proofErr w:type="spellEnd"/>
      <w:r w:rsidRPr="00D97369">
        <w:rPr>
          <w:rFonts w:ascii="Arial" w:hAnsi="Arial" w:cs="Arial"/>
          <w:lang w:val="fr-MA"/>
        </w:rPr>
        <w:t xml:space="preserve"> </w:t>
      </w:r>
      <w:proofErr w:type="spellStart"/>
      <w:r w:rsidRPr="00D97369">
        <w:rPr>
          <w:rFonts w:ascii="Arial" w:hAnsi="Arial" w:cs="Arial"/>
          <w:lang w:val="fr-MA"/>
        </w:rPr>
        <w:t>further</w:t>
      </w:r>
      <w:proofErr w:type="spellEnd"/>
      <w:r w:rsidRPr="00D97369">
        <w:rPr>
          <w:rFonts w:ascii="Arial" w:hAnsi="Arial" w:cs="Arial"/>
          <w:lang w:val="fr-MA"/>
        </w:rPr>
        <w:t xml:space="preserve"> </w:t>
      </w:r>
      <w:proofErr w:type="spellStart"/>
      <w:r w:rsidRPr="00D97369">
        <w:rPr>
          <w:rFonts w:ascii="Arial" w:hAnsi="Arial" w:cs="Arial"/>
          <w:lang w:val="fr-MA"/>
        </w:rPr>
        <w:t>complicated</w:t>
      </w:r>
      <w:proofErr w:type="spellEnd"/>
      <w:r w:rsidRPr="00D97369">
        <w:rPr>
          <w:rFonts w:ascii="Arial" w:hAnsi="Arial" w:cs="Arial"/>
          <w:lang w:val="fr-MA"/>
        </w:rPr>
        <w:t xml:space="preserve"> by </w:t>
      </w:r>
      <w:proofErr w:type="spellStart"/>
      <w:r w:rsidRPr="00D97369">
        <w:rPr>
          <w:rFonts w:ascii="Arial" w:hAnsi="Arial" w:cs="Arial"/>
          <w:lang w:val="fr-MA"/>
        </w:rPr>
        <w:t>neurofibromatosis</w:t>
      </w:r>
      <w:proofErr w:type="spellEnd"/>
      <w:r w:rsidRPr="00D97369">
        <w:rPr>
          <w:rFonts w:ascii="Arial" w:hAnsi="Arial" w:cs="Arial"/>
          <w:lang w:val="fr-MA"/>
        </w:rPr>
        <w:t xml:space="preserve"> (NF), a </w:t>
      </w:r>
      <w:proofErr w:type="spellStart"/>
      <w:r w:rsidRPr="00D97369">
        <w:rPr>
          <w:rFonts w:ascii="Arial" w:hAnsi="Arial" w:cs="Arial"/>
          <w:lang w:val="fr-MA"/>
        </w:rPr>
        <w:t>genetic</w:t>
      </w:r>
      <w:proofErr w:type="spellEnd"/>
      <w:r w:rsidRPr="00D97369">
        <w:rPr>
          <w:rFonts w:ascii="Arial" w:hAnsi="Arial" w:cs="Arial"/>
          <w:lang w:val="fr-MA"/>
        </w:rPr>
        <w:t xml:space="preserve"> </w:t>
      </w:r>
      <w:proofErr w:type="spellStart"/>
      <w:r w:rsidRPr="00D97369">
        <w:rPr>
          <w:rFonts w:ascii="Arial" w:hAnsi="Arial" w:cs="Arial"/>
          <w:lang w:val="fr-MA"/>
        </w:rPr>
        <w:t>disorder</w:t>
      </w:r>
      <w:proofErr w:type="spellEnd"/>
      <w:r w:rsidRPr="00D97369">
        <w:rPr>
          <w:rFonts w:ascii="Arial" w:hAnsi="Arial" w:cs="Arial"/>
          <w:lang w:val="fr-MA"/>
        </w:rPr>
        <w:t xml:space="preserve"> </w:t>
      </w:r>
      <w:proofErr w:type="spellStart"/>
      <w:r w:rsidRPr="00D97369">
        <w:rPr>
          <w:rFonts w:ascii="Arial" w:hAnsi="Arial" w:cs="Arial"/>
          <w:lang w:val="fr-MA"/>
        </w:rPr>
        <w:t>characterized</w:t>
      </w:r>
      <w:proofErr w:type="spellEnd"/>
      <w:r w:rsidRPr="00D97369">
        <w:rPr>
          <w:rFonts w:ascii="Arial" w:hAnsi="Arial" w:cs="Arial"/>
          <w:lang w:val="fr-MA"/>
        </w:rPr>
        <w:t xml:space="preserve"> by the </w:t>
      </w:r>
      <w:proofErr w:type="spellStart"/>
      <w:r w:rsidRPr="00D97369">
        <w:rPr>
          <w:rFonts w:ascii="Arial" w:hAnsi="Arial" w:cs="Arial"/>
          <w:lang w:val="fr-MA"/>
        </w:rPr>
        <w:t>development</w:t>
      </w:r>
      <w:proofErr w:type="spellEnd"/>
      <w:r w:rsidRPr="00D97369">
        <w:rPr>
          <w:rFonts w:ascii="Arial" w:hAnsi="Arial" w:cs="Arial"/>
          <w:lang w:val="fr-MA"/>
        </w:rPr>
        <w:t xml:space="preserve"> of multiple </w:t>
      </w:r>
      <w:proofErr w:type="spellStart"/>
      <w:r w:rsidRPr="00D97369">
        <w:rPr>
          <w:rFonts w:ascii="Arial" w:hAnsi="Arial" w:cs="Arial"/>
          <w:lang w:val="fr-MA"/>
        </w:rPr>
        <w:t>neurogenic</w:t>
      </w:r>
      <w:proofErr w:type="spellEnd"/>
      <w:r w:rsidRPr="00D97369">
        <w:rPr>
          <w:rFonts w:ascii="Arial" w:hAnsi="Arial" w:cs="Arial"/>
          <w:lang w:val="fr-MA"/>
        </w:rPr>
        <w:t xml:space="preserve"> </w:t>
      </w:r>
      <w:proofErr w:type="spellStart"/>
      <w:r w:rsidRPr="00D97369">
        <w:rPr>
          <w:rFonts w:ascii="Arial" w:hAnsi="Arial" w:cs="Arial"/>
          <w:lang w:val="fr-MA"/>
        </w:rPr>
        <w:t>tumors</w:t>
      </w:r>
      <w:proofErr w:type="spellEnd"/>
      <w:r w:rsidRPr="00D97369">
        <w:rPr>
          <w:rFonts w:ascii="Arial" w:hAnsi="Arial" w:cs="Arial"/>
          <w:lang w:val="fr-MA"/>
        </w:rPr>
        <w:t xml:space="preserve">, </w:t>
      </w:r>
      <w:proofErr w:type="spellStart"/>
      <w:r w:rsidRPr="00D97369">
        <w:rPr>
          <w:rFonts w:ascii="Arial" w:hAnsi="Arial" w:cs="Arial"/>
          <w:lang w:val="fr-MA"/>
        </w:rPr>
        <w:t>including</w:t>
      </w:r>
      <w:proofErr w:type="spellEnd"/>
      <w:r w:rsidRPr="00D97369">
        <w:rPr>
          <w:rFonts w:ascii="Arial" w:hAnsi="Arial" w:cs="Arial"/>
          <w:lang w:val="fr-MA"/>
        </w:rPr>
        <w:t xml:space="preserve"> </w:t>
      </w:r>
      <w:proofErr w:type="spellStart"/>
      <w:r w:rsidRPr="00D97369">
        <w:rPr>
          <w:rFonts w:ascii="Arial" w:hAnsi="Arial" w:cs="Arial"/>
          <w:lang w:val="fr-MA"/>
        </w:rPr>
        <w:t>NFs</w:t>
      </w:r>
      <w:proofErr w:type="spellEnd"/>
      <w:r w:rsidRPr="00D97369">
        <w:rPr>
          <w:rFonts w:ascii="Arial" w:hAnsi="Arial" w:cs="Arial"/>
          <w:lang w:val="fr-MA"/>
        </w:rPr>
        <w:t xml:space="preserve">. </w:t>
      </w:r>
      <w:proofErr w:type="spellStart"/>
      <w:r w:rsidRPr="00D97369">
        <w:rPr>
          <w:rFonts w:ascii="Arial" w:hAnsi="Arial" w:cs="Arial"/>
          <w:lang w:val="fr-MA"/>
        </w:rPr>
        <w:t>Two</w:t>
      </w:r>
      <w:proofErr w:type="spellEnd"/>
      <w:r w:rsidRPr="00D97369">
        <w:rPr>
          <w:rFonts w:ascii="Arial" w:hAnsi="Arial" w:cs="Arial"/>
          <w:lang w:val="fr-MA"/>
        </w:rPr>
        <w:t xml:space="preserve"> major </w:t>
      </w:r>
      <w:proofErr w:type="spellStart"/>
      <w:r w:rsidRPr="00D97369">
        <w:rPr>
          <w:rFonts w:ascii="Arial" w:hAnsi="Arial" w:cs="Arial"/>
          <w:lang w:val="fr-MA"/>
        </w:rPr>
        <w:t>clinical</w:t>
      </w:r>
      <w:proofErr w:type="spellEnd"/>
      <w:r w:rsidRPr="00D97369">
        <w:rPr>
          <w:rFonts w:ascii="Arial" w:hAnsi="Arial" w:cs="Arial"/>
          <w:lang w:val="fr-MA"/>
        </w:rPr>
        <w:t xml:space="preserve"> </w:t>
      </w:r>
      <w:proofErr w:type="spellStart"/>
      <w:r w:rsidRPr="00D97369">
        <w:rPr>
          <w:rFonts w:ascii="Arial" w:hAnsi="Arial" w:cs="Arial"/>
          <w:lang w:val="fr-MA"/>
        </w:rPr>
        <w:t>subtypes</w:t>
      </w:r>
      <w:proofErr w:type="spellEnd"/>
      <w:r w:rsidRPr="00D97369">
        <w:rPr>
          <w:rFonts w:ascii="Arial" w:hAnsi="Arial" w:cs="Arial"/>
          <w:lang w:val="fr-MA"/>
        </w:rPr>
        <w:t xml:space="preserve"> are </w:t>
      </w:r>
      <w:proofErr w:type="spellStart"/>
      <w:proofErr w:type="gramStart"/>
      <w:r w:rsidRPr="00D97369">
        <w:rPr>
          <w:rFonts w:ascii="Arial" w:hAnsi="Arial" w:cs="Arial"/>
          <w:lang w:val="fr-MA"/>
        </w:rPr>
        <w:t>recognized</w:t>
      </w:r>
      <w:proofErr w:type="spellEnd"/>
      <w:r w:rsidRPr="00D97369">
        <w:rPr>
          <w:rFonts w:ascii="Arial" w:hAnsi="Arial" w:cs="Arial"/>
          <w:lang w:val="fr-MA"/>
        </w:rPr>
        <w:t>:</w:t>
      </w:r>
      <w:proofErr w:type="gramEnd"/>
    </w:p>
    <w:p w14:paraId="7D17C9B5" w14:textId="1AE13F5E" w:rsidR="00D97369" w:rsidRDefault="00D97369" w:rsidP="00D97369">
      <w:pPr>
        <w:pStyle w:val="Body"/>
        <w:rPr>
          <w:rFonts w:ascii="Arial" w:hAnsi="Arial" w:cs="Arial"/>
          <w:lang w:val="fr-MA"/>
        </w:rPr>
      </w:pPr>
      <w:proofErr w:type="spellStart"/>
      <w:r w:rsidRPr="00D97369">
        <w:rPr>
          <w:rFonts w:ascii="Arial" w:hAnsi="Arial" w:cs="Arial"/>
          <w:lang w:val="fr-MA"/>
        </w:rPr>
        <w:t>Neurofibromatosis</w:t>
      </w:r>
      <w:proofErr w:type="spellEnd"/>
      <w:r w:rsidRPr="00D97369">
        <w:rPr>
          <w:rFonts w:ascii="Arial" w:hAnsi="Arial" w:cs="Arial"/>
          <w:lang w:val="fr-MA"/>
        </w:rPr>
        <w:t xml:space="preserve"> type 1 (NF1</w:t>
      </w:r>
      <w:proofErr w:type="gramStart"/>
      <w:r w:rsidRPr="00D97369">
        <w:rPr>
          <w:rFonts w:ascii="Arial" w:hAnsi="Arial" w:cs="Arial"/>
          <w:lang w:val="fr-MA"/>
        </w:rPr>
        <w:t>):</w:t>
      </w:r>
      <w:proofErr w:type="gramEnd"/>
      <w:r w:rsidRPr="00D97369">
        <w:rPr>
          <w:rFonts w:ascii="Arial" w:hAnsi="Arial" w:cs="Arial"/>
          <w:lang w:val="fr-MA"/>
        </w:rPr>
        <w:t xml:space="preserve"> An autosomal dominant </w:t>
      </w:r>
      <w:proofErr w:type="spellStart"/>
      <w:r w:rsidRPr="00D97369">
        <w:rPr>
          <w:rFonts w:ascii="Arial" w:hAnsi="Arial" w:cs="Arial"/>
          <w:lang w:val="fr-MA"/>
        </w:rPr>
        <w:t>disorder</w:t>
      </w:r>
      <w:proofErr w:type="spellEnd"/>
      <w:r w:rsidRPr="00D97369">
        <w:rPr>
          <w:rFonts w:ascii="Arial" w:hAnsi="Arial" w:cs="Arial"/>
          <w:lang w:val="fr-MA"/>
        </w:rPr>
        <w:t xml:space="preserve"> </w:t>
      </w:r>
      <w:proofErr w:type="spellStart"/>
      <w:r w:rsidRPr="00D97369">
        <w:rPr>
          <w:rFonts w:ascii="Arial" w:hAnsi="Arial" w:cs="Arial"/>
          <w:lang w:val="fr-MA"/>
        </w:rPr>
        <w:t>caused</w:t>
      </w:r>
      <w:proofErr w:type="spellEnd"/>
      <w:r w:rsidRPr="00D97369">
        <w:rPr>
          <w:rFonts w:ascii="Arial" w:hAnsi="Arial" w:cs="Arial"/>
          <w:lang w:val="fr-MA"/>
        </w:rPr>
        <w:t xml:space="preserve"> by mutations in the NF1 </w:t>
      </w:r>
      <w:proofErr w:type="spellStart"/>
      <w:r w:rsidRPr="00D97369">
        <w:rPr>
          <w:rFonts w:ascii="Arial" w:hAnsi="Arial" w:cs="Arial"/>
          <w:lang w:val="fr-MA"/>
        </w:rPr>
        <w:t>gene</w:t>
      </w:r>
      <w:proofErr w:type="spellEnd"/>
      <w:r w:rsidRPr="00D97369">
        <w:rPr>
          <w:rFonts w:ascii="Arial" w:hAnsi="Arial" w:cs="Arial"/>
          <w:lang w:val="fr-MA"/>
        </w:rPr>
        <w:t xml:space="preserve"> (17q11.2), </w:t>
      </w:r>
      <w:proofErr w:type="spellStart"/>
      <w:r w:rsidRPr="00D97369">
        <w:rPr>
          <w:rFonts w:ascii="Arial" w:hAnsi="Arial" w:cs="Arial"/>
          <w:lang w:val="fr-MA"/>
        </w:rPr>
        <w:t>with</w:t>
      </w:r>
      <w:proofErr w:type="spellEnd"/>
      <w:r w:rsidRPr="00D97369">
        <w:rPr>
          <w:rFonts w:ascii="Arial" w:hAnsi="Arial" w:cs="Arial"/>
          <w:lang w:val="fr-MA"/>
        </w:rPr>
        <w:t xml:space="preserve"> an incidence of </w:t>
      </w:r>
      <w:proofErr w:type="spellStart"/>
      <w:r w:rsidRPr="00D97369">
        <w:rPr>
          <w:rFonts w:ascii="Arial" w:hAnsi="Arial" w:cs="Arial"/>
          <w:lang w:val="fr-MA"/>
        </w:rPr>
        <w:t>approximately</w:t>
      </w:r>
      <w:proofErr w:type="spellEnd"/>
      <w:r w:rsidRPr="00D97369">
        <w:rPr>
          <w:rFonts w:ascii="Arial" w:hAnsi="Arial" w:cs="Arial"/>
          <w:lang w:val="fr-MA"/>
        </w:rPr>
        <w:t xml:space="preserve"> 1 </w:t>
      </w:r>
      <w:proofErr w:type="spellStart"/>
      <w:r w:rsidRPr="00D97369">
        <w:rPr>
          <w:rFonts w:ascii="Arial" w:hAnsi="Arial" w:cs="Arial"/>
          <w:lang w:val="fr-MA"/>
        </w:rPr>
        <w:t>in</w:t>
      </w:r>
      <w:proofErr w:type="spellEnd"/>
      <w:r w:rsidRPr="00D97369">
        <w:rPr>
          <w:rFonts w:ascii="Arial" w:hAnsi="Arial" w:cs="Arial"/>
          <w:lang w:val="fr-MA"/>
        </w:rPr>
        <w:t xml:space="preserve"> 3,000 </w:t>
      </w:r>
      <w:proofErr w:type="spellStart"/>
      <w:r w:rsidRPr="00D97369">
        <w:rPr>
          <w:rFonts w:ascii="Arial" w:hAnsi="Arial" w:cs="Arial"/>
          <w:lang w:val="fr-MA"/>
        </w:rPr>
        <w:t>individuals</w:t>
      </w:r>
      <w:proofErr w:type="spellEnd"/>
      <w:r w:rsidRPr="00D97369">
        <w:rPr>
          <w:rFonts w:ascii="Arial" w:hAnsi="Arial" w:cs="Arial"/>
          <w:lang w:val="fr-MA"/>
        </w:rPr>
        <w:t xml:space="preserve">. The NIH diagnostic </w:t>
      </w:r>
      <w:proofErr w:type="spellStart"/>
      <w:r w:rsidRPr="00D97369">
        <w:rPr>
          <w:rFonts w:ascii="Arial" w:hAnsi="Arial" w:cs="Arial"/>
          <w:lang w:val="fr-MA"/>
        </w:rPr>
        <w:t>criteria</w:t>
      </w:r>
      <w:proofErr w:type="spellEnd"/>
      <w:r w:rsidRPr="00D97369">
        <w:rPr>
          <w:rFonts w:ascii="Arial" w:hAnsi="Arial" w:cs="Arial"/>
          <w:lang w:val="fr-MA"/>
        </w:rPr>
        <w:t xml:space="preserve"> </w:t>
      </w:r>
      <w:proofErr w:type="spellStart"/>
      <w:r w:rsidRPr="00D97369">
        <w:rPr>
          <w:rFonts w:ascii="Arial" w:hAnsi="Arial" w:cs="Arial"/>
          <w:lang w:val="fr-MA"/>
        </w:rPr>
        <w:t>include</w:t>
      </w:r>
      <w:proofErr w:type="spellEnd"/>
      <w:r w:rsidRPr="00D97369">
        <w:rPr>
          <w:rFonts w:ascii="Arial" w:hAnsi="Arial" w:cs="Arial"/>
          <w:lang w:val="fr-MA"/>
        </w:rPr>
        <w:t xml:space="preserve">: six or more café-au-lait macules, </w:t>
      </w:r>
      <w:proofErr w:type="spellStart"/>
      <w:r w:rsidRPr="00D97369">
        <w:rPr>
          <w:rFonts w:ascii="Arial" w:hAnsi="Arial" w:cs="Arial"/>
          <w:lang w:val="fr-MA"/>
        </w:rPr>
        <w:t>axillary</w:t>
      </w:r>
      <w:proofErr w:type="spellEnd"/>
      <w:r w:rsidRPr="00D97369">
        <w:rPr>
          <w:rFonts w:ascii="Arial" w:hAnsi="Arial" w:cs="Arial"/>
          <w:lang w:val="fr-MA"/>
        </w:rPr>
        <w:t xml:space="preserve"> or inguinal </w:t>
      </w:r>
      <w:proofErr w:type="spellStart"/>
      <w:r w:rsidRPr="00D97369">
        <w:rPr>
          <w:rFonts w:ascii="Arial" w:hAnsi="Arial" w:cs="Arial"/>
          <w:lang w:val="fr-MA"/>
        </w:rPr>
        <w:t>freckling</w:t>
      </w:r>
      <w:proofErr w:type="spellEnd"/>
      <w:r w:rsidRPr="00D97369">
        <w:rPr>
          <w:rFonts w:ascii="Arial" w:hAnsi="Arial" w:cs="Arial"/>
          <w:lang w:val="fr-MA"/>
        </w:rPr>
        <w:t xml:space="preserve">, </w:t>
      </w:r>
      <w:proofErr w:type="spellStart"/>
      <w:r w:rsidRPr="00D97369">
        <w:rPr>
          <w:rFonts w:ascii="Arial" w:hAnsi="Arial" w:cs="Arial"/>
          <w:lang w:val="fr-MA"/>
        </w:rPr>
        <w:t>two</w:t>
      </w:r>
      <w:proofErr w:type="spellEnd"/>
      <w:r w:rsidRPr="00D97369">
        <w:rPr>
          <w:rFonts w:ascii="Arial" w:hAnsi="Arial" w:cs="Arial"/>
          <w:lang w:val="fr-MA"/>
        </w:rPr>
        <w:t xml:space="preserve"> or more </w:t>
      </w:r>
      <w:proofErr w:type="spellStart"/>
      <w:r w:rsidRPr="00D97369">
        <w:rPr>
          <w:rFonts w:ascii="Arial" w:hAnsi="Arial" w:cs="Arial"/>
          <w:lang w:val="fr-MA"/>
        </w:rPr>
        <w:t>neurofibromas</w:t>
      </w:r>
      <w:proofErr w:type="spellEnd"/>
      <w:r w:rsidRPr="00D97369">
        <w:rPr>
          <w:rFonts w:ascii="Arial" w:hAnsi="Arial" w:cs="Arial"/>
          <w:lang w:val="fr-MA"/>
        </w:rPr>
        <w:t xml:space="preserve"> or one </w:t>
      </w:r>
      <w:proofErr w:type="spellStart"/>
      <w:r w:rsidRPr="00D97369">
        <w:rPr>
          <w:rFonts w:ascii="Arial" w:hAnsi="Arial" w:cs="Arial"/>
          <w:lang w:val="fr-MA"/>
        </w:rPr>
        <w:t>plexiform</w:t>
      </w:r>
      <w:proofErr w:type="spellEnd"/>
      <w:r w:rsidRPr="00D97369">
        <w:rPr>
          <w:rFonts w:ascii="Arial" w:hAnsi="Arial" w:cs="Arial"/>
          <w:lang w:val="fr-MA"/>
        </w:rPr>
        <w:t xml:space="preserve"> </w:t>
      </w:r>
      <w:proofErr w:type="spellStart"/>
      <w:r w:rsidRPr="00D97369">
        <w:rPr>
          <w:rFonts w:ascii="Arial" w:hAnsi="Arial" w:cs="Arial"/>
          <w:lang w:val="fr-MA"/>
        </w:rPr>
        <w:t>neurofibroma</w:t>
      </w:r>
      <w:proofErr w:type="spellEnd"/>
      <w:r w:rsidRPr="00D97369">
        <w:rPr>
          <w:rFonts w:ascii="Arial" w:hAnsi="Arial" w:cs="Arial"/>
          <w:lang w:val="fr-MA"/>
        </w:rPr>
        <w:t xml:space="preserve">, </w:t>
      </w:r>
      <w:proofErr w:type="spellStart"/>
      <w:r w:rsidRPr="00D97369">
        <w:rPr>
          <w:rFonts w:ascii="Arial" w:hAnsi="Arial" w:cs="Arial"/>
          <w:lang w:val="fr-MA"/>
        </w:rPr>
        <w:t>optic</w:t>
      </w:r>
      <w:proofErr w:type="spellEnd"/>
      <w:r w:rsidRPr="00D97369">
        <w:rPr>
          <w:rFonts w:ascii="Arial" w:hAnsi="Arial" w:cs="Arial"/>
          <w:lang w:val="fr-MA"/>
        </w:rPr>
        <w:t xml:space="preserve"> </w:t>
      </w:r>
      <w:proofErr w:type="spellStart"/>
      <w:r w:rsidRPr="00D97369">
        <w:rPr>
          <w:rFonts w:ascii="Arial" w:hAnsi="Arial" w:cs="Arial"/>
          <w:lang w:val="fr-MA"/>
        </w:rPr>
        <w:t>glioma</w:t>
      </w:r>
      <w:proofErr w:type="spellEnd"/>
      <w:r w:rsidRPr="00D97369">
        <w:rPr>
          <w:rFonts w:ascii="Arial" w:hAnsi="Arial" w:cs="Arial"/>
          <w:lang w:val="fr-MA"/>
        </w:rPr>
        <w:t xml:space="preserve">, </w:t>
      </w:r>
      <w:proofErr w:type="spellStart"/>
      <w:r w:rsidRPr="00D97369">
        <w:rPr>
          <w:rFonts w:ascii="Arial" w:hAnsi="Arial" w:cs="Arial"/>
          <w:lang w:val="fr-MA"/>
        </w:rPr>
        <w:t>two</w:t>
      </w:r>
      <w:proofErr w:type="spellEnd"/>
      <w:r w:rsidRPr="00D97369">
        <w:rPr>
          <w:rFonts w:ascii="Arial" w:hAnsi="Arial" w:cs="Arial"/>
          <w:lang w:val="fr-MA"/>
        </w:rPr>
        <w:t xml:space="preserve"> or more </w:t>
      </w:r>
      <w:proofErr w:type="spellStart"/>
      <w:r w:rsidRPr="00D97369">
        <w:rPr>
          <w:rFonts w:ascii="Arial" w:hAnsi="Arial" w:cs="Arial"/>
          <w:lang w:val="fr-MA"/>
        </w:rPr>
        <w:t>Lisch</w:t>
      </w:r>
      <w:proofErr w:type="spellEnd"/>
      <w:r w:rsidRPr="00D97369">
        <w:rPr>
          <w:rFonts w:ascii="Arial" w:hAnsi="Arial" w:cs="Arial"/>
          <w:lang w:val="fr-MA"/>
        </w:rPr>
        <w:t xml:space="preserve"> nodules, a distinctive </w:t>
      </w:r>
      <w:proofErr w:type="spellStart"/>
      <w:r w:rsidRPr="00D97369">
        <w:rPr>
          <w:rFonts w:ascii="Arial" w:hAnsi="Arial" w:cs="Arial"/>
          <w:lang w:val="fr-MA"/>
        </w:rPr>
        <w:t>osseous</w:t>
      </w:r>
      <w:proofErr w:type="spellEnd"/>
      <w:r w:rsidRPr="00D97369">
        <w:rPr>
          <w:rFonts w:ascii="Arial" w:hAnsi="Arial" w:cs="Arial"/>
          <w:lang w:val="fr-MA"/>
        </w:rPr>
        <w:t xml:space="preserve"> </w:t>
      </w:r>
      <w:proofErr w:type="spellStart"/>
      <w:r w:rsidRPr="00D97369">
        <w:rPr>
          <w:rFonts w:ascii="Arial" w:hAnsi="Arial" w:cs="Arial"/>
          <w:lang w:val="fr-MA"/>
        </w:rPr>
        <w:t>lesion</w:t>
      </w:r>
      <w:proofErr w:type="spellEnd"/>
      <w:r w:rsidRPr="00D97369">
        <w:rPr>
          <w:rFonts w:ascii="Arial" w:hAnsi="Arial" w:cs="Arial"/>
          <w:lang w:val="fr-MA"/>
        </w:rPr>
        <w:t xml:space="preserve"> (e.g., </w:t>
      </w:r>
      <w:proofErr w:type="spellStart"/>
      <w:r w:rsidRPr="00D97369">
        <w:rPr>
          <w:rFonts w:ascii="Arial" w:hAnsi="Arial" w:cs="Arial"/>
          <w:lang w:val="fr-MA"/>
        </w:rPr>
        <w:t>sphenoid</w:t>
      </w:r>
      <w:proofErr w:type="spellEnd"/>
      <w:r w:rsidRPr="00D97369">
        <w:rPr>
          <w:rFonts w:ascii="Arial" w:hAnsi="Arial" w:cs="Arial"/>
          <w:lang w:val="fr-MA"/>
        </w:rPr>
        <w:t xml:space="preserve"> </w:t>
      </w:r>
      <w:proofErr w:type="spellStart"/>
      <w:r w:rsidRPr="00D97369">
        <w:rPr>
          <w:rFonts w:ascii="Arial" w:hAnsi="Arial" w:cs="Arial"/>
          <w:lang w:val="fr-MA"/>
        </w:rPr>
        <w:t>dysplasia</w:t>
      </w:r>
      <w:proofErr w:type="spellEnd"/>
      <w:r w:rsidRPr="00D97369">
        <w:rPr>
          <w:rFonts w:ascii="Arial" w:hAnsi="Arial" w:cs="Arial"/>
          <w:lang w:val="fr-MA"/>
        </w:rPr>
        <w:t>), or a first-</w:t>
      </w:r>
      <w:proofErr w:type="spellStart"/>
      <w:r w:rsidRPr="00D97369">
        <w:rPr>
          <w:rFonts w:ascii="Arial" w:hAnsi="Arial" w:cs="Arial"/>
          <w:lang w:val="fr-MA"/>
        </w:rPr>
        <w:t>degree</w:t>
      </w:r>
      <w:proofErr w:type="spellEnd"/>
      <w:r w:rsidRPr="00D97369">
        <w:rPr>
          <w:rFonts w:ascii="Arial" w:hAnsi="Arial" w:cs="Arial"/>
          <w:lang w:val="fr-MA"/>
        </w:rPr>
        <w:t xml:space="preserve"> relative </w:t>
      </w:r>
      <w:proofErr w:type="spellStart"/>
      <w:r w:rsidRPr="00D97369">
        <w:rPr>
          <w:rFonts w:ascii="Arial" w:hAnsi="Arial" w:cs="Arial"/>
          <w:lang w:val="fr-MA"/>
        </w:rPr>
        <w:t>with</w:t>
      </w:r>
      <w:proofErr w:type="spellEnd"/>
      <w:r w:rsidRPr="00D97369">
        <w:rPr>
          <w:rFonts w:ascii="Arial" w:hAnsi="Arial" w:cs="Arial"/>
          <w:lang w:val="fr-MA"/>
        </w:rPr>
        <w:t xml:space="preserve"> NF1</w:t>
      </w:r>
      <w:r>
        <w:rPr>
          <w:rFonts w:ascii="Arial" w:hAnsi="Arial" w:cs="Arial"/>
          <w:lang w:val="fr-MA"/>
        </w:rPr>
        <w:fldChar w:fldCharType="begin"/>
      </w:r>
      <w:r>
        <w:rPr>
          <w:rFonts w:ascii="Arial" w:hAnsi="Arial" w:cs="Arial"/>
          <w:lang w:val="fr-MA"/>
        </w:rPr>
        <w:instrText xml:space="preserve"> ADDIN ZOTERO_ITEM CSL_CITATION {"citationID":"nwx5RcYi","properties":{"formattedCitation":"(2)","plainCitation":"(2)","noteIndex":0},"citationItems":[{"id":41,"uris":["http://zotero.org/users/local/7qifMvx1/items/AHWFLN9B"],"itemData":{"id":41,"type":"document","title":"pndsnf1final.pdf","URL":"https://www.has-sante.fr/upload/docs/application/pdf/2022-07/pndsnf1final.pdf","accessed":{"date-parts":[["2025",6,1]]}}}],"schema":"https://github.com/citation-style-language/schema/raw/master/csl-citation.json"} </w:instrText>
      </w:r>
      <w:r>
        <w:rPr>
          <w:rFonts w:ascii="Arial" w:hAnsi="Arial" w:cs="Arial"/>
          <w:lang w:val="fr-MA"/>
        </w:rPr>
        <w:fldChar w:fldCharType="separate"/>
      </w:r>
      <w:r w:rsidRPr="00D97369">
        <w:rPr>
          <w:rFonts w:ascii="Arial" w:hAnsi="Arial" w:cs="Arial"/>
        </w:rPr>
        <w:t>(2)</w:t>
      </w:r>
      <w:r>
        <w:rPr>
          <w:rFonts w:ascii="Arial" w:hAnsi="Arial" w:cs="Arial"/>
          <w:lang w:val="fr-MA"/>
        </w:rPr>
        <w:fldChar w:fldCharType="end"/>
      </w:r>
      <w:r>
        <w:rPr>
          <w:rFonts w:ascii="Arial" w:hAnsi="Arial" w:cs="Arial"/>
          <w:lang w:val="fr-MA"/>
        </w:rPr>
        <w:t>.</w:t>
      </w:r>
    </w:p>
    <w:p w14:paraId="29F60CC4" w14:textId="4FF33640" w:rsidR="00D97369" w:rsidRPr="00D97369" w:rsidRDefault="00D97369" w:rsidP="00D97369">
      <w:pPr>
        <w:pStyle w:val="Body"/>
        <w:rPr>
          <w:rFonts w:ascii="Arial" w:hAnsi="Arial" w:cs="Arial"/>
          <w:lang w:val="fr-MA"/>
        </w:rPr>
      </w:pPr>
      <w:proofErr w:type="spellStart"/>
      <w:r w:rsidRPr="00D97369">
        <w:rPr>
          <w:rFonts w:ascii="Arial" w:hAnsi="Arial" w:cs="Arial"/>
          <w:lang w:val="fr-MA"/>
        </w:rPr>
        <w:t>Neurofibromatosis</w:t>
      </w:r>
      <w:proofErr w:type="spellEnd"/>
      <w:r w:rsidRPr="00D97369">
        <w:rPr>
          <w:rFonts w:ascii="Arial" w:hAnsi="Arial" w:cs="Arial"/>
          <w:lang w:val="fr-MA"/>
        </w:rPr>
        <w:t xml:space="preserve"> type 2 (NF2): </w:t>
      </w:r>
      <w:proofErr w:type="spellStart"/>
      <w:r w:rsidRPr="00D97369">
        <w:rPr>
          <w:rFonts w:ascii="Arial" w:hAnsi="Arial" w:cs="Arial"/>
          <w:lang w:val="fr-MA"/>
        </w:rPr>
        <w:t>Caused</w:t>
      </w:r>
      <w:proofErr w:type="spellEnd"/>
      <w:r w:rsidRPr="00D97369">
        <w:rPr>
          <w:rFonts w:ascii="Arial" w:hAnsi="Arial" w:cs="Arial"/>
          <w:lang w:val="fr-MA"/>
        </w:rPr>
        <w:t xml:space="preserve"> by mutations in the NF2 </w:t>
      </w:r>
      <w:proofErr w:type="spellStart"/>
      <w:r w:rsidRPr="00D97369">
        <w:rPr>
          <w:rFonts w:ascii="Arial" w:hAnsi="Arial" w:cs="Arial"/>
          <w:lang w:val="fr-MA"/>
        </w:rPr>
        <w:t>gene</w:t>
      </w:r>
      <w:proofErr w:type="spellEnd"/>
      <w:r w:rsidRPr="00D97369">
        <w:rPr>
          <w:rFonts w:ascii="Arial" w:hAnsi="Arial" w:cs="Arial"/>
          <w:lang w:val="fr-MA"/>
        </w:rPr>
        <w:t xml:space="preserve"> (22q12.2), </w:t>
      </w:r>
      <w:proofErr w:type="spellStart"/>
      <w:r w:rsidRPr="00D97369">
        <w:rPr>
          <w:rFonts w:ascii="Arial" w:hAnsi="Arial" w:cs="Arial"/>
          <w:lang w:val="fr-MA"/>
        </w:rPr>
        <w:t>this</w:t>
      </w:r>
      <w:proofErr w:type="spellEnd"/>
      <w:r w:rsidRPr="00D97369">
        <w:rPr>
          <w:rFonts w:ascii="Arial" w:hAnsi="Arial" w:cs="Arial"/>
          <w:lang w:val="fr-MA"/>
        </w:rPr>
        <w:t xml:space="preserve"> </w:t>
      </w:r>
      <w:proofErr w:type="spellStart"/>
      <w:r w:rsidRPr="00D97369">
        <w:rPr>
          <w:rFonts w:ascii="Arial" w:hAnsi="Arial" w:cs="Arial"/>
          <w:lang w:val="fr-MA"/>
        </w:rPr>
        <w:t>rarer</w:t>
      </w:r>
      <w:proofErr w:type="spellEnd"/>
      <w:r w:rsidRPr="00D97369">
        <w:rPr>
          <w:rFonts w:ascii="Arial" w:hAnsi="Arial" w:cs="Arial"/>
          <w:lang w:val="fr-MA"/>
        </w:rPr>
        <w:t xml:space="preserve"> </w:t>
      </w:r>
      <w:proofErr w:type="spellStart"/>
      <w:r w:rsidRPr="00D97369">
        <w:rPr>
          <w:rFonts w:ascii="Arial" w:hAnsi="Arial" w:cs="Arial"/>
          <w:lang w:val="fr-MA"/>
        </w:rPr>
        <w:t>form</w:t>
      </w:r>
      <w:proofErr w:type="spellEnd"/>
      <w:r w:rsidRPr="00D97369">
        <w:rPr>
          <w:rFonts w:ascii="Arial" w:hAnsi="Arial" w:cs="Arial"/>
          <w:lang w:val="fr-MA"/>
        </w:rPr>
        <w:t xml:space="preserve"> </w:t>
      </w:r>
      <w:proofErr w:type="spellStart"/>
      <w:r w:rsidRPr="00D97369">
        <w:rPr>
          <w:rFonts w:ascii="Arial" w:hAnsi="Arial" w:cs="Arial"/>
          <w:lang w:val="fr-MA"/>
        </w:rPr>
        <w:t>is</w:t>
      </w:r>
      <w:proofErr w:type="spellEnd"/>
      <w:r w:rsidRPr="00D97369">
        <w:rPr>
          <w:rFonts w:ascii="Arial" w:hAnsi="Arial" w:cs="Arial"/>
          <w:lang w:val="fr-MA"/>
        </w:rPr>
        <w:t xml:space="preserve"> </w:t>
      </w:r>
      <w:proofErr w:type="spellStart"/>
      <w:r w:rsidRPr="00D97369">
        <w:rPr>
          <w:rFonts w:ascii="Arial" w:hAnsi="Arial" w:cs="Arial"/>
          <w:lang w:val="fr-MA"/>
        </w:rPr>
        <w:t>primarily</w:t>
      </w:r>
      <w:proofErr w:type="spellEnd"/>
      <w:r w:rsidRPr="00D97369">
        <w:rPr>
          <w:rFonts w:ascii="Arial" w:hAnsi="Arial" w:cs="Arial"/>
          <w:lang w:val="fr-MA"/>
        </w:rPr>
        <w:t xml:space="preserve"> </w:t>
      </w:r>
      <w:proofErr w:type="spellStart"/>
      <w:r w:rsidRPr="00D97369">
        <w:rPr>
          <w:rFonts w:ascii="Arial" w:hAnsi="Arial" w:cs="Arial"/>
          <w:lang w:val="fr-MA"/>
        </w:rPr>
        <w:t>associated</w:t>
      </w:r>
      <w:proofErr w:type="spellEnd"/>
      <w:r w:rsidRPr="00D97369">
        <w:rPr>
          <w:rFonts w:ascii="Arial" w:hAnsi="Arial" w:cs="Arial"/>
          <w:lang w:val="fr-MA"/>
        </w:rPr>
        <w:t xml:space="preserve"> </w:t>
      </w:r>
      <w:proofErr w:type="spellStart"/>
      <w:r w:rsidRPr="00D97369">
        <w:rPr>
          <w:rFonts w:ascii="Arial" w:hAnsi="Arial" w:cs="Arial"/>
          <w:lang w:val="fr-MA"/>
        </w:rPr>
        <w:t>with</w:t>
      </w:r>
      <w:proofErr w:type="spellEnd"/>
      <w:r w:rsidRPr="00D97369">
        <w:rPr>
          <w:rFonts w:ascii="Arial" w:hAnsi="Arial" w:cs="Arial"/>
          <w:lang w:val="fr-MA"/>
        </w:rPr>
        <w:t xml:space="preserve"> </w:t>
      </w:r>
      <w:proofErr w:type="spellStart"/>
      <w:r w:rsidRPr="00D97369">
        <w:rPr>
          <w:rFonts w:ascii="Arial" w:hAnsi="Arial" w:cs="Arial"/>
          <w:lang w:val="fr-MA"/>
        </w:rPr>
        <w:t>bilateral</w:t>
      </w:r>
      <w:proofErr w:type="spellEnd"/>
      <w:r w:rsidRPr="00D97369">
        <w:rPr>
          <w:rFonts w:ascii="Arial" w:hAnsi="Arial" w:cs="Arial"/>
          <w:lang w:val="fr-MA"/>
        </w:rPr>
        <w:t xml:space="preserve"> </w:t>
      </w:r>
      <w:proofErr w:type="spellStart"/>
      <w:r w:rsidRPr="00D97369">
        <w:rPr>
          <w:rFonts w:ascii="Arial" w:hAnsi="Arial" w:cs="Arial"/>
          <w:lang w:val="fr-MA"/>
        </w:rPr>
        <w:t>vestibular</w:t>
      </w:r>
      <w:proofErr w:type="spellEnd"/>
      <w:r w:rsidRPr="00D97369">
        <w:rPr>
          <w:rFonts w:ascii="Arial" w:hAnsi="Arial" w:cs="Arial"/>
          <w:lang w:val="fr-MA"/>
        </w:rPr>
        <w:t xml:space="preserve"> </w:t>
      </w:r>
      <w:proofErr w:type="spellStart"/>
      <w:r w:rsidRPr="00D97369">
        <w:rPr>
          <w:rFonts w:ascii="Arial" w:hAnsi="Arial" w:cs="Arial"/>
          <w:lang w:val="fr-MA"/>
        </w:rPr>
        <w:t>schwannomas</w:t>
      </w:r>
      <w:proofErr w:type="spellEnd"/>
      <w:r w:rsidRPr="00D97369">
        <w:rPr>
          <w:rFonts w:ascii="Arial" w:hAnsi="Arial" w:cs="Arial"/>
          <w:lang w:val="fr-MA"/>
        </w:rPr>
        <w:t xml:space="preserve">, </w:t>
      </w:r>
      <w:proofErr w:type="spellStart"/>
      <w:r w:rsidRPr="00D97369">
        <w:rPr>
          <w:rFonts w:ascii="Arial" w:hAnsi="Arial" w:cs="Arial"/>
          <w:lang w:val="fr-MA"/>
        </w:rPr>
        <w:t>intracranial</w:t>
      </w:r>
      <w:proofErr w:type="spellEnd"/>
      <w:r w:rsidRPr="00D97369">
        <w:rPr>
          <w:rFonts w:ascii="Arial" w:hAnsi="Arial" w:cs="Arial"/>
          <w:lang w:val="fr-MA"/>
        </w:rPr>
        <w:t xml:space="preserve"> </w:t>
      </w:r>
      <w:proofErr w:type="spellStart"/>
      <w:r w:rsidRPr="00D97369">
        <w:rPr>
          <w:rFonts w:ascii="Arial" w:hAnsi="Arial" w:cs="Arial"/>
          <w:lang w:val="fr-MA"/>
        </w:rPr>
        <w:t>meningiomas</w:t>
      </w:r>
      <w:proofErr w:type="spellEnd"/>
      <w:r w:rsidRPr="00D97369">
        <w:rPr>
          <w:rFonts w:ascii="Arial" w:hAnsi="Arial" w:cs="Arial"/>
          <w:lang w:val="fr-MA"/>
        </w:rPr>
        <w:t xml:space="preserve">, and spinal </w:t>
      </w:r>
      <w:proofErr w:type="spellStart"/>
      <w:r w:rsidRPr="00D97369">
        <w:rPr>
          <w:rFonts w:ascii="Arial" w:hAnsi="Arial" w:cs="Arial"/>
          <w:lang w:val="fr-MA"/>
        </w:rPr>
        <w:t>tumors</w:t>
      </w:r>
      <w:proofErr w:type="spellEnd"/>
      <w:r>
        <w:rPr>
          <w:rFonts w:ascii="Arial" w:hAnsi="Arial" w:cs="Arial"/>
          <w:lang w:val="fr-MA"/>
        </w:rPr>
        <w:fldChar w:fldCharType="begin"/>
      </w:r>
      <w:r>
        <w:rPr>
          <w:rFonts w:ascii="Arial" w:hAnsi="Arial" w:cs="Arial"/>
          <w:lang w:val="fr-MA"/>
        </w:rPr>
        <w:instrText xml:space="preserve"> ADDIN ZOTERO_ITEM CSL_CITATION {"citationID":"ndE2uUAu","properties":{"formattedCitation":"(3)","plainCitation":"(3)","noteIndex":0},"citationItems":[{"id":39,"uris":["http://zotero.org/users/local/7qifMvx1/items/VK2BTSRC"],"itemData":{"id":39,"type":"article-journal","abstract":"Malignant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tumors","volume":"19","author":[{"family":"Gupta","given":"Gaurav"},{"family":"Mammis","given":"Antonios"},{"family":"Maniker","given":"Allen"}],"issued":{"date-parts":[["2008",10]]}}}],"schema":"https://github.com/citation-style-language/schema/raw/master/csl-citation.json"} </w:instrText>
      </w:r>
      <w:r>
        <w:rPr>
          <w:rFonts w:ascii="Arial" w:hAnsi="Arial" w:cs="Arial"/>
          <w:lang w:val="fr-MA"/>
        </w:rPr>
        <w:fldChar w:fldCharType="separate"/>
      </w:r>
      <w:r w:rsidRPr="00D97369">
        <w:rPr>
          <w:rFonts w:ascii="Arial" w:hAnsi="Arial" w:cs="Arial"/>
        </w:rPr>
        <w:t>(3)</w:t>
      </w:r>
      <w:r>
        <w:rPr>
          <w:rFonts w:ascii="Arial" w:hAnsi="Arial" w:cs="Arial"/>
          <w:lang w:val="fr-MA"/>
        </w:rPr>
        <w:fldChar w:fldCharType="end"/>
      </w:r>
      <w:r>
        <w:rPr>
          <w:rFonts w:ascii="Arial" w:hAnsi="Arial" w:cs="Arial"/>
          <w:lang w:val="fr-MA"/>
        </w:rPr>
        <w:t>.</w:t>
      </w:r>
    </w:p>
    <w:p w14:paraId="2EE556AA" w14:textId="7ABE1BE8" w:rsidR="00AC34F0" w:rsidRDefault="00AC34F0" w:rsidP="00D97369">
      <w:pPr>
        <w:pStyle w:val="Body"/>
        <w:spacing w:after="0"/>
        <w:rPr>
          <w:rFonts w:ascii="Arial" w:hAnsi="Arial" w:cs="Arial"/>
        </w:rPr>
      </w:pPr>
      <w:r w:rsidRPr="00AC34F0">
        <w:rPr>
          <w:rFonts w:ascii="Arial" w:hAnsi="Arial" w:cs="Arial"/>
        </w:rPr>
        <w:t xml:space="preserve">Nodular fibromatosis, also known as superficial fibromatosis, refers to benign fibroblastic proliferations that can clinically and histologically resemble neurogenic tumors, especially when located in the hand. While both lesions are benign, the risk </w:t>
      </w:r>
      <w:r w:rsidRPr="00AC34F0">
        <w:rPr>
          <w:rFonts w:ascii="Arial" w:hAnsi="Arial" w:cs="Arial"/>
        </w:rPr>
        <w:lastRenderedPageBreak/>
        <w:t>of misdiagnosis is significant due to overlapping morphology, particularly in the presence of post-surgical scarring or limited biopsy samples</w:t>
      </w:r>
      <w:r>
        <w:rPr>
          <w:rFonts w:ascii="Arial" w:hAnsi="Arial" w:cs="Arial"/>
        </w:rPr>
        <w:fldChar w:fldCharType="begin"/>
      </w:r>
      <w:r w:rsidR="00D97369">
        <w:rPr>
          <w:rFonts w:ascii="Arial" w:hAnsi="Arial" w:cs="Arial"/>
        </w:rPr>
        <w:instrText xml:space="preserve"> ADDIN ZOTERO_ITEM CSL_CITATION {"citationID":"axmBVu1A","properties":{"formattedCitation":"(4)","plainCitation":"(4)","noteIndex":0},"citationItems":[{"id":26,"uris":["http://zotero.org/users/local/7qifMvx1/items/5JLCN8WX"],"itemData":{"id":26,"type":"book","abstract":"Here&amp;#39;s your ideal reference on the diagnosis of tumors of the skeletal muscles, connective tissue, fat, and related structures. No other textbook matches its scope and depth of coverage in this complex and challenging area of surgical pathology, and no other text contains as much practical information on differential diagnosis. Throughout, microscopic findings are correlated with the latest developments in molecular biology, cytogenetics, and immunohistochemistry to provide you with a comprehensive and integrated approach to evaluation and diagnosis. Almost 2,000 superb illustrations capture the appearance of a complete range of entities and help relate these to their specific classifications. The result is an essential resource for all who diagnose and treat soft tissue tumors.Get all the assistance you need, in one reference, to effectively diagnose these often complex and challenging entities.Confirm your diagnostic suspicions by comparing your findings to nearly 2,000 full-color, high-quality illustrations representing the complete range of soft tissue tumors.Access all of the essential clinical and prognostic data necessary to formulate complete sign-out reports.Make optimal use of relevant ancillary techniques such as immunohistochemistry and cytogenetics.Make rapid and effective decisions with the aid of extensive algorithms, and access information at a glance with abundant tables and graphs.Solve difficult diagnostic dilemmas and avoid pitfalls with a special emphasis on overcoming these challenges.Find answers quickly thanks to a new color-coded page design as well as a consistent approach to every entity.Download all of the illustrations from the book for use in electronic presentations with the new bonus CD-ROM.Apply the latest knowledge on FNA biopsy, molecular biology, and cytogenetics.Understand complex molecular events more fully thanks to new conceptual line drawings.Easily distinguish between entities that have a similar appearance with the assistance of new tables that correlate histologic, immunohistochemical, and molecular biologic findings.Navigate through the book quickly thanks to new summary outlines at the beginning of each chapter.","ISBN":"978-0-323-07615-9","language":"en","note":"Google-Books-ID: 8zIuQzik8WAC","number-of-pages":"2815","publisher":"Elsevier Health Sciences","source":"Google Books","title":"Enzinger and Weiss's Soft Tissue Tumors","author":[{"family":"Weiss","given":"Sharon W."},{"family":"Goldblum","given":"John R."},{"family":"Folpe","given":"Andrew L."}],"issued":{"date-parts":[["2007",11,29]]}}}],"schema":"https://github.com/citation-style-language/schema/raw/master/csl-citation.json"} </w:instrText>
      </w:r>
      <w:r>
        <w:rPr>
          <w:rFonts w:ascii="Arial" w:hAnsi="Arial" w:cs="Arial"/>
        </w:rPr>
        <w:fldChar w:fldCharType="separate"/>
      </w:r>
      <w:r w:rsidR="00D97369" w:rsidRPr="00D97369">
        <w:rPr>
          <w:rFonts w:ascii="Arial" w:hAnsi="Arial" w:cs="Arial"/>
        </w:rPr>
        <w:t>(4)</w:t>
      </w:r>
      <w:r>
        <w:rPr>
          <w:rFonts w:ascii="Arial" w:hAnsi="Arial" w:cs="Arial"/>
        </w:rPr>
        <w:fldChar w:fldCharType="end"/>
      </w:r>
      <w:r>
        <w:rPr>
          <w:rFonts w:ascii="Arial" w:hAnsi="Arial" w:cs="Arial"/>
        </w:rPr>
        <w:t>.</w:t>
      </w:r>
    </w:p>
    <w:p w14:paraId="2927CE57" w14:textId="5303970D" w:rsidR="00790ADA" w:rsidRDefault="00502E88" w:rsidP="00D97369">
      <w:pPr>
        <w:pStyle w:val="Body"/>
        <w:spacing w:after="0"/>
        <w:rPr>
          <w:rFonts w:ascii="Arial" w:hAnsi="Arial" w:cs="Arial"/>
        </w:rPr>
      </w:pPr>
      <w:r w:rsidRPr="00A40E21">
        <w:rPr>
          <w:rFonts w:ascii="Arial" w:hAnsi="Arial" w:cs="Arial"/>
        </w:rPr>
        <w:t xml:space="preserve">Nodular fibromatosis and </w:t>
      </w:r>
      <w:r w:rsidR="00FC5E79" w:rsidRPr="00A40E21">
        <w:rPr>
          <w:rFonts w:ascii="Arial" w:hAnsi="Arial" w:cs="Arial"/>
        </w:rPr>
        <w:t>NFs</w:t>
      </w:r>
      <w:r w:rsidRPr="00A40E21">
        <w:rPr>
          <w:rFonts w:ascii="Arial" w:hAnsi="Arial" w:cs="Arial"/>
        </w:rPr>
        <w:t>, when located in the hand and can mimic other more common conditions</w:t>
      </w:r>
      <w:r w:rsidR="00166422" w:rsidRPr="00A40E21">
        <w:rPr>
          <w:rFonts w:ascii="Arial" w:hAnsi="Arial" w:cs="Arial"/>
        </w:rPr>
        <w:t xml:space="preserve"> </w:t>
      </w:r>
      <w:r w:rsidR="00166422" w:rsidRPr="00A40E21">
        <w:rPr>
          <w:color w:val="000000"/>
        </w:rPr>
        <w:t>differential diagnosis is crucial, particularly in the absence of pathognomonic signs or family history, and may require immunohistochemical profiling</w:t>
      </w:r>
      <w:r w:rsidR="00373CF1" w:rsidRPr="00A40E21">
        <w:rPr>
          <w:rFonts w:ascii="Arial" w:hAnsi="Arial" w:cs="Arial"/>
        </w:rPr>
        <w:fldChar w:fldCharType="begin"/>
      </w:r>
      <w:r w:rsidR="00D97369">
        <w:rPr>
          <w:rFonts w:ascii="Arial" w:hAnsi="Arial" w:cs="Arial"/>
        </w:rPr>
        <w:instrText xml:space="preserve"> ADDIN ZOTERO_ITEM CSL_CITATION {"citationID":"nzLzKdBL","properties":{"formattedCitation":"(5,6)","plainCitation":"(5,6)","noteIndex":0},"citationItems":[{"id":21,"uris":["http://zotero.org/users/local/7qifMvx1/items/3HZ43CXP"],"itemData":{"id":21,"type":"book","ISBN":"978-92-832-2434-1","language":"en","source":"publications.iarc.fr","title":"WHO Classification of Tumours of Soft Tissue and Bone","URL":"https://publications.iarc.fr/Book-And-Report-Series/Who-Classification-Of-Tumours/WHO-Classification-Of-Tumours-Of-Soft-Tissue-And-Bone-2013","author":[{"family":"CDM","given":"Fletcher"},{"family":"JA","given":"Bridge"},{"family":"PCW","given":"Hogendoorn"},{"family":"F","given":"Mertens"}],"accessed":{"date-parts":[["2025",6,1]]}},"label":"page"},{"id":28,"uris":["http://zotero.org/users/local/7qifMvx1/items/I955MCQV"],"itemData":{"id":28,"type":"article-journal","abstract":"Tumor-like conditions of the hand and upper extremity typically present as masses and can be confused as more serious conditions. The differential diagnosis of these lesions can cross over with many more commonly recognized benign and malignant upper limb tumors, and it is, therefore, important for the hand surgeon to be familiar with tumor-like conditions. The diagnosis of these lesions often can be made on clinical grounds supported by a careful physical examination and plain film radiography. Advanced imaging and excisional biopsy may be needed in many circumstances to secure the diagnosis given their similarity with bone and soft tissue sarcomas.","container-title":"The Journal of Hand Surgery","DOI":"10.1016/j.jhsa.2017.09.012","ISSN":"1531-6564","issue":"12","journalAbbreviation":"J Hand Surg Am","language":"eng","note":"PMID: 29089162","page":"1009-1017","source":"PubMed","title":"Tumor-Like Conditions of the Hand and Upper Extremity","volume":"42","author":[{"family":"Sherman","given":"Courtney E."},{"family":"Murray","given":"Peter M."}],"issued":{"date-parts":[["2017",12]]}},"label":"page"}],"schema":"https://github.com/citation-style-language/schema/raw/master/csl-citation.json"} </w:instrText>
      </w:r>
      <w:r w:rsidR="00373CF1" w:rsidRPr="00A40E21">
        <w:rPr>
          <w:rFonts w:ascii="Arial" w:hAnsi="Arial" w:cs="Arial"/>
        </w:rPr>
        <w:fldChar w:fldCharType="separate"/>
      </w:r>
      <w:r w:rsidR="00D97369" w:rsidRPr="00D97369">
        <w:rPr>
          <w:rFonts w:ascii="Arial" w:hAnsi="Arial" w:cs="Arial"/>
        </w:rPr>
        <w:t>(5,6)</w:t>
      </w:r>
      <w:r w:rsidR="00373CF1" w:rsidRPr="00A40E21">
        <w:rPr>
          <w:rFonts w:ascii="Arial" w:hAnsi="Arial" w:cs="Arial"/>
        </w:rPr>
        <w:fldChar w:fldCharType="end"/>
      </w:r>
      <w:r w:rsidRPr="00A40E21">
        <w:rPr>
          <w:rFonts w:ascii="Arial" w:hAnsi="Arial" w:cs="Arial"/>
        </w:rPr>
        <w:t>. Recurrent cases necessitate a thorough re-evaluation, especially in the context of multifocal involvement and atypical progression</w:t>
      </w:r>
      <w:r w:rsidR="00373CF1" w:rsidRPr="00A40E21">
        <w:rPr>
          <w:rFonts w:ascii="Arial" w:hAnsi="Arial" w:cs="Arial"/>
        </w:rPr>
        <w:fldChar w:fldCharType="begin"/>
      </w:r>
      <w:r w:rsidR="00D97369">
        <w:rPr>
          <w:rFonts w:ascii="Arial" w:hAnsi="Arial" w:cs="Arial"/>
        </w:rPr>
        <w:instrText xml:space="preserve"> ADDIN ZOTERO_ITEM CSL_CITATION {"citationID":"JuVdblqJ","properties":{"formattedCitation":"(4,7)","plainCitation":"(4,7)","noteIndex":0},"citationItems":[{"id":23,"uris":["http://zotero.org/users/local/7qifMvx1/items/MEFUYBGG"],"itemData":{"id":23,"type":"article-journal","abstract":"Peripheral nerve sheath tumors are common neoplasms, with classic identifiable features, but on occasion, they are diagnostically challenging. Although well-defined subtypes of peripheral nerve sheath tumors were described early in the history of surgical pathology, controversies regarding the classification and grading of these tumors persist. Advances in molecular biology have provided new insights into the nature of the various peripheral nerve sheath tumors, and have begun to suggest novel targeted therapeutic approaches. In this review, we discuss current concepts and problematic areas in the pathology of peripheral nerve sheath tumors. Diagnostic criteria and differential diagnosis for the major categories of nerve sheath tumors are proposed, including neurofibroma, schwannoma, and perineurioma. Diagnostically challenging variants, including plexiform, cellular and melanotic schwannomas are highlighted. A subset of these affects the childhood population, and has historically been interpreted as malignant, although current evidence and outcome data suggest they represent benign entities. The growing current literature and the author's experience with difficult to classify borderline or \"hybrid tumors\" are discussed and illustrated. Some of these classification gray zones occur with frequency in the gastrointestinal tract, an anatomical compartment that must always be entertained when examining these neoplasms. Other growing recent areas of interest include the heterogeneous group of pseudoneoplastic lesions involving peripheral nerve composed of mature adipose tissue and/or skeletal muscle, such as the enigmatic neuromuscular choristoma. Malignant peripheral nerve sheath tumors (MPNST) represent a diagnostically controversial group; difficulties in grading and guidelines to separate \"atypical neurofibroma\" from MPNST are provided. There is an increasing literature of MPNST mimics which neuropathologists must be aware of, including synovial sarcoma and ossifying fibromyxoid tumor. Finally, we discuss entities that are lacking from the section on cranial and paraspinal nerves in the current WHO classification, and that may warrant inclusion in future classifications. In summary, although the diagnosis and classification of most conventional peripheral nerve sheath tumors are relatively straightforward for the experienced observer, yet borderline and difficult-to-classify neoplasms continue to be problematic. In the current review, we attempt to provide some useful guidelines for the surgical neuropathologist to help navigate these persistent, challenging problems.","container-title":"Acta Neuropathologica","DOI":"10.1007/s00401-012-0954-z","ISSN":"1432-0533","issue":"3","journalAbbreviation":"Acta Neuropathol","language":"eng","note":"PMID: 22327363\nPMCID: PMC3629555","page":"295-319","source":"PubMed","title":"Pathology of peripheral nerve sheath tumors: diagnostic overview and update on selected diagnostic problems","title-short":"Pathology of peripheral nerve sheath tumors","volume":"123","author":[{"family":"Rodriguez","given":"Fausto J."},{"family":"Folpe","given":"Andrew L."},{"family":"Giannini","given":"Caterina"},{"family":"Perry","given":"Arie"}],"issued":{"date-parts":[["2012",3]]}},"label":"page"},{"id":26,"uris":["http://zotero.org/users/local/7qifMvx1/items/5JLCN8WX"],"itemData":{"id":26,"type":"book","abstract":"Here&amp;#39;s your ideal reference on the diagnosis of tumors of the skeletal muscles, connective tissue, fat, and related structures. No other textbook matches its scope and depth of coverage in this complex and challenging area of surgical pathology, and no other text contains as much practical information on differential diagnosis. Throughout, microscopic findings are correlated with the latest developments in molecular biology, cytogenetics, and immunohistochemistry to provide you with a comprehensive and integrated approach to evaluation and diagnosis. Almost 2,000 superb illustrations capture the appearance of a complete range of entities and help relate these to their specific classifications. The result is an essential resource for all who diagnose and treat soft tissue tumors.Get all the assistance you need, in one reference, to effectively diagnose these often complex and challenging entities.Confirm your diagnostic suspicions by comparing your findings to nearly 2,000 full-color, high-quality illustrations representing the complete range of soft tissue tumors.Access all of the essential clinical and prognostic data necessary to formulate complete sign-out reports.Make optimal use of relevant ancillary techniques such as immunohistochemistry and cytogenetics.Make rapid and effective decisions with the aid of extensive algorithms, and access information at a glance with abundant tables and graphs.Solve difficult diagnostic dilemmas and avoid pitfalls with a special emphasis on overcoming these challenges.Find answers quickly thanks to a new color-coded page design as well as a consistent approach to every entity.Download all of the illustrations from the book for use in electronic presentations with the new bonus CD-ROM.Apply the latest knowledge on FNA biopsy, molecular biology, and cytogenetics.Understand complex molecular events more fully thanks to new conceptual line drawings.Easily distinguish between entities that have a similar appearance with the assistance of new tables that correlate histologic, immunohistochemical, and molecular biologic findings.Navigate through the book quickly thanks to new summary outlines at the beginning of each chapter.","ISBN":"978-0-323-07615-9","language":"en","note":"Google-Books-ID: 8zIuQzik8WAC","number-of-pages":"2815","publisher":"Elsevier Health Sciences","source":"Google Books","title":"Enzinger and Weiss's Soft Tissue Tumors","author":[{"family":"Weiss","given":"Sharon W."},{"family":"Goldblum","given":"John R."},{"family":"Folpe","given":"Andrew L."}],"issued":{"date-parts":[["2007",11,29]]}},"label":"page"}],"schema":"https://github.com/citation-style-language/schema/raw/master/csl-citation.json"} </w:instrText>
      </w:r>
      <w:r w:rsidR="00373CF1" w:rsidRPr="00A40E21">
        <w:rPr>
          <w:rFonts w:ascii="Arial" w:hAnsi="Arial" w:cs="Arial"/>
        </w:rPr>
        <w:fldChar w:fldCharType="separate"/>
      </w:r>
      <w:r w:rsidR="00D97369" w:rsidRPr="00D97369">
        <w:rPr>
          <w:rFonts w:ascii="Arial" w:hAnsi="Arial" w:cs="Arial"/>
        </w:rPr>
        <w:t>(4,7)</w:t>
      </w:r>
      <w:r w:rsidR="00373CF1" w:rsidRPr="00A40E21">
        <w:rPr>
          <w:rFonts w:ascii="Arial" w:hAnsi="Arial" w:cs="Arial"/>
        </w:rPr>
        <w:fldChar w:fldCharType="end"/>
      </w:r>
      <w:r w:rsidRPr="00A40E21">
        <w:rPr>
          <w:rFonts w:ascii="Arial" w:hAnsi="Arial" w:cs="Arial"/>
        </w:rPr>
        <w:t>.</w:t>
      </w:r>
    </w:p>
    <w:p w14:paraId="1CC9D8EC" w14:textId="77777777" w:rsidR="00502E88" w:rsidRPr="00FB3A86" w:rsidRDefault="00502E88" w:rsidP="00441B6F">
      <w:pPr>
        <w:pStyle w:val="Body"/>
        <w:spacing w:after="0"/>
        <w:rPr>
          <w:rFonts w:ascii="Arial" w:hAnsi="Arial" w:cs="Arial"/>
        </w:rPr>
      </w:pPr>
    </w:p>
    <w:p w14:paraId="7723B5EB" w14:textId="452114E9" w:rsidR="007F7B32" w:rsidRDefault="00902823" w:rsidP="00441B6F">
      <w:pPr>
        <w:pStyle w:val="AbstHead"/>
        <w:spacing w:after="0"/>
        <w:jc w:val="both"/>
        <w:rPr>
          <w:rFonts w:ascii="Arial" w:hAnsi="Arial" w:cs="Arial"/>
        </w:rPr>
      </w:pPr>
      <w:r>
        <w:rPr>
          <w:rFonts w:ascii="Arial" w:hAnsi="Arial" w:cs="Arial"/>
        </w:rPr>
        <w:t xml:space="preserve">2. </w:t>
      </w:r>
      <w:r w:rsidR="00502E88">
        <w:rPr>
          <w:rFonts w:ascii="Arial" w:hAnsi="Arial" w:cs="Arial"/>
        </w:rPr>
        <w:t>c</w:t>
      </w:r>
      <w:r>
        <w:rPr>
          <w:rFonts w:ascii="Arial" w:hAnsi="Arial" w:cs="Arial"/>
        </w:rPr>
        <w:t>a</w:t>
      </w:r>
      <w:r w:rsidR="00502E88">
        <w:rPr>
          <w:rFonts w:ascii="Arial" w:hAnsi="Arial" w:cs="Arial"/>
        </w:rPr>
        <w:t>se presentation</w:t>
      </w:r>
    </w:p>
    <w:p w14:paraId="2219BE69" w14:textId="77777777" w:rsidR="00502E88" w:rsidRDefault="00502E88" w:rsidP="00502E88">
      <w:pPr>
        <w:pStyle w:val="Body"/>
        <w:rPr>
          <w:rFonts w:ascii="Arial" w:eastAsia="Calibri" w:hAnsi="Arial" w:cs="Arial"/>
          <w:szCs w:val="22"/>
        </w:rPr>
      </w:pPr>
    </w:p>
    <w:p w14:paraId="5903D92F" w14:textId="77777777" w:rsidR="00650BC9" w:rsidRDefault="00650BC9" w:rsidP="00650BC9">
      <w:pPr>
        <w:pStyle w:val="Body"/>
        <w:rPr>
          <w:rFonts w:ascii="Arial" w:eastAsia="Calibri" w:hAnsi="Arial" w:cs="Arial"/>
          <w:szCs w:val="22"/>
        </w:rPr>
      </w:pPr>
      <w:r w:rsidRPr="00650BC9">
        <w:rPr>
          <w:rFonts w:ascii="Arial" w:eastAsia="Calibri" w:hAnsi="Arial" w:cs="Arial"/>
          <w:szCs w:val="22"/>
        </w:rPr>
        <w:t>In December 2018, a 22-year-old right-handed female university student presented with a firm, non-inflammatory, mildly painful nodule measuring approximately 1 cm on the dorsal aspect of the right index finger at the level of the distal interphalangeal (DIP) joint. The patient reported no significant past medical or surgical history. Standard radiography revealed no osseous abnormalities. Ultrasonography demonstrated a hyperechoic lesion, leading to complete surgical excision (Figure 1). Histopathological analysis identified a cicatricial nodule consistent with tendon rupture, without evidence of malignancy.</w:t>
      </w:r>
    </w:p>
    <w:p w14:paraId="0171126C" w14:textId="5EBC5A19" w:rsidR="00502E88" w:rsidRPr="00502E88" w:rsidRDefault="00D33018" w:rsidP="00650BC9">
      <w:pPr>
        <w:pStyle w:val="Body"/>
        <w:rPr>
          <w:rFonts w:ascii="Arial" w:eastAsia="Calibri" w:hAnsi="Arial" w:cs="Arial"/>
          <w:szCs w:val="22"/>
        </w:rPr>
      </w:pPr>
      <w:r>
        <w:rPr>
          <w:rFonts w:ascii="Arial" w:eastAsia="Calibri" w:hAnsi="Arial" w:cs="Arial"/>
          <w:szCs w:val="22"/>
        </w:rPr>
        <w:t>I</w:t>
      </w:r>
      <w:r w:rsidR="00502E88" w:rsidRPr="00502E88">
        <w:rPr>
          <w:rFonts w:ascii="Arial" w:eastAsia="Calibri" w:hAnsi="Arial" w:cs="Arial"/>
          <w:szCs w:val="22"/>
        </w:rPr>
        <w:t>n June 2019, the patient experienced a recurrence of the mass, now accompanied by signs of complex regional pain syndrome (</w:t>
      </w:r>
      <w:proofErr w:type="spellStart"/>
      <w:r w:rsidR="00502E88" w:rsidRPr="00502E88">
        <w:rPr>
          <w:rFonts w:ascii="Arial" w:eastAsia="Calibri" w:hAnsi="Arial" w:cs="Arial"/>
          <w:szCs w:val="22"/>
        </w:rPr>
        <w:t>algodystrophy</w:t>
      </w:r>
      <w:proofErr w:type="spellEnd"/>
      <w:r w:rsidR="00502E88" w:rsidRPr="00502E88">
        <w:rPr>
          <w:rFonts w:ascii="Arial" w:eastAsia="Calibri" w:hAnsi="Arial" w:cs="Arial"/>
          <w:szCs w:val="22"/>
        </w:rPr>
        <w:t>)</w:t>
      </w:r>
      <w:r w:rsidR="00D35FA2">
        <w:rPr>
          <w:rFonts w:ascii="Arial" w:eastAsia="Calibri" w:hAnsi="Arial" w:cs="Arial"/>
          <w:szCs w:val="22"/>
        </w:rPr>
        <w:t xml:space="preserve"> </w:t>
      </w:r>
      <w:r w:rsidR="00AD3E7C" w:rsidRPr="00835588">
        <w:rPr>
          <w:rFonts w:ascii="Arial" w:eastAsia="Calibri" w:hAnsi="Arial" w:cs="Arial"/>
          <w:i/>
          <w:iCs/>
          <w:szCs w:val="22"/>
        </w:rPr>
        <w:t>(Fig</w:t>
      </w:r>
      <w:r w:rsidR="00835588">
        <w:rPr>
          <w:rFonts w:ascii="Arial" w:eastAsia="Calibri" w:hAnsi="Arial" w:cs="Arial"/>
          <w:i/>
          <w:iCs/>
          <w:szCs w:val="22"/>
        </w:rPr>
        <w:t>ure 2</w:t>
      </w:r>
      <w:r w:rsidR="00835588" w:rsidRPr="00835588">
        <w:rPr>
          <w:rFonts w:ascii="Arial" w:eastAsia="Calibri" w:hAnsi="Arial" w:cs="Arial"/>
          <w:i/>
          <w:iCs/>
          <w:szCs w:val="22"/>
        </w:rPr>
        <w:t>)</w:t>
      </w:r>
      <w:r w:rsidR="00D35FA2">
        <w:rPr>
          <w:rFonts w:ascii="Arial" w:eastAsia="Calibri" w:hAnsi="Arial" w:cs="Arial"/>
          <w:i/>
          <w:iCs/>
          <w:szCs w:val="22"/>
        </w:rPr>
        <w:t>.</w:t>
      </w:r>
      <w:r w:rsidR="00502E88" w:rsidRPr="00502E88">
        <w:rPr>
          <w:rFonts w:ascii="Arial" w:eastAsia="Calibri" w:hAnsi="Arial" w:cs="Arial"/>
          <w:szCs w:val="22"/>
        </w:rPr>
        <w:t xml:space="preserve"> A second biopsy indicated nodular fibromatosis. Despite post-operative orthotic treatment, </w:t>
      </w:r>
      <w:proofErr w:type="gramStart"/>
      <w:r w:rsidR="00502E88" w:rsidRPr="00502E88">
        <w:rPr>
          <w:rFonts w:ascii="Arial" w:eastAsia="Calibri" w:hAnsi="Arial" w:cs="Arial"/>
          <w:szCs w:val="22"/>
        </w:rPr>
        <w:t>a mallet</w:t>
      </w:r>
      <w:proofErr w:type="gramEnd"/>
      <w:r w:rsidR="00502E88" w:rsidRPr="00502E88">
        <w:rPr>
          <w:rFonts w:ascii="Arial" w:eastAsia="Calibri" w:hAnsi="Arial" w:cs="Arial"/>
          <w:szCs w:val="22"/>
        </w:rPr>
        <w:t xml:space="preserve"> finger deformity developed.</w:t>
      </w:r>
    </w:p>
    <w:p w14:paraId="7A1A1693" w14:textId="1637FB29" w:rsidR="00650BC9" w:rsidRDefault="00650BC9" w:rsidP="001A6FEE">
      <w:pPr>
        <w:pStyle w:val="Body"/>
      </w:pPr>
      <w:r>
        <w:t>In 2020, a third recurrence was documented, with the emergence of two additional nodules along the extensor pathway of the right index finger.</w:t>
      </w:r>
      <w:r w:rsidR="00FF5E90" w:rsidRPr="00FF5E90">
        <w:rPr>
          <w:rFonts w:ascii="Arial" w:hAnsi="Arial" w:cs="Arial"/>
        </w:rPr>
        <w:t xml:space="preserve"> </w:t>
      </w:r>
      <w:r w:rsidR="00FF5E90" w:rsidRPr="00FC5E79">
        <w:rPr>
          <w:rFonts w:ascii="Arial" w:hAnsi="Arial" w:cs="Arial"/>
        </w:rPr>
        <w:t xml:space="preserve">Magnetic resonance </w:t>
      </w:r>
      <w:proofErr w:type="gramStart"/>
      <w:r w:rsidR="00FF5E90" w:rsidRPr="00FC5E79">
        <w:rPr>
          <w:rFonts w:ascii="Arial" w:hAnsi="Arial" w:cs="Arial"/>
        </w:rPr>
        <w:t>imaging</w:t>
      </w:r>
      <w:r w:rsidR="00FF5E90">
        <w:t>(</w:t>
      </w:r>
      <w:proofErr w:type="gramEnd"/>
      <w:r>
        <w:t>MRI</w:t>
      </w:r>
      <w:r w:rsidR="00FF5E90">
        <w:t>)</w:t>
      </w:r>
      <w:r>
        <w:t xml:space="preserve"> confirmed the presence of multifocal nodular fibromatosis</w:t>
      </w:r>
      <w:r w:rsidR="00D35FA2">
        <w:t xml:space="preserve"> (</w:t>
      </w:r>
      <w:r w:rsidR="00D35FA2" w:rsidRPr="00D35FA2">
        <w:rPr>
          <w:i/>
          <w:iCs/>
        </w:rPr>
        <w:t>Figure</w:t>
      </w:r>
      <w:r w:rsidR="00D35FA2">
        <w:t xml:space="preserve"> 3)</w:t>
      </w:r>
      <w:r>
        <w:t>. Surgical excision was performed, and histopathological findings were consistent with fibromatosis.</w:t>
      </w:r>
    </w:p>
    <w:p w14:paraId="21CD49C5" w14:textId="248AC0FB" w:rsidR="001A6FEE" w:rsidRDefault="00502E88" w:rsidP="001A6FEE">
      <w:pPr>
        <w:pStyle w:val="Body"/>
        <w:rPr>
          <w:rFonts w:ascii="Arial" w:eastAsia="Calibri" w:hAnsi="Arial" w:cs="Arial"/>
          <w:szCs w:val="22"/>
        </w:rPr>
      </w:pPr>
      <w:r w:rsidRPr="00502E88">
        <w:rPr>
          <w:rFonts w:ascii="Arial" w:eastAsia="Calibri" w:hAnsi="Arial" w:cs="Arial"/>
          <w:szCs w:val="22"/>
        </w:rPr>
        <w:t>By 2022, the patient had developed three new masses along the index finger. Following partial resection, she exhibited joint stiffness and a recurrent mallet finger deformity. Histology was not available.</w:t>
      </w:r>
    </w:p>
    <w:p w14:paraId="2D65CB45" w14:textId="47F33CEF" w:rsidR="001A6FEE" w:rsidRPr="001A6FEE" w:rsidRDefault="00166422" w:rsidP="001A6FEE">
      <w:pPr>
        <w:pStyle w:val="Body"/>
        <w:rPr>
          <w:rFonts w:ascii="Arial" w:eastAsia="Calibri" w:hAnsi="Arial" w:cs="Arial"/>
          <w:szCs w:val="22"/>
        </w:rPr>
      </w:pPr>
      <w:r w:rsidRPr="00166422">
        <w:rPr>
          <w:rFonts w:ascii="Arial" w:eastAsia="Calibri" w:hAnsi="Arial" w:cs="Arial"/>
          <w:szCs w:val="22"/>
        </w:rPr>
        <w:t>In 2024, a fourth recurrence involved a 2 cm lesion on the index finger and a 5 cm mass over the dorsal aspect of the hand with a positive Tinel sign (</w:t>
      </w:r>
      <w:r w:rsidRPr="00D35FA2">
        <w:rPr>
          <w:rFonts w:ascii="Arial" w:eastAsia="Calibri" w:hAnsi="Arial" w:cs="Arial"/>
          <w:i/>
          <w:iCs/>
          <w:szCs w:val="22"/>
        </w:rPr>
        <w:t>Figure</w:t>
      </w:r>
      <w:r w:rsidR="00D35FA2">
        <w:rPr>
          <w:rFonts w:ascii="Arial" w:eastAsia="Calibri" w:hAnsi="Arial" w:cs="Arial"/>
          <w:szCs w:val="22"/>
        </w:rPr>
        <w:t xml:space="preserve"> 4</w:t>
      </w:r>
      <w:r w:rsidRPr="00166422">
        <w:rPr>
          <w:rFonts w:ascii="Arial" w:eastAsia="Calibri" w:hAnsi="Arial" w:cs="Arial"/>
          <w:szCs w:val="22"/>
        </w:rPr>
        <w:t xml:space="preserve">). Surgical biopsy of seven tissue fragments finally revealed histological features consistent with </w:t>
      </w:r>
      <w:proofErr w:type="gramStart"/>
      <w:r w:rsidRPr="00166422">
        <w:rPr>
          <w:rFonts w:ascii="Arial" w:eastAsia="Calibri" w:hAnsi="Arial" w:cs="Arial"/>
          <w:szCs w:val="22"/>
        </w:rPr>
        <w:t>neurofibroma</w:t>
      </w:r>
      <w:r w:rsidR="00FF5E90">
        <w:rPr>
          <w:rFonts w:ascii="Arial" w:eastAsia="Calibri" w:hAnsi="Arial" w:cs="Arial"/>
          <w:szCs w:val="22"/>
        </w:rPr>
        <w:t>(</w:t>
      </w:r>
      <w:proofErr w:type="gramEnd"/>
      <w:r w:rsidR="00FF5E90">
        <w:rPr>
          <w:rFonts w:ascii="Arial" w:eastAsia="Calibri" w:hAnsi="Arial" w:cs="Arial"/>
          <w:szCs w:val="22"/>
        </w:rPr>
        <w:t>NF)</w:t>
      </w:r>
      <w:r w:rsidRPr="00166422">
        <w:rPr>
          <w:rFonts w:ascii="Arial" w:eastAsia="Calibri" w:hAnsi="Arial" w:cs="Arial"/>
          <w:szCs w:val="22"/>
        </w:rPr>
        <w:t xml:space="preserve">. Immunohistochemical </w:t>
      </w:r>
      <w:r w:rsidRPr="00A40E21">
        <w:rPr>
          <w:rFonts w:ascii="Arial" w:eastAsia="Calibri" w:hAnsi="Arial" w:cs="Arial"/>
          <w:szCs w:val="22"/>
        </w:rPr>
        <w:t>staining, including S100 protein, was used and confirmed the diagnosis</w:t>
      </w:r>
      <w:r w:rsidR="00502E88" w:rsidRPr="00A40E21">
        <w:rPr>
          <w:rFonts w:ascii="Arial" w:eastAsia="Calibri" w:hAnsi="Arial" w:cs="Arial"/>
          <w:szCs w:val="22"/>
        </w:rPr>
        <w:t>.</w:t>
      </w:r>
    </w:p>
    <w:p w14:paraId="732C7C90" w14:textId="141D98FF" w:rsidR="001A6FEE" w:rsidRDefault="001A6FEE" w:rsidP="001A6FEE">
      <w:pPr>
        <w:rPr>
          <w:rFonts w:ascii="Arial" w:hAnsi="Arial"/>
        </w:rPr>
      </w:pPr>
      <w:r>
        <w:rPr>
          <w:rFonts w:ascii="Arial" w:hAnsi="Arial"/>
        </w:rPr>
        <w:t xml:space="preserve">The diagnosis evolved over time through several recurrences. Initial imaging (X-rays and ultrasounds) showed soft tissue masses without bone </w:t>
      </w:r>
      <w:proofErr w:type="gramStart"/>
      <w:r>
        <w:rPr>
          <w:rFonts w:ascii="Arial" w:hAnsi="Arial"/>
        </w:rPr>
        <w:t>involvement .</w:t>
      </w:r>
      <w:proofErr w:type="gramEnd"/>
      <w:r>
        <w:rPr>
          <w:rFonts w:ascii="Arial" w:hAnsi="Arial"/>
        </w:rPr>
        <w:t xml:space="preserve"> MRI in 2020 suggested multifocal nodular fibromatosis. Histopathological findings initially showed cicatricial nodule and </w:t>
      </w:r>
      <w:proofErr w:type="gramStart"/>
      <w:r>
        <w:rPr>
          <w:rFonts w:ascii="Arial" w:hAnsi="Arial"/>
        </w:rPr>
        <w:t>fibromatosis ,</w:t>
      </w:r>
      <w:proofErr w:type="gramEnd"/>
      <w:r>
        <w:rPr>
          <w:rFonts w:ascii="Arial" w:hAnsi="Arial"/>
        </w:rPr>
        <w:t xml:space="preserve"> but the final recurrence in 2024 revealed </w:t>
      </w:r>
      <w:r w:rsidR="00FF5E90">
        <w:rPr>
          <w:rFonts w:ascii="Arial" w:hAnsi="Arial"/>
        </w:rPr>
        <w:t>NF</w:t>
      </w:r>
    </w:p>
    <w:p w14:paraId="4A499F23" w14:textId="77777777" w:rsidR="001A6FEE" w:rsidRPr="001A6FEE" w:rsidRDefault="001A6FEE" w:rsidP="001A6FEE"/>
    <w:p w14:paraId="162928F0" w14:textId="77777777" w:rsidR="001A6FEE" w:rsidRDefault="001A6FEE" w:rsidP="001A6FEE">
      <w:pPr>
        <w:rPr>
          <w:rFonts w:ascii="Arial" w:hAnsi="Arial"/>
        </w:rPr>
      </w:pPr>
      <w:r>
        <w:rPr>
          <w:rFonts w:ascii="Arial" w:hAnsi="Arial"/>
        </w:rPr>
        <w:t xml:space="preserve">Each recurrence was managed surgically via excisional </w:t>
      </w:r>
      <w:proofErr w:type="gramStart"/>
      <w:r>
        <w:rPr>
          <w:rFonts w:ascii="Arial" w:hAnsi="Arial"/>
        </w:rPr>
        <w:t>biopsies .</w:t>
      </w:r>
      <w:proofErr w:type="gramEnd"/>
      <w:r>
        <w:rPr>
          <w:rFonts w:ascii="Arial" w:hAnsi="Arial"/>
        </w:rPr>
        <w:t xml:space="preserve"> Surgical challenges included preservation of the extensor tendon system. Rehabilitation was implemented post-operatively, particularly after tendon involvement caused mallet deformity.</w:t>
      </w:r>
    </w:p>
    <w:p w14:paraId="4A64DB9F" w14:textId="77777777" w:rsidR="001A6FEE" w:rsidRDefault="001A6FEE" w:rsidP="001A6FEE">
      <w:pPr>
        <w:rPr>
          <w:rFonts w:ascii="Arial" w:hAnsi="Arial"/>
        </w:rPr>
      </w:pPr>
    </w:p>
    <w:p w14:paraId="38AFA9F3" w14:textId="24561A34" w:rsidR="00397FF7" w:rsidRDefault="001A6FEE" w:rsidP="00397FF7">
      <w:pPr>
        <w:rPr>
          <w:rFonts w:ascii="Arial" w:hAnsi="Arial"/>
        </w:rPr>
      </w:pPr>
      <w:r>
        <w:rPr>
          <w:rFonts w:ascii="Arial" w:hAnsi="Arial"/>
        </w:rPr>
        <w:t xml:space="preserve">Throughout the multiple recurrences, the patient underwent five surgeries. Outcomes included joint stiffness and mallet </w:t>
      </w:r>
      <w:proofErr w:type="gramStart"/>
      <w:r>
        <w:rPr>
          <w:rFonts w:ascii="Arial" w:hAnsi="Arial"/>
        </w:rPr>
        <w:t>deformities</w:t>
      </w:r>
      <w:r w:rsidR="00835588">
        <w:rPr>
          <w:rFonts w:ascii="Arial" w:hAnsi="Arial"/>
        </w:rPr>
        <w:t xml:space="preserve"> </w:t>
      </w:r>
      <w:r>
        <w:rPr>
          <w:rFonts w:ascii="Arial" w:hAnsi="Arial"/>
        </w:rPr>
        <w:t>.</w:t>
      </w:r>
      <w:proofErr w:type="gramEnd"/>
      <w:r>
        <w:rPr>
          <w:rFonts w:ascii="Arial" w:hAnsi="Arial"/>
        </w:rPr>
        <w:t xml:space="preserve"> </w:t>
      </w:r>
      <w:r w:rsidR="00835588" w:rsidRPr="00835588">
        <w:rPr>
          <w:rFonts w:ascii="Arial" w:hAnsi="Arial"/>
          <w:i/>
          <w:iCs/>
        </w:rPr>
        <w:t xml:space="preserve">(Figure </w:t>
      </w:r>
      <w:r w:rsidR="00D35FA2">
        <w:rPr>
          <w:rFonts w:ascii="Arial" w:hAnsi="Arial"/>
          <w:i/>
          <w:iCs/>
        </w:rPr>
        <w:t>5</w:t>
      </w:r>
      <w:r w:rsidR="00835588" w:rsidRPr="00835588">
        <w:rPr>
          <w:rFonts w:ascii="Arial" w:hAnsi="Arial"/>
          <w:i/>
          <w:iCs/>
        </w:rPr>
        <w:t>)</w:t>
      </w:r>
      <w:r w:rsidR="00835588">
        <w:rPr>
          <w:rFonts w:ascii="Arial" w:hAnsi="Arial"/>
        </w:rPr>
        <w:t xml:space="preserve"> </w:t>
      </w:r>
      <w:r>
        <w:rPr>
          <w:rFonts w:ascii="Arial" w:hAnsi="Arial"/>
        </w:rPr>
        <w:t xml:space="preserve">After the final excision in 2024, histopathology confirmed </w:t>
      </w:r>
      <w:proofErr w:type="gramStart"/>
      <w:r w:rsidR="00FF5E90">
        <w:rPr>
          <w:rFonts w:ascii="Arial" w:hAnsi="Arial"/>
        </w:rPr>
        <w:t>NF</w:t>
      </w:r>
      <w:proofErr w:type="gramEnd"/>
      <w:r>
        <w:rPr>
          <w:rFonts w:ascii="Arial" w:hAnsi="Arial"/>
        </w:rPr>
        <w:t xml:space="preserve"> and the recurrence has not reappeared to date.</w:t>
      </w:r>
    </w:p>
    <w:p w14:paraId="12C5CC56" w14:textId="77777777" w:rsidR="00397FF7" w:rsidRDefault="00397FF7" w:rsidP="001A6FEE">
      <w:pPr>
        <w:rPr>
          <w:rFonts w:ascii="Arial" w:hAnsi="Arial"/>
        </w:rPr>
      </w:pPr>
    </w:p>
    <w:p w14:paraId="2C7AB7BD" w14:textId="77777777" w:rsidR="00835588" w:rsidRDefault="00835588" w:rsidP="001A6FEE">
      <w:pPr>
        <w:rPr>
          <w:rFonts w:ascii="Arial" w:hAnsi="Arial"/>
        </w:rPr>
      </w:pPr>
    </w:p>
    <w:p w14:paraId="2450E854" w14:textId="77777777" w:rsidR="00835588" w:rsidRDefault="00835588" w:rsidP="001A6FEE">
      <w:pPr>
        <w:rPr>
          <w:rFonts w:ascii="Arial" w:hAnsi="Arial"/>
        </w:rPr>
      </w:pPr>
    </w:p>
    <w:p w14:paraId="05975DA3" w14:textId="77777777" w:rsidR="00835588" w:rsidRDefault="00835588" w:rsidP="00835588">
      <w:pPr>
        <w:keepNext/>
        <w:jc w:val="center"/>
      </w:pPr>
      <w:r w:rsidRPr="009A13F7">
        <w:rPr>
          <w:rFonts w:ascii="Arial" w:hAnsi="Arial" w:cs="Arial"/>
          <w:b/>
          <w:bCs/>
          <w:noProof/>
        </w:rPr>
        <w:drawing>
          <wp:inline distT="0" distB="0" distL="0" distR="0" wp14:anchorId="569DC672" wp14:editId="7DD2E724">
            <wp:extent cx="2880000" cy="3808800"/>
            <wp:effectExtent l="0" t="0" r="0" b="1270"/>
            <wp:docPr id="1779663066" name="Image 1" descr="Une image contenant Chair, personne, intérieur, o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22555" name="Image 1" descr="Une image contenant Chair, personne, intérieur, ongle&#10;&#10;Le contenu généré par l’IA peut être incorrect."/>
                    <pic:cNvPicPr/>
                  </pic:nvPicPr>
                  <pic:blipFill>
                    <a:blip r:embed="rId14"/>
                    <a:stretch>
                      <a:fillRect/>
                    </a:stretch>
                  </pic:blipFill>
                  <pic:spPr>
                    <a:xfrm>
                      <a:off x="0" y="0"/>
                      <a:ext cx="2880000" cy="3808800"/>
                    </a:xfrm>
                    <a:prstGeom prst="rect">
                      <a:avLst/>
                    </a:prstGeom>
                  </pic:spPr>
                </pic:pic>
              </a:graphicData>
            </a:graphic>
          </wp:inline>
        </w:drawing>
      </w:r>
    </w:p>
    <w:p w14:paraId="03EB581E" w14:textId="77777777" w:rsidR="00835588" w:rsidRDefault="00835588" w:rsidP="00835588">
      <w:pPr>
        <w:keepNext/>
        <w:jc w:val="center"/>
      </w:pPr>
    </w:p>
    <w:p w14:paraId="0E9E6590" w14:textId="17BE6A0E" w:rsidR="00835588" w:rsidRDefault="00835588" w:rsidP="00835588">
      <w:pPr>
        <w:pStyle w:val="Lgende"/>
        <w:jc w:val="center"/>
        <w:rPr>
          <w:i w:val="0"/>
          <w:iCs w:val="0"/>
          <w:color w:val="000000" w:themeColor="text1"/>
          <w:sz w:val="20"/>
          <w:szCs w:val="20"/>
          <w:lang w:val="fr-FR"/>
        </w:rPr>
      </w:pPr>
      <w:r w:rsidRPr="00835588">
        <w:rPr>
          <w:b/>
          <w:bCs/>
          <w:i w:val="0"/>
          <w:iCs w:val="0"/>
          <w:color w:val="000000" w:themeColor="text1"/>
          <w:sz w:val="20"/>
          <w:szCs w:val="20"/>
        </w:rPr>
        <w:t xml:space="preserve">Fig. </w:t>
      </w:r>
      <w:r w:rsidRPr="00835588">
        <w:rPr>
          <w:b/>
          <w:bCs/>
          <w:i w:val="0"/>
          <w:iCs w:val="0"/>
          <w:color w:val="000000" w:themeColor="text1"/>
          <w:sz w:val="20"/>
          <w:szCs w:val="20"/>
        </w:rPr>
        <w:fldChar w:fldCharType="begin"/>
      </w:r>
      <w:r w:rsidRPr="00835588">
        <w:rPr>
          <w:b/>
          <w:bCs/>
          <w:i w:val="0"/>
          <w:iCs w:val="0"/>
          <w:color w:val="000000" w:themeColor="text1"/>
          <w:sz w:val="20"/>
          <w:szCs w:val="20"/>
        </w:rPr>
        <w:instrText xml:space="preserve"> SEQ Fig. \* ARABIC </w:instrText>
      </w:r>
      <w:r w:rsidRPr="00835588">
        <w:rPr>
          <w:b/>
          <w:bCs/>
          <w:i w:val="0"/>
          <w:iCs w:val="0"/>
          <w:color w:val="000000" w:themeColor="text1"/>
          <w:sz w:val="20"/>
          <w:szCs w:val="20"/>
        </w:rPr>
        <w:fldChar w:fldCharType="separate"/>
      </w:r>
      <w:r w:rsidR="00D35FA2">
        <w:rPr>
          <w:b/>
          <w:bCs/>
          <w:i w:val="0"/>
          <w:iCs w:val="0"/>
          <w:noProof/>
          <w:color w:val="000000" w:themeColor="text1"/>
          <w:sz w:val="20"/>
          <w:szCs w:val="20"/>
        </w:rPr>
        <w:t>1</w:t>
      </w:r>
      <w:r w:rsidRPr="00835588">
        <w:rPr>
          <w:b/>
          <w:bCs/>
          <w:i w:val="0"/>
          <w:iCs w:val="0"/>
          <w:color w:val="000000" w:themeColor="text1"/>
          <w:sz w:val="20"/>
          <w:szCs w:val="20"/>
        </w:rPr>
        <w:fldChar w:fldCharType="end"/>
      </w:r>
      <w:r w:rsidRPr="00835588">
        <w:rPr>
          <w:b/>
          <w:bCs/>
          <w:i w:val="0"/>
          <w:iCs w:val="0"/>
          <w:color w:val="000000" w:themeColor="text1"/>
          <w:sz w:val="20"/>
          <w:szCs w:val="20"/>
          <w:lang w:val="fr-FR"/>
        </w:rPr>
        <w:t>.</w:t>
      </w:r>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Intraoperative</w:t>
      </w:r>
      <w:proofErr w:type="spellEnd"/>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view</w:t>
      </w:r>
      <w:proofErr w:type="spellEnd"/>
      <w:r w:rsidRPr="00835588">
        <w:rPr>
          <w:i w:val="0"/>
          <w:iCs w:val="0"/>
          <w:color w:val="000000" w:themeColor="text1"/>
          <w:sz w:val="20"/>
          <w:szCs w:val="20"/>
          <w:lang w:val="fr-FR"/>
        </w:rPr>
        <w:t xml:space="preserve"> : Complete excision of the </w:t>
      </w:r>
      <w:proofErr w:type="spellStart"/>
      <w:r w:rsidRPr="00835588">
        <w:rPr>
          <w:i w:val="0"/>
          <w:iCs w:val="0"/>
          <w:color w:val="000000" w:themeColor="text1"/>
          <w:sz w:val="20"/>
          <w:szCs w:val="20"/>
          <w:lang w:val="fr-FR"/>
        </w:rPr>
        <w:t>tumor</w:t>
      </w:r>
      <w:proofErr w:type="spellEnd"/>
    </w:p>
    <w:p w14:paraId="2BA2FBFE" w14:textId="77777777" w:rsidR="00D35FA2" w:rsidRDefault="00D35FA2" w:rsidP="00D35FA2">
      <w:pPr>
        <w:keepNext/>
        <w:jc w:val="center"/>
      </w:pPr>
      <w:r>
        <w:rPr>
          <w:noProof/>
        </w:rPr>
        <w:drawing>
          <wp:inline distT="0" distB="0" distL="0" distR="0" wp14:anchorId="2E61EBBA" wp14:editId="1A3A8DB5">
            <wp:extent cx="1897200" cy="3600000"/>
            <wp:effectExtent l="0" t="0" r="8255" b="635"/>
            <wp:docPr id="469592176" name="Image 1" descr="Ouvrir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vrir la ph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200" cy="3600000"/>
                    </a:xfrm>
                    <a:prstGeom prst="rect">
                      <a:avLst/>
                    </a:prstGeom>
                    <a:noFill/>
                    <a:ln>
                      <a:noFill/>
                    </a:ln>
                  </pic:spPr>
                </pic:pic>
              </a:graphicData>
            </a:graphic>
          </wp:inline>
        </w:drawing>
      </w:r>
    </w:p>
    <w:p w14:paraId="2922B561" w14:textId="77777777" w:rsidR="003E56C5" w:rsidRDefault="003E56C5" w:rsidP="00D35FA2">
      <w:pPr>
        <w:keepNext/>
        <w:jc w:val="center"/>
      </w:pPr>
    </w:p>
    <w:p w14:paraId="695A9072" w14:textId="498067A8" w:rsidR="00D35FA2" w:rsidRPr="00D35FA2" w:rsidRDefault="00D35FA2" w:rsidP="00D35FA2">
      <w:pPr>
        <w:pStyle w:val="Lgende"/>
        <w:jc w:val="center"/>
        <w:rPr>
          <w:i w:val="0"/>
          <w:iCs w:val="0"/>
          <w:color w:val="auto"/>
          <w:lang w:val="fr-FR"/>
        </w:rPr>
      </w:pPr>
      <w:r w:rsidRPr="00D35FA2">
        <w:rPr>
          <w:b/>
          <w:bCs/>
          <w:i w:val="0"/>
          <w:iCs w:val="0"/>
          <w:color w:val="auto"/>
        </w:rPr>
        <w:t xml:space="preserve">Fig. </w:t>
      </w:r>
      <w:r w:rsidRPr="00D35FA2">
        <w:rPr>
          <w:b/>
          <w:bCs/>
          <w:i w:val="0"/>
          <w:iCs w:val="0"/>
          <w:color w:val="auto"/>
        </w:rPr>
        <w:fldChar w:fldCharType="begin"/>
      </w:r>
      <w:r w:rsidRPr="00D35FA2">
        <w:rPr>
          <w:b/>
          <w:bCs/>
          <w:i w:val="0"/>
          <w:iCs w:val="0"/>
          <w:color w:val="auto"/>
        </w:rPr>
        <w:instrText xml:space="preserve"> SEQ Fig. \* ARABIC </w:instrText>
      </w:r>
      <w:r w:rsidRPr="00D35FA2">
        <w:rPr>
          <w:b/>
          <w:bCs/>
          <w:i w:val="0"/>
          <w:iCs w:val="0"/>
          <w:color w:val="auto"/>
        </w:rPr>
        <w:fldChar w:fldCharType="separate"/>
      </w:r>
      <w:r w:rsidRPr="00D35FA2">
        <w:rPr>
          <w:b/>
          <w:bCs/>
          <w:i w:val="0"/>
          <w:iCs w:val="0"/>
          <w:noProof/>
          <w:color w:val="auto"/>
        </w:rPr>
        <w:t>2</w:t>
      </w:r>
      <w:r w:rsidRPr="00D35FA2">
        <w:rPr>
          <w:b/>
          <w:bCs/>
          <w:i w:val="0"/>
          <w:iCs w:val="0"/>
          <w:color w:val="auto"/>
        </w:rPr>
        <w:fldChar w:fldCharType="end"/>
      </w:r>
      <w:r w:rsidRPr="00D35FA2">
        <w:rPr>
          <w:b/>
          <w:bCs/>
          <w:i w:val="0"/>
          <w:iCs w:val="0"/>
          <w:color w:val="auto"/>
          <w:lang w:val="fr-FR"/>
        </w:rPr>
        <w:t>.</w:t>
      </w:r>
      <w:r w:rsidRPr="00D35FA2">
        <w:rPr>
          <w:i w:val="0"/>
          <w:iCs w:val="0"/>
          <w:color w:val="auto"/>
          <w:lang w:val="fr-FR"/>
        </w:rPr>
        <w:t xml:space="preserve"> MRI of the Right </w:t>
      </w:r>
      <w:proofErr w:type="gramStart"/>
      <w:r w:rsidRPr="00D35FA2">
        <w:rPr>
          <w:i w:val="0"/>
          <w:iCs w:val="0"/>
          <w:color w:val="auto"/>
          <w:lang w:val="fr-FR"/>
        </w:rPr>
        <w:t>Hand:</w:t>
      </w:r>
      <w:proofErr w:type="gramEnd"/>
      <w:r w:rsidRPr="00D35FA2">
        <w:rPr>
          <w:i w:val="0"/>
          <w:iCs w:val="0"/>
          <w:color w:val="auto"/>
          <w:lang w:val="fr-FR"/>
        </w:rPr>
        <w:t xml:space="preserve"> Multifocal Soft Tissue </w:t>
      </w:r>
      <w:proofErr w:type="spellStart"/>
      <w:r w:rsidRPr="00D35FA2">
        <w:rPr>
          <w:i w:val="0"/>
          <w:iCs w:val="0"/>
          <w:color w:val="auto"/>
          <w:lang w:val="fr-FR"/>
        </w:rPr>
        <w:t>Lesions</w:t>
      </w:r>
      <w:proofErr w:type="spellEnd"/>
    </w:p>
    <w:p w14:paraId="3805D580" w14:textId="77777777" w:rsidR="00397FF7" w:rsidRDefault="00397FF7" w:rsidP="001A6FEE">
      <w:pPr>
        <w:rPr>
          <w:rFonts w:ascii="Arial" w:hAnsi="Arial"/>
        </w:rPr>
      </w:pPr>
    </w:p>
    <w:p w14:paraId="75B756DC" w14:textId="77777777" w:rsidR="008E4181" w:rsidRDefault="00397FF7" w:rsidP="008E4181">
      <w:pPr>
        <w:keepNext/>
        <w:jc w:val="center"/>
      </w:pPr>
      <w:r>
        <w:rPr>
          <w:noProof/>
        </w:rPr>
        <w:drawing>
          <wp:inline distT="0" distB="0" distL="0" distR="0" wp14:anchorId="7662FBE0" wp14:editId="1ACDA4B5">
            <wp:extent cx="2796988" cy="2779302"/>
            <wp:effectExtent l="0" t="0" r="3810" b="2540"/>
            <wp:docPr id="4" name="Image 3" descr="Une image contenant ongle, personne, doigt, ve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ongle, personne, doigt, veine&#10;&#10;Le contenu généré par l’IA peut êtr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650" cy="2786915"/>
                    </a:xfrm>
                    <a:prstGeom prst="rect">
                      <a:avLst/>
                    </a:prstGeom>
                  </pic:spPr>
                </pic:pic>
              </a:graphicData>
            </a:graphic>
          </wp:inline>
        </w:drawing>
      </w:r>
    </w:p>
    <w:p w14:paraId="0110762D" w14:textId="77777777" w:rsidR="008E4181" w:rsidRDefault="008E4181" w:rsidP="008E4181">
      <w:pPr>
        <w:pStyle w:val="Lgende"/>
        <w:jc w:val="center"/>
      </w:pPr>
    </w:p>
    <w:p w14:paraId="6B8B8E3E" w14:textId="6AFD0F09" w:rsidR="00397FF7" w:rsidRPr="00835588" w:rsidRDefault="008E4181" w:rsidP="008E4181">
      <w:pPr>
        <w:pStyle w:val="Lgende"/>
        <w:jc w:val="center"/>
        <w:rPr>
          <w:rFonts w:ascii="Arial" w:hAnsi="Arial"/>
          <w:i w:val="0"/>
          <w:iCs w:val="0"/>
          <w:color w:val="000000" w:themeColor="text1"/>
          <w:sz w:val="20"/>
          <w:szCs w:val="20"/>
        </w:rPr>
      </w:pPr>
      <w:r w:rsidRPr="00835588">
        <w:rPr>
          <w:b/>
          <w:bCs/>
          <w:i w:val="0"/>
          <w:iCs w:val="0"/>
          <w:color w:val="000000" w:themeColor="text1"/>
          <w:sz w:val="20"/>
          <w:szCs w:val="20"/>
        </w:rPr>
        <w:t xml:space="preserve">Fig. </w:t>
      </w:r>
      <w:r w:rsidRPr="00835588">
        <w:rPr>
          <w:b/>
          <w:bCs/>
          <w:i w:val="0"/>
          <w:iCs w:val="0"/>
          <w:color w:val="000000" w:themeColor="text1"/>
          <w:sz w:val="20"/>
          <w:szCs w:val="20"/>
        </w:rPr>
        <w:fldChar w:fldCharType="begin"/>
      </w:r>
      <w:r w:rsidRPr="00835588">
        <w:rPr>
          <w:b/>
          <w:bCs/>
          <w:i w:val="0"/>
          <w:iCs w:val="0"/>
          <w:color w:val="000000" w:themeColor="text1"/>
          <w:sz w:val="20"/>
          <w:szCs w:val="20"/>
        </w:rPr>
        <w:instrText xml:space="preserve"> SEQ Fig. \* ARABIC </w:instrText>
      </w:r>
      <w:r w:rsidRPr="00835588">
        <w:rPr>
          <w:b/>
          <w:bCs/>
          <w:i w:val="0"/>
          <w:iCs w:val="0"/>
          <w:color w:val="000000" w:themeColor="text1"/>
          <w:sz w:val="20"/>
          <w:szCs w:val="20"/>
        </w:rPr>
        <w:fldChar w:fldCharType="separate"/>
      </w:r>
      <w:r w:rsidR="00D35FA2">
        <w:rPr>
          <w:b/>
          <w:bCs/>
          <w:i w:val="0"/>
          <w:iCs w:val="0"/>
          <w:noProof/>
          <w:color w:val="000000" w:themeColor="text1"/>
          <w:sz w:val="20"/>
          <w:szCs w:val="20"/>
        </w:rPr>
        <w:t>3</w:t>
      </w:r>
      <w:r w:rsidRPr="00835588">
        <w:rPr>
          <w:b/>
          <w:bCs/>
          <w:i w:val="0"/>
          <w:iCs w:val="0"/>
          <w:color w:val="000000" w:themeColor="text1"/>
          <w:sz w:val="20"/>
          <w:szCs w:val="20"/>
        </w:rPr>
        <w:fldChar w:fldCharType="end"/>
      </w:r>
      <w:r w:rsidRPr="00835588">
        <w:rPr>
          <w:b/>
          <w:bCs/>
          <w:i w:val="0"/>
          <w:iCs w:val="0"/>
          <w:color w:val="000000" w:themeColor="text1"/>
          <w:sz w:val="20"/>
          <w:szCs w:val="20"/>
          <w:lang w:val="fr-FR"/>
        </w:rPr>
        <w:t>.</w:t>
      </w:r>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Clinical</w:t>
      </w:r>
      <w:proofErr w:type="spellEnd"/>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appearance</w:t>
      </w:r>
      <w:proofErr w:type="spellEnd"/>
      <w:r w:rsidRPr="00835588">
        <w:rPr>
          <w:i w:val="0"/>
          <w:iCs w:val="0"/>
          <w:color w:val="000000" w:themeColor="text1"/>
          <w:sz w:val="20"/>
          <w:szCs w:val="20"/>
          <w:lang w:val="fr-FR"/>
        </w:rPr>
        <w:t xml:space="preserve"> at first </w:t>
      </w:r>
      <w:proofErr w:type="spellStart"/>
      <w:r w:rsidR="00AD3E7C" w:rsidRPr="00835588">
        <w:rPr>
          <w:i w:val="0"/>
          <w:iCs w:val="0"/>
          <w:color w:val="000000" w:themeColor="text1"/>
          <w:sz w:val="20"/>
          <w:szCs w:val="20"/>
          <w:lang w:val="fr-FR"/>
        </w:rPr>
        <w:t>recurrence</w:t>
      </w:r>
      <w:proofErr w:type="spellEnd"/>
      <w:r w:rsidRPr="00835588">
        <w:rPr>
          <w:i w:val="0"/>
          <w:iCs w:val="0"/>
          <w:color w:val="000000" w:themeColor="text1"/>
          <w:sz w:val="20"/>
          <w:szCs w:val="20"/>
          <w:lang w:val="fr-FR"/>
        </w:rPr>
        <w:t xml:space="preserve"> : A </w:t>
      </w:r>
      <w:proofErr w:type="spellStart"/>
      <w:r w:rsidRPr="00835588">
        <w:rPr>
          <w:i w:val="0"/>
          <w:iCs w:val="0"/>
          <w:color w:val="000000" w:themeColor="text1"/>
          <w:sz w:val="20"/>
          <w:szCs w:val="20"/>
          <w:lang w:val="fr-FR"/>
        </w:rPr>
        <w:t>firm</w:t>
      </w:r>
      <w:proofErr w:type="spellEnd"/>
      <w:r w:rsidRPr="00835588">
        <w:rPr>
          <w:i w:val="0"/>
          <w:iCs w:val="0"/>
          <w:color w:val="000000" w:themeColor="text1"/>
          <w:sz w:val="20"/>
          <w:szCs w:val="20"/>
          <w:lang w:val="fr-FR"/>
        </w:rPr>
        <w:t xml:space="preserve"> mass</w:t>
      </w:r>
    </w:p>
    <w:p w14:paraId="27D54F94" w14:textId="77777777" w:rsidR="009A13F7" w:rsidRDefault="009A13F7" w:rsidP="008E4181">
      <w:pPr>
        <w:pStyle w:val="Body"/>
        <w:spacing w:after="0"/>
        <w:rPr>
          <w:b/>
          <w:bCs/>
        </w:rPr>
      </w:pPr>
    </w:p>
    <w:p w14:paraId="584ED0AD" w14:textId="77777777" w:rsidR="009A13F7" w:rsidRDefault="009A13F7" w:rsidP="00397FF7">
      <w:pPr>
        <w:pStyle w:val="Body"/>
        <w:spacing w:after="0"/>
        <w:jc w:val="center"/>
        <w:rPr>
          <w:b/>
          <w:bCs/>
        </w:rPr>
      </w:pPr>
    </w:p>
    <w:p w14:paraId="6FA22924" w14:textId="77777777" w:rsidR="009A13F7" w:rsidRDefault="009A13F7" w:rsidP="00397FF7">
      <w:pPr>
        <w:pStyle w:val="Body"/>
        <w:spacing w:after="0"/>
        <w:jc w:val="center"/>
        <w:rPr>
          <w:b/>
          <w:bCs/>
        </w:rPr>
      </w:pPr>
    </w:p>
    <w:p w14:paraId="3B5ECAA0" w14:textId="77777777" w:rsidR="009A13F7" w:rsidRDefault="009A13F7" w:rsidP="00835588">
      <w:pPr>
        <w:pStyle w:val="Body"/>
        <w:spacing w:after="0"/>
        <w:rPr>
          <w:rFonts w:ascii="Arial" w:hAnsi="Arial" w:cs="Arial"/>
          <w:b/>
          <w:bCs/>
        </w:rPr>
      </w:pPr>
    </w:p>
    <w:p w14:paraId="3D8E6536" w14:textId="316B9960" w:rsidR="009A13F7" w:rsidRPr="00397FF7" w:rsidRDefault="000A1DE0" w:rsidP="008E4181">
      <w:pPr>
        <w:pStyle w:val="Body"/>
        <w:spacing w:after="0"/>
        <w:rPr>
          <w:rFonts w:ascii="Arial" w:hAnsi="Arial" w:cs="Arial"/>
          <w:b/>
          <w:bCs/>
        </w:rPr>
      </w:pPr>
      <w:r w:rsidRPr="000A1DE0">
        <w:rPr>
          <w:rFonts w:ascii="Arial" w:hAnsi="Arial" w:cs="Arial"/>
          <w:b/>
          <w:bCs/>
        </w:rPr>
        <w:t xml:space="preserve"> </w:t>
      </w:r>
    </w:p>
    <w:p w14:paraId="337DBC54" w14:textId="77777777" w:rsidR="00C44335" w:rsidRDefault="00C44335" w:rsidP="00C44335">
      <w:pPr>
        <w:pStyle w:val="Body"/>
        <w:keepNext/>
        <w:spacing w:after="0"/>
        <w:jc w:val="center"/>
      </w:pPr>
      <w:r>
        <w:rPr>
          <w:noProof/>
        </w:rPr>
        <w:drawing>
          <wp:inline distT="0" distB="0" distL="0" distR="0" wp14:anchorId="0112B964" wp14:editId="5444487D">
            <wp:extent cx="2401200" cy="3600000"/>
            <wp:effectExtent l="0" t="0" r="0" b="635"/>
            <wp:docPr id="2" name="Image 1" descr="Image gén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génér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200" cy="3600000"/>
                    </a:xfrm>
                    <a:prstGeom prst="rect">
                      <a:avLst/>
                    </a:prstGeom>
                    <a:noFill/>
                    <a:ln>
                      <a:noFill/>
                    </a:ln>
                  </pic:spPr>
                </pic:pic>
              </a:graphicData>
            </a:graphic>
          </wp:inline>
        </w:drawing>
      </w:r>
    </w:p>
    <w:p w14:paraId="20DA0E33" w14:textId="77777777" w:rsidR="00C44335" w:rsidRDefault="00C44335" w:rsidP="00C44335">
      <w:pPr>
        <w:pStyle w:val="Body"/>
        <w:keepNext/>
        <w:spacing w:after="0"/>
        <w:jc w:val="center"/>
      </w:pPr>
    </w:p>
    <w:p w14:paraId="416616BF" w14:textId="7C0FE896" w:rsidR="001A6FEE" w:rsidRPr="00835588" w:rsidRDefault="00C44335" w:rsidP="00C44335">
      <w:pPr>
        <w:pStyle w:val="Lgende"/>
        <w:jc w:val="center"/>
        <w:rPr>
          <w:i w:val="0"/>
          <w:iCs w:val="0"/>
          <w:color w:val="000000" w:themeColor="text1"/>
          <w:sz w:val="20"/>
          <w:szCs w:val="20"/>
          <w:lang w:val="fr-FR"/>
        </w:rPr>
      </w:pPr>
      <w:r w:rsidRPr="00C44335">
        <w:rPr>
          <w:b/>
          <w:bCs/>
          <w:color w:val="000000" w:themeColor="text1"/>
          <w:sz w:val="20"/>
          <w:szCs w:val="20"/>
        </w:rPr>
        <w:t>Fig.</w:t>
      </w:r>
      <w:r w:rsidR="00835588">
        <w:rPr>
          <w:b/>
          <w:bCs/>
          <w:color w:val="000000" w:themeColor="text1"/>
          <w:sz w:val="20"/>
          <w:szCs w:val="20"/>
        </w:rPr>
        <w:t xml:space="preserve"> </w:t>
      </w:r>
      <w:r w:rsidR="00266FDB">
        <w:rPr>
          <w:b/>
          <w:bCs/>
          <w:color w:val="000000" w:themeColor="text1"/>
          <w:sz w:val="20"/>
          <w:szCs w:val="20"/>
        </w:rPr>
        <w:t>4</w:t>
      </w:r>
      <w:r w:rsidRPr="00C44335">
        <w:rPr>
          <w:b/>
          <w:bCs/>
          <w:color w:val="000000" w:themeColor="text1"/>
          <w:sz w:val="20"/>
          <w:szCs w:val="20"/>
          <w:lang w:val="fr-FR"/>
        </w:rPr>
        <w:t xml:space="preserve">. </w:t>
      </w:r>
      <w:proofErr w:type="spellStart"/>
      <w:r w:rsidRPr="00835588">
        <w:rPr>
          <w:i w:val="0"/>
          <w:iCs w:val="0"/>
          <w:color w:val="000000" w:themeColor="text1"/>
          <w:sz w:val="20"/>
          <w:szCs w:val="20"/>
          <w:lang w:val="fr-FR"/>
        </w:rPr>
        <w:t>Clinical</w:t>
      </w:r>
      <w:proofErr w:type="spellEnd"/>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appearance</w:t>
      </w:r>
      <w:proofErr w:type="spellEnd"/>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in</w:t>
      </w:r>
      <w:proofErr w:type="spellEnd"/>
      <w:r w:rsidRPr="00835588">
        <w:rPr>
          <w:i w:val="0"/>
          <w:iCs w:val="0"/>
          <w:color w:val="000000" w:themeColor="text1"/>
          <w:sz w:val="20"/>
          <w:szCs w:val="20"/>
          <w:lang w:val="fr-FR"/>
        </w:rPr>
        <w:t xml:space="preserve"> 2024 : A dorsal hand mass and </w:t>
      </w:r>
      <w:r w:rsidR="00B1626F" w:rsidRPr="00835588">
        <w:rPr>
          <w:i w:val="0"/>
          <w:iCs w:val="0"/>
          <w:color w:val="000000" w:themeColor="text1"/>
          <w:sz w:val="20"/>
          <w:szCs w:val="20"/>
          <w:lang w:val="fr-FR"/>
        </w:rPr>
        <w:t>récurrent</w:t>
      </w:r>
      <w:r w:rsidRPr="00835588">
        <w:rPr>
          <w:i w:val="0"/>
          <w:iCs w:val="0"/>
          <w:color w:val="000000" w:themeColor="text1"/>
          <w:sz w:val="20"/>
          <w:szCs w:val="20"/>
          <w:lang w:val="fr-FR"/>
        </w:rPr>
        <w:t xml:space="preserve"> index finger </w:t>
      </w:r>
      <w:proofErr w:type="spellStart"/>
      <w:r w:rsidRPr="00835588">
        <w:rPr>
          <w:i w:val="0"/>
          <w:iCs w:val="0"/>
          <w:color w:val="000000" w:themeColor="text1"/>
          <w:sz w:val="20"/>
          <w:szCs w:val="20"/>
          <w:lang w:val="fr-FR"/>
        </w:rPr>
        <w:t>lesion</w:t>
      </w:r>
      <w:proofErr w:type="spellEnd"/>
    </w:p>
    <w:p w14:paraId="6622C6C7" w14:textId="77777777" w:rsidR="00AD3E7C" w:rsidRDefault="00AD3E7C" w:rsidP="00AD3E7C">
      <w:pPr>
        <w:keepNext/>
        <w:jc w:val="center"/>
      </w:pPr>
      <w:r>
        <w:rPr>
          <w:noProof/>
        </w:rPr>
        <w:drawing>
          <wp:inline distT="0" distB="0" distL="0" distR="0" wp14:anchorId="3AE60A44" wp14:editId="073BE5A0">
            <wp:extent cx="2160000" cy="2419200"/>
            <wp:effectExtent l="0" t="0" r="0" b="635"/>
            <wp:docPr id="1444673944" name="Image 2" descr="Une image contenant personne, main, ongle, doig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73944" name="Image 2" descr="Une image contenant personne, main, ongle, doigt&#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419200"/>
                    </a:xfrm>
                    <a:prstGeom prst="rect">
                      <a:avLst/>
                    </a:prstGeom>
                    <a:noFill/>
                    <a:ln>
                      <a:noFill/>
                    </a:ln>
                  </pic:spPr>
                </pic:pic>
              </a:graphicData>
            </a:graphic>
          </wp:inline>
        </w:drawing>
      </w:r>
    </w:p>
    <w:p w14:paraId="21EF19A7" w14:textId="77777777" w:rsidR="00AD3E7C" w:rsidRDefault="00AD3E7C" w:rsidP="00AD3E7C">
      <w:pPr>
        <w:keepNext/>
        <w:jc w:val="center"/>
      </w:pPr>
    </w:p>
    <w:p w14:paraId="3B85645D" w14:textId="7B4D8893" w:rsidR="00AD3E7C" w:rsidRPr="00AD3E7C" w:rsidRDefault="00AD3E7C" w:rsidP="00AD3E7C">
      <w:pPr>
        <w:pStyle w:val="Lgende"/>
        <w:jc w:val="center"/>
        <w:rPr>
          <w:i w:val="0"/>
          <w:iCs w:val="0"/>
          <w:color w:val="000000" w:themeColor="text1"/>
          <w:sz w:val="20"/>
          <w:szCs w:val="20"/>
          <w:lang w:val="fr-FR"/>
        </w:rPr>
      </w:pPr>
      <w:r w:rsidRPr="00AD3E7C">
        <w:rPr>
          <w:b/>
          <w:bCs/>
          <w:i w:val="0"/>
          <w:iCs w:val="0"/>
          <w:color w:val="000000" w:themeColor="text1"/>
          <w:sz w:val="20"/>
          <w:szCs w:val="20"/>
        </w:rPr>
        <w:t>Fig.</w:t>
      </w:r>
      <w:r w:rsidR="00835588">
        <w:rPr>
          <w:b/>
          <w:bCs/>
          <w:i w:val="0"/>
          <w:iCs w:val="0"/>
          <w:color w:val="000000" w:themeColor="text1"/>
          <w:sz w:val="20"/>
          <w:szCs w:val="20"/>
        </w:rPr>
        <w:t xml:space="preserve"> </w:t>
      </w:r>
      <w:r w:rsidR="00266FDB">
        <w:rPr>
          <w:b/>
          <w:bCs/>
          <w:i w:val="0"/>
          <w:iCs w:val="0"/>
          <w:color w:val="000000" w:themeColor="text1"/>
          <w:sz w:val="20"/>
          <w:szCs w:val="20"/>
        </w:rPr>
        <w:t>5</w:t>
      </w:r>
      <w:r w:rsidRPr="00AD3E7C">
        <w:rPr>
          <w:b/>
          <w:bCs/>
          <w:i w:val="0"/>
          <w:iCs w:val="0"/>
          <w:color w:val="000000" w:themeColor="text1"/>
          <w:sz w:val="20"/>
          <w:szCs w:val="20"/>
          <w:lang w:val="fr-FR"/>
        </w:rPr>
        <w:t xml:space="preserve">. </w:t>
      </w:r>
      <w:r w:rsidRPr="00AD3E7C">
        <w:rPr>
          <w:i w:val="0"/>
          <w:iCs w:val="0"/>
          <w:color w:val="000000" w:themeColor="text1"/>
          <w:sz w:val="20"/>
          <w:szCs w:val="20"/>
          <w:lang w:val="fr-FR"/>
        </w:rPr>
        <w:t>Six-</w:t>
      </w:r>
      <w:proofErr w:type="spellStart"/>
      <w:r w:rsidRPr="00AD3E7C">
        <w:rPr>
          <w:i w:val="0"/>
          <w:iCs w:val="0"/>
          <w:color w:val="000000" w:themeColor="text1"/>
          <w:sz w:val="20"/>
          <w:szCs w:val="20"/>
          <w:lang w:val="fr-FR"/>
        </w:rPr>
        <w:t>month</w:t>
      </w:r>
      <w:proofErr w:type="spellEnd"/>
      <w:r w:rsidRPr="00AD3E7C">
        <w:rPr>
          <w:i w:val="0"/>
          <w:iCs w:val="0"/>
          <w:color w:val="000000" w:themeColor="text1"/>
          <w:sz w:val="20"/>
          <w:szCs w:val="20"/>
          <w:lang w:val="fr-FR"/>
        </w:rPr>
        <w:t xml:space="preserve"> </w:t>
      </w:r>
      <w:proofErr w:type="spellStart"/>
      <w:r w:rsidRPr="00AD3E7C">
        <w:rPr>
          <w:i w:val="0"/>
          <w:iCs w:val="0"/>
          <w:color w:val="000000" w:themeColor="text1"/>
          <w:sz w:val="20"/>
          <w:szCs w:val="20"/>
          <w:lang w:val="fr-FR"/>
        </w:rPr>
        <w:t>postoperative</w:t>
      </w:r>
      <w:proofErr w:type="spellEnd"/>
      <w:r w:rsidRPr="00AD3E7C">
        <w:rPr>
          <w:i w:val="0"/>
          <w:iCs w:val="0"/>
          <w:color w:val="000000" w:themeColor="text1"/>
          <w:sz w:val="20"/>
          <w:szCs w:val="20"/>
          <w:lang w:val="fr-FR"/>
        </w:rPr>
        <w:t xml:space="preserve"> </w:t>
      </w:r>
      <w:proofErr w:type="spellStart"/>
      <w:r w:rsidRPr="00AD3E7C">
        <w:rPr>
          <w:i w:val="0"/>
          <w:iCs w:val="0"/>
          <w:color w:val="000000" w:themeColor="text1"/>
          <w:sz w:val="20"/>
          <w:szCs w:val="20"/>
          <w:lang w:val="fr-FR"/>
        </w:rPr>
        <w:t>view</w:t>
      </w:r>
      <w:proofErr w:type="spellEnd"/>
      <w:r w:rsidRPr="00AD3E7C">
        <w:rPr>
          <w:i w:val="0"/>
          <w:iCs w:val="0"/>
          <w:color w:val="000000" w:themeColor="text1"/>
          <w:sz w:val="20"/>
          <w:szCs w:val="20"/>
          <w:lang w:val="fr-FR"/>
        </w:rPr>
        <w:t xml:space="preserve"> : Dorsal </w:t>
      </w:r>
      <w:proofErr w:type="spellStart"/>
      <w:r w:rsidRPr="00AD3E7C">
        <w:rPr>
          <w:i w:val="0"/>
          <w:iCs w:val="0"/>
          <w:color w:val="000000" w:themeColor="text1"/>
          <w:sz w:val="20"/>
          <w:szCs w:val="20"/>
          <w:lang w:val="fr-FR"/>
        </w:rPr>
        <w:t>scar</w:t>
      </w:r>
      <w:proofErr w:type="spellEnd"/>
      <w:r w:rsidRPr="00AD3E7C">
        <w:rPr>
          <w:i w:val="0"/>
          <w:iCs w:val="0"/>
          <w:color w:val="000000" w:themeColor="text1"/>
          <w:sz w:val="20"/>
          <w:szCs w:val="20"/>
          <w:lang w:val="fr-FR"/>
        </w:rPr>
        <w:t xml:space="preserve"> and no </w:t>
      </w:r>
      <w:proofErr w:type="spellStart"/>
      <w:r w:rsidRPr="00AD3E7C">
        <w:rPr>
          <w:i w:val="0"/>
          <w:iCs w:val="0"/>
          <w:color w:val="000000" w:themeColor="text1"/>
          <w:sz w:val="20"/>
          <w:szCs w:val="20"/>
          <w:lang w:val="fr-FR"/>
        </w:rPr>
        <w:t>recurrence</w:t>
      </w:r>
      <w:proofErr w:type="spellEnd"/>
    </w:p>
    <w:p w14:paraId="45AC71D2" w14:textId="77777777" w:rsidR="00790ADA" w:rsidRPr="00FB3A86" w:rsidRDefault="00790ADA" w:rsidP="00441B6F">
      <w:pPr>
        <w:pStyle w:val="Body"/>
        <w:spacing w:after="0"/>
        <w:rPr>
          <w:rFonts w:ascii="Arial" w:hAnsi="Arial" w:cs="Arial"/>
        </w:rPr>
      </w:pPr>
    </w:p>
    <w:p w14:paraId="039760DB" w14:textId="7B3BAF3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16B63AF" w14:textId="77777777" w:rsidR="00790ADA" w:rsidRPr="00FB3A86" w:rsidRDefault="00790ADA" w:rsidP="00441B6F">
      <w:pPr>
        <w:pStyle w:val="Head1"/>
        <w:spacing w:after="0"/>
        <w:jc w:val="both"/>
        <w:rPr>
          <w:rFonts w:ascii="Arial" w:hAnsi="Arial" w:cs="Arial"/>
        </w:rPr>
      </w:pPr>
    </w:p>
    <w:p w14:paraId="6A8213E8" w14:textId="77777777" w:rsidR="00790ADA" w:rsidRDefault="00790ADA" w:rsidP="00441B6F">
      <w:pPr>
        <w:pStyle w:val="Body"/>
        <w:spacing w:after="0"/>
        <w:rPr>
          <w:rFonts w:ascii="Arial" w:hAnsi="Arial" w:cs="Arial"/>
        </w:rPr>
      </w:pPr>
    </w:p>
    <w:p w14:paraId="1FD8AAA6" w14:textId="3AD98B10" w:rsidR="001A6FEE" w:rsidRPr="001A6FEE" w:rsidRDefault="001A6FEE" w:rsidP="00D97369">
      <w:pPr>
        <w:pStyle w:val="Body"/>
        <w:rPr>
          <w:rFonts w:ascii="Arial" w:hAnsi="Arial" w:cs="Arial"/>
        </w:rPr>
      </w:pPr>
      <w:r w:rsidRPr="001A6FEE">
        <w:rPr>
          <w:rFonts w:ascii="Arial" w:hAnsi="Arial" w:cs="Arial"/>
        </w:rPr>
        <w:t>Soft tissue tumors of the hand present a significant diagnostic challenge due to the wide differential diagnosis and the rarity of certain entities in this anatomical region</w:t>
      </w:r>
      <w:r w:rsidR="00373CF1">
        <w:rPr>
          <w:rFonts w:ascii="Arial" w:hAnsi="Arial" w:cs="Arial"/>
        </w:rPr>
        <w:fldChar w:fldCharType="begin"/>
      </w:r>
      <w:r w:rsidR="00D97369">
        <w:rPr>
          <w:rFonts w:ascii="Arial" w:hAnsi="Arial" w:cs="Arial"/>
        </w:rPr>
        <w:instrText xml:space="preserve"> ADDIN ZOTERO_ITEM CSL_CITATION {"citationID":"cqzGL4Q8","properties":{"formattedCitation":"(5,6)","plainCitation":"(5,6)","noteIndex":0},"citationItems":[{"id":21,"uris":["http://zotero.org/users/local/7qifMvx1/items/3HZ43CXP"],"itemData":{"id":21,"type":"book","ISBN":"978-92-832-2434-1","language":"en","source":"publications.iarc.fr","title":"WHO Classification of Tumours of Soft Tissue and Bone","URL":"https://publications.iarc.fr/Book-And-Report-Series/Who-Classification-Of-Tumours/WHO-Classification-Of-Tumours-Of-Soft-Tissue-And-Bone-2013","author":[{"family":"CDM","given":"Fletcher"},{"family":"JA","given":"Bridge"},{"family":"PCW","given":"Hogendoorn"},{"family":"F","given":"Mertens"}],"accessed":{"date-parts":[["2025",6,1]]}},"label":"page"},{"id":28,"uris":["http://zotero.org/users/local/7qifMvx1/items/I955MCQV"],"itemData":{"id":28,"type":"article-journal","abstract":"Tumor-like conditions of the hand and upper extremity typically present as masses and can be confused as more serious conditions. The differential diagnosis of these lesions can cross over with many more commonly recognized benign and malignant upper limb tumors, and it is, therefore, important for the hand surgeon to be familiar with tumor-like conditions. The diagnosis of these lesions often can be made on clinical grounds supported by a careful physical examination and plain film radiography. Advanced imaging and excisional biopsy may be needed in many circumstances to secure the diagnosis given their similarity with bone and soft tissue sarcomas.","container-title":"The Journal of Hand Surgery","DOI":"10.1016/j.jhsa.2017.09.012","ISSN":"1531-6564","issue":"12","journalAbbreviation":"J Hand Surg Am","language":"eng","note":"PMID: 29089162","page":"1009-1017","source":"PubMed","title":"Tumor-Like Conditions of the Hand and Upper Extremity","volume":"42","author":[{"family":"Sherman","given":"Courtney E."},{"family":"Murray","given":"Peter M."}],"issued":{"date-parts":[["2017",12]]}},"label":"page"}],"schema":"https://github.com/citation-style-language/schema/raw/master/csl-citation.json"} </w:instrText>
      </w:r>
      <w:r w:rsidR="00373CF1">
        <w:rPr>
          <w:rFonts w:ascii="Arial" w:hAnsi="Arial" w:cs="Arial"/>
        </w:rPr>
        <w:fldChar w:fldCharType="separate"/>
      </w:r>
      <w:r w:rsidR="00D97369" w:rsidRPr="00D97369">
        <w:rPr>
          <w:rFonts w:ascii="Arial" w:hAnsi="Arial" w:cs="Arial"/>
        </w:rPr>
        <w:t>(5,6)</w:t>
      </w:r>
      <w:r w:rsidR="00373CF1">
        <w:rPr>
          <w:rFonts w:ascii="Arial" w:hAnsi="Arial" w:cs="Arial"/>
        </w:rPr>
        <w:fldChar w:fldCharType="end"/>
      </w:r>
      <w:r w:rsidRPr="001A6FEE">
        <w:rPr>
          <w:rFonts w:ascii="Arial" w:hAnsi="Arial" w:cs="Arial"/>
        </w:rPr>
        <w:t xml:space="preserve">. In this case, the progression from an initially benign-appearing lesion to a recurrent, multifocal disease with a final diagnosis of </w:t>
      </w:r>
      <w:r w:rsidR="00FF5E90">
        <w:rPr>
          <w:rFonts w:ascii="Arial" w:hAnsi="Arial" w:cs="Arial"/>
        </w:rPr>
        <w:t>NF</w:t>
      </w:r>
      <w:r w:rsidRPr="001A6FEE">
        <w:rPr>
          <w:rFonts w:ascii="Arial" w:hAnsi="Arial" w:cs="Arial"/>
        </w:rPr>
        <w:t xml:space="preserve"> demonstrates the importance of maintaining a broad differential and revisiting initial histological interpretations when faced with atypical recurrence patterns.</w:t>
      </w:r>
    </w:p>
    <w:p w14:paraId="382F3A14" w14:textId="3A0DC4D7" w:rsidR="001A6FEE" w:rsidRPr="001A6FEE" w:rsidRDefault="001A6FEE" w:rsidP="00D97369">
      <w:pPr>
        <w:pStyle w:val="Body"/>
        <w:rPr>
          <w:rFonts w:ascii="Arial" w:hAnsi="Arial" w:cs="Arial"/>
        </w:rPr>
      </w:pPr>
      <w:r w:rsidRPr="001A6FEE">
        <w:rPr>
          <w:rFonts w:ascii="Arial" w:hAnsi="Arial" w:cs="Arial"/>
        </w:rPr>
        <w:t>Nodular fibromatosis, often considered a localized and benign proliferation of fibroblastic tissue, can mimic other lesions both clinically and histologically</w:t>
      </w:r>
      <w:r w:rsidR="00373CF1">
        <w:rPr>
          <w:rFonts w:ascii="Arial" w:hAnsi="Arial" w:cs="Arial"/>
        </w:rPr>
        <w:fldChar w:fldCharType="begin"/>
      </w:r>
      <w:r w:rsidR="00D97369">
        <w:rPr>
          <w:rFonts w:ascii="Arial" w:hAnsi="Arial" w:cs="Arial"/>
        </w:rPr>
        <w:instrText xml:space="preserve"> ADDIN ZOTERO_ITEM CSL_CITATION {"citationID":"GzMVGlZx","properties":{"formattedCitation":"(4)","plainCitation":"(4)","noteIndex":0},"citationItems":[{"id":26,"uris":["http://zotero.org/users/local/7qifMvx1/items/5JLCN8WX"],"itemData":{"id":26,"type":"book","abstract":"Here&amp;#39;s your ideal reference on the diagnosis of tumors of the skeletal muscles, connective tissue, fat, and related structures. No other textbook matches its scope and depth of coverage in this complex and challenging area of surgical pathology, and no other text contains as much practical information on differential diagnosis. Throughout, microscopic findings are correlated with the latest developments in molecular biology, cytogenetics, and immunohistochemistry to provide you with a comprehensive and integrated approach to evaluation and diagnosis. Almost 2,000 superb illustrations capture the appearance of a complete range of entities and help relate these to their specific classifications. The result is an essential resource for all who diagnose and treat soft tissue tumors.Get all the assistance you need, in one reference, to effectively diagnose these often complex and challenging entities.Confirm your diagnostic suspicions by comparing your findings to nearly 2,000 full-color, high-quality illustrations representing the complete range of soft tissue tumors.Access all of the essential clinical and prognostic data necessary to formulate complete sign-out reports.Make optimal use of relevant ancillary techniques such as immunohistochemistry and cytogenetics.Make rapid and effective decisions with the aid of extensive algorithms, and access information at a glance with abundant tables and graphs.Solve difficult diagnostic dilemmas and avoid pitfalls with a special emphasis on overcoming these challenges.Find answers quickly thanks to a new color-coded page design as well as a consistent approach to every entity.Download all of the illustrations from the book for use in electronic presentations with the new bonus CD-ROM.Apply the latest knowledge on FNA biopsy, molecular biology, and cytogenetics.Understand complex molecular events more fully thanks to new conceptual line drawings.Easily distinguish between entities that have a similar appearance with the assistance of new tables that correlate histologic, immunohistochemical, and molecular biologic findings.Navigate through the book quickly thanks to new summary outlines at the beginning of each chapter.","ISBN":"978-0-323-07615-9","language":"en","note":"Google-Books-ID: 8zIuQzik8WAC","number-of-pages":"2815","publisher":"Elsevier Health Sciences","source":"Google Books","title":"Enzinger and Weiss's Soft Tissue Tumors","author":[{"family":"Weiss","given":"Sharon W."},{"family":"Goldblum","given":"John R."},{"family":"Folpe","given":"Andrew L."}],"issued":{"date-parts":[["2007",11,29]]}}}],"schema":"https://github.com/citation-style-language/schema/raw/master/csl-citation.json"} </w:instrText>
      </w:r>
      <w:r w:rsidR="00373CF1">
        <w:rPr>
          <w:rFonts w:ascii="Arial" w:hAnsi="Arial" w:cs="Arial"/>
        </w:rPr>
        <w:fldChar w:fldCharType="separate"/>
      </w:r>
      <w:r w:rsidR="00D97369" w:rsidRPr="00D97369">
        <w:rPr>
          <w:rFonts w:ascii="Arial" w:hAnsi="Arial" w:cs="Arial"/>
        </w:rPr>
        <w:t>(4)</w:t>
      </w:r>
      <w:r w:rsidR="00373CF1">
        <w:rPr>
          <w:rFonts w:ascii="Arial" w:hAnsi="Arial" w:cs="Arial"/>
        </w:rPr>
        <w:fldChar w:fldCharType="end"/>
      </w:r>
      <w:r w:rsidRPr="001A6FEE">
        <w:rPr>
          <w:rFonts w:ascii="Arial" w:hAnsi="Arial" w:cs="Arial"/>
        </w:rPr>
        <w:t xml:space="preserve">. </w:t>
      </w:r>
      <w:r w:rsidR="005D591F" w:rsidRPr="00A40E21">
        <w:rPr>
          <w:rFonts w:ascii="Arial" w:hAnsi="Arial" w:cs="Arial"/>
        </w:rPr>
        <w:t xml:space="preserve">Its recurrence is rare but has been documented, particularly when excision is incomplete or when the lesion is deeply adherent to adjacent structures, as was the case here with involvement of the extensor tendon slips. In this patient, the recurrence after the first surgery—combined with increasing size, multifocal presentation, and functional impairment—should have raised suspicion for a more aggressive or misdiagnosed pathology. Recurrent </w:t>
      </w:r>
      <w:r w:rsidR="00FF5E90" w:rsidRPr="00A40E21">
        <w:rPr>
          <w:rFonts w:ascii="Arial" w:hAnsi="Arial" w:cs="Arial"/>
        </w:rPr>
        <w:t>NFs</w:t>
      </w:r>
      <w:r w:rsidR="005D591F" w:rsidRPr="00A40E21">
        <w:rPr>
          <w:rFonts w:ascii="Arial" w:hAnsi="Arial" w:cs="Arial"/>
        </w:rPr>
        <w:t xml:space="preserve"> may result from incomplete resection or multifocal proliferation inherent to the pathology. While </w:t>
      </w:r>
      <w:r w:rsidR="00FF5E90" w:rsidRPr="00A40E21">
        <w:rPr>
          <w:rFonts w:ascii="Arial" w:hAnsi="Arial" w:cs="Arial"/>
        </w:rPr>
        <w:t>NFs</w:t>
      </w:r>
      <w:r w:rsidR="005D591F" w:rsidRPr="00A40E21">
        <w:rPr>
          <w:rFonts w:ascii="Arial" w:hAnsi="Arial" w:cs="Arial"/>
        </w:rPr>
        <w:t xml:space="preserve"> are generally non-encapsulated and infiltrative, making margin assessment difficult</w:t>
      </w:r>
      <w:r w:rsidR="00EE087C">
        <w:rPr>
          <w:rFonts w:ascii="Arial" w:hAnsi="Arial" w:cs="Arial"/>
        </w:rPr>
        <w:t xml:space="preserve">, </w:t>
      </w:r>
      <w:r w:rsidR="000C1CA7" w:rsidRPr="000C1CA7">
        <w:rPr>
          <w:rFonts w:ascii="Arial" w:hAnsi="Arial" w:cs="Arial"/>
        </w:rPr>
        <w:t>Similar cases described by Pearl et al. and Carvalho et al. also reported difficulties in achieving complete resection when neurofibromas were located near critical functional structures in the hand</w:t>
      </w:r>
      <w:r w:rsidR="000C1CA7">
        <w:rPr>
          <w:rFonts w:ascii="Arial" w:hAnsi="Arial" w:cs="Arial"/>
        </w:rPr>
        <w:t>,</w:t>
      </w:r>
      <w:r w:rsidR="005D591F" w:rsidRPr="00A40E21">
        <w:rPr>
          <w:rFonts w:ascii="Arial" w:hAnsi="Arial" w:cs="Arial"/>
        </w:rPr>
        <w:t xml:space="preserve"> recurrence can be minimized by ensuring adequate peripheral resection and identifying fascicular boundaries. A safety margin of at least 5 mm is often advocated in nerve sheath tumors where feasible</w:t>
      </w:r>
      <w:r w:rsidR="005D591F" w:rsidRPr="00A40E21">
        <w:rPr>
          <w:rFonts w:ascii="Arial" w:hAnsi="Arial" w:cs="Arial"/>
        </w:rPr>
        <w:fldChar w:fldCharType="begin"/>
      </w:r>
      <w:r w:rsidR="00D97369">
        <w:rPr>
          <w:rFonts w:ascii="Arial" w:hAnsi="Arial" w:cs="Arial"/>
        </w:rPr>
        <w:instrText xml:space="preserve"> ADDIN ZOTERO_ITEM CSL_CITATION {"citationID":"OT5wIF41","properties":{"formattedCitation":"(3)","plainCitation":"(3)","noteIndex":0},"citationItems":[{"id":39,"uris":["http://zotero.org/users/local/7qifMvx1/items/VK2BTSRC"],"itemData":{"id":39,"type":"article-journal","abstract":"Malignant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tumors","volume":"19","author":[{"family":"Gupta","given":"Gaurav"},{"family":"Mammis","given":"Antonios"},{"family":"Maniker","given":"Allen"}],"issued":{"date-parts":[["2008",10]]}}}],"schema":"https://github.com/citation-style-language/schema/raw/master/csl-citation.json"} </w:instrText>
      </w:r>
      <w:r w:rsidR="005D591F" w:rsidRPr="00A40E21">
        <w:rPr>
          <w:rFonts w:ascii="Arial" w:hAnsi="Arial" w:cs="Arial"/>
        </w:rPr>
        <w:fldChar w:fldCharType="separate"/>
      </w:r>
      <w:r w:rsidR="00D97369" w:rsidRPr="00D97369">
        <w:rPr>
          <w:rFonts w:ascii="Arial" w:hAnsi="Arial" w:cs="Arial"/>
        </w:rPr>
        <w:t>(3)</w:t>
      </w:r>
      <w:r w:rsidR="005D591F" w:rsidRPr="00A40E21">
        <w:rPr>
          <w:rFonts w:ascii="Arial" w:hAnsi="Arial" w:cs="Arial"/>
        </w:rPr>
        <w:fldChar w:fldCharType="end"/>
      </w:r>
      <w:r w:rsidR="005D591F" w:rsidRPr="00A40E21">
        <w:rPr>
          <w:rFonts w:ascii="Arial" w:hAnsi="Arial" w:cs="Arial"/>
        </w:rPr>
        <w:t>.</w:t>
      </w:r>
    </w:p>
    <w:p w14:paraId="0734E76C" w14:textId="7F4C4224" w:rsidR="001A6FEE" w:rsidRPr="001A6FEE" w:rsidRDefault="001A6FEE" w:rsidP="00D97369">
      <w:pPr>
        <w:pStyle w:val="Body"/>
        <w:rPr>
          <w:rFonts w:ascii="Arial" w:hAnsi="Arial" w:cs="Arial"/>
        </w:rPr>
      </w:pPr>
      <w:r w:rsidRPr="001A6FEE">
        <w:rPr>
          <w:rFonts w:ascii="Arial" w:hAnsi="Arial" w:cs="Arial"/>
        </w:rPr>
        <w:t xml:space="preserve">Importantly, the diagnosis of </w:t>
      </w:r>
      <w:r w:rsidR="00FF5E90">
        <w:rPr>
          <w:rFonts w:ascii="Arial" w:hAnsi="Arial" w:cs="Arial"/>
        </w:rPr>
        <w:t>NF</w:t>
      </w:r>
      <w:r w:rsidRPr="001A6FEE">
        <w:rPr>
          <w:rFonts w:ascii="Arial" w:hAnsi="Arial" w:cs="Arial"/>
        </w:rPr>
        <w:t>—confirmed only after multiple recurrences and extensive histopathological sampling—suggests that the initial biopsies may have been insufficient in scope or depth</w:t>
      </w:r>
      <w:r w:rsidR="00373CF1">
        <w:rPr>
          <w:rFonts w:ascii="Arial" w:hAnsi="Arial" w:cs="Arial"/>
        </w:rPr>
        <w:fldChar w:fldCharType="begin"/>
      </w:r>
      <w:r w:rsidR="00D97369">
        <w:rPr>
          <w:rFonts w:ascii="Arial" w:hAnsi="Arial" w:cs="Arial"/>
        </w:rPr>
        <w:instrText xml:space="preserve"> ADDIN ZOTERO_ITEM CSL_CITATION {"citationID":"YRsmUtSi","properties":{"formattedCitation":"(7)","plainCitation":"(7)","noteIndex":0},"citationItems":[{"id":23,"uris":["http://zotero.org/users/local/7qifMvx1/items/MEFUYBGG"],"itemData":{"id":23,"type":"article-journal","abstract":"Peripheral nerve sheath tumors are common neoplasms, with classic identifiable features, but on occasion, they are diagnostically challenging. Although well-defined subtypes of peripheral nerve sheath tumors were described early in the history of surgical pathology, controversies regarding the classification and grading of these tumors persist. Advances in molecular biology have provided new insights into the nature of the various peripheral nerve sheath tumors, and have begun to suggest novel targeted therapeutic approaches. In this review, we discuss current concepts and problematic areas in the pathology of peripheral nerve sheath tumors. Diagnostic criteria and differential diagnosis for the major categories of nerve sheath tumors are proposed, including neurofibroma, schwannoma, and perineurioma. Diagnostically challenging variants, including plexiform, cellular and melanotic schwannomas are highlighted. A subset of these affects the childhood population, and has historically been interpreted as malignant, although current evidence and outcome data suggest they represent benign entities. The growing current literature and the author's experience with difficult to classify borderline or \"hybrid tumors\" are discussed and illustrated. Some of these classification gray zones occur with frequency in the gastrointestinal tract, an anatomical compartment that must always be entertained when examining these neoplasms. Other growing recent areas of interest include the heterogeneous group of pseudoneoplastic lesions involving peripheral nerve composed of mature adipose tissue and/or skeletal muscle, such as the enigmatic neuromuscular choristoma. Malignant peripheral nerve sheath tumors (MPNST) represent a diagnostically controversial group; difficulties in grading and guidelines to separate \"atypical neurofibroma\" from MPNST are provided. There is an increasing literature of MPNST mimics which neuropathologists must be aware of, including synovial sarcoma and ossifying fibromyxoid tumor. Finally, we discuss entities that are lacking from the section on cranial and paraspinal nerves in the current WHO classification, and that may warrant inclusion in future classifications. In summary, although the diagnosis and classification of most conventional peripheral nerve sheath tumors are relatively straightforward for the experienced observer, yet borderline and difficult-to-classify neoplasms continue to be problematic. In the current review, we attempt to provide some useful guidelines for the surgical neuropathologist to help navigate these persistent, challenging problems.","container-title":"Acta Neuropathologica","DOI":"10.1007/s00401-012-0954-z","ISSN":"1432-0533","issue":"3","journalAbbreviation":"Acta Neuropathol","language":"eng","note":"PMID: 22327363\nPMCID: PMC3629555","page":"295-319","source":"PubMed","title":"Pathology of peripheral nerve sheath tumors: diagnostic overview and update on selected diagnostic problems","title-short":"Pathology of peripheral nerve sheath tumors","volume":"123","author":[{"family":"Rodriguez","given":"Fausto J."},{"family":"Folpe","given":"Andrew L."},{"family":"Giannini","given":"Caterina"},{"family":"Perry","given":"Arie"}],"issued":{"date-parts":[["2012",3]]}}}],"schema":"https://github.com/citation-style-language/schema/raw/master/csl-citation.json"} </w:instrText>
      </w:r>
      <w:r w:rsidR="00373CF1">
        <w:rPr>
          <w:rFonts w:ascii="Arial" w:hAnsi="Arial" w:cs="Arial"/>
        </w:rPr>
        <w:fldChar w:fldCharType="separate"/>
      </w:r>
      <w:r w:rsidR="00D97369" w:rsidRPr="00D97369">
        <w:rPr>
          <w:rFonts w:ascii="Arial" w:hAnsi="Arial" w:cs="Arial"/>
        </w:rPr>
        <w:t>(7)</w:t>
      </w:r>
      <w:r w:rsidR="00373CF1">
        <w:rPr>
          <w:rFonts w:ascii="Arial" w:hAnsi="Arial" w:cs="Arial"/>
        </w:rPr>
        <w:fldChar w:fldCharType="end"/>
      </w:r>
      <w:r w:rsidRPr="001A6FEE">
        <w:rPr>
          <w:rFonts w:ascii="Arial" w:hAnsi="Arial" w:cs="Arial"/>
        </w:rPr>
        <w:t xml:space="preserve">. </w:t>
      </w:r>
      <w:r w:rsidR="00FF5E90">
        <w:rPr>
          <w:rFonts w:ascii="Arial" w:hAnsi="Arial" w:cs="Arial"/>
        </w:rPr>
        <w:t>NFs</w:t>
      </w:r>
      <w:r w:rsidRPr="001A6FEE">
        <w:rPr>
          <w:rFonts w:ascii="Arial" w:hAnsi="Arial" w:cs="Arial"/>
        </w:rPr>
        <w:t>, benign peripheral nerve sheath tumors composed of Schwann cells, fibroblasts, and perineurial-like cells, can sometimes present with a misleading histological pattern, especially in the presence of fibrotic or cicatricial changes post-surgery</w:t>
      </w:r>
      <w:r w:rsidR="00373CF1">
        <w:rPr>
          <w:rFonts w:ascii="Arial" w:hAnsi="Arial" w:cs="Arial"/>
        </w:rPr>
        <w:fldChar w:fldCharType="begin"/>
      </w:r>
      <w:r w:rsidR="00D97369">
        <w:rPr>
          <w:rFonts w:ascii="Arial" w:hAnsi="Arial" w:cs="Arial"/>
        </w:rPr>
        <w:instrText xml:space="preserve"> ADDIN ZOTERO_ITEM CSL_CITATION {"citationID":"oREgddeZ","properties":{"formattedCitation":"(8)","plainCitation":"(8)","noteIndex":0},"citationItems":[{"id":34,"uris":["http://zotero.org/users/local/7qifMvx1/items/WZ7NFFQI"],"itemData":{"id":34,"type":"book","abstract":"Rosai and Ackerman’s Surgical Pathology delivers the authoritative guidance you need to overcome virtually any challenge in surgical pathology. Rec","ISBN":"978-81-312-2984-2","language":"en-US","source":"shop.elsevier.com","title":"Rosai and Ackerman's Surgical Pathology, 10e","URL":"https://shop.elsevier.com/books/rosai-and-ackermans-surgical-pathology-10e/rosai/978-81-312-2984-2","accessed":{"date-parts":[["2025",6,1]]},"issued":{"date-parts":[["2011",7,27]]}}}],"schema":"https://github.com/citation-style-language/schema/raw/master/csl-citation.json"} </w:instrText>
      </w:r>
      <w:r w:rsidR="00373CF1">
        <w:rPr>
          <w:rFonts w:ascii="Arial" w:hAnsi="Arial" w:cs="Arial"/>
        </w:rPr>
        <w:fldChar w:fldCharType="separate"/>
      </w:r>
      <w:r w:rsidR="00D97369" w:rsidRPr="00D97369">
        <w:rPr>
          <w:rFonts w:ascii="Arial" w:hAnsi="Arial" w:cs="Arial"/>
        </w:rPr>
        <w:t>(8)</w:t>
      </w:r>
      <w:r w:rsidR="00373CF1">
        <w:rPr>
          <w:rFonts w:ascii="Arial" w:hAnsi="Arial" w:cs="Arial"/>
        </w:rPr>
        <w:fldChar w:fldCharType="end"/>
      </w:r>
      <w:r w:rsidRPr="001A6FEE">
        <w:rPr>
          <w:rFonts w:ascii="Arial" w:hAnsi="Arial" w:cs="Arial"/>
        </w:rPr>
        <w:t xml:space="preserve">. Immunohistochemical analysis, particularly with markers like S100 protein, is critical in differentiating </w:t>
      </w:r>
      <w:r w:rsidR="00FF5E90">
        <w:rPr>
          <w:rFonts w:ascii="Arial" w:hAnsi="Arial" w:cs="Arial"/>
        </w:rPr>
        <w:t>NFs</w:t>
      </w:r>
      <w:r w:rsidRPr="001A6FEE">
        <w:rPr>
          <w:rFonts w:ascii="Arial" w:hAnsi="Arial" w:cs="Arial"/>
        </w:rPr>
        <w:t xml:space="preserve"> from fibromatosis and other soft tissue tumors</w:t>
      </w:r>
      <w:r w:rsidR="00373CF1">
        <w:rPr>
          <w:rFonts w:ascii="Arial" w:hAnsi="Arial" w:cs="Arial"/>
        </w:rPr>
        <w:fldChar w:fldCharType="begin"/>
      </w:r>
      <w:r w:rsidR="00D97369">
        <w:rPr>
          <w:rFonts w:ascii="Arial" w:hAnsi="Arial" w:cs="Arial"/>
        </w:rPr>
        <w:instrText xml:space="preserve"> ADDIN ZOTERO_ITEM CSL_CITATION {"citationID":"fJDVLRN7","properties":{"formattedCitation":"(7)","plainCitation":"(7)","noteIndex":0},"citationItems":[{"id":23,"uris":["http://zotero.org/users/local/7qifMvx1/items/MEFUYBGG"],"itemData":{"id":23,"type":"article-journal","abstract":"Peripheral nerve sheath tumors are common neoplasms, with classic identifiable features, but on occasion, they are diagnostically challenging. Although well-defined subtypes of peripheral nerve sheath tumors were described early in the history of surgical pathology, controversies regarding the classification and grading of these tumors persist. Advances in molecular biology have provided new insights into the nature of the various peripheral nerve sheath tumors, and have begun to suggest novel targeted therapeutic approaches. In this review, we discuss current concepts and problematic areas in the pathology of peripheral nerve sheath tumors. Diagnostic criteria and differential diagnosis for the major categories of nerve sheath tumors are proposed, including neurofibroma, schwannoma, and perineurioma. Diagnostically challenging variants, including plexiform, cellular and melanotic schwannomas are highlighted. A subset of these affects the childhood population, and has historically been interpreted as malignant, although current evidence and outcome data suggest they represent benign entities. The growing current literature and the author's experience with difficult to classify borderline or \"hybrid tumors\" are discussed and illustrated. Some of these classification gray zones occur with frequency in the gastrointestinal tract, an anatomical compartment that must always be entertained when examining these neoplasms. Other growing recent areas of interest include the heterogeneous group of pseudoneoplastic lesions involving peripheral nerve composed of mature adipose tissue and/or skeletal muscle, such as the enigmatic neuromuscular choristoma. Malignant peripheral nerve sheath tumors (MPNST) represent a diagnostically controversial group; difficulties in grading and guidelines to separate \"atypical neurofibroma\" from MPNST are provided. There is an increasing literature of MPNST mimics which neuropathologists must be aware of, including synovial sarcoma and ossifying fibromyxoid tumor. Finally, we discuss entities that are lacking from the section on cranial and paraspinal nerves in the current WHO classification, and that may warrant inclusion in future classifications. In summary, although the diagnosis and classification of most conventional peripheral nerve sheath tumors are relatively straightforward for the experienced observer, yet borderline and difficult-to-classify neoplasms continue to be problematic. In the current review, we attempt to provide some useful guidelines for the surgical neuropathologist to help navigate these persistent, challenging problems.","container-title":"Acta Neuropathologica","DOI":"10.1007/s00401-012-0954-z","ISSN":"1432-0533","issue":"3","journalAbbreviation":"Acta Neuropathol","language":"eng","note":"PMID: 22327363\nPMCID: PMC3629555","page":"295-319","source":"PubMed","title":"Pathology of peripheral nerve sheath tumors: diagnostic overview and update on selected diagnostic problems","title-short":"Pathology of peripheral nerve sheath tumors","volume":"123","author":[{"family":"Rodriguez","given":"Fausto J."},{"family":"Folpe","given":"Andrew L."},{"family":"Giannini","given":"Caterina"},{"family":"Perry","given":"Arie"}],"issued":{"date-parts":[["2012",3]]}}}],"schema":"https://github.com/citation-style-language/schema/raw/master/csl-citation.json"} </w:instrText>
      </w:r>
      <w:r w:rsidR="00373CF1">
        <w:rPr>
          <w:rFonts w:ascii="Arial" w:hAnsi="Arial" w:cs="Arial"/>
        </w:rPr>
        <w:fldChar w:fldCharType="separate"/>
      </w:r>
      <w:r w:rsidR="00D97369" w:rsidRPr="00D97369">
        <w:rPr>
          <w:rFonts w:ascii="Arial" w:hAnsi="Arial" w:cs="Arial"/>
        </w:rPr>
        <w:t>(7)</w:t>
      </w:r>
      <w:r w:rsidR="00373CF1">
        <w:rPr>
          <w:rFonts w:ascii="Arial" w:hAnsi="Arial" w:cs="Arial"/>
        </w:rPr>
        <w:fldChar w:fldCharType="end"/>
      </w:r>
      <w:r w:rsidRPr="001A6FEE">
        <w:rPr>
          <w:rFonts w:ascii="Arial" w:hAnsi="Arial" w:cs="Arial"/>
        </w:rPr>
        <w:t>. The absence of such analyses in earlier stages may explain the delayed definitive diagnosis.</w:t>
      </w:r>
    </w:p>
    <w:p w14:paraId="139EC060" w14:textId="722D5F58" w:rsidR="001A6FEE" w:rsidRPr="001A6FEE" w:rsidRDefault="001A6FEE" w:rsidP="00D97369">
      <w:pPr>
        <w:pStyle w:val="Body"/>
        <w:rPr>
          <w:rFonts w:ascii="Arial" w:hAnsi="Arial" w:cs="Arial"/>
        </w:rPr>
      </w:pPr>
      <w:r w:rsidRPr="001A6FEE">
        <w:rPr>
          <w:rFonts w:ascii="Arial" w:hAnsi="Arial" w:cs="Arial"/>
        </w:rPr>
        <w:t>The multifocal nature of the lesions observed in this patient also raises the question of a syndromic association, most notably</w:t>
      </w:r>
      <w:r w:rsidR="00FF5E90">
        <w:rPr>
          <w:rFonts w:ascii="Arial" w:hAnsi="Arial" w:cs="Arial"/>
        </w:rPr>
        <w:t xml:space="preserve"> NF1</w:t>
      </w:r>
      <w:r w:rsidRPr="001A6FEE">
        <w:rPr>
          <w:rFonts w:ascii="Arial" w:hAnsi="Arial" w:cs="Arial"/>
        </w:rPr>
        <w:t>, although the clinical vignette does not report any additional systemic manifestations or family history suggestive of NF1</w:t>
      </w:r>
      <w:r w:rsidR="00373CF1">
        <w:rPr>
          <w:rFonts w:ascii="Arial" w:hAnsi="Arial" w:cs="Arial"/>
        </w:rPr>
        <w:fldChar w:fldCharType="begin"/>
      </w:r>
      <w:r w:rsidR="00D97369">
        <w:rPr>
          <w:rFonts w:ascii="Arial" w:hAnsi="Arial" w:cs="Arial"/>
        </w:rPr>
        <w:instrText xml:space="preserve"> ADDIN ZOTERO_ITEM CSL_CITATION {"citationID":"MSqJ6qxA","properties":{"formattedCitation":"(3)","plainCitation":"(3)","noteIndex":0},"citationItems":[{"id":39,"uris":["http://zotero.org/users/local/7qifMvx1/items/VK2BTSRC"],"itemData":{"id":39,"type":"article-journal","abstract":"Malignant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tumors","volume":"19","author":[{"family":"Gupta","given":"Gaurav"},{"family":"Mammis","given":"Antonios"},{"family":"Maniker","given":"Allen"}],"issued":{"date-parts":[["2008",10]]}}}],"schema":"https://github.com/citation-style-language/schema/raw/master/csl-citation.json"} </w:instrText>
      </w:r>
      <w:r w:rsidR="00373CF1">
        <w:rPr>
          <w:rFonts w:ascii="Arial" w:hAnsi="Arial" w:cs="Arial"/>
        </w:rPr>
        <w:fldChar w:fldCharType="separate"/>
      </w:r>
      <w:r w:rsidR="00D97369" w:rsidRPr="00D97369">
        <w:rPr>
          <w:rFonts w:ascii="Arial" w:hAnsi="Arial" w:cs="Arial"/>
        </w:rPr>
        <w:t>(3)</w:t>
      </w:r>
      <w:r w:rsidR="00373CF1">
        <w:rPr>
          <w:rFonts w:ascii="Arial" w:hAnsi="Arial" w:cs="Arial"/>
        </w:rPr>
        <w:fldChar w:fldCharType="end"/>
      </w:r>
      <w:r w:rsidRPr="001A6FEE">
        <w:rPr>
          <w:rFonts w:ascii="Arial" w:hAnsi="Arial" w:cs="Arial"/>
        </w:rPr>
        <w:t>.</w:t>
      </w:r>
      <w:r w:rsidR="00F355D7" w:rsidRPr="00F355D7">
        <w:t xml:space="preserve"> </w:t>
      </w:r>
      <w:r w:rsidR="00F355D7" w:rsidRPr="00A40E21">
        <w:t xml:space="preserve">The diagnosis of the disease is based on the presence of at least two of the following criteria: At least six café au lait spots larger than 5mm before puberty and larger than 15mm after puberty; Two or more neurofibromas, one or more plexiform neuromas; Lentiginous spots of the axillary or inguinal region; Two or more iris hamartomas (Lisch nodules),one optic tract glioma; A characteristic bone lesion (pseudarthrosis of a long bone, </w:t>
      </w:r>
      <w:proofErr w:type="spellStart"/>
      <w:r w:rsidR="00F355D7" w:rsidRPr="00A40E21">
        <w:t>spheno</w:t>
      </w:r>
      <w:proofErr w:type="spellEnd"/>
      <w:r w:rsidR="00F355D7" w:rsidRPr="00A40E21">
        <w:t>-orbital dysplasia, cervical kyphosis)</w:t>
      </w:r>
      <w:r w:rsidR="00F355D7" w:rsidRPr="00A40E21">
        <w:fldChar w:fldCharType="begin"/>
      </w:r>
      <w:r w:rsidR="00D97369">
        <w:instrText xml:space="preserve"> ADDIN ZOTERO_ITEM CSL_CITATION {"citationID":"LM06gj9M","properties":{"formattedCitation":"(9)","plainCitation":"(9)","noteIndex":0},"citationItems":[{"id":47,"uris":["http://zotero.org/users/local/7qifMvx1/items/CSY7I5KH"],"itemData":{"id":47,"type":"article-journal","container-title":"International Journal of Medical and Pharmaceutical Case Reports","DOI":"10.9734/ijmpcr/2022/v15i430164","ISSN":"2394-109X","language":"en","page":"25-29","source":"journalijmpcr.com","title":"Plexiform Neurofibroma of Arm: A Case Report","title-short":"Plexiform Neurofibroma of Arm","author":[{"family":"Hamdaoui","given":"O. R."},{"family":"Kardi","given":"O."},{"family":"Tabakh","given":"H."},{"family":"Siwane","given":"A."},{"family":"Touil","given":"N."},{"family":"Kacimi","given":"O."},{"family":"Chikhaoui","given":"N."}],"issued":{"date-parts":[["2022",8,8]]}}}],"schema":"https://github.com/citation-style-language/schema/raw/master/csl-citation.json"} </w:instrText>
      </w:r>
      <w:r w:rsidR="00F355D7" w:rsidRPr="00A40E21">
        <w:fldChar w:fldCharType="separate"/>
      </w:r>
      <w:r w:rsidR="00D97369" w:rsidRPr="00D97369">
        <w:rPr>
          <w:rFonts w:cs="Helvetica"/>
        </w:rPr>
        <w:t>(9)</w:t>
      </w:r>
      <w:r w:rsidR="00F355D7" w:rsidRPr="00A40E21">
        <w:fldChar w:fldCharType="end"/>
      </w:r>
      <w:r w:rsidR="00F355D7" w:rsidRPr="00A40E21">
        <w:t>.</w:t>
      </w:r>
      <w:r w:rsidRPr="001A6FEE">
        <w:rPr>
          <w:rFonts w:ascii="Arial" w:hAnsi="Arial" w:cs="Arial"/>
        </w:rPr>
        <w:t xml:space="preserve"> In sporadic (non-syndromic) neurofibromas, the presentation is usually solitary; multifocal cases, particularly in the hand, are rare and warrant further genetic and dermatologic evaluation.</w:t>
      </w:r>
    </w:p>
    <w:p w14:paraId="4C46E7CF" w14:textId="77777777" w:rsidR="001A6FEE" w:rsidRPr="001A6FEE" w:rsidRDefault="001A6FEE" w:rsidP="001A6FEE">
      <w:pPr>
        <w:pStyle w:val="Body"/>
        <w:rPr>
          <w:rFonts w:ascii="Arial" w:hAnsi="Arial" w:cs="Arial"/>
        </w:rPr>
      </w:pPr>
    </w:p>
    <w:p w14:paraId="12EFAC11" w14:textId="59107D16" w:rsidR="001A6FEE" w:rsidRPr="001A6FEE" w:rsidRDefault="001A6FEE" w:rsidP="00D97369">
      <w:pPr>
        <w:pStyle w:val="Body"/>
        <w:rPr>
          <w:rFonts w:ascii="Arial" w:hAnsi="Arial" w:cs="Arial"/>
        </w:rPr>
      </w:pPr>
      <w:r w:rsidRPr="001A6FEE">
        <w:rPr>
          <w:rFonts w:ascii="Arial" w:hAnsi="Arial" w:cs="Arial"/>
        </w:rPr>
        <w:t>From a surgical standpoint, the repeated involvement of the extensor system and the development of mallet finger deformities following excisions highlight the balance required between achieving clear margins and preserving tendon integrity</w:t>
      </w:r>
      <w:r w:rsidR="00373CF1">
        <w:rPr>
          <w:rFonts w:ascii="Arial" w:hAnsi="Arial" w:cs="Arial"/>
        </w:rPr>
        <w:fldChar w:fldCharType="begin"/>
      </w:r>
      <w:r w:rsidR="00D97369">
        <w:rPr>
          <w:rFonts w:ascii="Arial" w:hAnsi="Arial" w:cs="Arial"/>
        </w:rPr>
        <w:instrText xml:space="preserve"> ADDIN ZOTERO_ITEM CSL_CITATION {"citationID":"j91scK5H","properties":{"formattedCitation":"(10)","plainCitation":"(10)","noteIndex":0},"citationItems":[{"id":36,"uris":["http://zotero.org/users/local/7qifMvx1/items/S2D8953R"],"itemData":{"id":36,"type":"article-journal","abstract":"Loss of the extensor mechanism at the distal interphalangeal (DIP) joint leads to mallet finger also known as baseball finger or drop finger. This can be secondary to tendon substance disruption or to a bony avulsion. Soft tissue mallet finger is the result of a rupture of the extensor tendon in Zone 1, and a bony mallet finger is the result of an avulsion of the extensor tendon from the distal phalanx with a small fragment of bone attached to the avulsed tendon. Mallet finger leads to an imbalance in the distribution of the extensor force between the proximal interphalangeal (PIP) and DIP joints. If left untreated, mallet finger leads to a swan neck deformity from PIP joint hyper extension and DIP joint flexion. Most mallet finger injuries can be managed non-surgically, but occasionally surgery is recommended for either an acute or a chronic mallet finger or for salvage of failed prior treatment.","container-title":"Hand (New York, N.Y.)","DOI":"10.1007/s11552-014-9609-y","ISSN":"1558-9447","issue":"2","journalAbbreviation":"Hand (N Y)","note":"PMID: 24839413\nPMCID: PMC4022957","page":"138-144","source":"PubMed Central","title":"Current concepts: mallet finger","title-short":"Current concepts","volume":"9","author":[{"family":"Alla","given":"Sreenivasa R."},{"family":"Deal","given":"Nicole D."},{"family":"Dempsey","given":"Ian J."}],"issued":{"date-parts":[["2014",6]]}}}],"schema":"https://github.com/citation-style-language/schema/raw/master/csl-citation.json"} </w:instrText>
      </w:r>
      <w:r w:rsidR="00373CF1">
        <w:rPr>
          <w:rFonts w:ascii="Arial" w:hAnsi="Arial" w:cs="Arial"/>
        </w:rPr>
        <w:fldChar w:fldCharType="separate"/>
      </w:r>
      <w:r w:rsidR="00D97369" w:rsidRPr="00D97369">
        <w:rPr>
          <w:rFonts w:ascii="Arial" w:hAnsi="Arial" w:cs="Arial"/>
        </w:rPr>
        <w:t>(10)</w:t>
      </w:r>
      <w:r w:rsidR="00373CF1">
        <w:rPr>
          <w:rFonts w:ascii="Arial" w:hAnsi="Arial" w:cs="Arial"/>
        </w:rPr>
        <w:fldChar w:fldCharType="end"/>
      </w:r>
      <w:r w:rsidRPr="001A6FEE">
        <w:rPr>
          <w:rFonts w:ascii="Arial" w:hAnsi="Arial" w:cs="Arial"/>
        </w:rPr>
        <w:t>. Postoperative immobilization and rehabilitation were essential, but the recurrence rate suggests a need for multidisciplinary management, potentially including neurology and oncology input for systemic evaluation</w:t>
      </w:r>
      <w:r w:rsidR="00373CF1">
        <w:rPr>
          <w:rFonts w:ascii="Arial" w:hAnsi="Arial" w:cs="Arial"/>
        </w:rPr>
        <w:fldChar w:fldCharType="begin"/>
      </w:r>
      <w:r w:rsidR="00D97369">
        <w:rPr>
          <w:rFonts w:ascii="Arial" w:hAnsi="Arial" w:cs="Arial"/>
        </w:rPr>
        <w:instrText xml:space="preserve"> ADDIN ZOTERO_ITEM CSL_CITATION {"citationID":"PQt8nDgn","properties":{"formattedCitation":"(3,11)","plainCitation":"(3,11)","noteIndex":0},"citationItems":[{"id":39,"uris":["http://zotero.org/users/local/7qifMvx1/items/VK2BTSRC"],"itemData":{"id":39,"type":"article-journal","abstract":"Malignant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label":"page"},{"id":30,"uris":["http://zotero.org/users/local/7qifMvx1/items/PR8SBDUL"],"itemData":{"id":30,"type":"article-journal","abstract":"We report the case of a large sporadic neurofibroma arising in the palm of the 40 year old nurse. Isolated neurofibroma in the hand are rare and pose both diagnostic and treatment challenges for the surgeon. Preoperative imaging can be useful to delineate the anatomical relationships of a soft tissue lesion but is not always diagnostic. The key points in the management of these tumours are discussed.","container-title":"Journal of plastic, reconstructive &amp; aesthetic surgery: JPRAS","DOI":"10.1016/j.bjps.2009.12.012","ISSN":"1878-0539","issue":"7","journalAbbreviation":"J Plast Reconstr Aesthet Surg","language":"eng","note":"PMID: 20061199","page":"e573-575","source":"PubMed","title":"A case of large sporadic neurofibroma of the hand","volume":"63","author":[{"family":"Pearl","given":"Robert A."},{"family":"O'Toole","given":"Greg"}],"issued":{"date-parts":[["2010",7]]}},"label":"page"}],"schema":"https://github.com/citation-style-language/schema/raw/master/csl-citation.json"} </w:instrText>
      </w:r>
      <w:r w:rsidR="00373CF1">
        <w:rPr>
          <w:rFonts w:ascii="Arial" w:hAnsi="Arial" w:cs="Arial"/>
        </w:rPr>
        <w:fldChar w:fldCharType="separate"/>
      </w:r>
      <w:r w:rsidR="00D97369" w:rsidRPr="00D97369">
        <w:rPr>
          <w:rFonts w:ascii="Arial" w:hAnsi="Arial" w:cs="Arial"/>
        </w:rPr>
        <w:t>(3,11)</w:t>
      </w:r>
      <w:r w:rsidR="00373CF1">
        <w:rPr>
          <w:rFonts w:ascii="Arial" w:hAnsi="Arial" w:cs="Arial"/>
        </w:rPr>
        <w:fldChar w:fldCharType="end"/>
      </w:r>
      <w:r w:rsidRPr="001A6FEE">
        <w:rPr>
          <w:rFonts w:ascii="Arial" w:hAnsi="Arial" w:cs="Arial"/>
        </w:rPr>
        <w:t>.</w:t>
      </w:r>
    </w:p>
    <w:p w14:paraId="570B8926" w14:textId="0ED6E3F6" w:rsidR="001A6FEE" w:rsidRPr="001A6FEE" w:rsidRDefault="001A6FEE" w:rsidP="00D97369">
      <w:pPr>
        <w:pStyle w:val="Body"/>
        <w:rPr>
          <w:rFonts w:ascii="Arial" w:hAnsi="Arial" w:cs="Arial"/>
        </w:rPr>
      </w:pPr>
      <w:r w:rsidRPr="001A6FEE">
        <w:rPr>
          <w:rFonts w:ascii="Arial" w:hAnsi="Arial" w:cs="Arial"/>
        </w:rPr>
        <w:t>Finally, the positive pseudo-Tinel’s sign observed in the final recurrence is an important clinical clue, suggestive of a lesion with neural involvement, which aligns with the eventual diagnosis of neurofibroma</w:t>
      </w:r>
      <w:r w:rsidR="00373CF1">
        <w:rPr>
          <w:rFonts w:ascii="Arial" w:hAnsi="Arial" w:cs="Arial"/>
        </w:rPr>
        <w:fldChar w:fldCharType="begin"/>
      </w:r>
      <w:r w:rsidR="00D97369">
        <w:rPr>
          <w:rFonts w:ascii="Arial" w:hAnsi="Arial" w:cs="Arial"/>
        </w:rPr>
        <w:instrText xml:space="preserve"> ADDIN ZOTERO_ITEM CSL_CITATION {"citationID":"BlgG6SZY","properties":{"formattedCitation":"(11,12)","plainCitation":"(11,12)","noteIndex":0},"citationItems":[{"id":30,"uris":["http://zotero.org/users/local/7qifMvx1/items/PR8SBDUL"],"itemData":{"id":30,"type":"article-journal","abstract":"We report the case of a large sporadic neurofibroma arising in the palm of the 40 year old nurse. Isolated neurofibroma in the hand are rare and pose both diagnostic and treatment challenges for the surgeon. Preoperative imaging can be useful to delineate the anatomical relationships of a soft tissue lesion but is not always diagnostic. The key points in the management of these tumours are discussed.","container-title":"Journal of plastic, reconstructive &amp; aesthetic surgery: JPRAS","DOI":"10.1016/j.bjps.2009.12.012","ISSN":"1878-0539","issue":"7","journalAbbreviation":"J Plast Reconstr Aesthet Surg","language":"eng","note":"PMID: 20061199","page":"e573-575","source":"PubMed","title":"A case of large sporadic neurofibroma of the hand","volume":"63","author":[{"family":"Pearl","given":"Robert A."},{"family":"O'Toole","given":"Greg"}],"issued":{"date-parts":[["2010",7]]}},"label":"page"},{"id":32,"uris":["http://zotero.org/users/local/7qifMvx1/items/XS7VPZ65"],"itemData":{"id":32,"type":"article-journal","abstract":"Recurrent digital fibromatosis is a rare, benign fibrous growth of childhood. The condition, which features rapid growth and local recurrences, may be mistaken for a malignant tumor. A case report is presented.","container-title":"The Journal of Hand Surgery","DOI":"10.1016/s0363-5023(09)91116-9","ISSN":"0363-5023","issue":"1","journalAbbreviation":"J Hand Surg Am","language":"eng","note":"PMID: 2299148","page":"106-109","source":"PubMed","title":"Recurrent digital fibromatosis of childhood","volume":"15","author":[{"family":"Lauri","given":"G."},{"family":"Santucci","given":"M."},{"family":"Ceruso","given":"M."},{"family":"Innocenti","given":"M."}],"issued":{"date-parts":[["1990",1]]}},"label":"page"}],"schema":"https://github.com/citation-style-language/schema/raw/master/csl-citation.json"} </w:instrText>
      </w:r>
      <w:r w:rsidR="00373CF1">
        <w:rPr>
          <w:rFonts w:ascii="Arial" w:hAnsi="Arial" w:cs="Arial"/>
        </w:rPr>
        <w:fldChar w:fldCharType="separate"/>
      </w:r>
      <w:r w:rsidR="00D97369" w:rsidRPr="00D97369">
        <w:rPr>
          <w:rFonts w:ascii="Arial" w:hAnsi="Arial" w:cs="Arial"/>
        </w:rPr>
        <w:t>(11,12)</w:t>
      </w:r>
      <w:r w:rsidR="00373CF1">
        <w:rPr>
          <w:rFonts w:ascii="Arial" w:hAnsi="Arial" w:cs="Arial"/>
        </w:rPr>
        <w:fldChar w:fldCharType="end"/>
      </w:r>
      <w:r w:rsidRPr="001A6FEE">
        <w:rPr>
          <w:rFonts w:ascii="Arial" w:hAnsi="Arial" w:cs="Arial"/>
        </w:rPr>
        <w:t>. This physical finding, in the setting of recurrent masses, should prompt earlier consideration of nerve sheath tumors</w:t>
      </w:r>
      <w:r w:rsidR="00B8625D">
        <w:rPr>
          <w:rFonts w:ascii="Arial" w:hAnsi="Arial" w:cs="Arial"/>
        </w:rPr>
        <w:fldChar w:fldCharType="begin"/>
      </w:r>
      <w:r w:rsidR="00D97369">
        <w:rPr>
          <w:rFonts w:ascii="Arial" w:hAnsi="Arial" w:cs="Arial"/>
        </w:rPr>
        <w:instrText xml:space="preserve"> ADDIN ZOTERO_ITEM CSL_CITATION {"citationID":"at7i9z0H","properties":{"formattedCitation":"(3,4)","plainCitation":"(3,4)","noteIndex":0},"citationItems":[{"id":26,"uris":["http://zotero.org/users/local/7qifMvx1/items/5JLCN8WX"],"itemData":{"id":26,"type":"book","abstract":"Here&amp;#39;s your ideal reference on the diagnosis of tumors of the skeletal muscles, connective tissue, fat, and related structures. No other textbook matches its scope and depth of coverage in this complex and challenging area of surgical pathology, and no other text contains as much practical information on differential diagnosis. Throughout, microscopic findings are correlated with the latest developments in molecular biology, cytogenetics, and immunohistochemistry to provide you with a comprehensive and integrated approach to evaluation and diagnosis. Almost 2,000 superb illustrations capture the appearance of a complete range of entities and help relate these to their specific classifications. The result is an essential resource for all who diagnose and treat soft tissue tumors.Get all the assistance you need, in one reference, to effectively diagnose these often complex and challenging entities.Confirm your diagnostic suspicions by comparing your findings to nearly 2,000 full-color, high-quality illustrations representing the complete range of soft tissue tumors.Access all of the essential clinical and prognostic data necessary to formulate complete sign-out reports.Make optimal use of relevant ancillary techniques such as immunohistochemistry and cytogenetics.Make rapid and effective decisions with the aid of extensive algorithms, and access information at a glance with abundant tables and graphs.Solve difficult diagnostic dilemmas and avoid pitfalls with a special emphasis on overcoming these challenges.Find answers quickly thanks to a new color-coded page design as well as a consistent approach to every entity.Download all of the illustrations from the book for use in electronic presentations with the new bonus CD-ROM.Apply the latest knowledge on FNA biopsy, molecular biology, and cytogenetics.Understand complex molecular events more fully thanks to new conceptual line drawings.Easily distinguish between entities that have a similar appearance with the assistance of new tables that correlate histologic, immunohistochemical, and molecular biologic findings.Navigate through the book quickly thanks to new summary outlines at the beginning of each chapter.","ISBN":"978-0-323-07615-9","language":"en","note":"Google-Books-ID: 8zIuQzik8WAC","number-of-pages":"2815","publisher":"Elsevier Health Sciences","source":"Google Books","title":"Enzinger and Weiss's Soft Tissue Tumors","author":[{"family":"Weiss","given":"Sharon W."},{"family":"Goldblum","given":"John R."},{"family":"Folpe","given":"Andrew L."}],"issued":{"date-parts":[["2007",11,29]]}},"label":"page"},{"id":39,"uris":["http://zotero.org/users/local/7qifMvx1/items/VK2BTSRC"],"itemData":{"id":39,"type":"article-journal","abstract":"Malignant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label":"page"}],"schema":"https://github.com/citation-style-language/schema/raw/master/csl-citation.json"} </w:instrText>
      </w:r>
      <w:r w:rsidR="00B8625D">
        <w:rPr>
          <w:rFonts w:ascii="Arial" w:hAnsi="Arial" w:cs="Arial"/>
        </w:rPr>
        <w:fldChar w:fldCharType="separate"/>
      </w:r>
      <w:r w:rsidR="00D97369" w:rsidRPr="00D97369">
        <w:rPr>
          <w:rFonts w:ascii="Arial" w:hAnsi="Arial" w:cs="Arial"/>
        </w:rPr>
        <w:t>(3,4)</w:t>
      </w:r>
      <w:r w:rsidR="00B8625D">
        <w:rPr>
          <w:rFonts w:ascii="Arial" w:hAnsi="Arial" w:cs="Arial"/>
        </w:rPr>
        <w:fldChar w:fldCharType="end"/>
      </w:r>
      <w:r w:rsidRPr="001A6FEE">
        <w:rPr>
          <w:rFonts w:ascii="Arial" w:hAnsi="Arial" w:cs="Arial"/>
        </w:rPr>
        <w:t>.</w:t>
      </w:r>
    </w:p>
    <w:p w14:paraId="048BF31A" w14:textId="68A9B538" w:rsidR="00E053D0" w:rsidRDefault="001A6FEE" w:rsidP="00D97369">
      <w:pPr>
        <w:pStyle w:val="Body"/>
        <w:spacing w:after="0"/>
        <w:rPr>
          <w:rFonts w:ascii="Arial" w:hAnsi="Arial" w:cs="Arial"/>
        </w:rPr>
      </w:pPr>
      <w:r w:rsidRPr="001A6FEE">
        <w:rPr>
          <w:rFonts w:ascii="Arial" w:hAnsi="Arial" w:cs="Arial"/>
        </w:rPr>
        <w:t>This case emphasizes the importance of a stepwise, evolving diagnostic approach when managing recurrent soft tissue tumors, especially in atypical locations such as the hand</w:t>
      </w:r>
      <w:r w:rsidR="00B8625D">
        <w:rPr>
          <w:rFonts w:ascii="Arial" w:hAnsi="Arial" w:cs="Arial"/>
        </w:rPr>
        <w:fldChar w:fldCharType="begin"/>
      </w:r>
      <w:r w:rsidR="00D97369">
        <w:rPr>
          <w:rFonts w:ascii="Arial" w:hAnsi="Arial" w:cs="Arial"/>
        </w:rPr>
        <w:instrText xml:space="preserve"> ADDIN ZOTERO_ITEM CSL_CITATION {"citationID":"QvvxsrLq","properties":{"formattedCitation":"(6,11)","plainCitation":"(6,11)","noteIndex":0},"citationItems":[{"id":28,"uris":["http://zotero.org/users/local/7qifMvx1/items/I955MCQV"],"itemData":{"id":28,"type":"article-journal","abstract":"Tumor-like conditions of the hand and upper extremity typically present as masses and can be confused as more serious conditions. The differential diagnosis of these lesions can cross over with many more commonly recognized benign and malignant upper limb tumors, and it is, therefore, important for the hand surgeon to be familiar with tumor-like conditions. The diagnosis of these lesions often can be made on clinical grounds supported by a careful physical examination and plain film radiography. Advanced imaging and excisional biopsy may be needed in many circumstances to secure the diagnosis given their similarity with bone and soft tissue sarcomas.","container-title":"The Journal of Hand Surgery","DOI":"10.1016/j.jhsa.2017.09.012","ISSN":"1531-6564","issue":"12","journalAbbreviation":"J Hand Surg Am","language":"eng","note":"PMID: 29089162","page":"1009-1017","source":"PubMed","title":"Tumor-Like Conditions of the Hand and Upper Extremity","volume":"42","author":[{"family":"Sherman","given":"Courtney E."},{"family":"Murray","given":"Peter M."}],"issued":{"date-parts":[["2017",12]]}},"label":"page"},{"id":30,"uris":["http://zotero.org/users/local/7qifMvx1/items/PR8SBDUL"],"itemData":{"id":30,"type":"article-journal","abstract":"We report the case of a large sporadic neurofibroma arising in the palm of the 40 year old nurse. Isolated neurofibroma in the hand are rare and pose both diagnostic and treatment challenges for the surgeon. Preoperative imaging can be useful to delineate the anatomical relationships of a soft tissue lesion but is not always diagnostic. The key points in the management of these tumours are discussed.","container-title":"Journal of plastic, reconstructive &amp; aesthetic surgery: JPRAS","DOI":"10.1016/j.bjps.2009.12.012","ISSN":"1878-0539","issue":"7","journalAbbreviation":"J Plast Reconstr Aesthet Surg","language":"eng","note":"PMID: 20061199","page":"e573-575","source":"PubMed","title":"A case of large sporadic neurofibroma of the hand","volume":"63","author":[{"family":"Pearl","given":"Robert A."},{"family":"O'Toole","given":"Greg"}],"issued":{"date-parts":[["2010",7]]}},"label":"page"}],"schema":"https://github.com/citation-style-language/schema/raw/master/csl-citation.json"} </w:instrText>
      </w:r>
      <w:r w:rsidR="00B8625D">
        <w:rPr>
          <w:rFonts w:ascii="Arial" w:hAnsi="Arial" w:cs="Arial"/>
        </w:rPr>
        <w:fldChar w:fldCharType="separate"/>
      </w:r>
      <w:r w:rsidR="00D97369" w:rsidRPr="00D97369">
        <w:rPr>
          <w:rFonts w:ascii="Arial" w:hAnsi="Arial" w:cs="Arial"/>
        </w:rPr>
        <w:t>(6,11)</w:t>
      </w:r>
      <w:r w:rsidR="00B8625D">
        <w:rPr>
          <w:rFonts w:ascii="Arial" w:hAnsi="Arial" w:cs="Arial"/>
        </w:rPr>
        <w:fldChar w:fldCharType="end"/>
      </w:r>
      <w:r w:rsidRPr="001A6FEE">
        <w:rPr>
          <w:rFonts w:ascii="Arial" w:hAnsi="Arial" w:cs="Arial"/>
        </w:rPr>
        <w:t xml:space="preserve">. It also advocates for the early use of MRI and </w:t>
      </w:r>
      <w:proofErr w:type="spellStart"/>
      <w:r w:rsidRPr="001A6FEE">
        <w:rPr>
          <w:rFonts w:ascii="Arial" w:hAnsi="Arial" w:cs="Arial"/>
        </w:rPr>
        <w:t>histo</w:t>
      </w:r>
      <w:proofErr w:type="spellEnd"/>
      <w:r w:rsidRPr="001A6FEE">
        <w:rPr>
          <w:rFonts w:ascii="Arial" w:hAnsi="Arial" w:cs="Arial"/>
        </w:rPr>
        <w:t>-immunohistochemical studies to achieve accurate diagnosis and avoid unnecessary morbidity due to repeated surgeries</w:t>
      </w:r>
      <w:r w:rsidR="00B8625D">
        <w:rPr>
          <w:rFonts w:ascii="Arial" w:hAnsi="Arial" w:cs="Arial"/>
        </w:rPr>
        <w:fldChar w:fldCharType="begin"/>
      </w:r>
      <w:r w:rsidR="00D97369">
        <w:rPr>
          <w:rFonts w:ascii="Arial" w:hAnsi="Arial" w:cs="Arial"/>
        </w:rPr>
        <w:instrText xml:space="preserve"> ADDIN ZOTERO_ITEM CSL_CITATION {"citationID":"fzAZddzR","properties":{"formattedCitation":"(7,8)","plainCitation":"(7,8)","noteIndex":0},"citationItems":[{"id":23,"uris":["http://zotero.org/users/local/7qifMvx1/items/MEFUYBGG"],"itemData":{"id":23,"type":"article-journal","abstract":"Peripheral nerve sheath tumors are common neoplasms, with classic identifiable features, but on occasion, they are diagnostically challenging. Although well-defined subtypes of peripheral nerve sheath tumors were described early in the history of surgical pathology, controversies regarding the classification and grading of these tumors persist. Advances in molecular biology have provided new insights into the nature of the various peripheral nerve sheath tumors, and have begun to suggest novel targeted therapeutic approaches. In this review, we discuss current concepts and problematic areas in the pathology of peripheral nerve sheath tumors. Diagnostic criteria and differential diagnosis for the major categories of nerve sheath tumors are proposed, including neurofibroma, schwannoma, and perineurioma. Diagnostically challenging variants, including plexiform, cellular and melanotic schwannomas are highlighted. A subset of these affects the childhood population, and has historically been interpreted as malignant, although current evidence and outcome data suggest they represent benign entities. The growing current literature and the author's experience with difficult to classify borderline or \"hybrid tumors\" are discussed and illustrated. Some of these classification gray zones occur with frequency in the gastrointestinal tract, an anatomical compartment that must always be entertained when examining these neoplasms. Other growing recent areas of interest include the heterogeneous group of pseudoneoplastic lesions involving peripheral nerve composed of mature adipose tissue and/or skeletal muscle, such as the enigmatic neuromuscular choristoma. Malignant peripheral nerve sheath tumors (MPNST) represent a diagnostically controversial group; difficulties in grading and guidelines to separate \"atypical neurofibroma\" from MPNST are provided. There is an increasing literature of MPNST mimics which neuropathologists must be aware of, including synovial sarcoma and ossifying fibromyxoid tumor. Finally, we discuss entities that are lacking from the section on cranial and paraspinal nerves in the current WHO classification, and that may warrant inclusion in future classifications. In summary, although the diagnosis and classification of most conventional peripheral nerve sheath tumors are relatively straightforward for the experienced observer, yet borderline and difficult-to-classify neoplasms continue to be problematic. In the current review, we attempt to provide some useful guidelines for the surgical neuropathologist to help navigate these persistent, challenging problems.","container-title":"Acta Neuropathologica","DOI":"10.1007/s00401-012-0954-z","ISSN":"1432-0533","issue":"3","journalAbbreviation":"Acta Neuropathol","language":"eng","note":"PMID: 22327363\nPMCID: PMC3629555","page":"295-319","source":"PubMed","title":"Pathology of peripheral nerve sheath tumors: diagnostic overview and update on selected diagnostic problems","title-short":"Pathology of peripheral nerve sheath tumors","volume":"123","author":[{"family":"Rodriguez","given":"Fausto J."},{"family":"Folpe","given":"Andrew L."},{"family":"Giannini","given":"Caterina"},{"family":"Perry","given":"Arie"}],"issued":{"date-parts":[["2012",3]]}},"label":"page"},{"id":34,"uris":["http://zotero.org/users/local/7qifMvx1/items/WZ7NFFQI"],"itemData":{"id":34,"type":"book","abstract":"Rosai and Ackerman’s Surgical Pathology delivers the authoritative guidance you need to overcome virtually any challenge in surgical pathology. Rec","ISBN":"978-81-312-2984-2","language":"en-US","source":"shop.elsevier.com","title":"Rosai and Ackerman's Surgical Pathology, 10e","URL":"https://shop.elsevier.com/books/rosai-and-ackermans-surgical-pathology-10e/rosai/978-81-312-2984-2","accessed":{"date-parts":[["2025",6,1]]},"issued":{"date-parts":[["2011",7,27]]}},"label":"page"}],"schema":"https://github.com/citation-style-language/schema/raw/master/csl-citation.json"} </w:instrText>
      </w:r>
      <w:r w:rsidR="00B8625D">
        <w:rPr>
          <w:rFonts w:ascii="Arial" w:hAnsi="Arial" w:cs="Arial"/>
        </w:rPr>
        <w:fldChar w:fldCharType="separate"/>
      </w:r>
      <w:r w:rsidR="00D97369" w:rsidRPr="00D97369">
        <w:rPr>
          <w:rFonts w:ascii="Arial" w:hAnsi="Arial" w:cs="Arial"/>
        </w:rPr>
        <w:t>(7,8)</w:t>
      </w:r>
      <w:r w:rsidR="00B8625D">
        <w:rPr>
          <w:rFonts w:ascii="Arial" w:hAnsi="Arial" w:cs="Arial"/>
        </w:rPr>
        <w:fldChar w:fldCharType="end"/>
      </w:r>
      <w:r w:rsidRPr="001A6FEE">
        <w:rPr>
          <w:rFonts w:ascii="Arial" w:hAnsi="Arial" w:cs="Arial"/>
        </w:rPr>
        <w:t>. Recent French recommendations also emphasize early genetic counseling and multidisciplinary assessment in suspected NF1 cases</w:t>
      </w:r>
      <w:r w:rsidR="00FC5E79">
        <w:rPr>
          <w:rFonts w:ascii="Arial" w:hAnsi="Arial" w:cs="Arial"/>
        </w:rPr>
        <w:t>.</w:t>
      </w:r>
      <w:r w:rsidR="00FC5E79" w:rsidRPr="00FC5E79">
        <w:t xml:space="preserve"> </w:t>
      </w:r>
      <w:r w:rsidR="00FF5E90">
        <w:rPr>
          <w:rFonts w:ascii="Arial" w:hAnsi="Arial" w:cs="Arial"/>
        </w:rPr>
        <w:t>R</w:t>
      </w:r>
      <w:r w:rsidR="00FC5E79" w:rsidRPr="00FC5E79">
        <w:rPr>
          <w:rFonts w:ascii="Arial" w:hAnsi="Arial" w:cs="Arial"/>
        </w:rPr>
        <w:t xml:space="preserve">ecurrent or deep-seated </w:t>
      </w:r>
      <w:r w:rsidR="00FF5E90">
        <w:rPr>
          <w:rFonts w:ascii="Arial" w:hAnsi="Arial" w:cs="Arial"/>
        </w:rPr>
        <w:t>NFs</w:t>
      </w:r>
      <w:r w:rsidR="00FC5E79" w:rsidRPr="00FC5E79">
        <w:rPr>
          <w:rFonts w:ascii="Arial" w:hAnsi="Arial" w:cs="Arial"/>
        </w:rPr>
        <w:t xml:space="preserve"> warrant rigorous clinical and radiological monitoring due to the recognized risk of malignant transformation into malignant peripheral nerve sheath tumors (MPNSTs)</w:t>
      </w:r>
      <w:r w:rsidR="000C1CA7">
        <w:rPr>
          <w:rFonts w:ascii="Arial" w:hAnsi="Arial" w:cs="Arial"/>
        </w:rPr>
        <w:t>, t</w:t>
      </w:r>
      <w:r w:rsidR="000C1CA7" w:rsidRPr="000C1CA7">
        <w:rPr>
          <w:rFonts w:ascii="Arial" w:hAnsi="Arial" w:cs="Arial"/>
        </w:rPr>
        <w:t xml:space="preserve">his aligns with the recommendations of Rodriguez et al., who </w:t>
      </w:r>
      <w:proofErr w:type="gramStart"/>
      <w:r w:rsidR="000C1CA7" w:rsidRPr="000C1CA7">
        <w:rPr>
          <w:rFonts w:ascii="Arial" w:hAnsi="Arial" w:cs="Arial"/>
        </w:rPr>
        <w:t>stress</w:t>
      </w:r>
      <w:proofErr w:type="gramEnd"/>
      <w:r w:rsidR="000C1CA7" w:rsidRPr="000C1CA7">
        <w:rPr>
          <w:rFonts w:ascii="Arial" w:hAnsi="Arial" w:cs="Arial"/>
        </w:rPr>
        <w:t xml:space="preserve"> the need for long-term follow-up in multifocal peripheral nerve sheath tumors due to the potential risk of malignant transformation</w:t>
      </w:r>
      <w:r w:rsidR="00FC5E79" w:rsidRPr="00FC5E79">
        <w:rPr>
          <w:rFonts w:ascii="Arial" w:hAnsi="Arial" w:cs="Arial"/>
        </w:rPr>
        <w:t>. Although neurofibromas are benign by nature, the potential for malignant progression—particularly in plexiform or multifocal lesions—is well-documented in the literature. MRI, often complemented by metabolic imaging such as PET-CT, is advised to detect early signs of transformation, including rapid growth, heterogeneity, or increased metabolic activity. In this case, the recurrent, multifocal nature of the digital lesions—along with their progressive enlargement and involvement of critical anatomical structures—may justify prolonged and systematic surveillance</w:t>
      </w:r>
      <w:r w:rsidR="00B8625D">
        <w:rPr>
          <w:rFonts w:ascii="Arial" w:hAnsi="Arial" w:cs="Arial"/>
        </w:rPr>
        <w:fldChar w:fldCharType="begin"/>
      </w:r>
      <w:r w:rsidR="00D97369">
        <w:rPr>
          <w:rFonts w:ascii="Arial" w:hAnsi="Arial" w:cs="Arial"/>
        </w:rPr>
        <w:instrText xml:space="preserve"> ADDIN ZOTERO_ITEM CSL_CITATION {"citationID":"olVZkrlA","properties":{"formattedCitation":"(2)","plainCitation":"(2)","noteIndex":0},"citationItems":[{"id":41,"uris":["http://zotero.org/users/local/7qifMvx1/items/AHWFLN9B"],"itemData":{"id":41,"type":"document","title":"pndsnf1final.pdf","URL":"https://www.has-sante.fr/upload/docs/application/pdf/2022-07/pndsnf1final.pdf","accessed":{"date-parts":[["2025",6,1]]}}}],"schema":"https://github.com/citation-style-language/schema/raw/master/csl-citation.json"} </w:instrText>
      </w:r>
      <w:r w:rsidR="00B8625D">
        <w:rPr>
          <w:rFonts w:ascii="Arial" w:hAnsi="Arial" w:cs="Arial"/>
        </w:rPr>
        <w:fldChar w:fldCharType="separate"/>
      </w:r>
      <w:r w:rsidR="00D97369" w:rsidRPr="00D97369">
        <w:rPr>
          <w:rFonts w:ascii="Arial" w:hAnsi="Arial" w:cs="Arial"/>
        </w:rPr>
        <w:t>(2)</w:t>
      </w:r>
      <w:r w:rsidR="00B8625D">
        <w:rPr>
          <w:rFonts w:ascii="Arial" w:hAnsi="Arial" w:cs="Arial"/>
        </w:rPr>
        <w:fldChar w:fldCharType="end"/>
      </w:r>
      <w:r w:rsidRPr="001A6FEE">
        <w:rPr>
          <w:rFonts w:ascii="Arial" w:hAnsi="Arial" w:cs="Arial"/>
        </w:rPr>
        <w:t>.</w:t>
      </w:r>
    </w:p>
    <w:p w14:paraId="07F9DE5A" w14:textId="77777777" w:rsidR="00790ADA" w:rsidRPr="00FB3A86" w:rsidRDefault="00790ADA" w:rsidP="00441B6F">
      <w:pPr>
        <w:pStyle w:val="Body"/>
        <w:spacing w:after="0"/>
        <w:rPr>
          <w:rFonts w:ascii="Arial" w:hAnsi="Arial" w:cs="Arial"/>
        </w:rPr>
      </w:pPr>
    </w:p>
    <w:p w14:paraId="17D3D52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4A3E978" w14:textId="77777777" w:rsidR="00790ADA" w:rsidRPr="00FB3A86" w:rsidRDefault="00790ADA" w:rsidP="00441B6F">
      <w:pPr>
        <w:pStyle w:val="ConcHead"/>
        <w:spacing w:after="0"/>
        <w:jc w:val="both"/>
        <w:rPr>
          <w:rFonts w:ascii="Arial" w:hAnsi="Arial" w:cs="Arial"/>
        </w:rPr>
      </w:pPr>
    </w:p>
    <w:p w14:paraId="302308CC" w14:textId="54AE7025" w:rsidR="00315186" w:rsidRPr="00315186" w:rsidRDefault="00D73FAB" w:rsidP="00441B6F">
      <w:r>
        <w:t xml:space="preserve">This case underscores the necessity for careful long-term monitoring and repeated histopathological assessment in recurrent soft tissue tumors of the </w:t>
      </w:r>
      <w:proofErr w:type="gramStart"/>
      <w:r>
        <w:t>hand(</w:t>
      </w:r>
      <w:proofErr w:type="gramEnd"/>
      <w:r>
        <w:t xml:space="preserve">3,5). Early consideration of neurogenic tumors such as neurofibroma may improve diagnostic accuracy and patient </w:t>
      </w:r>
      <w:proofErr w:type="gramStart"/>
      <w:r>
        <w:t>outcomes(</w:t>
      </w:r>
      <w:proofErr w:type="gramEnd"/>
      <w:r>
        <w:t xml:space="preserve">4,6,10). It also highlights the diagnostic complexity of such cases, particularly when clinical and histological features overlap with benign fibroblastic lesions. </w:t>
      </w:r>
      <w:r w:rsidR="00966D3B" w:rsidRPr="00966D3B">
        <w:t xml:space="preserve">Clinical signs </w:t>
      </w:r>
      <w:r w:rsidR="00966D3B">
        <w:t xml:space="preserve">such </w:t>
      </w:r>
      <w:proofErr w:type="spellStart"/>
      <w:r w:rsidR="00966D3B">
        <w:t>as</w:t>
      </w:r>
      <w:r w:rsidR="00966D3B" w:rsidRPr="00966D3B">
        <w:t>Tinel’s</w:t>
      </w:r>
      <w:proofErr w:type="spellEnd"/>
      <w:r w:rsidR="00966D3B" w:rsidRPr="00966D3B">
        <w:t xml:space="preserve"> sign have been reported as helpful but not specific for neural tumors; however, their presence should strongly support the use of high-resolution MRI for tumor mapping, as supported by Gupta et al.</w:t>
      </w:r>
      <w:r>
        <w:t xml:space="preserve"> Incorporating MRI and immunohistochemical markers like S100 early in the diagnostic pathway can significantly reduce diagnostic delays. This case adds to the growing body of evidence by illustrating an unusual localization and progression of a sporadic neurofibroma, reinforcing the importance of maintaining a broad differential and ensuring adequate surgical margins to avoid functional morbidity.</w:t>
      </w:r>
    </w:p>
    <w:p w14:paraId="288A34FA" w14:textId="77777777" w:rsidR="00421117" w:rsidRDefault="00421117" w:rsidP="00441B6F">
      <w:pPr>
        <w:pStyle w:val="ReferHead"/>
        <w:spacing w:after="0"/>
        <w:jc w:val="both"/>
        <w:rPr>
          <w:rFonts w:ascii="Arial" w:hAnsi="Arial" w:cs="Arial"/>
          <w:b w:val="0"/>
          <w:caps w:val="0"/>
          <w:sz w:val="20"/>
        </w:rPr>
      </w:pPr>
    </w:p>
    <w:p w14:paraId="0D757B78" w14:textId="21B203C3" w:rsidR="002B685A" w:rsidRDefault="002B685A" w:rsidP="00441B6F">
      <w:pPr>
        <w:pStyle w:val="ReferHead"/>
        <w:spacing w:after="0"/>
        <w:jc w:val="both"/>
        <w:rPr>
          <w:rFonts w:ascii="Arial" w:hAnsi="Arial" w:cs="Arial"/>
          <w:bCs/>
        </w:rPr>
      </w:pPr>
      <w:r w:rsidRPr="002B685A">
        <w:rPr>
          <w:rFonts w:ascii="Arial" w:hAnsi="Arial" w:cs="Arial"/>
          <w:bCs/>
        </w:rPr>
        <w:t>Consent</w:t>
      </w:r>
    </w:p>
    <w:p w14:paraId="6F0E6A5B" w14:textId="77777777" w:rsidR="002B685A" w:rsidRPr="002B685A" w:rsidRDefault="002B685A" w:rsidP="00441B6F">
      <w:pPr>
        <w:pStyle w:val="ReferHead"/>
        <w:spacing w:after="0"/>
        <w:jc w:val="both"/>
        <w:rPr>
          <w:rFonts w:ascii="Arial" w:hAnsi="Arial" w:cs="Arial"/>
          <w:bCs/>
        </w:rPr>
      </w:pPr>
    </w:p>
    <w:p w14:paraId="19314B5B" w14:textId="3D02288C" w:rsidR="001A29D8" w:rsidRDefault="00421117" w:rsidP="00441B6F">
      <w:pPr>
        <w:pStyle w:val="ReferHead"/>
        <w:spacing w:after="0"/>
        <w:jc w:val="both"/>
        <w:rPr>
          <w:rFonts w:ascii="Arial" w:hAnsi="Arial" w:cs="Arial"/>
          <w:b w:val="0"/>
          <w:caps w:val="0"/>
          <w:sz w:val="20"/>
        </w:rPr>
      </w:pPr>
      <w:r w:rsidRPr="00421117">
        <w:rPr>
          <w:rFonts w:ascii="Arial" w:hAnsi="Arial" w:cs="Arial"/>
          <w:b w:val="0"/>
          <w:caps w:val="0"/>
          <w:sz w:val="20"/>
        </w:rPr>
        <w:t>Written informed consent was obtained from the patient for publication of this case report and any accompanying images.</w:t>
      </w:r>
    </w:p>
    <w:p w14:paraId="1324A6B2" w14:textId="77777777" w:rsidR="005C784C" w:rsidRDefault="005C784C" w:rsidP="00441B6F">
      <w:pPr>
        <w:pStyle w:val="ReferHead"/>
        <w:spacing w:after="0"/>
        <w:jc w:val="both"/>
        <w:rPr>
          <w:rFonts w:ascii="Arial" w:hAnsi="Arial" w:cs="Arial"/>
          <w:b w:val="0"/>
          <w:caps w:val="0"/>
          <w:sz w:val="20"/>
        </w:rPr>
      </w:pPr>
    </w:p>
    <w:p w14:paraId="001BBCD4" w14:textId="017A33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4327D367" w14:textId="77777777" w:rsidR="005C784C" w:rsidRPr="002B685A" w:rsidRDefault="005C784C" w:rsidP="00441B6F">
      <w:pPr>
        <w:pStyle w:val="ReferHead"/>
        <w:spacing w:after="0"/>
        <w:jc w:val="both"/>
        <w:rPr>
          <w:rFonts w:ascii="Arial" w:hAnsi="Arial" w:cs="Arial"/>
          <w:bCs/>
        </w:rPr>
      </w:pPr>
    </w:p>
    <w:p w14:paraId="5AD22317" w14:textId="0DADC3DC" w:rsidR="00245256" w:rsidRPr="00AE55B2" w:rsidRDefault="00421117" w:rsidP="00AE55B2">
      <w:pPr>
        <w:pStyle w:val="ReferHead"/>
        <w:spacing w:after="0"/>
        <w:jc w:val="both"/>
        <w:rPr>
          <w:rFonts w:ascii="Arial" w:hAnsi="Arial" w:cs="Arial"/>
          <w:b w:val="0"/>
          <w:caps w:val="0"/>
          <w:sz w:val="20"/>
        </w:rPr>
      </w:pPr>
      <w:r w:rsidRPr="00421117">
        <w:rPr>
          <w:rFonts w:ascii="Arial" w:hAnsi="Arial" w:cs="Arial"/>
          <w:b w:val="0"/>
          <w:caps w:val="0"/>
          <w:sz w:val="20"/>
        </w:rPr>
        <w:t>All authors hereby declare that all experiments have been examined and approved by the appropriate ethics committee and have therefore been performed in accordance with the ethical standards laid down in the 1964 Declaration of Helsinki</w:t>
      </w:r>
      <w:bookmarkStart w:id="0" w:name="_Hlk197682619"/>
      <w:bookmarkStart w:id="1" w:name="_Hlk180402183"/>
      <w:bookmarkStart w:id="2" w:name="_Hlk183680988"/>
      <w:r w:rsidR="00AE55B2">
        <w:rPr>
          <w:rFonts w:ascii="Arial" w:hAnsi="Arial" w:cs="Arial"/>
          <w:b w:val="0"/>
          <w:caps w:val="0"/>
          <w:sz w:val="20"/>
        </w:rPr>
        <w:t>.</w:t>
      </w:r>
      <w:r w:rsidR="00245256" w:rsidRPr="00A40E21">
        <w:rPr>
          <w:rFonts w:ascii="Calibri" w:eastAsia="Calibri" w:hAnsi="Calibri"/>
          <w:kern w:val="2"/>
        </w:rPr>
        <w:t xml:space="preserve"> </w:t>
      </w:r>
    </w:p>
    <w:bookmarkEnd w:id="0"/>
    <w:bookmarkEnd w:id="1"/>
    <w:bookmarkEnd w:id="2"/>
    <w:p w14:paraId="3874AA3E" w14:textId="77777777" w:rsidR="00245256" w:rsidRDefault="00245256" w:rsidP="00441B6F">
      <w:pPr>
        <w:pStyle w:val="ReferHead"/>
        <w:spacing w:after="0"/>
        <w:jc w:val="both"/>
        <w:rPr>
          <w:rFonts w:ascii="Arial" w:hAnsi="Arial" w:cs="Arial"/>
          <w:b w:val="0"/>
          <w:caps w:val="0"/>
          <w:sz w:val="20"/>
        </w:rPr>
      </w:pPr>
    </w:p>
    <w:p w14:paraId="0D4FBD9D" w14:textId="77777777" w:rsidR="00266FDB" w:rsidRPr="00AE55B2" w:rsidRDefault="00266FDB" w:rsidP="00266FDB">
      <w:r w:rsidRPr="00AE55B2">
        <w:t>Disclaimer (Artificial intelligence)</w:t>
      </w:r>
    </w:p>
    <w:p w14:paraId="2AED8294" w14:textId="77777777" w:rsidR="00266FDB" w:rsidRPr="00AE55B2" w:rsidRDefault="00266FDB" w:rsidP="00266FDB">
      <w:r w:rsidRPr="00AE55B2">
        <w:t xml:space="preserve">Author(s) hereby </w:t>
      </w:r>
      <w:proofErr w:type="gramStart"/>
      <w:r w:rsidRPr="00AE55B2">
        <w:t>declare</w:t>
      </w:r>
      <w:proofErr w:type="gramEnd"/>
      <w:r w:rsidRPr="00AE55B2">
        <w:t xml:space="preserve"> that NO generative AI technologies such as Large Language Models (ChatGPT, COPILOT, etc.) and text-to-image generators have been used during the writing or editing of this manuscript. </w:t>
      </w:r>
    </w:p>
    <w:p w14:paraId="7C13AB35" w14:textId="77777777" w:rsidR="00421117" w:rsidRDefault="00421117" w:rsidP="00441B6F">
      <w:pPr>
        <w:pStyle w:val="ReferHead"/>
        <w:spacing w:after="0"/>
        <w:jc w:val="both"/>
        <w:rPr>
          <w:rFonts w:ascii="Arial" w:hAnsi="Arial" w:cs="Arial"/>
        </w:rPr>
      </w:pPr>
    </w:p>
    <w:p w14:paraId="5CA507A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2225B38" w14:textId="77777777" w:rsidR="00790ADA" w:rsidRPr="00FB3A86" w:rsidRDefault="00790ADA" w:rsidP="00441B6F">
      <w:pPr>
        <w:pStyle w:val="ReferHead"/>
        <w:spacing w:after="0"/>
        <w:jc w:val="both"/>
        <w:rPr>
          <w:rFonts w:ascii="Arial" w:hAnsi="Arial" w:cs="Arial"/>
        </w:rPr>
      </w:pPr>
    </w:p>
    <w:p w14:paraId="29FACDE8" w14:textId="77777777" w:rsidR="00D97369" w:rsidRPr="00D97369" w:rsidRDefault="00BD3AE2" w:rsidP="00D97369">
      <w:pPr>
        <w:pStyle w:val="Bibliographie"/>
      </w:pPr>
      <w:r>
        <w:rPr>
          <w:rFonts w:ascii="Arial" w:hAnsi="Arial" w:cs="Arial"/>
          <w:b/>
        </w:rPr>
        <w:fldChar w:fldCharType="begin"/>
      </w:r>
      <w:r>
        <w:rPr>
          <w:rFonts w:ascii="Arial" w:hAnsi="Arial" w:cs="Arial"/>
          <w:b/>
        </w:rPr>
        <w:instrText xml:space="preserve"> ADDIN ZOTERO_BIBL {"uncited":[],"omitted":[],"custom":[]} CSL_BIBLIOGRAPHY </w:instrText>
      </w:r>
      <w:r>
        <w:rPr>
          <w:rFonts w:ascii="Arial" w:hAnsi="Arial" w:cs="Arial"/>
          <w:b/>
        </w:rPr>
        <w:fldChar w:fldCharType="separate"/>
      </w:r>
      <w:r w:rsidR="00D97369" w:rsidRPr="00D97369">
        <w:t>1.</w:t>
      </w:r>
      <w:r w:rsidR="00D97369" w:rsidRPr="00D97369">
        <w:tab/>
        <w:t xml:space="preserve">Carvalho DR, Branco PM, Afonso PD, Gerardo G, Baptista C. Atypically Located Solitary Neurofibroma of the Ulnar Nerve as Inaugural Presentation of a New Genetic Variant of Neurofibromatosis Type 1: A Case Report. J Hand Surg Glob Online. 20 </w:t>
      </w:r>
      <w:proofErr w:type="spellStart"/>
      <w:r w:rsidR="00D97369" w:rsidRPr="00D97369">
        <w:t>mai</w:t>
      </w:r>
      <w:proofErr w:type="spellEnd"/>
      <w:r w:rsidR="00D97369" w:rsidRPr="00D97369">
        <w:t xml:space="preserve"> 2022;4(5):283</w:t>
      </w:r>
      <w:r w:rsidR="00D97369" w:rsidRPr="00D97369">
        <w:rPr>
          <w:rFonts w:ascii="Cambria Math" w:hAnsi="Cambria Math" w:cs="Cambria Math"/>
        </w:rPr>
        <w:t>‑</w:t>
      </w:r>
      <w:r w:rsidR="00D97369" w:rsidRPr="00D97369">
        <w:t xml:space="preserve">7. </w:t>
      </w:r>
    </w:p>
    <w:p w14:paraId="3795461D" w14:textId="77777777" w:rsidR="00F77A76" w:rsidRDefault="00D97369" w:rsidP="00F77A76">
      <w:pPr>
        <w:pStyle w:val="Bibliographie"/>
      </w:pPr>
      <w:r w:rsidRPr="00D97369">
        <w:t>2.</w:t>
      </w:r>
      <w:r w:rsidRPr="00D97369">
        <w:tab/>
      </w:r>
      <w:r w:rsidR="00F77A76" w:rsidRPr="00F77A76">
        <w:t xml:space="preserve">Haute Autorité de Santé. </w:t>
      </w:r>
      <w:proofErr w:type="spellStart"/>
      <w:r w:rsidR="00F77A76" w:rsidRPr="00F77A76">
        <w:t>Protocole</w:t>
      </w:r>
      <w:proofErr w:type="spellEnd"/>
      <w:r w:rsidR="00F77A76" w:rsidRPr="00F77A76">
        <w:t xml:space="preserve"> National de Diagnostic et de </w:t>
      </w:r>
      <w:proofErr w:type="spellStart"/>
      <w:r w:rsidR="00F77A76" w:rsidRPr="00F77A76">
        <w:t>Soins</w:t>
      </w:r>
      <w:proofErr w:type="spellEnd"/>
      <w:r w:rsidR="00F77A76" w:rsidRPr="00F77A76">
        <w:t xml:space="preserve"> (PNDS) </w:t>
      </w:r>
      <w:proofErr w:type="spellStart"/>
      <w:r w:rsidR="00F77A76" w:rsidRPr="00F77A76">
        <w:t>Neurofibromatose</w:t>
      </w:r>
      <w:proofErr w:type="spellEnd"/>
      <w:r w:rsidR="00F77A76" w:rsidRPr="00F77A76">
        <w:t xml:space="preserve"> 1. </w:t>
      </w:r>
      <w:proofErr w:type="gramStart"/>
      <w:r w:rsidR="00F77A76" w:rsidRPr="00F77A76">
        <w:t>HAS ;</w:t>
      </w:r>
      <w:proofErr w:type="gramEnd"/>
      <w:r w:rsidR="00F77A76" w:rsidRPr="00F77A76">
        <w:t xml:space="preserve"> </w:t>
      </w:r>
      <w:proofErr w:type="spellStart"/>
      <w:r w:rsidR="00F77A76" w:rsidRPr="00F77A76">
        <w:t>Août</w:t>
      </w:r>
      <w:proofErr w:type="spellEnd"/>
      <w:r w:rsidR="00F77A76" w:rsidRPr="00F77A76">
        <w:t xml:space="preserve"> 2021</w:t>
      </w:r>
    </w:p>
    <w:p w14:paraId="1F636E72" w14:textId="263E1AC2" w:rsidR="00D97369" w:rsidRPr="00D97369" w:rsidRDefault="00D97369" w:rsidP="00F77A76">
      <w:pPr>
        <w:pStyle w:val="Bibliographie"/>
      </w:pPr>
      <w:r w:rsidRPr="00D97369">
        <w:t>3.</w:t>
      </w:r>
      <w:r w:rsidRPr="00D97369">
        <w:tab/>
        <w:t xml:space="preserve">Gupta G, </w:t>
      </w:r>
      <w:proofErr w:type="spellStart"/>
      <w:r w:rsidRPr="00D97369">
        <w:t>Mammis</w:t>
      </w:r>
      <w:proofErr w:type="spellEnd"/>
      <w:r w:rsidRPr="00D97369">
        <w:t xml:space="preserve"> A, </w:t>
      </w:r>
      <w:proofErr w:type="spellStart"/>
      <w:r w:rsidRPr="00D97369">
        <w:t>Maniker</w:t>
      </w:r>
      <w:proofErr w:type="spellEnd"/>
      <w:r w:rsidRPr="00D97369">
        <w:t xml:space="preserve"> A. Malignant peripheral nerve sheath tumors. </w:t>
      </w:r>
      <w:proofErr w:type="spellStart"/>
      <w:r w:rsidRPr="00D97369">
        <w:t>Neurosurg</w:t>
      </w:r>
      <w:proofErr w:type="spellEnd"/>
      <w:r w:rsidRPr="00D97369">
        <w:t xml:space="preserve"> Clin N Am. oct 2008;19(4):</w:t>
      </w:r>
      <w:proofErr w:type="gramStart"/>
      <w:r w:rsidRPr="00D97369">
        <w:t>533</w:t>
      </w:r>
      <w:r w:rsidRPr="00D97369">
        <w:rPr>
          <w:rFonts w:ascii="Cambria Math" w:hAnsi="Cambria Math" w:cs="Cambria Math"/>
        </w:rPr>
        <w:t>‑</w:t>
      </w:r>
      <w:r w:rsidRPr="00D97369">
        <w:t>43</w:t>
      </w:r>
      <w:proofErr w:type="gramEnd"/>
      <w:r w:rsidRPr="00D97369">
        <w:t xml:space="preserve">, v. </w:t>
      </w:r>
    </w:p>
    <w:p w14:paraId="4490C243" w14:textId="77777777" w:rsidR="00D97369" w:rsidRPr="00D97369" w:rsidRDefault="00D97369" w:rsidP="00D97369">
      <w:pPr>
        <w:pStyle w:val="Bibliographie"/>
      </w:pPr>
      <w:r w:rsidRPr="00D97369">
        <w:t>4.</w:t>
      </w:r>
      <w:r w:rsidRPr="00D97369">
        <w:tab/>
        <w:t xml:space="preserve">Weiss SW, Goldblum JR, </w:t>
      </w:r>
      <w:proofErr w:type="spellStart"/>
      <w:r w:rsidRPr="00D97369">
        <w:t>Folpe</w:t>
      </w:r>
      <w:proofErr w:type="spellEnd"/>
      <w:r w:rsidRPr="00D97369">
        <w:t xml:space="preserve"> AL. </w:t>
      </w:r>
      <w:proofErr w:type="spellStart"/>
      <w:r w:rsidRPr="00D97369">
        <w:t>Enzinger</w:t>
      </w:r>
      <w:proofErr w:type="spellEnd"/>
      <w:r w:rsidRPr="00D97369">
        <w:t xml:space="preserve"> and Weiss’s Soft Tissue Tumors. Elsevier Health Sciences; 2007. 2815 p. </w:t>
      </w:r>
    </w:p>
    <w:p w14:paraId="00795CAF" w14:textId="7B5E6513" w:rsidR="00D97369" w:rsidRPr="00D97369" w:rsidRDefault="00D97369" w:rsidP="00D97369">
      <w:pPr>
        <w:pStyle w:val="Bibliographie"/>
      </w:pPr>
      <w:r w:rsidRPr="00D97369">
        <w:t>5.</w:t>
      </w:r>
      <w:r w:rsidRPr="00D97369">
        <w:tab/>
      </w:r>
      <w:r w:rsidR="00F77A76" w:rsidRPr="00F77A76">
        <w:t xml:space="preserve">Fletcher CDM, et al. WHO Classification of </w:t>
      </w:r>
      <w:proofErr w:type="spellStart"/>
      <w:r w:rsidR="00F77A76" w:rsidRPr="00F77A76">
        <w:t>Tumours</w:t>
      </w:r>
      <w:proofErr w:type="spellEnd"/>
      <w:r w:rsidR="00F77A76" w:rsidRPr="00F77A76">
        <w:t xml:space="preserve"> of Soft Tissue and Bone. 4th ed. IARC Press; 2013</w:t>
      </w:r>
    </w:p>
    <w:p w14:paraId="4AE55EF8" w14:textId="77777777" w:rsidR="00D97369" w:rsidRPr="00D97369" w:rsidRDefault="00D97369" w:rsidP="00D97369">
      <w:pPr>
        <w:pStyle w:val="Bibliographie"/>
      </w:pPr>
      <w:r w:rsidRPr="00D97369">
        <w:t>6.</w:t>
      </w:r>
      <w:r w:rsidRPr="00D97369">
        <w:tab/>
        <w:t xml:space="preserve">Sherman CE, Murray PM. Tumor-Like Conditions of the Hand and Upper Extremity. J Hand Surg. </w:t>
      </w:r>
      <w:proofErr w:type="spellStart"/>
      <w:r w:rsidRPr="00D97369">
        <w:t>déc</w:t>
      </w:r>
      <w:proofErr w:type="spellEnd"/>
      <w:r w:rsidRPr="00D97369">
        <w:t xml:space="preserve"> 2017;42(12):</w:t>
      </w:r>
      <w:proofErr w:type="gramStart"/>
      <w:r w:rsidRPr="00D97369">
        <w:t>1009</w:t>
      </w:r>
      <w:r w:rsidRPr="00D97369">
        <w:rPr>
          <w:rFonts w:ascii="Cambria Math" w:hAnsi="Cambria Math" w:cs="Cambria Math"/>
        </w:rPr>
        <w:t>‑</w:t>
      </w:r>
      <w:r w:rsidRPr="00D97369">
        <w:t>17</w:t>
      </w:r>
      <w:proofErr w:type="gramEnd"/>
      <w:r w:rsidRPr="00D97369">
        <w:t xml:space="preserve">. </w:t>
      </w:r>
    </w:p>
    <w:p w14:paraId="5C792F2D" w14:textId="77777777" w:rsidR="00D97369" w:rsidRPr="00D97369" w:rsidRDefault="00D97369" w:rsidP="00D97369">
      <w:pPr>
        <w:pStyle w:val="Bibliographie"/>
      </w:pPr>
      <w:r w:rsidRPr="00D97369">
        <w:t>7.</w:t>
      </w:r>
      <w:r w:rsidRPr="00D97369">
        <w:tab/>
        <w:t xml:space="preserve">Rodriguez FJ, </w:t>
      </w:r>
      <w:proofErr w:type="spellStart"/>
      <w:r w:rsidRPr="00D97369">
        <w:t>Folpe</w:t>
      </w:r>
      <w:proofErr w:type="spellEnd"/>
      <w:r w:rsidRPr="00D97369">
        <w:t xml:space="preserve"> AL, Giannini C, Perry A. Pathology of peripheral nerve sheath tumors: diagnostic overview and update on selected diagnostic problems. Acta </w:t>
      </w:r>
      <w:proofErr w:type="spellStart"/>
      <w:r w:rsidRPr="00D97369">
        <w:t>Neuropathol</w:t>
      </w:r>
      <w:proofErr w:type="spellEnd"/>
      <w:r w:rsidRPr="00D97369">
        <w:t xml:space="preserve"> (Berl). mars 2012;123(3):295</w:t>
      </w:r>
      <w:r w:rsidRPr="00D97369">
        <w:rPr>
          <w:rFonts w:ascii="Cambria Math" w:hAnsi="Cambria Math" w:cs="Cambria Math"/>
        </w:rPr>
        <w:t>‑</w:t>
      </w:r>
      <w:r w:rsidRPr="00D97369">
        <w:t xml:space="preserve">319. </w:t>
      </w:r>
    </w:p>
    <w:p w14:paraId="4B0235D4" w14:textId="77777777" w:rsidR="00073DFB" w:rsidRDefault="00D97369" w:rsidP="00073DFB">
      <w:pPr>
        <w:pStyle w:val="Bibliographie"/>
      </w:pPr>
      <w:r w:rsidRPr="00D97369">
        <w:t>8.</w:t>
      </w:r>
      <w:r w:rsidRPr="00D97369">
        <w:tab/>
      </w:r>
      <w:r w:rsidR="00073DFB" w:rsidRPr="00073DFB">
        <w:t>Rosai J. Rosai and Ackerman's Surgical Pathology. 10th ed. Elsevier; 2011.</w:t>
      </w:r>
    </w:p>
    <w:p w14:paraId="0235AD17" w14:textId="2A0633E9" w:rsidR="00D97369" w:rsidRPr="00D97369" w:rsidRDefault="00D97369" w:rsidP="00073DFB">
      <w:pPr>
        <w:pStyle w:val="Bibliographie"/>
      </w:pPr>
      <w:r w:rsidRPr="00D97369">
        <w:t>9.</w:t>
      </w:r>
      <w:r w:rsidRPr="00D97369">
        <w:tab/>
        <w:t xml:space="preserve">Hamdaoui OR, Kardi O, </w:t>
      </w:r>
      <w:proofErr w:type="spellStart"/>
      <w:r w:rsidRPr="00D97369">
        <w:t>Tabakh</w:t>
      </w:r>
      <w:proofErr w:type="spellEnd"/>
      <w:r w:rsidRPr="00D97369">
        <w:t xml:space="preserve"> H, </w:t>
      </w:r>
      <w:proofErr w:type="spellStart"/>
      <w:r w:rsidRPr="00D97369">
        <w:t>Siwane</w:t>
      </w:r>
      <w:proofErr w:type="spellEnd"/>
      <w:r w:rsidRPr="00D97369">
        <w:t xml:space="preserve"> A, Touil N, Kacimi O, et al. Plexiform Neurofibroma of Arm: A Case Report. Int J Med Pharm Case Rep. 8 </w:t>
      </w:r>
      <w:proofErr w:type="spellStart"/>
      <w:r w:rsidRPr="00D97369">
        <w:t>août</w:t>
      </w:r>
      <w:proofErr w:type="spellEnd"/>
      <w:r w:rsidRPr="00D97369">
        <w:t xml:space="preserve"> 2022;25</w:t>
      </w:r>
      <w:r w:rsidRPr="00D97369">
        <w:rPr>
          <w:rFonts w:ascii="Cambria Math" w:hAnsi="Cambria Math" w:cs="Cambria Math"/>
        </w:rPr>
        <w:t>‑</w:t>
      </w:r>
      <w:r w:rsidRPr="00D97369">
        <w:t xml:space="preserve">9. </w:t>
      </w:r>
    </w:p>
    <w:p w14:paraId="603DFCBB" w14:textId="77777777" w:rsidR="00D97369" w:rsidRPr="00D97369" w:rsidRDefault="00D97369" w:rsidP="00D97369">
      <w:pPr>
        <w:pStyle w:val="Bibliographie"/>
      </w:pPr>
      <w:r w:rsidRPr="00D97369">
        <w:t>10.</w:t>
      </w:r>
      <w:r w:rsidRPr="00D97369">
        <w:tab/>
      </w:r>
      <w:proofErr w:type="spellStart"/>
      <w:r w:rsidRPr="00D97369">
        <w:t>Alla</w:t>
      </w:r>
      <w:proofErr w:type="spellEnd"/>
      <w:r w:rsidRPr="00D97369">
        <w:t xml:space="preserve"> SR, Deal ND, Dempsey IJ. Current concepts: mallet finger. Hand N Y N. </w:t>
      </w:r>
      <w:proofErr w:type="spellStart"/>
      <w:r w:rsidRPr="00D97369">
        <w:t>juin</w:t>
      </w:r>
      <w:proofErr w:type="spellEnd"/>
      <w:r w:rsidRPr="00D97369">
        <w:t xml:space="preserve"> 2014;9(2):</w:t>
      </w:r>
      <w:proofErr w:type="gramStart"/>
      <w:r w:rsidRPr="00D97369">
        <w:t>138</w:t>
      </w:r>
      <w:r w:rsidRPr="00D97369">
        <w:rPr>
          <w:rFonts w:ascii="Cambria Math" w:hAnsi="Cambria Math" w:cs="Cambria Math"/>
        </w:rPr>
        <w:t>‑</w:t>
      </w:r>
      <w:r w:rsidRPr="00D97369">
        <w:t>44</w:t>
      </w:r>
      <w:proofErr w:type="gramEnd"/>
      <w:r w:rsidRPr="00D97369">
        <w:t xml:space="preserve">. </w:t>
      </w:r>
    </w:p>
    <w:p w14:paraId="451586AD" w14:textId="77777777" w:rsidR="00D97369" w:rsidRPr="00D97369" w:rsidRDefault="00D97369" w:rsidP="00D97369">
      <w:pPr>
        <w:pStyle w:val="Bibliographie"/>
      </w:pPr>
      <w:r w:rsidRPr="00D97369">
        <w:t>11.</w:t>
      </w:r>
      <w:r w:rsidRPr="00D97369">
        <w:tab/>
        <w:t xml:space="preserve">Pearl RA, O’Toole G. A case of large sporadic neurofibroma of the hand. J Plast </w:t>
      </w:r>
      <w:proofErr w:type="spellStart"/>
      <w:r w:rsidRPr="00D97369">
        <w:t>Reconstr</w:t>
      </w:r>
      <w:proofErr w:type="spellEnd"/>
      <w:r w:rsidRPr="00D97369">
        <w:t xml:space="preserve"> Aesthetic Surg JPRAS. </w:t>
      </w:r>
      <w:proofErr w:type="spellStart"/>
      <w:r w:rsidRPr="00D97369">
        <w:t>juill</w:t>
      </w:r>
      <w:proofErr w:type="spellEnd"/>
      <w:r w:rsidRPr="00D97369">
        <w:t xml:space="preserve"> 2010;63(7</w:t>
      </w:r>
      <w:proofErr w:type="gramStart"/>
      <w:r w:rsidRPr="00D97369">
        <w:t>):e</w:t>
      </w:r>
      <w:proofErr w:type="gramEnd"/>
      <w:r w:rsidRPr="00D97369">
        <w:t xml:space="preserve">573-575. </w:t>
      </w:r>
    </w:p>
    <w:p w14:paraId="65DC652D" w14:textId="77777777" w:rsidR="00D97369" w:rsidRPr="00D97369" w:rsidRDefault="00D97369" w:rsidP="00D97369">
      <w:pPr>
        <w:pStyle w:val="Bibliographie"/>
      </w:pPr>
      <w:r w:rsidRPr="00D97369">
        <w:t>12.</w:t>
      </w:r>
      <w:r w:rsidRPr="00D97369">
        <w:tab/>
        <w:t xml:space="preserve">Lauri G, Santucci M, </w:t>
      </w:r>
      <w:proofErr w:type="spellStart"/>
      <w:r w:rsidRPr="00D97369">
        <w:t>Ceruso</w:t>
      </w:r>
      <w:proofErr w:type="spellEnd"/>
      <w:r w:rsidRPr="00D97369">
        <w:t xml:space="preserve"> M, Innocenti M. Recurrent digital fibromatosis of childhood. J Hand Surg. </w:t>
      </w:r>
      <w:proofErr w:type="spellStart"/>
      <w:r w:rsidRPr="00D97369">
        <w:t>janv</w:t>
      </w:r>
      <w:proofErr w:type="spellEnd"/>
      <w:r w:rsidRPr="00D97369">
        <w:t xml:space="preserve"> 1990;15(1):106</w:t>
      </w:r>
      <w:r w:rsidRPr="00D97369">
        <w:rPr>
          <w:rFonts w:ascii="Cambria Math" w:hAnsi="Cambria Math" w:cs="Cambria Math"/>
        </w:rPr>
        <w:t>‑</w:t>
      </w:r>
      <w:r w:rsidRPr="00D97369">
        <w:t xml:space="preserve">9. </w:t>
      </w:r>
    </w:p>
    <w:p w14:paraId="3B9436BC" w14:textId="51002910" w:rsidR="00B01FCD" w:rsidRPr="00FB3A86" w:rsidRDefault="00BD3AE2" w:rsidP="007E20ED">
      <w:pPr>
        <w:pStyle w:val="Bibliographie"/>
        <w:rPr>
          <w:rFonts w:ascii="Arial" w:hAnsi="Arial" w:cs="Arial"/>
          <w:b/>
        </w:rPr>
      </w:pPr>
      <w:r>
        <w:rPr>
          <w:rFonts w:ascii="Arial" w:hAnsi="Arial" w:cs="Arial"/>
          <w:b/>
        </w:rPr>
        <w:fldChar w:fldCharType="end"/>
      </w:r>
    </w:p>
    <w:sectPr w:rsidR="00B01FCD" w:rsidRPr="00FB3A86" w:rsidSect="003B2773">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DC60A" w14:textId="77777777" w:rsidR="00F20D12" w:rsidRDefault="00F20D12" w:rsidP="00C37E61">
      <w:r>
        <w:separator/>
      </w:r>
    </w:p>
  </w:endnote>
  <w:endnote w:type="continuationSeparator" w:id="0">
    <w:p w14:paraId="39E32D64" w14:textId="77777777" w:rsidR="00F20D12" w:rsidRDefault="00F20D1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4F7CF" w14:textId="77777777" w:rsidR="00834FC7" w:rsidRDefault="00834F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921C" w14:textId="77777777" w:rsidR="00834FC7" w:rsidRDefault="00834F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717FD" w14:textId="77777777" w:rsidR="009E048A" w:rsidRDefault="009E048A">
    <w:pPr>
      <w:pStyle w:val="Pieddepage"/>
      <w:rPr>
        <w:rFonts w:ascii="Arial" w:hAnsi="Arial" w:cs="Arial"/>
        <w:sz w:val="16"/>
      </w:rPr>
    </w:pPr>
  </w:p>
  <w:p w14:paraId="17A04B56" w14:textId="77777777" w:rsidR="009E048A" w:rsidRDefault="009E048A" w:rsidP="009E048A">
    <w:pPr>
      <w:pStyle w:val="Pieddepage"/>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B76D09F" w14:textId="77777777" w:rsidR="009E048A" w:rsidRDefault="009E048A">
    <w:pPr>
      <w:pStyle w:val="Pieddepage"/>
      <w:rPr>
        <w:rFonts w:ascii="Arial" w:hAnsi="Arial" w:cs="Arial"/>
        <w:sz w:val="16"/>
      </w:rPr>
    </w:pPr>
  </w:p>
  <w:p w14:paraId="182E4E50" w14:textId="77777777" w:rsidR="00754C9A" w:rsidRPr="009E048A" w:rsidRDefault="00754C9A">
    <w:pPr>
      <w:pStyle w:val="Pieddepage"/>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830409"/>
      <w:docPartObj>
        <w:docPartGallery w:val="Page Numbers (Bottom of Page)"/>
        <w:docPartUnique/>
      </w:docPartObj>
    </w:sdtPr>
    <w:sdtContent>
      <w:p w14:paraId="7228FA98" w14:textId="24D28880" w:rsidR="008E4181" w:rsidRDefault="008E4181">
        <w:pPr>
          <w:pStyle w:val="Pieddepage"/>
          <w:jc w:val="center"/>
        </w:pPr>
        <w:r>
          <w:fldChar w:fldCharType="begin"/>
        </w:r>
        <w:r>
          <w:instrText>PAGE   \* MERGEFORMAT</w:instrText>
        </w:r>
        <w:r>
          <w:fldChar w:fldCharType="separate"/>
        </w:r>
        <w:r>
          <w:rPr>
            <w:lang w:val="fr-FR"/>
          </w:rPr>
          <w:t>2</w:t>
        </w:r>
        <w:r>
          <w:fldChar w:fldCharType="end"/>
        </w:r>
      </w:p>
    </w:sdtContent>
  </w:sdt>
  <w:p w14:paraId="7CDF9A25"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09F6B" w14:textId="77777777" w:rsidR="00F20D12" w:rsidRDefault="00F20D12" w:rsidP="00C37E61">
      <w:r>
        <w:separator/>
      </w:r>
    </w:p>
  </w:footnote>
  <w:footnote w:type="continuationSeparator" w:id="0">
    <w:p w14:paraId="62A5DD2A" w14:textId="77777777" w:rsidR="00F20D12" w:rsidRDefault="00F20D1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67EB" w14:textId="7618567D" w:rsidR="00834FC7" w:rsidRDefault="00000000">
    <w:pPr>
      <w:pStyle w:val="En-tte"/>
    </w:pPr>
    <w:r>
      <w:rPr>
        <w:noProof/>
      </w:rPr>
      <w:pict w14:anchorId="6D371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C03FC" w14:textId="710FA914" w:rsidR="00834FC7" w:rsidRDefault="00000000">
    <w:pPr>
      <w:pStyle w:val="En-tte"/>
    </w:pPr>
    <w:r>
      <w:rPr>
        <w:noProof/>
      </w:rPr>
      <w:pict w14:anchorId="5B5F4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88AA" w14:textId="0EAFB150" w:rsidR="00296529" w:rsidRPr="00296529" w:rsidRDefault="00000000" w:rsidP="00296529">
    <w:pPr>
      <w:ind w:left="2160"/>
      <w:jc w:val="center"/>
      <w:rPr>
        <w:rFonts w:ascii="Times New Roman" w:eastAsia="Calibri" w:hAnsi="Times New Roman"/>
        <w:i/>
        <w:sz w:val="18"/>
        <w:szCs w:val="22"/>
      </w:rPr>
    </w:pPr>
    <w:r>
      <w:rPr>
        <w:noProof/>
      </w:rPr>
      <w:pict w14:anchorId="20A25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6BA41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F8216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B3EB5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D580DE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1ADBB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6CED1A"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2A8E" w14:textId="09E16231" w:rsidR="00834FC7" w:rsidRDefault="00000000">
    <w:pPr>
      <w:pStyle w:val="En-tte"/>
    </w:pPr>
    <w:r>
      <w:rPr>
        <w:noProof/>
      </w:rPr>
      <w:pict w14:anchorId="096F3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D353" w14:textId="767066B4" w:rsidR="00834FC7" w:rsidRDefault="00000000">
    <w:pPr>
      <w:pStyle w:val="En-tte"/>
    </w:pPr>
    <w:r>
      <w:rPr>
        <w:noProof/>
      </w:rPr>
      <w:pict w14:anchorId="54CA7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974BE" w14:textId="2600913C" w:rsidR="00834FC7" w:rsidRDefault="00000000">
    <w:pPr>
      <w:pStyle w:val="En-tte"/>
    </w:pPr>
    <w:r>
      <w:rPr>
        <w:noProof/>
      </w:rPr>
      <w:pict w14:anchorId="25360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4930488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82044596">
    <w:abstractNumId w:val="15"/>
  </w:num>
  <w:num w:numId="3" w16cid:durableId="479733834">
    <w:abstractNumId w:val="23"/>
  </w:num>
  <w:num w:numId="4" w16cid:durableId="105666730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272300">
    <w:abstractNumId w:val="7"/>
  </w:num>
  <w:num w:numId="6" w16cid:durableId="1571967496">
    <w:abstractNumId w:val="6"/>
  </w:num>
  <w:num w:numId="7" w16cid:durableId="1311709838">
    <w:abstractNumId w:val="1"/>
  </w:num>
  <w:num w:numId="8" w16cid:durableId="1432504124">
    <w:abstractNumId w:val="12"/>
  </w:num>
  <w:num w:numId="9" w16cid:durableId="919949525">
    <w:abstractNumId w:val="25"/>
  </w:num>
  <w:num w:numId="10" w16cid:durableId="1291133237">
    <w:abstractNumId w:val="2"/>
  </w:num>
  <w:num w:numId="11" w16cid:durableId="1535381145">
    <w:abstractNumId w:val="18"/>
  </w:num>
  <w:num w:numId="12" w16cid:durableId="1264804626">
    <w:abstractNumId w:val="3"/>
  </w:num>
  <w:num w:numId="13" w16cid:durableId="910307893">
    <w:abstractNumId w:val="17"/>
  </w:num>
  <w:num w:numId="14" w16cid:durableId="639264724">
    <w:abstractNumId w:val="8"/>
  </w:num>
  <w:num w:numId="15" w16cid:durableId="789907254">
    <w:abstractNumId w:val="21"/>
  </w:num>
  <w:num w:numId="16" w16cid:durableId="148711682">
    <w:abstractNumId w:val="5"/>
  </w:num>
  <w:num w:numId="17" w16cid:durableId="1120219079">
    <w:abstractNumId w:val="22"/>
  </w:num>
  <w:num w:numId="18" w16cid:durableId="1022560123">
    <w:abstractNumId w:val="14"/>
  </w:num>
  <w:num w:numId="19" w16cid:durableId="1816141038">
    <w:abstractNumId w:val="28"/>
  </w:num>
  <w:num w:numId="20" w16cid:durableId="1698312673">
    <w:abstractNumId w:val="11"/>
  </w:num>
  <w:num w:numId="21" w16cid:durableId="1246065443">
    <w:abstractNumId w:val="9"/>
  </w:num>
  <w:num w:numId="22" w16cid:durableId="1679579716">
    <w:abstractNumId w:val="13"/>
  </w:num>
  <w:num w:numId="23" w16cid:durableId="249855031">
    <w:abstractNumId w:val="19"/>
  </w:num>
  <w:num w:numId="24" w16cid:durableId="1183283215">
    <w:abstractNumId w:val="26"/>
  </w:num>
  <w:num w:numId="25" w16cid:durableId="160776758">
    <w:abstractNumId w:val="4"/>
  </w:num>
  <w:num w:numId="26" w16cid:durableId="957948803">
    <w:abstractNumId w:val="16"/>
  </w:num>
  <w:num w:numId="27" w16cid:durableId="82579153">
    <w:abstractNumId w:val="20"/>
  </w:num>
  <w:num w:numId="28" w16cid:durableId="1634140873">
    <w:abstractNumId w:val="27"/>
  </w:num>
  <w:num w:numId="29" w16cid:durableId="1663774255">
    <w:abstractNumId w:val="24"/>
  </w:num>
  <w:num w:numId="30" w16cid:durableId="17582829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FC5"/>
    <w:rsid w:val="00030174"/>
    <w:rsid w:val="0004579C"/>
    <w:rsid w:val="000477B1"/>
    <w:rsid w:val="0006783D"/>
    <w:rsid w:val="00073DFB"/>
    <w:rsid w:val="00095278"/>
    <w:rsid w:val="000A1DE0"/>
    <w:rsid w:val="000A413F"/>
    <w:rsid w:val="000A47FA"/>
    <w:rsid w:val="000A65D3"/>
    <w:rsid w:val="000B1E33"/>
    <w:rsid w:val="000B6C5C"/>
    <w:rsid w:val="000C1CA7"/>
    <w:rsid w:val="000D689F"/>
    <w:rsid w:val="000E7B7B"/>
    <w:rsid w:val="000E7D62"/>
    <w:rsid w:val="00103357"/>
    <w:rsid w:val="00122881"/>
    <w:rsid w:val="00123C9F"/>
    <w:rsid w:val="00126190"/>
    <w:rsid w:val="00130F17"/>
    <w:rsid w:val="001320BF"/>
    <w:rsid w:val="001334C9"/>
    <w:rsid w:val="00163BC4"/>
    <w:rsid w:val="00166422"/>
    <w:rsid w:val="001866A9"/>
    <w:rsid w:val="00191062"/>
    <w:rsid w:val="00192B72"/>
    <w:rsid w:val="001A29D8"/>
    <w:rsid w:val="001A5CAA"/>
    <w:rsid w:val="001A6FEE"/>
    <w:rsid w:val="001B0427"/>
    <w:rsid w:val="001D3A51"/>
    <w:rsid w:val="001D6E21"/>
    <w:rsid w:val="001E0B6A"/>
    <w:rsid w:val="001E10D2"/>
    <w:rsid w:val="001E25B4"/>
    <w:rsid w:val="001E44FE"/>
    <w:rsid w:val="00200595"/>
    <w:rsid w:val="00204835"/>
    <w:rsid w:val="002308F2"/>
    <w:rsid w:val="00231920"/>
    <w:rsid w:val="0023195C"/>
    <w:rsid w:val="0024282C"/>
    <w:rsid w:val="00245256"/>
    <w:rsid w:val="002460DC"/>
    <w:rsid w:val="00250703"/>
    <w:rsid w:val="00250985"/>
    <w:rsid w:val="002540D0"/>
    <w:rsid w:val="002556F6"/>
    <w:rsid w:val="00266FDB"/>
    <w:rsid w:val="0027799D"/>
    <w:rsid w:val="00283105"/>
    <w:rsid w:val="00284C4C"/>
    <w:rsid w:val="00287E68"/>
    <w:rsid w:val="00296529"/>
    <w:rsid w:val="002B27FB"/>
    <w:rsid w:val="002B685A"/>
    <w:rsid w:val="002C57D2"/>
    <w:rsid w:val="002D0A99"/>
    <w:rsid w:val="002E0D56"/>
    <w:rsid w:val="00301C94"/>
    <w:rsid w:val="00315186"/>
    <w:rsid w:val="0033343E"/>
    <w:rsid w:val="003512C2"/>
    <w:rsid w:val="003566D1"/>
    <w:rsid w:val="00371FB6"/>
    <w:rsid w:val="00373CF1"/>
    <w:rsid w:val="003763C1"/>
    <w:rsid w:val="00376BBE"/>
    <w:rsid w:val="0039224F"/>
    <w:rsid w:val="00397FF7"/>
    <w:rsid w:val="003A43A4"/>
    <w:rsid w:val="003A7347"/>
    <w:rsid w:val="003A7E18"/>
    <w:rsid w:val="003B2773"/>
    <w:rsid w:val="003C4C86"/>
    <w:rsid w:val="003C6258"/>
    <w:rsid w:val="003D0DEC"/>
    <w:rsid w:val="003E2904"/>
    <w:rsid w:val="003E56C5"/>
    <w:rsid w:val="00401927"/>
    <w:rsid w:val="0041027F"/>
    <w:rsid w:val="00412475"/>
    <w:rsid w:val="00421117"/>
    <w:rsid w:val="00423789"/>
    <w:rsid w:val="00440F43"/>
    <w:rsid w:val="00441B6F"/>
    <w:rsid w:val="00446221"/>
    <w:rsid w:val="00450E62"/>
    <w:rsid w:val="00452602"/>
    <w:rsid w:val="004539DB"/>
    <w:rsid w:val="00471A80"/>
    <w:rsid w:val="0049284F"/>
    <w:rsid w:val="004A4EC9"/>
    <w:rsid w:val="004B6461"/>
    <w:rsid w:val="004D305E"/>
    <w:rsid w:val="004D4277"/>
    <w:rsid w:val="004D742A"/>
    <w:rsid w:val="00502516"/>
    <w:rsid w:val="00502E88"/>
    <w:rsid w:val="00502EA1"/>
    <w:rsid w:val="00505F06"/>
    <w:rsid w:val="00506828"/>
    <w:rsid w:val="0053056E"/>
    <w:rsid w:val="00554FDA"/>
    <w:rsid w:val="00557D6E"/>
    <w:rsid w:val="00585522"/>
    <w:rsid w:val="00590FCC"/>
    <w:rsid w:val="005B4E84"/>
    <w:rsid w:val="005C784C"/>
    <w:rsid w:val="005D17F6"/>
    <w:rsid w:val="005D3725"/>
    <w:rsid w:val="005D591F"/>
    <w:rsid w:val="005E5539"/>
    <w:rsid w:val="00602BF5"/>
    <w:rsid w:val="00617FDD"/>
    <w:rsid w:val="006228C1"/>
    <w:rsid w:val="00633614"/>
    <w:rsid w:val="00633F68"/>
    <w:rsid w:val="00636EB2"/>
    <w:rsid w:val="006375B8"/>
    <w:rsid w:val="00650BC9"/>
    <w:rsid w:val="0066510A"/>
    <w:rsid w:val="00673F9F"/>
    <w:rsid w:val="00686953"/>
    <w:rsid w:val="00687DEA"/>
    <w:rsid w:val="00687E67"/>
    <w:rsid w:val="006967F7"/>
    <w:rsid w:val="006A250C"/>
    <w:rsid w:val="006B21D3"/>
    <w:rsid w:val="006B5019"/>
    <w:rsid w:val="006B57D0"/>
    <w:rsid w:val="006D30FF"/>
    <w:rsid w:val="006D6940"/>
    <w:rsid w:val="006E78B6"/>
    <w:rsid w:val="006F11EC"/>
    <w:rsid w:val="0070082C"/>
    <w:rsid w:val="007175D6"/>
    <w:rsid w:val="007369E6"/>
    <w:rsid w:val="00746E59"/>
    <w:rsid w:val="00754C9A"/>
    <w:rsid w:val="0075599A"/>
    <w:rsid w:val="00761D52"/>
    <w:rsid w:val="00762854"/>
    <w:rsid w:val="00765E12"/>
    <w:rsid w:val="0077749E"/>
    <w:rsid w:val="00790ADA"/>
    <w:rsid w:val="007D2288"/>
    <w:rsid w:val="007E088F"/>
    <w:rsid w:val="007E20ED"/>
    <w:rsid w:val="007E2B13"/>
    <w:rsid w:val="007F6651"/>
    <w:rsid w:val="007F7B32"/>
    <w:rsid w:val="00804BC2"/>
    <w:rsid w:val="008052A0"/>
    <w:rsid w:val="0081431A"/>
    <w:rsid w:val="0083216F"/>
    <w:rsid w:val="00834FC7"/>
    <w:rsid w:val="00835588"/>
    <w:rsid w:val="00860000"/>
    <w:rsid w:val="00863BD3"/>
    <w:rsid w:val="008641ED"/>
    <w:rsid w:val="00866D66"/>
    <w:rsid w:val="008671C6"/>
    <w:rsid w:val="00875803"/>
    <w:rsid w:val="008B459E"/>
    <w:rsid w:val="008E13AE"/>
    <w:rsid w:val="008E1506"/>
    <w:rsid w:val="008E4181"/>
    <w:rsid w:val="008E710C"/>
    <w:rsid w:val="008F69D6"/>
    <w:rsid w:val="00902823"/>
    <w:rsid w:val="00915CA6"/>
    <w:rsid w:val="00926E17"/>
    <w:rsid w:val="00927834"/>
    <w:rsid w:val="009500A6"/>
    <w:rsid w:val="00957C18"/>
    <w:rsid w:val="009659BA"/>
    <w:rsid w:val="00966D3B"/>
    <w:rsid w:val="00983040"/>
    <w:rsid w:val="009A13F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0E21"/>
    <w:rsid w:val="00A51431"/>
    <w:rsid w:val="00A539AD"/>
    <w:rsid w:val="00A53F82"/>
    <w:rsid w:val="00A94063"/>
    <w:rsid w:val="00AA6219"/>
    <w:rsid w:val="00AA74E0"/>
    <w:rsid w:val="00AB703F"/>
    <w:rsid w:val="00AC34F0"/>
    <w:rsid w:val="00AC44B9"/>
    <w:rsid w:val="00AC6BB8"/>
    <w:rsid w:val="00AD3E7C"/>
    <w:rsid w:val="00AE008F"/>
    <w:rsid w:val="00AE55B2"/>
    <w:rsid w:val="00AF1348"/>
    <w:rsid w:val="00B01FCD"/>
    <w:rsid w:val="00B1626F"/>
    <w:rsid w:val="00B1776C"/>
    <w:rsid w:val="00B52583"/>
    <w:rsid w:val="00B52896"/>
    <w:rsid w:val="00B8625D"/>
    <w:rsid w:val="00B86BC0"/>
    <w:rsid w:val="00B95236"/>
    <w:rsid w:val="00B96BD9"/>
    <w:rsid w:val="00BA1B01"/>
    <w:rsid w:val="00BA2641"/>
    <w:rsid w:val="00BA6368"/>
    <w:rsid w:val="00BA7F66"/>
    <w:rsid w:val="00BB37AA"/>
    <w:rsid w:val="00BC356F"/>
    <w:rsid w:val="00BC53A0"/>
    <w:rsid w:val="00BD3AE2"/>
    <w:rsid w:val="00BE62AD"/>
    <w:rsid w:val="00BF121F"/>
    <w:rsid w:val="00BF1F80"/>
    <w:rsid w:val="00C01D98"/>
    <w:rsid w:val="00C15B0D"/>
    <w:rsid w:val="00C166EF"/>
    <w:rsid w:val="00C17EB0"/>
    <w:rsid w:val="00C20C80"/>
    <w:rsid w:val="00C27F5F"/>
    <w:rsid w:val="00C30A0F"/>
    <w:rsid w:val="00C37E61"/>
    <w:rsid w:val="00C44335"/>
    <w:rsid w:val="00C70F1B"/>
    <w:rsid w:val="00C71A47"/>
    <w:rsid w:val="00C7464C"/>
    <w:rsid w:val="00C757CD"/>
    <w:rsid w:val="00C85588"/>
    <w:rsid w:val="00C92120"/>
    <w:rsid w:val="00C9499E"/>
    <w:rsid w:val="00CB10D5"/>
    <w:rsid w:val="00CD1B53"/>
    <w:rsid w:val="00CD5C45"/>
    <w:rsid w:val="00CD6755"/>
    <w:rsid w:val="00CD6856"/>
    <w:rsid w:val="00CE0089"/>
    <w:rsid w:val="00CE2575"/>
    <w:rsid w:val="00CE793C"/>
    <w:rsid w:val="00CF193C"/>
    <w:rsid w:val="00D173F1"/>
    <w:rsid w:val="00D33018"/>
    <w:rsid w:val="00D35FA2"/>
    <w:rsid w:val="00D63FE0"/>
    <w:rsid w:val="00D73FAB"/>
    <w:rsid w:val="00D74CB0"/>
    <w:rsid w:val="00D8295D"/>
    <w:rsid w:val="00D90B63"/>
    <w:rsid w:val="00D97369"/>
    <w:rsid w:val="00DC2A65"/>
    <w:rsid w:val="00DD3C3F"/>
    <w:rsid w:val="00DE15F0"/>
    <w:rsid w:val="00DE5663"/>
    <w:rsid w:val="00DE78AA"/>
    <w:rsid w:val="00DF225E"/>
    <w:rsid w:val="00E053D0"/>
    <w:rsid w:val="00E15994"/>
    <w:rsid w:val="00E20623"/>
    <w:rsid w:val="00E3114E"/>
    <w:rsid w:val="00E31A70"/>
    <w:rsid w:val="00E35B02"/>
    <w:rsid w:val="00E66496"/>
    <w:rsid w:val="00E66B35"/>
    <w:rsid w:val="00E66E10"/>
    <w:rsid w:val="00E769F6"/>
    <w:rsid w:val="00E8407C"/>
    <w:rsid w:val="00E84F3C"/>
    <w:rsid w:val="00E900D0"/>
    <w:rsid w:val="00EA012C"/>
    <w:rsid w:val="00EC6A55"/>
    <w:rsid w:val="00ED0288"/>
    <w:rsid w:val="00EE087C"/>
    <w:rsid w:val="00EE52CB"/>
    <w:rsid w:val="00EF581D"/>
    <w:rsid w:val="00EF7FD8"/>
    <w:rsid w:val="00F06F59"/>
    <w:rsid w:val="00F13FC8"/>
    <w:rsid w:val="00F17988"/>
    <w:rsid w:val="00F20D12"/>
    <w:rsid w:val="00F33A41"/>
    <w:rsid w:val="00F33DA4"/>
    <w:rsid w:val="00F355D7"/>
    <w:rsid w:val="00F469F0"/>
    <w:rsid w:val="00F53273"/>
    <w:rsid w:val="00F755E4"/>
    <w:rsid w:val="00F77A76"/>
    <w:rsid w:val="00F77D02"/>
    <w:rsid w:val="00FB3A86"/>
    <w:rsid w:val="00FC5E79"/>
    <w:rsid w:val="00FD36C8"/>
    <w:rsid w:val="00FF5E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C7E7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Lgende">
    <w:name w:val="caption"/>
    <w:basedOn w:val="Normal"/>
    <w:next w:val="Normal"/>
    <w:unhideWhenUsed/>
    <w:qFormat/>
    <w:rsid w:val="008E4181"/>
    <w:pPr>
      <w:spacing w:after="200"/>
    </w:pPr>
    <w:rPr>
      <w:i/>
      <w:iCs/>
      <w:color w:val="1F497D" w:themeColor="text2"/>
      <w:sz w:val="18"/>
      <w:szCs w:val="18"/>
    </w:rPr>
  </w:style>
  <w:style w:type="character" w:customStyle="1" w:styleId="PieddepageCar">
    <w:name w:val="Pied de page Car"/>
    <w:basedOn w:val="Policepardfaut"/>
    <w:link w:val="Pieddepage"/>
    <w:uiPriority w:val="99"/>
    <w:rsid w:val="008E4181"/>
    <w:rPr>
      <w:rFonts w:ascii="Helvetica" w:hAnsi="Helvetica"/>
    </w:rPr>
  </w:style>
  <w:style w:type="paragraph" w:styleId="Bibliographie">
    <w:name w:val="Bibliography"/>
    <w:basedOn w:val="Normal"/>
    <w:next w:val="Normal"/>
    <w:uiPriority w:val="37"/>
    <w:unhideWhenUsed/>
    <w:rsid w:val="00BD3AE2"/>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470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8368445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398229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9284587">
      <w:bodyDiv w:val="1"/>
      <w:marLeft w:val="0"/>
      <w:marRight w:val="0"/>
      <w:marTop w:val="0"/>
      <w:marBottom w:val="0"/>
      <w:divBdr>
        <w:top w:val="none" w:sz="0" w:space="0" w:color="auto"/>
        <w:left w:val="none" w:sz="0" w:space="0" w:color="auto"/>
        <w:bottom w:val="none" w:sz="0" w:space="0" w:color="auto"/>
        <w:right w:val="none" w:sz="0" w:space="0" w:color="auto"/>
      </w:divBdr>
    </w:div>
    <w:div w:id="210471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27613-6891-498A-AEC1-3E7B189F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402</TotalTime>
  <Pages>7</Pages>
  <Words>10403</Words>
  <Characters>57222</Characters>
  <Application>Microsoft Office Word</Application>
  <DocSecurity>0</DocSecurity>
  <Lines>476</Lines>
  <Paragraphs>134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67491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AYOUB IDRISSI</cp:lastModifiedBy>
  <cp:revision>30</cp:revision>
  <cp:lastPrinted>1999-07-06T11:00:00Z</cp:lastPrinted>
  <dcterms:created xsi:type="dcterms:W3CDTF">2025-06-10T18:06:00Z</dcterms:created>
  <dcterms:modified xsi:type="dcterms:W3CDTF">2025-06-18T19:19:00Z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id="pQoUuuW6"/&gt;&lt;style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