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D4A96" w14:textId="063F28B9" w:rsidR="00754C9A" w:rsidRPr="00AC44B9" w:rsidRDefault="00AC44B9" w:rsidP="00AC44B9">
      <w:pPr>
        <w:pStyle w:val="Title"/>
        <w:spacing w:after="0"/>
        <w:rPr>
          <w:rFonts w:ascii="Arial" w:hAnsi="Arial" w:cs="Arial"/>
          <w:bCs/>
          <w:i/>
          <w:szCs w:val="36"/>
          <w:u w:val="single"/>
        </w:rPr>
      </w:pPr>
      <w:r w:rsidRPr="00AC44B9">
        <w:rPr>
          <w:rFonts w:ascii="Arial" w:hAnsi="Arial" w:cs="Arial"/>
          <w:bCs/>
          <w:i/>
          <w:szCs w:val="36"/>
          <w:u w:val="single"/>
        </w:rPr>
        <w:t>Case Report</w:t>
      </w:r>
    </w:p>
    <w:p w14:paraId="534102AA" w14:textId="77777777" w:rsidR="00AC44B9" w:rsidRPr="00E900D0" w:rsidRDefault="00AC44B9" w:rsidP="00441B6F">
      <w:pPr>
        <w:pStyle w:val="Title"/>
        <w:spacing w:after="0"/>
        <w:jc w:val="both"/>
        <w:rPr>
          <w:rFonts w:ascii="Arial" w:hAnsi="Arial" w:cs="Arial"/>
          <w:bCs/>
          <w:szCs w:val="36"/>
        </w:rPr>
      </w:pPr>
    </w:p>
    <w:p w14:paraId="06810480" w14:textId="50AE4A2A" w:rsidR="00E900D0" w:rsidRDefault="00B1626F" w:rsidP="00B1626F">
      <w:pPr>
        <w:pStyle w:val="Author"/>
        <w:spacing w:line="240" w:lineRule="auto"/>
        <w:rPr>
          <w:rFonts w:ascii="Arial" w:hAnsi="Arial" w:cs="Arial"/>
          <w:bCs/>
          <w:iCs/>
          <w:kern w:val="28"/>
          <w:sz w:val="36"/>
        </w:rPr>
      </w:pPr>
      <w:r w:rsidRPr="00B1626F">
        <w:rPr>
          <w:rFonts w:ascii="Arial" w:hAnsi="Arial"/>
          <w:bCs/>
          <w:sz w:val="36"/>
          <w:szCs w:val="36"/>
        </w:rPr>
        <w:t>Misdiagnosed Recurrent Nodular Lesions of the Hand: A Case of Neurofibroma</w:t>
      </w:r>
      <w:r w:rsidR="00231920">
        <w:rPr>
          <w:rFonts w:ascii="Arial" w:hAnsi="Arial" w:cs="Arial"/>
          <w:bCs/>
          <w:iCs/>
          <w:kern w:val="28"/>
          <w:sz w:val="36"/>
        </w:rPr>
        <w:t xml:space="preserve"> </w:t>
      </w:r>
    </w:p>
    <w:p w14:paraId="189CE511" w14:textId="75E2AE3E" w:rsidR="00762854" w:rsidRPr="003A7347" w:rsidRDefault="003A7347" w:rsidP="00C20C80">
      <w:pPr>
        <w:pStyle w:val="Author"/>
        <w:spacing w:line="240" w:lineRule="auto"/>
        <w:jc w:val="center"/>
        <w:rPr>
          <w:rFonts w:ascii="Arial" w:hAnsi="Arial" w:cs="Arial"/>
          <w:i/>
          <w:iCs/>
        </w:rPr>
      </w:pPr>
      <w:r>
        <w:rPr>
          <w:rFonts w:ascii="Arial" w:hAnsi="Arial" w:cs="Arial"/>
        </w:rPr>
        <w:t xml:space="preserve">                  </w:t>
      </w:r>
    </w:p>
    <w:p w14:paraId="6DBF46F9" w14:textId="77777777" w:rsidR="00790ADA" w:rsidRDefault="00790ADA" w:rsidP="00441B6F">
      <w:pPr>
        <w:pStyle w:val="Affiliation"/>
        <w:spacing w:after="0" w:line="240" w:lineRule="auto"/>
        <w:jc w:val="both"/>
        <w:rPr>
          <w:rFonts w:ascii="Arial" w:hAnsi="Arial" w:cs="Arial"/>
        </w:rPr>
      </w:pPr>
    </w:p>
    <w:p w14:paraId="5E12AEEC" w14:textId="77777777" w:rsidR="002C57D2" w:rsidRPr="00FB3A86" w:rsidRDefault="002C57D2" w:rsidP="00441B6F">
      <w:pPr>
        <w:pStyle w:val="Affiliation"/>
        <w:spacing w:after="0" w:line="240" w:lineRule="auto"/>
        <w:jc w:val="both"/>
        <w:rPr>
          <w:rFonts w:ascii="Arial" w:hAnsi="Arial" w:cs="Arial"/>
        </w:rPr>
      </w:pPr>
    </w:p>
    <w:p w14:paraId="0DCD864E" w14:textId="6A493347" w:rsidR="00B01FCD" w:rsidRPr="00FB3A86" w:rsidRDefault="001E0B6A" w:rsidP="00441B6F">
      <w:pPr>
        <w:pStyle w:val="Copyright"/>
        <w:spacing w:after="0" w:line="240" w:lineRule="auto"/>
        <w:jc w:val="both"/>
        <w:rPr>
          <w:rFonts w:ascii="Arial" w:hAnsi="Arial" w:cs="Arial"/>
        </w:rPr>
        <w:sectPr w:rsidR="00B01FCD" w:rsidRPr="00FB3A86" w:rsidSect="003B277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B1D207" wp14:editId="2D608132">
                <wp:extent cx="5303520" cy="635"/>
                <wp:effectExtent l="15240" t="15240" r="15240" b="13335"/>
                <wp:docPr id="52650087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D2360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A60766" w14:textId="2CBC788F" w:rsidR="00B01FCD" w:rsidRDefault="00B01FCD" w:rsidP="003A734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769C3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AAC9A0C" w14:textId="77777777" w:rsidTr="001E44FE">
        <w:tc>
          <w:tcPr>
            <w:tcW w:w="9576" w:type="dxa"/>
            <w:shd w:val="clear" w:color="auto" w:fill="F2F2F2"/>
          </w:tcPr>
          <w:p w14:paraId="774F7016" w14:textId="77777777" w:rsidR="00E3114E" w:rsidRDefault="00E3114E" w:rsidP="00441B6F">
            <w:pPr>
              <w:pStyle w:val="Body"/>
              <w:spacing w:after="0"/>
              <w:rPr>
                <w:rFonts w:ascii="Arial" w:eastAsia="Calibri" w:hAnsi="Arial" w:cs="Arial"/>
                <w:b/>
                <w:szCs w:val="22"/>
              </w:rPr>
            </w:pPr>
          </w:p>
          <w:p w14:paraId="18F0DD5F" w14:textId="78F0DD3C" w:rsidR="00502E88" w:rsidRPr="00502E88" w:rsidRDefault="00BA1B01" w:rsidP="00502E88">
            <w:pPr>
              <w:rPr>
                <w:rFonts w:ascii="Arial" w:hAnsi="Arial"/>
              </w:rPr>
            </w:pPr>
            <w:r w:rsidRPr="00BA1B01">
              <w:rPr>
                <w:rFonts w:ascii="Arial" w:eastAsia="Calibri" w:hAnsi="Arial" w:cs="Arial"/>
                <w:b/>
                <w:szCs w:val="22"/>
              </w:rPr>
              <w:t xml:space="preserve">Aims: </w:t>
            </w:r>
            <w:r w:rsidR="003A7347" w:rsidRPr="003A7347">
              <w:rPr>
                <w:rFonts w:ascii="Arial" w:eastAsia="Calibri" w:hAnsi="Arial" w:cs="Arial"/>
                <w:bCs/>
                <w:szCs w:val="22"/>
              </w:rPr>
              <w:t>D</w:t>
            </w:r>
            <w:r w:rsidR="003A7347">
              <w:rPr>
                <w:rFonts w:ascii="Arial" w:hAnsi="Arial"/>
              </w:rPr>
              <w:t>escribe the diagnostic evolution of a rare, recurrent soft tissue tumor of the hand, initially diagnosed as nodular fibromatosis and ultimately confirmed as neurofibroma.</w:t>
            </w:r>
          </w:p>
          <w:p w14:paraId="31636107" w14:textId="4D4E9770" w:rsidR="00BA1B01" w:rsidRPr="00BA1B01" w:rsidRDefault="003A7347" w:rsidP="00441B6F">
            <w:pPr>
              <w:pStyle w:val="Body"/>
              <w:spacing w:after="0"/>
              <w:rPr>
                <w:rFonts w:ascii="Arial" w:eastAsia="Calibri" w:hAnsi="Arial" w:cs="Arial"/>
                <w:szCs w:val="22"/>
              </w:rPr>
            </w:pPr>
            <w:r>
              <w:rPr>
                <w:rFonts w:ascii="Arial" w:eastAsia="Calibri" w:hAnsi="Arial" w:cs="Arial"/>
                <w:b/>
                <w:szCs w:val="22"/>
              </w:rPr>
              <w:t>Case presentation</w:t>
            </w:r>
            <w:r w:rsidR="00502E88">
              <w:rPr>
                <w:rFonts w:ascii="Arial" w:eastAsia="Calibri" w:hAnsi="Arial" w:cs="Arial"/>
                <w:b/>
                <w:szCs w:val="22"/>
              </w:rPr>
              <w:t>:</w:t>
            </w:r>
            <w:r w:rsidR="00502E88">
              <w:rPr>
                <w:rFonts w:ascii="Arial" w:hAnsi="Arial"/>
              </w:rPr>
              <w:t xml:space="preserve"> A 22-year-old female presented with multiple recurrences of a soft tissue mass in the right index finger over six years. Initial biopsies showed fibromatosis; final diagnosis was neurofibroma confirmed histologically in 2024.</w:t>
            </w:r>
          </w:p>
          <w:p w14:paraId="41FF2108" w14:textId="7099070E" w:rsidR="00CB10D5" w:rsidRDefault="00502E88" w:rsidP="00441B6F">
            <w:pPr>
              <w:pStyle w:val="Body"/>
              <w:spacing w:after="0"/>
              <w:rPr>
                <w:rFonts w:ascii="Arial" w:hAnsi="Arial"/>
              </w:rPr>
            </w:pPr>
            <w:r>
              <w:rPr>
                <w:rFonts w:ascii="Arial" w:eastAsia="Calibri" w:hAnsi="Arial" w:cs="Arial"/>
                <w:b/>
                <w:bCs/>
                <w:szCs w:val="22"/>
              </w:rPr>
              <w:t>Discussion</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00CB10D5" w:rsidRPr="00A40E21">
              <w:rPr>
                <w:rFonts w:ascii="Arial" w:hAnsi="Arial"/>
              </w:rPr>
              <w:t xml:space="preserve">Neurofibroma, though benign, may mimic other fibroblastic lesions and can lead to delayed diagnosis, particularly in the absence of immunohistochemical analysis. Their localization in the hand is exceptional, representing only 0.8% of all neurofibromas in the general population and 10–15% among patients with </w:t>
            </w:r>
            <w:r w:rsidR="00FC5E79" w:rsidRPr="00A40E21">
              <w:rPr>
                <w:rFonts w:ascii="Arial" w:hAnsi="Arial" w:cs="Arial"/>
              </w:rPr>
              <w:t>neurofibromatosis type 1</w:t>
            </w:r>
            <w:r w:rsidR="00CB10D5" w:rsidRPr="00A40E21">
              <w:rPr>
                <w:rFonts w:ascii="Arial" w:hAnsi="Arial"/>
              </w:rPr>
              <w:t>. Clinical features such as pseudo-Tinel’s sign and multifocal presentation should raise early suspicion for nerve sheath tumors.</w:t>
            </w:r>
          </w:p>
          <w:p w14:paraId="124484F2" w14:textId="02924F76"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02E88">
              <w:rPr>
                <w:rFonts w:ascii="Arial" w:hAnsi="Arial"/>
              </w:rPr>
              <w:t>Recurrent digital fibromatosis must prompt reevaluation, including immunohistochemistry. Early consideration of neurogenic tumors may prevent diagnostic delays and functional morbidity.</w:t>
            </w:r>
          </w:p>
          <w:p w14:paraId="69ACF129" w14:textId="5F9E491B" w:rsidR="00505F06" w:rsidRPr="00BA1B01" w:rsidRDefault="00505F06" w:rsidP="00441B6F">
            <w:pPr>
              <w:pStyle w:val="Body"/>
              <w:spacing w:after="0"/>
              <w:rPr>
                <w:rFonts w:ascii="Arial" w:eastAsia="Calibri" w:hAnsi="Arial" w:cs="Arial"/>
                <w:szCs w:val="22"/>
              </w:rPr>
            </w:pPr>
          </w:p>
        </w:tc>
      </w:tr>
    </w:tbl>
    <w:p w14:paraId="3A9E8445" w14:textId="77777777" w:rsidR="00636EB2" w:rsidRDefault="00636EB2" w:rsidP="00441B6F">
      <w:pPr>
        <w:pStyle w:val="Body"/>
        <w:spacing w:after="0"/>
        <w:rPr>
          <w:rFonts w:ascii="Arial" w:hAnsi="Arial" w:cs="Arial"/>
          <w:i/>
        </w:rPr>
      </w:pPr>
    </w:p>
    <w:p w14:paraId="6E451099" w14:textId="4C630F57" w:rsidR="00A24E7E" w:rsidRDefault="00A24E7E" w:rsidP="00441B6F">
      <w:pPr>
        <w:pStyle w:val="Body"/>
        <w:spacing w:after="0"/>
        <w:rPr>
          <w:rFonts w:ascii="Arial" w:hAnsi="Arial" w:cs="Arial"/>
          <w:i/>
        </w:rPr>
      </w:pPr>
      <w:r>
        <w:rPr>
          <w:rFonts w:ascii="Arial" w:hAnsi="Arial" w:cs="Arial"/>
          <w:i/>
        </w:rPr>
        <w:t xml:space="preserve">Keywords: </w:t>
      </w:r>
      <w:r w:rsidR="00502E88">
        <w:rPr>
          <w:rFonts w:ascii="Arial" w:hAnsi="Arial"/>
        </w:rPr>
        <w:t xml:space="preserve">Nodular fibromatosis; Neurofibroma; </w:t>
      </w:r>
      <w:r w:rsidR="003B2773">
        <w:rPr>
          <w:rFonts w:ascii="Arial" w:hAnsi="Arial"/>
        </w:rPr>
        <w:t>F</w:t>
      </w:r>
      <w:r w:rsidR="00502E88">
        <w:rPr>
          <w:rFonts w:ascii="Arial" w:hAnsi="Arial"/>
        </w:rPr>
        <w:t>inger tumor; Soft tissue mass; Case report; Hand surgery</w:t>
      </w:r>
    </w:p>
    <w:p w14:paraId="1734FC59" w14:textId="77777777" w:rsidR="0024282C" w:rsidRDefault="0024282C" w:rsidP="00441B6F">
      <w:pPr>
        <w:pStyle w:val="Body"/>
        <w:spacing w:after="0"/>
        <w:rPr>
          <w:rFonts w:ascii="Arial" w:hAnsi="Arial" w:cs="Arial"/>
          <w:i/>
          <w:sz w:val="18"/>
        </w:rPr>
      </w:pPr>
    </w:p>
    <w:p w14:paraId="66C19069" w14:textId="77777777" w:rsidR="00505F06" w:rsidRPr="00A24E7E" w:rsidRDefault="00505F06" w:rsidP="00441B6F">
      <w:pPr>
        <w:pStyle w:val="Body"/>
        <w:spacing w:after="0"/>
        <w:rPr>
          <w:rFonts w:ascii="Arial" w:hAnsi="Arial" w:cs="Arial"/>
          <w:i/>
        </w:rPr>
      </w:pPr>
    </w:p>
    <w:p w14:paraId="2ACE012F" w14:textId="218584D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C103746" w14:textId="77777777" w:rsidR="00790ADA" w:rsidRPr="00FB3A86" w:rsidRDefault="00790ADA" w:rsidP="00441B6F">
      <w:pPr>
        <w:pStyle w:val="AbstHead"/>
        <w:spacing w:after="0"/>
        <w:jc w:val="both"/>
        <w:rPr>
          <w:rFonts w:ascii="Arial" w:hAnsi="Arial" w:cs="Arial"/>
        </w:rPr>
      </w:pPr>
    </w:p>
    <w:p w14:paraId="2927CE57" w14:textId="3A7D7D53" w:rsidR="00790ADA" w:rsidRDefault="00502E88" w:rsidP="00CB10D5">
      <w:pPr>
        <w:pStyle w:val="Body"/>
        <w:spacing w:after="0"/>
        <w:rPr>
          <w:rFonts w:ascii="Arial" w:hAnsi="Arial" w:cs="Arial"/>
        </w:rPr>
      </w:pPr>
      <w:r w:rsidRPr="00502E88">
        <w:rPr>
          <w:rFonts w:ascii="Arial" w:hAnsi="Arial" w:cs="Arial"/>
        </w:rPr>
        <w:t>Soft tissue tumors of the hand are uncommon and can present diagnostic and therapeutic challenges, particularly in young adults</w:t>
      </w:r>
      <w:r w:rsidRPr="00A40E21">
        <w:rPr>
          <w:rFonts w:ascii="Arial" w:hAnsi="Arial" w:cs="Arial"/>
        </w:rPr>
        <w:t xml:space="preserve">. </w:t>
      </w:r>
      <w:r w:rsidR="00CB10D5" w:rsidRPr="00A40E21">
        <w:rPr>
          <w:rFonts w:ascii="Arial" w:hAnsi="Arial" w:cs="Arial"/>
        </w:rPr>
        <w:t>Neurofibromas (NFs) are rare benign peripheral nerve sheath tumors arising from the proliferation of Schwann cells and fibroblasts. Approximately 90% occur sporadically, while only 10% are associated with neurofibromatosis type 1 (NF1). Their localization in the hand is exceptional, representing only 0.8% of all NFs in the general population and 10–15% among NF1 patients</w:t>
      </w:r>
      <w:r w:rsidR="00CB10D5" w:rsidRPr="00A40E21">
        <w:rPr>
          <w:rFonts w:ascii="Arial" w:hAnsi="Arial" w:cs="Arial"/>
        </w:rPr>
        <w:fldChar w:fldCharType="begin"/>
      </w:r>
      <w:r w:rsidR="00CB10D5" w:rsidRPr="00A40E21">
        <w:rPr>
          <w:rFonts w:ascii="Arial" w:hAnsi="Arial" w:cs="Arial"/>
        </w:rPr>
        <w:instrText xml:space="preserve"> ADDIN ZOTERO_ITEM CSL_CITATION {"citationID":"182Sk2q4","properties":{"formattedCitation":"(1)","plainCitation":"(1)","noteIndex":0},"citationItems":[{"id":42,"uris":["http://zotero.org/users/local/7qifMvx1/items/8DPGHTWC"],"itemData":{"id":42,"type":"article-journal","abstract":"We report the case of a 34-year-old woman with hypothenar pain due to a solitary neurofibroma (NF) of the ulnar nerve, with an extrafascicular location, outside Guyon canal, with no clinical evidence of associated neurologic impairment, who was successfully treated with surgical resection. The identification of this isolated tumor led to the diagnosis of a new genetic variant of neurofibromatosis type 1 after genome sequencing. At the 1-year follow-up, the patient remains asymptomatic without recurrence or other peripheral nerve sheath tumors. A solitary NF of a deep-seated nerve is extremely rare, especially in the context of neurofibromatosis type 1. To our knowledge, there are no reports of a NF of the ulnar nerve with an extraneural location. In the presence of a solitary NF related to a deep-seated peripheral nerve, neurofibromatosis type 1 should always be excluded.","container-title":"Journal of Hand Surgery Global Online","DOI":"10.1016/j.jhsg.2022.04.008","ISSN":"2589-5141","issue":"5","journalAbbreviation":"J Hand Surg Glob Online","note":"PMID: 36157301\nPMCID: PMC9492796","page":"283-287","source":"PubMed Central","title":"Atypically Located Solitary Neurofibroma of the Ulnar Nerve as Inaugural Presentation of a New Genetic Variant of Neurofibromatosis Type 1: A Case Report","title-short":"Atypically Located Solitary Neurofibroma of the Ulnar Nerve as Inaugural Presentation of a New Genetic Variant of Neurofibromatosis Type 1","volume":"4","author":[{"family":"Carvalho","given":"Diogo Rocha"},{"family":"Branco","given":"Pedro Martins"},{"family":"Afonso","given":"P. Diana"},{"family":"Gerardo","given":"Gonçalo"},{"family":"Baptista","given":"Carolina"}],"issued":{"date-parts":[["2022",5,20]]}}}],"schema":"https://github.com/citation-style-language/schema/raw/master/csl-citation.json"} </w:instrText>
      </w:r>
      <w:r w:rsidR="00CB10D5" w:rsidRPr="00A40E21">
        <w:rPr>
          <w:rFonts w:ascii="Arial" w:hAnsi="Arial" w:cs="Arial"/>
        </w:rPr>
        <w:fldChar w:fldCharType="separate"/>
      </w:r>
      <w:r w:rsidR="00CB10D5" w:rsidRPr="00A40E21">
        <w:rPr>
          <w:rFonts w:ascii="Arial" w:hAnsi="Arial" w:cs="Arial"/>
        </w:rPr>
        <w:t>(1)</w:t>
      </w:r>
      <w:r w:rsidR="00CB10D5" w:rsidRPr="00A40E21">
        <w:rPr>
          <w:rFonts w:ascii="Arial" w:hAnsi="Arial" w:cs="Arial"/>
        </w:rPr>
        <w:fldChar w:fldCharType="end"/>
      </w:r>
      <w:r w:rsidR="00CB10D5" w:rsidRPr="00A40E21">
        <w:rPr>
          <w:rFonts w:ascii="Arial" w:hAnsi="Arial" w:cs="Arial"/>
        </w:rPr>
        <w:t xml:space="preserve">. </w:t>
      </w:r>
      <w:r w:rsidRPr="00A40E21">
        <w:rPr>
          <w:rFonts w:ascii="Arial" w:hAnsi="Arial" w:cs="Arial"/>
        </w:rPr>
        <w:t xml:space="preserve">Nodular fibromatosis and </w:t>
      </w:r>
      <w:r w:rsidR="00FC5E79" w:rsidRPr="00A40E21">
        <w:rPr>
          <w:rFonts w:ascii="Arial" w:hAnsi="Arial" w:cs="Arial"/>
        </w:rPr>
        <w:t>NFs</w:t>
      </w:r>
      <w:r w:rsidRPr="00A40E21">
        <w:rPr>
          <w:rFonts w:ascii="Arial" w:hAnsi="Arial" w:cs="Arial"/>
        </w:rPr>
        <w:t>, while benign, when located in the hand and can mimic other more common conditions</w:t>
      </w:r>
      <w:r w:rsidR="00166422" w:rsidRPr="00A40E21">
        <w:rPr>
          <w:rFonts w:ascii="Arial" w:hAnsi="Arial" w:cs="Arial"/>
        </w:rPr>
        <w:t xml:space="preserve"> </w:t>
      </w:r>
      <w:r w:rsidR="00166422" w:rsidRPr="00A40E21">
        <w:rPr>
          <w:color w:val="000000"/>
        </w:rPr>
        <w:t>differential diagnosis is crucial, particularly in the absence of pathognomonic signs or family history, and may require immunohistochemical profiling</w:t>
      </w:r>
      <w:r w:rsidR="00373CF1" w:rsidRPr="00A40E21">
        <w:rPr>
          <w:rFonts w:ascii="Arial" w:hAnsi="Arial" w:cs="Arial"/>
        </w:rPr>
        <w:fldChar w:fldCharType="begin"/>
      </w:r>
      <w:r w:rsidR="00CB10D5" w:rsidRPr="00A40E21">
        <w:rPr>
          <w:rFonts w:ascii="Arial" w:hAnsi="Arial" w:cs="Arial"/>
        </w:rPr>
        <w:instrText xml:space="preserve"> ADDIN ZOTERO_ITEM CSL_CITATION {"citationID":"nzLzKdBL","properties":{"formattedCitation":"(2,3)","plainCitation":"(2,3)","noteIndex":0},"citationItems":[{"id":21,"uris":["http://zotero.org/users/local/7qifMvx1/items/3HZ43CXP"],"itemData":{"id":21,"type":"book","ISBN":"978-92-832-2434-1","language":"en","source":"publications.iarc.fr","title":"WHO Classification of Tumours of Soft Tissue and Bone","URL":"https://publications.iarc.fr/Book-And-Report-Series/Who-Classification-Of-Tumours/WHO-Classification-Of-Tumours-Of-Soft-Tissue-And-Bone-2013","author":[{"family":"CDM","given":"Fletcher"},{"family":"JA","given":"Bridge"},{"family":"PCW","given":"Hogendoorn"},{"family":"F","given":"Mertens"}],"accessed":{"date-parts":[["2025",6,1]]}},"label":"page"},{"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M."}],"issued":{"date-parts":[["2017",12]]}},"label":"page"}],"schema":"https://github.com/citation-style-language/schema/raw/master/csl-citation.json"} </w:instrText>
      </w:r>
      <w:r w:rsidR="00373CF1" w:rsidRPr="00A40E21">
        <w:rPr>
          <w:rFonts w:ascii="Arial" w:hAnsi="Arial" w:cs="Arial"/>
        </w:rPr>
        <w:fldChar w:fldCharType="separate"/>
      </w:r>
      <w:r w:rsidR="00CB10D5" w:rsidRPr="00A40E21">
        <w:rPr>
          <w:rFonts w:ascii="Arial" w:hAnsi="Arial" w:cs="Arial"/>
        </w:rPr>
        <w:t>(2,3)</w:t>
      </w:r>
      <w:r w:rsidR="00373CF1" w:rsidRPr="00A40E21">
        <w:rPr>
          <w:rFonts w:ascii="Arial" w:hAnsi="Arial" w:cs="Arial"/>
        </w:rPr>
        <w:fldChar w:fldCharType="end"/>
      </w:r>
      <w:r w:rsidRPr="00A40E21">
        <w:rPr>
          <w:rFonts w:ascii="Arial" w:hAnsi="Arial" w:cs="Arial"/>
        </w:rPr>
        <w:t>. Recurrent cases necessitate a thorough re-evaluation, especially in the context of multifocal involvement and atypical progression</w:t>
      </w:r>
      <w:r w:rsidR="00373CF1" w:rsidRPr="00A40E21">
        <w:rPr>
          <w:rFonts w:ascii="Arial" w:hAnsi="Arial" w:cs="Arial"/>
        </w:rPr>
        <w:fldChar w:fldCharType="begin"/>
      </w:r>
      <w:r w:rsidR="00CB10D5" w:rsidRPr="00A40E21">
        <w:rPr>
          <w:rFonts w:ascii="Arial" w:hAnsi="Arial" w:cs="Arial"/>
        </w:rPr>
        <w:instrText xml:space="preserve"> ADDIN ZOTERO_ITEM CSL_CITATION {"citationID":"JuVdblqJ","properties":{"formattedCitation":"(4,5)","plainCitation":"(4,5)","noteIndex":0},"citationItems":[{"id":23,"uris":["http://zotero.org/users/local/7qifMvx1/items/MEFUYBGG"],"itemData":{"id":23,"type":"article-journal","abstract":"Peripheral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L."},{"family":"Giannini","given":"Caterina"},{"family":"Perry","given":"Arie"}],"issued":{"date-parts":[["2012",3]]}},"label":"page"},{"id":26,"uris":["http://zotero.org/users/local/7qifMvx1/items/5JLCN8WX"],"itemData":{"id":26,"type":"book","abstract":"Here&amp;#39;s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L."}],"issued":{"date-parts":[["2007",11,29]]}},"label":"page"}],"schema":"https://github.com/citation-style-language/schema/raw/master/csl-citation.json"} </w:instrText>
      </w:r>
      <w:r w:rsidR="00373CF1" w:rsidRPr="00A40E21">
        <w:rPr>
          <w:rFonts w:ascii="Arial" w:hAnsi="Arial" w:cs="Arial"/>
        </w:rPr>
        <w:fldChar w:fldCharType="separate"/>
      </w:r>
      <w:r w:rsidR="00CB10D5" w:rsidRPr="00A40E21">
        <w:rPr>
          <w:rFonts w:ascii="Arial" w:hAnsi="Arial" w:cs="Arial"/>
        </w:rPr>
        <w:t>(4,5)</w:t>
      </w:r>
      <w:r w:rsidR="00373CF1" w:rsidRPr="00A40E21">
        <w:rPr>
          <w:rFonts w:ascii="Arial" w:hAnsi="Arial" w:cs="Arial"/>
        </w:rPr>
        <w:fldChar w:fldCharType="end"/>
      </w:r>
      <w:r w:rsidRPr="00A40E21">
        <w:rPr>
          <w:rFonts w:ascii="Arial" w:hAnsi="Arial" w:cs="Arial"/>
        </w:rPr>
        <w:t>.</w:t>
      </w:r>
    </w:p>
    <w:p w14:paraId="1CC9D8EC" w14:textId="77777777" w:rsidR="00502E88" w:rsidRPr="00FB3A86" w:rsidRDefault="00502E88" w:rsidP="00441B6F">
      <w:pPr>
        <w:pStyle w:val="Body"/>
        <w:spacing w:after="0"/>
        <w:rPr>
          <w:rFonts w:ascii="Arial" w:hAnsi="Arial" w:cs="Arial"/>
        </w:rPr>
      </w:pPr>
    </w:p>
    <w:p w14:paraId="7723B5EB" w14:textId="452114E9" w:rsidR="007F7B32" w:rsidRDefault="00902823" w:rsidP="00441B6F">
      <w:pPr>
        <w:pStyle w:val="AbstHead"/>
        <w:spacing w:after="0"/>
        <w:jc w:val="both"/>
        <w:rPr>
          <w:rFonts w:ascii="Arial" w:hAnsi="Arial" w:cs="Arial"/>
        </w:rPr>
      </w:pPr>
      <w:r>
        <w:rPr>
          <w:rFonts w:ascii="Arial" w:hAnsi="Arial" w:cs="Arial"/>
        </w:rPr>
        <w:t xml:space="preserve">2. </w:t>
      </w:r>
      <w:r w:rsidR="00502E88">
        <w:rPr>
          <w:rFonts w:ascii="Arial" w:hAnsi="Arial" w:cs="Arial"/>
        </w:rPr>
        <w:t>c</w:t>
      </w:r>
      <w:r>
        <w:rPr>
          <w:rFonts w:ascii="Arial" w:hAnsi="Arial" w:cs="Arial"/>
        </w:rPr>
        <w:t>a</w:t>
      </w:r>
      <w:r w:rsidR="00502E88">
        <w:rPr>
          <w:rFonts w:ascii="Arial" w:hAnsi="Arial" w:cs="Arial"/>
        </w:rPr>
        <w:t>se presentation</w:t>
      </w:r>
    </w:p>
    <w:p w14:paraId="2219BE69" w14:textId="77777777" w:rsidR="00502E88" w:rsidRDefault="00502E88" w:rsidP="00502E88">
      <w:pPr>
        <w:pStyle w:val="Body"/>
        <w:rPr>
          <w:rFonts w:ascii="Arial" w:eastAsia="Calibri" w:hAnsi="Arial" w:cs="Arial"/>
          <w:szCs w:val="22"/>
        </w:rPr>
      </w:pPr>
    </w:p>
    <w:p w14:paraId="5903D92F" w14:textId="77777777" w:rsidR="00650BC9" w:rsidRDefault="00650BC9" w:rsidP="00650BC9">
      <w:pPr>
        <w:pStyle w:val="Body"/>
        <w:rPr>
          <w:rFonts w:ascii="Arial" w:eastAsia="Calibri" w:hAnsi="Arial" w:cs="Arial"/>
          <w:szCs w:val="22"/>
        </w:rPr>
      </w:pPr>
      <w:r w:rsidRPr="00650BC9">
        <w:rPr>
          <w:rFonts w:ascii="Arial" w:eastAsia="Calibri" w:hAnsi="Arial" w:cs="Arial"/>
          <w:szCs w:val="22"/>
        </w:rPr>
        <w:t>In December 2018, a 22-year-old right-handed female university student presented with a firm, non-inflammatory, mildly painful nodule measuring approximately 1 cm on the dorsal aspect of the right index finger at the level of the distal interphalangeal (DIP) joint. The patient reported no significant past medical or surgical history. Standard radiography revealed no osseous abnormalities. Ultrasonography demonstrated a hyperechoic lesion, leading to complete surgical excision (Figure 1). Histopathological analysis identified a cicatricial nodule consistent with tendon rupture, without evidence of malignancy.</w:t>
      </w:r>
    </w:p>
    <w:p w14:paraId="0171126C" w14:textId="5EBC5A19" w:rsidR="00502E88" w:rsidRPr="00502E88" w:rsidRDefault="00D33018" w:rsidP="00650BC9">
      <w:pPr>
        <w:pStyle w:val="Body"/>
        <w:rPr>
          <w:rFonts w:ascii="Arial" w:eastAsia="Calibri" w:hAnsi="Arial" w:cs="Arial"/>
          <w:szCs w:val="22"/>
        </w:rPr>
      </w:pPr>
      <w:r>
        <w:rPr>
          <w:rFonts w:ascii="Arial" w:eastAsia="Calibri" w:hAnsi="Arial" w:cs="Arial"/>
          <w:szCs w:val="22"/>
        </w:rPr>
        <w:lastRenderedPageBreak/>
        <w:t>I</w:t>
      </w:r>
      <w:r w:rsidR="00502E88" w:rsidRPr="00502E88">
        <w:rPr>
          <w:rFonts w:ascii="Arial" w:eastAsia="Calibri" w:hAnsi="Arial" w:cs="Arial"/>
          <w:szCs w:val="22"/>
        </w:rPr>
        <w:t>n June 2019, the patient experienced a recurrence of the mass, now accompanied by signs of complex regional pain syndrome (</w:t>
      </w:r>
      <w:proofErr w:type="spellStart"/>
      <w:r w:rsidR="00502E88" w:rsidRPr="00502E88">
        <w:rPr>
          <w:rFonts w:ascii="Arial" w:eastAsia="Calibri" w:hAnsi="Arial" w:cs="Arial"/>
          <w:szCs w:val="22"/>
        </w:rPr>
        <w:t>algodystrophy</w:t>
      </w:r>
      <w:proofErr w:type="spellEnd"/>
      <w:r w:rsidR="00502E88" w:rsidRPr="00502E88">
        <w:rPr>
          <w:rFonts w:ascii="Arial" w:eastAsia="Calibri" w:hAnsi="Arial" w:cs="Arial"/>
          <w:szCs w:val="22"/>
        </w:rPr>
        <w:t>)</w:t>
      </w:r>
      <w:r w:rsidR="00D35FA2">
        <w:rPr>
          <w:rFonts w:ascii="Arial" w:eastAsia="Calibri" w:hAnsi="Arial" w:cs="Arial"/>
          <w:szCs w:val="22"/>
        </w:rPr>
        <w:t xml:space="preserve"> </w:t>
      </w:r>
      <w:r w:rsidR="00AD3E7C" w:rsidRPr="00835588">
        <w:rPr>
          <w:rFonts w:ascii="Arial" w:eastAsia="Calibri" w:hAnsi="Arial" w:cs="Arial"/>
          <w:i/>
          <w:iCs/>
          <w:szCs w:val="22"/>
        </w:rPr>
        <w:t>(Fig</w:t>
      </w:r>
      <w:r w:rsidR="00835588">
        <w:rPr>
          <w:rFonts w:ascii="Arial" w:eastAsia="Calibri" w:hAnsi="Arial" w:cs="Arial"/>
          <w:i/>
          <w:iCs/>
          <w:szCs w:val="22"/>
        </w:rPr>
        <w:t>ure 2</w:t>
      </w:r>
      <w:r w:rsidR="00835588" w:rsidRPr="00835588">
        <w:rPr>
          <w:rFonts w:ascii="Arial" w:eastAsia="Calibri" w:hAnsi="Arial" w:cs="Arial"/>
          <w:i/>
          <w:iCs/>
          <w:szCs w:val="22"/>
        </w:rPr>
        <w:t>)</w:t>
      </w:r>
      <w:r w:rsidR="00D35FA2">
        <w:rPr>
          <w:rFonts w:ascii="Arial" w:eastAsia="Calibri" w:hAnsi="Arial" w:cs="Arial"/>
          <w:i/>
          <w:iCs/>
          <w:szCs w:val="22"/>
        </w:rPr>
        <w:t>.</w:t>
      </w:r>
      <w:r w:rsidR="00502E88" w:rsidRPr="00502E88">
        <w:rPr>
          <w:rFonts w:ascii="Arial" w:eastAsia="Calibri" w:hAnsi="Arial" w:cs="Arial"/>
          <w:szCs w:val="22"/>
        </w:rPr>
        <w:t xml:space="preserve"> A second biopsy indicated nodular fibromatosis. Despite post-operative orthotic treatment, a mallet finger deformity developed.</w:t>
      </w:r>
    </w:p>
    <w:p w14:paraId="7A1A1693" w14:textId="1637FB29" w:rsidR="00650BC9" w:rsidRDefault="00650BC9" w:rsidP="001A6FEE">
      <w:pPr>
        <w:pStyle w:val="Body"/>
      </w:pPr>
      <w:r>
        <w:t>In 2020, a third recurrence was documented, with the emergence of two additional nodules along the extensor pathway of the right index finger.</w:t>
      </w:r>
      <w:r w:rsidR="00FF5E90" w:rsidRPr="00FF5E90">
        <w:rPr>
          <w:rFonts w:ascii="Arial" w:hAnsi="Arial" w:cs="Arial"/>
        </w:rPr>
        <w:t xml:space="preserve"> </w:t>
      </w:r>
      <w:r w:rsidR="00FF5E90" w:rsidRPr="00FC5E79">
        <w:rPr>
          <w:rFonts w:ascii="Arial" w:hAnsi="Arial" w:cs="Arial"/>
        </w:rPr>
        <w:t xml:space="preserve">Magnetic resonance </w:t>
      </w:r>
      <w:proofErr w:type="gramStart"/>
      <w:r w:rsidR="00FF5E90" w:rsidRPr="00FC5E79">
        <w:rPr>
          <w:rFonts w:ascii="Arial" w:hAnsi="Arial" w:cs="Arial"/>
        </w:rPr>
        <w:t>imaging</w:t>
      </w:r>
      <w:r w:rsidR="00FF5E90">
        <w:t>(</w:t>
      </w:r>
      <w:proofErr w:type="gramEnd"/>
      <w:r>
        <w:t>MRI</w:t>
      </w:r>
      <w:r w:rsidR="00FF5E90">
        <w:t>)</w:t>
      </w:r>
      <w:r>
        <w:t xml:space="preserve"> confirmed the presence of multifocal nodular fibromatosis</w:t>
      </w:r>
      <w:r w:rsidR="00D35FA2">
        <w:t xml:space="preserve"> (</w:t>
      </w:r>
      <w:r w:rsidR="00D35FA2" w:rsidRPr="00D35FA2">
        <w:rPr>
          <w:i/>
          <w:iCs/>
        </w:rPr>
        <w:t>Figure</w:t>
      </w:r>
      <w:r w:rsidR="00D35FA2">
        <w:t xml:space="preserve"> 3)</w:t>
      </w:r>
      <w:r>
        <w:t>. Surgical excision was performed, and histopathological findings were consistent with fibromatosis.</w:t>
      </w:r>
    </w:p>
    <w:p w14:paraId="21CD49C5" w14:textId="248AC0FB" w:rsidR="001A6FEE" w:rsidRDefault="00502E88" w:rsidP="001A6FEE">
      <w:pPr>
        <w:pStyle w:val="Body"/>
        <w:rPr>
          <w:rFonts w:ascii="Arial" w:eastAsia="Calibri" w:hAnsi="Arial" w:cs="Arial"/>
          <w:szCs w:val="22"/>
        </w:rPr>
      </w:pPr>
      <w:r w:rsidRPr="00502E88">
        <w:rPr>
          <w:rFonts w:ascii="Arial" w:eastAsia="Calibri" w:hAnsi="Arial" w:cs="Arial"/>
          <w:szCs w:val="22"/>
        </w:rPr>
        <w:t>By 2022, the patient had developed three new masses along the index finger. Following partial resection, she exhibited joint stiffness and a recurrent mallet finger deformity. Histology was not available.</w:t>
      </w:r>
    </w:p>
    <w:p w14:paraId="2D65CB45" w14:textId="47F33CEF" w:rsidR="001A6FEE" w:rsidRPr="001A6FEE" w:rsidRDefault="00166422" w:rsidP="001A6FEE">
      <w:pPr>
        <w:pStyle w:val="Body"/>
        <w:rPr>
          <w:rFonts w:ascii="Arial" w:eastAsia="Calibri" w:hAnsi="Arial" w:cs="Arial"/>
          <w:szCs w:val="22"/>
        </w:rPr>
      </w:pPr>
      <w:r w:rsidRPr="00166422">
        <w:rPr>
          <w:rFonts w:ascii="Arial" w:eastAsia="Calibri" w:hAnsi="Arial" w:cs="Arial"/>
          <w:szCs w:val="22"/>
        </w:rPr>
        <w:t>In 2024, a fourth recurrence involved a 2 cm lesion on the index finger and a 5 cm mass over the dorsal aspect of the hand with a positive Tinel sign (</w:t>
      </w:r>
      <w:r w:rsidRPr="00D35FA2">
        <w:rPr>
          <w:rFonts w:ascii="Arial" w:eastAsia="Calibri" w:hAnsi="Arial" w:cs="Arial"/>
          <w:i/>
          <w:iCs/>
          <w:szCs w:val="22"/>
        </w:rPr>
        <w:t>Figure</w:t>
      </w:r>
      <w:r w:rsidR="00D35FA2">
        <w:rPr>
          <w:rFonts w:ascii="Arial" w:eastAsia="Calibri" w:hAnsi="Arial" w:cs="Arial"/>
          <w:szCs w:val="22"/>
        </w:rPr>
        <w:t xml:space="preserve"> 4</w:t>
      </w:r>
      <w:r w:rsidRPr="00166422">
        <w:rPr>
          <w:rFonts w:ascii="Arial" w:eastAsia="Calibri" w:hAnsi="Arial" w:cs="Arial"/>
          <w:szCs w:val="22"/>
        </w:rPr>
        <w:t xml:space="preserve">). Surgical biopsy of seven tissue fragments finally revealed histological features consistent with </w:t>
      </w:r>
      <w:proofErr w:type="gramStart"/>
      <w:r w:rsidRPr="00166422">
        <w:rPr>
          <w:rFonts w:ascii="Arial" w:eastAsia="Calibri" w:hAnsi="Arial" w:cs="Arial"/>
          <w:szCs w:val="22"/>
        </w:rPr>
        <w:t>neurofibroma</w:t>
      </w:r>
      <w:r w:rsidR="00FF5E90">
        <w:rPr>
          <w:rFonts w:ascii="Arial" w:eastAsia="Calibri" w:hAnsi="Arial" w:cs="Arial"/>
          <w:szCs w:val="22"/>
        </w:rPr>
        <w:t>(</w:t>
      </w:r>
      <w:proofErr w:type="gramEnd"/>
      <w:r w:rsidR="00FF5E90">
        <w:rPr>
          <w:rFonts w:ascii="Arial" w:eastAsia="Calibri" w:hAnsi="Arial" w:cs="Arial"/>
          <w:szCs w:val="22"/>
        </w:rPr>
        <w:t>NF)</w:t>
      </w:r>
      <w:r w:rsidRPr="00166422">
        <w:rPr>
          <w:rFonts w:ascii="Arial" w:eastAsia="Calibri" w:hAnsi="Arial" w:cs="Arial"/>
          <w:szCs w:val="22"/>
        </w:rPr>
        <w:t xml:space="preserve">. Immunohistochemical </w:t>
      </w:r>
      <w:r w:rsidRPr="00A40E21">
        <w:rPr>
          <w:rFonts w:ascii="Arial" w:eastAsia="Calibri" w:hAnsi="Arial" w:cs="Arial"/>
          <w:szCs w:val="22"/>
        </w:rPr>
        <w:t>staining, including S100 protein, was used and confirmed the diagnosis</w:t>
      </w:r>
      <w:r w:rsidR="00502E88" w:rsidRPr="00A40E21">
        <w:rPr>
          <w:rFonts w:ascii="Arial" w:eastAsia="Calibri" w:hAnsi="Arial" w:cs="Arial"/>
          <w:szCs w:val="22"/>
        </w:rPr>
        <w:t>.</w:t>
      </w:r>
    </w:p>
    <w:p w14:paraId="732C7C90" w14:textId="141D98FF" w:rsidR="001A6FEE" w:rsidRDefault="001A6FEE" w:rsidP="001A6FEE">
      <w:pPr>
        <w:rPr>
          <w:rFonts w:ascii="Arial" w:hAnsi="Arial"/>
        </w:rPr>
      </w:pPr>
      <w:r>
        <w:rPr>
          <w:rFonts w:ascii="Arial" w:hAnsi="Arial"/>
        </w:rPr>
        <w:t xml:space="preserve">The diagnosis evolved over time through several recurrences. Initial imaging (X-rays and ultrasounds) showed soft tissue masses without bone </w:t>
      </w:r>
      <w:proofErr w:type="gramStart"/>
      <w:r>
        <w:rPr>
          <w:rFonts w:ascii="Arial" w:hAnsi="Arial"/>
        </w:rPr>
        <w:t>involvement .</w:t>
      </w:r>
      <w:proofErr w:type="gramEnd"/>
      <w:r>
        <w:rPr>
          <w:rFonts w:ascii="Arial" w:hAnsi="Arial"/>
        </w:rPr>
        <w:t xml:space="preserve"> MRI in 2020 suggested multifocal nodular fibromatosis. Histopathological findings initially showed cicatricial nodule and </w:t>
      </w:r>
      <w:proofErr w:type="gramStart"/>
      <w:r>
        <w:rPr>
          <w:rFonts w:ascii="Arial" w:hAnsi="Arial"/>
        </w:rPr>
        <w:t>fibromatosis ,</w:t>
      </w:r>
      <w:proofErr w:type="gramEnd"/>
      <w:r>
        <w:rPr>
          <w:rFonts w:ascii="Arial" w:hAnsi="Arial"/>
        </w:rPr>
        <w:t xml:space="preserve"> but the final recurrence in 2024 revealed </w:t>
      </w:r>
      <w:r w:rsidR="00FF5E90">
        <w:rPr>
          <w:rFonts w:ascii="Arial" w:hAnsi="Arial"/>
        </w:rPr>
        <w:t>NF</w:t>
      </w:r>
    </w:p>
    <w:p w14:paraId="4A499F23" w14:textId="77777777" w:rsidR="001A6FEE" w:rsidRPr="001A6FEE" w:rsidRDefault="001A6FEE" w:rsidP="001A6FEE"/>
    <w:p w14:paraId="162928F0" w14:textId="77777777" w:rsidR="001A6FEE" w:rsidRDefault="001A6FEE" w:rsidP="001A6FEE">
      <w:pPr>
        <w:rPr>
          <w:rFonts w:ascii="Arial" w:hAnsi="Arial"/>
        </w:rPr>
      </w:pPr>
      <w:r>
        <w:rPr>
          <w:rFonts w:ascii="Arial" w:hAnsi="Arial"/>
        </w:rPr>
        <w:t xml:space="preserve">Each recurrence was managed surgically via excisional </w:t>
      </w:r>
      <w:proofErr w:type="gramStart"/>
      <w:r>
        <w:rPr>
          <w:rFonts w:ascii="Arial" w:hAnsi="Arial"/>
        </w:rPr>
        <w:t>biopsies .</w:t>
      </w:r>
      <w:proofErr w:type="gramEnd"/>
      <w:r>
        <w:rPr>
          <w:rFonts w:ascii="Arial" w:hAnsi="Arial"/>
        </w:rPr>
        <w:t xml:space="preserve"> Surgical challenges included preservation of the extensor tendon system. Rehabilitation was implemented post-operatively, particularly after tendon involvement caused mallet deformity.</w:t>
      </w:r>
    </w:p>
    <w:p w14:paraId="4A64DB9F" w14:textId="77777777" w:rsidR="001A6FEE" w:rsidRDefault="001A6FEE" w:rsidP="001A6FEE">
      <w:pPr>
        <w:rPr>
          <w:rFonts w:ascii="Arial" w:hAnsi="Arial"/>
        </w:rPr>
      </w:pPr>
    </w:p>
    <w:p w14:paraId="38AFA9F3" w14:textId="24561A34" w:rsidR="00397FF7" w:rsidRDefault="001A6FEE" w:rsidP="00397FF7">
      <w:pPr>
        <w:rPr>
          <w:rFonts w:ascii="Arial" w:hAnsi="Arial"/>
        </w:rPr>
      </w:pPr>
      <w:r>
        <w:rPr>
          <w:rFonts w:ascii="Arial" w:hAnsi="Arial"/>
        </w:rPr>
        <w:t xml:space="preserve">Throughout the multiple recurrences, the patient underwent five surgeries. Outcomes included joint stiffness and mallet </w:t>
      </w:r>
      <w:proofErr w:type="gramStart"/>
      <w:r>
        <w:rPr>
          <w:rFonts w:ascii="Arial" w:hAnsi="Arial"/>
        </w:rPr>
        <w:t>deformities</w:t>
      </w:r>
      <w:r w:rsidR="00835588">
        <w:rPr>
          <w:rFonts w:ascii="Arial" w:hAnsi="Arial"/>
        </w:rPr>
        <w:t xml:space="preserve"> </w:t>
      </w:r>
      <w:r>
        <w:rPr>
          <w:rFonts w:ascii="Arial" w:hAnsi="Arial"/>
        </w:rPr>
        <w:t>.</w:t>
      </w:r>
      <w:proofErr w:type="gramEnd"/>
      <w:r>
        <w:rPr>
          <w:rFonts w:ascii="Arial" w:hAnsi="Arial"/>
        </w:rPr>
        <w:t xml:space="preserve"> </w:t>
      </w:r>
      <w:r w:rsidR="00835588" w:rsidRPr="00835588">
        <w:rPr>
          <w:rFonts w:ascii="Arial" w:hAnsi="Arial"/>
          <w:i/>
          <w:iCs/>
        </w:rPr>
        <w:t xml:space="preserve">(Figure </w:t>
      </w:r>
      <w:r w:rsidR="00D35FA2">
        <w:rPr>
          <w:rFonts w:ascii="Arial" w:hAnsi="Arial"/>
          <w:i/>
          <w:iCs/>
        </w:rPr>
        <w:t>5</w:t>
      </w:r>
      <w:r w:rsidR="00835588" w:rsidRPr="00835588">
        <w:rPr>
          <w:rFonts w:ascii="Arial" w:hAnsi="Arial"/>
          <w:i/>
          <w:iCs/>
        </w:rPr>
        <w:t>)</w:t>
      </w:r>
      <w:r w:rsidR="00835588">
        <w:rPr>
          <w:rFonts w:ascii="Arial" w:hAnsi="Arial"/>
        </w:rPr>
        <w:t xml:space="preserve"> </w:t>
      </w:r>
      <w:r>
        <w:rPr>
          <w:rFonts w:ascii="Arial" w:hAnsi="Arial"/>
        </w:rPr>
        <w:t xml:space="preserve">After the final excision in 2024, histopathology confirmed </w:t>
      </w:r>
      <w:r w:rsidR="00FF5E90">
        <w:rPr>
          <w:rFonts w:ascii="Arial" w:hAnsi="Arial"/>
        </w:rPr>
        <w:t>NF</w:t>
      </w:r>
      <w:r>
        <w:rPr>
          <w:rFonts w:ascii="Arial" w:hAnsi="Arial"/>
        </w:rPr>
        <w:t xml:space="preserve"> and the recurrence has not reappeared to date.</w:t>
      </w:r>
    </w:p>
    <w:p w14:paraId="12C5CC56" w14:textId="77777777" w:rsidR="00397FF7" w:rsidRDefault="00397FF7" w:rsidP="001A6FEE">
      <w:pPr>
        <w:rPr>
          <w:rFonts w:ascii="Arial" w:hAnsi="Arial"/>
        </w:rPr>
      </w:pPr>
    </w:p>
    <w:p w14:paraId="2C7AB7BD" w14:textId="77777777" w:rsidR="00835588" w:rsidRDefault="00835588" w:rsidP="001A6FEE">
      <w:pPr>
        <w:rPr>
          <w:rFonts w:ascii="Arial" w:hAnsi="Arial"/>
        </w:rPr>
      </w:pPr>
    </w:p>
    <w:p w14:paraId="2450E854" w14:textId="77777777" w:rsidR="00835588" w:rsidRDefault="00835588" w:rsidP="001A6FEE">
      <w:pPr>
        <w:rPr>
          <w:rFonts w:ascii="Arial" w:hAnsi="Arial"/>
        </w:rPr>
      </w:pPr>
    </w:p>
    <w:p w14:paraId="05975DA3" w14:textId="77777777" w:rsidR="00835588" w:rsidRDefault="00835588" w:rsidP="00835588">
      <w:pPr>
        <w:keepNext/>
        <w:jc w:val="center"/>
      </w:pPr>
      <w:r w:rsidRPr="009A13F7">
        <w:rPr>
          <w:rFonts w:ascii="Arial" w:hAnsi="Arial" w:cs="Arial"/>
          <w:b/>
          <w:bCs/>
          <w:noProof/>
        </w:rPr>
        <w:drawing>
          <wp:inline distT="0" distB="0" distL="0" distR="0" wp14:anchorId="569DC672" wp14:editId="7DD2E724">
            <wp:extent cx="2880000" cy="3808800"/>
            <wp:effectExtent l="0" t="0" r="0" b="1270"/>
            <wp:docPr id="1779663066" name="Image 1" descr="Une image contenant Chair, personne, intérieur, o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22555" name="Image 1" descr="Une image contenant Chair, personne, intérieur, ongle&#10;&#10;Le contenu généré par l’IA peut être incorrect."/>
                    <pic:cNvPicPr/>
                  </pic:nvPicPr>
                  <pic:blipFill>
                    <a:blip r:embed="rId14"/>
                    <a:stretch>
                      <a:fillRect/>
                    </a:stretch>
                  </pic:blipFill>
                  <pic:spPr>
                    <a:xfrm>
                      <a:off x="0" y="0"/>
                      <a:ext cx="2880000" cy="3808800"/>
                    </a:xfrm>
                    <a:prstGeom prst="rect">
                      <a:avLst/>
                    </a:prstGeom>
                  </pic:spPr>
                </pic:pic>
              </a:graphicData>
            </a:graphic>
          </wp:inline>
        </w:drawing>
      </w:r>
    </w:p>
    <w:p w14:paraId="03EB581E" w14:textId="77777777" w:rsidR="00835588" w:rsidRDefault="00835588" w:rsidP="00835588">
      <w:pPr>
        <w:keepNext/>
        <w:jc w:val="center"/>
      </w:pPr>
    </w:p>
    <w:p w14:paraId="0E9E6590" w14:textId="17BE6A0E" w:rsidR="00835588" w:rsidRDefault="00835588" w:rsidP="00835588">
      <w:pPr>
        <w:pStyle w:val="Caption"/>
        <w:jc w:val="center"/>
        <w:rPr>
          <w:i w:val="0"/>
          <w:iCs w:val="0"/>
          <w:color w:val="000000" w:themeColor="text1"/>
          <w:sz w:val="20"/>
          <w:szCs w:val="20"/>
          <w:lang w:val="fr-FR"/>
        </w:rPr>
      </w:pPr>
      <w:r w:rsidRPr="00835588">
        <w:rPr>
          <w:b/>
          <w:bCs/>
          <w:i w:val="0"/>
          <w:iCs w:val="0"/>
          <w:color w:val="000000" w:themeColor="text1"/>
          <w:sz w:val="20"/>
          <w:szCs w:val="20"/>
        </w:rPr>
        <w:t xml:space="preserve">Fig. </w:t>
      </w:r>
      <w:r w:rsidRPr="00835588">
        <w:rPr>
          <w:b/>
          <w:bCs/>
          <w:i w:val="0"/>
          <w:iCs w:val="0"/>
          <w:color w:val="000000" w:themeColor="text1"/>
          <w:sz w:val="20"/>
          <w:szCs w:val="20"/>
        </w:rPr>
        <w:fldChar w:fldCharType="begin"/>
      </w:r>
      <w:r w:rsidRPr="00835588">
        <w:rPr>
          <w:b/>
          <w:bCs/>
          <w:i w:val="0"/>
          <w:iCs w:val="0"/>
          <w:color w:val="000000" w:themeColor="text1"/>
          <w:sz w:val="20"/>
          <w:szCs w:val="20"/>
        </w:rPr>
        <w:instrText xml:space="preserve"> SEQ Fig. \* ARABIC </w:instrText>
      </w:r>
      <w:r w:rsidRPr="00835588">
        <w:rPr>
          <w:b/>
          <w:bCs/>
          <w:i w:val="0"/>
          <w:iCs w:val="0"/>
          <w:color w:val="000000" w:themeColor="text1"/>
          <w:sz w:val="20"/>
          <w:szCs w:val="20"/>
        </w:rPr>
        <w:fldChar w:fldCharType="separate"/>
      </w:r>
      <w:r w:rsidR="00D35FA2">
        <w:rPr>
          <w:b/>
          <w:bCs/>
          <w:i w:val="0"/>
          <w:iCs w:val="0"/>
          <w:noProof/>
          <w:color w:val="000000" w:themeColor="text1"/>
          <w:sz w:val="20"/>
          <w:szCs w:val="20"/>
        </w:rPr>
        <w:t>1</w:t>
      </w:r>
      <w:r w:rsidRPr="00835588">
        <w:rPr>
          <w:b/>
          <w:bCs/>
          <w:i w:val="0"/>
          <w:iCs w:val="0"/>
          <w:color w:val="000000" w:themeColor="text1"/>
          <w:sz w:val="20"/>
          <w:szCs w:val="20"/>
        </w:rPr>
        <w:fldChar w:fldCharType="end"/>
      </w:r>
      <w:r w:rsidRPr="00835588">
        <w:rPr>
          <w:b/>
          <w:bCs/>
          <w:i w:val="0"/>
          <w:iCs w:val="0"/>
          <w:color w:val="000000" w:themeColor="text1"/>
          <w:sz w:val="20"/>
          <w:szCs w:val="20"/>
          <w:lang w:val="fr-FR"/>
        </w:rPr>
        <w:t>.</w:t>
      </w:r>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Intraoperative</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view</w:t>
      </w:r>
      <w:proofErr w:type="spellEnd"/>
      <w:r w:rsidRPr="00835588">
        <w:rPr>
          <w:i w:val="0"/>
          <w:iCs w:val="0"/>
          <w:color w:val="000000" w:themeColor="text1"/>
          <w:sz w:val="20"/>
          <w:szCs w:val="20"/>
          <w:lang w:val="fr-FR"/>
        </w:rPr>
        <w:t xml:space="preserve"> : Complete excision of the </w:t>
      </w:r>
      <w:proofErr w:type="spellStart"/>
      <w:r w:rsidRPr="00835588">
        <w:rPr>
          <w:i w:val="0"/>
          <w:iCs w:val="0"/>
          <w:color w:val="000000" w:themeColor="text1"/>
          <w:sz w:val="20"/>
          <w:szCs w:val="20"/>
          <w:lang w:val="fr-FR"/>
        </w:rPr>
        <w:t>tumor</w:t>
      </w:r>
      <w:proofErr w:type="spellEnd"/>
    </w:p>
    <w:p w14:paraId="2BA2FBFE" w14:textId="77777777" w:rsidR="00D35FA2" w:rsidRDefault="00D35FA2" w:rsidP="00D35FA2">
      <w:pPr>
        <w:keepNext/>
        <w:jc w:val="center"/>
      </w:pPr>
      <w:r>
        <w:rPr>
          <w:noProof/>
        </w:rPr>
        <w:lastRenderedPageBreak/>
        <w:drawing>
          <wp:inline distT="0" distB="0" distL="0" distR="0" wp14:anchorId="2E61EBBA" wp14:editId="12DD4A73">
            <wp:extent cx="1897200" cy="3600000"/>
            <wp:effectExtent l="0" t="0" r="8255" b="635"/>
            <wp:docPr id="469592176" name="Image 1" descr="Ouvrir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vrir la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7200" cy="3600000"/>
                    </a:xfrm>
                    <a:prstGeom prst="rect">
                      <a:avLst/>
                    </a:prstGeom>
                    <a:noFill/>
                    <a:ln>
                      <a:noFill/>
                    </a:ln>
                  </pic:spPr>
                </pic:pic>
              </a:graphicData>
            </a:graphic>
          </wp:inline>
        </w:drawing>
      </w:r>
    </w:p>
    <w:p w14:paraId="2922B561" w14:textId="77777777" w:rsidR="003E56C5" w:rsidRDefault="003E56C5" w:rsidP="00D35FA2">
      <w:pPr>
        <w:keepNext/>
        <w:jc w:val="center"/>
      </w:pPr>
    </w:p>
    <w:p w14:paraId="695A9072" w14:textId="498067A8" w:rsidR="00D35FA2" w:rsidRPr="00D35FA2" w:rsidRDefault="00D35FA2" w:rsidP="00D35FA2">
      <w:pPr>
        <w:pStyle w:val="Caption"/>
        <w:jc w:val="center"/>
        <w:rPr>
          <w:i w:val="0"/>
          <w:iCs w:val="0"/>
          <w:color w:val="auto"/>
          <w:lang w:val="fr-FR"/>
        </w:rPr>
      </w:pPr>
      <w:r w:rsidRPr="00D35FA2">
        <w:rPr>
          <w:b/>
          <w:bCs/>
          <w:i w:val="0"/>
          <w:iCs w:val="0"/>
          <w:color w:val="auto"/>
        </w:rPr>
        <w:t xml:space="preserve">Fig. </w:t>
      </w:r>
      <w:r w:rsidRPr="00D35FA2">
        <w:rPr>
          <w:b/>
          <w:bCs/>
          <w:i w:val="0"/>
          <w:iCs w:val="0"/>
          <w:color w:val="auto"/>
        </w:rPr>
        <w:fldChar w:fldCharType="begin"/>
      </w:r>
      <w:r w:rsidRPr="00D35FA2">
        <w:rPr>
          <w:b/>
          <w:bCs/>
          <w:i w:val="0"/>
          <w:iCs w:val="0"/>
          <w:color w:val="auto"/>
        </w:rPr>
        <w:instrText xml:space="preserve"> SEQ Fig. \* ARABIC </w:instrText>
      </w:r>
      <w:r w:rsidRPr="00D35FA2">
        <w:rPr>
          <w:b/>
          <w:bCs/>
          <w:i w:val="0"/>
          <w:iCs w:val="0"/>
          <w:color w:val="auto"/>
        </w:rPr>
        <w:fldChar w:fldCharType="separate"/>
      </w:r>
      <w:r w:rsidRPr="00D35FA2">
        <w:rPr>
          <w:b/>
          <w:bCs/>
          <w:i w:val="0"/>
          <w:iCs w:val="0"/>
          <w:noProof/>
          <w:color w:val="auto"/>
        </w:rPr>
        <w:t>2</w:t>
      </w:r>
      <w:r w:rsidRPr="00D35FA2">
        <w:rPr>
          <w:b/>
          <w:bCs/>
          <w:i w:val="0"/>
          <w:iCs w:val="0"/>
          <w:color w:val="auto"/>
        </w:rPr>
        <w:fldChar w:fldCharType="end"/>
      </w:r>
      <w:r w:rsidRPr="00D35FA2">
        <w:rPr>
          <w:b/>
          <w:bCs/>
          <w:i w:val="0"/>
          <w:iCs w:val="0"/>
          <w:color w:val="auto"/>
          <w:lang w:val="fr-FR"/>
        </w:rPr>
        <w:t>.</w:t>
      </w:r>
      <w:r w:rsidRPr="00D35FA2">
        <w:rPr>
          <w:i w:val="0"/>
          <w:iCs w:val="0"/>
          <w:color w:val="auto"/>
          <w:lang w:val="fr-FR"/>
        </w:rPr>
        <w:t xml:space="preserve"> MRI of the Right </w:t>
      </w:r>
      <w:proofErr w:type="gramStart"/>
      <w:r w:rsidRPr="00D35FA2">
        <w:rPr>
          <w:i w:val="0"/>
          <w:iCs w:val="0"/>
          <w:color w:val="auto"/>
          <w:lang w:val="fr-FR"/>
        </w:rPr>
        <w:t>Hand:</w:t>
      </w:r>
      <w:proofErr w:type="gramEnd"/>
      <w:r w:rsidRPr="00D35FA2">
        <w:rPr>
          <w:i w:val="0"/>
          <w:iCs w:val="0"/>
          <w:color w:val="auto"/>
          <w:lang w:val="fr-FR"/>
        </w:rPr>
        <w:t xml:space="preserve"> Multifocal Soft Tissue </w:t>
      </w:r>
      <w:proofErr w:type="spellStart"/>
      <w:r w:rsidRPr="00D35FA2">
        <w:rPr>
          <w:i w:val="0"/>
          <w:iCs w:val="0"/>
          <w:color w:val="auto"/>
          <w:lang w:val="fr-FR"/>
        </w:rPr>
        <w:t>Lesions</w:t>
      </w:r>
      <w:proofErr w:type="spellEnd"/>
    </w:p>
    <w:p w14:paraId="3805D580" w14:textId="77777777" w:rsidR="00397FF7" w:rsidRDefault="00397FF7" w:rsidP="001A6FEE">
      <w:pPr>
        <w:rPr>
          <w:rFonts w:ascii="Arial" w:hAnsi="Arial"/>
        </w:rPr>
      </w:pPr>
    </w:p>
    <w:p w14:paraId="75B756DC" w14:textId="77777777" w:rsidR="008E4181" w:rsidRDefault="00397FF7" w:rsidP="008E4181">
      <w:pPr>
        <w:keepNext/>
        <w:jc w:val="center"/>
      </w:pPr>
      <w:r>
        <w:rPr>
          <w:noProof/>
        </w:rPr>
        <w:drawing>
          <wp:inline distT="0" distB="0" distL="0" distR="0" wp14:anchorId="7662FBE0" wp14:editId="1ACDA4B5">
            <wp:extent cx="2796988" cy="2779302"/>
            <wp:effectExtent l="0" t="0" r="3810" b="2540"/>
            <wp:docPr id="4" name="Image 3" descr="Une image contenant ongle, personne, doigt, ve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ongle, personne, doigt, veine&#10;&#10;Le contenu généré par l’IA peut êtr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650" cy="2786915"/>
                    </a:xfrm>
                    <a:prstGeom prst="rect">
                      <a:avLst/>
                    </a:prstGeom>
                  </pic:spPr>
                </pic:pic>
              </a:graphicData>
            </a:graphic>
          </wp:inline>
        </w:drawing>
      </w:r>
    </w:p>
    <w:p w14:paraId="0110762D" w14:textId="77777777" w:rsidR="008E4181" w:rsidRDefault="008E4181" w:rsidP="008E4181">
      <w:pPr>
        <w:pStyle w:val="Caption"/>
        <w:jc w:val="center"/>
      </w:pPr>
    </w:p>
    <w:p w14:paraId="6B8B8E3E" w14:textId="6AFD0F09" w:rsidR="00397FF7" w:rsidRPr="00835588" w:rsidRDefault="008E4181" w:rsidP="008E4181">
      <w:pPr>
        <w:pStyle w:val="Caption"/>
        <w:jc w:val="center"/>
        <w:rPr>
          <w:rFonts w:ascii="Arial" w:hAnsi="Arial"/>
          <w:i w:val="0"/>
          <w:iCs w:val="0"/>
          <w:color w:val="000000" w:themeColor="text1"/>
          <w:sz w:val="20"/>
          <w:szCs w:val="20"/>
        </w:rPr>
      </w:pPr>
      <w:r w:rsidRPr="00835588">
        <w:rPr>
          <w:b/>
          <w:bCs/>
          <w:i w:val="0"/>
          <w:iCs w:val="0"/>
          <w:color w:val="000000" w:themeColor="text1"/>
          <w:sz w:val="20"/>
          <w:szCs w:val="20"/>
        </w:rPr>
        <w:t xml:space="preserve">Fig. </w:t>
      </w:r>
      <w:r w:rsidRPr="00835588">
        <w:rPr>
          <w:b/>
          <w:bCs/>
          <w:i w:val="0"/>
          <w:iCs w:val="0"/>
          <w:color w:val="000000" w:themeColor="text1"/>
          <w:sz w:val="20"/>
          <w:szCs w:val="20"/>
        </w:rPr>
        <w:fldChar w:fldCharType="begin"/>
      </w:r>
      <w:r w:rsidRPr="00835588">
        <w:rPr>
          <w:b/>
          <w:bCs/>
          <w:i w:val="0"/>
          <w:iCs w:val="0"/>
          <w:color w:val="000000" w:themeColor="text1"/>
          <w:sz w:val="20"/>
          <w:szCs w:val="20"/>
        </w:rPr>
        <w:instrText xml:space="preserve"> SEQ Fig. \* ARABIC </w:instrText>
      </w:r>
      <w:r w:rsidRPr="00835588">
        <w:rPr>
          <w:b/>
          <w:bCs/>
          <w:i w:val="0"/>
          <w:iCs w:val="0"/>
          <w:color w:val="000000" w:themeColor="text1"/>
          <w:sz w:val="20"/>
          <w:szCs w:val="20"/>
        </w:rPr>
        <w:fldChar w:fldCharType="separate"/>
      </w:r>
      <w:r w:rsidR="00D35FA2">
        <w:rPr>
          <w:b/>
          <w:bCs/>
          <w:i w:val="0"/>
          <w:iCs w:val="0"/>
          <w:noProof/>
          <w:color w:val="000000" w:themeColor="text1"/>
          <w:sz w:val="20"/>
          <w:szCs w:val="20"/>
        </w:rPr>
        <w:t>3</w:t>
      </w:r>
      <w:r w:rsidRPr="00835588">
        <w:rPr>
          <w:b/>
          <w:bCs/>
          <w:i w:val="0"/>
          <w:iCs w:val="0"/>
          <w:color w:val="000000" w:themeColor="text1"/>
          <w:sz w:val="20"/>
          <w:szCs w:val="20"/>
        </w:rPr>
        <w:fldChar w:fldCharType="end"/>
      </w:r>
      <w:r w:rsidRPr="00835588">
        <w:rPr>
          <w:b/>
          <w:bCs/>
          <w:i w:val="0"/>
          <w:iCs w:val="0"/>
          <w:color w:val="000000" w:themeColor="text1"/>
          <w:sz w:val="20"/>
          <w:szCs w:val="20"/>
          <w:lang w:val="fr-FR"/>
        </w:rPr>
        <w:t>.</w:t>
      </w:r>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Clinical</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appearance</w:t>
      </w:r>
      <w:proofErr w:type="spellEnd"/>
      <w:r w:rsidRPr="00835588">
        <w:rPr>
          <w:i w:val="0"/>
          <w:iCs w:val="0"/>
          <w:color w:val="000000" w:themeColor="text1"/>
          <w:sz w:val="20"/>
          <w:szCs w:val="20"/>
          <w:lang w:val="fr-FR"/>
        </w:rPr>
        <w:t xml:space="preserve"> at first </w:t>
      </w:r>
      <w:proofErr w:type="spellStart"/>
      <w:r w:rsidR="00AD3E7C" w:rsidRPr="00835588">
        <w:rPr>
          <w:i w:val="0"/>
          <w:iCs w:val="0"/>
          <w:color w:val="000000" w:themeColor="text1"/>
          <w:sz w:val="20"/>
          <w:szCs w:val="20"/>
          <w:lang w:val="fr-FR"/>
        </w:rPr>
        <w:t>recurrence</w:t>
      </w:r>
      <w:proofErr w:type="spellEnd"/>
      <w:r w:rsidRPr="00835588">
        <w:rPr>
          <w:i w:val="0"/>
          <w:iCs w:val="0"/>
          <w:color w:val="000000" w:themeColor="text1"/>
          <w:sz w:val="20"/>
          <w:szCs w:val="20"/>
          <w:lang w:val="fr-FR"/>
        </w:rPr>
        <w:t xml:space="preserve"> : A </w:t>
      </w:r>
      <w:proofErr w:type="spellStart"/>
      <w:r w:rsidRPr="00835588">
        <w:rPr>
          <w:i w:val="0"/>
          <w:iCs w:val="0"/>
          <w:color w:val="000000" w:themeColor="text1"/>
          <w:sz w:val="20"/>
          <w:szCs w:val="20"/>
          <w:lang w:val="fr-FR"/>
        </w:rPr>
        <w:t>firm</w:t>
      </w:r>
      <w:proofErr w:type="spellEnd"/>
      <w:r w:rsidRPr="00835588">
        <w:rPr>
          <w:i w:val="0"/>
          <w:iCs w:val="0"/>
          <w:color w:val="000000" w:themeColor="text1"/>
          <w:sz w:val="20"/>
          <w:szCs w:val="20"/>
          <w:lang w:val="fr-FR"/>
        </w:rPr>
        <w:t xml:space="preserve"> mass</w:t>
      </w:r>
    </w:p>
    <w:p w14:paraId="27D54F94" w14:textId="77777777" w:rsidR="009A13F7" w:rsidRDefault="009A13F7" w:rsidP="008E4181">
      <w:pPr>
        <w:pStyle w:val="Body"/>
        <w:spacing w:after="0"/>
        <w:rPr>
          <w:b/>
          <w:bCs/>
        </w:rPr>
      </w:pPr>
    </w:p>
    <w:p w14:paraId="584ED0AD" w14:textId="77777777" w:rsidR="009A13F7" w:rsidRDefault="009A13F7" w:rsidP="00397FF7">
      <w:pPr>
        <w:pStyle w:val="Body"/>
        <w:spacing w:after="0"/>
        <w:jc w:val="center"/>
        <w:rPr>
          <w:b/>
          <w:bCs/>
        </w:rPr>
      </w:pPr>
    </w:p>
    <w:p w14:paraId="6FA22924" w14:textId="77777777" w:rsidR="009A13F7" w:rsidRDefault="009A13F7" w:rsidP="00397FF7">
      <w:pPr>
        <w:pStyle w:val="Body"/>
        <w:spacing w:after="0"/>
        <w:jc w:val="center"/>
        <w:rPr>
          <w:b/>
          <w:bCs/>
        </w:rPr>
      </w:pPr>
    </w:p>
    <w:p w14:paraId="3B5ECAA0" w14:textId="77777777" w:rsidR="009A13F7" w:rsidRDefault="009A13F7" w:rsidP="00835588">
      <w:pPr>
        <w:pStyle w:val="Body"/>
        <w:spacing w:after="0"/>
        <w:rPr>
          <w:rFonts w:ascii="Arial" w:hAnsi="Arial" w:cs="Arial"/>
          <w:b/>
          <w:bCs/>
        </w:rPr>
      </w:pPr>
    </w:p>
    <w:p w14:paraId="3D8E6536" w14:textId="316B9960" w:rsidR="009A13F7" w:rsidRPr="00397FF7" w:rsidRDefault="000A1DE0" w:rsidP="008E4181">
      <w:pPr>
        <w:pStyle w:val="Body"/>
        <w:spacing w:after="0"/>
        <w:rPr>
          <w:rFonts w:ascii="Arial" w:hAnsi="Arial" w:cs="Arial"/>
          <w:b/>
          <w:bCs/>
        </w:rPr>
      </w:pPr>
      <w:r w:rsidRPr="000A1DE0">
        <w:rPr>
          <w:rFonts w:ascii="Arial" w:hAnsi="Arial" w:cs="Arial"/>
          <w:b/>
          <w:bCs/>
        </w:rPr>
        <w:t xml:space="preserve"> </w:t>
      </w:r>
    </w:p>
    <w:p w14:paraId="337DBC54" w14:textId="77777777" w:rsidR="00C44335" w:rsidRDefault="00C44335" w:rsidP="00C44335">
      <w:pPr>
        <w:pStyle w:val="Body"/>
        <w:keepNext/>
        <w:spacing w:after="0"/>
        <w:jc w:val="center"/>
      </w:pPr>
      <w:r>
        <w:rPr>
          <w:noProof/>
        </w:rPr>
        <w:lastRenderedPageBreak/>
        <w:drawing>
          <wp:inline distT="0" distB="0" distL="0" distR="0" wp14:anchorId="0112B964" wp14:editId="5444487D">
            <wp:extent cx="2401200" cy="3600000"/>
            <wp:effectExtent l="0" t="0" r="0" b="635"/>
            <wp:docPr id="2"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20DA0E33" w14:textId="77777777" w:rsidR="00C44335" w:rsidRDefault="00C44335" w:rsidP="00C44335">
      <w:pPr>
        <w:pStyle w:val="Body"/>
        <w:keepNext/>
        <w:spacing w:after="0"/>
        <w:jc w:val="center"/>
      </w:pPr>
    </w:p>
    <w:p w14:paraId="416616BF" w14:textId="7C0FE896" w:rsidR="001A6FEE" w:rsidRPr="00835588" w:rsidRDefault="00C44335" w:rsidP="00C44335">
      <w:pPr>
        <w:pStyle w:val="Caption"/>
        <w:jc w:val="center"/>
        <w:rPr>
          <w:i w:val="0"/>
          <w:iCs w:val="0"/>
          <w:color w:val="000000" w:themeColor="text1"/>
          <w:sz w:val="20"/>
          <w:szCs w:val="20"/>
          <w:lang w:val="fr-FR"/>
        </w:rPr>
      </w:pPr>
      <w:r w:rsidRPr="00C44335">
        <w:rPr>
          <w:b/>
          <w:bCs/>
          <w:color w:val="000000" w:themeColor="text1"/>
          <w:sz w:val="20"/>
          <w:szCs w:val="20"/>
        </w:rPr>
        <w:t>Fig.</w:t>
      </w:r>
      <w:r w:rsidR="00835588">
        <w:rPr>
          <w:b/>
          <w:bCs/>
          <w:color w:val="000000" w:themeColor="text1"/>
          <w:sz w:val="20"/>
          <w:szCs w:val="20"/>
        </w:rPr>
        <w:t xml:space="preserve"> </w:t>
      </w:r>
      <w:r w:rsidR="00266FDB">
        <w:rPr>
          <w:b/>
          <w:bCs/>
          <w:color w:val="000000" w:themeColor="text1"/>
          <w:sz w:val="20"/>
          <w:szCs w:val="20"/>
        </w:rPr>
        <w:t>4</w:t>
      </w:r>
      <w:r w:rsidRPr="00C44335">
        <w:rPr>
          <w:b/>
          <w:bCs/>
          <w:color w:val="000000" w:themeColor="text1"/>
          <w:sz w:val="20"/>
          <w:szCs w:val="20"/>
          <w:lang w:val="fr-FR"/>
        </w:rPr>
        <w:t xml:space="preserve">. </w:t>
      </w:r>
      <w:proofErr w:type="spellStart"/>
      <w:r w:rsidRPr="00835588">
        <w:rPr>
          <w:i w:val="0"/>
          <w:iCs w:val="0"/>
          <w:color w:val="000000" w:themeColor="text1"/>
          <w:sz w:val="20"/>
          <w:szCs w:val="20"/>
          <w:lang w:val="fr-FR"/>
        </w:rPr>
        <w:t>Clinical</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appearance</w:t>
      </w:r>
      <w:proofErr w:type="spellEnd"/>
      <w:r w:rsidRPr="00835588">
        <w:rPr>
          <w:i w:val="0"/>
          <w:iCs w:val="0"/>
          <w:color w:val="000000" w:themeColor="text1"/>
          <w:sz w:val="20"/>
          <w:szCs w:val="20"/>
          <w:lang w:val="fr-FR"/>
        </w:rPr>
        <w:t xml:space="preserve"> </w:t>
      </w:r>
      <w:proofErr w:type="spellStart"/>
      <w:r w:rsidRPr="00835588">
        <w:rPr>
          <w:i w:val="0"/>
          <w:iCs w:val="0"/>
          <w:color w:val="000000" w:themeColor="text1"/>
          <w:sz w:val="20"/>
          <w:szCs w:val="20"/>
          <w:lang w:val="fr-FR"/>
        </w:rPr>
        <w:t>in</w:t>
      </w:r>
      <w:proofErr w:type="spellEnd"/>
      <w:r w:rsidRPr="00835588">
        <w:rPr>
          <w:i w:val="0"/>
          <w:iCs w:val="0"/>
          <w:color w:val="000000" w:themeColor="text1"/>
          <w:sz w:val="20"/>
          <w:szCs w:val="20"/>
          <w:lang w:val="fr-FR"/>
        </w:rPr>
        <w:t xml:space="preserve"> 2024 : A dorsal hand mass and </w:t>
      </w:r>
      <w:r w:rsidR="00B1626F" w:rsidRPr="00835588">
        <w:rPr>
          <w:i w:val="0"/>
          <w:iCs w:val="0"/>
          <w:color w:val="000000" w:themeColor="text1"/>
          <w:sz w:val="20"/>
          <w:szCs w:val="20"/>
          <w:lang w:val="fr-FR"/>
        </w:rPr>
        <w:t>récurrent</w:t>
      </w:r>
      <w:r w:rsidRPr="00835588">
        <w:rPr>
          <w:i w:val="0"/>
          <w:iCs w:val="0"/>
          <w:color w:val="000000" w:themeColor="text1"/>
          <w:sz w:val="20"/>
          <w:szCs w:val="20"/>
          <w:lang w:val="fr-FR"/>
        </w:rPr>
        <w:t xml:space="preserve"> index finger </w:t>
      </w:r>
      <w:proofErr w:type="spellStart"/>
      <w:r w:rsidRPr="00835588">
        <w:rPr>
          <w:i w:val="0"/>
          <w:iCs w:val="0"/>
          <w:color w:val="000000" w:themeColor="text1"/>
          <w:sz w:val="20"/>
          <w:szCs w:val="20"/>
          <w:lang w:val="fr-FR"/>
        </w:rPr>
        <w:t>lesion</w:t>
      </w:r>
      <w:proofErr w:type="spellEnd"/>
    </w:p>
    <w:p w14:paraId="6622C6C7" w14:textId="77777777" w:rsidR="00AD3E7C" w:rsidRDefault="00AD3E7C" w:rsidP="00AD3E7C">
      <w:pPr>
        <w:keepNext/>
        <w:jc w:val="center"/>
      </w:pPr>
      <w:r>
        <w:rPr>
          <w:noProof/>
        </w:rPr>
        <w:drawing>
          <wp:inline distT="0" distB="0" distL="0" distR="0" wp14:anchorId="3AE60A44" wp14:editId="073BE5A0">
            <wp:extent cx="2160000" cy="2419200"/>
            <wp:effectExtent l="0" t="0" r="0" b="635"/>
            <wp:docPr id="1444673944" name="Image 2" descr="Une image contenant personne, main, ongle, doig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73944" name="Image 2" descr="Une image contenant personne, main, ongle, doigt&#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419200"/>
                    </a:xfrm>
                    <a:prstGeom prst="rect">
                      <a:avLst/>
                    </a:prstGeom>
                    <a:noFill/>
                    <a:ln>
                      <a:noFill/>
                    </a:ln>
                  </pic:spPr>
                </pic:pic>
              </a:graphicData>
            </a:graphic>
          </wp:inline>
        </w:drawing>
      </w:r>
    </w:p>
    <w:p w14:paraId="21EF19A7" w14:textId="77777777" w:rsidR="00AD3E7C" w:rsidRDefault="00AD3E7C" w:rsidP="00AD3E7C">
      <w:pPr>
        <w:keepNext/>
        <w:jc w:val="center"/>
      </w:pPr>
    </w:p>
    <w:p w14:paraId="3B85645D" w14:textId="7B4D8893" w:rsidR="00AD3E7C" w:rsidRPr="00AD3E7C" w:rsidRDefault="00AD3E7C" w:rsidP="00AD3E7C">
      <w:pPr>
        <w:pStyle w:val="Caption"/>
        <w:jc w:val="center"/>
        <w:rPr>
          <w:i w:val="0"/>
          <w:iCs w:val="0"/>
          <w:color w:val="000000" w:themeColor="text1"/>
          <w:sz w:val="20"/>
          <w:szCs w:val="20"/>
          <w:lang w:val="fr-FR"/>
        </w:rPr>
      </w:pPr>
      <w:r w:rsidRPr="00AD3E7C">
        <w:rPr>
          <w:b/>
          <w:bCs/>
          <w:i w:val="0"/>
          <w:iCs w:val="0"/>
          <w:color w:val="000000" w:themeColor="text1"/>
          <w:sz w:val="20"/>
          <w:szCs w:val="20"/>
        </w:rPr>
        <w:t>Fig.</w:t>
      </w:r>
      <w:r w:rsidR="00835588">
        <w:rPr>
          <w:b/>
          <w:bCs/>
          <w:i w:val="0"/>
          <w:iCs w:val="0"/>
          <w:color w:val="000000" w:themeColor="text1"/>
          <w:sz w:val="20"/>
          <w:szCs w:val="20"/>
        </w:rPr>
        <w:t xml:space="preserve"> </w:t>
      </w:r>
      <w:r w:rsidR="00266FDB">
        <w:rPr>
          <w:b/>
          <w:bCs/>
          <w:i w:val="0"/>
          <w:iCs w:val="0"/>
          <w:color w:val="000000" w:themeColor="text1"/>
          <w:sz w:val="20"/>
          <w:szCs w:val="20"/>
        </w:rPr>
        <w:t>5</w:t>
      </w:r>
      <w:r w:rsidRPr="00AD3E7C">
        <w:rPr>
          <w:b/>
          <w:bCs/>
          <w:i w:val="0"/>
          <w:iCs w:val="0"/>
          <w:color w:val="000000" w:themeColor="text1"/>
          <w:sz w:val="20"/>
          <w:szCs w:val="20"/>
          <w:lang w:val="fr-FR"/>
        </w:rPr>
        <w:t xml:space="preserve">. </w:t>
      </w:r>
      <w:r w:rsidRPr="00AD3E7C">
        <w:rPr>
          <w:i w:val="0"/>
          <w:iCs w:val="0"/>
          <w:color w:val="000000" w:themeColor="text1"/>
          <w:sz w:val="20"/>
          <w:szCs w:val="20"/>
          <w:lang w:val="fr-FR"/>
        </w:rPr>
        <w:t>Six-</w:t>
      </w:r>
      <w:proofErr w:type="spellStart"/>
      <w:r w:rsidRPr="00AD3E7C">
        <w:rPr>
          <w:i w:val="0"/>
          <w:iCs w:val="0"/>
          <w:color w:val="000000" w:themeColor="text1"/>
          <w:sz w:val="20"/>
          <w:szCs w:val="20"/>
          <w:lang w:val="fr-FR"/>
        </w:rPr>
        <w:t>month</w:t>
      </w:r>
      <w:proofErr w:type="spellEnd"/>
      <w:r w:rsidRPr="00AD3E7C">
        <w:rPr>
          <w:i w:val="0"/>
          <w:iCs w:val="0"/>
          <w:color w:val="000000" w:themeColor="text1"/>
          <w:sz w:val="20"/>
          <w:szCs w:val="20"/>
          <w:lang w:val="fr-FR"/>
        </w:rPr>
        <w:t xml:space="preserve"> </w:t>
      </w:r>
      <w:proofErr w:type="spellStart"/>
      <w:r w:rsidRPr="00AD3E7C">
        <w:rPr>
          <w:i w:val="0"/>
          <w:iCs w:val="0"/>
          <w:color w:val="000000" w:themeColor="text1"/>
          <w:sz w:val="20"/>
          <w:szCs w:val="20"/>
          <w:lang w:val="fr-FR"/>
        </w:rPr>
        <w:t>postoperative</w:t>
      </w:r>
      <w:proofErr w:type="spellEnd"/>
      <w:r w:rsidRPr="00AD3E7C">
        <w:rPr>
          <w:i w:val="0"/>
          <w:iCs w:val="0"/>
          <w:color w:val="000000" w:themeColor="text1"/>
          <w:sz w:val="20"/>
          <w:szCs w:val="20"/>
          <w:lang w:val="fr-FR"/>
        </w:rPr>
        <w:t xml:space="preserve"> </w:t>
      </w:r>
      <w:proofErr w:type="spellStart"/>
      <w:r w:rsidRPr="00AD3E7C">
        <w:rPr>
          <w:i w:val="0"/>
          <w:iCs w:val="0"/>
          <w:color w:val="000000" w:themeColor="text1"/>
          <w:sz w:val="20"/>
          <w:szCs w:val="20"/>
          <w:lang w:val="fr-FR"/>
        </w:rPr>
        <w:t>view</w:t>
      </w:r>
      <w:proofErr w:type="spellEnd"/>
      <w:r w:rsidRPr="00AD3E7C">
        <w:rPr>
          <w:i w:val="0"/>
          <w:iCs w:val="0"/>
          <w:color w:val="000000" w:themeColor="text1"/>
          <w:sz w:val="20"/>
          <w:szCs w:val="20"/>
          <w:lang w:val="fr-FR"/>
        </w:rPr>
        <w:t xml:space="preserve"> : Dorsal </w:t>
      </w:r>
      <w:proofErr w:type="spellStart"/>
      <w:r w:rsidRPr="00AD3E7C">
        <w:rPr>
          <w:i w:val="0"/>
          <w:iCs w:val="0"/>
          <w:color w:val="000000" w:themeColor="text1"/>
          <w:sz w:val="20"/>
          <w:szCs w:val="20"/>
          <w:lang w:val="fr-FR"/>
        </w:rPr>
        <w:t>scar</w:t>
      </w:r>
      <w:proofErr w:type="spellEnd"/>
      <w:r w:rsidRPr="00AD3E7C">
        <w:rPr>
          <w:i w:val="0"/>
          <w:iCs w:val="0"/>
          <w:color w:val="000000" w:themeColor="text1"/>
          <w:sz w:val="20"/>
          <w:szCs w:val="20"/>
          <w:lang w:val="fr-FR"/>
        </w:rPr>
        <w:t xml:space="preserve"> and no </w:t>
      </w:r>
      <w:proofErr w:type="spellStart"/>
      <w:r w:rsidRPr="00AD3E7C">
        <w:rPr>
          <w:i w:val="0"/>
          <w:iCs w:val="0"/>
          <w:color w:val="000000" w:themeColor="text1"/>
          <w:sz w:val="20"/>
          <w:szCs w:val="20"/>
          <w:lang w:val="fr-FR"/>
        </w:rPr>
        <w:t>recurrence</w:t>
      </w:r>
      <w:proofErr w:type="spellEnd"/>
    </w:p>
    <w:p w14:paraId="45AC71D2" w14:textId="77777777" w:rsidR="00790ADA" w:rsidRPr="00FB3A86" w:rsidRDefault="00790ADA" w:rsidP="00441B6F">
      <w:pPr>
        <w:pStyle w:val="Body"/>
        <w:spacing w:after="0"/>
        <w:rPr>
          <w:rFonts w:ascii="Arial" w:hAnsi="Arial" w:cs="Arial"/>
        </w:rPr>
      </w:pPr>
    </w:p>
    <w:p w14:paraId="039760DB" w14:textId="7B3BAF3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16B63AF" w14:textId="77777777" w:rsidR="00790ADA" w:rsidRPr="00FB3A86" w:rsidRDefault="00790ADA" w:rsidP="00441B6F">
      <w:pPr>
        <w:pStyle w:val="Head1"/>
        <w:spacing w:after="0"/>
        <w:jc w:val="both"/>
        <w:rPr>
          <w:rFonts w:ascii="Arial" w:hAnsi="Arial" w:cs="Arial"/>
        </w:rPr>
      </w:pPr>
    </w:p>
    <w:p w14:paraId="6A8213E8" w14:textId="77777777" w:rsidR="00790ADA" w:rsidRDefault="00790ADA" w:rsidP="00441B6F">
      <w:pPr>
        <w:pStyle w:val="Body"/>
        <w:spacing w:after="0"/>
        <w:rPr>
          <w:rFonts w:ascii="Arial" w:hAnsi="Arial" w:cs="Arial"/>
        </w:rPr>
      </w:pPr>
    </w:p>
    <w:p w14:paraId="1FD8AAA6" w14:textId="03B7B7B2" w:rsidR="001A6FEE" w:rsidRPr="001A6FEE" w:rsidRDefault="001A6FEE" w:rsidP="00CB10D5">
      <w:pPr>
        <w:pStyle w:val="Body"/>
        <w:rPr>
          <w:rFonts w:ascii="Arial" w:hAnsi="Arial" w:cs="Arial"/>
        </w:rPr>
      </w:pPr>
      <w:r w:rsidRPr="001A6FEE">
        <w:rPr>
          <w:rFonts w:ascii="Arial" w:hAnsi="Arial" w:cs="Arial"/>
        </w:rPr>
        <w:t>Soft tissue tumors of the hand present a significant diagnostic challenge due to the wide differential diagnosis and the rarity of certain entities in this anatomical region</w:t>
      </w:r>
      <w:r w:rsidR="00373CF1">
        <w:rPr>
          <w:rFonts w:ascii="Arial" w:hAnsi="Arial" w:cs="Arial"/>
        </w:rPr>
        <w:fldChar w:fldCharType="begin"/>
      </w:r>
      <w:r w:rsidR="00CB10D5">
        <w:rPr>
          <w:rFonts w:ascii="Arial" w:hAnsi="Arial" w:cs="Arial"/>
        </w:rPr>
        <w:instrText xml:space="preserve"> ADDIN ZOTERO_ITEM CSL_CITATION {"citationID":"cqzGL4Q8","properties":{"formattedCitation":"(2,3)","plainCitation":"(2,3)","noteIndex":0},"citationItems":[{"id":21,"uris":["http://zotero.org/users/local/7qifMvx1/items/3HZ43CXP"],"itemData":{"id":21,"type":"book","ISBN":"978-92-832-2434-1","language":"en","source":"publications.iarc.fr","title":"WHO Classification of Tumours of Soft Tissue and Bone","URL":"https://publications.iarc.fr/Book-And-Report-Series/Who-Classification-Of-Tumours/WHO-Classification-Of-Tumours-Of-Soft-Tissue-And-Bone-2013","author":[{"family":"CDM","given":"Fletcher"},{"family":"JA","given":"Bridge"},{"family":"PCW","given":"Hogendoorn"},{"family":"F","given":"Mertens"}],"accessed":{"date-parts":[["2025",6,1]]}},"label":"page"},{"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M."}],"issued":{"date-parts":[["2017",12]]}},"label":"page"}],"schema":"https://github.com/citation-style-language/schema/raw/master/csl-citation.json"} </w:instrText>
      </w:r>
      <w:r w:rsidR="00373CF1">
        <w:rPr>
          <w:rFonts w:ascii="Arial" w:hAnsi="Arial" w:cs="Arial"/>
        </w:rPr>
        <w:fldChar w:fldCharType="separate"/>
      </w:r>
      <w:r w:rsidR="00CB10D5" w:rsidRPr="00CB10D5">
        <w:rPr>
          <w:rFonts w:ascii="Arial" w:hAnsi="Arial" w:cs="Arial"/>
        </w:rPr>
        <w:t>(2,3)</w:t>
      </w:r>
      <w:r w:rsidR="00373CF1">
        <w:rPr>
          <w:rFonts w:ascii="Arial" w:hAnsi="Arial" w:cs="Arial"/>
        </w:rPr>
        <w:fldChar w:fldCharType="end"/>
      </w:r>
      <w:r w:rsidRPr="001A6FEE">
        <w:rPr>
          <w:rFonts w:ascii="Arial" w:hAnsi="Arial" w:cs="Arial"/>
        </w:rPr>
        <w:t xml:space="preserve">. In this case, the progression from an initially benign-appearing lesion to a recurrent, multifocal disease with a final diagnosis of </w:t>
      </w:r>
      <w:r w:rsidR="00FF5E90">
        <w:rPr>
          <w:rFonts w:ascii="Arial" w:hAnsi="Arial" w:cs="Arial"/>
        </w:rPr>
        <w:t>NF</w:t>
      </w:r>
      <w:r w:rsidRPr="001A6FEE">
        <w:rPr>
          <w:rFonts w:ascii="Arial" w:hAnsi="Arial" w:cs="Arial"/>
        </w:rPr>
        <w:t xml:space="preserve"> demonstrates the importance of maintaining a broad differential and revisiting initial histological interpretations when faced with atypical recurrence patterns.</w:t>
      </w:r>
    </w:p>
    <w:p w14:paraId="382F3A14" w14:textId="5DAE0D30" w:rsidR="001A6FEE" w:rsidRPr="001A6FEE" w:rsidRDefault="001A6FEE" w:rsidP="005D591F">
      <w:pPr>
        <w:pStyle w:val="Body"/>
        <w:rPr>
          <w:rFonts w:ascii="Arial" w:hAnsi="Arial" w:cs="Arial"/>
        </w:rPr>
      </w:pPr>
      <w:r w:rsidRPr="001A6FEE">
        <w:rPr>
          <w:rFonts w:ascii="Arial" w:hAnsi="Arial" w:cs="Arial"/>
        </w:rPr>
        <w:t>Nodular fibromatosis, often considered a localized and benign proliferation of fibroblastic tissue, can mimic other lesions both clinically and histologically</w:t>
      </w:r>
      <w:r w:rsidR="00373CF1">
        <w:rPr>
          <w:rFonts w:ascii="Arial" w:hAnsi="Arial" w:cs="Arial"/>
        </w:rPr>
        <w:fldChar w:fldCharType="begin"/>
      </w:r>
      <w:r w:rsidR="00CB10D5">
        <w:rPr>
          <w:rFonts w:ascii="Arial" w:hAnsi="Arial" w:cs="Arial"/>
        </w:rPr>
        <w:instrText xml:space="preserve"> ADDIN ZOTERO_ITEM CSL_CITATION {"citationID":"GzMVGlZx","properties":{"formattedCitation":"(5)","plainCitation":"(5)","noteIndex":0},"citationItems":[{"id":26,"uris":["http://zotero.org/users/local/7qifMvx1/items/5JLCN8WX"],"itemData":{"id":26,"type":"book","abstract":"Here&amp;#39;s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L."}],"issued":{"date-parts":[["2007",11,29]]}}}],"schema":"https://github.com/citation-style-language/schema/raw/master/csl-citation.json"} </w:instrText>
      </w:r>
      <w:r w:rsidR="00373CF1">
        <w:rPr>
          <w:rFonts w:ascii="Arial" w:hAnsi="Arial" w:cs="Arial"/>
        </w:rPr>
        <w:fldChar w:fldCharType="separate"/>
      </w:r>
      <w:r w:rsidR="00CB10D5" w:rsidRPr="00CB10D5">
        <w:rPr>
          <w:rFonts w:ascii="Arial" w:hAnsi="Arial" w:cs="Arial"/>
        </w:rPr>
        <w:t>(5)</w:t>
      </w:r>
      <w:r w:rsidR="00373CF1">
        <w:rPr>
          <w:rFonts w:ascii="Arial" w:hAnsi="Arial" w:cs="Arial"/>
        </w:rPr>
        <w:fldChar w:fldCharType="end"/>
      </w:r>
      <w:r w:rsidRPr="001A6FEE">
        <w:rPr>
          <w:rFonts w:ascii="Arial" w:hAnsi="Arial" w:cs="Arial"/>
        </w:rPr>
        <w:t xml:space="preserve">. </w:t>
      </w:r>
      <w:r w:rsidR="005D591F" w:rsidRPr="00A40E21">
        <w:rPr>
          <w:rFonts w:ascii="Arial" w:hAnsi="Arial" w:cs="Arial"/>
        </w:rPr>
        <w:t xml:space="preserve">Its recurrence is rare but has been documented, particularly when excision is incomplete or when the lesion is deeply adherent to adjacent structures, as was the case here with involvement of the extensor tendon </w:t>
      </w:r>
      <w:r w:rsidR="005D591F" w:rsidRPr="00A40E21">
        <w:rPr>
          <w:rFonts w:ascii="Arial" w:hAnsi="Arial" w:cs="Arial"/>
        </w:rPr>
        <w:lastRenderedPageBreak/>
        <w:t xml:space="preserve">slips. In this patient, the recurrence after the first surgery—combined with increasing size, multifocal presentation, and functional impairment—should have raised suspicion for a more aggressive or misdiagnosed pathology. Recurrent </w:t>
      </w:r>
      <w:r w:rsidR="00FF5E90" w:rsidRPr="00A40E21">
        <w:rPr>
          <w:rFonts w:ascii="Arial" w:hAnsi="Arial" w:cs="Arial"/>
        </w:rPr>
        <w:t>NFs</w:t>
      </w:r>
      <w:r w:rsidR="005D591F" w:rsidRPr="00A40E21">
        <w:rPr>
          <w:rFonts w:ascii="Arial" w:hAnsi="Arial" w:cs="Arial"/>
        </w:rPr>
        <w:t xml:space="preserve"> may result from incomplete resection or multifocal proliferation inherent to the pathology. While </w:t>
      </w:r>
      <w:r w:rsidR="00FF5E90" w:rsidRPr="00A40E21">
        <w:rPr>
          <w:rFonts w:ascii="Arial" w:hAnsi="Arial" w:cs="Arial"/>
        </w:rPr>
        <w:t>NFs</w:t>
      </w:r>
      <w:r w:rsidR="005D591F" w:rsidRPr="00A40E21">
        <w:rPr>
          <w:rFonts w:ascii="Arial" w:hAnsi="Arial" w:cs="Arial"/>
        </w:rPr>
        <w:t xml:space="preserve"> are generally non-encapsulated and infiltrative, making margin assessment difficult, recurrence can be minimized by ensuring adequate peripheral resection and identifying fascicular boundaries. A safety margin of at least 5 mm is often advocated in nerve sheath tumors where feasible</w:t>
      </w:r>
      <w:r w:rsidR="005D591F" w:rsidRPr="00A40E21">
        <w:rPr>
          <w:rFonts w:ascii="Arial" w:hAnsi="Arial" w:cs="Arial"/>
        </w:rPr>
        <w:fldChar w:fldCharType="begin"/>
      </w:r>
      <w:r w:rsidR="005D591F" w:rsidRPr="00A40E21">
        <w:rPr>
          <w:rFonts w:ascii="Arial" w:hAnsi="Arial" w:cs="Arial"/>
        </w:rPr>
        <w:instrText xml:space="preserve"> ADDIN ZOTERO_ITEM CSL_CITATION {"citationID":"OT5wIF41","properties":{"formattedCitation":"(6)","plainCitation":"(6)","noteIndex":0},"citationItems":[{"id":39,"uris":["http://zotero.org/users/local/7qifMvx1/items/VK2BTSRC"],"itemData":{"id":39,"type":"article-journal","abstract":"Malignant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tumors","volume":"19","author":[{"family":"Gupta","given":"Gaurav"},{"family":"Mammis","given":"Antonios"},{"family":"Maniker","given":"Allen"}],"issued":{"date-parts":[["2008",10]]}}}],"schema":"https://github.com/citation-style-language/schema/raw/master/csl-citation.json"} </w:instrText>
      </w:r>
      <w:r w:rsidR="005D591F" w:rsidRPr="00A40E21">
        <w:rPr>
          <w:rFonts w:ascii="Arial" w:hAnsi="Arial" w:cs="Arial"/>
        </w:rPr>
        <w:fldChar w:fldCharType="separate"/>
      </w:r>
      <w:r w:rsidR="005D591F" w:rsidRPr="00A40E21">
        <w:rPr>
          <w:rFonts w:ascii="Arial" w:hAnsi="Arial" w:cs="Arial"/>
        </w:rPr>
        <w:t>(6)</w:t>
      </w:r>
      <w:r w:rsidR="005D591F" w:rsidRPr="00A40E21">
        <w:rPr>
          <w:rFonts w:ascii="Arial" w:hAnsi="Arial" w:cs="Arial"/>
        </w:rPr>
        <w:fldChar w:fldCharType="end"/>
      </w:r>
      <w:r w:rsidR="005D591F" w:rsidRPr="00A40E21">
        <w:rPr>
          <w:rFonts w:ascii="Arial" w:hAnsi="Arial" w:cs="Arial"/>
        </w:rPr>
        <w:t>.</w:t>
      </w:r>
    </w:p>
    <w:p w14:paraId="0734E76C" w14:textId="214808B0" w:rsidR="001A6FEE" w:rsidRPr="001A6FEE" w:rsidRDefault="001A6FEE" w:rsidP="005D591F">
      <w:pPr>
        <w:pStyle w:val="Body"/>
        <w:rPr>
          <w:rFonts w:ascii="Arial" w:hAnsi="Arial" w:cs="Arial"/>
        </w:rPr>
      </w:pPr>
      <w:r w:rsidRPr="001A6FEE">
        <w:rPr>
          <w:rFonts w:ascii="Arial" w:hAnsi="Arial" w:cs="Arial"/>
        </w:rPr>
        <w:t xml:space="preserve">Importantly, the diagnosis of </w:t>
      </w:r>
      <w:r w:rsidR="00FF5E90">
        <w:rPr>
          <w:rFonts w:ascii="Arial" w:hAnsi="Arial" w:cs="Arial"/>
        </w:rPr>
        <w:t>NF</w:t>
      </w:r>
      <w:r w:rsidRPr="001A6FEE">
        <w:rPr>
          <w:rFonts w:ascii="Arial" w:hAnsi="Arial" w:cs="Arial"/>
        </w:rPr>
        <w:t>—confirmed only after multiple recurrences and extensive histopathological sampling—suggests that the initial biopsies may have been insufficient in scope or depth</w:t>
      </w:r>
      <w:r w:rsidR="00373CF1">
        <w:rPr>
          <w:rFonts w:ascii="Arial" w:hAnsi="Arial" w:cs="Arial"/>
        </w:rPr>
        <w:fldChar w:fldCharType="begin"/>
      </w:r>
      <w:r w:rsidR="00CB10D5">
        <w:rPr>
          <w:rFonts w:ascii="Arial" w:hAnsi="Arial" w:cs="Arial"/>
        </w:rPr>
        <w:instrText xml:space="preserve"> ADDIN ZOTERO_ITEM CSL_CITATION {"citationID":"YRsmUtSi","properties":{"formattedCitation":"(4)","plainCitation":"(4)","noteIndex":0},"citationItems":[{"id":23,"uris":["http://zotero.org/users/local/7qifMvx1/items/MEFUYBGG"],"itemData":{"id":23,"type":"article-journal","abstract":"Peripheral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L."},{"family":"Giannini","given":"Caterina"},{"family":"Perry","given":"Arie"}],"issued":{"date-parts":[["2012",3]]}}}],"schema":"https://github.com/citation-style-language/schema/raw/master/csl-citation.json"} </w:instrText>
      </w:r>
      <w:r w:rsidR="00373CF1">
        <w:rPr>
          <w:rFonts w:ascii="Arial" w:hAnsi="Arial" w:cs="Arial"/>
        </w:rPr>
        <w:fldChar w:fldCharType="separate"/>
      </w:r>
      <w:r w:rsidR="00CB10D5" w:rsidRPr="00CB10D5">
        <w:rPr>
          <w:rFonts w:ascii="Arial" w:hAnsi="Arial" w:cs="Arial"/>
        </w:rPr>
        <w:t>(4)</w:t>
      </w:r>
      <w:r w:rsidR="00373CF1">
        <w:rPr>
          <w:rFonts w:ascii="Arial" w:hAnsi="Arial" w:cs="Arial"/>
        </w:rPr>
        <w:fldChar w:fldCharType="end"/>
      </w:r>
      <w:r w:rsidRPr="001A6FEE">
        <w:rPr>
          <w:rFonts w:ascii="Arial" w:hAnsi="Arial" w:cs="Arial"/>
        </w:rPr>
        <w:t xml:space="preserve">. </w:t>
      </w:r>
      <w:r w:rsidR="00FF5E90">
        <w:rPr>
          <w:rFonts w:ascii="Arial" w:hAnsi="Arial" w:cs="Arial"/>
        </w:rPr>
        <w:t>NFs</w:t>
      </w:r>
      <w:r w:rsidRPr="001A6FEE">
        <w:rPr>
          <w:rFonts w:ascii="Arial" w:hAnsi="Arial" w:cs="Arial"/>
        </w:rPr>
        <w:t>, benign peripheral nerve sheath tumors composed of Schwann cells, fibroblasts, and perineurial-like cells, can sometimes present with a misleading histological pattern, especially in the presence of fibrotic or cicatricial changes post-surgery</w:t>
      </w:r>
      <w:r w:rsidR="00373CF1">
        <w:rPr>
          <w:rFonts w:ascii="Arial" w:hAnsi="Arial" w:cs="Arial"/>
        </w:rPr>
        <w:fldChar w:fldCharType="begin"/>
      </w:r>
      <w:r w:rsidR="005D591F">
        <w:rPr>
          <w:rFonts w:ascii="Arial" w:hAnsi="Arial" w:cs="Arial"/>
        </w:rPr>
        <w:instrText xml:space="preserve"> ADDIN ZOTERO_ITEM CSL_CITATION {"citationID":"oREgddeZ","properties":{"formattedCitation":"(7)","plainCitation":"(7)","noteIndex":0},"citationItems":[{"id":34,"uris":["http://zotero.org/users/local/7qifMvx1/items/WZ7NFFQI"],"itemData":{"id":34,"type":"book","abstract":"Rosai and Ackerman’s Surgical Pathology delivers the authoritative guidance you need to overcome virtually any challenge in surgical pathology. Rec","ISBN":"978-81-312-2984-2","language":"en-US","source":"shop.elsevier.com","title":"Rosai and Ackerman's Surgical Pathology, 10e","URL":"https://shop.elsevier.com/books/rosai-and-ackermans-surgical-pathology-10e/rosai/978-81-312-2984-2","accessed":{"date-parts":[["2025",6,1]]},"issued":{"date-parts":[["2011",7,27]]}}}],"schema":"https://github.com/citation-style-language/schema/raw/master/csl-citation.json"} </w:instrText>
      </w:r>
      <w:r w:rsidR="00373CF1">
        <w:rPr>
          <w:rFonts w:ascii="Arial" w:hAnsi="Arial" w:cs="Arial"/>
        </w:rPr>
        <w:fldChar w:fldCharType="separate"/>
      </w:r>
      <w:r w:rsidR="005D591F" w:rsidRPr="005D591F">
        <w:rPr>
          <w:rFonts w:ascii="Arial" w:hAnsi="Arial" w:cs="Arial"/>
        </w:rPr>
        <w:t>(7)</w:t>
      </w:r>
      <w:r w:rsidR="00373CF1">
        <w:rPr>
          <w:rFonts w:ascii="Arial" w:hAnsi="Arial" w:cs="Arial"/>
        </w:rPr>
        <w:fldChar w:fldCharType="end"/>
      </w:r>
      <w:r w:rsidRPr="001A6FEE">
        <w:rPr>
          <w:rFonts w:ascii="Arial" w:hAnsi="Arial" w:cs="Arial"/>
        </w:rPr>
        <w:t xml:space="preserve">. Immunohistochemical analysis, particularly with markers like S100 protein, is critical in differentiating </w:t>
      </w:r>
      <w:r w:rsidR="00FF5E90">
        <w:rPr>
          <w:rFonts w:ascii="Arial" w:hAnsi="Arial" w:cs="Arial"/>
        </w:rPr>
        <w:t>NFs</w:t>
      </w:r>
      <w:r w:rsidRPr="001A6FEE">
        <w:rPr>
          <w:rFonts w:ascii="Arial" w:hAnsi="Arial" w:cs="Arial"/>
        </w:rPr>
        <w:t xml:space="preserve"> from fibromatosis and other soft tissue tumors</w:t>
      </w:r>
      <w:r w:rsidR="00373CF1">
        <w:rPr>
          <w:rFonts w:ascii="Arial" w:hAnsi="Arial" w:cs="Arial"/>
        </w:rPr>
        <w:fldChar w:fldCharType="begin"/>
      </w:r>
      <w:r w:rsidR="00CB10D5">
        <w:rPr>
          <w:rFonts w:ascii="Arial" w:hAnsi="Arial" w:cs="Arial"/>
        </w:rPr>
        <w:instrText xml:space="preserve"> ADDIN ZOTERO_ITEM CSL_CITATION {"citationID":"fJDVLRN7","properties":{"formattedCitation":"(4)","plainCitation":"(4)","noteIndex":0},"citationItems":[{"id":23,"uris":["http://zotero.org/users/local/7qifMvx1/items/MEFUYBGG"],"itemData":{"id":23,"type":"article-journal","abstract":"Peripheral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L."},{"family":"Giannini","given":"Caterina"},{"family":"Perry","given":"Arie"}],"issued":{"date-parts":[["2012",3]]}}}],"schema":"https://github.com/citation-style-language/schema/raw/master/csl-citation.json"} </w:instrText>
      </w:r>
      <w:r w:rsidR="00373CF1">
        <w:rPr>
          <w:rFonts w:ascii="Arial" w:hAnsi="Arial" w:cs="Arial"/>
        </w:rPr>
        <w:fldChar w:fldCharType="separate"/>
      </w:r>
      <w:r w:rsidR="00CB10D5" w:rsidRPr="00CB10D5">
        <w:rPr>
          <w:rFonts w:ascii="Arial" w:hAnsi="Arial" w:cs="Arial"/>
        </w:rPr>
        <w:t>(4)</w:t>
      </w:r>
      <w:r w:rsidR="00373CF1">
        <w:rPr>
          <w:rFonts w:ascii="Arial" w:hAnsi="Arial" w:cs="Arial"/>
        </w:rPr>
        <w:fldChar w:fldCharType="end"/>
      </w:r>
      <w:r w:rsidRPr="001A6FEE">
        <w:rPr>
          <w:rFonts w:ascii="Arial" w:hAnsi="Arial" w:cs="Arial"/>
        </w:rPr>
        <w:t>. The absence of such analyses in earlier stages may explain the delayed definitive diagnosis.</w:t>
      </w:r>
    </w:p>
    <w:p w14:paraId="139EC060" w14:textId="4B2B900D" w:rsidR="001A6FEE" w:rsidRPr="001A6FEE" w:rsidRDefault="001A6FEE" w:rsidP="00F355D7">
      <w:pPr>
        <w:pStyle w:val="Body"/>
        <w:rPr>
          <w:rFonts w:ascii="Arial" w:hAnsi="Arial" w:cs="Arial"/>
        </w:rPr>
      </w:pPr>
      <w:r w:rsidRPr="001A6FEE">
        <w:rPr>
          <w:rFonts w:ascii="Arial" w:hAnsi="Arial" w:cs="Arial"/>
        </w:rPr>
        <w:t>The multifocal nature of the lesions observed in this patient also raises the question of a syndromic association, most notably</w:t>
      </w:r>
      <w:r w:rsidR="00FF5E90">
        <w:rPr>
          <w:rFonts w:ascii="Arial" w:hAnsi="Arial" w:cs="Arial"/>
        </w:rPr>
        <w:t xml:space="preserve"> NF1</w:t>
      </w:r>
      <w:r w:rsidRPr="001A6FEE">
        <w:rPr>
          <w:rFonts w:ascii="Arial" w:hAnsi="Arial" w:cs="Arial"/>
        </w:rPr>
        <w:t>, although the clinical vignette does not report any additional systemic manifestations or family history suggestive of NF1</w:t>
      </w:r>
      <w:r w:rsidR="00373CF1">
        <w:rPr>
          <w:rFonts w:ascii="Arial" w:hAnsi="Arial" w:cs="Arial"/>
        </w:rPr>
        <w:fldChar w:fldCharType="begin"/>
      </w:r>
      <w:r w:rsidR="005D591F">
        <w:rPr>
          <w:rFonts w:ascii="Arial" w:hAnsi="Arial" w:cs="Arial"/>
        </w:rPr>
        <w:instrText xml:space="preserve"> ADDIN ZOTERO_ITEM CSL_CITATION {"citationID":"MSqJ6qxA","properties":{"formattedCitation":"(6)","plainCitation":"(6)","noteIndex":0},"citationItems":[{"id":39,"uris":["http://zotero.org/users/local/7qifMvx1/items/VK2BTSRC"],"itemData":{"id":39,"type":"article-journal","abstract":"Malignant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tumors","volume":"19","author":[{"family":"Gupta","given":"Gaurav"},{"family":"Mammis","given":"Antonios"},{"family":"Maniker","given":"Allen"}],"issued":{"date-parts":[["2008",10]]}}}],"schema":"https://github.com/citation-style-language/schema/raw/master/csl-citation.json"} </w:instrText>
      </w:r>
      <w:r w:rsidR="00373CF1">
        <w:rPr>
          <w:rFonts w:ascii="Arial" w:hAnsi="Arial" w:cs="Arial"/>
        </w:rPr>
        <w:fldChar w:fldCharType="separate"/>
      </w:r>
      <w:r w:rsidR="005D591F" w:rsidRPr="005D591F">
        <w:rPr>
          <w:rFonts w:ascii="Arial" w:hAnsi="Arial" w:cs="Arial"/>
        </w:rPr>
        <w:t>(6)</w:t>
      </w:r>
      <w:r w:rsidR="00373CF1">
        <w:rPr>
          <w:rFonts w:ascii="Arial" w:hAnsi="Arial" w:cs="Arial"/>
        </w:rPr>
        <w:fldChar w:fldCharType="end"/>
      </w:r>
      <w:r w:rsidRPr="001A6FEE">
        <w:rPr>
          <w:rFonts w:ascii="Arial" w:hAnsi="Arial" w:cs="Arial"/>
        </w:rPr>
        <w:t>.</w:t>
      </w:r>
      <w:r w:rsidR="00F355D7" w:rsidRPr="00F355D7">
        <w:t xml:space="preserve"> </w:t>
      </w:r>
      <w:r w:rsidR="00F355D7" w:rsidRPr="00A40E21">
        <w:t xml:space="preserve">The diagnosis of the disease is based on the presence of at least two of the following criteria: At least six café au lait spots larger than 5mm before puberty and larger than 15mm after puberty; Two or more neurofibromas, one or more plexiform neuromas; Lentiginous spots of the axillary or inguinal region; Two or more iris hamartomas (Lisch nodules),one optic tract glioma; A characteristic bone lesion (pseudarthrosis of a long bone, </w:t>
      </w:r>
      <w:proofErr w:type="spellStart"/>
      <w:r w:rsidR="00F355D7" w:rsidRPr="00A40E21">
        <w:t>spheno</w:t>
      </w:r>
      <w:proofErr w:type="spellEnd"/>
      <w:r w:rsidR="00F355D7" w:rsidRPr="00A40E21">
        <w:t>-orbital dysplasia, cervical kyphosis)</w:t>
      </w:r>
      <w:r w:rsidR="00F355D7" w:rsidRPr="00A40E21">
        <w:fldChar w:fldCharType="begin"/>
      </w:r>
      <w:r w:rsidR="00F355D7" w:rsidRPr="00A40E21">
        <w:instrText xml:space="preserve"> ADDIN ZOTERO_ITEM CSL_CITATION {"citationID":"LM06gj9M","properties":{"formattedCitation":"(8)","plainCitation":"(8)","noteIndex":0},"citationItems":[{"id":47,"uris":["http://zotero.org/users/local/7qifMvx1/items/CSY7I5KH"],"itemData":{"id":47,"type":"article-journal","container-title":"International Journal of Medical and Pharmaceutical Case Reports","DOI":"10.9734/ijmpcr/2022/v15i430164","ISSN":"2394-109X","language":"en","page":"25-29","source":"journalijmpcr.com","title":"Plexiform Neurofibroma of Arm: A Case Report","title-short":"Plexiform Neurofibroma of Arm","author":[{"family":"Hamdaoui","given":"O. R."},{"family":"Kardi","given":"O."},{"family":"Tabakh","given":"H."},{"family":"Siwane","given":"A."},{"family":"Touil","given":"N."},{"family":"Kacimi","given":"O."},{"family":"Chikhaoui","given":"N."}],"issued":{"date-parts":[["2022",8,8]]}}}],"schema":"https://github.com/citation-style-language/schema/raw/master/csl-citation.json"} </w:instrText>
      </w:r>
      <w:r w:rsidR="00F355D7" w:rsidRPr="00A40E21">
        <w:fldChar w:fldCharType="separate"/>
      </w:r>
      <w:r w:rsidR="00F355D7" w:rsidRPr="00A40E21">
        <w:rPr>
          <w:rFonts w:cs="Helvetica"/>
        </w:rPr>
        <w:t>(8)</w:t>
      </w:r>
      <w:r w:rsidR="00F355D7" w:rsidRPr="00A40E21">
        <w:fldChar w:fldCharType="end"/>
      </w:r>
      <w:r w:rsidR="00F355D7" w:rsidRPr="00A40E21">
        <w:t>.</w:t>
      </w:r>
      <w:r w:rsidRPr="001A6FEE">
        <w:rPr>
          <w:rFonts w:ascii="Arial" w:hAnsi="Arial" w:cs="Arial"/>
        </w:rPr>
        <w:t xml:space="preserve"> In sporadic (non-syndromic) neurofibromas, the presentation is usually solitary; multifocal cases, particularly in the hand, are rare and warrant further genetic and dermatologic evaluation.</w:t>
      </w:r>
    </w:p>
    <w:p w14:paraId="4C46E7CF" w14:textId="77777777" w:rsidR="001A6FEE" w:rsidRPr="001A6FEE" w:rsidRDefault="001A6FEE" w:rsidP="001A6FEE">
      <w:pPr>
        <w:pStyle w:val="Body"/>
        <w:rPr>
          <w:rFonts w:ascii="Arial" w:hAnsi="Arial" w:cs="Arial"/>
        </w:rPr>
      </w:pPr>
    </w:p>
    <w:p w14:paraId="12EFAC11" w14:textId="15F0326C" w:rsidR="001A6FEE" w:rsidRPr="001A6FEE" w:rsidRDefault="001A6FEE" w:rsidP="00F355D7">
      <w:pPr>
        <w:pStyle w:val="Body"/>
        <w:rPr>
          <w:rFonts w:ascii="Arial" w:hAnsi="Arial" w:cs="Arial"/>
        </w:rPr>
      </w:pPr>
      <w:r w:rsidRPr="001A6FEE">
        <w:rPr>
          <w:rFonts w:ascii="Arial" w:hAnsi="Arial" w:cs="Arial"/>
        </w:rPr>
        <w:t>From a surgical standpoint, the repeated involvement of the extensor system and the development of mallet finger deformities following excisions highlight the balance required between achieving clear margins and preserving tendon integrity</w:t>
      </w:r>
      <w:r w:rsidR="00373CF1">
        <w:rPr>
          <w:rFonts w:ascii="Arial" w:hAnsi="Arial" w:cs="Arial"/>
        </w:rPr>
        <w:fldChar w:fldCharType="begin"/>
      </w:r>
      <w:r w:rsidR="00F355D7">
        <w:rPr>
          <w:rFonts w:ascii="Arial" w:hAnsi="Arial" w:cs="Arial"/>
        </w:rPr>
        <w:instrText xml:space="preserve"> ADDIN ZOTERO_ITEM CSL_CITATION {"citationID":"j91scK5H","properties":{"formattedCitation":"(9)","plainCitation":"(9)","noteIndex":0},"citationItems":[{"id":36,"uris":["http://zotero.org/users/local/7qifMvx1/items/S2D8953R"],"itemData":{"id":36,"type":"article-journal","abstract":"Loss of the extensor mechanism at the distal interphalangeal (DIP) joint leads to mallet finger also known as baseball finger or drop finger. This can be secondary to tendon substance disruption or to a bony avulsion. Soft tissue mallet finger is the result of a rupture of the extensor tendon in Zone 1, and a bony mallet finger is the result of an avulsion of the extensor tendon from the distal phalanx with a small fragment of bone attached to the avulsed tendon. Mallet finger leads to an imbalance in the distribution of the extensor force between the proximal interphalangeal (PIP) and DIP joints. If left untreated, mallet finger leads to a swan neck deformity from PIP joint hyper extension and DIP joint flexion. Most mallet finger injuries can be managed non-surgically, but occasionally surgery is recommended for either an acute or a chronic mallet finger or for salvage of failed prior treatment.","container-title":"Hand (New York, N.Y.)","DOI":"10.1007/s11552-014-9609-y","ISSN":"1558-9447","issue":"2","journalAbbreviation":"Hand (N Y)","note":"PMID: 24839413\nPMCID: PMC4022957","page":"138-144","source":"PubMed Central","title":"Current concepts: mallet finger","title-short":"Current concepts","volume":"9","author":[{"family":"Alla","given":"Sreenivasa R."},{"family":"Deal","given":"Nicole D."},{"family":"Dempsey","given":"Ian J."}],"issued":{"date-parts":[["2014",6]]}}}],"schema":"https://github.com/citation-style-language/schema/raw/master/csl-citation.json"} </w:instrText>
      </w:r>
      <w:r w:rsidR="00373CF1">
        <w:rPr>
          <w:rFonts w:ascii="Arial" w:hAnsi="Arial" w:cs="Arial"/>
        </w:rPr>
        <w:fldChar w:fldCharType="separate"/>
      </w:r>
      <w:r w:rsidR="00F355D7" w:rsidRPr="00F355D7">
        <w:rPr>
          <w:rFonts w:ascii="Arial" w:hAnsi="Arial" w:cs="Arial"/>
        </w:rPr>
        <w:t>(9)</w:t>
      </w:r>
      <w:r w:rsidR="00373CF1">
        <w:rPr>
          <w:rFonts w:ascii="Arial" w:hAnsi="Arial" w:cs="Arial"/>
        </w:rPr>
        <w:fldChar w:fldCharType="end"/>
      </w:r>
      <w:r w:rsidRPr="001A6FEE">
        <w:rPr>
          <w:rFonts w:ascii="Arial" w:hAnsi="Arial" w:cs="Arial"/>
        </w:rPr>
        <w:t>. Postoperative immobilization and rehabilitation were essential, but the recurrence rate suggests a need for multidisciplinary management, potentially including neurology and oncology input for systemic evaluation</w:t>
      </w:r>
      <w:r w:rsidR="00373CF1">
        <w:rPr>
          <w:rFonts w:ascii="Arial" w:hAnsi="Arial" w:cs="Arial"/>
        </w:rPr>
        <w:fldChar w:fldCharType="begin"/>
      </w:r>
      <w:r w:rsidR="00F355D7">
        <w:rPr>
          <w:rFonts w:ascii="Arial" w:hAnsi="Arial" w:cs="Arial"/>
        </w:rPr>
        <w:instrText xml:space="preserve"> ADDIN ZOTERO_ITEM CSL_CITATION {"citationID":"PQt8nDgn","properties":{"formattedCitation":"(6,10)","plainCitation":"(6,10)","noteIndex":0},"citationItems":[{"id":39,"uris":["http://zotero.org/users/local/7qifMvx1/items/VK2BTSRC"],"itemData":{"id":39,"type":"article-journal","abstract":"Malignant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label":"page"},{"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A."},{"family":"O'Toole","given":"Greg"}],"issued":{"date-parts":[["2010",7]]}},"label":"page"}],"schema":"https://github.com/citation-style-language/schema/raw/master/csl-citation.json"} </w:instrText>
      </w:r>
      <w:r w:rsidR="00373CF1">
        <w:rPr>
          <w:rFonts w:ascii="Arial" w:hAnsi="Arial" w:cs="Arial"/>
        </w:rPr>
        <w:fldChar w:fldCharType="separate"/>
      </w:r>
      <w:r w:rsidR="00F355D7" w:rsidRPr="00F355D7">
        <w:rPr>
          <w:rFonts w:ascii="Arial" w:hAnsi="Arial" w:cs="Arial"/>
        </w:rPr>
        <w:t>(6,10)</w:t>
      </w:r>
      <w:r w:rsidR="00373CF1">
        <w:rPr>
          <w:rFonts w:ascii="Arial" w:hAnsi="Arial" w:cs="Arial"/>
        </w:rPr>
        <w:fldChar w:fldCharType="end"/>
      </w:r>
      <w:r w:rsidRPr="001A6FEE">
        <w:rPr>
          <w:rFonts w:ascii="Arial" w:hAnsi="Arial" w:cs="Arial"/>
        </w:rPr>
        <w:t>.</w:t>
      </w:r>
    </w:p>
    <w:p w14:paraId="570B8926" w14:textId="7234F3B1" w:rsidR="001A6FEE" w:rsidRPr="001A6FEE" w:rsidRDefault="001A6FEE" w:rsidP="00F355D7">
      <w:pPr>
        <w:pStyle w:val="Body"/>
        <w:rPr>
          <w:rFonts w:ascii="Arial" w:hAnsi="Arial" w:cs="Arial"/>
        </w:rPr>
      </w:pPr>
      <w:r w:rsidRPr="001A6FEE">
        <w:rPr>
          <w:rFonts w:ascii="Arial" w:hAnsi="Arial" w:cs="Arial"/>
        </w:rPr>
        <w:t>Finally, the positive pseudo-Tinel’s sign observed in the final recurrence is an important clinical clue, suggestive of a lesion with neural involvement, which aligns with the eventual diagnosis of neurofibroma</w:t>
      </w:r>
      <w:r w:rsidR="00373CF1">
        <w:rPr>
          <w:rFonts w:ascii="Arial" w:hAnsi="Arial" w:cs="Arial"/>
        </w:rPr>
        <w:fldChar w:fldCharType="begin"/>
      </w:r>
      <w:r w:rsidR="00F355D7">
        <w:rPr>
          <w:rFonts w:ascii="Arial" w:hAnsi="Arial" w:cs="Arial"/>
        </w:rPr>
        <w:instrText xml:space="preserve"> ADDIN ZOTERO_ITEM CSL_CITATION {"citationID":"BlgG6SZY","properties":{"formattedCitation":"(10,11)","plainCitation":"(10,11)","noteIndex":0},"citationItems":[{"id":30,"uris":["http://zotero.org/users/local/7qifMvx1/items/PR8SBDUL"],"itemData":{"id":30,"type":"article-journal","abstract":"We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A."},{"family":"O'Toole","given":"Greg"}],"issued":{"date-parts":[["2010",7]]}},"label":"page"},{"id":32,"uris":["http://zotero.org/users/local/7qifMvx1/items/XS7VPZ65"],"itemData":{"id":32,"type":"article-journal","abstract":"Recurrent digital fibromatosis is a rare, benign fibrous growth of childhood. The condition, which features rapid growth and local recurrences, may be mistaken for a malignant tumor. A case report is presented.","container-title":"The Journal of Hand Surgery","DOI":"10.1016/s0363-5023(09)91116-9","ISSN":"0363-5023","issue":"1","journalAbbreviation":"J Hand Surg Am","language":"eng","note":"PMID: 2299148","page":"106-109","source":"PubMed","title":"Recurrent digital fibromatosis of childhood","volume":"15","author":[{"family":"Lauri","given":"G."},{"family":"Santucci","given":"M."},{"family":"Ceruso","given":"M."},{"family":"Innocenti","given":"M."}],"issued":{"date-parts":[["1990",1]]}},"label":"page"}],"schema":"https://github.com/citation-style-language/schema/raw/master/csl-citation.json"} </w:instrText>
      </w:r>
      <w:r w:rsidR="00373CF1">
        <w:rPr>
          <w:rFonts w:ascii="Arial" w:hAnsi="Arial" w:cs="Arial"/>
        </w:rPr>
        <w:fldChar w:fldCharType="separate"/>
      </w:r>
      <w:r w:rsidR="00F355D7" w:rsidRPr="00F355D7">
        <w:rPr>
          <w:rFonts w:ascii="Arial" w:hAnsi="Arial" w:cs="Arial"/>
        </w:rPr>
        <w:t>(10,11)</w:t>
      </w:r>
      <w:r w:rsidR="00373CF1">
        <w:rPr>
          <w:rFonts w:ascii="Arial" w:hAnsi="Arial" w:cs="Arial"/>
        </w:rPr>
        <w:fldChar w:fldCharType="end"/>
      </w:r>
      <w:r w:rsidRPr="001A6FEE">
        <w:rPr>
          <w:rFonts w:ascii="Arial" w:hAnsi="Arial" w:cs="Arial"/>
        </w:rPr>
        <w:t>. This physical finding, in the setting of recurrent masses, should prompt earlier consideration of nerve sheath tumors</w:t>
      </w:r>
      <w:r w:rsidR="00B8625D">
        <w:rPr>
          <w:rFonts w:ascii="Arial" w:hAnsi="Arial" w:cs="Arial"/>
        </w:rPr>
        <w:fldChar w:fldCharType="begin"/>
      </w:r>
      <w:r w:rsidR="005D591F">
        <w:rPr>
          <w:rFonts w:ascii="Arial" w:hAnsi="Arial" w:cs="Arial"/>
        </w:rPr>
        <w:instrText xml:space="preserve"> ADDIN ZOTERO_ITEM CSL_CITATION {"citationID":"at7i9z0H","properties":{"formattedCitation":"(5,6)","plainCitation":"(5,6)","noteIndex":0},"citationItems":[{"id":26,"uris":["http://zotero.org/users/local/7qifMvx1/items/5JLCN8WX"],"itemData":{"id":26,"type":"book","abstract":"Here&amp;#39;s your ideal reference on the diagnosis of tumors of the skeletal muscles, connective tissue, fat, and related structures. No other textbook matches its scope and depth of coverage in this complex and challenging area of surgical pathology, and no other text contains as much practical information on differential diagnosis. Throughout, microscopic findings are correlated with the latest developments in molecular biology, cytogenetics, and immunohistochemistry to provide you with a comprehensive and integrated approach to evaluation and diagnosis. Almost 2,000 superb illustrations capture the appearance of a complete range of entities and help relate these to their specific classifications. The result is an essential resource for all who diagnose and treat soft tissue tumors.Get all the assistance you need, in one reference, to effectively diagnose these often complex and challenging entities.Confirm your diagnostic suspicions by comparing your findings to nearly 2,000 full-color, high-quality illustrations representing the complete range of soft tissue tumors.Access all of the essential clinical and prognostic data necessary to formulate complete sign-out reports.Make optimal use of relevant ancillary techniques such as immunohistochemistry and cytogenetics.Make rapid and effective decisions with the aid of extensive algorithms, and access information at a glance with abundant tables and graphs.Solve difficult diagnostic dilemmas and avoid pitfalls with a special emphasis on overcoming these challenges.Find answers quickly thanks to a new color-coded page design as well as a consistent approach to every entity.Download all of the illustrations from the book for use in electronic presentations with the new bonus CD-ROM.Apply the latest knowledge on FNA biopsy, molecular biology, and cytogenetics.Understand complex molecular events more fully thanks to new conceptual line drawings.Easily distinguish between entities that have a similar appearance with the assistance of new tables that correlate histologic, immunohistochemical, and molecular biologic findings.Navigate through the book quickly thanks to new summary outlines at the beginning of each chapter.","ISBN":"978-0-323-07615-9","language":"en","note":"Google-Books-ID: 8zIuQzik8WAC","number-of-pages":"2815","publisher":"Elsevier Health Sciences","source":"Google Books","title":"Enzinger and Weiss's Soft Tissue Tumors","author":[{"family":"Weiss","given":"Sharon W."},{"family":"Goldblum","given":"John R."},{"family":"Folpe","given":"Andrew L."}],"issued":{"date-parts":[["2007",11,29]]}},"label":"page"},{"id":39,"uris":["http://zotero.org/users/local/7qifMvx1/items/VK2BTSRC"],"itemData":{"id":39,"type":"article-journal","abstract":"Malignant peripheral nerve sheath tumors (MPNSTs) are a rare variety of soft tissue sarcoma of ectomesenchymal origin. MPNSTs arise from major or minor peripheral nerve branches or sheaths of peripheral nerve fibers and are derived from Schwann cells or pluripotent cells of neural crest origin. Arthur Purdy Stout played a pivotal role in the development of our current understanding of the pathogenesis of peripheral nerve sheath tumors by identifying the Schwann cell as the major contributor to the formation of benign and malignant neoplasms of the nerve sheath. Although this fact remains essentially true, the cell of origin of the MPNST remains elusive and has not yet conclusively been identified. Some have suggested these tumors may have multiple cell line origins. In the present review, MPNSTs and their epidemiology, diagnosis, management, and treatment are discussed.","container-title":"Neurosurgery Clinics of North America","DOI":"10.1016/j.nec.2008.07.004","ISSN":"1558-1349","issue":"4","journalAbbreviation":"Neurosurg Clin N Am","language":"eng","note":"PMID: 19010279","page":"533-543, v","source":"PubMed","title":"Malignant peripheral nerve sheath tumors","volume":"19","author":[{"family":"Gupta","given":"Gaurav"},{"family":"Mammis","given":"Antonios"},{"family":"Maniker","given":"Allen"}],"issued":{"date-parts":[["2008",10]]}},"label":"page"}],"schema":"https://github.com/citation-style-language/schema/raw/master/csl-citation.json"} </w:instrText>
      </w:r>
      <w:r w:rsidR="00B8625D">
        <w:rPr>
          <w:rFonts w:ascii="Arial" w:hAnsi="Arial" w:cs="Arial"/>
        </w:rPr>
        <w:fldChar w:fldCharType="separate"/>
      </w:r>
      <w:r w:rsidR="005D591F" w:rsidRPr="005D591F">
        <w:rPr>
          <w:rFonts w:ascii="Arial" w:hAnsi="Arial" w:cs="Arial"/>
        </w:rPr>
        <w:t>(5,6)</w:t>
      </w:r>
      <w:r w:rsidR="00B8625D">
        <w:rPr>
          <w:rFonts w:ascii="Arial" w:hAnsi="Arial" w:cs="Arial"/>
        </w:rPr>
        <w:fldChar w:fldCharType="end"/>
      </w:r>
      <w:r w:rsidRPr="001A6FEE">
        <w:rPr>
          <w:rFonts w:ascii="Arial" w:hAnsi="Arial" w:cs="Arial"/>
        </w:rPr>
        <w:t>.</w:t>
      </w:r>
    </w:p>
    <w:p w14:paraId="048BF31A" w14:textId="64CFD37E" w:rsidR="00E053D0" w:rsidRDefault="001A6FEE" w:rsidP="00FC5E79">
      <w:pPr>
        <w:pStyle w:val="Body"/>
        <w:spacing w:after="0"/>
        <w:rPr>
          <w:rFonts w:ascii="Arial" w:hAnsi="Arial" w:cs="Arial"/>
        </w:rPr>
      </w:pPr>
      <w:r w:rsidRPr="001A6FEE">
        <w:rPr>
          <w:rFonts w:ascii="Arial" w:hAnsi="Arial" w:cs="Arial"/>
        </w:rPr>
        <w:t>This case emphasizes the importance of a stepwise, evolving diagnostic approach when managing recurrent soft tissue tumors, especially in atypical locations such as the hand</w:t>
      </w:r>
      <w:r w:rsidR="00B8625D">
        <w:rPr>
          <w:rFonts w:ascii="Arial" w:hAnsi="Arial" w:cs="Arial"/>
        </w:rPr>
        <w:fldChar w:fldCharType="begin"/>
      </w:r>
      <w:r w:rsidR="00F355D7">
        <w:rPr>
          <w:rFonts w:ascii="Arial" w:hAnsi="Arial" w:cs="Arial"/>
        </w:rPr>
        <w:instrText xml:space="preserve"> ADDIN ZOTERO_ITEM CSL_CITATION {"citationID":"QvvxsrLq","properties":{"formattedCitation":"(3,10)","plainCitation":"(3,10)","noteIndex":0},"citationItems":[{"id":28,"uris":["http://zotero.org/users/local/7qifMvx1/items/I955MCQV"],"itemData":{"id":28,"type":"article-journal","abstract":"Tumor-like conditions of the hand and upper extremity typically present as masses and can be confused as more serious conditions. The differential diagnosis of these lesions can cross over with many more commonly recognized benign and malignant upper limb tumors, and it is, therefore, important for the hand surgeon to be familiar with tumor-like conditions. The diagnosis of these lesions often can be made on clinical grounds supported by a careful physical examination and plain film radiography. Advanced imaging and excisional biopsy may be needed in many circumstances to secure the diagnosis given their similarity with bone and soft tissue sarcomas.","container-title":"The Journal of Hand Surgery","DOI":"10.1016/j.jhsa.2017.09.012","ISSN":"1531-6564","issue":"12","journalAbbreviation":"J Hand Surg Am","language":"eng","note":"PMID: 29089162","page":"1009-1017","source":"PubMed","title":"Tumor-Like Conditions of the Hand and Upper Extremity","volume":"42","author":[{"family":"Sherman","given":"Courtney E."},{"family":"Murray","given":"Peter M."}],"issued":{"date-parts":[["2017",12]]}},"label":"page"},{"id":30,"uris":["http://zotero.org/users/local/7qifMvx1/items/PR8SBDUL"],"itemData":{"id":30,"type":"article-journal","abstract":"We report the case of a large sporadic neurofibroma arising in the palm of the 40 year old nurse. Isolated neurofibroma in the hand are rare and pose both diagnostic and treatment challenges for the surgeon. Preoperative imaging can be useful to delineate the anatomical relationships of a soft tissue lesion but is not always diagnostic. The key points in the management of these tumours are discussed.","container-title":"Journal of plastic, reconstructive &amp; aesthetic surgery: JPRAS","DOI":"10.1016/j.bjps.2009.12.012","ISSN":"1878-0539","issue":"7","journalAbbreviation":"J Plast Reconstr Aesthet Surg","language":"eng","note":"PMID: 20061199","page":"e573-575","source":"PubMed","title":"A case of large sporadic neurofibroma of the hand","volume":"63","author":[{"family":"Pearl","given":"Robert A."},{"family":"O'Toole","given":"Greg"}],"issued":{"date-parts":[["2010",7]]}},"label":"page"}],"schema":"https://github.com/citation-style-language/schema/raw/master/csl-citation.json"} </w:instrText>
      </w:r>
      <w:r w:rsidR="00B8625D">
        <w:rPr>
          <w:rFonts w:ascii="Arial" w:hAnsi="Arial" w:cs="Arial"/>
        </w:rPr>
        <w:fldChar w:fldCharType="separate"/>
      </w:r>
      <w:r w:rsidR="00F355D7" w:rsidRPr="00F355D7">
        <w:rPr>
          <w:rFonts w:ascii="Arial" w:hAnsi="Arial" w:cs="Arial"/>
        </w:rPr>
        <w:t>(3,10)</w:t>
      </w:r>
      <w:r w:rsidR="00B8625D">
        <w:rPr>
          <w:rFonts w:ascii="Arial" w:hAnsi="Arial" w:cs="Arial"/>
        </w:rPr>
        <w:fldChar w:fldCharType="end"/>
      </w:r>
      <w:r w:rsidRPr="001A6FEE">
        <w:rPr>
          <w:rFonts w:ascii="Arial" w:hAnsi="Arial" w:cs="Arial"/>
        </w:rPr>
        <w:t xml:space="preserve">. It also advocates for the early use of MRI and </w:t>
      </w:r>
      <w:proofErr w:type="spellStart"/>
      <w:r w:rsidRPr="001A6FEE">
        <w:rPr>
          <w:rFonts w:ascii="Arial" w:hAnsi="Arial" w:cs="Arial"/>
        </w:rPr>
        <w:t>histo</w:t>
      </w:r>
      <w:proofErr w:type="spellEnd"/>
      <w:r w:rsidRPr="001A6FEE">
        <w:rPr>
          <w:rFonts w:ascii="Arial" w:hAnsi="Arial" w:cs="Arial"/>
        </w:rPr>
        <w:t>-immunohistochemical studies to achieve accurate diagnosis and avoid unnecessary morbidity due to repeated surgeries</w:t>
      </w:r>
      <w:r w:rsidR="00B8625D">
        <w:rPr>
          <w:rFonts w:ascii="Arial" w:hAnsi="Arial" w:cs="Arial"/>
        </w:rPr>
        <w:fldChar w:fldCharType="begin"/>
      </w:r>
      <w:r w:rsidR="005D591F">
        <w:rPr>
          <w:rFonts w:ascii="Arial" w:hAnsi="Arial" w:cs="Arial"/>
        </w:rPr>
        <w:instrText xml:space="preserve"> ADDIN ZOTERO_ITEM CSL_CITATION {"citationID":"fzAZddzR","properties":{"formattedCitation":"(4,7)","plainCitation":"(4,7)","noteIndex":0},"citationItems":[{"id":23,"uris":["http://zotero.org/users/local/7qifMvx1/items/MEFUYBGG"],"itemData":{"id":23,"type":"article-journal","abstract":"Peripheral nerve sheath tumors are common neoplasms, with classic identifiable features, but on occasion, they are diagnostically challenging. Although well-defined subtypes of peripheral nerve sheath tumors were described early in the history of surgical pathology, controversies regarding the classification and grading of these tumors persist. Advances in molecular biology have provided new insights into the nature of the various peripheral nerve sheath tumors, and have begun to suggest novel targeted therapeutic approaches. In this review, we discuss current concepts and problematic areas in the pathology of peripheral nerve sheath tumors. Diagnostic criteria and differential diagnosis for the major categories of nerve sheath tumors are proposed, including neurofibroma, schwannoma, and perineurioma. Diagnostically challenging variants, including plexiform, cellular and melanotic schwannomas are highlighted. A subset of these affects the childhood population, and has historically been interpreted as malignant, although current evidence and outcome data suggest they represent benign entities. The growing current literature and the author's experience with difficult to classify borderline or \"hybrid tumors\" are discussed and illustrated. Some of these classification gray zones occur with frequency in the gastrointestinal tract, an anatomical compartment that must always be entertained when examining these neoplasms. Other growing recent areas of interest include the heterogeneous group of pseudoneoplastic lesions involving peripheral nerve composed of mature adipose tissue and/or skeletal muscle, such as the enigmatic neuromuscular choristoma. Malignant peripheral nerve sheath tumors (MPNST) represent a diagnostically controversial group; difficulties in grading and guidelines to separate \"atypical neurofibroma\" from MPNST are provided. There is an increasing literature of MPNST mimics which neuropathologists must be aware of, including synovial sarcoma and ossifying fibromyxoid tumor. Finally, we discuss entities that are lacking from the section on cranial and paraspinal nerves in the current WHO classification, and that may warrant inclusion in future classifications. In summary, although the diagnosis and classification of most conventional peripheral nerve sheath tumors are relatively straightforward for the experienced observer, yet borderline and difficult-to-classify neoplasms continue to be problematic. In the current review, we attempt to provide some useful guidelines for the surgical neuropathologist to help navigate these persistent, challenging problems.","container-title":"Acta Neuropathologica","DOI":"10.1007/s00401-012-0954-z","ISSN":"1432-0533","issue":"3","journalAbbreviation":"Acta Neuropathol","language":"eng","note":"PMID: 22327363\nPMCID: PMC3629555","page":"295-319","source":"PubMed","title":"Pathology of peripheral nerve sheath tumors: diagnostic overview and update on selected diagnostic problems","title-short":"Pathology of peripheral nerve sheath tumors","volume":"123","author":[{"family":"Rodriguez","given":"Fausto J."},{"family":"Folpe","given":"Andrew L."},{"family":"Giannini","given":"Caterina"},{"family":"Perry","given":"Arie"}],"issued":{"date-parts":[["2012",3]]}},"label":"page"},{"id":34,"uris":["http://zotero.org/users/local/7qifMvx1/items/WZ7NFFQI"],"itemData":{"id":34,"type":"book","abstract":"Rosai and Ackerman’s Surgical Pathology delivers the authoritative guidance you need to overcome virtually any challenge in surgical pathology. Rec","ISBN":"978-81-312-2984-2","language":"en-US","source":"shop.elsevier.com","title":"Rosai and Ackerman's Surgical Pathology, 10e","URL":"https://shop.elsevier.com/books/rosai-and-ackermans-surgical-pathology-10e/rosai/978-81-312-2984-2","accessed":{"date-parts":[["2025",6,1]]},"issued":{"date-parts":[["2011",7,27]]}},"label":"page"}],"schema":"https://github.com/citation-style-language/schema/raw/master/csl-citation.json"} </w:instrText>
      </w:r>
      <w:r w:rsidR="00B8625D">
        <w:rPr>
          <w:rFonts w:ascii="Arial" w:hAnsi="Arial" w:cs="Arial"/>
        </w:rPr>
        <w:fldChar w:fldCharType="separate"/>
      </w:r>
      <w:r w:rsidR="005D591F" w:rsidRPr="005D591F">
        <w:rPr>
          <w:rFonts w:ascii="Arial" w:hAnsi="Arial" w:cs="Arial"/>
        </w:rPr>
        <w:t>(4,7)</w:t>
      </w:r>
      <w:r w:rsidR="00B8625D">
        <w:rPr>
          <w:rFonts w:ascii="Arial" w:hAnsi="Arial" w:cs="Arial"/>
        </w:rPr>
        <w:fldChar w:fldCharType="end"/>
      </w:r>
      <w:r w:rsidRPr="001A6FEE">
        <w:rPr>
          <w:rFonts w:ascii="Arial" w:hAnsi="Arial" w:cs="Arial"/>
        </w:rPr>
        <w:t>. Recent French recommendations also emphasize early genetic counseling and multidisciplinary assessment in suspected NF1 cases</w:t>
      </w:r>
      <w:r w:rsidR="00FC5E79">
        <w:rPr>
          <w:rFonts w:ascii="Arial" w:hAnsi="Arial" w:cs="Arial"/>
        </w:rPr>
        <w:t>.</w:t>
      </w:r>
      <w:r w:rsidR="00FC5E79" w:rsidRPr="00FC5E79">
        <w:t xml:space="preserve"> </w:t>
      </w:r>
      <w:r w:rsidR="00FF5E90">
        <w:rPr>
          <w:rFonts w:ascii="Arial" w:hAnsi="Arial" w:cs="Arial"/>
        </w:rPr>
        <w:t>R</w:t>
      </w:r>
      <w:r w:rsidR="00FC5E79" w:rsidRPr="00FC5E79">
        <w:rPr>
          <w:rFonts w:ascii="Arial" w:hAnsi="Arial" w:cs="Arial"/>
        </w:rPr>
        <w:t xml:space="preserve">ecurrent or deep-seated </w:t>
      </w:r>
      <w:r w:rsidR="00FF5E90">
        <w:rPr>
          <w:rFonts w:ascii="Arial" w:hAnsi="Arial" w:cs="Arial"/>
        </w:rPr>
        <w:t>NFs</w:t>
      </w:r>
      <w:r w:rsidR="00FC5E79" w:rsidRPr="00FC5E79">
        <w:rPr>
          <w:rFonts w:ascii="Arial" w:hAnsi="Arial" w:cs="Arial"/>
        </w:rPr>
        <w:t xml:space="preserve"> warrant rigorous clinical and radiological monitoring due to the recognized risk of malignant transformation into malignant peripheral nerve sheath tumors (MPNSTs). Although neurofibromas are benign by nature, the potential for malignant progression—particularly in plexiform or multifocal lesions—is well-documented in the literature. MRI, often complemented by metabolic imaging such as PET-CT, is advised to detect early signs of transformation, including rapid growth, heterogeneity, or increased metabolic activity. In this case, the recurrent, multifocal nature of the digital lesions—along with their progressive enlargement and involvement of critical anatomical structures—may justify prolonged and systematic surveillance</w:t>
      </w:r>
      <w:r w:rsidR="00B8625D">
        <w:rPr>
          <w:rFonts w:ascii="Arial" w:hAnsi="Arial" w:cs="Arial"/>
        </w:rPr>
        <w:fldChar w:fldCharType="begin"/>
      </w:r>
      <w:r w:rsidR="00F355D7">
        <w:rPr>
          <w:rFonts w:ascii="Arial" w:hAnsi="Arial" w:cs="Arial"/>
        </w:rPr>
        <w:instrText xml:space="preserve"> ADDIN ZOTERO_ITEM CSL_CITATION {"citationID":"olVZkrlA","properties":{"formattedCitation":"(12)","plainCitation":"(12)","noteIndex":0},"citationItems":[{"id":41,"uris":["http://zotero.org/users/local/7qifMvx1/items/AHWFLN9B"],"itemData":{"id":41,"type":"document","title":"pndsnf1final.pdf","URL":"https://www.has-sante.fr/upload/docs/application/pdf/2022-07/pndsnf1final.pdf","accessed":{"date-parts":[["2025",6,1]]}}}],"schema":"https://github.com/citation-style-language/schema/raw/master/csl-citation.json"} </w:instrText>
      </w:r>
      <w:r w:rsidR="00B8625D">
        <w:rPr>
          <w:rFonts w:ascii="Arial" w:hAnsi="Arial" w:cs="Arial"/>
        </w:rPr>
        <w:fldChar w:fldCharType="separate"/>
      </w:r>
      <w:r w:rsidR="00F355D7" w:rsidRPr="00F355D7">
        <w:rPr>
          <w:rFonts w:ascii="Arial" w:hAnsi="Arial" w:cs="Arial"/>
        </w:rPr>
        <w:t>(12)</w:t>
      </w:r>
      <w:r w:rsidR="00B8625D">
        <w:rPr>
          <w:rFonts w:ascii="Arial" w:hAnsi="Arial" w:cs="Arial"/>
        </w:rPr>
        <w:fldChar w:fldCharType="end"/>
      </w:r>
      <w:r w:rsidRPr="001A6FEE">
        <w:rPr>
          <w:rFonts w:ascii="Arial" w:hAnsi="Arial" w:cs="Arial"/>
        </w:rPr>
        <w:t>.</w:t>
      </w:r>
    </w:p>
    <w:p w14:paraId="07F9DE5A" w14:textId="77777777" w:rsidR="00790ADA" w:rsidRPr="00FB3A86" w:rsidRDefault="00790ADA" w:rsidP="00441B6F">
      <w:pPr>
        <w:pStyle w:val="Body"/>
        <w:spacing w:after="0"/>
        <w:rPr>
          <w:rFonts w:ascii="Arial" w:hAnsi="Arial" w:cs="Arial"/>
        </w:rPr>
      </w:pPr>
    </w:p>
    <w:p w14:paraId="17D3D52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A3E978" w14:textId="77777777" w:rsidR="00790ADA" w:rsidRPr="00FB3A86" w:rsidRDefault="00790ADA" w:rsidP="00441B6F">
      <w:pPr>
        <w:pStyle w:val="ConcHead"/>
        <w:spacing w:after="0"/>
        <w:jc w:val="both"/>
        <w:rPr>
          <w:rFonts w:ascii="Arial" w:hAnsi="Arial" w:cs="Arial"/>
        </w:rPr>
      </w:pPr>
    </w:p>
    <w:p w14:paraId="302308CC" w14:textId="66C28635" w:rsidR="00315186" w:rsidRPr="00315186" w:rsidRDefault="00D73FAB" w:rsidP="00441B6F">
      <w:r>
        <w:t xml:space="preserve">This case underscores the necessity for careful long-term monitoring and repeated histopathological assessment in recurrent soft tissue tumors of the </w:t>
      </w:r>
      <w:proofErr w:type="gramStart"/>
      <w:r>
        <w:t>hand(</w:t>
      </w:r>
      <w:proofErr w:type="gramEnd"/>
      <w:r>
        <w:t xml:space="preserve">3,5). Early consideration of neurogenic tumors such as neurofibroma may improve diagnostic accuracy and patient </w:t>
      </w:r>
      <w:proofErr w:type="gramStart"/>
      <w:r>
        <w:t>outcomes(</w:t>
      </w:r>
      <w:proofErr w:type="gramEnd"/>
      <w:r>
        <w:t>4,6,10). It also highlights the diagnostic complexity of such cases, particularly when clinical and histological features overlap with benign fibroblastic lesions. Signs such as pseudo-Tinel’s sign and multifocality should prompt early suspicion for nerve sheath tumors. Incorporating MRI and immunohistochemical markers like S100 early in the diagnostic pathway can significantly reduce diagnostic delays. This case adds to the growing body of evidence by illustrating an unusual localization and progression of a sporadic neurofibroma, reinforcing the importance of maintaining a broad differential and ensuring adequate surgical margins to avoid functional morbidity.</w:t>
      </w:r>
    </w:p>
    <w:p w14:paraId="288A34FA" w14:textId="77777777" w:rsidR="00421117" w:rsidRDefault="00421117" w:rsidP="00441B6F">
      <w:pPr>
        <w:pStyle w:val="ReferHead"/>
        <w:spacing w:after="0"/>
        <w:jc w:val="both"/>
        <w:rPr>
          <w:rFonts w:ascii="Arial" w:hAnsi="Arial" w:cs="Arial"/>
          <w:b w:val="0"/>
          <w:caps w:val="0"/>
          <w:sz w:val="20"/>
        </w:rPr>
      </w:pPr>
    </w:p>
    <w:p w14:paraId="0D757B78" w14:textId="21B203C3" w:rsidR="002B685A" w:rsidRDefault="002B685A" w:rsidP="00441B6F">
      <w:pPr>
        <w:pStyle w:val="ReferHead"/>
        <w:spacing w:after="0"/>
        <w:jc w:val="both"/>
        <w:rPr>
          <w:rFonts w:ascii="Arial" w:hAnsi="Arial" w:cs="Arial"/>
          <w:bCs/>
        </w:rPr>
      </w:pPr>
      <w:r w:rsidRPr="002B685A">
        <w:rPr>
          <w:rFonts w:ascii="Arial" w:hAnsi="Arial" w:cs="Arial"/>
          <w:bCs/>
        </w:rPr>
        <w:t>Consent</w:t>
      </w:r>
    </w:p>
    <w:p w14:paraId="6F0E6A5B" w14:textId="77777777" w:rsidR="002B685A" w:rsidRPr="002B685A" w:rsidRDefault="002B685A" w:rsidP="00441B6F">
      <w:pPr>
        <w:pStyle w:val="ReferHead"/>
        <w:spacing w:after="0"/>
        <w:jc w:val="both"/>
        <w:rPr>
          <w:rFonts w:ascii="Arial" w:hAnsi="Arial" w:cs="Arial"/>
          <w:bCs/>
        </w:rPr>
      </w:pPr>
    </w:p>
    <w:p w14:paraId="19314B5B" w14:textId="3D02288C" w:rsidR="001A29D8" w:rsidRDefault="00421117" w:rsidP="00441B6F">
      <w:pPr>
        <w:pStyle w:val="ReferHead"/>
        <w:spacing w:after="0"/>
        <w:jc w:val="both"/>
        <w:rPr>
          <w:rFonts w:ascii="Arial" w:hAnsi="Arial" w:cs="Arial"/>
          <w:b w:val="0"/>
          <w:caps w:val="0"/>
          <w:sz w:val="20"/>
        </w:rPr>
      </w:pPr>
      <w:r w:rsidRPr="00421117">
        <w:rPr>
          <w:rFonts w:ascii="Arial" w:hAnsi="Arial" w:cs="Arial"/>
          <w:b w:val="0"/>
          <w:caps w:val="0"/>
          <w:sz w:val="20"/>
        </w:rPr>
        <w:t>Written informed consent was obtained from the patient for publication of this case report and any accompanying images.</w:t>
      </w:r>
    </w:p>
    <w:p w14:paraId="1324A6B2" w14:textId="77777777" w:rsidR="005C784C" w:rsidRDefault="005C784C" w:rsidP="00441B6F">
      <w:pPr>
        <w:pStyle w:val="ReferHead"/>
        <w:spacing w:after="0"/>
        <w:jc w:val="both"/>
        <w:rPr>
          <w:rFonts w:ascii="Arial" w:hAnsi="Arial" w:cs="Arial"/>
          <w:b w:val="0"/>
          <w:caps w:val="0"/>
          <w:sz w:val="20"/>
        </w:rPr>
      </w:pPr>
    </w:p>
    <w:p w14:paraId="001BBCD4" w14:textId="017A337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4327D367" w14:textId="77777777" w:rsidR="005C784C" w:rsidRPr="002B685A" w:rsidRDefault="005C784C" w:rsidP="00441B6F">
      <w:pPr>
        <w:pStyle w:val="ReferHead"/>
        <w:spacing w:after="0"/>
        <w:jc w:val="both"/>
        <w:rPr>
          <w:rFonts w:ascii="Arial" w:hAnsi="Arial" w:cs="Arial"/>
          <w:bCs/>
        </w:rPr>
      </w:pPr>
    </w:p>
    <w:p w14:paraId="297DDD71" w14:textId="36B89BD4" w:rsidR="00860000" w:rsidRDefault="00421117" w:rsidP="00441B6F">
      <w:pPr>
        <w:pStyle w:val="ReferHead"/>
        <w:spacing w:after="0"/>
        <w:jc w:val="both"/>
        <w:rPr>
          <w:rFonts w:ascii="Arial" w:hAnsi="Arial" w:cs="Arial"/>
          <w:b w:val="0"/>
          <w:caps w:val="0"/>
          <w:sz w:val="20"/>
        </w:rPr>
      </w:pPr>
      <w:r w:rsidRPr="00421117">
        <w:rPr>
          <w:rFonts w:ascii="Arial" w:hAnsi="Arial" w:cs="Arial"/>
          <w:b w:val="0"/>
          <w:caps w:val="0"/>
          <w:sz w:val="20"/>
        </w:rPr>
        <w:t>All authors hereby declare that all experiments have been examined and approved by the appropriate ethics committee and have therefore been performed in accordance with the ethical standards laid down in the 1964 Declaration of Helsinki</w:t>
      </w:r>
    </w:p>
    <w:p w14:paraId="5AD22317" w14:textId="77777777" w:rsidR="00245256" w:rsidRPr="00A40E21" w:rsidRDefault="00245256" w:rsidP="00245256">
      <w:pPr>
        <w:rPr>
          <w:rFonts w:ascii="Calibri" w:eastAsia="Calibri" w:hAnsi="Calibri"/>
          <w:kern w:val="2"/>
        </w:rPr>
      </w:pPr>
      <w:bookmarkStart w:id="0" w:name="_Hlk197682619"/>
      <w:bookmarkStart w:id="1" w:name="_Hlk180402183"/>
      <w:bookmarkStart w:id="2" w:name="_Hlk183680988"/>
      <w:r w:rsidRPr="00A40E21">
        <w:rPr>
          <w:rFonts w:ascii="Calibri" w:eastAsia="Calibri" w:hAnsi="Calibri"/>
          <w:kern w:val="2"/>
        </w:rPr>
        <w:t xml:space="preserve">Author(s) hereby </w:t>
      </w:r>
      <w:proofErr w:type="gramStart"/>
      <w:r w:rsidRPr="00A40E21">
        <w:rPr>
          <w:rFonts w:ascii="Calibri" w:eastAsia="Calibri" w:hAnsi="Calibri"/>
          <w:kern w:val="2"/>
        </w:rPr>
        <w:t>declare</w:t>
      </w:r>
      <w:proofErr w:type="gramEnd"/>
      <w:r w:rsidRPr="00A40E21">
        <w:rPr>
          <w:rFonts w:ascii="Calibri" w:eastAsia="Calibri" w:hAnsi="Calibri"/>
          <w:kern w:val="2"/>
        </w:rPr>
        <w:t xml:space="preserve"> that NO generative AI technologies such as Large Language Models (ChatGPT, COPILOT, etc.) and text-to-image generators have been used during the writing or editing of this manuscript. </w:t>
      </w:r>
    </w:p>
    <w:bookmarkEnd w:id="0"/>
    <w:bookmarkEnd w:id="1"/>
    <w:bookmarkEnd w:id="2"/>
    <w:p w14:paraId="3874AA3E" w14:textId="77777777" w:rsidR="00245256" w:rsidRDefault="00245256" w:rsidP="00441B6F">
      <w:pPr>
        <w:pStyle w:val="ReferHead"/>
        <w:spacing w:after="0"/>
        <w:jc w:val="both"/>
        <w:rPr>
          <w:rFonts w:ascii="Arial" w:hAnsi="Arial" w:cs="Arial"/>
          <w:b w:val="0"/>
          <w:caps w:val="0"/>
          <w:sz w:val="20"/>
        </w:rPr>
      </w:pPr>
    </w:p>
    <w:p w14:paraId="0D4FBD9D" w14:textId="77777777" w:rsidR="00266FDB" w:rsidRPr="00266FDB" w:rsidRDefault="00266FDB" w:rsidP="00266FDB">
      <w:pPr>
        <w:rPr>
          <w:highlight w:val="yellow"/>
        </w:rPr>
      </w:pPr>
      <w:r w:rsidRPr="00266FDB">
        <w:rPr>
          <w:highlight w:val="yellow"/>
        </w:rPr>
        <w:t>Disclaimer (Artificial intelligence)</w:t>
      </w:r>
    </w:p>
    <w:p w14:paraId="4729D56D" w14:textId="77777777" w:rsidR="00266FDB" w:rsidRPr="00266FDB" w:rsidRDefault="00266FDB" w:rsidP="00266FDB">
      <w:pPr>
        <w:rPr>
          <w:highlight w:val="yellow"/>
        </w:rPr>
      </w:pPr>
      <w:r w:rsidRPr="00266FDB">
        <w:rPr>
          <w:highlight w:val="yellow"/>
        </w:rPr>
        <w:t xml:space="preserve">Option 1: </w:t>
      </w:r>
    </w:p>
    <w:p w14:paraId="2AED8294" w14:textId="77777777" w:rsidR="00266FDB" w:rsidRPr="00266FDB" w:rsidRDefault="00266FDB" w:rsidP="00266FDB">
      <w:pPr>
        <w:rPr>
          <w:highlight w:val="yellow"/>
        </w:rPr>
      </w:pPr>
      <w:r w:rsidRPr="00266FDB">
        <w:rPr>
          <w:highlight w:val="yellow"/>
        </w:rPr>
        <w:t xml:space="preserve">Author(s) hereby </w:t>
      </w:r>
      <w:proofErr w:type="gramStart"/>
      <w:r w:rsidRPr="00266FDB">
        <w:rPr>
          <w:highlight w:val="yellow"/>
        </w:rPr>
        <w:t>declare</w:t>
      </w:r>
      <w:proofErr w:type="gramEnd"/>
      <w:r w:rsidRPr="00266FDB">
        <w:rPr>
          <w:highlight w:val="yellow"/>
        </w:rPr>
        <w:t xml:space="preserve"> that NO generative AI technologies such as Large Language Models (ChatGPT, COPILOT, etc.) and text-to-image generators have been used during the writing or editing of this manuscript. </w:t>
      </w:r>
    </w:p>
    <w:p w14:paraId="74B72248" w14:textId="77777777" w:rsidR="00266FDB" w:rsidRPr="00266FDB" w:rsidRDefault="00266FDB" w:rsidP="00266FDB">
      <w:pPr>
        <w:rPr>
          <w:highlight w:val="yellow"/>
        </w:rPr>
      </w:pPr>
      <w:r w:rsidRPr="00266FDB">
        <w:rPr>
          <w:highlight w:val="yellow"/>
        </w:rPr>
        <w:t xml:space="preserve">Option 2: </w:t>
      </w:r>
    </w:p>
    <w:p w14:paraId="30AB1F0A" w14:textId="77777777" w:rsidR="00266FDB" w:rsidRPr="00266FDB" w:rsidRDefault="00266FDB" w:rsidP="00266FDB">
      <w:pPr>
        <w:rPr>
          <w:highlight w:val="yellow"/>
        </w:rPr>
      </w:pPr>
      <w:r w:rsidRPr="00266FDB">
        <w:rPr>
          <w:highlight w:val="yellow"/>
        </w:rPr>
        <w:t xml:space="preserve">Author(s) hereby </w:t>
      </w:r>
      <w:proofErr w:type="gramStart"/>
      <w:r w:rsidRPr="00266FDB">
        <w:rPr>
          <w:highlight w:val="yellow"/>
        </w:rPr>
        <w:t>declare</w:t>
      </w:r>
      <w:proofErr w:type="gramEnd"/>
      <w:r w:rsidRPr="00266FDB">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D29847" w14:textId="77777777" w:rsidR="00266FDB" w:rsidRPr="00266FDB" w:rsidRDefault="00266FDB" w:rsidP="00266FDB">
      <w:pPr>
        <w:rPr>
          <w:highlight w:val="yellow"/>
        </w:rPr>
      </w:pPr>
      <w:r w:rsidRPr="00266FDB">
        <w:rPr>
          <w:highlight w:val="yellow"/>
        </w:rPr>
        <w:t>Details of the AI usage are given below:</w:t>
      </w:r>
    </w:p>
    <w:p w14:paraId="3D28A6DF" w14:textId="77777777" w:rsidR="00266FDB" w:rsidRPr="00266FDB" w:rsidRDefault="00266FDB" w:rsidP="00266FDB">
      <w:pPr>
        <w:rPr>
          <w:highlight w:val="yellow"/>
        </w:rPr>
      </w:pPr>
      <w:r w:rsidRPr="00266FDB">
        <w:rPr>
          <w:highlight w:val="yellow"/>
        </w:rPr>
        <w:t>1.</w:t>
      </w:r>
    </w:p>
    <w:p w14:paraId="5B969300" w14:textId="77777777" w:rsidR="00266FDB" w:rsidRPr="00266FDB" w:rsidRDefault="00266FDB" w:rsidP="00266FDB">
      <w:pPr>
        <w:rPr>
          <w:highlight w:val="yellow"/>
        </w:rPr>
      </w:pPr>
      <w:r w:rsidRPr="00266FDB">
        <w:rPr>
          <w:highlight w:val="yellow"/>
        </w:rPr>
        <w:t>2.</w:t>
      </w:r>
    </w:p>
    <w:p w14:paraId="3A92469C" w14:textId="77777777" w:rsidR="00266FDB" w:rsidRPr="0053103C" w:rsidRDefault="00266FDB" w:rsidP="00266FDB">
      <w:r w:rsidRPr="00266FDB">
        <w:rPr>
          <w:highlight w:val="yellow"/>
        </w:rPr>
        <w:t>3.</w:t>
      </w:r>
    </w:p>
    <w:p w14:paraId="7C13AB35" w14:textId="77777777" w:rsidR="00421117" w:rsidRDefault="00421117" w:rsidP="00441B6F">
      <w:pPr>
        <w:pStyle w:val="ReferHead"/>
        <w:spacing w:after="0"/>
        <w:jc w:val="both"/>
        <w:rPr>
          <w:rFonts w:ascii="Arial" w:hAnsi="Arial" w:cs="Arial"/>
        </w:rPr>
      </w:pPr>
    </w:p>
    <w:p w14:paraId="5CA507A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2225B38" w14:textId="77777777" w:rsidR="00790ADA" w:rsidRPr="00FB3A86" w:rsidRDefault="00790ADA" w:rsidP="00441B6F">
      <w:pPr>
        <w:pStyle w:val="ReferHead"/>
        <w:spacing w:after="0"/>
        <w:jc w:val="both"/>
        <w:rPr>
          <w:rFonts w:ascii="Arial" w:hAnsi="Arial" w:cs="Arial"/>
        </w:rPr>
      </w:pPr>
    </w:p>
    <w:p w14:paraId="784743E5" w14:textId="77777777" w:rsidR="00F355D7" w:rsidRPr="00F355D7" w:rsidRDefault="00BD3AE2" w:rsidP="00F355D7">
      <w:pPr>
        <w:pStyle w:val="Bibliography"/>
      </w:pPr>
      <w:r>
        <w:rPr>
          <w:rFonts w:ascii="Arial" w:hAnsi="Arial" w:cs="Arial"/>
          <w:b/>
        </w:rPr>
        <w:fldChar w:fldCharType="begin"/>
      </w:r>
      <w:r>
        <w:rPr>
          <w:rFonts w:ascii="Arial" w:hAnsi="Arial" w:cs="Arial"/>
          <w:b/>
        </w:rPr>
        <w:instrText xml:space="preserve"> ADDIN ZOTERO_BIBL {"uncited":[],"omitted":[],"custom":[]} CSL_BIBLIOGRAPHY </w:instrText>
      </w:r>
      <w:r>
        <w:rPr>
          <w:rFonts w:ascii="Arial" w:hAnsi="Arial" w:cs="Arial"/>
          <w:b/>
        </w:rPr>
        <w:fldChar w:fldCharType="separate"/>
      </w:r>
      <w:r w:rsidR="00F355D7" w:rsidRPr="00F355D7">
        <w:t>1.</w:t>
      </w:r>
      <w:r w:rsidR="00F355D7" w:rsidRPr="00F355D7">
        <w:tab/>
        <w:t>Carvalho DR, Branco PM, Afonso PD, Gerardo G, Baptista C. Atypically Located Solitary Neurofibroma of the Ulnar Nerve as Inaugural Presentation of a New Genetic Variant of Neurofibromatosis Type 1: A Case Report. J Hand Surg Glob Online. 20 mai 2022;4(5):283</w:t>
      </w:r>
      <w:r w:rsidR="00F355D7" w:rsidRPr="00F355D7">
        <w:rPr>
          <w:rFonts w:ascii="Cambria Math" w:hAnsi="Cambria Math" w:cs="Cambria Math"/>
        </w:rPr>
        <w:t>‑</w:t>
      </w:r>
      <w:r w:rsidR="00F355D7" w:rsidRPr="00F355D7">
        <w:t xml:space="preserve">7. </w:t>
      </w:r>
    </w:p>
    <w:p w14:paraId="61049C67" w14:textId="36676309" w:rsidR="00F355D7" w:rsidRPr="007E20ED" w:rsidRDefault="00F355D7" w:rsidP="007E20ED">
      <w:pPr>
        <w:pStyle w:val="Bibliography"/>
        <w:rPr>
          <w:rFonts w:ascii="Arial" w:hAnsi="Arial" w:cs="Arial"/>
        </w:rPr>
      </w:pPr>
      <w:r w:rsidRPr="00F355D7">
        <w:t>2.</w:t>
      </w:r>
      <w:r w:rsidRPr="00F355D7">
        <w:tab/>
      </w:r>
      <w:r w:rsidR="007E20ED" w:rsidRPr="00D63FE0">
        <w:rPr>
          <w:rFonts w:ascii="Arial" w:hAnsi="Arial" w:cs="Arial"/>
        </w:rPr>
        <w:t>Fletcher CDM, et al. WHO Classification of Tumours of Soft Tissue and Bone. 4th ed. IARC Press; 2013</w:t>
      </w:r>
    </w:p>
    <w:p w14:paraId="08F11122" w14:textId="77777777" w:rsidR="00F355D7" w:rsidRPr="00F355D7" w:rsidRDefault="00F355D7" w:rsidP="00F355D7">
      <w:pPr>
        <w:pStyle w:val="Bibliography"/>
      </w:pPr>
      <w:r w:rsidRPr="00F355D7">
        <w:t>3.</w:t>
      </w:r>
      <w:r w:rsidRPr="00F355D7">
        <w:tab/>
        <w:t>Sherman CE, Murray PM. Tumor-Like Conditions of the Hand and Upper Extremity. J Hand Surg. déc 2017;42(12):1009</w:t>
      </w:r>
      <w:r w:rsidRPr="00F355D7">
        <w:rPr>
          <w:rFonts w:ascii="Cambria Math" w:hAnsi="Cambria Math" w:cs="Cambria Math"/>
        </w:rPr>
        <w:t>‑</w:t>
      </w:r>
      <w:r w:rsidRPr="00F355D7">
        <w:t xml:space="preserve">17. </w:t>
      </w:r>
    </w:p>
    <w:p w14:paraId="232B068B" w14:textId="77777777" w:rsidR="00F355D7" w:rsidRPr="00F355D7" w:rsidRDefault="00F355D7" w:rsidP="00F355D7">
      <w:pPr>
        <w:pStyle w:val="Bibliography"/>
      </w:pPr>
      <w:r w:rsidRPr="00F355D7">
        <w:t>4.</w:t>
      </w:r>
      <w:r w:rsidRPr="00F355D7">
        <w:tab/>
        <w:t>Rodriguez FJ, Folpe AL, Giannini C, Perry A. Pathology of peripheral nerve sheath tumors: diagnostic overview and update on selected diagnostic problems. Acta Neuropathol (Berl). mars 2012;123(3):295</w:t>
      </w:r>
      <w:r w:rsidRPr="00F355D7">
        <w:rPr>
          <w:rFonts w:ascii="Cambria Math" w:hAnsi="Cambria Math" w:cs="Cambria Math"/>
        </w:rPr>
        <w:t>‑</w:t>
      </w:r>
      <w:r w:rsidRPr="00F355D7">
        <w:t xml:space="preserve">319. </w:t>
      </w:r>
    </w:p>
    <w:p w14:paraId="44A6B705" w14:textId="77777777" w:rsidR="00F355D7" w:rsidRPr="00F355D7" w:rsidRDefault="00F355D7" w:rsidP="00F355D7">
      <w:pPr>
        <w:pStyle w:val="Bibliography"/>
      </w:pPr>
      <w:r w:rsidRPr="00F355D7">
        <w:t>5.</w:t>
      </w:r>
      <w:r w:rsidRPr="00F355D7">
        <w:tab/>
        <w:t xml:space="preserve">Weiss SW, Goldblum JR, Folpe AL. Enzinger and Weiss’s Soft Tissue Tumors. Elsevier Health Sciences; 2007. 2815 p. </w:t>
      </w:r>
    </w:p>
    <w:p w14:paraId="4AC82151" w14:textId="77777777" w:rsidR="00F355D7" w:rsidRPr="00F355D7" w:rsidRDefault="00F355D7" w:rsidP="00F355D7">
      <w:pPr>
        <w:pStyle w:val="Bibliography"/>
      </w:pPr>
      <w:r w:rsidRPr="00F355D7">
        <w:t>6.</w:t>
      </w:r>
      <w:r w:rsidRPr="00F355D7">
        <w:tab/>
        <w:t>Gupta G, Mammis A, Maniker A. Malignant peripheral nerve sheath tumors. Neurosurg Clin N Am. oct 2008;19(4):533</w:t>
      </w:r>
      <w:r w:rsidRPr="00F355D7">
        <w:rPr>
          <w:rFonts w:ascii="Cambria Math" w:hAnsi="Cambria Math" w:cs="Cambria Math"/>
        </w:rPr>
        <w:t>‑</w:t>
      </w:r>
      <w:r w:rsidRPr="00F355D7">
        <w:t xml:space="preserve">43, v. </w:t>
      </w:r>
    </w:p>
    <w:p w14:paraId="7AB30CD8" w14:textId="202A3A21" w:rsidR="00F355D7" w:rsidRPr="00F355D7" w:rsidRDefault="00F355D7" w:rsidP="00F355D7">
      <w:pPr>
        <w:pStyle w:val="Bibliography"/>
      </w:pPr>
      <w:r w:rsidRPr="00F355D7">
        <w:t>7.</w:t>
      </w:r>
      <w:r w:rsidRPr="00F355D7">
        <w:tab/>
      </w:r>
      <w:r w:rsidR="007E20ED" w:rsidRPr="00D63FE0">
        <w:rPr>
          <w:rFonts w:ascii="Arial" w:hAnsi="Arial" w:cs="Arial"/>
        </w:rPr>
        <w:t>Rosai J. Rosai and Ackerman's Surgical Pathology. 10th ed. Elsevier; 2011.</w:t>
      </w:r>
    </w:p>
    <w:p w14:paraId="4200B44D" w14:textId="77777777" w:rsidR="00F355D7" w:rsidRPr="00F355D7" w:rsidRDefault="00F355D7" w:rsidP="00F355D7">
      <w:pPr>
        <w:pStyle w:val="Bibliography"/>
      </w:pPr>
      <w:r w:rsidRPr="00F355D7">
        <w:t>8.</w:t>
      </w:r>
      <w:r w:rsidRPr="00F355D7">
        <w:tab/>
        <w:t>Hamdaoui OR, Kardi O, Tabakh H, Siwane A, Touil N, Kacimi O, et al. Plexiform Neurofibroma of Arm: A Case Report. Int J Med Pharm Case Rep. 8 août 2022;25</w:t>
      </w:r>
      <w:r w:rsidRPr="00F355D7">
        <w:rPr>
          <w:rFonts w:ascii="Cambria Math" w:hAnsi="Cambria Math" w:cs="Cambria Math"/>
        </w:rPr>
        <w:t>‑</w:t>
      </w:r>
      <w:r w:rsidRPr="00F355D7">
        <w:t xml:space="preserve">9. </w:t>
      </w:r>
    </w:p>
    <w:p w14:paraId="3011D54D" w14:textId="77777777" w:rsidR="00F355D7" w:rsidRPr="00F355D7" w:rsidRDefault="00F355D7" w:rsidP="00F355D7">
      <w:pPr>
        <w:pStyle w:val="Bibliography"/>
      </w:pPr>
      <w:r w:rsidRPr="00F355D7">
        <w:t>9.</w:t>
      </w:r>
      <w:r w:rsidRPr="00F355D7">
        <w:tab/>
        <w:t>Alla SR, Deal ND, Dempsey IJ. Current concepts: mallet finger. Hand N Y N. juin 2014;9(2):138</w:t>
      </w:r>
      <w:r w:rsidRPr="00F355D7">
        <w:rPr>
          <w:rFonts w:ascii="Cambria Math" w:hAnsi="Cambria Math" w:cs="Cambria Math"/>
        </w:rPr>
        <w:t>‑</w:t>
      </w:r>
      <w:r w:rsidRPr="00F355D7">
        <w:t xml:space="preserve">44. </w:t>
      </w:r>
    </w:p>
    <w:p w14:paraId="3730B0F5" w14:textId="77777777" w:rsidR="00F355D7" w:rsidRPr="00F355D7" w:rsidRDefault="00F355D7" w:rsidP="00F355D7">
      <w:pPr>
        <w:pStyle w:val="Bibliography"/>
      </w:pPr>
      <w:r w:rsidRPr="00F355D7">
        <w:t>10.</w:t>
      </w:r>
      <w:r w:rsidRPr="00F355D7">
        <w:tab/>
        <w:t xml:space="preserve">Pearl RA, O’Toole G. A case of large sporadic neurofibroma of the hand. J Plast Reconstr Aesthetic Surg JPRAS. juill 2010;63(7):e573-575. </w:t>
      </w:r>
    </w:p>
    <w:p w14:paraId="62017381" w14:textId="77777777" w:rsidR="00F355D7" w:rsidRPr="00266FDB" w:rsidRDefault="00F355D7" w:rsidP="00F355D7">
      <w:pPr>
        <w:pStyle w:val="Bibliography"/>
        <w:rPr>
          <w:lang w:val="nl-BE"/>
        </w:rPr>
      </w:pPr>
      <w:r w:rsidRPr="00F355D7">
        <w:t>11.</w:t>
      </w:r>
      <w:r w:rsidRPr="00F355D7">
        <w:tab/>
        <w:t xml:space="preserve">Lauri G, Santucci M, Ceruso M, Innocenti M. Recurrent digital fibromatosis of childhood. </w:t>
      </w:r>
      <w:r w:rsidRPr="00266FDB">
        <w:rPr>
          <w:lang w:val="nl-BE"/>
        </w:rPr>
        <w:t>J Hand Surg. janv 1990;15(1):106</w:t>
      </w:r>
      <w:r w:rsidRPr="00266FDB">
        <w:rPr>
          <w:rFonts w:ascii="Cambria Math" w:hAnsi="Cambria Math" w:cs="Cambria Math"/>
          <w:lang w:val="nl-BE"/>
        </w:rPr>
        <w:t>‑</w:t>
      </w:r>
      <w:r w:rsidRPr="00266FDB">
        <w:rPr>
          <w:lang w:val="nl-BE"/>
        </w:rPr>
        <w:t xml:space="preserve">9. </w:t>
      </w:r>
    </w:p>
    <w:p w14:paraId="3B9436BC" w14:textId="10DFFC24" w:rsidR="00B01FCD" w:rsidRPr="00FB3A86" w:rsidRDefault="00F355D7" w:rsidP="007E20ED">
      <w:pPr>
        <w:pStyle w:val="Bibliography"/>
        <w:rPr>
          <w:rFonts w:ascii="Arial" w:hAnsi="Arial" w:cs="Arial"/>
          <w:b/>
        </w:rPr>
      </w:pPr>
      <w:r w:rsidRPr="00266FDB">
        <w:rPr>
          <w:lang w:val="nl-BE"/>
        </w:rPr>
        <w:lastRenderedPageBreak/>
        <w:t>12.</w:t>
      </w:r>
      <w:r w:rsidRPr="00266FDB">
        <w:rPr>
          <w:lang w:val="nl-BE"/>
        </w:rPr>
        <w:tab/>
      </w:r>
      <w:r w:rsidR="007E20ED" w:rsidRPr="00266FDB">
        <w:rPr>
          <w:rFonts w:ascii="Arial" w:hAnsi="Arial" w:cs="Arial"/>
          <w:lang w:val="nl-BE"/>
        </w:rPr>
        <w:t xml:space="preserve">Haute Autorité de Santé. Protocole National de Diagnostic et de Soins (PNDS) Neurofibromatose 1. </w:t>
      </w:r>
      <w:r w:rsidR="007E20ED">
        <w:rPr>
          <w:rFonts w:ascii="Arial" w:hAnsi="Arial" w:cs="Arial"/>
        </w:rPr>
        <w:t xml:space="preserve">HAS ; </w:t>
      </w:r>
      <w:proofErr w:type="spellStart"/>
      <w:r w:rsidR="007E20ED">
        <w:rPr>
          <w:rFonts w:ascii="Arial" w:hAnsi="Arial" w:cs="Arial"/>
        </w:rPr>
        <w:t>Août</w:t>
      </w:r>
      <w:proofErr w:type="spellEnd"/>
      <w:r w:rsidR="007E20ED">
        <w:rPr>
          <w:rFonts w:ascii="Arial" w:hAnsi="Arial" w:cs="Arial"/>
        </w:rPr>
        <w:t xml:space="preserve"> 2021</w:t>
      </w:r>
      <w:r w:rsidR="00BD3AE2">
        <w:rPr>
          <w:rFonts w:ascii="Arial" w:hAnsi="Arial" w:cs="Arial"/>
          <w:b/>
        </w:rPr>
        <w:fldChar w:fldCharType="end"/>
      </w:r>
    </w:p>
    <w:sectPr w:rsidR="00B01FCD" w:rsidRPr="00FB3A86" w:rsidSect="003B2773">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3DE00" w14:textId="77777777" w:rsidR="001D6E21" w:rsidRDefault="001D6E21" w:rsidP="00C37E61">
      <w:r>
        <w:separator/>
      </w:r>
    </w:p>
  </w:endnote>
  <w:endnote w:type="continuationSeparator" w:id="0">
    <w:p w14:paraId="09830386" w14:textId="77777777" w:rsidR="001D6E21" w:rsidRDefault="001D6E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F7CF" w14:textId="77777777" w:rsidR="00834FC7" w:rsidRDefault="00834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921C" w14:textId="77777777" w:rsidR="00834FC7" w:rsidRDefault="00834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717FD" w14:textId="77777777" w:rsidR="009E048A" w:rsidRDefault="009E048A">
    <w:pPr>
      <w:pStyle w:val="Footer"/>
      <w:rPr>
        <w:rFonts w:ascii="Arial" w:hAnsi="Arial" w:cs="Arial"/>
        <w:sz w:val="16"/>
      </w:rPr>
    </w:pPr>
  </w:p>
  <w:p w14:paraId="17A04B5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B76D09F" w14:textId="77777777" w:rsidR="009E048A" w:rsidRDefault="009E048A">
    <w:pPr>
      <w:pStyle w:val="Footer"/>
      <w:rPr>
        <w:rFonts w:ascii="Arial" w:hAnsi="Arial" w:cs="Arial"/>
        <w:sz w:val="16"/>
      </w:rPr>
    </w:pPr>
  </w:p>
  <w:p w14:paraId="182E4E5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830409"/>
      <w:docPartObj>
        <w:docPartGallery w:val="Page Numbers (Bottom of Page)"/>
        <w:docPartUnique/>
      </w:docPartObj>
    </w:sdtPr>
    <w:sdtContent>
      <w:p w14:paraId="7228FA98" w14:textId="24D28880" w:rsidR="008E4181" w:rsidRDefault="008E4181">
        <w:pPr>
          <w:pStyle w:val="Footer"/>
          <w:jc w:val="center"/>
        </w:pPr>
        <w:r>
          <w:fldChar w:fldCharType="begin"/>
        </w:r>
        <w:r>
          <w:instrText>PAGE   \* MERGEFORMAT</w:instrText>
        </w:r>
        <w:r>
          <w:fldChar w:fldCharType="separate"/>
        </w:r>
        <w:r>
          <w:rPr>
            <w:lang w:val="fr-FR"/>
          </w:rPr>
          <w:t>2</w:t>
        </w:r>
        <w:r>
          <w:fldChar w:fldCharType="end"/>
        </w:r>
      </w:p>
    </w:sdtContent>
  </w:sdt>
  <w:p w14:paraId="7CDF9A2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780E5" w14:textId="77777777" w:rsidR="001D6E21" w:rsidRDefault="001D6E21" w:rsidP="00C37E61">
      <w:r>
        <w:separator/>
      </w:r>
    </w:p>
  </w:footnote>
  <w:footnote w:type="continuationSeparator" w:id="0">
    <w:p w14:paraId="4BF499A3" w14:textId="77777777" w:rsidR="001D6E21" w:rsidRDefault="001D6E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67EB" w14:textId="7618567D" w:rsidR="00834FC7" w:rsidRDefault="00000000">
    <w:pPr>
      <w:pStyle w:val="Header"/>
    </w:pPr>
    <w:r>
      <w:rPr>
        <w:noProof/>
      </w:rPr>
      <w:pict w14:anchorId="6D371B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03FC" w14:textId="710FA914" w:rsidR="00834FC7" w:rsidRDefault="00000000">
    <w:pPr>
      <w:pStyle w:val="Header"/>
    </w:pPr>
    <w:r>
      <w:rPr>
        <w:noProof/>
      </w:rPr>
      <w:pict w14:anchorId="5B5F4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88AA" w14:textId="0EAFB150" w:rsidR="00296529" w:rsidRPr="00296529" w:rsidRDefault="00000000" w:rsidP="00296529">
    <w:pPr>
      <w:ind w:left="2160"/>
      <w:jc w:val="center"/>
      <w:rPr>
        <w:rFonts w:ascii="Times New Roman" w:eastAsia="Calibri" w:hAnsi="Times New Roman"/>
        <w:i/>
        <w:sz w:val="18"/>
        <w:szCs w:val="22"/>
      </w:rPr>
    </w:pPr>
    <w:r>
      <w:rPr>
        <w:noProof/>
      </w:rPr>
      <w:pict w14:anchorId="20A25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6BA41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F8216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B3EB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D580DE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1ADBB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6CED1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2A8E" w14:textId="09E16231" w:rsidR="00834FC7" w:rsidRDefault="00000000">
    <w:pPr>
      <w:pStyle w:val="Header"/>
    </w:pPr>
    <w:r>
      <w:rPr>
        <w:noProof/>
      </w:rPr>
      <w:pict w14:anchorId="096F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D353" w14:textId="767066B4" w:rsidR="00834FC7" w:rsidRDefault="00000000">
    <w:pPr>
      <w:pStyle w:val="Header"/>
    </w:pPr>
    <w:r>
      <w:rPr>
        <w:noProof/>
      </w:rPr>
      <w:pict w14:anchorId="54CA7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974BE" w14:textId="2600913C" w:rsidR="00834FC7" w:rsidRDefault="00000000">
    <w:pPr>
      <w:pStyle w:val="Header"/>
    </w:pPr>
    <w:r>
      <w:rPr>
        <w:noProof/>
      </w:rPr>
      <w:pict w14:anchorId="25360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55609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4930488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82044596">
    <w:abstractNumId w:val="15"/>
  </w:num>
  <w:num w:numId="3" w16cid:durableId="479733834">
    <w:abstractNumId w:val="23"/>
  </w:num>
  <w:num w:numId="4" w16cid:durableId="10566673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272300">
    <w:abstractNumId w:val="7"/>
  </w:num>
  <w:num w:numId="6" w16cid:durableId="1571967496">
    <w:abstractNumId w:val="6"/>
  </w:num>
  <w:num w:numId="7" w16cid:durableId="1311709838">
    <w:abstractNumId w:val="1"/>
  </w:num>
  <w:num w:numId="8" w16cid:durableId="1432504124">
    <w:abstractNumId w:val="12"/>
  </w:num>
  <w:num w:numId="9" w16cid:durableId="919949525">
    <w:abstractNumId w:val="25"/>
  </w:num>
  <w:num w:numId="10" w16cid:durableId="1291133237">
    <w:abstractNumId w:val="2"/>
  </w:num>
  <w:num w:numId="11" w16cid:durableId="1535381145">
    <w:abstractNumId w:val="18"/>
  </w:num>
  <w:num w:numId="12" w16cid:durableId="1264804626">
    <w:abstractNumId w:val="3"/>
  </w:num>
  <w:num w:numId="13" w16cid:durableId="910307893">
    <w:abstractNumId w:val="17"/>
  </w:num>
  <w:num w:numId="14" w16cid:durableId="639264724">
    <w:abstractNumId w:val="8"/>
  </w:num>
  <w:num w:numId="15" w16cid:durableId="789907254">
    <w:abstractNumId w:val="21"/>
  </w:num>
  <w:num w:numId="16" w16cid:durableId="148711682">
    <w:abstractNumId w:val="5"/>
  </w:num>
  <w:num w:numId="17" w16cid:durableId="1120219079">
    <w:abstractNumId w:val="22"/>
  </w:num>
  <w:num w:numId="18" w16cid:durableId="1022560123">
    <w:abstractNumId w:val="14"/>
  </w:num>
  <w:num w:numId="19" w16cid:durableId="1816141038">
    <w:abstractNumId w:val="28"/>
  </w:num>
  <w:num w:numId="20" w16cid:durableId="1698312673">
    <w:abstractNumId w:val="11"/>
  </w:num>
  <w:num w:numId="21" w16cid:durableId="1246065443">
    <w:abstractNumId w:val="9"/>
  </w:num>
  <w:num w:numId="22" w16cid:durableId="1679579716">
    <w:abstractNumId w:val="13"/>
  </w:num>
  <w:num w:numId="23" w16cid:durableId="249855031">
    <w:abstractNumId w:val="19"/>
  </w:num>
  <w:num w:numId="24" w16cid:durableId="1183283215">
    <w:abstractNumId w:val="26"/>
  </w:num>
  <w:num w:numId="25" w16cid:durableId="160776758">
    <w:abstractNumId w:val="4"/>
  </w:num>
  <w:num w:numId="26" w16cid:durableId="957948803">
    <w:abstractNumId w:val="16"/>
  </w:num>
  <w:num w:numId="27" w16cid:durableId="82579153">
    <w:abstractNumId w:val="20"/>
  </w:num>
  <w:num w:numId="28" w16cid:durableId="1634140873">
    <w:abstractNumId w:val="27"/>
  </w:num>
  <w:num w:numId="29" w16cid:durableId="1663774255">
    <w:abstractNumId w:val="24"/>
  </w:num>
  <w:num w:numId="30" w16cid:durableId="17582829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7FC5"/>
    <w:rsid w:val="00030174"/>
    <w:rsid w:val="0004579C"/>
    <w:rsid w:val="000477B1"/>
    <w:rsid w:val="0006783D"/>
    <w:rsid w:val="00095278"/>
    <w:rsid w:val="000A1DE0"/>
    <w:rsid w:val="000A413F"/>
    <w:rsid w:val="000A47FA"/>
    <w:rsid w:val="000A65D3"/>
    <w:rsid w:val="000B1E33"/>
    <w:rsid w:val="000B6C5C"/>
    <w:rsid w:val="000D689F"/>
    <w:rsid w:val="000E7B7B"/>
    <w:rsid w:val="000E7D62"/>
    <w:rsid w:val="00103357"/>
    <w:rsid w:val="00122881"/>
    <w:rsid w:val="00123C9F"/>
    <w:rsid w:val="00126190"/>
    <w:rsid w:val="00130F17"/>
    <w:rsid w:val="001320BF"/>
    <w:rsid w:val="001334C9"/>
    <w:rsid w:val="00163BC4"/>
    <w:rsid w:val="00166422"/>
    <w:rsid w:val="001866A9"/>
    <w:rsid w:val="00191062"/>
    <w:rsid w:val="00192B72"/>
    <w:rsid w:val="001A29D8"/>
    <w:rsid w:val="001A5CAA"/>
    <w:rsid w:val="001A6FEE"/>
    <w:rsid w:val="001B0427"/>
    <w:rsid w:val="001D3A51"/>
    <w:rsid w:val="001D6E21"/>
    <w:rsid w:val="001E0B6A"/>
    <w:rsid w:val="001E10D2"/>
    <w:rsid w:val="001E25B4"/>
    <w:rsid w:val="001E44FE"/>
    <w:rsid w:val="00200595"/>
    <w:rsid w:val="00204835"/>
    <w:rsid w:val="002308F2"/>
    <w:rsid w:val="00231920"/>
    <w:rsid w:val="0023195C"/>
    <w:rsid w:val="0024282C"/>
    <w:rsid w:val="00245256"/>
    <w:rsid w:val="002460DC"/>
    <w:rsid w:val="00250703"/>
    <w:rsid w:val="00250985"/>
    <w:rsid w:val="002540D0"/>
    <w:rsid w:val="002556F6"/>
    <w:rsid w:val="00266FDB"/>
    <w:rsid w:val="0027799D"/>
    <w:rsid w:val="00283105"/>
    <w:rsid w:val="00284C4C"/>
    <w:rsid w:val="00287E68"/>
    <w:rsid w:val="00296529"/>
    <w:rsid w:val="002B27FB"/>
    <w:rsid w:val="002B685A"/>
    <w:rsid w:val="002C57D2"/>
    <w:rsid w:val="002E0D56"/>
    <w:rsid w:val="00301C94"/>
    <w:rsid w:val="00315186"/>
    <w:rsid w:val="0033343E"/>
    <w:rsid w:val="003512C2"/>
    <w:rsid w:val="003566D1"/>
    <w:rsid w:val="00371FB6"/>
    <w:rsid w:val="00373CF1"/>
    <w:rsid w:val="003763C1"/>
    <w:rsid w:val="00376BBE"/>
    <w:rsid w:val="0039224F"/>
    <w:rsid w:val="00397FF7"/>
    <w:rsid w:val="003A43A4"/>
    <w:rsid w:val="003A7347"/>
    <w:rsid w:val="003A7E18"/>
    <w:rsid w:val="003B2773"/>
    <w:rsid w:val="003C4C86"/>
    <w:rsid w:val="003C6258"/>
    <w:rsid w:val="003D0DEC"/>
    <w:rsid w:val="003E2904"/>
    <w:rsid w:val="003E56C5"/>
    <w:rsid w:val="00401927"/>
    <w:rsid w:val="0041027F"/>
    <w:rsid w:val="00412475"/>
    <w:rsid w:val="00421117"/>
    <w:rsid w:val="00423789"/>
    <w:rsid w:val="00440F43"/>
    <w:rsid w:val="00441B6F"/>
    <w:rsid w:val="00446221"/>
    <w:rsid w:val="00450E62"/>
    <w:rsid w:val="00452602"/>
    <w:rsid w:val="004539DB"/>
    <w:rsid w:val="00471A80"/>
    <w:rsid w:val="0049284F"/>
    <w:rsid w:val="004A4EC9"/>
    <w:rsid w:val="004B6461"/>
    <w:rsid w:val="004D305E"/>
    <w:rsid w:val="004D4277"/>
    <w:rsid w:val="004D742A"/>
    <w:rsid w:val="00502516"/>
    <w:rsid w:val="00502E88"/>
    <w:rsid w:val="00502EA1"/>
    <w:rsid w:val="00505F06"/>
    <w:rsid w:val="00506828"/>
    <w:rsid w:val="0053056E"/>
    <w:rsid w:val="00554FDA"/>
    <w:rsid w:val="00585522"/>
    <w:rsid w:val="00590FCC"/>
    <w:rsid w:val="005B4E84"/>
    <w:rsid w:val="005C784C"/>
    <w:rsid w:val="005D17F6"/>
    <w:rsid w:val="005D3725"/>
    <w:rsid w:val="005D591F"/>
    <w:rsid w:val="005E5539"/>
    <w:rsid w:val="00602BF5"/>
    <w:rsid w:val="00617FDD"/>
    <w:rsid w:val="006228C1"/>
    <w:rsid w:val="00633614"/>
    <w:rsid w:val="00633F68"/>
    <w:rsid w:val="00636EB2"/>
    <w:rsid w:val="006375B8"/>
    <w:rsid w:val="00650BC9"/>
    <w:rsid w:val="0066510A"/>
    <w:rsid w:val="00673F9F"/>
    <w:rsid w:val="00686953"/>
    <w:rsid w:val="00687DEA"/>
    <w:rsid w:val="00687E67"/>
    <w:rsid w:val="006967F7"/>
    <w:rsid w:val="006A250C"/>
    <w:rsid w:val="006B21D3"/>
    <w:rsid w:val="006B5019"/>
    <w:rsid w:val="006B57D0"/>
    <w:rsid w:val="006D30FF"/>
    <w:rsid w:val="006D6940"/>
    <w:rsid w:val="006E78B6"/>
    <w:rsid w:val="006F11EC"/>
    <w:rsid w:val="0070082C"/>
    <w:rsid w:val="007175D6"/>
    <w:rsid w:val="007369E6"/>
    <w:rsid w:val="00746E59"/>
    <w:rsid w:val="00754C9A"/>
    <w:rsid w:val="0075599A"/>
    <w:rsid w:val="00761D52"/>
    <w:rsid w:val="00762854"/>
    <w:rsid w:val="00765E12"/>
    <w:rsid w:val="0077749E"/>
    <w:rsid w:val="00790ADA"/>
    <w:rsid w:val="007D2288"/>
    <w:rsid w:val="007E088F"/>
    <w:rsid w:val="007E20ED"/>
    <w:rsid w:val="007E2B13"/>
    <w:rsid w:val="007F6651"/>
    <w:rsid w:val="007F7B32"/>
    <w:rsid w:val="00804BC2"/>
    <w:rsid w:val="008052A0"/>
    <w:rsid w:val="0081431A"/>
    <w:rsid w:val="0083216F"/>
    <w:rsid w:val="00834FC7"/>
    <w:rsid w:val="00835588"/>
    <w:rsid w:val="00860000"/>
    <w:rsid w:val="00863BD3"/>
    <w:rsid w:val="008641ED"/>
    <w:rsid w:val="00866D66"/>
    <w:rsid w:val="008671C6"/>
    <w:rsid w:val="00875803"/>
    <w:rsid w:val="008B459E"/>
    <w:rsid w:val="008E13AE"/>
    <w:rsid w:val="008E1506"/>
    <w:rsid w:val="008E4181"/>
    <w:rsid w:val="008E710C"/>
    <w:rsid w:val="008F69D6"/>
    <w:rsid w:val="00902823"/>
    <w:rsid w:val="00915CA6"/>
    <w:rsid w:val="00926E17"/>
    <w:rsid w:val="00927834"/>
    <w:rsid w:val="009500A6"/>
    <w:rsid w:val="00957C18"/>
    <w:rsid w:val="009659BA"/>
    <w:rsid w:val="00983040"/>
    <w:rsid w:val="009A13F7"/>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0E21"/>
    <w:rsid w:val="00A51431"/>
    <w:rsid w:val="00A539AD"/>
    <w:rsid w:val="00A53F82"/>
    <w:rsid w:val="00A94063"/>
    <w:rsid w:val="00AA6219"/>
    <w:rsid w:val="00AA74E0"/>
    <w:rsid w:val="00AB703F"/>
    <w:rsid w:val="00AC44B9"/>
    <w:rsid w:val="00AC6BB8"/>
    <w:rsid w:val="00AD3E7C"/>
    <w:rsid w:val="00AE008F"/>
    <w:rsid w:val="00AF1348"/>
    <w:rsid w:val="00B01FCD"/>
    <w:rsid w:val="00B1626F"/>
    <w:rsid w:val="00B1776C"/>
    <w:rsid w:val="00B52583"/>
    <w:rsid w:val="00B52896"/>
    <w:rsid w:val="00B8625D"/>
    <w:rsid w:val="00B86BC0"/>
    <w:rsid w:val="00B95236"/>
    <w:rsid w:val="00B96BD9"/>
    <w:rsid w:val="00BA1B01"/>
    <w:rsid w:val="00BA2641"/>
    <w:rsid w:val="00BA6368"/>
    <w:rsid w:val="00BB37AA"/>
    <w:rsid w:val="00BC356F"/>
    <w:rsid w:val="00BC53A0"/>
    <w:rsid w:val="00BD3AE2"/>
    <w:rsid w:val="00BE62AD"/>
    <w:rsid w:val="00BF121F"/>
    <w:rsid w:val="00BF1F80"/>
    <w:rsid w:val="00C166EF"/>
    <w:rsid w:val="00C17EB0"/>
    <w:rsid w:val="00C20C80"/>
    <w:rsid w:val="00C27F5F"/>
    <w:rsid w:val="00C30A0F"/>
    <w:rsid w:val="00C37E61"/>
    <w:rsid w:val="00C44335"/>
    <w:rsid w:val="00C70F1B"/>
    <w:rsid w:val="00C71A47"/>
    <w:rsid w:val="00C7464C"/>
    <w:rsid w:val="00C757CD"/>
    <w:rsid w:val="00C85588"/>
    <w:rsid w:val="00C92120"/>
    <w:rsid w:val="00CB10D5"/>
    <w:rsid w:val="00CD1B53"/>
    <w:rsid w:val="00CD5C45"/>
    <w:rsid w:val="00CD6755"/>
    <w:rsid w:val="00CD6856"/>
    <w:rsid w:val="00CE0089"/>
    <w:rsid w:val="00CE2575"/>
    <w:rsid w:val="00CE793C"/>
    <w:rsid w:val="00CF193C"/>
    <w:rsid w:val="00D173F1"/>
    <w:rsid w:val="00D33018"/>
    <w:rsid w:val="00D35FA2"/>
    <w:rsid w:val="00D63FE0"/>
    <w:rsid w:val="00D73FAB"/>
    <w:rsid w:val="00D74CB0"/>
    <w:rsid w:val="00D8295D"/>
    <w:rsid w:val="00D90B63"/>
    <w:rsid w:val="00DC2A65"/>
    <w:rsid w:val="00DD3C3F"/>
    <w:rsid w:val="00DE15F0"/>
    <w:rsid w:val="00DE5663"/>
    <w:rsid w:val="00DE78AA"/>
    <w:rsid w:val="00DF225E"/>
    <w:rsid w:val="00E053D0"/>
    <w:rsid w:val="00E15994"/>
    <w:rsid w:val="00E20623"/>
    <w:rsid w:val="00E3114E"/>
    <w:rsid w:val="00E31A70"/>
    <w:rsid w:val="00E35B02"/>
    <w:rsid w:val="00E66496"/>
    <w:rsid w:val="00E66B35"/>
    <w:rsid w:val="00E66E10"/>
    <w:rsid w:val="00E769F6"/>
    <w:rsid w:val="00E8407C"/>
    <w:rsid w:val="00E84F3C"/>
    <w:rsid w:val="00E900D0"/>
    <w:rsid w:val="00EA012C"/>
    <w:rsid w:val="00EC6A55"/>
    <w:rsid w:val="00ED0288"/>
    <w:rsid w:val="00EE52CB"/>
    <w:rsid w:val="00EF581D"/>
    <w:rsid w:val="00EF7FD8"/>
    <w:rsid w:val="00F06F59"/>
    <w:rsid w:val="00F13FC8"/>
    <w:rsid w:val="00F17988"/>
    <w:rsid w:val="00F33A41"/>
    <w:rsid w:val="00F33DA4"/>
    <w:rsid w:val="00F355D7"/>
    <w:rsid w:val="00F469F0"/>
    <w:rsid w:val="00F53273"/>
    <w:rsid w:val="00F755E4"/>
    <w:rsid w:val="00F77D02"/>
    <w:rsid w:val="00FB3A86"/>
    <w:rsid w:val="00FC5E79"/>
    <w:rsid w:val="00FD36C8"/>
    <w:rsid w:val="00FF5E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8C7E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8E4181"/>
    <w:pPr>
      <w:spacing w:after="200"/>
    </w:pPr>
    <w:rPr>
      <w:i/>
      <w:iCs/>
      <w:color w:val="1F497D" w:themeColor="text2"/>
      <w:sz w:val="18"/>
      <w:szCs w:val="18"/>
    </w:rPr>
  </w:style>
  <w:style w:type="character" w:customStyle="1" w:styleId="FooterChar">
    <w:name w:val="Footer Char"/>
    <w:basedOn w:val="DefaultParagraphFont"/>
    <w:link w:val="Footer"/>
    <w:uiPriority w:val="99"/>
    <w:rsid w:val="008E4181"/>
    <w:rPr>
      <w:rFonts w:ascii="Helvetica" w:hAnsi="Helvetica"/>
    </w:rPr>
  </w:style>
  <w:style w:type="paragraph" w:styleId="Bibliography">
    <w:name w:val="Bibliography"/>
    <w:basedOn w:val="Normal"/>
    <w:next w:val="Normal"/>
    <w:uiPriority w:val="37"/>
    <w:unhideWhenUsed/>
    <w:rsid w:val="00BD3AE2"/>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47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39822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471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27613-6891-498A-AEC1-3E7B189F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338</TotalTime>
  <Pages>7</Pages>
  <Words>9138</Words>
  <Characters>52091</Characters>
  <Application>Microsoft Office Word</Application>
  <DocSecurity>0</DocSecurity>
  <Lines>434</Lines>
  <Paragraphs>122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61107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21</cp:revision>
  <cp:lastPrinted>1999-07-06T11:00:00Z</cp:lastPrinted>
  <dcterms:created xsi:type="dcterms:W3CDTF">2025-06-10T18:06:00Z</dcterms:created>
  <dcterms:modified xsi:type="dcterms:W3CDTF">2025-06-11T07:37:00Z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id="0dhverwC"/&gt;&lt;style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