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202B4">
      <w:pPr>
        <w:spacing w:line="480" w:lineRule="auto"/>
        <w:jc w:val="both"/>
        <w:rPr>
          <w:rFonts w:ascii="Times New Roman" w:hAnsi="Times New Roman"/>
          <w:b/>
          <w:bCs/>
          <w:sz w:val="24"/>
          <w:szCs w:val="24"/>
          <w:u w:val="single"/>
          <w:lang w:val="en-US"/>
        </w:rPr>
      </w:pPr>
      <w:r>
        <w:rPr>
          <w:rFonts w:ascii="Times New Roman" w:hAnsi="Times New Roman"/>
          <w:b/>
          <w:bCs/>
          <w:sz w:val="24"/>
          <w:szCs w:val="24"/>
          <w:u w:val="single"/>
          <w:lang w:val="en-US"/>
        </w:rPr>
        <w:t>Original Research Article</w:t>
      </w:r>
    </w:p>
    <w:p w14:paraId="35F3E35A">
      <w:pPr>
        <w:spacing w:line="480" w:lineRule="auto"/>
        <w:jc w:val="both"/>
        <w:rPr>
          <w:rFonts w:ascii="Times New Roman" w:hAnsi="Times New Roman"/>
          <w:b/>
          <w:bCs/>
          <w:sz w:val="24"/>
          <w:szCs w:val="24"/>
        </w:rPr>
      </w:pPr>
      <w:r>
        <w:rPr>
          <w:rFonts w:ascii="Times New Roman" w:hAnsi="Times New Roman"/>
          <w:b/>
          <w:bCs/>
          <w:sz w:val="24"/>
          <w:szCs w:val="24"/>
          <w:lang w:val="en-US"/>
        </w:rPr>
        <w:t>Compliance</w:t>
      </w:r>
      <w:r>
        <w:rPr>
          <w:rFonts w:ascii="Times New Roman" w:hAnsi="Times New Roman"/>
          <w:b/>
          <w:bCs/>
          <w:sz w:val="24"/>
          <w:szCs w:val="24"/>
        </w:rPr>
        <w:t xml:space="preserve"> </w:t>
      </w:r>
      <w:r>
        <w:rPr>
          <w:rFonts w:ascii="Times New Roman" w:hAnsi="Times New Roman"/>
          <w:b/>
          <w:bCs/>
          <w:sz w:val="24"/>
          <w:szCs w:val="24"/>
          <w:lang w:val="en-US"/>
        </w:rPr>
        <w:t>with</w:t>
      </w:r>
      <w:r>
        <w:rPr>
          <w:rFonts w:ascii="Times New Roman" w:hAnsi="Times New Roman"/>
          <w:b/>
          <w:bCs/>
          <w:sz w:val="24"/>
          <w:szCs w:val="24"/>
        </w:rPr>
        <w:t xml:space="preserve"> </w:t>
      </w:r>
      <w:r>
        <w:rPr>
          <w:rFonts w:ascii="Times New Roman" w:hAnsi="Times New Roman"/>
          <w:b/>
          <w:bCs/>
          <w:sz w:val="24"/>
          <w:szCs w:val="24"/>
          <w:lang w:val="en-US"/>
        </w:rPr>
        <w:t>universal</w:t>
      </w:r>
      <w:r>
        <w:rPr>
          <w:rFonts w:ascii="Times New Roman" w:hAnsi="Times New Roman"/>
          <w:b/>
          <w:bCs/>
          <w:sz w:val="24"/>
          <w:szCs w:val="24"/>
        </w:rPr>
        <w:t xml:space="preserve"> </w:t>
      </w:r>
      <w:r>
        <w:rPr>
          <w:rFonts w:ascii="Times New Roman" w:hAnsi="Times New Roman"/>
          <w:b/>
          <w:bCs/>
          <w:sz w:val="24"/>
          <w:szCs w:val="24"/>
          <w:lang w:val="en-US"/>
        </w:rPr>
        <w:t>standard</w:t>
      </w:r>
      <w:r>
        <w:rPr>
          <w:rFonts w:ascii="Times New Roman" w:hAnsi="Times New Roman"/>
          <w:b/>
          <w:bCs/>
          <w:sz w:val="24"/>
          <w:szCs w:val="24"/>
        </w:rPr>
        <w:t xml:space="preserve"> </w:t>
      </w:r>
      <w:r>
        <w:rPr>
          <w:rFonts w:ascii="Times New Roman" w:hAnsi="Times New Roman"/>
          <w:b/>
          <w:bCs/>
          <w:sz w:val="24"/>
          <w:szCs w:val="24"/>
          <w:lang w:val="en-US"/>
        </w:rPr>
        <w:t>precautions and perceived influencing factors</w:t>
      </w:r>
      <w:r>
        <w:rPr>
          <w:rFonts w:ascii="Times New Roman" w:hAnsi="Times New Roman"/>
          <w:b/>
          <w:bCs/>
          <w:sz w:val="24"/>
          <w:szCs w:val="24"/>
        </w:rPr>
        <w:t xml:space="preserve"> </w:t>
      </w:r>
      <w:r>
        <w:rPr>
          <w:rFonts w:ascii="Times New Roman" w:hAnsi="Times New Roman"/>
          <w:b/>
          <w:bCs/>
          <w:sz w:val="24"/>
          <w:szCs w:val="24"/>
          <w:lang w:val="en-US"/>
        </w:rPr>
        <w:t>among</w:t>
      </w:r>
      <w:r>
        <w:rPr>
          <w:rFonts w:ascii="Times New Roman" w:hAnsi="Times New Roman"/>
          <w:b/>
          <w:bCs/>
          <w:sz w:val="24"/>
          <w:szCs w:val="24"/>
        </w:rPr>
        <w:t xml:space="preserve"> </w:t>
      </w:r>
      <w:r>
        <w:rPr>
          <w:rFonts w:ascii="Times New Roman" w:hAnsi="Times New Roman"/>
          <w:b/>
          <w:bCs/>
          <w:sz w:val="24"/>
          <w:szCs w:val="24"/>
          <w:lang w:val="en-US"/>
        </w:rPr>
        <w:t>nurses</w:t>
      </w:r>
      <w:r>
        <w:rPr>
          <w:rFonts w:ascii="Times New Roman" w:hAnsi="Times New Roman"/>
          <w:b/>
          <w:bCs/>
          <w:sz w:val="24"/>
          <w:szCs w:val="24"/>
        </w:rPr>
        <w:t xml:space="preserve"> </w:t>
      </w:r>
      <w:r>
        <w:rPr>
          <w:rFonts w:ascii="Times New Roman" w:hAnsi="Times New Roman"/>
          <w:b/>
          <w:bCs/>
          <w:sz w:val="24"/>
          <w:szCs w:val="24"/>
          <w:lang w:val="en-US"/>
        </w:rPr>
        <w:t>in a tertiary</w:t>
      </w:r>
      <w:r>
        <w:rPr>
          <w:rFonts w:ascii="Times New Roman" w:hAnsi="Times New Roman"/>
          <w:b/>
          <w:bCs/>
          <w:sz w:val="24"/>
          <w:szCs w:val="24"/>
        </w:rPr>
        <w:t xml:space="preserve"> </w:t>
      </w:r>
      <w:r>
        <w:rPr>
          <w:rFonts w:ascii="Times New Roman" w:hAnsi="Times New Roman"/>
          <w:b/>
          <w:bCs/>
          <w:sz w:val="24"/>
          <w:szCs w:val="24"/>
          <w:lang w:val="en-US"/>
        </w:rPr>
        <w:t>institution</w:t>
      </w:r>
      <w:r>
        <w:rPr>
          <w:rFonts w:ascii="Times New Roman" w:hAnsi="Times New Roman"/>
          <w:b/>
          <w:bCs/>
          <w:sz w:val="24"/>
          <w:szCs w:val="24"/>
        </w:rPr>
        <w:t xml:space="preserve"> </w:t>
      </w:r>
      <w:r>
        <w:rPr>
          <w:rFonts w:ascii="Times New Roman" w:hAnsi="Times New Roman"/>
          <w:b/>
          <w:bCs/>
          <w:sz w:val="24"/>
          <w:szCs w:val="24"/>
          <w:lang w:val="en-US"/>
        </w:rPr>
        <w:t>in Edo State</w:t>
      </w:r>
      <w:r>
        <w:rPr>
          <w:rFonts w:ascii="Times New Roman" w:hAnsi="Times New Roman"/>
          <w:b/>
          <w:bCs/>
          <w:sz w:val="24"/>
          <w:szCs w:val="24"/>
        </w:rPr>
        <w:t>.</w:t>
      </w:r>
    </w:p>
    <w:p w14:paraId="328B057A">
      <w:pPr>
        <w:spacing w:line="480" w:lineRule="auto"/>
        <w:jc w:val="both"/>
        <w:rPr>
          <w:rFonts w:ascii="Times New Roman" w:hAnsi="Times New Roman"/>
          <w:b/>
          <w:bCs/>
          <w:sz w:val="24"/>
          <w:szCs w:val="24"/>
        </w:rPr>
      </w:pPr>
    </w:p>
    <w:p w14:paraId="1B946374">
      <w:pPr>
        <w:spacing w:line="480" w:lineRule="auto"/>
        <w:jc w:val="both"/>
        <w:rPr>
          <w:rFonts w:ascii="Times New Roman" w:hAnsi="Times New Roman"/>
          <w:b/>
          <w:bCs/>
          <w:sz w:val="24"/>
          <w:szCs w:val="24"/>
          <w:lang w:val="en-US"/>
        </w:rPr>
      </w:pPr>
      <w:r>
        <w:rPr>
          <w:rFonts w:ascii="Times New Roman" w:hAnsi="Times New Roman"/>
          <w:b/>
          <w:bCs/>
          <w:sz w:val="24"/>
          <w:szCs w:val="24"/>
        </w:rPr>
        <w:t>Abstract</w:t>
      </w:r>
    </w:p>
    <w:p w14:paraId="26B82CFD">
      <w:pPr>
        <w:spacing w:before="100" w:beforeAutospacing="1" w:after="100" w:afterAutospacing="1" w:line="480" w:lineRule="auto"/>
        <w:jc w:val="both"/>
        <w:rPr>
          <w:rFonts w:ascii="Times New Roman" w:hAnsi="Times New Roman"/>
          <w:i/>
          <w:sz w:val="24"/>
          <w:szCs w:val="24"/>
        </w:rPr>
      </w:pPr>
      <w:r>
        <w:rPr>
          <w:rFonts w:ascii="Times New Roman" w:hAnsi="Times New Roman"/>
          <w:b/>
          <w:bCs/>
          <w:i/>
          <w:sz w:val="24"/>
          <w:szCs w:val="24"/>
          <w:lang w:val="en-US"/>
        </w:rPr>
        <w:t>Background:</w:t>
      </w:r>
      <w:r>
        <w:rPr>
          <w:rFonts w:ascii="Times New Roman" w:hAnsi="Times New Roman"/>
          <w:i/>
          <w:sz w:val="24"/>
          <w:szCs w:val="24"/>
          <w:lang w:val="en-US"/>
        </w:rPr>
        <w:t xml:space="preserve"> </w:t>
      </w:r>
      <w:r>
        <w:rPr>
          <w:rFonts w:ascii="Times New Roman" w:hAnsi="Times New Roman"/>
          <w:i/>
          <w:sz w:val="24"/>
          <w:szCs w:val="24"/>
        </w:rPr>
        <w:t xml:space="preserve">Standard precautions are meant to reduce the risk of transmission of pathogens from both recognized and unrecognized sources. </w:t>
      </w:r>
    </w:p>
    <w:p w14:paraId="02A2A335">
      <w:pPr>
        <w:spacing w:before="100" w:beforeAutospacing="1" w:after="100" w:afterAutospacing="1" w:line="480" w:lineRule="auto"/>
        <w:jc w:val="both"/>
        <w:rPr>
          <w:rFonts w:hint="default" w:ascii="Times New Roman" w:hAnsi="Times New Roman"/>
          <w:i/>
          <w:sz w:val="24"/>
          <w:szCs w:val="24"/>
          <w:lang w:val="en-US"/>
        </w:rPr>
      </w:pPr>
      <w:r>
        <w:rPr>
          <w:rFonts w:ascii="Times New Roman" w:hAnsi="Times New Roman"/>
          <w:b/>
          <w:bCs/>
          <w:i/>
          <w:sz w:val="24"/>
          <w:szCs w:val="24"/>
          <w:lang w:val="en-US"/>
        </w:rPr>
        <w:t>Objective</w:t>
      </w:r>
      <w:r>
        <w:rPr>
          <w:rFonts w:ascii="Times New Roman" w:hAnsi="Times New Roman"/>
          <w:i/>
          <w:sz w:val="24"/>
          <w:szCs w:val="24"/>
          <w:lang w:val="en-US"/>
        </w:rPr>
        <w:t xml:space="preserve">: </w:t>
      </w:r>
      <w:r>
        <w:rPr>
          <w:rFonts w:ascii="Times New Roman" w:hAnsi="Times New Roman"/>
          <w:i/>
          <w:sz w:val="24"/>
          <w:szCs w:val="24"/>
        </w:rPr>
        <w:t>This study assessed compliance with universal standard precautions among nurses at the University of Benin Teaching Hospital</w:t>
      </w:r>
      <w:r>
        <w:rPr>
          <w:rFonts w:hint="default" w:ascii="Times New Roman" w:hAnsi="Times New Roman"/>
          <w:i/>
          <w:sz w:val="24"/>
          <w:szCs w:val="24"/>
          <w:lang w:val="en-US"/>
        </w:rPr>
        <w:t>(UBTH)</w:t>
      </w:r>
      <w:r>
        <w:rPr>
          <w:rFonts w:ascii="Times New Roman" w:hAnsi="Times New Roman"/>
          <w:i/>
          <w:sz w:val="24"/>
          <w:szCs w:val="24"/>
        </w:rPr>
        <w:t>, Benin city</w:t>
      </w:r>
      <w:r>
        <w:rPr>
          <w:rFonts w:hint="default" w:ascii="Times New Roman" w:hAnsi="Times New Roman"/>
          <w:i/>
          <w:sz w:val="24"/>
          <w:szCs w:val="24"/>
          <w:lang w:val="en-US"/>
        </w:rPr>
        <w:t xml:space="preserve"> and identified influencing factors.</w:t>
      </w:r>
    </w:p>
    <w:p w14:paraId="556891FB">
      <w:pPr>
        <w:spacing w:before="100" w:beforeAutospacing="1" w:after="100" w:afterAutospacing="1" w:line="480" w:lineRule="auto"/>
        <w:jc w:val="both"/>
        <w:rPr>
          <w:rFonts w:hint="default" w:ascii="Times New Roman" w:hAnsi="Times New Roman"/>
          <w:i/>
          <w:sz w:val="24"/>
          <w:szCs w:val="24"/>
          <w:lang w:val="en-US"/>
        </w:rPr>
      </w:pPr>
      <w:r>
        <w:rPr>
          <w:rFonts w:ascii="Times New Roman" w:hAnsi="Times New Roman"/>
          <w:b/>
          <w:bCs/>
          <w:i/>
          <w:sz w:val="24"/>
          <w:szCs w:val="24"/>
          <w:lang w:val="en-US"/>
        </w:rPr>
        <w:t>Methods:</w:t>
      </w:r>
      <w:r>
        <w:rPr>
          <w:rFonts w:ascii="Times New Roman" w:hAnsi="Times New Roman"/>
          <w:i/>
          <w:sz w:val="24"/>
          <w:szCs w:val="24"/>
          <w:lang w:val="en-US"/>
        </w:rPr>
        <w:t xml:space="preserve"> </w:t>
      </w:r>
      <w:r>
        <w:rPr>
          <w:rFonts w:ascii="Times New Roman" w:hAnsi="Times New Roman"/>
          <w:i/>
          <w:sz w:val="24"/>
          <w:szCs w:val="24"/>
        </w:rPr>
        <w:t xml:space="preserve">A descriptive survey </w:t>
      </w:r>
      <w:r>
        <w:rPr>
          <w:rFonts w:hint="default" w:ascii="Times New Roman" w:hAnsi="Times New Roman"/>
          <w:i/>
          <w:sz w:val="24"/>
          <w:szCs w:val="24"/>
          <w:lang w:val="en-US"/>
        </w:rPr>
        <w:t>was conducted among 257 nurses selected using random sampling across six wards at UBTH (response rate:90%). Data was collected using a validated self-structured questionnaire (reliability: 0.81). Descriptive statistics were used to analyze the data.</w:t>
      </w:r>
    </w:p>
    <w:p w14:paraId="524810F6">
      <w:pPr>
        <w:spacing w:before="100" w:beforeAutospacing="1" w:after="100" w:afterAutospacing="1" w:line="480" w:lineRule="auto"/>
        <w:jc w:val="both"/>
        <w:rPr>
          <w:rFonts w:hint="default" w:ascii="Times New Roman" w:hAnsi="Times New Roman"/>
          <w:i/>
          <w:sz w:val="24"/>
          <w:szCs w:val="24"/>
          <w:lang w:val="en-US"/>
        </w:rPr>
      </w:pPr>
      <w:r>
        <w:rPr>
          <w:rFonts w:ascii="Times New Roman" w:hAnsi="Times New Roman"/>
          <w:b/>
          <w:bCs/>
          <w:i/>
          <w:sz w:val="24"/>
          <w:szCs w:val="24"/>
          <w:lang w:val="en-US"/>
        </w:rPr>
        <w:t>Result:</w:t>
      </w:r>
      <w:r>
        <w:rPr>
          <w:rFonts w:ascii="Times New Roman" w:hAnsi="Times New Roman"/>
          <w:i/>
          <w:sz w:val="24"/>
          <w:szCs w:val="24"/>
          <w:lang w:val="en-US"/>
        </w:rPr>
        <w:t xml:space="preserve"> </w:t>
      </w:r>
      <w:r>
        <w:rPr>
          <w:rFonts w:hint="default" w:ascii="Times New Roman" w:hAnsi="Times New Roman"/>
          <w:i/>
          <w:sz w:val="24"/>
          <w:szCs w:val="24"/>
          <w:lang w:val="en-US"/>
        </w:rPr>
        <w:t>Nurses demonstrated a moderate level of knowledge (mean correct response:74.3%) and generally good compliance with universal standard precautions. However, non-compliance was noted in practices such as shaking linens</w:t>
      </w:r>
      <w:r>
        <w:rPr>
          <w:rFonts w:ascii="Times New Roman" w:hAnsi="Times New Roman"/>
          <w:i/>
          <w:sz w:val="24"/>
          <w:szCs w:val="24"/>
        </w:rPr>
        <w:t xml:space="preserve">. </w:t>
      </w:r>
      <w:r>
        <w:rPr>
          <w:rFonts w:hint="default" w:ascii="Times New Roman" w:hAnsi="Times New Roman"/>
          <w:i/>
          <w:sz w:val="24"/>
          <w:szCs w:val="24"/>
          <w:lang w:val="en-US"/>
        </w:rPr>
        <w:t>Key influencing f</w:t>
      </w:r>
      <w:r>
        <w:rPr>
          <w:rFonts w:ascii="Times New Roman" w:hAnsi="Times New Roman"/>
          <w:i/>
          <w:sz w:val="24"/>
          <w:szCs w:val="24"/>
        </w:rPr>
        <w:t xml:space="preserve">actors </w:t>
      </w:r>
      <w:r>
        <w:rPr>
          <w:rFonts w:hint="default" w:ascii="Times New Roman" w:hAnsi="Times New Roman"/>
          <w:i/>
          <w:sz w:val="24"/>
          <w:szCs w:val="24"/>
          <w:lang w:val="en-US"/>
        </w:rPr>
        <w:t>included</w:t>
      </w:r>
      <w:r>
        <w:rPr>
          <w:rFonts w:ascii="Times New Roman" w:hAnsi="Times New Roman"/>
          <w:i/>
          <w:sz w:val="24"/>
          <w:szCs w:val="24"/>
        </w:rPr>
        <w:t xml:space="preserve"> unavailability of personal preventive equipment (PPE), hospital policies, years of practice</w:t>
      </w:r>
      <w:r>
        <w:rPr>
          <w:rFonts w:ascii="Times New Roman" w:hAnsi="Times New Roman"/>
          <w:i/>
          <w:sz w:val="24"/>
          <w:szCs w:val="24"/>
          <w:lang w:val="en-US"/>
        </w:rPr>
        <w:t xml:space="preserve"> and</w:t>
      </w:r>
      <w:r>
        <w:rPr>
          <w:rFonts w:ascii="Times New Roman" w:hAnsi="Times New Roman"/>
          <w:i/>
          <w:sz w:val="24"/>
          <w:szCs w:val="24"/>
        </w:rPr>
        <w:t xml:space="preserve"> </w:t>
      </w:r>
      <w:r>
        <w:rPr>
          <w:rFonts w:hint="default" w:ascii="Times New Roman" w:hAnsi="Times New Roman"/>
          <w:i/>
          <w:sz w:val="24"/>
          <w:szCs w:val="24"/>
          <w:lang w:val="en-US"/>
        </w:rPr>
        <w:t>nurses’ attitudes.</w:t>
      </w:r>
    </w:p>
    <w:p w14:paraId="2BD5B41A">
      <w:pPr>
        <w:spacing w:before="100" w:beforeAutospacing="1" w:after="100" w:afterAutospacing="1" w:line="480" w:lineRule="auto"/>
        <w:jc w:val="both"/>
        <w:rPr>
          <w:rFonts w:ascii="Times New Roman" w:hAnsi="Times New Roman"/>
          <w:i/>
          <w:sz w:val="24"/>
          <w:szCs w:val="24"/>
        </w:rPr>
      </w:pPr>
      <w:r>
        <w:rPr>
          <w:rFonts w:ascii="Times New Roman" w:hAnsi="Times New Roman"/>
          <w:b/>
          <w:bCs/>
          <w:i/>
          <w:sz w:val="24"/>
          <w:szCs w:val="24"/>
          <w:lang w:val="en-US"/>
        </w:rPr>
        <w:t>Conclusion:</w:t>
      </w:r>
      <w:r>
        <w:rPr>
          <w:rFonts w:ascii="Times New Roman" w:hAnsi="Times New Roman"/>
          <w:i/>
          <w:sz w:val="24"/>
          <w:szCs w:val="24"/>
          <w:lang w:val="en-US"/>
        </w:rPr>
        <w:t xml:space="preserve"> </w:t>
      </w:r>
      <w:r>
        <w:rPr>
          <w:rFonts w:ascii="Times New Roman" w:hAnsi="Times New Roman"/>
          <w:i/>
          <w:sz w:val="24"/>
          <w:szCs w:val="24"/>
        </w:rPr>
        <w:t xml:space="preserve">This study revealed that nurses at UBTH have moderate knowledge and good </w:t>
      </w:r>
      <w:r>
        <w:rPr>
          <w:rFonts w:hint="default" w:ascii="Times New Roman" w:hAnsi="Times New Roman"/>
          <w:i/>
          <w:sz w:val="24"/>
          <w:szCs w:val="24"/>
          <w:lang w:val="en-US"/>
        </w:rPr>
        <w:t xml:space="preserve">overall </w:t>
      </w:r>
      <w:r>
        <w:rPr>
          <w:rFonts w:ascii="Times New Roman" w:hAnsi="Times New Roman"/>
          <w:i/>
          <w:sz w:val="24"/>
          <w:szCs w:val="24"/>
        </w:rPr>
        <w:t>compliance with universal standard precautions</w:t>
      </w:r>
      <w:r>
        <w:rPr>
          <w:rFonts w:hint="default" w:ascii="Times New Roman" w:hAnsi="Times New Roman"/>
          <w:i/>
          <w:sz w:val="24"/>
          <w:szCs w:val="24"/>
          <w:lang w:val="en-US"/>
        </w:rPr>
        <w:t xml:space="preserve"> among nurses at UBTH, with several modifiable institutional and attitudinal barriers affecting compliance.</w:t>
      </w:r>
      <w:r>
        <w:rPr>
          <w:rFonts w:ascii="Times New Roman" w:hAnsi="Times New Roman"/>
          <w:i/>
          <w:sz w:val="24"/>
          <w:szCs w:val="24"/>
        </w:rPr>
        <w:t xml:space="preserve"> </w:t>
      </w:r>
    </w:p>
    <w:p w14:paraId="406B0B28">
      <w:pPr>
        <w:spacing w:before="100" w:beforeAutospacing="1" w:after="100" w:afterAutospacing="1" w:line="480" w:lineRule="auto"/>
        <w:jc w:val="both"/>
        <w:rPr>
          <w:rFonts w:hint="default" w:ascii="Times New Roman" w:hAnsi="Times New Roman"/>
          <w:sz w:val="24"/>
          <w:szCs w:val="24"/>
          <w:lang w:val="en-US"/>
        </w:rPr>
      </w:pPr>
      <w:r>
        <w:rPr>
          <w:rFonts w:ascii="Times New Roman" w:hAnsi="Times New Roman"/>
          <w:b/>
          <w:sz w:val="24"/>
          <w:szCs w:val="24"/>
        </w:rPr>
        <w:t xml:space="preserve">KEY WORDS: </w:t>
      </w:r>
      <w:r>
        <w:rPr>
          <w:rFonts w:ascii="Times New Roman" w:hAnsi="Times New Roman"/>
          <w:bCs/>
          <w:sz w:val="24"/>
          <w:szCs w:val="24"/>
        </w:rPr>
        <w:t>compliance, universal standard precaution, knowledge, nurses</w:t>
      </w:r>
      <w:r>
        <w:rPr>
          <w:rFonts w:hint="default" w:ascii="Times New Roman" w:hAnsi="Times New Roman"/>
          <w:bCs/>
          <w:sz w:val="24"/>
          <w:szCs w:val="24"/>
          <w:lang w:val="en-US"/>
        </w:rPr>
        <w:t>, infection control.</w:t>
      </w:r>
    </w:p>
    <w:p w14:paraId="6597E2D5">
      <w:pPr>
        <w:spacing w:line="480" w:lineRule="auto"/>
        <w:jc w:val="both"/>
        <w:rPr>
          <w:rFonts w:ascii="Times New Roman" w:hAnsi="Times New Roman"/>
          <w:b/>
          <w:bCs/>
          <w:sz w:val="24"/>
          <w:szCs w:val="24"/>
        </w:rPr>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pPr>
    </w:p>
    <w:p w14:paraId="0EE5F566">
      <w:pPr>
        <w:spacing w:line="480" w:lineRule="auto"/>
        <w:jc w:val="both"/>
        <w:rPr>
          <w:rFonts w:ascii="Times New Roman" w:hAnsi="Times New Roman"/>
          <w:b/>
          <w:bCs/>
          <w:sz w:val="24"/>
          <w:szCs w:val="24"/>
        </w:rPr>
      </w:pPr>
      <w:r>
        <w:rPr>
          <w:rFonts w:ascii="Times New Roman" w:hAnsi="Times New Roman"/>
          <w:b/>
          <w:bCs/>
          <w:sz w:val="24"/>
          <w:szCs w:val="24"/>
        </w:rPr>
        <w:t>Background</w:t>
      </w:r>
    </w:p>
    <w:p w14:paraId="270412BD">
      <w:pPr>
        <w:spacing w:line="480" w:lineRule="auto"/>
        <w:jc w:val="both"/>
        <w:rPr>
          <w:rFonts w:ascii="Times New Roman" w:hAnsi="Times New Roman"/>
          <w:sz w:val="24"/>
          <w:szCs w:val="24"/>
          <w:lang w:val="en-US"/>
        </w:rPr>
      </w:pPr>
      <w:r>
        <w:rPr>
          <w:rFonts w:ascii="Times New Roman" w:hAnsi="Times New Roman"/>
          <w:sz w:val="24"/>
          <w:szCs w:val="24"/>
        </w:rPr>
        <w:t>Standard precautions aim to reduce the transmission risk of pathogens from both recognized and unrecognized sources, forming basic infection control measures in patient care. The Centers for Disease Control (CDC) recommends their consistent use for all patients, regardless of their known infection status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{"citationID":"gsTYk6gP","properties":{"formattedCitation":"\\super 1\\nosupersub{}","plainCitation":"1","noteIndex":0},"citationItems":[{"id":488,"uris":["http://zotero.org/users/local/j2qthHfY/items/HRT5MDNU"],"itemData":{"id":488,"type":"report","language":"English","publisher":"cdc","title":"Standard Precautions for All Patient Care","URL":"https://www.cdc.gov/infection-control/hcp/basics/standard-precautions.html","author":[{"literal":"Centers for Disease Control and Prevention (CDC)"}],"accessed":{"date-parts":[["2025",6,26]]},"issued":{"date-parts":[["2024"]]}}}],"schema":"https://github.com/citation-style-language/schema/raw/master/csl-citation.json"}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1</w:t>
      </w:r>
      <w:r>
        <w:rPr>
          <w:rFonts w:ascii="Times New Roman" w:hAnsi="Times New Roman"/>
          <w:sz w:val="24"/>
          <w:szCs w:val="24"/>
        </w:rPr>
        <w:fldChar w:fldCharType="end"/>
      </w:r>
      <w:r>
        <w:rPr>
          <w:rFonts w:ascii="Times New Roman" w:hAnsi="Times New Roman"/>
          <w:sz w:val="24"/>
          <w:szCs w:val="24"/>
        </w:rPr>
        <w:t>. Adherence to these precautions is crucial in reducing hospital-associated infections, as compliance minimizes exposure to blood and body fluid microorganisms</w:t>
      </w:r>
      <w:r>
        <w:rPr>
          <w:rFonts w:hint="default" w:ascii="Times New Roman" w:hAnsi="Times New Roman"/>
          <w:sz w:val="24"/>
          <w:szCs w:val="24"/>
          <w:lang w:val="en-US"/>
        </w:rPr>
        <w: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{"citationID":"XPutwZP5","properties":{"formattedCitation":"\\super 2\\nosupersub{}","plainCitation":"2","noteIndex":0},"citationItems":[{"id":396,"uris":["http://zotero.org/users/local/j2qthHfY/items/TP56VNAF"],"itemData":{"id":396,"type":"article-journal","container-title":"World Journal of Nursing Sciences","DOI":"10.5829/idosi.wjns.2014.3S.95159","issue":"3S","language":"English","page":"01-09","title":"Improving Nurses' Compliance with Standard Precautions of Infection Control in Pediatric Critical Care Units","author":[{"literal":"Randa M. Adly, Fatma M. Amin,Magda Ahamed Abd El Aziz"}],"issued":{"date-parts":[["2014"]]}}}],"schema":"https://github.com/citation-style-language/schema/raw/master/csl-citation.json"}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2</w:t>
      </w:r>
      <w:r>
        <w:rPr>
          <w:rFonts w:ascii="Times New Roman" w:hAnsi="Times New Roman"/>
          <w:sz w:val="24"/>
          <w:szCs w:val="24"/>
        </w:rPr>
        <w:fldChar w:fldCharType="end"/>
      </w:r>
      <w:r>
        <w:rPr>
          <w:rFonts w:ascii="Times New Roman" w:hAnsi="Times New Roman"/>
          <w:sz w:val="24"/>
          <w:szCs w:val="24"/>
        </w:rPr>
        <w:t xml:space="preserve"> The term “standard precautions” has evolved from “universal precautions,” expanding the scope to include all body fluids that might contain harmful microorganisms</w:t>
      </w:r>
      <w:r>
        <w:rPr>
          <w:rFonts w:hint="default" w:ascii="Times New Roman" w:hAnsi="Times New Roman"/>
          <w:sz w:val="24"/>
          <w:szCs w:val="24"/>
          <w:lang w:val="en-US"/>
        </w:rPr>
        <w: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{"citationID":"MmqJcNGv","properties":{"formattedCitation":"\\super 3\\uc0\\u8211{}7\\nosupersub{}","plainCitation":"3–7","noteIndex":0},"citationItems":[{"id":397,"uris":["http://zotero.org/users/local/j2qthHfY/items/94HWX28C"],"itemData":{"id":397,"type":"article-journal","container-title":"Journal of Global Infectious Diseases","DOI":"10.4103/0974-777X.122010","ISSN":"0974-777X","issue":"4","journalAbbreviation":"J Global Infect Dis","language":"en","page":"156","source":"DOI.org (Crossref)","title":"Infection control and practice of standard precautions among healthcare workers in northern Nigeria","URL":"https://journals.lww.com/10.4103/0974-777X.122010","volume":"5","author":[{"family":"Amoran","given":"Oe"},{"family":"Onwube","given":"Oo"}],"accessed":{"date-parts":[["2025",5,14]]},"issued":{"date-parts":[["2013"]]}}},{"id":398,"uris":["http://zotero.org/users/local/j2qthHfY/items/99JZKD9R"],"itemData":{"id":398,"type":"article-journal","container-title":"Nigerian Postgraduate Medical Journal","DOI":"10.4103/1117-1936.181602","ISSN":"1117-1936","issue":"3","journalAbbreviation":"Niger Postgrad Med J","language":"en","page":"204","source":"DOI.org (Crossref)","title":"Knowledge and practice of standard precautions among health care workers in the Federal Medical Centre, Asaba, Delta State, Nigeria","URL":"https://journals.lww.com/10.4103/1117-1936.181602","volume":"17","author":[{"family":"Isara","given":"Ar"},{"family":"Ofili","given":"An"}],"accessed":{"date-parts":[["2025",5,14]]},"issued":{"date-parts":[["2010"]]}}},{"id":399,"uris":["http://zotero.org/users/local/j2qthHfY/items/FD8SQ2ME"],"itemData":{"id":399,"type":"article-journal","abstract":"Background\n              . Careful adherence to standard precautions can protect both health care workers (HCWs) and patients from infections. The present study identified the perceptions and compliance with the use of standard precautions and assessed the determinants of noncompliance among the HCWs in an emergency and trauma triage centre.\n              Methods\n              . A cross-sectional study using a semistructured questionnaire was carried out to collect the relevant information from the study participants.\n              Results\n              . A total of 162 HCWs were recruited into the study, who reported varying degrees of compliance with standard precautions. While most of them declared the use of hand rub (95%) and gloves (77%), reported use of protective eye gear and outer protective clothing was very low (22 and 28%, resp.). Despite a perceived risk of exposure to blood-borne infections, 8% of the HCWs had not completed the hepatitis B vaccination schedule. About 17% reported at least one needle stick injury in the past year but only 5.6% received medical attention.\n              Conclusion\n              . Inadequate adherence to standard precautions among health care providers warrants new training and monitoring strategies. Establishment of an effective occupational health cell incorporating these elements including periodic surveillance could be the way forward.","container-title":"International Scholarly Research Notices","DOI":"10.1155/2014/685072","ISSN":"2356-7872","journalAbbreviation":"International Scholarly Research Notices","language":"en","license":"http://creativecommons.org/licenses/by/3.0/","page":"1-5","source":"DOI.org (Crossref)","title":"Health Care Workers and Standard Precautions: Perceptions and Determinants of Compliance in the Emergency and Trauma Triage of a Tertiary Care Hospital in South India","title-short":"Health Care Workers and Standard Precautions","URL":"https://www.hindawi.com/journals/isrn/2014/685072/","volume":"2014","author":[{"family":"Punia","given":"Sangini"},{"family":"Nair","given":"Suma"},{"family":"Shetty","given":"Ranjitha S."}],"accessed":{"date-parts":[["2025",5,14]]},"issued":{"date-parts":[["2014",10,29]]}}},{"id":401,"uris":["http://zotero.org/users/local/j2qthHfY/items/L55CQ8HS"],"itemData":{"id":401,"type":"article-journal","container-title":"International Journal of Science and Research","issue":"2","page":"311-321","title":"A Study to Assess Knowledge, Attitude and Practices of Five Moments of Hand Hygiene among Nursing Staff and Students at a Tertiary Care Hospitals at Karad","volume":"3","author":[{"literal":"Shinde M. B, Mohite V. R"}],"issued":{"date-parts":[["2014"]]}}},{"id":402,"uris":["http://zotero.org/users/local/j2qthHfY/items/SF6UHDYG"],"itemData":{"id":402,"type":"article-journal","abstract":"BACKGROUND: Universal precautions are not well understood or implemented by health care practitioners, though crucial in the prevention and transmission of blood-borne pathogens like HIV.\nOBJECTIVE: To assess knowledge, awareness and compliance of universal precautions among health care workers at the University Hospital of the West Indies, Jamaica.\nMETHODS: A cross-sectional survey was conducted in September and October 2007. A 28-item self-administered questionnaire was provided to 200 health care workers including medical doctors, medical technologists, nurses and porters to assess their knowledge, awareness and practice towards universal precautions.\nRESULTS: Almost two-thirds (64.0%) of the respondents were very knowledgeable of universal precautions with significantly more females (75.4%) than males (42.9%) (p&lt;0.0001). More nurses (90.0%), medical doctors (88.0%) and medical technologists (70%) were very knowledgeable of universal precautions (p&lt;0.0001). More respondents (92.9%) who were employed in the health sector for 16 years and over reported high levels of awareness of universal precautions than those who were employed for less than five years (p&lt;0.0001). 28.6% of males and only 6.2% of females reported that they do not use protective gear. More nurses reported frequent use of protective equipment followed by medical technologists and medical doctors (p&lt;0.0001).\nCONCLUSION: There was adequate knowledge and a fair level of awareness among medical doctors, medical technologists, and nurses towards universal precautions.","container-title":"The International Journal of Occupational and Environmental Medicine","ISSN":"2008-6520","issue":"4","journalAbbreviation":"Int J Occup Environ Med","language":"eng","note":"PMID: 23022806","page":"171-181","source":"PubMed","title":"Knowledge, awareness and compliance with universal precautions among health care workers at the University Hospital of the West Indies, Jamaica","volume":"1","author":[{"family":"Vaz","given":"K."},{"family":"McGrowder","given":"D."},{"family":"Alexander-Lindo","given":"R."},{"family":"Gordon","given":"L."},{"family":"Brown","given":"P."},{"family":"Irving","given":"R."}],"issued":{"date-parts":[["2010",10]]}}}],"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3–7</w:t>
      </w:r>
      <w:r>
        <w:rPr>
          <w:rFonts w:ascii="Times New Roman" w:hAnsi="Times New Roman"/>
          <w:sz w:val="24"/>
          <w:szCs w:val="24"/>
        </w:rPr>
        <w:fldChar w:fldCharType="end"/>
      </w:r>
    </w:p>
    <w:p w14:paraId="624F977A">
      <w:pPr>
        <w:spacing w:line="480" w:lineRule="auto"/>
        <w:jc w:val="both"/>
        <w:rPr>
          <w:rFonts w:ascii="Times New Roman" w:hAnsi="Times New Roman"/>
          <w:sz w:val="24"/>
          <w:szCs w:val="24"/>
        </w:rPr>
      </w:pPr>
      <w:r>
        <w:rPr>
          <w:rFonts w:ascii="Times New Roman" w:hAnsi="Times New Roman"/>
          <w:sz w:val="24"/>
          <w:szCs w:val="24"/>
        </w:rPr>
        <w:t xml:space="preserve">The CDC advises standard </w:t>
      </w:r>
      <w:r>
        <w:rPr>
          <w:rFonts w:hint="default" w:ascii="Times New Roman" w:hAnsi="Times New Roman"/>
          <w:sz w:val="24"/>
          <w:szCs w:val="24"/>
          <w:lang w:val="en-US"/>
        </w:rPr>
        <w:t>p</w:t>
      </w:r>
      <w:r>
        <w:rPr>
          <w:rFonts w:ascii="Times New Roman" w:hAnsi="Times New Roman"/>
          <w:sz w:val="24"/>
          <w:szCs w:val="24"/>
        </w:rPr>
        <w:t>recautions such as hand washing, the use of protective barriers (gloves, gowns, and face shields), the proper disposal of sharps, and health care workers' immunization to prevent infection transmission. These measures are vital for doctors, nurses, patients and healthcare support staff who interact with patients or body fluids. Additionally, injury prevention from sharp objects is emphasized</w:t>
      </w:r>
      <w:r>
        <w:rPr>
          <w:rFonts w:hint="default" w:ascii="Times New Roman" w:hAnsi="Times New Roman"/>
          <w:sz w:val="24"/>
          <w:szCs w:val="24"/>
          <w:lang w:val="en-US"/>
        </w:rPr>
        <w: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{"citationID":"UF7ljyys","properties":{"formattedCitation":"\\super 6\\uc0\\u8211{}9\\nosupersub{}","plainCitation":"6–9","noteIndex":0},"citationItems":[{"id":401,"uris":["http://zotero.org/users/local/j2qthHfY/items/L55CQ8HS"],"itemData":{"id":401,"type":"article-journal","container-title":"International Journal of Science and Research","issue":"2","page":"311-321","title":"A Study to Assess Knowledge, Attitude and Practices of Five Moments of Hand Hygiene among Nursing Staff and Students at a Tertiary Care Hospitals at Karad","volume":"3","author":[{"literal":"Shinde M. B, Mohite V. R"}],"issued":{"date-parts":[["2014"]]}}},{"id":402,"uris":["http://zotero.org/users/local/j2qthHfY/items/SF6UHDYG"],"itemData":{"id":402,"type":"article-journal","abstract":"BACKGROUND: Universal precautions are not well understood or implemented by health care practitioners, though crucial in the prevention and transmission of blood-borne pathogens like HIV.\nOBJECTIVE: To assess knowledge, awareness and compliance of universal precautions among health care workers at the University Hospital of the West Indies, Jamaica.\nMETHODS: A cross-sectional survey was conducted in September and October 2007. A 28-item self-administered questionnaire was provided to 200 health care workers including medical doctors, medical technologists, nurses and porters to assess their knowledge, awareness and practice towards universal precautions.\nRESULTS: Almost two-thirds (64.0%) of the respondents were very knowledgeable of universal precautions with significantly more females (75.4%) than males (42.9%) (p&lt;0.0001). More nurses (90.0%), medical doctors (88.0%) and medical technologists (70%) were very knowledgeable of universal precautions (p&lt;0.0001). More respondents (92.9%) who were employed in the health sector for 16 years and over reported high levels of awareness of universal precautions than those who were employed for less than five years (p&lt;0.0001). 28.6% of males and only 6.2% of females reported that they do not use protective gear. More nurses reported frequent use of protective equipment followed by medical technologists and medical doctors (p&lt;0.0001).\nCONCLUSION: There was adequate knowledge and a fair level of awareness among medical doctors, medical technologists, and nurses towards universal precautions.","container-title":"The International Journal of Occupational and Environmental Medicine","ISSN":"2008-6520","issue":"4","journalAbbreviation":"Int J Occup Environ Med","language":"eng","note":"PMID: 23022806","page":"171-181","source":"PubMed","title":"Knowledge, awareness and compliance with universal precautions among health care workers at the University Hospital of the West Indies, Jamaica","volume":"1","author":[{"family":"Vaz","given":"K."},{"family":"McGrowder","given":"D."},{"family":"Alexander-Lindo","given":"R."},{"family":"Gordon","given":"L."},{"family":"Brown","given":"P."},{"family":"Irving","given":"R."}],"issued":{"date-parts":[["2010",10]]}}},{"id":404,"uris":["http://zotero.org/users/local/j2qthHfY/items/TB8S3XMJ"],"itemData":{"id":404,"type":"article-journal","container-title":"Scholars Journal of Applied Medical Sciences","issue":"05","title":"A Study on Knowledge, Attitude and Practice of Universal Precautions among Medical and Nursing Students","volume":"2","author":[{"literal":"Benzy Paul, Anant Pawar, Durgesh Kumar, Sujesh PK"}],"issued":{"date-parts":[["2014"]]}}},{"id":486,"uris":["http://zotero.org/users/local/j2qthHfY/items/E3GAYMQS"],"itemData":{"id":486,"type":"article-journal","abstract":"Background: Adequate and safe blood supply has remained a challenge in developing countries, including Nigeria. Young students can play a fundamental role in blood donation, saving the lives of many people; hence, studying their knowledge, attitudes, and practices related to blood donation is essential.\r\nObjective: The objective of this study was to assess the knowledge, attitudes, and practices of voluntary blood donation among Ambrose Alli University students and the factors associated with the frequency of blood donation.\r\nMethodology: A cross-sectional descriptive study was carried out at Ambrose Alli University, Ekpoma. A total of 250 students were recruited. Pretested questionnaires were used to assess their knowledge, attitudes, and practices related to voluntary blood donation.\r\nStatistical Analysis: The responses were collated and analysed with the Statistical Package for Social Sciences (SPSS) v21. We utilized both descriptive and inferential statistical methods to analyse the data. where associations between blood donation practices and sociodemographic features of the respondents as well as knowledge of blood donation and sociodemographic features of the respondents were tested via chi-square tests where appropriate; p &lt; 0.05 was considered statistically significant.\r\nResults: The study revealed that the mean age of the respondents was 22.3 ( 9.049) years, with females accounting for 51.6% of the sample. A total of 34% (85) have good knowledge, and the respondents have a positive attitude (mean 3.23) toward donation; however, only 13.6% have donated blood with a male-to-female ratio of 2:1. The study revealed significant associations between knowledge of blood donation and several sociodemographic features, including age (p=0.003), year of study (p=0.025), faculty of the respondents (p&lt;0.001) and employment status of the father or male guardian (p=0.035). Furthermore, blood donation practices were significantly associated with the year of study (p=0.028) and faculty (p&lt;0.001). Logistic regression analysis indicated that senior students were less likely to donate blood compared to first year students. Fourth-year students had an odds ratio (OR) of 0.20 (95% CI: 0.05–0.87, P = 0.032), and fifth-year students had an OR of 0.23 (95% CI: 0.06–0.93, P = 0.039).\r\nConclusion: Despite having a fair level of knowledge regarding blood donation as well as a positive attitude toward it, the respondents portray a poor practice culture with respect to blood donation.","container-title":"Journal of Advances in Medical and Pharmaceutical Sciences","DOI":"10.9734/jamps/2024/v26i9710","ISSN":"2394-1111","issue":"9","journalAbbreviation":"J. Adv. Med. Pharm. Sci.","page":"1-16","source":"DOI.org (Crossref)","title":"Knowledge Attitudes and Practices of Voluntary Blood Donation among University Students in Nigeria: A Descriptive Cross Sectional Study","title-short":"Knowledge Attitudes and Practices of Voluntary Blood Donation among University Students in Nigeria","URL":"https://journaljamps.com/index.php/JAMPS/article/view/710","volume":"26","author":[{"family":"Saka","given":"Sulymon A."},{"family":"Mavis","given":"Eromosele E."},{"family":"Mezu","given":"Nneoma M."},{"family":"Isiaka","given":"Ayotunde A."},{"family":"Asogwa","given":"Collins O."},{"family":"Odafen","given":"Perpetua I."},{"family":"Akhigbe","given":"Marvelous E."},{"family":"David","given":"Nzomiwu C."},{"family":"Emekolom","given":"Obiajulum N."}],"accessed":{"date-parts":[["2025",6,26]]},"issued":{"date-parts":[["2024",8,22]]}}}],"schema":"https://github.com/citation-style-language/schema/raw/master/csl-citation.json"}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6–9</w:t>
      </w:r>
      <w:r>
        <w:rPr>
          <w:rFonts w:ascii="Times New Roman" w:hAnsi="Times New Roman"/>
          <w:sz w:val="24"/>
          <w:szCs w:val="24"/>
        </w:rPr>
        <w:fldChar w:fldCharType="end"/>
      </w:r>
    </w:p>
    <w:p w14:paraId="227313B7">
      <w:pPr>
        <w:spacing w:line="480" w:lineRule="auto"/>
        <w:jc w:val="both"/>
        <w:rPr>
          <w:rFonts w:ascii="Times New Roman" w:hAnsi="Times New Roman"/>
          <w:sz w:val="24"/>
          <w:szCs w:val="24"/>
        </w:rPr>
      </w:pPr>
      <w:r>
        <w:rPr>
          <w:rFonts w:ascii="Times New Roman" w:hAnsi="Times New Roman"/>
          <w:sz w:val="24"/>
          <w:szCs w:val="24"/>
        </w:rPr>
        <w:t>Hospital-acquired infections are a significant global health concern, causing morbidity, mortality, and increased healthcare costs. Nurses are particularly at risk of needle-stick injuries and blood-borne pathogens due to their frequent contact with patient</w:t>
      </w:r>
      <w:r>
        <w:rPr>
          <w:rFonts w:hint="default" w:ascii="Times New Roman" w:hAnsi="Times New Roman"/>
          <w:sz w:val="24"/>
          <w:szCs w:val="24"/>
          <w:lang w:val="en-US"/>
        </w:rPr>
        <w: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{"citationID":"npeuFplo","properties":{"formattedCitation":"\\super 7\\nosupersub{}","plainCitation":"7","noteIndex":0},"citationItems":[{"id":402,"uris":["http://zotero.org/users/local/j2qthHfY/items/SF6UHDYG"],"itemData":{"id":402,"type":"article-journal","abstract":"BACKGROUND: Universal precautions are not well understood or implemented by health care practitioners, though crucial in the prevention and transmission of blood-borne pathogens like HIV.\nOBJECTIVE: To assess knowledge, awareness and compliance of universal precautions among health care workers at the University Hospital of the West Indies, Jamaica.\nMETHODS: A cross-sectional survey was conducted in September and October 2007. A 28-item self-administered questionnaire was provided to 200 health care workers including medical doctors, medical technologists, nurses and porters to assess their knowledge, awareness and practice towards universal precautions.\nRESULTS: Almost two-thirds (64.0%) of the respondents were very knowledgeable of universal precautions with significantly more females (75.4%) than males (42.9%) (p&lt;0.0001). More nurses (90.0%), medical doctors (88.0%) and medical technologists (70%) were very knowledgeable of universal precautions (p&lt;0.0001). More respondents (92.9%) who were employed in the health sector for 16 years and over reported high levels of awareness of universal precautions than those who were employed for less than five years (p&lt;0.0001). 28.6% of males and only 6.2% of females reported that they do not use protective gear. More nurses reported frequent use of protective equipment followed by medical technologists and medical doctors (p&lt;0.0001).\nCONCLUSION: There was adequate knowledge and a fair level of awareness among medical doctors, medical technologists, and nurses towards universal precautions.","container-title":"The International Journal of Occupational and Environmental Medicine","ISSN":"2008-6520","issue":"4","journalAbbreviation":"Int J Occup Environ Med","language":"eng","note":"PMID: 23022806","page":"171-181","source":"PubMed","title":"Knowledge, awareness and compliance with universal precautions among health care workers at the University Hospital of the West Indies, Jamaica","volume":"1","author":[{"family":"Vaz","given":"K."},{"family":"McGrowder","given":"D."},{"family":"Alexander-Lindo","given":"R."},{"family":"Gordon","given":"L."},{"family":"Brown","given":"P."},{"family":"Irving","given":"R."}],"issued":{"date-parts":[["2010",10]]}}}],"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7</w:t>
      </w:r>
      <w:r>
        <w:rPr>
          <w:rFonts w:ascii="Times New Roman" w:hAnsi="Times New Roman"/>
          <w:sz w:val="24"/>
          <w:szCs w:val="24"/>
        </w:rPr>
        <w:fldChar w:fldCharType="end"/>
      </w:r>
      <w:r>
        <w:rPr>
          <w:rFonts w:ascii="Times New Roman" w:hAnsi="Times New Roman"/>
          <w:sz w:val="24"/>
          <w:szCs w:val="24"/>
        </w:rPr>
        <w:t xml:space="preserve"> Despite detailed guidelines and training, compliance with standard precautions varies among nurses globally, leading to insufficient infection control practices. Approximately three million nurses worldwide face percutaneous exposure to blood-borne pathogens annually, highlighting the importance of adhering to universal precautions</w:t>
      </w:r>
      <w:r>
        <w:rPr>
          <w:rFonts w:hint="default" w:ascii="Times New Roman" w:hAnsi="Times New Roman"/>
          <w:sz w:val="24"/>
          <w:szCs w:val="24"/>
          <w:lang w:val="en-US"/>
        </w:rPr>
        <w: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{"citationID":"cl6pfvkz","properties":{"formattedCitation":"\\super 5\\nosupersub{}","plainCitation":"5","noteIndex":0},"citationItems":[{"id":399,"uris":["http://zotero.org/users/local/j2qthHfY/items/FD8SQ2ME"],"itemData":{"id":399,"type":"article-journal","abstract":"Background\n              . Careful adherence to standard precautions can protect both health care workers (HCWs) and patients from infections. The present study identified the perceptions and compliance with the use of standard precautions and assessed the determinants of noncompliance among the HCWs in an emergency and trauma triage centre.\n              Methods\n              . A cross-sectional study using a semistructured questionnaire was carried out to collect the relevant information from the study participants.\n              Results\n              . A total of 162 HCWs were recruited into the study, who reported varying degrees of compliance with standard precautions. While most of them declared the use of hand rub (95%) and gloves (77%), reported use of protective eye gear and outer protective clothing was very low (22 and 28%, resp.). Despite a perceived risk of exposure to blood-borne infections, 8% of the HCWs had not completed the hepatitis B vaccination schedule. About 17% reported at least one needle stick injury in the past year but only 5.6% received medical attention.\n              Conclusion\n              . Inadequate adherence to standard precautions among health care providers warrants new training and monitoring strategies. Establishment of an effective occupational health cell incorporating these elements including periodic surveillance could be the way forward.","container-title":"International Scholarly Research Notices","DOI":"10.1155/2014/685072","ISSN":"2356-7872","journalAbbreviation":"International Scholarly Research Notices","language":"en","license":"http://creativecommons.org/licenses/by/3.0/","page":"1-5","source":"DOI.org (Crossref)","title":"Health Care Workers and Standard Precautions: Perceptions and Determinants of Compliance in the Emergency and Trauma Triage of a Tertiary Care Hospital in South India","title-short":"Health Care Workers and Standard Precautions","URL":"https://www.hindawi.com/journals/isrn/2014/685072/","volume":"2014","author":[{"family":"Punia","given":"Sangini"},{"family":"Nair","given":"Suma"},{"family":"Shetty","given":"Ranjitha S."}],"accessed":{"date-parts":[["2025",5,14]]},"issued":{"date-parts":[["2014",10,29]]}}}],"schema":"https://github.com/citation-style-language/schema/raw/master/csl-citation.json"}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5</w:t>
      </w:r>
      <w:r>
        <w:rPr>
          <w:rFonts w:ascii="Times New Roman" w:hAnsi="Times New Roman"/>
          <w:sz w:val="24"/>
          <w:szCs w:val="24"/>
        </w:rPr>
        <w:fldChar w:fldCharType="end"/>
      </w:r>
    </w:p>
    <w:p w14:paraId="33C818A4">
      <w:pPr>
        <w:spacing w:line="480" w:lineRule="auto"/>
        <w:jc w:val="both"/>
        <w:rPr>
          <w:rFonts w:ascii="Times New Roman" w:hAnsi="Times New Roman"/>
          <w:sz w:val="24"/>
          <w:szCs w:val="24"/>
        </w:rPr>
      </w:pPr>
      <w:r>
        <w:rPr>
          <w:rFonts w:ascii="Times New Roman" w:hAnsi="Times New Roman"/>
          <w:sz w:val="24"/>
          <w:szCs w:val="24"/>
        </w:rPr>
        <w:t>Nurses, the largest group of healthcare workers, play a pivotal role in infection control because of their extensive patient contact</w:t>
      </w:r>
      <w:r>
        <w:rPr>
          <w:rFonts w:hint="default" w:ascii="Times New Roman" w:hAnsi="Times New Roman"/>
          <w:sz w:val="24"/>
          <w:szCs w:val="24"/>
          <w:lang w:val="en-US"/>
        </w:rPr>
        <w: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{"citationID":"stqEblFN","properties":{"formattedCitation":"\\super 6\\nosupersub{}","plainCitation":"6","noteIndex":0},"citationItems":[{"id":401,"uris":["http://zotero.org/users/local/j2qthHfY/items/L55CQ8HS"],"itemData":{"id":401,"type":"article-journal","container-title":"International Journal of Science and Research","issue":"2","page":"311-321","title":"A Study to Assess Knowledge, Attitude and Practices of Five Moments of Hand Hygiene among Nursing Staff and Students at a Tertiary Care Hospitals at Karad","volume":"3","author":[{"literal":"Shinde M. B, Mohite V. R"}],"issued":{"date-parts":[["2014"]]}}}],"schema":"https://github.com/citation-style-language/schema/raw/master/csl-citation.json"}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6</w:t>
      </w:r>
      <w:r>
        <w:rPr>
          <w:rFonts w:ascii="Times New Roman" w:hAnsi="Times New Roman"/>
          <w:sz w:val="24"/>
          <w:szCs w:val="24"/>
        </w:rPr>
        <w:fldChar w:fldCharType="end"/>
      </w:r>
      <w:r>
        <w:rPr>
          <w:rFonts w:ascii="Times New Roman" w:hAnsi="Times New Roman"/>
          <w:sz w:val="24"/>
          <w:szCs w:val="24"/>
        </w:rPr>
        <w:t xml:space="preserve"> Their exposure to blood-borne infections from pathogens such as HIV, hepatitis B, and hepatitis C underscores the need for stringent compliance with standard precautions to protect themselves, their families, and patients.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{"citationID":"7zfcUvZg","properties":{"formattedCitation":"\\super 9\\uc0\\u8211{}11\\nosupersub{}","plainCitation":"9–11","noteIndex":0},"citationItems":[{"id":486,"uris":["http://zotero.org/users/local/j2qthHfY/items/E3GAYMQS"],"itemData":{"id":486,"type":"article-journal","abstract":"Background: Adequate and safe blood supply has remained a challenge in developing countries, including Nigeria. Young students can play a fundamental role in blood donation, saving the lives of many people; hence, studying their knowledge, attitudes, and practices related to blood donation is essential.\r\nObjective: The objective of this study was to assess the knowledge, attitudes, and practices of voluntary blood donation among Ambrose Alli University students and the factors associated with the frequency of blood donation.\r\nMethodology: A cross-sectional descriptive study was carried out at Ambrose Alli University, Ekpoma. A total of 250 students were recruited. Pretested questionnaires were used to assess their knowledge, attitudes, and practices related to voluntary blood donation.\r\nStatistical Analysis: The responses were collated and analysed with the Statistical Package for Social Sciences (SPSS) v21. We utilized both descriptive and inferential statistical methods to analyse the data. where associations between blood donation practices and sociodemographic features of the respondents as well as knowledge of blood donation and sociodemographic features of the respondents were tested via chi-square tests where appropriate; p &lt; 0.05 was considered statistically significant.\r\nResults: The study revealed that the mean age of the respondents was 22.3 ( 9.049) years, with females accounting for 51.6% of the sample. A total of 34% (85) have good knowledge, and the respondents have a positive attitude (mean 3.23) toward donation; however, only 13.6% have donated blood with a male-to-female ratio of 2:1. The study revealed significant associations between knowledge of blood donation and several sociodemographic features, including age (p=0.003), year of study (p=0.025), faculty of the respondents (p&lt;0.001) and employment status of the father or male guardian (p=0.035). Furthermore, blood donation practices were significantly associated with the year of study (p=0.028) and faculty (p&lt;0.001). Logistic regression analysis indicated that senior students were less likely to donate blood compared to first year students. Fourth-year students had an odds ratio (OR) of 0.20 (95% CI: 0.05–0.87, P = 0.032), and fifth-year students had an OR of 0.23 (95% CI: 0.06–0.93, P = 0.039).\r\nConclusion: Despite having a fair level of knowledge regarding blood donation as well as a positive attitude toward it, the respondents portray a poor practice culture with respect to blood donation.","container-title":"Journal of Advances in Medical and Pharmaceutical Sciences","DOI":"10.9734/jamps/2024/v26i9710","ISSN":"2394-1111","issue":"9","journalAbbreviation":"J. Adv. Med. Pharm. Sci.","page":"1-16","source":"DOI.org (Crossref)","title":"Knowledge Attitudes and Practices of Voluntary Blood Donation among University Students in Nigeria: A Descriptive Cross Sectional Study","title-short":"Knowledge Attitudes and Practices of Voluntary Blood Donation among University Students in Nigeria","URL":"https://journaljamps.com/index.php/JAMPS/article/view/710","volume":"26","author":[{"family":"Saka","given":"Sulymon A."},{"family":"Mavis","given":"Eromosele E."},{"family":"Mezu","given":"Nneoma M."},{"family":"Isiaka","given":"Ayotunde A."},{"family":"Asogwa","given":"Collins O."},{"family":"Odafen","given":"Perpetua I."},{"family":"Akhigbe","given":"Marvelous E."},{"family":"David","given":"Nzomiwu C."},{"family":"Emekolom","given":"Obiajulum N."}],"accessed":{"date-parts":[["2025",6,26]]},"issued":{"date-parts":[["2024",8,22]]}}},{"id":487,"uris":["http://zotero.org/users/local/j2qthHfY/items/L44JB6AU"],"itemData":{"id":487,"type":"article-journal","container-title":"American Journal of Infection Control","DOI":"10.1016/j.ajic.2024.03.007","ISSN":"01966553","issue":"8","journalAbbreviation":"American Journal of Infection Control","language":"en","page":"941-946","source":"DOI.org (Crossref)","title":"Standard precautions compliance and its associated factors among nurses in Kazakhstan: A cross-sectional study","title-short":"Standard precautions compliance and its associated factors among nurses in Kazakhstan","URL":"https://linkinghub.elsevier.com/retrieve/pii/S0196655324001123","volume":"52","author":[{"family":"Cruz","given":"Jonas P."},{"family":"Almazan","given":"Joseph U."},{"family":"Kuntuganova","given":"Anargul"},{"family":"Syzdykova","given":"Alma"},{"family":"Danebek","given":"Kurmet"},{"family":"Agazhayeva","given":"Gaukhar"}],"accessed":{"date-parts":[["2025",6,26]]},"issued":{"date-parts":[["2024",8]]}}},{"id":491,"uris":["http://zotero.org/users/local/j2qthHfY/items/A7T6FLKA"],"itemData":{"id":491,"type":"article-journal","abstract":"Background &amp; Aim: Given that Healthcare-Associated Infections (HAI) increase the duration of hospitalization, increase the duration of disability and even death and given the fact that nursing students attend their clinical Nursing practice; the skills gained during this period will determine the performance of this nursing role in controlling future infectious diseases in the future. Therefore, the present study was conducted to determine the performance of nursing students in controlling HAI in Masjed-Soleyman in 2018.\r\nMaterials and Methods: In this descriptive study, stratified sampling was done in nursing students of Islamic Azad University and Masjed-Soleyman health-care Higher Education Complex in 2018. Data were collected using standard questionnaire of students' performance regarding infection control as self-declaration. Data analysis with spss-20 software using T-test, ANOVA and Pearson correlation coefficient was used.\r\nResults: In this study, 145 students with an average age of 23.38 ± 14.47 years were enrolled. Of these, 66.9% were girls and the rest were boys, 89.0% were single and the rest were married. The mean score of these subjects was 44.02 ± 11. 6 which indicates good performance about hospital infections. Girls, students of Azad University and those who participated in workshops or classrooms beforehand, had significantly higher performance than others (p &lt;0.05) but there was not a significant relationship between mean performance and marital scores, place of residence, and academic year (p &gt;0.05).\r\nConclusion: The results showed that the control of infection in these people is good at the level and reveals the effect of the classroom and the training courses held. It is suggested that educational programs be used to engage students in advanced infection control processes and merely get out from workshop and education.","container-title":"Journal of Pharmaceutical Research International","DOI":"10.9734/jpri/2019/v28i330206","ISSN":"2456-9119","journalAbbreviation":"JPRI","page":"1-6","source":"DOI.org (Crossref)","title":"Evaluation of Nursing Students' Performance in Controlling Healthcare-associated Infections in Southwest of Iran","URL":"https://journaljpri.com/index.php/JPRI/article/view/1138","author":[{"family":"Eskandari","given":"Parisa"},{"family":"Azizi","given":"Maryam"},{"family":"Madmoli","given":"Yaghoob"},{"family":"Madmoli","given":"Mostafa"},{"family":"Khodadadi","given":"Mahboobe"},{"family":"Yousefi","given":"Najime"}],"accessed":{"date-parts":[["2025",6,26]]},"issued":{"date-parts":[["2019",7,9]]}}}],"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9–11</w:t>
      </w:r>
      <w:r>
        <w:rPr>
          <w:rFonts w:ascii="Times New Roman" w:hAnsi="Times New Roman"/>
          <w:sz w:val="24"/>
          <w:szCs w:val="24"/>
        </w:rPr>
        <w:fldChar w:fldCharType="end"/>
      </w:r>
    </w:p>
    <w:p w14:paraId="1E661828">
      <w:pPr>
        <w:spacing w:line="480" w:lineRule="auto"/>
        <w:jc w:val="both"/>
        <w:rPr>
          <w:rFonts w:ascii="Times New Roman" w:hAnsi="Times New Roman"/>
          <w:sz w:val="24"/>
          <w:szCs w:val="24"/>
        </w:rPr>
      </w:pPr>
      <w:r>
        <w:rPr>
          <w:rFonts w:ascii="Times New Roman" w:hAnsi="Times New Roman"/>
          <w:sz w:val="24"/>
          <w:szCs w:val="24"/>
        </w:rPr>
        <w:t>This study aims to assess nurses' compliance with standard precautions in a tertiary hospital in Benin city, identify high exposure risk, and identify factors that influence compliance with universal standard precautions and varying compliance levels reported worldwide</w:t>
      </w:r>
      <w:r>
        <w:rPr>
          <w:rFonts w:ascii="Times New Roman" w:hAnsi="Times New Roman"/>
          <w:sz w:val="24"/>
          <w:szCs w:val="24"/>
          <w:vertAlign w:val="superscript"/>
          <w:lang w:val="en-US"/>
        </w:rPr>
        <w:t>,</w:t>
      </w:r>
      <w:r>
        <w:rPr>
          <w:rFonts w:ascii="Times New Roman" w:hAnsi="Times New Roman"/>
          <w:sz w:val="24"/>
          <w:szCs w:val="24"/>
          <w:vertAlign w:val="superscript"/>
          <w:lang w:val="en-US"/>
        </w:rPr>
        <w:fldChar w:fldCharType="begin"/>
      </w:r>
      <w:r>
        <w:rPr>
          <w:rFonts w:ascii="Times New Roman" w:hAnsi="Times New Roman"/>
          <w:sz w:val="24"/>
          <w:szCs w:val="24"/>
          <w:vertAlign w:val="superscript"/>
          <w:lang w:val="en-US"/>
        </w:rPr>
        <w:instrText xml:space="preserve"> ADDIN ZOTERO_ITEM CSL_CITATION {"citationID":"LFGTgZS0","properties":{"formattedCitation":"\\super 4,12\\uc0\\u8211{}15\\nosupersub{}","plainCitation":"4,12–15","noteIndex":0},"citationItems":[{"id":398,"uris":["http://zotero.org/users/local/j2qthHfY/items/99JZKD9R"],"itemData":{"id":398,"type":"article-journal","container-title":"Nigerian Postgraduate Medical Journal","DOI":"10.4103/1117-1936.181602","ISSN":"1117-1936","issue":"3","journalAbbreviation":"Niger Postgrad Med J","language":"en","page":"204","source":"DOI.org (Crossref)","title":"Knowledge and practice of standard precautions among health care workers in the Federal Medical Centre, Asaba, Delta State, Nigeria","URL":"https://journals.lww.com/10.4103/1117-1936.181602","volume":"17","author":[{"family":"Isara","given":"Ar"},{"family":"Ofili","given":"An"}],"accessed":{"date-parts":[["2025",5,14]]},"issued":{"date-parts":[["2010"]]}}},{"id":417,"uris":["http://zotero.org/users/local/j2qthHfY/items/9P86DCIC"],"itemData":{"id":417,"type":"article-journal","abstract":"Health care-associated infections are reported among the top causes of hospital deaths worldwide. Their prevention is a first priority for patient safety in acute care hospitals. Education and training is recommended as a core component for effective infection prevention and control programs. This study aimed to assess the effect of an infection control training course on the knowledge and practices of medical interns in a large academic hospital in Egypt. The study included 268 medical interns who were getting their practical training at Tanta University Hospitals, Egypt during the study period. Knowledge and practices regarding infection control measures were assessed using a predesigned questionnaire sheet and an observational checklist before and after intervention by infection control training course based on Egyptian national guide for infection control. The data have been analyzed through the application of descriptive frequency, percentages, mean of scores, and the inferential analysis that includes paired t test and Monte Carlo test. The level of statistical significance was adopted at p≤0.05. There was a statistically significant (p &lt; 0.0001) increase in total knowledge score (65.4±13.9 versus 80.2 ±13.2) and total practices score (65±11.3 versus 108±7.9) of infection control measures among studied participants before intervention compared with after intervention. A significant strong positive correlation was detected (r= 0.8, p= 0.0001) between total knowledge and practice scores after intervention by training course. There is a strong positive correlation between knowledge and practices so intervention by infection control training course using teaching multimedia and role play significantly improves the knowledge and practice levels of the studied medical interns.","container-title":"Environmental Science and Pollution Research International","DOI":"10.1007/s11356-021-16755-5","ISSN":"1614-7499","issue":"10","journalAbbreviation":"Environ Sci Pollut Res Int","language":"eng","note":"PMID: 34609684","page":"14371-14379","source":"PubMed","title":"Effect of infection control training course on knowledge and practices of medical interns in a large academic hospital in Egypt: an intervention study","title-short":"Effect of infection control training course on knowledge and practices of medical interns in a large academic hospital in Egypt","volume":"29","author":[{"family":"El Sebaey","given":"Aya Farag"},{"family":"Atlam","given":"Samir Abd El Mageed"},{"family":"El Kafas","given":"El Sayed Abd El Rahman"},{"family":"Zayed","given":"Hanaa Abdelaziz"}],"issued":{"date-parts":[["2022",2]]}}},{"id":406,"uris":["http://zotero.org/users/local/j2qthHfY/items/RMEIH55J"],"itemData":{"id":406,"type":"article-journal","container-title":"Journal of Community Medicine &amp; Health Education","DOI":"10.4172/2161-0711.1000131","ISSN":"21610711","issue":"03","journalAbbreviation":"J Community Med Health Edu","source":"DOI.org (Crossref)","title":"Knowledge, Awareness and Compliance with Standard Precautions among Health Workers in North Eastearn Nigeria","URL":"https://www.omicsonline.org/knowledge-awareness-and-compliance-with-standard-precautions-among-health-workers-in-north-eastearn-nigeria-2161-0711.1000131.php?aid=5305","volume":"02","author":[{"literal":"Abdulraheem et al."}],"accessed":{"date-parts":[["2025",5,14]]},"issued":{"date-parts":[["2012"]]}}},{"id":407,"uris":["http://zotero.org/users/local/j2qthHfY/items/2I4BLBI6"],"itemData":{"id":407,"type":"article-journal","abstract":"Background: Standard precautions (SPs) in the hospital are very important in the reduction of health care workers’ exposure to occupational health hazards but most hospitals are used to reactive rather than proactive safety practices. The effect of reactive safety practices is overwhelming to health care workers, hospitals and the society. Thus, this study assessed health care workers’ knowledge and compliance with standard precautions.\r\nMaterials and Methods: Descriptive cross-sectional design and proportionate stratified random sampling method was adopted and a sample size of 391was selected using Taro-Yamane formula. The study relied on a structured questionnaire to elicit information from respondents and a reliability of 0.87 was obtained. Descriptive and inferential statistics were used with the aid of statistical package for social science (SPSS) software version 21.\r\nResults: Healthcare workers’ (HCWs) have fair knowledge of SPs and poor compliance with SPs. Also, there is significant association between HCWs’ knowledge of SPs and gender, marital status, years of experience and job category in the hospitals (p &lt; 0.05). Consequently, there is significant association between compliance with SPs and gender, years of experience and job categories in the hospitals (p &lt; 0.05).\r\nConclusion: There is great need for strong advocacy on knowledge of SPs and compliance with SPs in the hospitals to curb increasing occupational health hazards. The Nigeria government and hospital managements should develop an all-encompassing integrated SPs policies, strategies and procedures consistent with global best practices.","container-title":"Asian Journal of Medicine and Health","DOI":"10.9734/ajmah/2020/v18i230181","ISSN":"2456-8414","journalAbbreviation":"AJMAH","page":"11-22","source":"DOI.org (Crossref)","title":"Knowledge and Compliance with Standard Precautions amongst Healthcare Workers in Selected Hospitals in Rivers State, Nigeria","URL":"https://journalajmah.com/index.php/AJMAH/article/view/397","author":[{"family":"Ogbonda","given":"P. N."},{"family":"Douglas","given":"K."},{"family":"Moore","given":"B. M."}],"accessed":{"date-parts":[["2025",5,14]]},"issued":{"date-parts":[["2020",3,25]]}}},{"id":408,"uris":["http://zotero.org/users/local/j2qthHfY/items/TWIUEQBZ"],"itemData":{"id":408,"type":"article-journal","container-title":"Saudi Journal of Nursing and Health Care","DOI":"10.36348/sjnhc.2020.v03i03.003","ISSN":"26167921, 26166186","issue":"03","journalAbbreviation":"SJNHC","page":"106-113","source":"DOI.org (Crossref)","title":"Adherence to Universal Precautions and Associated Factors among Nurses Caring For Critically Ill Patients in Dar es Salaam Tanzania","URL":"https://saudijournals.com/media/articles/SJNHC_33_106-113.pdf","volume":"03","author":[{"family":"Wibonela","given":"Salma A"},{"family":"Mbekenga","given":"Columba"},{"family":"Ramadhani","given":"Fatina B"},{"family":"Mwanga","given":"Ally"},{"family":"Pallangyo","given":"Pedro"}],"accessed":{"date-parts":[["2025",5,14]]},"issued":{"date-parts":[["2020",3,25]]}}}],"schema":"https://github.com/citation-style-language/schema/raw/master/csl-citation.json"} </w:instrText>
      </w:r>
      <w:r>
        <w:rPr>
          <w:rFonts w:ascii="Times New Roman" w:hAnsi="Times New Roman"/>
          <w:sz w:val="24"/>
          <w:szCs w:val="24"/>
          <w:vertAlign w:val="superscript"/>
          <w:lang w:val="en-US"/>
        </w:rPr>
        <w:fldChar w:fldCharType="separate"/>
      </w:r>
      <w:r>
        <w:rPr>
          <w:rFonts w:hint="default" w:ascii="Times New Roman" w:hAnsi="Times New Roman" w:cs="Times New Roman"/>
          <w:sz w:val="24"/>
          <w:szCs w:val="24"/>
          <w:vertAlign w:val="superscript"/>
        </w:rPr>
        <w:t>4,12–15</w:t>
      </w:r>
      <w:r>
        <w:rPr>
          <w:rFonts w:ascii="Times New Roman" w:hAnsi="Times New Roman"/>
          <w:sz w:val="24"/>
          <w:szCs w:val="24"/>
          <w:vertAlign w:val="superscript"/>
          <w:lang w:val="en-US"/>
        </w:rPr>
        <w:fldChar w:fldCharType="end"/>
      </w:r>
      <w:r>
        <w:rPr>
          <w:rFonts w:ascii="Times New Roman" w:hAnsi="Times New Roman"/>
          <w:sz w:val="24"/>
          <w:szCs w:val="24"/>
        </w:rPr>
        <w:t>. Improved compliance can significantly reduce nosocomial infection burdens and increase patient care quality.</w:t>
      </w:r>
    </w:p>
    <w:p w14:paraId="4DB9826F">
      <w:pPr>
        <w:spacing w:line="480" w:lineRule="auto"/>
        <w:jc w:val="both"/>
        <w:rPr>
          <w:rFonts w:ascii="Times New Roman" w:hAnsi="Times New Roman"/>
          <w:b/>
          <w:bCs/>
          <w:sz w:val="24"/>
          <w:szCs w:val="24"/>
          <w:lang w:val="en-US"/>
        </w:rPr>
      </w:pPr>
      <w:r>
        <w:rPr>
          <w:rFonts w:ascii="Times New Roman" w:hAnsi="Times New Roman"/>
          <w:b/>
          <w:bCs/>
          <w:sz w:val="24"/>
          <w:szCs w:val="24"/>
        </w:rPr>
        <w:t>Method</w:t>
      </w:r>
      <w:r>
        <w:rPr>
          <w:rFonts w:ascii="Times New Roman" w:hAnsi="Times New Roman"/>
          <w:b/>
          <w:bCs/>
          <w:sz w:val="24"/>
          <w:szCs w:val="24"/>
          <w:lang w:val="en-US"/>
        </w:rPr>
        <w:t>s</w:t>
      </w:r>
    </w:p>
    <w:p w14:paraId="60CDB63D">
      <w:pPr>
        <w:spacing w:line="480" w:lineRule="auto"/>
        <w:jc w:val="both"/>
        <w:rPr>
          <w:rFonts w:ascii="Times New Roman" w:hAnsi="Times New Roman"/>
          <w:b/>
          <w:bCs/>
          <w:sz w:val="24"/>
          <w:szCs w:val="24"/>
          <w:lang w:val="en-US"/>
        </w:rPr>
      </w:pPr>
      <w:r>
        <w:rPr>
          <w:rFonts w:ascii="Times New Roman" w:hAnsi="Times New Roman"/>
          <w:b/>
          <w:bCs/>
          <w:sz w:val="24"/>
          <w:szCs w:val="24"/>
          <w:lang w:val="en-US"/>
        </w:rPr>
        <w:t>Study design</w:t>
      </w:r>
    </w:p>
    <w:p w14:paraId="4ED51ACD">
      <w:pPr>
        <w:spacing w:line="480" w:lineRule="auto"/>
        <w:jc w:val="both"/>
        <w:rPr>
          <w:rFonts w:ascii="Times New Roman" w:hAnsi="Times New Roman"/>
          <w:sz w:val="24"/>
          <w:szCs w:val="24"/>
        </w:rPr>
      </w:pPr>
      <w:r>
        <w:rPr>
          <w:rFonts w:ascii="Times New Roman" w:hAnsi="Times New Roman"/>
          <w:sz w:val="24"/>
          <w:szCs w:val="24"/>
        </w:rPr>
        <w:t xml:space="preserve">This research utilized a survey design, specifically a descriptive survey, </w:t>
      </w:r>
    </w:p>
    <w:p w14:paraId="6071FFBD">
      <w:pPr>
        <w:spacing w:line="480" w:lineRule="auto"/>
        <w:jc w:val="both"/>
        <w:rPr>
          <w:rFonts w:ascii="Times New Roman" w:hAnsi="Times New Roman"/>
          <w:b/>
          <w:bCs/>
          <w:sz w:val="24"/>
          <w:szCs w:val="24"/>
          <w:lang w:val="en-US"/>
        </w:rPr>
      </w:pPr>
      <w:r>
        <w:rPr>
          <w:rFonts w:ascii="Times New Roman" w:hAnsi="Times New Roman"/>
          <w:b/>
          <w:bCs/>
          <w:sz w:val="24"/>
          <w:szCs w:val="24"/>
          <w:lang w:val="en-US"/>
        </w:rPr>
        <w:t>Study population</w:t>
      </w:r>
    </w:p>
    <w:p w14:paraId="106CEAA0">
      <w:pPr>
        <w:spacing w:line="480" w:lineRule="auto"/>
        <w:jc w:val="both"/>
        <w:rPr>
          <w:rFonts w:ascii="Times New Roman" w:hAnsi="Times New Roman"/>
          <w:sz w:val="24"/>
          <w:szCs w:val="24"/>
        </w:rPr>
      </w:pPr>
      <w:r>
        <w:rPr>
          <w:rFonts w:ascii="Times New Roman" w:hAnsi="Times New Roman"/>
          <w:sz w:val="24"/>
          <w:szCs w:val="24"/>
          <w:lang w:val="en-US"/>
        </w:rPr>
        <w:t xml:space="preserve">It was </w:t>
      </w:r>
      <w:r>
        <w:rPr>
          <w:rFonts w:ascii="Times New Roman" w:hAnsi="Times New Roman"/>
          <w:sz w:val="24"/>
          <w:szCs w:val="24"/>
        </w:rPr>
        <w:t xml:space="preserve">conducted among nurses at the University of Benin Teaching Hospital (UBTH) in Benin city, Edo State. </w:t>
      </w:r>
    </w:p>
    <w:p w14:paraId="3D71C45B">
      <w:pPr>
        <w:spacing w:line="480" w:lineRule="auto"/>
        <w:jc w:val="both"/>
        <w:rPr>
          <w:rFonts w:ascii="Times New Roman" w:hAnsi="Times New Roman"/>
          <w:b/>
          <w:bCs/>
          <w:sz w:val="24"/>
          <w:szCs w:val="24"/>
          <w:lang w:val="en-US"/>
        </w:rPr>
      </w:pPr>
      <w:r>
        <w:rPr>
          <w:rFonts w:ascii="Times New Roman" w:hAnsi="Times New Roman"/>
          <w:b/>
          <w:bCs/>
          <w:sz w:val="24"/>
          <w:szCs w:val="24"/>
          <w:lang w:val="en-US"/>
        </w:rPr>
        <w:t>Study area</w:t>
      </w:r>
    </w:p>
    <w:p w14:paraId="5086B4CB">
      <w:pPr>
        <w:spacing w:line="480" w:lineRule="auto"/>
        <w:jc w:val="both"/>
        <w:rPr>
          <w:rFonts w:ascii="Times New Roman" w:hAnsi="Times New Roman"/>
          <w:b/>
          <w:bCs/>
          <w:sz w:val="24"/>
          <w:szCs w:val="24"/>
          <w:lang w:val="en-US"/>
        </w:rPr>
      </w:pPr>
      <w:r>
        <w:rPr>
          <w:rFonts w:ascii="Times New Roman" w:hAnsi="Times New Roman"/>
          <w:sz w:val="24"/>
          <w:szCs w:val="24"/>
        </w:rPr>
        <w:t>UBTH, established in 1973, is a tertiary healthcare facility associated with the University of Benin that provides secondary and tertiary care, training for healthcare professionals, and research opportunities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{"citationID":"TRUEWrZ2","properties":{"formattedCitation":"\\super 16\\nosupersub{}","plainCitation":"16","noteIndex":0},"citationItems":[{"id":414,"uris":["http://zotero.org/users/local/j2qthHfY/items/2P3XHP8N"],"itemData":{"id":414,"type":"entry-encyclopedia","language":"English","publisher":"The Free Encyclopedia","title":"University of Benin Teaching Hospital. In Wikipedia,","URL":"https://en.wikipedia.org/w/index.php?title=University_of_Benin_Teaching_Hospital&amp;oldid=1284274280","author":[{"literal":"Wikipedia contributors."}],"accessed":{"date-parts":[["2025",5,14]]},"issued":{"date-parts":[["2025",4,6]]}}}],"schema":"https://github.com/citation-style-language/schema/raw/master/csl-citation.json"}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16</w:t>
      </w:r>
      <w:r>
        <w:rPr>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The target population comprised 720 nurses employed at UBTH. The hospital has 23 units, including four for maternal and child healthcare, with a total of 620 bed spaces and 451 nurse-midwives. </w:t>
      </w:r>
      <w:r>
        <w:rPr>
          <w:rFonts w:ascii="Times New Roman" w:hAnsi="Times New Roman"/>
          <w:sz w:val="24"/>
          <w:szCs w:val="24"/>
        </w:rPr>
        <w:br w:type="textWrapping"/>
      </w:r>
      <w:r>
        <w:rPr>
          <w:rFonts w:ascii="Times New Roman" w:hAnsi="Times New Roman"/>
          <w:b/>
          <w:bCs/>
          <w:sz w:val="24"/>
          <w:szCs w:val="24"/>
          <w:lang w:val="en-US"/>
        </w:rPr>
        <w:t>Sample size determination</w:t>
      </w:r>
    </w:p>
    <w:p w14:paraId="5AD2B280">
      <w:pPr>
        <w:spacing w:line="480" w:lineRule="auto"/>
        <w:jc w:val="both"/>
        <w:rPr>
          <w:rFonts w:ascii="Times New Roman" w:hAnsi="Times New Roman"/>
          <w:sz w:val="24"/>
          <w:szCs w:val="24"/>
        </w:rPr>
      </w:pPr>
      <w:r>
        <w:rPr>
          <w:rFonts w:ascii="Times New Roman" w:hAnsi="Times New Roman"/>
          <w:sz w:val="24"/>
          <w:szCs w:val="24"/>
        </w:rPr>
        <w:t>The sample size was determined via Taro Yamane's formula</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{"citationID":"TnwdaIr6","properties":{"formattedCitation":"\\super 17\\nosupersub{}","plainCitation":"17","noteIndex":0},"citationItems":[{"id":390,"uris":["http://zotero.org/users/local/j2qthHfY/items/N84FH4XR"],"itemData":{"id":390,"type":"article-journal","container-title":"SSRN Electronic Journal","DOI":"10.2139/ssrn.3994018","ISSN":"1556-5068","journalAbbreviation":"SSRN Journal","language":"en","source":"DOI.org (Crossref)","title":"Olonite Sampling Technique and Taro Yamane Sampling Method: The Paradigm Shift","title-short":"Olonite Sampling Technique and Taro Yamane Sampling Method","URL":"https://www.ssrn.com/abstract=3994018","author":[{"family":"Olonite","given":"Oluyemi Ayodele"}],"accessed":{"date-parts":[["2025",5,2]]},"issued":{"date-parts":[["2021"]]}}}],"schema":"https://github.com/citation-style-language/schema/raw/master/csl-citation.json"}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17</w:t>
      </w:r>
      <w:r>
        <w:rPr>
          <w:rFonts w:ascii="Times New Roman" w:hAnsi="Times New Roman"/>
          <w:sz w:val="24"/>
          <w:szCs w:val="24"/>
        </w:rPr>
        <w:fldChar w:fldCharType="end"/>
      </w:r>
      <w:r>
        <w:rPr>
          <w:rFonts w:ascii="Times New Roman" w:hAnsi="Times New Roman"/>
          <w:sz w:val="24"/>
          <w:szCs w:val="24"/>
        </w:rPr>
        <w:t xml:space="preserve">, </w:t>
      </w:r>
    </w:p>
    <w:p w14:paraId="6016C1C6">
      <w:pPr>
        <w:spacing w:line="480" w:lineRule="auto"/>
        <w:jc w:val="center"/>
        <w:rPr>
          <w:rFonts w:ascii="Times New Roman" w:hAnsi="Times New Roman"/>
          <w:sz w:val="24"/>
          <w:szCs w:val="24"/>
        </w:rPr>
      </w:pPr>
      <w:r>
        <w:rPr>
          <w:rFonts w:ascii="Times New Roman" w:hAnsi="Times New Roman"/>
          <w:sz w:val="24"/>
          <w:szCs w:val="24"/>
          <w:lang w:val="en-US"/>
        </w:rPr>
        <w:t xml:space="preserve">n = </w:t>
      </w:r>
      <m:oMath>
        <m:f>
          <m:fPr>
            <m:ctrlPr>
              <w:rPr>
                <w:rFonts w:ascii="Cambria Math" w:hAnsi="Cambria Math"/>
                <w:i/>
                <w:sz w:val="24"/>
                <w:szCs w:val="24"/>
                <w:lang w:val="en-US"/>
              </w:rPr>
            </m:ctrlPr>
          </m:fPr>
          <m:num>
            <m:r>
              <m:rPr/>
              <w:rPr>
                <w:rFonts w:ascii="Cambria Math" w:hAnsi="Cambria Math"/>
                <w:sz w:val="24"/>
                <w:szCs w:val="24"/>
                <w:lang w:val="en-US"/>
              </w:rPr>
              <m:t>N</m:t>
            </m:r>
            <m:ctrlPr>
              <w:rPr>
                <w:rFonts w:ascii="Cambria Math" w:hAnsi="Cambria Math"/>
                <w:i/>
                <w:sz w:val="24"/>
                <w:szCs w:val="24"/>
                <w:lang w:val="en-US"/>
              </w:rPr>
            </m:ctrlPr>
          </m:num>
          <m:den>
            <m:r>
              <m:rPr/>
              <w:rPr>
                <w:rFonts w:ascii="Cambria Math" w:hAnsi="Cambria Math"/>
                <w:sz w:val="24"/>
                <w:szCs w:val="24"/>
                <w:lang w:val="en-US"/>
              </w:rPr>
              <m:t>1+N(e)2</m:t>
            </m:r>
            <m:ctrlPr>
              <w:rPr>
                <w:rFonts w:ascii="Cambria Math" w:hAnsi="Cambria Math"/>
                <w:i/>
                <w:sz w:val="24"/>
                <w:szCs w:val="24"/>
                <w:lang w:val="en-US"/>
              </w:rPr>
            </m:ctrlPr>
          </m:den>
        </m:f>
      </m:oMath>
    </w:p>
    <w:p w14:paraId="6414AAA2">
      <w:pPr>
        <w:spacing w:line="480" w:lineRule="auto"/>
        <w:rPr>
          <w:rFonts w:ascii="Times New Roman" w:hAnsi="Times New Roman"/>
          <w:sz w:val="24"/>
          <w:szCs w:val="24"/>
          <w:lang w:val="en-US"/>
        </w:rPr>
      </w:pPr>
      <w:r>
        <w:rPr>
          <w:rFonts w:ascii="Times New Roman" w:hAnsi="Times New Roman"/>
          <w:sz w:val="24"/>
          <w:szCs w:val="24"/>
          <w:lang w:val="en-US"/>
        </w:rPr>
        <w:t xml:space="preserve"> n = sample size to be calculated</w:t>
      </w:r>
    </w:p>
    <w:p w14:paraId="07E303AA">
      <w:pPr>
        <w:spacing w:line="480" w:lineRule="auto"/>
        <w:rPr>
          <w:rFonts w:ascii="Times New Roman" w:hAnsi="Times New Roman"/>
          <w:sz w:val="24"/>
          <w:szCs w:val="24"/>
          <w:lang w:val="en-US"/>
        </w:rPr>
      </w:pPr>
      <w:r>
        <w:rPr>
          <w:rFonts w:ascii="Times New Roman" w:hAnsi="Times New Roman"/>
          <w:sz w:val="24"/>
          <w:szCs w:val="24"/>
          <w:lang w:val="en-US"/>
        </w:rPr>
        <w:t>N =Total number of nurses in UBTH</w:t>
      </w:r>
    </w:p>
    <w:p w14:paraId="2B103912">
      <w:pPr>
        <w:spacing w:line="480" w:lineRule="auto"/>
        <w:rPr>
          <w:rFonts w:ascii="Times New Roman" w:hAnsi="Times New Roman"/>
          <w:sz w:val="24"/>
          <w:szCs w:val="24"/>
          <w:lang w:val="en-US"/>
        </w:rPr>
      </w:pPr>
      <w:r>
        <w:rPr>
          <w:rFonts w:ascii="Times New Roman" w:hAnsi="Times New Roman"/>
          <w:sz w:val="24"/>
          <w:szCs w:val="24"/>
          <w:lang w:val="en-US"/>
        </w:rPr>
        <w:t>e = margin of error (usually 5% or 0.05)</w:t>
      </w:r>
    </w:p>
    <w:p w14:paraId="286A36BD">
      <w:pPr>
        <w:spacing w:line="480" w:lineRule="auto"/>
        <w:jc w:val="center"/>
        <w:rPr>
          <w:rFonts w:hAnsi="Cambria Math"/>
          <w:sz w:val="24"/>
          <w:szCs w:val="24"/>
          <w:lang w:val="en-US"/>
        </w:rPr>
      </w:pPr>
      <w:r>
        <w:rPr>
          <w:rFonts w:ascii="Times New Roman" w:hAnsi="Times New Roman"/>
          <w:sz w:val="24"/>
          <w:szCs w:val="24"/>
          <w:lang w:val="en-US"/>
        </w:rPr>
        <w:t xml:space="preserve">n </w:t>
      </w:r>
      <m:oMath>
        <m:r>
          <m:rPr/>
          <w:rPr>
            <w:rFonts w:ascii="Cambria Math" w:hAnsi="Cambria Math"/>
            <w:sz w:val="24"/>
            <w:szCs w:val="24"/>
            <w:lang w:val="en-US"/>
          </w:rPr>
          <m:t>=</m:t>
        </m:r>
        <m:f>
          <m:fPr>
            <m:ctrlPr>
              <w:rPr>
                <w:rFonts w:ascii="Cambria Math" w:hAnsi="Cambria Math"/>
                <w:i/>
                <w:sz w:val="24"/>
                <w:szCs w:val="24"/>
                <w:lang w:val="en-US"/>
              </w:rPr>
            </m:ctrlPr>
          </m:fPr>
          <m:num>
            <m:r>
              <m:rPr/>
              <w:rPr>
                <w:rFonts w:ascii="Cambria Math" w:hAnsi="Cambria Math"/>
                <w:sz w:val="24"/>
                <w:szCs w:val="24"/>
                <w:lang w:val="en-US"/>
              </w:rPr>
              <m:t>720</m:t>
            </m:r>
            <m:ctrlPr>
              <w:rPr>
                <w:rFonts w:ascii="Cambria Math" w:hAnsi="Cambria Math"/>
                <w:i/>
                <w:sz w:val="24"/>
                <w:szCs w:val="24"/>
                <w:lang w:val="en-US"/>
              </w:rPr>
            </m:ctrlPr>
          </m:num>
          <m:den>
            <m:sSup>
              <m:sSupPr>
                <m:ctrlPr>
                  <w:rPr>
                    <w:rFonts w:ascii="Cambria Math" w:hAnsi="Cambria Math"/>
                    <w:i/>
                    <w:sz w:val="24"/>
                    <w:szCs w:val="24"/>
                    <w:lang w:val="en-US"/>
                  </w:rPr>
                </m:ctrlPr>
              </m:sSupPr>
              <m:e>
                <m:r>
                  <m:rPr/>
                  <w:rPr>
                    <w:rFonts w:ascii="Cambria Math" w:hAnsi="Cambria Math"/>
                    <w:sz w:val="24"/>
                    <w:szCs w:val="24"/>
                    <w:lang w:val="en-US"/>
                  </w:rPr>
                  <m:t>1+720(0.05)</m:t>
                </m:r>
                <m:ctrlPr>
                  <w:rPr>
                    <w:rFonts w:ascii="Cambria Math" w:hAnsi="Cambria Math"/>
                    <w:i/>
                    <w:sz w:val="24"/>
                    <w:szCs w:val="24"/>
                    <w:lang w:val="en-US"/>
                  </w:rPr>
                </m:ctrlPr>
              </m:e>
              <m:sup>
                <m:r>
                  <m:rPr/>
                  <w:rPr>
                    <w:rFonts w:ascii="Cambria Math" w:hAnsi="Cambria Math"/>
                    <w:sz w:val="24"/>
                    <w:szCs w:val="24"/>
                    <w:lang w:val="en-US"/>
                  </w:rPr>
                  <m:t>2</m:t>
                </m:r>
                <m:ctrlPr>
                  <w:rPr>
                    <w:rFonts w:ascii="Cambria Math" w:hAnsi="Cambria Math"/>
                    <w:i/>
                    <w:sz w:val="24"/>
                    <w:szCs w:val="24"/>
                    <w:lang w:val="en-US"/>
                  </w:rPr>
                </m:ctrlPr>
              </m:sup>
            </m:sSup>
            <m:ctrlPr>
              <w:rPr>
                <w:rFonts w:ascii="Cambria Math" w:hAnsi="Cambria Math"/>
                <w:i/>
                <w:sz w:val="24"/>
                <w:szCs w:val="24"/>
                <w:lang w:val="en-US"/>
              </w:rPr>
            </m:ctrlPr>
          </m:den>
        </m:f>
      </m:oMath>
      <w:r>
        <w:rPr>
          <w:rFonts w:hAnsi="Cambria Math"/>
          <w:sz w:val="24"/>
          <w:szCs w:val="24"/>
          <w:lang w:val="en-US"/>
        </w:rPr>
        <w:t xml:space="preserve"> = 257</w:t>
      </w:r>
    </w:p>
    <w:p w14:paraId="0DC2CA47">
      <w:pPr>
        <w:spacing w:line="480" w:lineRule="auto"/>
        <w:jc w:val="both"/>
        <w:rPr>
          <w:rFonts w:hAnsi="Cambria Math"/>
          <w:sz w:val="24"/>
          <w:szCs w:val="24"/>
          <w:lang w:val="en-US"/>
        </w:rPr>
      </w:pPr>
      <w:r>
        <w:rPr>
          <w:rFonts w:ascii="Times New Roman" w:hAnsi="Times New Roman"/>
          <w:sz w:val="24"/>
          <w:szCs w:val="24"/>
          <w:lang w:val="en-US"/>
        </w:rPr>
        <w:t xml:space="preserve">Adjusting for a 10% non-response rate: </w:t>
      </w:r>
      <m:oMath>
        <m:f>
          <m:fPr>
            <m:ctrlPr>
              <w:rPr>
                <w:rFonts w:ascii="Cambria Math" w:hAnsi="Cambria Math"/>
                <w:i/>
                <w:sz w:val="24"/>
                <w:szCs w:val="24"/>
                <w:lang w:val="en-US"/>
              </w:rPr>
            </m:ctrlPr>
          </m:fPr>
          <m:num>
            <m:r>
              <m:rPr/>
              <w:rPr>
                <w:rFonts w:ascii="Cambria Math" w:hAnsi="Cambria Math"/>
                <w:sz w:val="24"/>
                <w:szCs w:val="24"/>
                <w:lang w:val="en-US"/>
              </w:rPr>
              <m:t>N</m:t>
            </m:r>
            <m:ctrlPr>
              <w:rPr>
                <w:rFonts w:ascii="Cambria Math" w:hAnsi="Cambria Math"/>
                <w:i/>
                <w:sz w:val="24"/>
                <w:szCs w:val="24"/>
                <w:lang w:val="en-US"/>
              </w:rPr>
            </m:ctrlPr>
          </m:num>
          <m:den>
            <m:r>
              <m:rPr/>
              <w:rPr>
                <w:rFonts w:ascii="Cambria Math" w:hAnsi="Cambria Math"/>
                <w:sz w:val="24"/>
                <w:szCs w:val="24"/>
                <w:lang w:val="en-US"/>
              </w:rPr>
              <m:t>1−0.10</m:t>
            </m:r>
            <m:ctrlPr>
              <w:rPr>
                <w:rFonts w:ascii="Cambria Math" w:hAnsi="Cambria Math"/>
                <w:i/>
                <w:sz w:val="24"/>
                <w:szCs w:val="24"/>
                <w:lang w:val="en-US"/>
              </w:rPr>
            </m:ctrlPr>
          </m:den>
        </m:f>
      </m:oMath>
      <w:r>
        <w:rPr>
          <w:rFonts w:ascii="Times New Roman" w:hAnsi="Times New Roman"/>
          <w:sz w:val="24"/>
          <w:szCs w:val="24"/>
          <w:lang w:val="en-US"/>
        </w:rPr>
        <w:t xml:space="preserve"> = </w:t>
      </w:r>
      <m:oMath>
        <m:f>
          <m:fPr>
            <m:ctrlPr>
              <w:rPr>
                <w:rFonts w:ascii="Cambria Math" w:hAnsi="Cambria Math"/>
                <w:i/>
                <w:sz w:val="24"/>
                <w:szCs w:val="24"/>
                <w:lang w:val="en-US"/>
              </w:rPr>
            </m:ctrlPr>
          </m:fPr>
          <m:num>
            <m:r>
              <m:rPr/>
              <w:rPr>
                <w:rFonts w:ascii="Cambria Math" w:hAnsi="Cambria Math"/>
                <w:sz w:val="24"/>
                <w:szCs w:val="24"/>
                <w:lang w:val="en-US"/>
              </w:rPr>
              <m:t>257</m:t>
            </m:r>
            <m:ctrlPr>
              <w:rPr>
                <w:rFonts w:ascii="Cambria Math" w:hAnsi="Cambria Math"/>
                <w:i/>
                <w:sz w:val="24"/>
                <w:szCs w:val="24"/>
                <w:lang w:val="en-US"/>
              </w:rPr>
            </m:ctrlPr>
          </m:num>
          <m:den>
            <m:r>
              <m:rPr/>
              <w:rPr>
                <w:rFonts w:ascii="Cambria Math" w:hAnsi="Cambria Math"/>
                <w:sz w:val="24"/>
                <w:szCs w:val="24"/>
                <w:lang w:val="en-US"/>
              </w:rPr>
              <m:t>1−0.10</m:t>
            </m:r>
            <m:ctrlPr>
              <w:rPr>
                <w:rFonts w:ascii="Cambria Math" w:hAnsi="Cambria Math"/>
                <w:i/>
                <w:sz w:val="24"/>
                <w:szCs w:val="24"/>
                <w:lang w:val="en-US"/>
              </w:rPr>
            </m:ctrlPr>
          </m:den>
        </m:f>
      </m:oMath>
      <w:r>
        <w:rPr>
          <w:rFonts w:hAnsi="Cambria Math"/>
          <w:sz w:val="24"/>
          <w:szCs w:val="24"/>
          <w:lang w:val="en-US"/>
        </w:rPr>
        <w:t xml:space="preserve"> = 286</w:t>
      </w:r>
    </w:p>
    <w:p w14:paraId="3DF2CDB4">
      <w:pPr>
        <w:spacing w:line="480" w:lineRule="auto"/>
        <w:jc w:val="both"/>
        <w:rPr>
          <w:rFonts w:ascii="Times New Roman" w:hAnsi="Times New Roman"/>
          <w:sz w:val="24"/>
          <w:szCs w:val="24"/>
        </w:rPr>
      </w:pPr>
      <w:r>
        <w:rPr>
          <w:rFonts w:ascii="Times New Roman" w:hAnsi="Times New Roman"/>
          <w:sz w:val="24"/>
          <w:szCs w:val="24"/>
          <w:lang w:val="en-US"/>
        </w:rPr>
        <w:t>R</w:t>
      </w:r>
      <w:r>
        <w:rPr>
          <w:rFonts w:ascii="Times New Roman" w:hAnsi="Times New Roman"/>
          <w:sz w:val="24"/>
          <w:szCs w:val="24"/>
        </w:rPr>
        <w:t>esulting in a sample size of 2</w:t>
      </w:r>
      <w:r>
        <w:rPr>
          <w:rFonts w:ascii="Times New Roman" w:hAnsi="Times New Roman"/>
          <w:sz w:val="24"/>
          <w:szCs w:val="24"/>
          <w:lang w:val="en-US"/>
        </w:rPr>
        <w:t>86</w:t>
      </w:r>
      <w:r>
        <w:rPr>
          <w:rFonts w:ascii="Times New Roman" w:hAnsi="Times New Roman"/>
          <w:sz w:val="24"/>
          <w:szCs w:val="24"/>
        </w:rPr>
        <w:t xml:space="preserve"> nurses.</w:t>
      </w:r>
    </w:p>
    <w:p w14:paraId="26CA3F7E">
      <w:pPr>
        <w:spacing w:line="480" w:lineRule="auto"/>
        <w:jc w:val="both"/>
        <w:rPr>
          <w:rFonts w:ascii="Times New Roman" w:hAnsi="Times New Roman"/>
          <w:b/>
          <w:bCs/>
          <w:sz w:val="24"/>
          <w:szCs w:val="24"/>
          <w:lang w:val="en-US"/>
        </w:rPr>
      </w:pPr>
      <w:r>
        <w:rPr>
          <w:rFonts w:ascii="Times New Roman" w:hAnsi="Times New Roman"/>
          <w:b/>
          <w:bCs/>
          <w:sz w:val="24"/>
          <w:szCs w:val="24"/>
          <w:lang w:val="en-US"/>
        </w:rPr>
        <w:t>Sampling techniques</w:t>
      </w:r>
    </w:p>
    <w:p w14:paraId="6FB351C7">
      <w:pPr>
        <w:spacing w:line="480" w:lineRule="auto"/>
        <w:jc w:val="both"/>
        <w:rPr>
          <w:rFonts w:ascii="Times New Roman" w:hAnsi="Times New Roman"/>
          <w:sz w:val="24"/>
          <w:szCs w:val="24"/>
          <w:lang w:val="en-US"/>
        </w:rPr>
      </w:pPr>
      <w:r>
        <w:rPr>
          <w:rFonts w:hint="default" w:ascii="Times New Roman" w:hAnsi="Times New Roman"/>
          <w:sz w:val="24"/>
          <w:szCs w:val="24"/>
          <w:lang w:val="en-US"/>
        </w:rPr>
        <w:t>The w</w:t>
      </w:r>
      <w:r>
        <w:rPr>
          <w:rFonts w:ascii="Times New Roman" w:hAnsi="Times New Roman"/>
          <w:sz w:val="24"/>
          <w:szCs w:val="24"/>
        </w:rPr>
        <w:t>ards were selected via a simple random sampling method and nurses were chosen through convenience sampling</w:t>
      </w:r>
      <w:r>
        <w:rPr>
          <w:rFonts w:ascii="Times New Roman" w:hAnsi="Times New Roman"/>
          <w:sz w:val="24"/>
          <w:szCs w:val="24"/>
          <w:lang w:val="en-US"/>
        </w:rPr>
        <w:t xml:space="preserve">. </w:t>
      </w:r>
      <w:bookmarkStart w:id="1" w:name="_GoBack"/>
      <w:bookmarkEnd w:id="1"/>
    </w:p>
    <w:p w14:paraId="7134A4C8">
      <w:pPr>
        <w:spacing w:line="480" w:lineRule="auto"/>
        <w:jc w:val="both"/>
        <w:rPr>
          <w:rFonts w:ascii="Times New Roman" w:hAnsi="Times New Roman"/>
          <w:b/>
          <w:bCs/>
          <w:sz w:val="24"/>
          <w:szCs w:val="24"/>
          <w:lang w:val="en-US"/>
        </w:rPr>
      </w:pPr>
      <w:r>
        <w:rPr>
          <w:rFonts w:ascii="Times New Roman" w:hAnsi="Times New Roman"/>
          <w:b/>
          <w:bCs/>
          <w:sz w:val="24"/>
          <w:szCs w:val="24"/>
          <w:lang w:val="en-US"/>
        </w:rPr>
        <w:t>Instrument for data collection</w:t>
      </w:r>
    </w:p>
    <w:p w14:paraId="48D6A533">
      <w:pPr>
        <w:spacing w:line="480" w:lineRule="auto"/>
        <w:jc w:val="both"/>
        <w:rPr>
          <w:rFonts w:ascii="Times New Roman" w:hAnsi="Times New Roman"/>
          <w:sz w:val="24"/>
          <w:szCs w:val="24"/>
        </w:rPr>
      </w:pPr>
      <w:r>
        <w:rPr>
          <w:rFonts w:ascii="Times New Roman" w:hAnsi="Times New Roman"/>
          <w:sz w:val="24"/>
          <w:szCs w:val="24"/>
        </w:rPr>
        <w:t>A self-constructed questionnaire was the primary data collection instrument</w:t>
      </w:r>
      <w:r>
        <w:rPr>
          <w:rFonts w:ascii="Times New Roman" w:hAnsi="Times New Roman"/>
          <w:sz w:val="24"/>
          <w:szCs w:val="24"/>
          <w:lang w:val="en-US"/>
        </w:rPr>
        <w:t>, developed specifically for this study</w:t>
      </w:r>
      <w:r>
        <w:rPr>
          <w:rFonts w:ascii="Times New Roman" w:hAnsi="Times New Roman"/>
          <w:sz w:val="24"/>
          <w:szCs w:val="24"/>
        </w:rPr>
        <w:t xml:space="preserve"> and was divided into four sections: demographic data, knowledge of universal standard precautions, compliance with these precautions and factors influencing compliance. </w:t>
      </w:r>
    </w:p>
    <w:p w14:paraId="76394349">
      <w:pPr>
        <w:spacing w:line="480" w:lineRule="auto"/>
        <w:jc w:val="both"/>
        <w:rPr>
          <w:rFonts w:ascii="Times New Roman" w:hAnsi="Times New Roman"/>
          <w:b/>
          <w:bCs/>
          <w:sz w:val="24"/>
          <w:szCs w:val="24"/>
        </w:rPr>
      </w:pPr>
      <w:r>
        <w:rPr>
          <w:rFonts w:ascii="Times New Roman" w:hAnsi="Times New Roman"/>
          <w:b/>
          <w:bCs/>
          <w:sz w:val="24"/>
          <w:szCs w:val="24"/>
        </w:rPr>
        <w:t>Reliability of the Instrument</w:t>
      </w:r>
    </w:p>
    <w:p w14:paraId="0DD72D47">
      <w:pPr>
        <w:spacing w:line="480" w:lineRule="auto"/>
        <w:jc w:val="both"/>
        <w:rPr>
          <w:rFonts w:ascii="Times New Roman" w:hAnsi="Times New Roman"/>
          <w:sz w:val="24"/>
          <w:szCs w:val="24"/>
        </w:rPr>
      </w:pPr>
      <w:r>
        <w:rPr>
          <w:rFonts w:ascii="Times New Roman" w:hAnsi="Times New Roman"/>
          <w:sz w:val="24"/>
          <w:szCs w:val="24"/>
        </w:rPr>
        <w:t>The reliability of the questionnaire was confirmed through a pilot study with 26 nurses from Central Hospital, Benin city, using the Cronbach’s alpha reliability technique</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{"citationID":"W7VlWBnU","properties":{"formattedCitation":"\\super 18\\nosupersub{}","plainCitation":"18","noteIndex":0},"citationItems":[{"id":413,"uris":["http://zotero.org/users/local/j2qthHfY/items/JNZRF8LA"],"itemData":{"id":413,"type":"report","language":"English","number":"16, 297–334","publisher":"Psychometrika","title":"Coefficient alpha and the internal structure of tests","author":[{"literal":"Cronbach, L. J."}],"issued":{"date-parts":[["1951"]]}}}],"schema":"https://github.com/citation-style-language/schema/raw/master/csl-citation.json"}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18</w:t>
      </w:r>
      <w:r>
        <w:rPr>
          <w:rFonts w:ascii="Times New Roman" w:hAnsi="Times New Roman"/>
          <w:sz w:val="24"/>
          <w:szCs w:val="24"/>
        </w:rPr>
        <w:fldChar w:fldCharType="end"/>
      </w:r>
      <w:r>
        <w:rPr>
          <w:rFonts w:ascii="Times New Roman" w:hAnsi="Times New Roman"/>
          <w:sz w:val="24"/>
          <w:szCs w:val="24"/>
        </w:rPr>
        <w:t>, which yielded a coefficient of 0.81. The validity of the instrument was ensured through expert judgement.</w:t>
      </w:r>
    </w:p>
    <w:p w14:paraId="12F0A3AF">
      <w:pPr>
        <w:spacing w:line="480" w:lineRule="auto"/>
        <w:jc w:val="both"/>
        <w:rPr>
          <w:rFonts w:ascii="Times New Roman" w:hAnsi="Times New Roman"/>
          <w:b/>
          <w:bCs/>
          <w:sz w:val="24"/>
          <w:szCs w:val="24"/>
          <w:lang w:val="en-US"/>
        </w:rPr>
      </w:pPr>
      <w:r>
        <w:rPr>
          <w:rFonts w:ascii="Times New Roman" w:hAnsi="Times New Roman"/>
          <w:b/>
          <w:bCs/>
          <w:sz w:val="24"/>
          <w:szCs w:val="24"/>
          <w:lang w:val="en-US"/>
        </w:rPr>
        <w:t>Data analysis</w:t>
      </w:r>
    </w:p>
    <w:p w14:paraId="34C42E77">
      <w:pPr>
        <w:spacing w:line="480" w:lineRule="auto"/>
        <w:jc w:val="both"/>
        <w:rPr>
          <w:rFonts w:ascii="Times New Roman" w:hAnsi="Times New Roman"/>
          <w:sz w:val="24"/>
          <w:szCs w:val="24"/>
          <w:lang w:val="en-US"/>
        </w:rPr>
      </w:pPr>
      <w:r>
        <w:rPr>
          <w:rFonts w:ascii="Times New Roman" w:hAnsi="Times New Roman"/>
          <w:sz w:val="24"/>
          <w:szCs w:val="24"/>
        </w:rPr>
        <w:t>Data collection involved administering questionnaires to nurses at UBTH. The collected data were collated and entered into a Microsoft Excel spreadsheet and then analy</w:t>
      </w:r>
      <w:r>
        <w:rPr>
          <w:rFonts w:hint="default" w:ascii="Times New Roman" w:hAnsi="Times New Roman"/>
          <w:sz w:val="24"/>
          <w:szCs w:val="24"/>
          <w:lang w:val="en-US"/>
        </w:rPr>
        <w:t>z</w:t>
      </w:r>
      <w:r>
        <w:rPr>
          <w:rFonts w:ascii="Times New Roman" w:hAnsi="Times New Roman"/>
          <w:sz w:val="24"/>
          <w:szCs w:val="24"/>
        </w:rPr>
        <w:t>ed via the Statistical Package for Social Sciences (SPSS) version 23.0</w:t>
      </w:r>
      <w:r>
        <w:rPr>
          <w:rFonts w:ascii="Times New Roman" w:hAnsi="Times New Roman"/>
          <w:sz w:val="24"/>
          <w:szCs w:val="24"/>
          <w:vertAlign w:val="superscript"/>
          <w:lang w:val="en-US"/>
        </w:rPr>
        <w:t>16</w:t>
      </w:r>
      <w:r>
        <w:rPr>
          <w:rFonts w:ascii="Times New Roman" w:hAnsi="Times New Roman"/>
          <w:sz w:val="24"/>
          <w:szCs w:val="24"/>
        </w:rPr>
        <w:t>. Both descriptive and inferential statistical analyses were employed, with chi-square tests used to assess data significance (P values &lt; 0.05 were considered significant).</w:t>
      </w:r>
      <w:r>
        <w:rPr>
          <w:rFonts w:ascii="Times New Roman" w:hAnsi="Times New Roman"/>
          <w:sz w:val="24"/>
          <w:szCs w:val="24"/>
          <w:lang w:val="en-US"/>
        </w:rPr>
        <w:t xml:space="preserve"> McDonald’s standard of learning outcome measurement criteria was used to categorize nurses’ knowledge</w:t>
      </w:r>
      <w:r>
        <w:rPr>
          <w:rFonts w:ascii="Times New Roman" w:hAnsi="Times New Roman"/>
          <w:sz w:val="24"/>
          <w:szCs w:val="24"/>
          <w:lang w:val="en-US"/>
        </w:rPr>
        <w:fldChar w:fldCharType="begin"/>
      </w:r>
      <w:r>
        <w:rPr>
          <w:rFonts w:ascii="Times New Roman" w:hAnsi="Times New Roman"/>
          <w:sz w:val="24"/>
          <w:szCs w:val="24"/>
          <w:lang w:val="en-US"/>
        </w:rPr>
        <w:instrText xml:space="preserve"> ADDIN ZOTERO_ITEM CSL_CITATION {"citationID":"XeQDA3K7","properties":{"formattedCitation":"\\super 19\\nosupersub{}","plainCitation":"19","noteIndex":0},"citationItems":[{"id":415,"uris":["http://zotero.org/users/local/j2qthHfY/items/BCRSE5M8"],"itemData":{"id":415,"type":"article-journal","container-title":"International Journal of Nursing and Midwifery","DOI":"10.5897/IJNM2014.0155","ISSN":"2141-2456","issue":"4","journalAbbreviation":"Int. J. Nurs. Midwifery","page":"54-60","source":"DOI.org (Crossref)","title":"Knowledge, attitude and practice of nurses toward pressure ulcer prevention in University of Maiduguri Teaching Hospital, Borno State, North-Eastern, Nigeria","URL":"http://academicjournals.org/journal/IJNM/article-abstract/A2F187F51691","volume":"7","author":[{"family":"Uba","given":"M N"},{"family":"Alih","given":"F I"},{"family":"Kever","given":"R T"},{"family":"Lola","given":"N"}],"accessed":{"date-parts":[["2025",5,14]]},"issued":{"date-parts":[["2015",4,30]]}}}],"schema":"https://github.com/citation-style-language/schema/raw/master/csl-citation.json"} </w:instrText>
      </w:r>
      <w:r>
        <w:rPr>
          <w:rFonts w:ascii="Times New Roman" w:hAnsi="Times New Roman"/>
          <w:sz w:val="24"/>
          <w:szCs w:val="24"/>
          <w:lang w:val="en-US"/>
        </w:rPr>
        <w:fldChar w:fldCharType="separate"/>
      </w:r>
      <w:r>
        <w:rPr>
          <w:rFonts w:hint="default" w:ascii="Times New Roman" w:hAnsi="Times New Roman" w:cs="Times New Roman"/>
          <w:sz w:val="24"/>
          <w:szCs w:val="24"/>
          <w:vertAlign w:val="superscript"/>
        </w:rPr>
        <w:t>19</w:t>
      </w:r>
      <w:r>
        <w:rPr>
          <w:rFonts w:ascii="Times New Roman" w:hAnsi="Times New Roman"/>
          <w:sz w:val="24"/>
          <w:szCs w:val="24"/>
          <w:lang w:val="en-US"/>
        </w:rPr>
        <w:fldChar w:fldCharType="end"/>
      </w:r>
      <w:r>
        <w:rPr>
          <w:rFonts w:ascii="Times New Roman" w:hAnsi="Times New Roman"/>
          <w:sz w:val="24"/>
          <w:szCs w:val="24"/>
          <w:lang w:val="en-US"/>
        </w:rPr>
        <w:t>. The criterion was divided into five categories: very low (˂60%), low (60%–69.99%), moderate (70%–79.99%), high (80%–89.99%), and very high (90%–100%).</w:t>
      </w:r>
    </w:p>
    <w:p w14:paraId="6537666B">
      <w:pPr>
        <w:spacing w:line="480" w:lineRule="auto"/>
        <w:jc w:val="both"/>
        <w:rPr>
          <w:rFonts w:ascii="Times New Roman" w:hAnsi="Times New Roman"/>
          <w:b/>
          <w:bCs/>
          <w:sz w:val="24"/>
          <w:szCs w:val="24"/>
          <w:lang w:val="en-US"/>
        </w:rPr>
      </w:pPr>
      <w:r>
        <w:rPr>
          <w:rFonts w:ascii="Times New Roman" w:hAnsi="Times New Roman"/>
          <w:b/>
          <w:bCs/>
          <w:sz w:val="24"/>
          <w:szCs w:val="24"/>
          <w:lang w:val="en-US"/>
        </w:rPr>
        <w:t>Ethical consideration</w:t>
      </w:r>
    </w:p>
    <w:p w14:paraId="1960F2E3">
      <w:pPr>
        <w:spacing w:line="480" w:lineRule="auto"/>
        <w:jc w:val="both"/>
        <w:rPr>
          <w:rFonts w:ascii="Times New Roman" w:hAnsi="Times New Roman"/>
          <w:sz w:val="24"/>
          <w:szCs w:val="24"/>
        </w:rPr>
      </w:pPr>
      <w:r>
        <w:rPr>
          <w:rFonts w:ascii="Times New Roman" w:hAnsi="Times New Roman"/>
          <w:sz w:val="24"/>
          <w:szCs w:val="24"/>
        </w:rPr>
        <w:t>Ethical approval for the study was obtained from the ethical committee of UBTH</w:t>
      </w:r>
      <w:r>
        <w:rPr>
          <w:rFonts w:ascii="Times New Roman" w:hAnsi="Times New Roman"/>
          <w:sz w:val="24"/>
          <w:szCs w:val="24"/>
          <w:lang w:val="en-US"/>
        </w:rPr>
        <w:t xml:space="preserve"> with Protocol number:ADM/E22/A/VOL.VII/14831137</w:t>
      </w:r>
      <w:r>
        <w:rPr>
          <w:rFonts w:ascii="Times New Roman" w:hAnsi="Times New Roman"/>
          <w:sz w:val="24"/>
          <w:szCs w:val="24"/>
        </w:rPr>
        <w:t>. Permission was also secured from the ethical review board of the University of Benin</w:t>
      </w:r>
      <w:r>
        <w:rPr>
          <w:rFonts w:ascii="Times New Roman" w:hAnsi="Times New Roman"/>
          <w:sz w:val="24"/>
          <w:szCs w:val="24"/>
          <w:lang w:val="en-US"/>
        </w:rPr>
        <w:t xml:space="preserve"> Teaching Hospital</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UBTH</w:t>
      </w:r>
      <w:r>
        <w:rPr>
          <w:rFonts w:ascii="Times New Roman" w:hAnsi="Times New Roman"/>
          <w:sz w:val="24"/>
          <w:szCs w:val="24"/>
          <w:lang w:val="en-US"/>
        </w:rPr>
        <w:t>)</w:t>
      </w:r>
      <w:r>
        <w:rPr>
          <w:rFonts w:ascii="Times New Roman" w:hAnsi="Times New Roman"/>
          <w:sz w:val="24"/>
          <w:szCs w:val="24"/>
        </w:rPr>
        <w:t xml:space="preserve"> management. Informed consent was obtained from all participants after the study's objectives were explained. Confidentiality and anonymity were maintained throughout the study, ensuring that participants' personal information remained protected.</w:t>
      </w:r>
    </w:p>
    <w:p w14:paraId="3752A40A">
      <w:pPr>
        <w:spacing w:line="480" w:lineRule="auto"/>
        <w:jc w:val="both"/>
        <w:rPr>
          <w:rFonts w:ascii="Times New Roman" w:hAnsi="Times New Roman"/>
          <w:b/>
          <w:bCs/>
          <w:sz w:val="24"/>
          <w:szCs w:val="24"/>
          <w:lang w:val="en-US"/>
        </w:rPr>
      </w:pPr>
      <w:r>
        <w:rPr>
          <w:rFonts w:ascii="Times New Roman" w:hAnsi="Times New Roman"/>
          <w:b/>
          <w:bCs/>
          <w:sz w:val="24"/>
          <w:szCs w:val="24"/>
        </w:rPr>
        <w:t>Results</w:t>
      </w:r>
    </w:p>
    <w:p w14:paraId="786BE899">
      <w:pPr>
        <w:spacing w:line="480" w:lineRule="auto"/>
        <w:jc w:val="both"/>
        <w:rPr>
          <w:rFonts w:ascii="Times New Roman" w:hAnsi="Times New Roman"/>
          <w:color w:val="000000"/>
          <w:sz w:val="24"/>
          <w:szCs w:val="24"/>
        </w:rPr>
      </w:pPr>
      <w:r>
        <w:rPr>
          <w:rFonts w:ascii="Times New Roman" w:hAnsi="Times New Roman"/>
          <w:color w:val="000000"/>
          <w:sz w:val="24"/>
          <w:szCs w:val="24"/>
        </w:rPr>
        <w:t>A total of 2</w:t>
      </w:r>
      <w:r>
        <w:rPr>
          <w:rFonts w:ascii="Times New Roman" w:hAnsi="Times New Roman"/>
          <w:color w:val="000000"/>
          <w:sz w:val="24"/>
          <w:szCs w:val="24"/>
          <w:lang w:val="en-US"/>
        </w:rPr>
        <w:t>86</w:t>
      </w:r>
      <w:r>
        <w:rPr>
          <w:rFonts w:ascii="Times New Roman" w:hAnsi="Times New Roman"/>
          <w:color w:val="000000"/>
          <w:sz w:val="24"/>
          <w:szCs w:val="24"/>
        </w:rPr>
        <w:t xml:space="preserve"> questionnaires distributed to the respondents </w:t>
      </w:r>
      <w:r>
        <w:rPr>
          <w:rFonts w:ascii="Times New Roman" w:hAnsi="Times New Roman"/>
          <w:color w:val="000000"/>
          <w:sz w:val="24"/>
          <w:szCs w:val="24"/>
          <w:lang w:val="en-US"/>
        </w:rPr>
        <w:t xml:space="preserve"> and only 257 </w:t>
      </w:r>
      <w:r>
        <w:rPr>
          <w:rFonts w:ascii="Times New Roman" w:hAnsi="Times New Roman"/>
          <w:color w:val="000000"/>
          <w:sz w:val="24"/>
          <w:szCs w:val="24"/>
        </w:rPr>
        <w:t xml:space="preserve">were duly filled out and returned, which </w:t>
      </w:r>
      <w:r>
        <w:rPr>
          <w:rFonts w:ascii="Times New Roman" w:hAnsi="Times New Roman"/>
          <w:color w:val="000000"/>
          <w:sz w:val="24"/>
          <w:szCs w:val="24"/>
          <w:lang w:val="en-US"/>
        </w:rPr>
        <w:t>was</w:t>
      </w:r>
      <w:r>
        <w:rPr>
          <w:rFonts w:ascii="Times New Roman" w:hAnsi="Times New Roman"/>
          <w:color w:val="000000"/>
          <w:sz w:val="24"/>
          <w:szCs w:val="24"/>
        </w:rPr>
        <w:t xml:space="preserve"> a </w:t>
      </w:r>
      <w:r>
        <w:rPr>
          <w:rFonts w:ascii="Times New Roman" w:hAnsi="Times New Roman"/>
          <w:color w:val="000000"/>
          <w:sz w:val="24"/>
          <w:szCs w:val="24"/>
          <w:lang w:val="en-US"/>
        </w:rPr>
        <w:t>90</w:t>
      </w:r>
      <w:r>
        <w:rPr>
          <w:rFonts w:ascii="Times New Roman" w:hAnsi="Times New Roman"/>
          <w:color w:val="000000"/>
          <w:sz w:val="24"/>
          <w:szCs w:val="24"/>
        </w:rPr>
        <w:t>% response rate.</w:t>
      </w:r>
    </w:p>
    <w:p w14:paraId="5EC73509">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Table </w:t>
      </w:r>
      <w:r>
        <w:rPr>
          <w:rFonts w:ascii="Times New Roman" w:hAnsi="Times New Roman"/>
          <w:color w:val="000000"/>
          <w:sz w:val="24"/>
          <w:szCs w:val="24"/>
          <w:lang w:val="en-US"/>
        </w:rPr>
        <w:t>1</w:t>
      </w:r>
      <w:r>
        <w:rPr>
          <w:rFonts w:ascii="Times New Roman" w:hAnsi="Times New Roman"/>
          <w:color w:val="000000"/>
          <w:sz w:val="24"/>
          <w:szCs w:val="24"/>
        </w:rPr>
        <w:t xml:space="preserve"> shows that  58 (22.5%) </w:t>
      </w:r>
      <w:r>
        <w:rPr>
          <w:rFonts w:ascii="Times New Roman" w:hAnsi="Times New Roman"/>
          <w:color w:val="000000"/>
          <w:sz w:val="24"/>
          <w:szCs w:val="24"/>
          <w:lang w:val="en-US"/>
        </w:rPr>
        <w:t xml:space="preserve">of the respondents </w:t>
      </w:r>
      <w:r>
        <w:rPr>
          <w:rFonts w:ascii="Times New Roman" w:hAnsi="Times New Roman"/>
          <w:color w:val="000000"/>
          <w:sz w:val="24"/>
          <w:szCs w:val="24"/>
        </w:rPr>
        <w:t>were between 31 and 35 years old</w:t>
      </w:r>
      <w:r>
        <w:rPr>
          <w:rFonts w:ascii="Times New Roman" w:hAnsi="Times New Roman"/>
          <w:color w:val="000000"/>
          <w:sz w:val="24"/>
          <w:szCs w:val="24"/>
          <w:lang w:val="en-US"/>
        </w:rPr>
        <w:t xml:space="preserve">. </w:t>
      </w:r>
      <w:r>
        <w:rPr>
          <w:rFonts w:ascii="Times New Roman" w:hAnsi="Times New Roman"/>
          <w:color w:val="000000"/>
          <w:sz w:val="24"/>
          <w:szCs w:val="24"/>
        </w:rPr>
        <w:t>In terms of academic qualifications, 27 (10.5%) of the respondents had RNs, 50 (19.5%) had RNs and RMs, 100 (38.9%) had BNscs, 70 (27.2%) had M. NSc, while 10 (3.9%) had PhDs. The distribution of the respondents in terms of years of practice revealed that 50 (19.5%) had practised for 1--5 years, 100 (38.9%) had practised for 6-10 years, 70 (27.2%) had practised for 11--15 years, 27 (10.5%) had practised for 16--20 years, and 10 (3.9%) had practised for 20 years or more.</w:t>
      </w:r>
    </w:p>
    <w:p w14:paraId="1B4A731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Table </w:t>
      </w:r>
      <w:r>
        <w:rPr>
          <w:rFonts w:ascii="Times New Roman" w:hAnsi="Times New Roman"/>
          <w:b/>
          <w:bCs/>
          <w:color w:val="000000"/>
          <w:sz w:val="24"/>
          <w:szCs w:val="24"/>
          <w:lang w:val="en-US"/>
        </w:rPr>
        <w:t>1</w:t>
      </w:r>
      <w:r>
        <w:rPr>
          <w:rFonts w:ascii="Times New Roman" w:hAnsi="Times New Roman"/>
          <w:b/>
          <w:bCs/>
          <w:color w:val="000000"/>
          <w:sz w:val="24"/>
          <w:szCs w:val="24"/>
        </w:rPr>
        <w:t>: Demographic information of the respondents</w:t>
      </w:r>
    </w:p>
    <w:tbl>
      <w:tblPr>
        <w:tblStyle w:val="3"/>
        <w:tblW w:w="0" w:type="auto"/>
        <w:tblInd w:w="-15"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8"/>
        <w:gridCol w:w="2028"/>
        <w:gridCol w:w="2160"/>
        <w:gridCol w:w="1968"/>
        <w:gridCol w:w="1728"/>
      </w:tblGrid>
      <w:tr w14:paraId="3BD89CD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8" w:type="dxa"/>
            <w:tcBorders>
              <w:bottom w:val="single" w:color="auto" w:sz="4" w:space="0"/>
            </w:tcBorders>
            <w:shd w:val="clear" w:color="auto" w:fill="auto"/>
          </w:tcPr>
          <w:p w14:paraId="122CE9A8">
            <w:pPr>
              <w:spacing w:line="480" w:lineRule="auto"/>
              <w:jc w:val="both"/>
              <w:rPr>
                <w:rFonts w:ascii="Times New Roman" w:hAnsi="Times New Roman"/>
                <w:sz w:val="24"/>
                <w:szCs w:val="24"/>
              </w:rPr>
            </w:pPr>
            <w:r>
              <w:rPr>
                <w:rFonts w:ascii="Times New Roman" w:hAnsi="Times New Roman"/>
                <w:b/>
                <w:bCs/>
                <w:sz w:val="24"/>
                <w:szCs w:val="24"/>
              </w:rPr>
              <w:t>S/N</w:t>
            </w:r>
          </w:p>
        </w:tc>
        <w:tc>
          <w:tcPr>
            <w:tcW w:w="2028" w:type="dxa"/>
            <w:tcBorders>
              <w:bottom w:val="single" w:color="auto" w:sz="4" w:space="0"/>
            </w:tcBorders>
            <w:shd w:val="clear" w:color="auto" w:fill="auto"/>
          </w:tcPr>
          <w:p w14:paraId="600C9863">
            <w:pPr>
              <w:spacing w:line="480" w:lineRule="auto"/>
              <w:jc w:val="both"/>
              <w:rPr>
                <w:rFonts w:ascii="Times New Roman" w:hAnsi="Times New Roman"/>
                <w:sz w:val="24"/>
                <w:szCs w:val="24"/>
              </w:rPr>
            </w:pPr>
            <w:r>
              <w:rPr>
                <w:rFonts w:ascii="Times New Roman" w:hAnsi="Times New Roman"/>
                <w:b/>
                <w:bCs/>
                <w:sz w:val="24"/>
                <w:szCs w:val="24"/>
              </w:rPr>
              <w:t>Variables</w:t>
            </w:r>
          </w:p>
        </w:tc>
        <w:tc>
          <w:tcPr>
            <w:tcW w:w="2160" w:type="dxa"/>
            <w:tcBorders>
              <w:bottom w:val="single" w:color="auto" w:sz="4" w:space="0"/>
            </w:tcBorders>
            <w:shd w:val="clear" w:color="auto" w:fill="auto"/>
          </w:tcPr>
          <w:p w14:paraId="5E3EFD4F">
            <w:pPr>
              <w:spacing w:line="480" w:lineRule="auto"/>
              <w:jc w:val="both"/>
              <w:rPr>
                <w:rFonts w:ascii="Times New Roman" w:hAnsi="Times New Roman"/>
                <w:sz w:val="24"/>
                <w:szCs w:val="24"/>
              </w:rPr>
            </w:pPr>
            <w:r>
              <w:rPr>
                <w:rFonts w:ascii="Times New Roman" w:hAnsi="Times New Roman"/>
                <w:b/>
                <w:bCs/>
                <w:sz w:val="24"/>
                <w:szCs w:val="24"/>
              </w:rPr>
              <w:t>Attributes</w:t>
            </w:r>
          </w:p>
        </w:tc>
        <w:tc>
          <w:tcPr>
            <w:tcW w:w="1968" w:type="dxa"/>
            <w:tcBorders>
              <w:bottom w:val="single" w:color="auto" w:sz="4" w:space="0"/>
            </w:tcBorders>
            <w:shd w:val="clear" w:color="auto" w:fill="auto"/>
          </w:tcPr>
          <w:p w14:paraId="31889664">
            <w:pPr>
              <w:spacing w:line="480" w:lineRule="auto"/>
              <w:jc w:val="both"/>
              <w:rPr>
                <w:rFonts w:ascii="Times New Roman" w:hAnsi="Times New Roman"/>
                <w:sz w:val="24"/>
                <w:szCs w:val="24"/>
              </w:rPr>
            </w:pPr>
            <w:r>
              <w:rPr>
                <w:rFonts w:ascii="Times New Roman" w:hAnsi="Times New Roman"/>
                <w:b/>
                <w:bCs/>
                <w:sz w:val="24"/>
                <w:szCs w:val="24"/>
              </w:rPr>
              <w:t>Frequency</w:t>
            </w:r>
          </w:p>
        </w:tc>
        <w:tc>
          <w:tcPr>
            <w:tcW w:w="1728" w:type="dxa"/>
            <w:tcBorders>
              <w:bottom w:val="single" w:color="auto" w:sz="4" w:space="0"/>
            </w:tcBorders>
            <w:shd w:val="clear" w:color="auto" w:fill="auto"/>
          </w:tcPr>
          <w:p w14:paraId="5FFE5A3C">
            <w:pPr>
              <w:spacing w:line="480" w:lineRule="auto"/>
              <w:jc w:val="both"/>
              <w:rPr>
                <w:rFonts w:ascii="Times New Roman" w:hAnsi="Times New Roman"/>
                <w:sz w:val="24"/>
                <w:szCs w:val="24"/>
              </w:rPr>
            </w:pPr>
            <w:r>
              <w:rPr>
                <w:rFonts w:ascii="Times New Roman" w:hAnsi="Times New Roman"/>
                <w:b/>
                <w:bCs/>
                <w:sz w:val="24"/>
                <w:szCs w:val="24"/>
              </w:rPr>
              <w:t>Percent (%)</w:t>
            </w:r>
          </w:p>
        </w:tc>
      </w:tr>
      <w:tr w14:paraId="1F1E967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 w:hRule="atLeast"/>
        </w:trPr>
        <w:tc>
          <w:tcPr>
            <w:tcW w:w="648" w:type="dxa"/>
            <w:tcBorders>
              <w:top w:val="single" w:color="auto" w:sz="4" w:space="0"/>
            </w:tcBorders>
            <w:shd w:val="clear" w:color="auto" w:fill="auto"/>
          </w:tcPr>
          <w:p w14:paraId="0004E2C9">
            <w:pPr>
              <w:spacing w:line="480" w:lineRule="auto"/>
              <w:jc w:val="both"/>
              <w:rPr>
                <w:rFonts w:ascii="Times New Roman" w:hAnsi="Times New Roman"/>
                <w:sz w:val="24"/>
                <w:szCs w:val="24"/>
                <w:lang w:val="en-US"/>
              </w:rPr>
            </w:pPr>
            <w:r>
              <w:rPr>
                <w:rFonts w:ascii="Times New Roman" w:hAnsi="Times New Roman"/>
                <w:sz w:val="24"/>
                <w:szCs w:val="24"/>
              </w:rPr>
              <w:t> 1.</w:t>
            </w:r>
          </w:p>
        </w:tc>
        <w:tc>
          <w:tcPr>
            <w:tcW w:w="2028" w:type="dxa"/>
            <w:tcBorders>
              <w:top w:val="single" w:color="auto" w:sz="4" w:space="0"/>
            </w:tcBorders>
            <w:shd w:val="clear" w:color="auto" w:fill="auto"/>
          </w:tcPr>
          <w:p w14:paraId="567CD8DD">
            <w:pPr>
              <w:spacing w:line="480" w:lineRule="auto"/>
              <w:jc w:val="both"/>
              <w:rPr>
                <w:rFonts w:ascii="Times New Roman" w:hAnsi="Times New Roman"/>
                <w:sz w:val="24"/>
                <w:szCs w:val="24"/>
              </w:rPr>
            </w:pPr>
            <w:r>
              <w:rPr>
                <w:rFonts w:ascii="Times New Roman" w:hAnsi="Times New Roman"/>
                <w:b/>
                <w:bCs/>
                <w:sz w:val="24"/>
                <w:szCs w:val="24"/>
              </w:rPr>
              <w:t>Age</w:t>
            </w:r>
          </w:p>
        </w:tc>
        <w:tc>
          <w:tcPr>
            <w:tcW w:w="2160" w:type="dxa"/>
            <w:tcBorders>
              <w:top w:val="single" w:color="auto" w:sz="4" w:space="0"/>
            </w:tcBorders>
            <w:shd w:val="clear" w:color="auto" w:fill="auto"/>
          </w:tcPr>
          <w:p w14:paraId="0E9877B2">
            <w:pPr>
              <w:spacing w:line="480" w:lineRule="auto"/>
              <w:jc w:val="both"/>
              <w:rPr>
                <w:rFonts w:ascii="Times New Roman" w:hAnsi="Times New Roman"/>
                <w:sz w:val="24"/>
                <w:szCs w:val="24"/>
              </w:rPr>
            </w:pPr>
            <w:r>
              <w:rPr>
                <w:rFonts w:ascii="Times New Roman" w:hAnsi="Times New Roman"/>
                <w:sz w:val="24"/>
                <w:szCs w:val="24"/>
              </w:rPr>
              <w:t>21-25 years</w:t>
            </w:r>
          </w:p>
        </w:tc>
        <w:tc>
          <w:tcPr>
            <w:tcW w:w="1968" w:type="dxa"/>
            <w:tcBorders>
              <w:top w:val="single" w:color="auto" w:sz="4" w:space="0"/>
            </w:tcBorders>
            <w:shd w:val="clear" w:color="auto" w:fill="auto"/>
          </w:tcPr>
          <w:p w14:paraId="0A34AE1A">
            <w:pPr>
              <w:spacing w:line="480" w:lineRule="auto"/>
              <w:jc w:val="both"/>
              <w:rPr>
                <w:rFonts w:ascii="Times New Roman" w:hAnsi="Times New Roman"/>
                <w:sz w:val="24"/>
                <w:szCs w:val="24"/>
              </w:rPr>
            </w:pPr>
            <w:r>
              <w:rPr>
                <w:rFonts w:ascii="Times New Roman" w:hAnsi="Times New Roman"/>
                <w:sz w:val="24"/>
                <w:szCs w:val="24"/>
              </w:rPr>
              <w:t>27</w:t>
            </w:r>
          </w:p>
        </w:tc>
        <w:tc>
          <w:tcPr>
            <w:tcW w:w="1728" w:type="dxa"/>
            <w:tcBorders>
              <w:top w:val="single" w:color="auto" w:sz="4" w:space="0"/>
            </w:tcBorders>
            <w:shd w:val="clear" w:color="auto" w:fill="auto"/>
          </w:tcPr>
          <w:p w14:paraId="2207C508">
            <w:pPr>
              <w:spacing w:line="480" w:lineRule="auto"/>
              <w:jc w:val="both"/>
              <w:rPr>
                <w:rFonts w:ascii="Times New Roman" w:hAnsi="Times New Roman"/>
                <w:sz w:val="24"/>
                <w:szCs w:val="24"/>
              </w:rPr>
            </w:pPr>
            <w:r>
              <w:rPr>
                <w:rFonts w:ascii="Times New Roman" w:hAnsi="Times New Roman"/>
                <w:sz w:val="24"/>
                <w:szCs w:val="24"/>
              </w:rPr>
              <w:t>10.5</w:t>
            </w:r>
          </w:p>
        </w:tc>
      </w:tr>
      <w:tr w14:paraId="1ECC493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 w:hRule="atLeast"/>
        </w:trPr>
        <w:tc>
          <w:tcPr>
            <w:tcW w:w="648" w:type="dxa"/>
            <w:shd w:val="clear" w:color="auto" w:fill="auto"/>
          </w:tcPr>
          <w:p w14:paraId="737FA69A">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03274B73">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158624AA">
            <w:pPr>
              <w:spacing w:line="480" w:lineRule="auto"/>
              <w:jc w:val="both"/>
              <w:rPr>
                <w:rFonts w:ascii="Times New Roman" w:hAnsi="Times New Roman"/>
                <w:sz w:val="24"/>
                <w:szCs w:val="24"/>
              </w:rPr>
            </w:pPr>
            <w:r>
              <w:rPr>
                <w:rFonts w:ascii="Times New Roman" w:hAnsi="Times New Roman"/>
                <w:sz w:val="24"/>
                <w:szCs w:val="24"/>
              </w:rPr>
              <w:t>26-30 years</w:t>
            </w:r>
          </w:p>
        </w:tc>
        <w:tc>
          <w:tcPr>
            <w:tcW w:w="1968" w:type="dxa"/>
            <w:shd w:val="clear" w:color="auto" w:fill="auto"/>
          </w:tcPr>
          <w:p w14:paraId="563955D7">
            <w:pPr>
              <w:spacing w:line="480" w:lineRule="auto"/>
              <w:jc w:val="both"/>
              <w:rPr>
                <w:rFonts w:ascii="Times New Roman" w:hAnsi="Times New Roman"/>
                <w:sz w:val="24"/>
                <w:szCs w:val="24"/>
              </w:rPr>
            </w:pPr>
            <w:r>
              <w:rPr>
                <w:rFonts w:ascii="Times New Roman" w:hAnsi="Times New Roman"/>
                <w:sz w:val="24"/>
                <w:szCs w:val="24"/>
              </w:rPr>
              <w:t>50</w:t>
            </w:r>
          </w:p>
        </w:tc>
        <w:tc>
          <w:tcPr>
            <w:tcW w:w="1728" w:type="dxa"/>
            <w:shd w:val="clear" w:color="auto" w:fill="auto"/>
          </w:tcPr>
          <w:p w14:paraId="709EFFE8">
            <w:pPr>
              <w:spacing w:line="480" w:lineRule="auto"/>
              <w:jc w:val="both"/>
              <w:rPr>
                <w:rFonts w:ascii="Times New Roman" w:hAnsi="Times New Roman"/>
                <w:sz w:val="24"/>
                <w:szCs w:val="24"/>
              </w:rPr>
            </w:pPr>
            <w:r>
              <w:rPr>
                <w:rFonts w:ascii="Times New Roman" w:hAnsi="Times New Roman"/>
                <w:sz w:val="24"/>
                <w:szCs w:val="24"/>
              </w:rPr>
              <w:t>19.5</w:t>
            </w:r>
          </w:p>
        </w:tc>
      </w:tr>
      <w:tr w14:paraId="60F0E7D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 w:hRule="atLeast"/>
        </w:trPr>
        <w:tc>
          <w:tcPr>
            <w:tcW w:w="648" w:type="dxa"/>
            <w:shd w:val="clear" w:color="auto" w:fill="auto"/>
          </w:tcPr>
          <w:p w14:paraId="1E21860B">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07201D48">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760FF8FE">
            <w:pPr>
              <w:spacing w:line="480" w:lineRule="auto"/>
              <w:jc w:val="both"/>
              <w:rPr>
                <w:rFonts w:ascii="Times New Roman" w:hAnsi="Times New Roman"/>
                <w:sz w:val="24"/>
                <w:szCs w:val="24"/>
              </w:rPr>
            </w:pPr>
            <w:r>
              <w:rPr>
                <w:rFonts w:ascii="Times New Roman" w:hAnsi="Times New Roman"/>
                <w:sz w:val="24"/>
                <w:szCs w:val="24"/>
              </w:rPr>
              <w:t>31-35 years</w:t>
            </w:r>
          </w:p>
        </w:tc>
        <w:tc>
          <w:tcPr>
            <w:tcW w:w="1968" w:type="dxa"/>
            <w:shd w:val="clear" w:color="auto" w:fill="auto"/>
          </w:tcPr>
          <w:p w14:paraId="5DD01E0F">
            <w:pPr>
              <w:spacing w:line="480" w:lineRule="auto"/>
              <w:jc w:val="both"/>
              <w:rPr>
                <w:rFonts w:ascii="Times New Roman" w:hAnsi="Times New Roman"/>
                <w:sz w:val="24"/>
                <w:szCs w:val="24"/>
              </w:rPr>
            </w:pPr>
            <w:r>
              <w:rPr>
                <w:rFonts w:ascii="Times New Roman" w:hAnsi="Times New Roman"/>
                <w:sz w:val="24"/>
                <w:szCs w:val="24"/>
              </w:rPr>
              <w:t>58</w:t>
            </w:r>
          </w:p>
        </w:tc>
        <w:tc>
          <w:tcPr>
            <w:tcW w:w="1728" w:type="dxa"/>
            <w:shd w:val="clear" w:color="auto" w:fill="auto"/>
          </w:tcPr>
          <w:p w14:paraId="141E13F9">
            <w:pPr>
              <w:spacing w:line="480" w:lineRule="auto"/>
              <w:jc w:val="both"/>
              <w:rPr>
                <w:rFonts w:ascii="Times New Roman" w:hAnsi="Times New Roman"/>
                <w:sz w:val="24"/>
                <w:szCs w:val="24"/>
              </w:rPr>
            </w:pPr>
            <w:r>
              <w:rPr>
                <w:rFonts w:ascii="Times New Roman" w:hAnsi="Times New Roman"/>
                <w:sz w:val="24"/>
                <w:szCs w:val="24"/>
              </w:rPr>
              <w:t>22.5</w:t>
            </w:r>
          </w:p>
        </w:tc>
      </w:tr>
      <w:tr w14:paraId="2E14634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 w:hRule="atLeast"/>
        </w:trPr>
        <w:tc>
          <w:tcPr>
            <w:tcW w:w="648" w:type="dxa"/>
            <w:shd w:val="clear" w:color="auto" w:fill="auto"/>
          </w:tcPr>
          <w:p w14:paraId="14FBC9CD">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1A798003">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4230B1F4">
            <w:pPr>
              <w:spacing w:line="480" w:lineRule="auto"/>
              <w:jc w:val="both"/>
              <w:rPr>
                <w:rFonts w:ascii="Times New Roman" w:hAnsi="Times New Roman"/>
                <w:sz w:val="24"/>
                <w:szCs w:val="24"/>
              </w:rPr>
            </w:pPr>
            <w:r>
              <w:rPr>
                <w:rFonts w:ascii="Times New Roman" w:hAnsi="Times New Roman"/>
                <w:sz w:val="24"/>
                <w:szCs w:val="24"/>
              </w:rPr>
              <w:t>36 – 40years</w:t>
            </w:r>
          </w:p>
        </w:tc>
        <w:tc>
          <w:tcPr>
            <w:tcW w:w="1968" w:type="dxa"/>
            <w:shd w:val="clear" w:color="auto" w:fill="auto"/>
          </w:tcPr>
          <w:p w14:paraId="6127C6B0">
            <w:pPr>
              <w:spacing w:line="480" w:lineRule="auto"/>
              <w:jc w:val="both"/>
              <w:rPr>
                <w:rFonts w:ascii="Times New Roman" w:hAnsi="Times New Roman"/>
                <w:sz w:val="24"/>
                <w:szCs w:val="24"/>
              </w:rPr>
            </w:pPr>
            <w:r>
              <w:rPr>
                <w:rFonts w:ascii="Times New Roman" w:hAnsi="Times New Roman"/>
                <w:sz w:val="24"/>
                <w:szCs w:val="24"/>
              </w:rPr>
              <w:t>52</w:t>
            </w:r>
          </w:p>
        </w:tc>
        <w:tc>
          <w:tcPr>
            <w:tcW w:w="1728" w:type="dxa"/>
            <w:shd w:val="clear" w:color="auto" w:fill="auto"/>
          </w:tcPr>
          <w:p w14:paraId="4DFE411A">
            <w:pPr>
              <w:spacing w:line="480" w:lineRule="auto"/>
              <w:jc w:val="both"/>
              <w:rPr>
                <w:rFonts w:ascii="Times New Roman" w:hAnsi="Times New Roman"/>
                <w:sz w:val="24"/>
                <w:szCs w:val="24"/>
              </w:rPr>
            </w:pPr>
            <w:r>
              <w:rPr>
                <w:rFonts w:ascii="Times New Roman" w:hAnsi="Times New Roman"/>
                <w:sz w:val="24"/>
                <w:szCs w:val="24"/>
              </w:rPr>
              <w:t>20.2</w:t>
            </w:r>
          </w:p>
        </w:tc>
      </w:tr>
      <w:tr w14:paraId="0B4229B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 w:hRule="atLeast"/>
        </w:trPr>
        <w:tc>
          <w:tcPr>
            <w:tcW w:w="648" w:type="dxa"/>
            <w:shd w:val="clear" w:color="auto" w:fill="auto"/>
          </w:tcPr>
          <w:p w14:paraId="5F30822A">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62FE5F05">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539033E2">
            <w:pPr>
              <w:spacing w:line="480" w:lineRule="auto"/>
              <w:jc w:val="both"/>
              <w:rPr>
                <w:rFonts w:ascii="Times New Roman" w:hAnsi="Times New Roman"/>
                <w:sz w:val="24"/>
                <w:szCs w:val="24"/>
              </w:rPr>
            </w:pPr>
            <w:r>
              <w:rPr>
                <w:rFonts w:ascii="Times New Roman" w:hAnsi="Times New Roman"/>
                <w:sz w:val="24"/>
                <w:szCs w:val="24"/>
              </w:rPr>
              <w:t>41 – 45 years</w:t>
            </w:r>
          </w:p>
        </w:tc>
        <w:tc>
          <w:tcPr>
            <w:tcW w:w="1968" w:type="dxa"/>
            <w:shd w:val="clear" w:color="auto" w:fill="auto"/>
          </w:tcPr>
          <w:p w14:paraId="5E23429C">
            <w:pPr>
              <w:spacing w:line="480" w:lineRule="auto"/>
              <w:jc w:val="both"/>
              <w:rPr>
                <w:rFonts w:ascii="Times New Roman" w:hAnsi="Times New Roman"/>
                <w:sz w:val="24"/>
                <w:szCs w:val="24"/>
              </w:rPr>
            </w:pPr>
            <w:r>
              <w:rPr>
                <w:rFonts w:ascii="Times New Roman" w:hAnsi="Times New Roman"/>
                <w:sz w:val="24"/>
                <w:szCs w:val="24"/>
              </w:rPr>
              <w:t>30</w:t>
            </w:r>
          </w:p>
        </w:tc>
        <w:tc>
          <w:tcPr>
            <w:tcW w:w="1728" w:type="dxa"/>
            <w:shd w:val="clear" w:color="auto" w:fill="auto"/>
          </w:tcPr>
          <w:p w14:paraId="09BF4EE4">
            <w:pPr>
              <w:spacing w:line="480" w:lineRule="auto"/>
              <w:jc w:val="both"/>
              <w:rPr>
                <w:rFonts w:ascii="Times New Roman" w:hAnsi="Times New Roman"/>
                <w:sz w:val="24"/>
                <w:szCs w:val="24"/>
              </w:rPr>
            </w:pPr>
            <w:r>
              <w:rPr>
                <w:rFonts w:ascii="Times New Roman" w:hAnsi="Times New Roman"/>
                <w:sz w:val="24"/>
                <w:szCs w:val="24"/>
              </w:rPr>
              <w:t>11.7</w:t>
            </w:r>
          </w:p>
        </w:tc>
      </w:tr>
      <w:tr w14:paraId="19E1AE1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 w:hRule="atLeast"/>
        </w:trPr>
        <w:tc>
          <w:tcPr>
            <w:tcW w:w="648" w:type="dxa"/>
            <w:shd w:val="clear" w:color="auto" w:fill="auto"/>
          </w:tcPr>
          <w:p w14:paraId="0448183F">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5CD6E188">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3A970489">
            <w:pPr>
              <w:spacing w:line="480" w:lineRule="auto"/>
              <w:jc w:val="both"/>
              <w:rPr>
                <w:rFonts w:ascii="Times New Roman" w:hAnsi="Times New Roman"/>
                <w:sz w:val="24"/>
                <w:szCs w:val="24"/>
              </w:rPr>
            </w:pPr>
            <w:r>
              <w:rPr>
                <w:rFonts w:ascii="Times New Roman" w:hAnsi="Times New Roman"/>
                <w:sz w:val="24"/>
                <w:szCs w:val="24"/>
              </w:rPr>
              <w:t>46 – 50 years</w:t>
            </w:r>
          </w:p>
        </w:tc>
        <w:tc>
          <w:tcPr>
            <w:tcW w:w="1968" w:type="dxa"/>
            <w:shd w:val="clear" w:color="auto" w:fill="auto"/>
          </w:tcPr>
          <w:p w14:paraId="4E95C559">
            <w:pPr>
              <w:spacing w:line="480" w:lineRule="auto"/>
              <w:jc w:val="both"/>
              <w:rPr>
                <w:rFonts w:ascii="Times New Roman" w:hAnsi="Times New Roman"/>
                <w:sz w:val="24"/>
                <w:szCs w:val="24"/>
              </w:rPr>
            </w:pPr>
            <w:r>
              <w:rPr>
                <w:rFonts w:ascii="Times New Roman" w:hAnsi="Times New Roman"/>
                <w:sz w:val="24"/>
                <w:szCs w:val="24"/>
              </w:rPr>
              <w:t>20</w:t>
            </w:r>
          </w:p>
        </w:tc>
        <w:tc>
          <w:tcPr>
            <w:tcW w:w="1728" w:type="dxa"/>
            <w:shd w:val="clear" w:color="auto" w:fill="auto"/>
          </w:tcPr>
          <w:p w14:paraId="62C0CF68">
            <w:pPr>
              <w:spacing w:line="480" w:lineRule="auto"/>
              <w:jc w:val="both"/>
              <w:rPr>
                <w:rFonts w:ascii="Times New Roman" w:hAnsi="Times New Roman"/>
                <w:sz w:val="24"/>
                <w:szCs w:val="24"/>
              </w:rPr>
            </w:pPr>
            <w:r>
              <w:rPr>
                <w:rFonts w:ascii="Times New Roman" w:hAnsi="Times New Roman"/>
                <w:sz w:val="24"/>
                <w:szCs w:val="24"/>
              </w:rPr>
              <w:t>07.8</w:t>
            </w:r>
          </w:p>
        </w:tc>
      </w:tr>
      <w:tr w14:paraId="056FEDD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 w:hRule="atLeast"/>
        </w:trPr>
        <w:tc>
          <w:tcPr>
            <w:tcW w:w="648" w:type="dxa"/>
            <w:shd w:val="clear" w:color="auto" w:fill="auto"/>
          </w:tcPr>
          <w:p w14:paraId="01E04BA7">
            <w:pPr>
              <w:spacing w:line="480" w:lineRule="auto"/>
              <w:jc w:val="both"/>
              <w:rPr>
                <w:rFonts w:ascii="Times New Roman" w:hAnsi="Times New Roman"/>
                <w:sz w:val="24"/>
                <w:szCs w:val="24"/>
              </w:rPr>
            </w:pPr>
            <w:r>
              <w:rPr>
                <w:rFonts w:ascii="Times New Roman" w:hAnsi="Times New Roman"/>
                <w:sz w:val="24"/>
                <w:szCs w:val="24"/>
              </w:rPr>
              <w:t> </w:t>
            </w:r>
          </w:p>
        </w:tc>
        <w:tc>
          <w:tcPr>
            <w:tcW w:w="2028" w:type="dxa"/>
            <w:tcBorders>
              <w:bottom w:val="single" w:color="auto" w:sz="4" w:space="0"/>
            </w:tcBorders>
            <w:shd w:val="clear" w:color="auto" w:fill="auto"/>
          </w:tcPr>
          <w:p w14:paraId="14C2E7FD">
            <w:pPr>
              <w:spacing w:line="480" w:lineRule="auto"/>
              <w:jc w:val="both"/>
              <w:rPr>
                <w:rFonts w:ascii="Times New Roman" w:hAnsi="Times New Roman"/>
                <w:sz w:val="24"/>
                <w:szCs w:val="24"/>
              </w:rPr>
            </w:pPr>
            <w:r>
              <w:rPr>
                <w:rFonts w:ascii="Times New Roman" w:hAnsi="Times New Roman"/>
                <w:sz w:val="24"/>
                <w:szCs w:val="24"/>
              </w:rPr>
              <w:t> </w:t>
            </w:r>
          </w:p>
        </w:tc>
        <w:tc>
          <w:tcPr>
            <w:tcW w:w="2160" w:type="dxa"/>
            <w:tcBorders>
              <w:bottom w:val="single" w:color="auto" w:sz="4" w:space="0"/>
            </w:tcBorders>
            <w:shd w:val="clear" w:color="auto" w:fill="auto"/>
          </w:tcPr>
          <w:p w14:paraId="144A8FBC">
            <w:pPr>
              <w:spacing w:line="480" w:lineRule="auto"/>
              <w:jc w:val="both"/>
              <w:rPr>
                <w:rFonts w:ascii="Times New Roman" w:hAnsi="Times New Roman"/>
                <w:sz w:val="24"/>
                <w:szCs w:val="24"/>
              </w:rPr>
            </w:pPr>
            <w:r>
              <w:rPr>
                <w:rFonts w:ascii="Times New Roman" w:hAnsi="Times New Roman"/>
                <w:sz w:val="24"/>
                <w:szCs w:val="24"/>
              </w:rPr>
              <w:t>51 years and above</w:t>
            </w:r>
          </w:p>
        </w:tc>
        <w:tc>
          <w:tcPr>
            <w:tcW w:w="1968" w:type="dxa"/>
            <w:tcBorders>
              <w:bottom w:val="single" w:color="auto" w:sz="4" w:space="0"/>
            </w:tcBorders>
            <w:shd w:val="clear" w:color="auto" w:fill="auto"/>
          </w:tcPr>
          <w:p w14:paraId="0B78D9F8">
            <w:pPr>
              <w:spacing w:line="480" w:lineRule="auto"/>
              <w:jc w:val="both"/>
              <w:rPr>
                <w:rFonts w:ascii="Times New Roman" w:hAnsi="Times New Roman"/>
                <w:sz w:val="24"/>
                <w:szCs w:val="24"/>
              </w:rPr>
            </w:pPr>
            <w:r>
              <w:rPr>
                <w:rFonts w:ascii="Times New Roman" w:hAnsi="Times New Roman"/>
                <w:sz w:val="24"/>
                <w:szCs w:val="24"/>
              </w:rPr>
              <w:t>20</w:t>
            </w:r>
          </w:p>
        </w:tc>
        <w:tc>
          <w:tcPr>
            <w:tcW w:w="1728" w:type="dxa"/>
            <w:tcBorders>
              <w:bottom w:val="single" w:color="auto" w:sz="4" w:space="0"/>
            </w:tcBorders>
            <w:shd w:val="clear" w:color="auto" w:fill="auto"/>
          </w:tcPr>
          <w:p w14:paraId="364EBB30">
            <w:pPr>
              <w:spacing w:line="480" w:lineRule="auto"/>
              <w:jc w:val="both"/>
              <w:rPr>
                <w:rFonts w:ascii="Times New Roman" w:hAnsi="Times New Roman"/>
                <w:sz w:val="24"/>
                <w:szCs w:val="24"/>
              </w:rPr>
            </w:pPr>
            <w:r>
              <w:rPr>
                <w:rFonts w:ascii="Times New Roman" w:hAnsi="Times New Roman"/>
                <w:sz w:val="24"/>
                <w:szCs w:val="24"/>
              </w:rPr>
              <w:t>07.8</w:t>
            </w:r>
          </w:p>
        </w:tc>
      </w:tr>
      <w:tr w14:paraId="30B17CF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 w:hRule="atLeast"/>
        </w:trPr>
        <w:tc>
          <w:tcPr>
            <w:tcW w:w="648" w:type="dxa"/>
            <w:shd w:val="clear" w:color="auto" w:fill="auto"/>
          </w:tcPr>
          <w:p w14:paraId="32041CEF">
            <w:pPr>
              <w:spacing w:line="480" w:lineRule="auto"/>
              <w:jc w:val="both"/>
              <w:rPr>
                <w:rFonts w:ascii="Times New Roman" w:hAnsi="Times New Roman"/>
                <w:sz w:val="24"/>
                <w:szCs w:val="24"/>
              </w:rPr>
            </w:pPr>
            <w:r>
              <w:rPr>
                <w:rFonts w:ascii="Times New Roman" w:hAnsi="Times New Roman"/>
                <w:sz w:val="24"/>
                <w:szCs w:val="24"/>
              </w:rPr>
              <w:t> 2</w:t>
            </w:r>
          </w:p>
        </w:tc>
        <w:tc>
          <w:tcPr>
            <w:tcW w:w="2028" w:type="dxa"/>
            <w:tcBorders>
              <w:top w:val="single" w:color="auto" w:sz="4" w:space="0"/>
            </w:tcBorders>
            <w:shd w:val="clear" w:color="auto" w:fill="auto"/>
          </w:tcPr>
          <w:p w14:paraId="62D6CFC5">
            <w:pPr>
              <w:spacing w:line="480" w:lineRule="auto"/>
              <w:jc w:val="both"/>
              <w:rPr>
                <w:rFonts w:ascii="Times New Roman" w:hAnsi="Times New Roman"/>
                <w:b/>
                <w:bCs/>
                <w:sz w:val="24"/>
                <w:szCs w:val="24"/>
              </w:rPr>
            </w:pPr>
            <w:r>
              <w:rPr>
                <w:rFonts w:ascii="Times New Roman" w:hAnsi="Times New Roman"/>
                <w:b/>
                <w:bCs/>
                <w:sz w:val="24"/>
                <w:szCs w:val="24"/>
              </w:rPr>
              <w:t>Academic</w:t>
            </w:r>
          </w:p>
          <w:p w14:paraId="65ED9553">
            <w:pPr>
              <w:spacing w:line="480" w:lineRule="auto"/>
              <w:jc w:val="both"/>
              <w:rPr>
                <w:rFonts w:ascii="Times New Roman" w:hAnsi="Times New Roman"/>
                <w:sz w:val="24"/>
                <w:szCs w:val="24"/>
              </w:rPr>
            </w:pPr>
            <w:r>
              <w:rPr>
                <w:rFonts w:ascii="Times New Roman" w:hAnsi="Times New Roman"/>
                <w:b/>
                <w:bCs/>
                <w:sz w:val="24"/>
                <w:szCs w:val="24"/>
              </w:rPr>
              <w:t>Qualification</w:t>
            </w:r>
          </w:p>
        </w:tc>
        <w:tc>
          <w:tcPr>
            <w:tcW w:w="2160" w:type="dxa"/>
            <w:tcBorders>
              <w:top w:val="single" w:color="auto" w:sz="4" w:space="0"/>
            </w:tcBorders>
            <w:shd w:val="clear" w:color="auto" w:fill="auto"/>
          </w:tcPr>
          <w:p w14:paraId="66868C68">
            <w:pPr>
              <w:spacing w:line="480" w:lineRule="auto"/>
              <w:jc w:val="both"/>
              <w:rPr>
                <w:rFonts w:ascii="Times New Roman" w:hAnsi="Times New Roman"/>
                <w:sz w:val="24"/>
                <w:szCs w:val="24"/>
              </w:rPr>
            </w:pPr>
            <w:r>
              <w:rPr>
                <w:rFonts w:ascii="Times New Roman" w:hAnsi="Times New Roman"/>
                <w:sz w:val="24"/>
                <w:szCs w:val="24"/>
              </w:rPr>
              <w:t>RN</w:t>
            </w:r>
          </w:p>
        </w:tc>
        <w:tc>
          <w:tcPr>
            <w:tcW w:w="1968" w:type="dxa"/>
            <w:tcBorders>
              <w:top w:val="single" w:color="auto" w:sz="4" w:space="0"/>
            </w:tcBorders>
            <w:shd w:val="clear" w:color="auto" w:fill="auto"/>
          </w:tcPr>
          <w:p w14:paraId="52C56A44">
            <w:pPr>
              <w:spacing w:line="480" w:lineRule="auto"/>
              <w:jc w:val="both"/>
              <w:rPr>
                <w:rFonts w:ascii="Times New Roman" w:hAnsi="Times New Roman"/>
                <w:sz w:val="24"/>
                <w:szCs w:val="24"/>
              </w:rPr>
            </w:pPr>
            <w:r>
              <w:rPr>
                <w:rFonts w:ascii="Times New Roman" w:hAnsi="Times New Roman"/>
                <w:sz w:val="24"/>
                <w:szCs w:val="24"/>
              </w:rPr>
              <w:t>27</w:t>
            </w:r>
          </w:p>
        </w:tc>
        <w:tc>
          <w:tcPr>
            <w:tcW w:w="1728" w:type="dxa"/>
            <w:tcBorders>
              <w:top w:val="single" w:color="auto" w:sz="4" w:space="0"/>
            </w:tcBorders>
            <w:shd w:val="clear" w:color="auto" w:fill="auto"/>
          </w:tcPr>
          <w:p w14:paraId="7A8A8F89">
            <w:pPr>
              <w:spacing w:line="480" w:lineRule="auto"/>
              <w:jc w:val="both"/>
              <w:rPr>
                <w:rFonts w:ascii="Times New Roman" w:hAnsi="Times New Roman"/>
                <w:sz w:val="24"/>
                <w:szCs w:val="24"/>
              </w:rPr>
            </w:pPr>
            <w:r>
              <w:rPr>
                <w:rFonts w:ascii="Times New Roman" w:hAnsi="Times New Roman"/>
                <w:sz w:val="24"/>
                <w:szCs w:val="24"/>
              </w:rPr>
              <w:t>10.5</w:t>
            </w:r>
          </w:p>
        </w:tc>
      </w:tr>
      <w:tr w14:paraId="7C6C248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 w:hRule="atLeast"/>
        </w:trPr>
        <w:tc>
          <w:tcPr>
            <w:tcW w:w="648" w:type="dxa"/>
            <w:shd w:val="clear" w:color="auto" w:fill="auto"/>
          </w:tcPr>
          <w:p w14:paraId="241510CA">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5731DA2A">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2E8B73B9">
            <w:pPr>
              <w:spacing w:line="480" w:lineRule="auto"/>
              <w:jc w:val="both"/>
              <w:rPr>
                <w:rFonts w:ascii="Times New Roman" w:hAnsi="Times New Roman"/>
                <w:sz w:val="24"/>
                <w:szCs w:val="24"/>
              </w:rPr>
            </w:pPr>
            <w:r>
              <w:rPr>
                <w:rFonts w:ascii="Times New Roman" w:hAnsi="Times New Roman"/>
                <w:sz w:val="24"/>
                <w:szCs w:val="24"/>
              </w:rPr>
              <w:t>RN &amp; RM</w:t>
            </w:r>
          </w:p>
        </w:tc>
        <w:tc>
          <w:tcPr>
            <w:tcW w:w="1968" w:type="dxa"/>
            <w:shd w:val="clear" w:color="auto" w:fill="auto"/>
          </w:tcPr>
          <w:p w14:paraId="36E33A5A">
            <w:pPr>
              <w:spacing w:line="480" w:lineRule="auto"/>
              <w:jc w:val="both"/>
              <w:rPr>
                <w:rFonts w:ascii="Times New Roman" w:hAnsi="Times New Roman"/>
                <w:sz w:val="24"/>
                <w:szCs w:val="24"/>
              </w:rPr>
            </w:pPr>
            <w:r>
              <w:rPr>
                <w:rFonts w:ascii="Times New Roman" w:hAnsi="Times New Roman"/>
                <w:sz w:val="24"/>
                <w:szCs w:val="24"/>
              </w:rPr>
              <w:t>50</w:t>
            </w:r>
          </w:p>
        </w:tc>
        <w:tc>
          <w:tcPr>
            <w:tcW w:w="1728" w:type="dxa"/>
            <w:shd w:val="clear" w:color="auto" w:fill="auto"/>
          </w:tcPr>
          <w:p w14:paraId="464266BC">
            <w:pPr>
              <w:spacing w:line="480" w:lineRule="auto"/>
              <w:jc w:val="both"/>
              <w:rPr>
                <w:rFonts w:ascii="Times New Roman" w:hAnsi="Times New Roman"/>
                <w:sz w:val="24"/>
                <w:szCs w:val="24"/>
              </w:rPr>
            </w:pPr>
            <w:r>
              <w:rPr>
                <w:rFonts w:ascii="Times New Roman" w:hAnsi="Times New Roman"/>
                <w:sz w:val="24"/>
                <w:szCs w:val="24"/>
              </w:rPr>
              <w:t>19.5</w:t>
            </w:r>
          </w:p>
        </w:tc>
      </w:tr>
      <w:tr w14:paraId="4E4DA8D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 w:hRule="atLeast"/>
        </w:trPr>
        <w:tc>
          <w:tcPr>
            <w:tcW w:w="648" w:type="dxa"/>
            <w:shd w:val="clear" w:color="auto" w:fill="auto"/>
          </w:tcPr>
          <w:p w14:paraId="5BC2D81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5CE7C97C">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4329748F">
            <w:pPr>
              <w:spacing w:line="480" w:lineRule="auto"/>
              <w:jc w:val="both"/>
              <w:rPr>
                <w:rFonts w:ascii="Times New Roman" w:hAnsi="Times New Roman"/>
                <w:sz w:val="24"/>
                <w:szCs w:val="24"/>
              </w:rPr>
            </w:pPr>
            <w:r>
              <w:rPr>
                <w:rFonts w:ascii="Times New Roman" w:hAnsi="Times New Roman"/>
                <w:sz w:val="24"/>
                <w:szCs w:val="24"/>
              </w:rPr>
              <w:t>BNsc</w:t>
            </w:r>
          </w:p>
        </w:tc>
        <w:tc>
          <w:tcPr>
            <w:tcW w:w="1968" w:type="dxa"/>
            <w:shd w:val="clear" w:color="auto" w:fill="auto"/>
          </w:tcPr>
          <w:p w14:paraId="28697BF9">
            <w:pPr>
              <w:spacing w:line="480" w:lineRule="auto"/>
              <w:jc w:val="both"/>
              <w:rPr>
                <w:rFonts w:ascii="Times New Roman" w:hAnsi="Times New Roman"/>
                <w:sz w:val="24"/>
                <w:szCs w:val="24"/>
              </w:rPr>
            </w:pPr>
            <w:r>
              <w:rPr>
                <w:rFonts w:ascii="Times New Roman" w:hAnsi="Times New Roman"/>
                <w:sz w:val="24"/>
                <w:szCs w:val="24"/>
              </w:rPr>
              <w:t>100</w:t>
            </w:r>
          </w:p>
        </w:tc>
        <w:tc>
          <w:tcPr>
            <w:tcW w:w="1728" w:type="dxa"/>
            <w:shd w:val="clear" w:color="auto" w:fill="auto"/>
          </w:tcPr>
          <w:p w14:paraId="71C5DA1E">
            <w:pPr>
              <w:spacing w:line="480" w:lineRule="auto"/>
              <w:jc w:val="both"/>
              <w:rPr>
                <w:rFonts w:ascii="Times New Roman" w:hAnsi="Times New Roman"/>
                <w:sz w:val="24"/>
                <w:szCs w:val="24"/>
              </w:rPr>
            </w:pPr>
            <w:r>
              <w:rPr>
                <w:rFonts w:ascii="Times New Roman" w:hAnsi="Times New Roman"/>
                <w:sz w:val="24"/>
                <w:szCs w:val="24"/>
              </w:rPr>
              <w:t>38.9</w:t>
            </w:r>
          </w:p>
        </w:tc>
      </w:tr>
      <w:tr w14:paraId="7F928F9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atLeast"/>
        </w:trPr>
        <w:tc>
          <w:tcPr>
            <w:tcW w:w="648" w:type="dxa"/>
            <w:shd w:val="clear" w:color="auto" w:fill="auto"/>
          </w:tcPr>
          <w:p w14:paraId="1453D26C">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6EBC2C2F">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43F7F4B2">
            <w:pPr>
              <w:spacing w:line="480" w:lineRule="auto"/>
              <w:jc w:val="both"/>
              <w:rPr>
                <w:rFonts w:ascii="Times New Roman" w:hAnsi="Times New Roman"/>
                <w:sz w:val="24"/>
                <w:szCs w:val="24"/>
              </w:rPr>
            </w:pPr>
            <w:r>
              <w:rPr>
                <w:rFonts w:ascii="Times New Roman" w:hAnsi="Times New Roman"/>
                <w:sz w:val="24"/>
                <w:szCs w:val="24"/>
              </w:rPr>
              <w:t>M.Nsc</w:t>
            </w:r>
          </w:p>
        </w:tc>
        <w:tc>
          <w:tcPr>
            <w:tcW w:w="1968" w:type="dxa"/>
            <w:shd w:val="clear" w:color="auto" w:fill="auto"/>
          </w:tcPr>
          <w:p w14:paraId="1A73209D">
            <w:pPr>
              <w:spacing w:line="480" w:lineRule="auto"/>
              <w:jc w:val="both"/>
              <w:rPr>
                <w:rFonts w:ascii="Times New Roman" w:hAnsi="Times New Roman"/>
                <w:sz w:val="24"/>
                <w:szCs w:val="24"/>
              </w:rPr>
            </w:pPr>
            <w:r>
              <w:rPr>
                <w:rFonts w:ascii="Times New Roman" w:hAnsi="Times New Roman"/>
                <w:sz w:val="24"/>
                <w:szCs w:val="24"/>
              </w:rPr>
              <w:t>70</w:t>
            </w:r>
          </w:p>
        </w:tc>
        <w:tc>
          <w:tcPr>
            <w:tcW w:w="1728" w:type="dxa"/>
            <w:shd w:val="clear" w:color="auto" w:fill="auto"/>
          </w:tcPr>
          <w:p w14:paraId="4DB6F99B">
            <w:pPr>
              <w:spacing w:line="480" w:lineRule="auto"/>
              <w:jc w:val="both"/>
              <w:rPr>
                <w:rFonts w:ascii="Times New Roman" w:hAnsi="Times New Roman"/>
                <w:sz w:val="24"/>
                <w:szCs w:val="24"/>
              </w:rPr>
            </w:pPr>
            <w:r>
              <w:rPr>
                <w:rFonts w:ascii="Times New Roman" w:hAnsi="Times New Roman"/>
                <w:sz w:val="24"/>
                <w:szCs w:val="24"/>
              </w:rPr>
              <w:t>27.2</w:t>
            </w:r>
          </w:p>
        </w:tc>
      </w:tr>
      <w:tr w14:paraId="1247DA3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7" w:hRule="atLeast"/>
        </w:trPr>
        <w:tc>
          <w:tcPr>
            <w:tcW w:w="648" w:type="dxa"/>
            <w:shd w:val="clear" w:color="auto" w:fill="auto"/>
          </w:tcPr>
          <w:p w14:paraId="349B7D5B">
            <w:pPr>
              <w:spacing w:line="480" w:lineRule="auto"/>
              <w:jc w:val="both"/>
              <w:rPr>
                <w:rFonts w:ascii="Times New Roman" w:hAnsi="Times New Roman"/>
                <w:sz w:val="24"/>
                <w:szCs w:val="24"/>
              </w:rPr>
            </w:pPr>
            <w:r>
              <w:rPr>
                <w:rFonts w:ascii="Times New Roman" w:hAnsi="Times New Roman"/>
                <w:sz w:val="24"/>
                <w:szCs w:val="24"/>
              </w:rPr>
              <w:t> </w:t>
            </w:r>
          </w:p>
        </w:tc>
        <w:tc>
          <w:tcPr>
            <w:tcW w:w="2028" w:type="dxa"/>
            <w:tcBorders>
              <w:bottom w:val="single" w:color="auto" w:sz="4" w:space="0"/>
            </w:tcBorders>
            <w:shd w:val="clear" w:color="auto" w:fill="auto"/>
          </w:tcPr>
          <w:p w14:paraId="4C24DC4E">
            <w:pPr>
              <w:spacing w:line="480" w:lineRule="auto"/>
              <w:jc w:val="both"/>
              <w:rPr>
                <w:rFonts w:ascii="Times New Roman" w:hAnsi="Times New Roman"/>
                <w:sz w:val="24"/>
                <w:szCs w:val="24"/>
              </w:rPr>
            </w:pPr>
            <w:r>
              <w:rPr>
                <w:rFonts w:ascii="Times New Roman" w:hAnsi="Times New Roman"/>
                <w:sz w:val="24"/>
                <w:szCs w:val="24"/>
              </w:rPr>
              <w:t> </w:t>
            </w:r>
          </w:p>
        </w:tc>
        <w:tc>
          <w:tcPr>
            <w:tcW w:w="2160" w:type="dxa"/>
            <w:tcBorders>
              <w:bottom w:val="single" w:color="auto" w:sz="4" w:space="0"/>
            </w:tcBorders>
            <w:shd w:val="clear" w:color="auto" w:fill="auto"/>
          </w:tcPr>
          <w:p w14:paraId="3D248AC8">
            <w:pPr>
              <w:spacing w:line="480" w:lineRule="auto"/>
              <w:jc w:val="both"/>
              <w:rPr>
                <w:rFonts w:ascii="Times New Roman" w:hAnsi="Times New Roman"/>
                <w:sz w:val="24"/>
                <w:szCs w:val="24"/>
                <w:lang w:val="en-US"/>
              </w:rPr>
            </w:pPr>
            <w:r>
              <w:rPr>
                <w:rFonts w:ascii="Times New Roman" w:hAnsi="Times New Roman"/>
                <w:sz w:val="24"/>
                <w:szCs w:val="24"/>
              </w:rPr>
              <w:t>PhD</w:t>
            </w:r>
          </w:p>
        </w:tc>
        <w:tc>
          <w:tcPr>
            <w:tcW w:w="1968" w:type="dxa"/>
            <w:tcBorders>
              <w:bottom w:val="single" w:color="auto" w:sz="4" w:space="0"/>
            </w:tcBorders>
            <w:shd w:val="clear" w:color="auto" w:fill="auto"/>
          </w:tcPr>
          <w:p w14:paraId="3DECEA75">
            <w:pPr>
              <w:spacing w:line="480" w:lineRule="auto"/>
              <w:jc w:val="both"/>
              <w:rPr>
                <w:rFonts w:ascii="Times New Roman" w:hAnsi="Times New Roman"/>
                <w:sz w:val="24"/>
                <w:szCs w:val="24"/>
              </w:rPr>
            </w:pPr>
            <w:r>
              <w:rPr>
                <w:rFonts w:ascii="Times New Roman" w:hAnsi="Times New Roman"/>
                <w:sz w:val="24"/>
                <w:szCs w:val="24"/>
              </w:rPr>
              <w:t>10</w:t>
            </w:r>
          </w:p>
        </w:tc>
        <w:tc>
          <w:tcPr>
            <w:tcW w:w="1728" w:type="dxa"/>
            <w:tcBorders>
              <w:bottom w:val="single" w:color="auto" w:sz="4" w:space="0"/>
            </w:tcBorders>
            <w:shd w:val="clear" w:color="auto" w:fill="auto"/>
          </w:tcPr>
          <w:p w14:paraId="44EB4F23">
            <w:pPr>
              <w:spacing w:line="480" w:lineRule="auto"/>
              <w:jc w:val="both"/>
              <w:rPr>
                <w:rFonts w:ascii="Times New Roman" w:hAnsi="Times New Roman"/>
                <w:sz w:val="24"/>
                <w:szCs w:val="24"/>
              </w:rPr>
            </w:pPr>
            <w:r>
              <w:rPr>
                <w:rFonts w:ascii="Times New Roman" w:hAnsi="Times New Roman"/>
                <w:sz w:val="24"/>
                <w:szCs w:val="24"/>
              </w:rPr>
              <w:t>3.9</w:t>
            </w:r>
          </w:p>
        </w:tc>
      </w:tr>
      <w:tr w14:paraId="6EE2676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trPr>
        <w:tc>
          <w:tcPr>
            <w:tcW w:w="648" w:type="dxa"/>
            <w:shd w:val="clear" w:color="auto" w:fill="auto"/>
          </w:tcPr>
          <w:p w14:paraId="698C3EE8">
            <w:pPr>
              <w:spacing w:line="480" w:lineRule="auto"/>
              <w:jc w:val="both"/>
              <w:rPr>
                <w:rFonts w:ascii="Times New Roman" w:hAnsi="Times New Roman"/>
                <w:sz w:val="24"/>
                <w:szCs w:val="24"/>
                <w:lang w:val="en-US"/>
              </w:rPr>
            </w:pPr>
            <w:r>
              <w:rPr>
                <w:rFonts w:ascii="Times New Roman" w:hAnsi="Times New Roman"/>
                <w:sz w:val="24"/>
                <w:szCs w:val="24"/>
              </w:rPr>
              <w:t> </w:t>
            </w:r>
            <w:r>
              <w:rPr>
                <w:rFonts w:ascii="Times New Roman" w:hAnsi="Times New Roman"/>
                <w:sz w:val="24"/>
                <w:szCs w:val="24"/>
                <w:lang w:val="en-US"/>
              </w:rPr>
              <w:t>3</w:t>
            </w:r>
          </w:p>
        </w:tc>
        <w:tc>
          <w:tcPr>
            <w:tcW w:w="2028" w:type="dxa"/>
            <w:tcBorders>
              <w:top w:val="single" w:color="auto" w:sz="4" w:space="0"/>
            </w:tcBorders>
            <w:shd w:val="clear" w:color="auto" w:fill="auto"/>
          </w:tcPr>
          <w:p w14:paraId="445647F0">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Marital Status</w:t>
            </w:r>
          </w:p>
        </w:tc>
        <w:tc>
          <w:tcPr>
            <w:tcW w:w="2160" w:type="dxa"/>
            <w:tcBorders>
              <w:top w:val="single" w:color="auto" w:sz="4" w:space="0"/>
            </w:tcBorders>
            <w:shd w:val="clear" w:color="auto" w:fill="auto"/>
          </w:tcPr>
          <w:p w14:paraId="3D128D1E">
            <w:pPr>
              <w:spacing w:line="480" w:lineRule="auto"/>
              <w:jc w:val="both"/>
              <w:rPr>
                <w:rFonts w:ascii="Times New Roman" w:hAnsi="Times New Roman"/>
                <w:sz w:val="24"/>
                <w:szCs w:val="24"/>
                <w:lang w:val="en-US"/>
              </w:rPr>
            </w:pPr>
            <w:r>
              <w:rPr>
                <w:rFonts w:ascii="Times New Roman" w:hAnsi="Times New Roman"/>
                <w:sz w:val="24"/>
                <w:szCs w:val="24"/>
              </w:rPr>
              <w:t>Single</w:t>
            </w:r>
          </w:p>
        </w:tc>
        <w:tc>
          <w:tcPr>
            <w:tcW w:w="1968" w:type="dxa"/>
            <w:tcBorders>
              <w:top w:val="single" w:color="auto" w:sz="4" w:space="0"/>
            </w:tcBorders>
            <w:shd w:val="clear" w:color="auto" w:fill="auto"/>
          </w:tcPr>
          <w:p w14:paraId="0BBC83F4">
            <w:pPr>
              <w:spacing w:line="480" w:lineRule="auto"/>
              <w:jc w:val="both"/>
              <w:rPr>
                <w:rFonts w:ascii="Times New Roman" w:hAnsi="Times New Roman"/>
                <w:sz w:val="24"/>
                <w:szCs w:val="24"/>
              </w:rPr>
            </w:pPr>
            <w:r>
              <w:rPr>
                <w:rFonts w:ascii="Times New Roman" w:hAnsi="Times New Roman"/>
                <w:sz w:val="24"/>
                <w:szCs w:val="24"/>
              </w:rPr>
              <w:t>77</w:t>
            </w:r>
          </w:p>
        </w:tc>
        <w:tc>
          <w:tcPr>
            <w:tcW w:w="1728" w:type="dxa"/>
            <w:tcBorders>
              <w:top w:val="single" w:color="auto" w:sz="4" w:space="0"/>
            </w:tcBorders>
            <w:shd w:val="clear" w:color="auto" w:fill="auto"/>
          </w:tcPr>
          <w:p w14:paraId="5A1EE920">
            <w:pPr>
              <w:spacing w:line="480" w:lineRule="auto"/>
              <w:jc w:val="both"/>
              <w:rPr>
                <w:rFonts w:ascii="Times New Roman" w:hAnsi="Times New Roman"/>
                <w:sz w:val="24"/>
                <w:szCs w:val="24"/>
              </w:rPr>
            </w:pPr>
            <w:r>
              <w:rPr>
                <w:rFonts w:ascii="Times New Roman" w:hAnsi="Times New Roman"/>
                <w:sz w:val="24"/>
                <w:szCs w:val="24"/>
              </w:rPr>
              <w:t>30</w:t>
            </w:r>
          </w:p>
        </w:tc>
      </w:tr>
      <w:tr w14:paraId="78D609B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648" w:type="dxa"/>
            <w:shd w:val="clear" w:color="auto" w:fill="auto"/>
          </w:tcPr>
          <w:p w14:paraId="7EA516FB">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1E6F891B">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37EB9645">
            <w:pPr>
              <w:spacing w:line="480" w:lineRule="auto"/>
              <w:jc w:val="both"/>
              <w:rPr>
                <w:rFonts w:ascii="Times New Roman" w:hAnsi="Times New Roman"/>
                <w:sz w:val="24"/>
                <w:szCs w:val="24"/>
              </w:rPr>
            </w:pPr>
            <w:r>
              <w:rPr>
                <w:rFonts w:ascii="Times New Roman" w:hAnsi="Times New Roman"/>
                <w:sz w:val="24"/>
                <w:szCs w:val="24"/>
              </w:rPr>
              <w:t>Married</w:t>
            </w:r>
          </w:p>
        </w:tc>
        <w:tc>
          <w:tcPr>
            <w:tcW w:w="1968" w:type="dxa"/>
            <w:shd w:val="clear" w:color="auto" w:fill="auto"/>
          </w:tcPr>
          <w:p w14:paraId="63F09727">
            <w:pPr>
              <w:spacing w:line="480" w:lineRule="auto"/>
              <w:jc w:val="both"/>
              <w:rPr>
                <w:rFonts w:ascii="Times New Roman" w:hAnsi="Times New Roman"/>
                <w:sz w:val="24"/>
                <w:szCs w:val="24"/>
              </w:rPr>
            </w:pPr>
            <w:r>
              <w:rPr>
                <w:rFonts w:ascii="Times New Roman" w:hAnsi="Times New Roman"/>
                <w:sz w:val="24"/>
                <w:szCs w:val="24"/>
              </w:rPr>
              <w:t>150</w:t>
            </w:r>
          </w:p>
        </w:tc>
        <w:tc>
          <w:tcPr>
            <w:tcW w:w="1728" w:type="dxa"/>
            <w:shd w:val="clear" w:color="auto" w:fill="auto"/>
          </w:tcPr>
          <w:p w14:paraId="1FE394F4">
            <w:pPr>
              <w:spacing w:line="480" w:lineRule="auto"/>
              <w:jc w:val="both"/>
              <w:rPr>
                <w:rFonts w:ascii="Times New Roman" w:hAnsi="Times New Roman"/>
                <w:sz w:val="24"/>
                <w:szCs w:val="24"/>
              </w:rPr>
            </w:pPr>
            <w:r>
              <w:rPr>
                <w:rFonts w:ascii="Times New Roman" w:hAnsi="Times New Roman"/>
                <w:sz w:val="24"/>
                <w:szCs w:val="24"/>
              </w:rPr>
              <w:t>58.4</w:t>
            </w:r>
          </w:p>
        </w:tc>
      </w:tr>
      <w:tr w14:paraId="1E3CCDC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648" w:type="dxa"/>
            <w:shd w:val="clear" w:color="auto" w:fill="auto"/>
          </w:tcPr>
          <w:p w14:paraId="463E95DB">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6A07C235">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46B24851">
            <w:pPr>
              <w:spacing w:line="480" w:lineRule="auto"/>
              <w:jc w:val="both"/>
              <w:rPr>
                <w:rFonts w:ascii="Times New Roman" w:hAnsi="Times New Roman"/>
                <w:sz w:val="24"/>
                <w:szCs w:val="24"/>
              </w:rPr>
            </w:pPr>
            <w:r>
              <w:rPr>
                <w:rFonts w:ascii="Times New Roman" w:hAnsi="Times New Roman"/>
                <w:sz w:val="24"/>
                <w:szCs w:val="24"/>
              </w:rPr>
              <w:t>Divorced</w:t>
            </w:r>
          </w:p>
        </w:tc>
        <w:tc>
          <w:tcPr>
            <w:tcW w:w="1968" w:type="dxa"/>
            <w:shd w:val="clear" w:color="auto" w:fill="auto"/>
          </w:tcPr>
          <w:p w14:paraId="408D15D4">
            <w:pPr>
              <w:spacing w:line="480" w:lineRule="auto"/>
              <w:jc w:val="both"/>
              <w:rPr>
                <w:rFonts w:ascii="Times New Roman" w:hAnsi="Times New Roman"/>
                <w:sz w:val="24"/>
                <w:szCs w:val="24"/>
              </w:rPr>
            </w:pPr>
            <w:r>
              <w:rPr>
                <w:rFonts w:ascii="Times New Roman" w:hAnsi="Times New Roman"/>
                <w:sz w:val="24"/>
                <w:szCs w:val="24"/>
              </w:rPr>
              <w:t>20</w:t>
            </w:r>
          </w:p>
        </w:tc>
        <w:tc>
          <w:tcPr>
            <w:tcW w:w="1728" w:type="dxa"/>
            <w:shd w:val="clear" w:color="auto" w:fill="auto"/>
          </w:tcPr>
          <w:p w14:paraId="7F8B4E03">
            <w:pPr>
              <w:spacing w:line="480" w:lineRule="auto"/>
              <w:jc w:val="both"/>
              <w:rPr>
                <w:rFonts w:ascii="Times New Roman" w:hAnsi="Times New Roman"/>
                <w:sz w:val="24"/>
                <w:szCs w:val="24"/>
              </w:rPr>
            </w:pPr>
            <w:r>
              <w:rPr>
                <w:rFonts w:ascii="Times New Roman" w:hAnsi="Times New Roman"/>
                <w:sz w:val="24"/>
                <w:szCs w:val="24"/>
              </w:rPr>
              <w:t>7.8</w:t>
            </w:r>
          </w:p>
        </w:tc>
      </w:tr>
      <w:tr w14:paraId="6AD056A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648" w:type="dxa"/>
            <w:shd w:val="clear" w:color="auto" w:fill="auto"/>
          </w:tcPr>
          <w:p w14:paraId="1DAF8C3C">
            <w:pPr>
              <w:spacing w:line="480" w:lineRule="auto"/>
              <w:jc w:val="both"/>
              <w:rPr>
                <w:rFonts w:ascii="Times New Roman" w:hAnsi="Times New Roman"/>
                <w:sz w:val="24"/>
                <w:szCs w:val="24"/>
              </w:rPr>
            </w:pPr>
            <w:r>
              <w:rPr>
                <w:rFonts w:ascii="Times New Roman" w:hAnsi="Times New Roman"/>
                <w:sz w:val="24"/>
                <w:szCs w:val="24"/>
              </w:rPr>
              <w:t> </w:t>
            </w:r>
          </w:p>
        </w:tc>
        <w:tc>
          <w:tcPr>
            <w:tcW w:w="2028" w:type="dxa"/>
            <w:tcBorders>
              <w:bottom w:val="single" w:color="auto" w:sz="4" w:space="0"/>
            </w:tcBorders>
            <w:shd w:val="clear" w:color="auto" w:fill="auto"/>
          </w:tcPr>
          <w:p w14:paraId="72A3A911">
            <w:pPr>
              <w:spacing w:line="480" w:lineRule="auto"/>
              <w:jc w:val="both"/>
              <w:rPr>
                <w:rFonts w:ascii="Times New Roman" w:hAnsi="Times New Roman"/>
                <w:sz w:val="24"/>
                <w:szCs w:val="24"/>
              </w:rPr>
            </w:pPr>
            <w:r>
              <w:rPr>
                <w:rFonts w:ascii="Times New Roman" w:hAnsi="Times New Roman"/>
                <w:sz w:val="24"/>
                <w:szCs w:val="24"/>
              </w:rPr>
              <w:t> </w:t>
            </w:r>
          </w:p>
        </w:tc>
        <w:tc>
          <w:tcPr>
            <w:tcW w:w="2160" w:type="dxa"/>
            <w:tcBorders>
              <w:bottom w:val="single" w:color="auto" w:sz="4" w:space="0"/>
            </w:tcBorders>
            <w:shd w:val="clear" w:color="auto" w:fill="auto"/>
          </w:tcPr>
          <w:p w14:paraId="0B99F820">
            <w:pPr>
              <w:spacing w:line="480" w:lineRule="auto"/>
              <w:jc w:val="both"/>
              <w:rPr>
                <w:rFonts w:ascii="Times New Roman" w:hAnsi="Times New Roman"/>
                <w:sz w:val="24"/>
                <w:szCs w:val="24"/>
              </w:rPr>
            </w:pPr>
            <w:r>
              <w:rPr>
                <w:rFonts w:ascii="Times New Roman" w:hAnsi="Times New Roman"/>
                <w:sz w:val="24"/>
                <w:szCs w:val="24"/>
              </w:rPr>
              <w:t>Widowed</w:t>
            </w:r>
          </w:p>
        </w:tc>
        <w:tc>
          <w:tcPr>
            <w:tcW w:w="1968" w:type="dxa"/>
            <w:tcBorders>
              <w:bottom w:val="single" w:color="auto" w:sz="4" w:space="0"/>
            </w:tcBorders>
            <w:shd w:val="clear" w:color="auto" w:fill="auto"/>
          </w:tcPr>
          <w:p w14:paraId="2CD09C59">
            <w:pPr>
              <w:spacing w:line="480" w:lineRule="auto"/>
              <w:jc w:val="both"/>
              <w:rPr>
                <w:rFonts w:ascii="Times New Roman" w:hAnsi="Times New Roman"/>
                <w:sz w:val="24"/>
                <w:szCs w:val="24"/>
              </w:rPr>
            </w:pPr>
            <w:r>
              <w:rPr>
                <w:rFonts w:ascii="Times New Roman" w:hAnsi="Times New Roman"/>
                <w:sz w:val="24"/>
                <w:szCs w:val="24"/>
              </w:rPr>
              <w:t>10</w:t>
            </w:r>
          </w:p>
        </w:tc>
        <w:tc>
          <w:tcPr>
            <w:tcW w:w="1728" w:type="dxa"/>
            <w:tcBorders>
              <w:bottom w:val="single" w:color="auto" w:sz="4" w:space="0"/>
            </w:tcBorders>
            <w:shd w:val="clear" w:color="auto" w:fill="auto"/>
          </w:tcPr>
          <w:p w14:paraId="5A0AC910">
            <w:pPr>
              <w:spacing w:line="480" w:lineRule="auto"/>
              <w:jc w:val="both"/>
              <w:rPr>
                <w:rFonts w:ascii="Times New Roman" w:hAnsi="Times New Roman"/>
                <w:sz w:val="24"/>
                <w:szCs w:val="24"/>
              </w:rPr>
            </w:pPr>
            <w:r>
              <w:rPr>
                <w:rFonts w:ascii="Times New Roman" w:hAnsi="Times New Roman"/>
                <w:sz w:val="24"/>
                <w:szCs w:val="24"/>
              </w:rPr>
              <w:t>3.9</w:t>
            </w:r>
          </w:p>
        </w:tc>
      </w:tr>
      <w:tr w14:paraId="016A405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648" w:type="dxa"/>
            <w:shd w:val="clear" w:color="auto" w:fill="auto"/>
          </w:tcPr>
          <w:p w14:paraId="55986D4D">
            <w:pPr>
              <w:spacing w:line="480" w:lineRule="auto"/>
              <w:jc w:val="both"/>
              <w:rPr>
                <w:rFonts w:ascii="Times New Roman" w:hAnsi="Times New Roman"/>
                <w:sz w:val="24"/>
                <w:szCs w:val="24"/>
                <w:lang w:val="en-US"/>
              </w:rPr>
            </w:pPr>
            <w:r>
              <w:rPr>
                <w:rFonts w:ascii="Times New Roman" w:hAnsi="Times New Roman"/>
                <w:sz w:val="24"/>
                <w:szCs w:val="24"/>
              </w:rPr>
              <w:t> </w:t>
            </w:r>
            <w:r>
              <w:rPr>
                <w:rFonts w:ascii="Times New Roman" w:hAnsi="Times New Roman"/>
                <w:sz w:val="24"/>
                <w:szCs w:val="24"/>
                <w:lang w:val="en-US"/>
              </w:rPr>
              <w:t>4</w:t>
            </w:r>
          </w:p>
        </w:tc>
        <w:tc>
          <w:tcPr>
            <w:tcW w:w="2028" w:type="dxa"/>
            <w:tcBorders>
              <w:top w:val="single" w:color="auto" w:sz="4" w:space="0"/>
            </w:tcBorders>
            <w:shd w:val="clear" w:color="auto" w:fill="auto"/>
          </w:tcPr>
          <w:p w14:paraId="53A604E7">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Years of practice</w:t>
            </w:r>
          </w:p>
        </w:tc>
        <w:tc>
          <w:tcPr>
            <w:tcW w:w="2160" w:type="dxa"/>
            <w:tcBorders>
              <w:top w:val="single" w:color="auto" w:sz="4" w:space="0"/>
            </w:tcBorders>
            <w:shd w:val="clear" w:color="auto" w:fill="auto"/>
          </w:tcPr>
          <w:p w14:paraId="2316FB45">
            <w:pPr>
              <w:spacing w:line="480" w:lineRule="auto"/>
              <w:jc w:val="both"/>
              <w:rPr>
                <w:rFonts w:ascii="Times New Roman" w:hAnsi="Times New Roman"/>
                <w:sz w:val="24"/>
                <w:szCs w:val="24"/>
              </w:rPr>
            </w:pPr>
            <w:r>
              <w:rPr>
                <w:rFonts w:ascii="Times New Roman" w:hAnsi="Times New Roman"/>
                <w:sz w:val="24"/>
                <w:szCs w:val="24"/>
              </w:rPr>
              <w:t>1 – 5 years</w:t>
            </w:r>
          </w:p>
        </w:tc>
        <w:tc>
          <w:tcPr>
            <w:tcW w:w="1968" w:type="dxa"/>
            <w:tcBorders>
              <w:top w:val="single" w:color="auto" w:sz="4" w:space="0"/>
            </w:tcBorders>
            <w:shd w:val="clear" w:color="auto" w:fill="auto"/>
          </w:tcPr>
          <w:p w14:paraId="43B24861">
            <w:pPr>
              <w:spacing w:line="480" w:lineRule="auto"/>
              <w:jc w:val="both"/>
              <w:rPr>
                <w:rFonts w:ascii="Times New Roman" w:hAnsi="Times New Roman"/>
                <w:sz w:val="24"/>
                <w:szCs w:val="24"/>
              </w:rPr>
            </w:pPr>
            <w:r>
              <w:rPr>
                <w:rFonts w:ascii="Times New Roman" w:hAnsi="Times New Roman"/>
                <w:sz w:val="24"/>
                <w:szCs w:val="24"/>
              </w:rPr>
              <w:t>50</w:t>
            </w:r>
          </w:p>
        </w:tc>
        <w:tc>
          <w:tcPr>
            <w:tcW w:w="1728" w:type="dxa"/>
            <w:tcBorders>
              <w:top w:val="single" w:color="auto" w:sz="4" w:space="0"/>
            </w:tcBorders>
            <w:shd w:val="clear" w:color="auto" w:fill="auto"/>
          </w:tcPr>
          <w:p w14:paraId="298F8190">
            <w:pPr>
              <w:spacing w:line="480" w:lineRule="auto"/>
              <w:jc w:val="both"/>
              <w:rPr>
                <w:rFonts w:ascii="Times New Roman" w:hAnsi="Times New Roman"/>
                <w:sz w:val="24"/>
                <w:szCs w:val="24"/>
              </w:rPr>
            </w:pPr>
            <w:r>
              <w:rPr>
                <w:rFonts w:ascii="Times New Roman" w:hAnsi="Times New Roman"/>
                <w:sz w:val="24"/>
                <w:szCs w:val="24"/>
              </w:rPr>
              <w:t>19.5</w:t>
            </w:r>
          </w:p>
        </w:tc>
      </w:tr>
      <w:tr w14:paraId="0876E7E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648" w:type="dxa"/>
            <w:shd w:val="clear" w:color="auto" w:fill="auto"/>
          </w:tcPr>
          <w:p w14:paraId="6433FB76">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3942C93E">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522F19A0">
            <w:pPr>
              <w:spacing w:line="480" w:lineRule="auto"/>
              <w:jc w:val="both"/>
              <w:rPr>
                <w:rFonts w:ascii="Times New Roman" w:hAnsi="Times New Roman"/>
                <w:sz w:val="24"/>
                <w:szCs w:val="24"/>
              </w:rPr>
            </w:pPr>
            <w:r>
              <w:rPr>
                <w:rFonts w:ascii="Times New Roman" w:hAnsi="Times New Roman"/>
                <w:sz w:val="24"/>
                <w:szCs w:val="24"/>
              </w:rPr>
              <w:t>6 – 10 years</w:t>
            </w:r>
          </w:p>
        </w:tc>
        <w:tc>
          <w:tcPr>
            <w:tcW w:w="1968" w:type="dxa"/>
            <w:shd w:val="clear" w:color="auto" w:fill="auto"/>
          </w:tcPr>
          <w:p w14:paraId="73F7019D">
            <w:pPr>
              <w:spacing w:line="480" w:lineRule="auto"/>
              <w:jc w:val="both"/>
              <w:rPr>
                <w:rFonts w:ascii="Times New Roman" w:hAnsi="Times New Roman"/>
                <w:sz w:val="24"/>
                <w:szCs w:val="24"/>
              </w:rPr>
            </w:pPr>
            <w:r>
              <w:rPr>
                <w:rFonts w:ascii="Times New Roman" w:hAnsi="Times New Roman"/>
                <w:sz w:val="24"/>
                <w:szCs w:val="24"/>
              </w:rPr>
              <w:t>100</w:t>
            </w:r>
          </w:p>
        </w:tc>
        <w:tc>
          <w:tcPr>
            <w:tcW w:w="1728" w:type="dxa"/>
            <w:shd w:val="clear" w:color="auto" w:fill="auto"/>
          </w:tcPr>
          <w:p w14:paraId="6605D2DA">
            <w:pPr>
              <w:spacing w:line="480" w:lineRule="auto"/>
              <w:jc w:val="both"/>
              <w:rPr>
                <w:rFonts w:ascii="Times New Roman" w:hAnsi="Times New Roman"/>
                <w:sz w:val="24"/>
                <w:szCs w:val="24"/>
              </w:rPr>
            </w:pPr>
            <w:r>
              <w:rPr>
                <w:rFonts w:ascii="Times New Roman" w:hAnsi="Times New Roman"/>
                <w:sz w:val="24"/>
                <w:szCs w:val="24"/>
              </w:rPr>
              <w:t>38.9</w:t>
            </w:r>
          </w:p>
        </w:tc>
      </w:tr>
      <w:tr w14:paraId="623AC36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648" w:type="dxa"/>
            <w:shd w:val="clear" w:color="auto" w:fill="auto"/>
          </w:tcPr>
          <w:p w14:paraId="54ABB301">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59FF13A4">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29A15219">
            <w:pPr>
              <w:spacing w:line="480" w:lineRule="auto"/>
              <w:jc w:val="both"/>
              <w:rPr>
                <w:rFonts w:ascii="Times New Roman" w:hAnsi="Times New Roman"/>
                <w:sz w:val="24"/>
                <w:szCs w:val="24"/>
              </w:rPr>
            </w:pPr>
            <w:r>
              <w:rPr>
                <w:rFonts w:ascii="Times New Roman" w:hAnsi="Times New Roman"/>
                <w:sz w:val="24"/>
                <w:szCs w:val="24"/>
              </w:rPr>
              <w:t>11-15 years</w:t>
            </w:r>
          </w:p>
        </w:tc>
        <w:tc>
          <w:tcPr>
            <w:tcW w:w="1968" w:type="dxa"/>
            <w:shd w:val="clear" w:color="auto" w:fill="auto"/>
          </w:tcPr>
          <w:p w14:paraId="2CD7428E">
            <w:pPr>
              <w:spacing w:line="480" w:lineRule="auto"/>
              <w:jc w:val="both"/>
              <w:rPr>
                <w:rFonts w:ascii="Times New Roman" w:hAnsi="Times New Roman"/>
                <w:sz w:val="24"/>
                <w:szCs w:val="24"/>
              </w:rPr>
            </w:pPr>
            <w:r>
              <w:rPr>
                <w:rFonts w:ascii="Times New Roman" w:hAnsi="Times New Roman"/>
                <w:sz w:val="24"/>
                <w:szCs w:val="24"/>
              </w:rPr>
              <w:t>70</w:t>
            </w:r>
          </w:p>
        </w:tc>
        <w:tc>
          <w:tcPr>
            <w:tcW w:w="1728" w:type="dxa"/>
            <w:shd w:val="clear" w:color="auto" w:fill="auto"/>
          </w:tcPr>
          <w:p w14:paraId="59210146">
            <w:pPr>
              <w:spacing w:line="480" w:lineRule="auto"/>
              <w:jc w:val="both"/>
              <w:rPr>
                <w:rFonts w:ascii="Times New Roman" w:hAnsi="Times New Roman"/>
                <w:sz w:val="24"/>
                <w:szCs w:val="24"/>
              </w:rPr>
            </w:pPr>
            <w:r>
              <w:rPr>
                <w:rFonts w:ascii="Times New Roman" w:hAnsi="Times New Roman"/>
                <w:sz w:val="24"/>
                <w:szCs w:val="24"/>
              </w:rPr>
              <w:t>27.2</w:t>
            </w:r>
          </w:p>
        </w:tc>
      </w:tr>
      <w:tr w14:paraId="383F522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648" w:type="dxa"/>
            <w:shd w:val="clear" w:color="auto" w:fill="auto"/>
          </w:tcPr>
          <w:p w14:paraId="0367329E">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290D95F7">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093EF1E9">
            <w:pPr>
              <w:spacing w:line="480" w:lineRule="auto"/>
              <w:jc w:val="both"/>
              <w:rPr>
                <w:rFonts w:ascii="Times New Roman" w:hAnsi="Times New Roman"/>
                <w:sz w:val="24"/>
                <w:szCs w:val="24"/>
              </w:rPr>
            </w:pPr>
            <w:r>
              <w:rPr>
                <w:rFonts w:ascii="Times New Roman" w:hAnsi="Times New Roman"/>
                <w:sz w:val="24"/>
                <w:szCs w:val="24"/>
              </w:rPr>
              <w:t>16-20 years</w:t>
            </w:r>
          </w:p>
        </w:tc>
        <w:tc>
          <w:tcPr>
            <w:tcW w:w="1968" w:type="dxa"/>
            <w:shd w:val="clear" w:color="auto" w:fill="auto"/>
          </w:tcPr>
          <w:p w14:paraId="4ED32E91">
            <w:pPr>
              <w:spacing w:line="480" w:lineRule="auto"/>
              <w:jc w:val="both"/>
              <w:rPr>
                <w:rFonts w:ascii="Times New Roman" w:hAnsi="Times New Roman"/>
                <w:sz w:val="24"/>
                <w:szCs w:val="24"/>
              </w:rPr>
            </w:pPr>
            <w:r>
              <w:rPr>
                <w:rFonts w:ascii="Times New Roman" w:hAnsi="Times New Roman"/>
                <w:sz w:val="24"/>
                <w:szCs w:val="24"/>
              </w:rPr>
              <w:t>27</w:t>
            </w:r>
          </w:p>
        </w:tc>
        <w:tc>
          <w:tcPr>
            <w:tcW w:w="1728" w:type="dxa"/>
            <w:shd w:val="clear" w:color="auto" w:fill="auto"/>
          </w:tcPr>
          <w:p w14:paraId="16AE4FFD">
            <w:pPr>
              <w:spacing w:line="480" w:lineRule="auto"/>
              <w:jc w:val="both"/>
              <w:rPr>
                <w:rFonts w:ascii="Times New Roman" w:hAnsi="Times New Roman"/>
                <w:sz w:val="24"/>
                <w:szCs w:val="24"/>
              </w:rPr>
            </w:pPr>
            <w:r>
              <w:rPr>
                <w:rFonts w:ascii="Times New Roman" w:hAnsi="Times New Roman"/>
                <w:sz w:val="24"/>
                <w:szCs w:val="24"/>
              </w:rPr>
              <w:t>10.5</w:t>
            </w:r>
          </w:p>
        </w:tc>
      </w:tr>
      <w:tr w14:paraId="3E460FB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648" w:type="dxa"/>
            <w:tcBorders>
              <w:bottom w:val="single" w:color="auto" w:sz="4" w:space="0"/>
            </w:tcBorders>
            <w:shd w:val="clear" w:color="auto" w:fill="auto"/>
          </w:tcPr>
          <w:p w14:paraId="7040B488">
            <w:pPr>
              <w:spacing w:line="480" w:lineRule="auto"/>
              <w:jc w:val="both"/>
              <w:rPr>
                <w:rFonts w:ascii="Times New Roman" w:hAnsi="Times New Roman"/>
                <w:sz w:val="24"/>
                <w:szCs w:val="24"/>
              </w:rPr>
            </w:pPr>
            <w:r>
              <w:rPr>
                <w:rFonts w:ascii="Times New Roman" w:hAnsi="Times New Roman"/>
                <w:sz w:val="24"/>
                <w:szCs w:val="24"/>
              </w:rPr>
              <w:t> </w:t>
            </w:r>
          </w:p>
        </w:tc>
        <w:tc>
          <w:tcPr>
            <w:tcW w:w="2028" w:type="dxa"/>
            <w:tcBorders>
              <w:bottom w:val="single" w:color="auto" w:sz="4" w:space="0"/>
            </w:tcBorders>
            <w:shd w:val="clear" w:color="auto" w:fill="auto"/>
          </w:tcPr>
          <w:p w14:paraId="7D5AAEFA">
            <w:pPr>
              <w:spacing w:line="480" w:lineRule="auto"/>
              <w:jc w:val="both"/>
              <w:rPr>
                <w:rFonts w:ascii="Times New Roman" w:hAnsi="Times New Roman"/>
                <w:sz w:val="24"/>
                <w:szCs w:val="24"/>
              </w:rPr>
            </w:pPr>
            <w:r>
              <w:rPr>
                <w:rFonts w:ascii="Times New Roman" w:hAnsi="Times New Roman"/>
                <w:sz w:val="24"/>
                <w:szCs w:val="24"/>
              </w:rPr>
              <w:t> </w:t>
            </w:r>
          </w:p>
        </w:tc>
        <w:tc>
          <w:tcPr>
            <w:tcW w:w="2160" w:type="dxa"/>
            <w:tcBorders>
              <w:bottom w:val="single" w:color="auto" w:sz="4" w:space="0"/>
            </w:tcBorders>
            <w:shd w:val="clear" w:color="auto" w:fill="auto"/>
          </w:tcPr>
          <w:p w14:paraId="1AF7AA7A">
            <w:pPr>
              <w:spacing w:line="480" w:lineRule="auto"/>
              <w:jc w:val="both"/>
              <w:rPr>
                <w:rFonts w:ascii="Times New Roman" w:hAnsi="Times New Roman"/>
                <w:sz w:val="24"/>
                <w:szCs w:val="24"/>
              </w:rPr>
            </w:pPr>
            <w:r>
              <w:rPr>
                <w:rFonts w:ascii="Times New Roman" w:hAnsi="Times New Roman"/>
                <w:sz w:val="24"/>
                <w:szCs w:val="24"/>
              </w:rPr>
              <w:t>20 years and above</w:t>
            </w:r>
          </w:p>
        </w:tc>
        <w:tc>
          <w:tcPr>
            <w:tcW w:w="1968" w:type="dxa"/>
            <w:tcBorders>
              <w:bottom w:val="single" w:color="auto" w:sz="4" w:space="0"/>
            </w:tcBorders>
            <w:shd w:val="clear" w:color="auto" w:fill="auto"/>
          </w:tcPr>
          <w:p w14:paraId="2A53D553">
            <w:pPr>
              <w:spacing w:line="480" w:lineRule="auto"/>
              <w:jc w:val="both"/>
              <w:rPr>
                <w:rFonts w:ascii="Times New Roman" w:hAnsi="Times New Roman"/>
                <w:sz w:val="24"/>
                <w:szCs w:val="24"/>
              </w:rPr>
            </w:pPr>
            <w:r>
              <w:rPr>
                <w:rFonts w:ascii="Times New Roman" w:hAnsi="Times New Roman"/>
                <w:sz w:val="24"/>
                <w:szCs w:val="24"/>
              </w:rPr>
              <w:t>10</w:t>
            </w:r>
          </w:p>
        </w:tc>
        <w:tc>
          <w:tcPr>
            <w:tcW w:w="1728" w:type="dxa"/>
            <w:tcBorders>
              <w:bottom w:val="single" w:color="auto" w:sz="4" w:space="0"/>
            </w:tcBorders>
            <w:shd w:val="clear" w:color="auto" w:fill="auto"/>
          </w:tcPr>
          <w:p w14:paraId="6D2BA42C">
            <w:pPr>
              <w:spacing w:line="480" w:lineRule="auto"/>
              <w:jc w:val="both"/>
              <w:rPr>
                <w:rFonts w:ascii="Times New Roman" w:hAnsi="Times New Roman"/>
                <w:sz w:val="24"/>
                <w:szCs w:val="24"/>
              </w:rPr>
            </w:pPr>
            <w:r>
              <w:rPr>
                <w:rFonts w:ascii="Times New Roman" w:hAnsi="Times New Roman"/>
                <w:sz w:val="24"/>
                <w:szCs w:val="24"/>
              </w:rPr>
              <w:t>3.9</w:t>
            </w:r>
          </w:p>
        </w:tc>
      </w:tr>
    </w:tbl>
    <w:p w14:paraId="20D5B055">
      <w:pPr>
        <w:spacing w:line="480" w:lineRule="auto"/>
        <w:jc w:val="both"/>
        <w:rPr>
          <w:rFonts w:ascii="Times New Roman" w:hAnsi="Times New Roman"/>
          <w:b/>
          <w:bCs/>
          <w:color w:val="000000"/>
          <w:sz w:val="24"/>
          <w:szCs w:val="24"/>
        </w:rPr>
      </w:pPr>
    </w:p>
    <w:p w14:paraId="40DA5FFB">
      <w:pPr>
        <w:spacing w:before="75" w:after="75" w:line="480" w:lineRule="auto"/>
        <w:ind w:firstLine="420"/>
        <w:jc w:val="both"/>
        <w:rPr>
          <w:rFonts w:ascii="Times New Roman" w:hAnsi="Times New Roman"/>
          <w:b/>
          <w:bCs/>
          <w:color w:val="000000"/>
          <w:sz w:val="24"/>
          <w:szCs w:val="24"/>
          <w:lang w:val="en-US"/>
        </w:rPr>
      </w:pPr>
      <w:r>
        <w:rPr>
          <w:rFonts w:ascii="Times New Roman" w:hAnsi="Times New Roman"/>
          <w:color w:val="000000"/>
          <w:sz w:val="24"/>
          <w:szCs w:val="24"/>
        </w:rPr>
        <w:t xml:space="preserve">As shown in Table </w:t>
      </w:r>
      <w:r>
        <w:rPr>
          <w:rFonts w:ascii="Times New Roman" w:hAnsi="Times New Roman"/>
          <w:color w:val="000000"/>
          <w:sz w:val="24"/>
          <w:szCs w:val="24"/>
          <w:lang w:val="en-US"/>
        </w:rPr>
        <w:t>2</w:t>
      </w:r>
      <w:r>
        <w:rPr>
          <w:rFonts w:ascii="Times New Roman" w:hAnsi="Times New Roman"/>
          <w:color w:val="000000"/>
          <w:sz w:val="24"/>
          <w:szCs w:val="24"/>
        </w:rPr>
        <w:t xml:space="preserve"> above, the majority (206, 80.2%) of the respondents claimed to be familiar with the definition of nosocomial infection, whereas 51 (19.8%) of the respondents were not familiar with the definition of nosocomial infection</w:t>
      </w:r>
      <w:r>
        <w:rPr>
          <w:rFonts w:ascii="Times New Roman" w:hAnsi="Times New Roman"/>
          <w:color w:val="000000"/>
          <w:sz w:val="24"/>
          <w:szCs w:val="24"/>
          <w:lang w:val="en-US"/>
        </w:rPr>
        <w:t xml:space="preserve"> in item 1</w:t>
      </w:r>
      <w:r>
        <w:rPr>
          <w:rFonts w:ascii="Times New Roman" w:hAnsi="Times New Roman"/>
          <w:color w:val="000000"/>
          <w:sz w:val="24"/>
          <w:szCs w:val="24"/>
        </w:rPr>
        <w:t>. In response to item 2, 156 (60.7%) of the respondents indicated that nosocomial infections are not transmitted through direct contact, whereas 101 (39.3%) indicated otherwise. The majority of the respondents, representing 200 (77.8%), reported that body fluids are handled via gloved hands, whereas 57 (22.2%) reported otherwise. Similarly, the majority of the respondents reported correct responses to items 4, 5 and 6 in Table 2, whereas only a few had incorrect responses.</w:t>
      </w:r>
      <w:r>
        <w:rPr>
          <w:rFonts w:ascii="Times New Roman" w:hAnsi="Times New Roman"/>
          <w:color w:val="000000"/>
          <w:sz w:val="24"/>
          <w:szCs w:val="24"/>
          <w:lang w:val="en-US"/>
        </w:rPr>
        <w:t xml:space="preserve"> </w:t>
      </w:r>
      <w:r>
        <w:rPr>
          <w:rFonts w:ascii="Times New Roman" w:hAnsi="Times New Roman"/>
          <w:color w:val="000000"/>
          <w:sz w:val="24"/>
          <w:szCs w:val="24"/>
        </w:rPr>
        <w:t>The mean percentage of correctly answered items by the respondents computed in Table 2 was 191 (74.</w:t>
      </w:r>
      <w:r>
        <w:rPr>
          <w:rFonts w:ascii="Times New Roman" w:hAnsi="Times New Roman"/>
          <w:color w:val="000000"/>
          <w:sz w:val="24"/>
          <w:szCs w:val="24"/>
          <w:lang w:val="en-US"/>
        </w:rPr>
        <w:t>3</w:t>
      </w:r>
      <w:r>
        <w:rPr>
          <w:rFonts w:ascii="Times New Roman" w:hAnsi="Times New Roman"/>
          <w:color w:val="000000"/>
          <w:sz w:val="24"/>
          <w:szCs w:val="24"/>
        </w:rPr>
        <w:t>%), and that of incorrectly answered questions was 66 (25.</w:t>
      </w:r>
      <w:r>
        <w:rPr>
          <w:rFonts w:ascii="Times New Roman" w:hAnsi="Times New Roman"/>
          <w:color w:val="000000"/>
          <w:sz w:val="24"/>
          <w:szCs w:val="24"/>
          <w:lang w:val="en-US"/>
        </w:rPr>
        <w:t>7</w:t>
      </w:r>
      <w:r>
        <w:rPr>
          <w:rFonts w:ascii="Times New Roman" w:hAnsi="Times New Roman"/>
          <w:color w:val="000000"/>
          <w:sz w:val="24"/>
          <w:szCs w:val="24"/>
        </w:rPr>
        <w:t>%).</w:t>
      </w:r>
    </w:p>
    <w:p w14:paraId="14A0F561">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Table </w:t>
      </w:r>
      <w:r>
        <w:rPr>
          <w:rFonts w:ascii="Times New Roman" w:hAnsi="Times New Roman"/>
          <w:b/>
          <w:bCs/>
          <w:color w:val="000000"/>
          <w:sz w:val="24"/>
          <w:szCs w:val="24"/>
          <w:lang w:val="en-US"/>
        </w:rPr>
        <w:t>2</w:t>
      </w:r>
      <w:r>
        <w:rPr>
          <w:rFonts w:ascii="Times New Roman" w:hAnsi="Times New Roman"/>
          <w:b/>
          <w:bCs/>
          <w:color w:val="000000"/>
          <w:sz w:val="24"/>
          <w:szCs w:val="24"/>
        </w:rPr>
        <w:t>: Respondents’ knowledge levels</w:t>
      </w:r>
    </w:p>
    <w:tbl>
      <w:tblPr>
        <w:tblStyle w:val="3"/>
        <w:tblW w:w="0" w:type="auto"/>
        <w:tblInd w:w="0" w:type="dxa"/>
        <w:tblLayout w:type="fixed"/>
        <w:tblCellMar>
          <w:top w:w="15" w:type="dxa"/>
          <w:left w:w="15" w:type="dxa"/>
          <w:bottom w:w="15" w:type="dxa"/>
          <w:right w:w="15" w:type="dxa"/>
        </w:tblCellMar>
      </w:tblPr>
      <w:tblGrid>
        <w:gridCol w:w="897"/>
        <w:gridCol w:w="5199"/>
        <w:gridCol w:w="1545"/>
        <w:gridCol w:w="1719"/>
      </w:tblGrid>
      <w:tr w14:paraId="09960A41">
        <w:tblPrEx>
          <w:tblCellMar>
            <w:top w:w="15" w:type="dxa"/>
            <w:left w:w="15" w:type="dxa"/>
            <w:bottom w:w="15" w:type="dxa"/>
            <w:right w:w="15" w:type="dxa"/>
          </w:tblCellMar>
        </w:tblPrEx>
        <w:trPr>
          <w:trHeight w:val="180" w:hRule="atLeast"/>
        </w:trPr>
        <w:tc>
          <w:tcPr>
            <w:tcW w:w="897" w:type="dxa"/>
            <w:tcBorders>
              <w:top w:val="single" w:color="auto" w:sz="4" w:space="0"/>
              <w:left w:val="nil"/>
              <w:bottom w:val="nil"/>
              <w:right w:val="nil"/>
            </w:tcBorders>
          </w:tcPr>
          <w:p w14:paraId="7DF251DE">
            <w:pPr>
              <w:spacing w:line="480" w:lineRule="auto"/>
              <w:jc w:val="both"/>
              <w:rPr>
                <w:rFonts w:ascii="Times New Roman" w:hAnsi="Times New Roman"/>
                <w:sz w:val="24"/>
                <w:szCs w:val="24"/>
              </w:rPr>
            </w:pPr>
            <w:r>
              <w:rPr>
                <w:rFonts w:ascii="Times New Roman" w:hAnsi="Times New Roman"/>
                <w:b/>
                <w:bCs/>
                <w:sz w:val="24"/>
                <w:szCs w:val="24"/>
              </w:rPr>
              <w:t>S/N</w:t>
            </w:r>
          </w:p>
        </w:tc>
        <w:tc>
          <w:tcPr>
            <w:tcW w:w="5199" w:type="dxa"/>
            <w:tcBorders>
              <w:top w:val="single" w:color="auto" w:sz="4" w:space="0"/>
              <w:left w:val="nil"/>
              <w:bottom w:val="nil"/>
              <w:right w:val="nil"/>
            </w:tcBorders>
            <w:shd w:val="clear" w:color="auto" w:fill="auto"/>
          </w:tcPr>
          <w:p w14:paraId="543BA45D">
            <w:pPr>
              <w:spacing w:line="480" w:lineRule="auto"/>
              <w:jc w:val="both"/>
              <w:rPr>
                <w:rFonts w:ascii="Times New Roman" w:hAnsi="Times New Roman"/>
                <w:sz w:val="24"/>
                <w:szCs w:val="24"/>
              </w:rPr>
            </w:pPr>
            <w:r>
              <w:rPr>
                <w:rFonts w:ascii="Times New Roman" w:hAnsi="Times New Roman"/>
                <w:b/>
                <w:bCs/>
                <w:sz w:val="24"/>
                <w:szCs w:val="24"/>
              </w:rPr>
              <w:t>ITEMS</w:t>
            </w:r>
          </w:p>
        </w:tc>
        <w:tc>
          <w:tcPr>
            <w:tcW w:w="1545" w:type="dxa"/>
            <w:tcBorders>
              <w:top w:val="single" w:color="auto" w:sz="4" w:space="0"/>
              <w:left w:val="nil"/>
              <w:bottom w:val="nil"/>
              <w:right w:val="nil"/>
            </w:tcBorders>
            <w:shd w:val="clear" w:color="auto" w:fill="auto"/>
          </w:tcPr>
          <w:p w14:paraId="0F1D6139">
            <w:pPr>
              <w:spacing w:line="480" w:lineRule="auto"/>
              <w:jc w:val="both"/>
              <w:rPr>
                <w:rFonts w:ascii="Times New Roman" w:hAnsi="Times New Roman"/>
                <w:sz w:val="24"/>
                <w:szCs w:val="24"/>
              </w:rPr>
            </w:pPr>
            <w:r>
              <w:rPr>
                <w:rFonts w:ascii="Times New Roman" w:hAnsi="Times New Roman"/>
                <w:b/>
                <w:bCs/>
                <w:sz w:val="24"/>
                <w:szCs w:val="24"/>
              </w:rPr>
              <w:t>CORRECT RESPONSE</w:t>
            </w:r>
          </w:p>
        </w:tc>
        <w:tc>
          <w:tcPr>
            <w:tcW w:w="1719" w:type="dxa"/>
            <w:tcBorders>
              <w:top w:val="single" w:color="auto" w:sz="4" w:space="0"/>
              <w:left w:val="nil"/>
              <w:bottom w:val="nil"/>
              <w:right w:val="nil"/>
            </w:tcBorders>
            <w:shd w:val="clear" w:color="auto" w:fill="auto"/>
          </w:tcPr>
          <w:p w14:paraId="75278E96">
            <w:pPr>
              <w:spacing w:line="480" w:lineRule="auto"/>
              <w:jc w:val="both"/>
              <w:rPr>
                <w:rFonts w:ascii="Times New Roman" w:hAnsi="Times New Roman"/>
                <w:sz w:val="24"/>
                <w:szCs w:val="24"/>
              </w:rPr>
            </w:pPr>
            <w:r>
              <w:rPr>
                <w:rFonts w:ascii="Times New Roman" w:hAnsi="Times New Roman"/>
                <w:b/>
                <w:bCs/>
                <w:sz w:val="24"/>
                <w:szCs w:val="24"/>
              </w:rPr>
              <w:t>INCORRECT RESPONSE</w:t>
            </w:r>
          </w:p>
        </w:tc>
      </w:tr>
      <w:tr w14:paraId="30CE7F36">
        <w:tblPrEx>
          <w:tblCellMar>
            <w:top w:w="15" w:type="dxa"/>
            <w:left w:w="15" w:type="dxa"/>
            <w:bottom w:w="15" w:type="dxa"/>
            <w:right w:w="15" w:type="dxa"/>
          </w:tblCellMar>
        </w:tblPrEx>
        <w:trPr>
          <w:trHeight w:val="180" w:hRule="atLeast"/>
        </w:trPr>
        <w:tc>
          <w:tcPr>
            <w:tcW w:w="897" w:type="dxa"/>
            <w:tcBorders>
              <w:top w:val="nil"/>
              <w:left w:val="nil"/>
              <w:bottom w:val="single" w:color="auto" w:sz="4" w:space="0"/>
              <w:right w:val="nil"/>
            </w:tcBorders>
          </w:tcPr>
          <w:p w14:paraId="5C141988">
            <w:pPr>
              <w:spacing w:line="480" w:lineRule="auto"/>
              <w:jc w:val="both"/>
              <w:rPr>
                <w:rFonts w:ascii="Times New Roman" w:hAnsi="Times New Roman"/>
                <w:sz w:val="24"/>
                <w:szCs w:val="24"/>
              </w:rPr>
            </w:pPr>
            <w:r>
              <w:rPr>
                <w:rFonts w:ascii="Times New Roman" w:hAnsi="Times New Roman"/>
                <w:sz w:val="24"/>
                <w:szCs w:val="24"/>
              </w:rPr>
              <w:t> </w:t>
            </w:r>
          </w:p>
        </w:tc>
        <w:tc>
          <w:tcPr>
            <w:tcW w:w="5199" w:type="dxa"/>
            <w:tcBorders>
              <w:top w:val="nil"/>
              <w:left w:val="nil"/>
              <w:bottom w:val="single" w:color="auto" w:sz="4" w:space="0"/>
              <w:right w:val="nil"/>
            </w:tcBorders>
            <w:shd w:val="clear" w:color="auto" w:fill="auto"/>
          </w:tcPr>
          <w:p w14:paraId="0A245FE9">
            <w:pPr>
              <w:spacing w:line="480" w:lineRule="auto"/>
              <w:jc w:val="both"/>
              <w:rPr>
                <w:rFonts w:ascii="Times New Roman" w:hAnsi="Times New Roman"/>
                <w:sz w:val="24"/>
                <w:szCs w:val="24"/>
              </w:rPr>
            </w:pPr>
            <w:r>
              <w:rPr>
                <w:rFonts w:ascii="Times New Roman" w:hAnsi="Times New Roman"/>
                <w:sz w:val="24"/>
                <w:szCs w:val="24"/>
              </w:rPr>
              <w:t> </w:t>
            </w:r>
          </w:p>
        </w:tc>
        <w:tc>
          <w:tcPr>
            <w:tcW w:w="1545" w:type="dxa"/>
            <w:tcBorders>
              <w:top w:val="nil"/>
              <w:left w:val="nil"/>
              <w:bottom w:val="single" w:color="auto" w:sz="4" w:space="0"/>
              <w:right w:val="nil"/>
            </w:tcBorders>
            <w:shd w:val="clear" w:color="auto" w:fill="auto"/>
          </w:tcPr>
          <w:p w14:paraId="30801788">
            <w:pPr>
              <w:spacing w:line="480" w:lineRule="auto"/>
              <w:jc w:val="both"/>
              <w:rPr>
                <w:rFonts w:ascii="Times New Roman" w:hAnsi="Times New Roman"/>
                <w:sz w:val="24"/>
                <w:szCs w:val="24"/>
              </w:rPr>
            </w:pPr>
            <w:r>
              <w:rPr>
                <w:rFonts w:ascii="Times New Roman" w:hAnsi="Times New Roman"/>
                <w:b/>
                <w:bCs/>
                <w:sz w:val="24"/>
                <w:szCs w:val="24"/>
              </w:rPr>
              <w:t>n (%)</w:t>
            </w:r>
          </w:p>
        </w:tc>
        <w:tc>
          <w:tcPr>
            <w:tcW w:w="1719" w:type="dxa"/>
            <w:tcBorders>
              <w:top w:val="nil"/>
              <w:left w:val="nil"/>
              <w:bottom w:val="single" w:color="auto" w:sz="4" w:space="0"/>
              <w:right w:val="nil"/>
            </w:tcBorders>
            <w:shd w:val="clear" w:color="auto" w:fill="auto"/>
          </w:tcPr>
          <w:p w14:paraId="3D13847D">
            <w:pPr>
              <w:spacing w:line="480" w:lineRule="auto"/>
              <w:jc w:val="both"/>
              <w:rPr>
                <w:rFonts w:ascii="Times New Roman" w:hAnsi="Times New Roman"/>
                <w:sz w:val="24"/>
                <w:szCs w:val="24"/>
              </w:rPr>
            </w:pPr>
            <w:r>
              <w:rPr>
                <w:rFonts w:ascii="Times New Roman" w:hAnsi="Times New Roman"/>
                <w:b/>
                <w:bCs/>
                <w:sz w:val="24"/>
                <w:szCs w:val="24"/>
              </w:rPr>
              <w:t>n (%)</w:t>
            </w:r>
          </w:p>
        </w:tc>
      </w:tr>
      <w:tr w14:paraId="4B9B69AF">
        <w:tblPrEx>
          <w:tblCellMar>
            <w:top w:w="15" w:type="dxa"/>
            <w:left w:w="15" w:type="dxa"/>
            <w:bottom w:w="15" w:type="dxa"/>
            <w:right w:w="15" w:type="dxa"/>
          </w:tblCellMar>
        </w:tblPrEx>
        <w:tc>
          <w:tcPr>
            <w:tcW w:w="897" w:type="dxa"/>
            <w:tcBorders>
              <w:top w:val="single" w:color="auto" w:sz="4" w:space="0"/>
              <w:left w:val="nil"/>
              <w:bottom w:val="single" w:color="auto" w:sz="4" w:space="0"/>
              <w:right w:val="nil"/>
            </w:tcBorders>
          </w:tcPr>
          <w:p w14:paraId="7CF2FF40">
            <w:pPr>
              <w:spacing w:line="480" w:lineRule="auto"/>
              <w:jc w:val="both"/>
              <w:rPr>
                <w:rFonts w:ascii="Times New Roman" w:hAnsi="Times New Roman"/>
                <w:sz w:val="24"/>
                <w:szCs w:val="24"/>
              </w:rPr>
            </w:pPr>
            <w:r>
              <w:rPr>
                <w:rFonts w:ascii="Times New Roman" w:hAnsi="Times New Roman"/>
                <w:sz w:val="24"/>
                <w:szCs w:val="24"/>
              </w:rPr>
              <w:t>1</w:t>
            </w:r>
          </w:p>
        </w:tc>
        <w:tc>
          <w:tcPr>
            <w:tcW w:w="5199" w:type="dxa"/>
            <w:tcBorders>
              <w:top w:val="single" w:color="auto" w:sz="4" w:space="0"/>
              <w:left w:val="nil"/>
              <w:bottom w:val="single" w:color="auto" w:sz="4" w:space="0"/>
              <w:right w:val="nil"/>
            </w:tcBorders>
            <w:shd w:val="clear" w:color="auto" w:fill="auto"/>
          </w:tcPr>
          <w:p w14:paraId="113722C7">
            <w:pPr>
              <w:spacing w:line="480" w:lineRule="auto"/>
              <w:jc w:val="both"/>
              <w:rPr>
                <w:rFonts w:ascii="Times New Roman" w:hAnsi="Times New Roman"/>
                <w:sz w:val="24"/>
                <w:szCs w:val="24"/>
              </w:rPr>
            </w:pPr>
            <w:r>
              <w:rPr>
                <w:rFonts w:ascii="Times New Roman" w:hAnsi="Times New Roman"/>
                <w:sz w:val="24"/>
                <w:szCs w:val="24"/>
              </w:rPr>
              <w:t>Nosocomial infection is infection that occurs during admission</w:t>
            </w:r>
          </w:p>
        </w:tc>
        <w:tc>
          <w:tcPr>
            <w:tcW w:w="1545" w:type="dxa"/>
            <w:tcBorders>
              <w:top w:val="single" w:color="auto" w:sz="4" w:space="0"/>
              <w:left w:val="nil"/>
              <w:bottom w:val="single" w:color="auto" w:sz="4" w:space="0"/>
              <w:right w:val="nil"/>
            </w:tcBorders>
            <w:shd w:val="clear" w:color="auto" w:fill="auto"/>
          </w:tcPr>
          <w:p w14:paraId="0B3DEEC2">
            <w:pPr>
              <w:spacing w:line="480" w:lineRule="auto"/>
              <w:jc w:val="both"/>
              <w:rPr>
                <w:rFonts w:ascii="Times New Roman" w:hAnsi="Times New Roman"/>
                <w:sz w:val="24"/>
                <w:szCs w:val="24"/>
              </w:rPr>
            </w:pPr>
            <w:r>
              <w:rPr>
                <w:rFonts w:ascii="Times New Roman" w:hAnsi="Times New Roman"/>
                <w:sz w:val="24"/>
                <w:szCs w:val="24"/>
              </w:rPr>
              <w:t>206 (80.2%)</w:t>
            </w:r>
          </w:p>
        </w:tc>
        <w:tc>
          <w:tcPr>
            <w:tcW w:w="1719" w:type="dxa"/>
            <w:tcBorders>
              <w:top w:val="single" w:color="auto" w:sz="4" w:space="0"/>
              <w:left w:val="nil"/>
              <w:bottom w:val="single" w:color="auto" w:sz="4" w:space="0"/>
              <w:right w:val="nil"/>
            </w:tcBorders>
            <w:shd w:val="clear" w:color="auto" w:fill="auto"/>
          </w:tcPr>
          <w:p w14:paraId="61FD405F">
            <w:pPr>
              <w:spacing w:line="480" w:lineRule="auto"/>
              <w:jc w:val="both"/>
              <w:rPr>
                <w:rFonts w:ascii="Times New Roman" w:hAnsi="Times New Roman"/>
                <w:sz w:val="24"/>
                <w:szCs w:val="24"/>
              </w:rPr>
            </w:pPr>
            <w:r>
              <w:rPr>
                <w:rFonts w:ascii="Times New Roman" w:hAnsi="Times New Roman"/>
                <w:sz w:val="24"/>
                <w:szCs w:val="24"/>
              </w:rPr>
              <w:t>51 (19.8%)</w:t>
            </w:r>
          </w:p>
        </w:tc>
      </w:tr>
      <w:tr w14:paraId="71D06C2F">
        <w:tblPrEx>
          <w:tblCellMar>
            <w:top w:w="15" w:type="dxa"/>
            <w:left w:w="15" w:type="dxa"/>
            <w:bottom w:w="15" w:type="dxa"/>
            <w:right w:w="15" w:type="dxa"/>
          </w:tblCellMar>
        </w:tblPrEx>
        <w:tc>
          <w:tcPr>
            <w:tcW w:w="897" w:type="dxa"/>
            <w:tcBorders>
              <w:top w:val="single" w:color="auto" w:sz="4" w:space="0"/>
              <w:left w:val="nil"/>
              <w:bottom w:val="single" w:color="auto" w:sz="4" w:space="0"/>
              <w:right w:val="nil"/>
            </w:tcBorders>
          </w:tcPr>
          <w:p w14:paraId="24322B01">
            <w:pPr>
              <w:spacing w:line="480" w:lineRule="auto"/>
              <w:jc w:val="both"/>
              <w:rPr>
                <w:rFonts w:ascii="Times New Roman" w:hAnsi="Times New Roman"/>
                <w:sz w:val="24"/>
                <w:szCs w:val="24"/>
              </w:rPr>
            </w:pPr>
            <w:r>
              <w:rPr>
                <w:rFonts w:ascii="Times New Roman" w:hAnsi="Times New Roman"/>
                <w:sz w:val="24"/>
                <w:szCs w:val="24"/>
              </w:rPr>
              <w:t>2</w:t>
            </w:r>
          </w:p>
        </w:tc>
        <w:tc>
          <w:tcPr>
            <w:tcW w:w="5199" w:type="dxa"/>
            <w:tcBorders>
              <w:top w:val="single" w:color="auto" w:sz="4" w:space="0"/>
              <w:left w:val="nil"/>
              <w:bottom w:val="single" w:color="auto" w:sz="4" w:space="0"/>
              <w:right w:val="nil"/>
            </w:tcBorders>
            <w:shd w:val="clear" w:color="auto" w:fill="auto"/>
          </w:tcPr>
          <w:p w14:paraId="33A88354">
            <w:pPr>
              <w:spacing w:line="480" w:lineRule="auto"/>
              <w:jc w:val="both"/>
              <w:rPr>
                <w:rFonts w:ascii="Times New Roman" w:hAnsi="Times New Roman"/>
                <w:sz w:val="24"/>
                <w:szCs w:val="24"/>
              </w:rPr>
            </w:pPr>
            <w:r>
              <w:rPr>
                <w:rFonts w:ascii="Times New Roman" w:hAnsi="Times New Roman"/>
                <w:sz w:val="24"/>
                <w:szCs w:val="24"/>
              </w:rPr>
              <w:t>Nosocomial infection are not transmitted through direct contact</w:t>
            </w:r>
          </w:p>
        </w:tc>
        <w:tc>
          <w:tcPr>
            <w:tcW w:w="1545" w:type="dxa"/>
            <w:tcBorders>
              <w:top w:val="single" w:color="auto" w:sz="4" w:space="0"/>
              <w:left w:val="nil"/>
              <w:bottom w:val="single" w:color="auto" w:sz="4" w:space="0"/>
              <w:right w:val="nil"/>
            </w:tcBorders>
            <w:shd w:val="clear" w:color="auto" w:fill="auto"/>
          </w:tcPr>
          <w:p w14:paraId="62C30FAB">
            <w:pPr>
              <w:spacing w:line="480" w:lineRule="auto"/>
              <w:jc w:val="both"/>
              <w:rPr>
                <w:rFonts w:ascii="Times New Roman" w:hAnsi="Times New Roman"/>
                <w:sz w:val="24"/>
                <w:szCs w:val="24"/>
              </w:rPr>
            </w:pPr>
            <w:r>
              <w:rPr>
                <w:rFonts w:ascii="Times New Roman" w:hAnsi="Times New Roman"/>
                <w:sz w:val="24"/>
                <w:szCs w:val="24"/>
              </w:rPr>
              <w:t>156 (60.7%)</w:t>
            </w:r>
          </w:p>
        </w:tc>
        <w:tc>
          <w:tcPr>
            <w:tcW w:w="1719" w:type="dxa"/>
            <w:tcBorders>
              <w:top w:val="single" w:color="auto" w:sz="4" w:space="0"/>
              <w:left w:val="nil"/>
              <w:bottom w:val="single" w:color="auto" w:sz="4" w:space="0"/>
              <w:right w:val="nil"/>
            </w:tcBorders>
            <w:shd w:val="clear" w:color="auto" w:fill="auto"/>
          </w:tcPr>
          <w:p w14:paraId="703D115F">
            <w:pPr>
              <w:spacing w:line="480" w:lineRule="auto"/>
              <w:jc w:val="both"/>
              <w:rPr>
                <w:rFonts w:ascii="Times New Roman" w:hAnsi="Times New Roman"/>
                <w:sz w:val="24"/>
                <w:szCs w:val="24"/>
              </w:rPr>
            </w:pPr>
            <w:r>
              <w:rPr>
                <w:rFonts w:ascii="Times New Roman" w:hAnsi="Times New Roman"/>
                <w:sz w:val="24"/>
                <w:szCs w:val="24"/>
              </w:rPr>
              <w:t>101 (39.3%)</w:t>
            </w:r>
          </w:p>
        </w:tc>
      </w:tr>
      <w:tr w14:paraId="72CD2789">
        <w:tblPrEx>
          <w:tblCellMar>
            <w:top w:w="15" w:type="dxa"/>
            <w:left w:w="15" w:type="dxa"/>
            <w:bottom w:w="15" w:type="dxa"/>
            <w:right w:w="15" w:type="dxa"/>
          </w:tblCellMar>
        </w:tblPrEx>
        <w:tc>
          <w:tcPr>
            <w:tcW w:w="897" w:type="dxa"/>
            <w:tcBorders>
              <w:top w:val="single" w:color="auto" w:sz="4" w:space="0"/>
              <w:left w:val="nil"/>
              <w:bottom w:val="single" w:color="auto" w:sz="4" w:space="0"/>
              <w:right w:val="nil"/>
            </w:tcBorders>
          </w:tcPr>
          <w:p w14:paraId="63D33EE2">
            <w:pPr>
              <w:spacing w:line="480" w:lineRule="auto"/>
              <w:jc w:val="both"/>
              <w:rPr>
                <w:rFonts w:ascii="Times New Roman" w:hAnsi="Times New Roman"/>
                <w:sz w:val="24"/>
                <w:szCs w:val="24"/>
              </w:rPr>
            </w:pPr>
            <w:r>
              <w:rPr>
                <w:rFonts w:ascii="Times New Roman" w:hAnsi="Times New Roman"/>
                <w:sz w:val="24"/>
                <w:szCs w:val="24"/>
              </w:rPr>
              <w:t>3</w:t>
            </w:r>
          </w:p>
        </w:tc>
        <w:tc>
          <w:tcPr>
            <w:tcW w:w="5199" w:type="dxa"/>
            <w:tcBorders>
              <w:top w:val="single" w:color="auto" w:sz="4" w:space="0"/>
              <w:left w:val="nil"/>
              <w:bottom w:val="single" w:color="auto" w:sz="4" w:space="0"/>
              <w:right w:val="nil"/>
            </w:tcBorders>
            <w:shd w:val="clear" w:color="auto" w:fill="auto"/>
          </w:tcPr>
          <w:p w14:paraId="3A204F06">
            <w:pPr>
              <w:spacing w:line="480" w:lineRule="auto"/>
              <w:jc w:val="both"/>
              <w:rPr>
                <w:rFonts w:ascii="Times New Roman" w:hAnsi="Times New Roman"/>
                <w:sz w:val="24"/>
                <w:szCs w:val="24"/>
              </w:rPr>
            </w:pPr>
            <w:r>
              <w:rPr>
                <w:rFonts w:ascii="Times New Roman" w:hAnsi="Times New Roman"/>
                <w:sz w:val="24"/>
                <w:szCs w:val="24"/>
              </w:rPr>
              <w:t>Body fluids are handled using gloved hands</w:t>
            </w:r>
          </w:p>
        </w:tc>
        <w:tc>
          <w:tcPr>
            <w:tcW w:w="1545" w:type="dxa"/>
            <w:tcBorders>
              <w:top w:val="single" w:color="auto" w:sz="4" w:space="0"/>
              <w:left w:val="nil"/>
              <w:bottom w:val="single" w:color="auto" w:sz="4" w:space="0"/>
              <w:right w:val="nil"/>
            </w:tcBorders>
            <w:shd w:val="clear" w:color="auto" w:fill="auto"/>
          </w:tcPr>
          <w:p w14:paraId="04847ABE">
            <w:pPr>
              <w:spacing w:line="480" w:lineRule="auto"/>
              <w:jc w:val="both"/>
              <w:rPr>
                <w:rFonts w:ascii="Times New Roman" w:hAnsi="Times New Roman"/>
                <w:sz w:val="24"/>
                <w:szCs w:val="24"/>
              </w:rPr>
            </w:pPr>
            <w:r>
              <w:rPr>
                <w:rFonts w:ascii="Times New Roman" w:hAnsi="Times New Roman"/>
                <w:sz w:val="24"/>
                <w:szCs w:val="24"/>
              </w:rPr>
              <w:t>200 (77.8%)</w:t>
            </w:r>
          </w:p>
        </w:tc>
        <w:tc>
          <w:tcPr>
            <w:tcW w:w="1719" w:type="dxa"/>
            <w:tcBorders>
              <w:top w:val="single" w:color="auto" w:sz="4" w:space="0"/>
              <w:left w:val="nil"/>
              <w:bottom w:val="single" w:color="auto" w:sz="4" w:space="0"/>
              <w:right w:val="nil"/>
            </w:tcBorders>
            <w:shd w:val="clear" w:color="auto" w:fill="auto"/>
          </w:tcPr>
          <w:p w14:paraId="69656B2A">
            <w:pPr>
              <w:spacing w:line="480" w:lineRule="auto"/>
              <w:jc w:val="both"/>
              <w:rPr>
                <w:rFonts w:ascii="Times New Roman" w:hAnsi="Times New Roman"/>
                <w:sz w:val="24"/>
                <w:szCs w:val="24"/>
              </w:rPr>
            </w:pPr>
            <w:r>
              <w:rPr>
                <w:rFonts w:ascii="Times New Roman" w:hAnsi="Times New Roman"/>
                <w:sz w:val="24"/>
                <w:szCs w:val="24"/>
              </w:rPr>
              <w:t>57 (22.2%)</w:t>
            </w:r>
          </w:p>
        </w:tc>
      </w:tr>
      <w:tr w14:paraId="1E670B1A">
        <w:tblPrEx>
          <w:tblCellMar>
            <w:top w:w="15" w:type="dxa"/>
            <w:left w:w="15" w:type="dxa"/>
            <w:bottom w:w="15" w:type="dxa"/>
            <w:right w:w="15" w:type="dxa"/>
          </w:tblCellMar>
        </w:tblPrEx>
        <w:tc>
          <w:tcPr>
            <w:tcW w:w="897" w:type="dxa"/>
            <w:tcBorders>
              <w:top w:val="single" w:color="auto" w:sz="4" w:space="0"/>
              <w:left w:val="nil"/>
              <w:bottom w:val="single" w:color="auto" w:sz="4" w:space="0"/>
              <w:right w:val="nil"/>
            </w:tcBorders>
          </w:tcPr>
          <w:p w14:paraId="4372A795">
            <w:pPr>
              <w:spacing w:line="480" w:lineRule="auto"/>
              <w:jc w:val="both"/>
              <w:rPr>
                <w:rFonts w:ascii="Times New Roman" w:hAnsi="Times New Roman"/>
                <w:sz w:val="24"/>
                <w:szCs w:val="24"/>
              </w:rPr>
            </w:pPr>
            <w:r>
              <w:rPr>
                <w:rFonts w:ascii="Times New Roman" w:hAnsi="Times New Roman"/>
                <w:sz w:val="24"/>
                <w:szCs w:val="24"/>
              </w:rPr>
              <w:t>4</w:t>
            </w:r>
          </w:p>
        </w:tc>
        <w:tc>
          <w:tcPr>
            <w:tcW w:w="5199" w:type="dxa"/>
            <w:tcBorders>
              <w:top w:val="single" w:color="auto" w:sz="4" w:space="0"/>
              <w:left w:val="nil"/>
              <w:bottom w:val="single" w:color="auto" w:sz="4" w:space="0"/>
              <w:right w:val="nil"/>
            </w:tcBorders>
            <w:shd w:val="clear" w:color="auto" w:fill="auto"/>
          </w:tcPr>
          <w:p w14:paraId="2093DFDD">
            <w:pPr>
              <w:spacing w:line="480" w:lineRule="auto"/>
              <w:jc w:val="both"/>
              <w:rPr>
                <w:rFonts w:ascii="Times New Roman" w:hAnsi="Times New Roman"/>
                <w:sz w:val="24"/>
                <w:szCs w:val="24"/>
              </w:rPr>
            </w:pPr>
            <w:r>
              <w:rPr>
                <w:rFonts w:ascii="Times New Roman" w:hAnsi="Times New Roman"/>
                <w:sz w:val="24"/>
                <w:szCs w:val="24"/>
              </w:rPr>
              <w:t>Needles should be recapped after use.</w:t>
            </w:r>
          </w:p>
        </w:tc>
        <w:tc>
          <w:tcPr>
            <w:tcW w:w="1545" w:type="dxa"/>
            <w:tcBorders>
              <w:top w:val="single" w:color="auto" w:sz="4" w:space="0"/>
              <w:left w:val="nil"/>
              <w:bottom w:val="single" w:color="auto" w:sz="4" w:space="0"/>
              <w:right w:val="nil"/>
            </w:tcBorders>
            <w:shd w:val="clear" w:color="auto" w:fill="auto"/>
          </w:tcPr>
          <w:p w14:paraId="63FFE7DE">
            <w:pPr>
              <w:spacing w:line="480" w:lineRule="auto"/>
              <w:jc w:val="both"/>
              <w:rPr>
                <w:rFonts w:ascii="Times New Roman" w:hAnsi="Times New Roman"/>
                <w:sz w:val="24"/>
                <w:szCs w:val="24"/>
              </w:rPr>
            </w:pPr>
            <w:r>
              <w:rPr>
                <w:rFonts w:ascii="Times New Roman" w:hAnsi="Times New Roman"/>
                <w:sz w:val="24"/>
                <w:szCs w:val="24"/>
              </w:rPr>
              <w:t>210 (81.7%)</w:t>
            </w:r>
          </w:p>
        </w:tc>
        <w:tc>
          <w:tcPr>
            <w:tcW w:w="1719" w:type="dxa"/>
            <w:tcBorders>
              <w:top w:val="single" w:color="auto" w:sz="4" w:space="0"/>
              <w:left w:val="nil"/>
              <w:bottom w:val="single" w:color="auto" w:sz="4" w:space="0"/>
              <w:right w:val="nil"/>
            </w:tcBorders>
            <w:shd w:val="clear" w:color="auto" w:fill="auto"/>
          </w:tcPr>
          <w:p w14:paraId="6B6F0D88">
            <w:pPr>
              <w:spacing w:line="480" w:lineRule="auto"/>
              <w:jc w:val="both"/>
              <w:rPr>
                <w:rFonts w:ascii="Times New Roman" w:hAnsi="Times New Roman"/>
                <w:sz w:val="24"/>
                <w:szCs w:val="24"/>
              </w:rPr>
            </w:pPr>
            <w:r>
              <w:rPr>
                <w:rFonts w:ascii="Times New Roman" w:hAnsi="Times New Roman"/>
                <w:sz w:val="24"/>
                <w:szCs w:val="24"/>
              </w:rPr>
              <w:t>47 (18.3%)</w:t>
            </w:r>
          </w:p>
        </w:tc>
      </w:tr>
      <w:tr w14:paraId="3E3EE193">
        <w:tblPrEx>
          <w:tblCellMar>
            <w:top w:w="15" w:type="dxa"/>
            <w:left w:w="15" w:type="dxa"/>
            <w:bottom w:w="15" w:type="dxa"/>
            <w:right w:w="15" w:type="dxa"/>
          </w:tblCellMar>
        </w:tblPrEx>
        <w:trPr>
          <w:trHeight w:val="210" w:hRule="atLeast"/>
        </w:trPr>
        <w:tc>
          <w:tcPr>
            <w:tcW w:w="897" w:type="dxa"/>
            <w:tcBorders>
              <w:top w:val="single" w:color="auto" w:sz="4" w:space="0"/>
              <w:left w:val="nil"/>
              <w:bottom w:val="single" w:color="auto" w:sz="4" w:space="0"/>
              <w:right w:val="nil"/>
            </w:tcBorders>
          </w:tcPr>
          <w:p w14:paraId="72219F1D">
            <w:pPr>
              <w:spacing w:line="480" w:lineRule="auto"/>
              <w:jc w:val="both"/>
              <w:rPr>
                <w:rFonts w:ascii="Times New Roman" w:hAnsi="Times New Roman"/>
                <w:sz w:val="24"/>
                <w:szCs w:val="24"/>
              </w:rPr>
            </w:pPr>
            <w:r>
              <w:rPr>
                <w:rFonts w:ascii="Times New Roman" w:hAnsi="Times New Roman"/>
                <w:sz w:val="24"/>
                <w:szCs w:val="24"/>
              </w:rPr>
              <w:t>5</w:t>
            </w:r>
          </w:p>
        </w:tc>
        <w:tc>
          <w:tcPr>
            <w:tcW w:w="5199" w:type="dxa"/>
            <w:tcBorders>
              <w:top w:val="single" w:color="auto" w:sz="4" w:space="0"/>
              <w:left w:val="nil"/>
              <w:bottom w:val="single" w:color="auto" w:sz="4" w:space="0"/>
              <w:right w:val="nil"/>
            </w:tcBorders>
            <w:shd w:val="clear" w:color="auto" w:fill="auto"/>
          </w:tcPr>
          <w:p w14:paraId="0EE1FDFF">
            <w:pPr>
              <w:spacing w:line="480" w:lineRule="auto"/>
              <w:jc w:val="both"/>
              <w:rPr>
                <w:rFonts w:ascii="Times New Roman" w:hAnsi="Times New Roman"/>
                <w:sz w:val="24"/>
                <w:szCs w:val="24"/>
              </w:rPr>
            </w:pPr>
            <w:r>
              <w:rPr>
                <w:rFonts w:ascii="Times New Roman" w:hAnsi="Times New Roman"/>
                <w:sz w:val="24"/>
                <w:szCs w:val="24"/>
              </w:rPr>
              <w:t>Personal protective equipment should be worn when handling bed linen.</w:t>
            </w:r>
          </w:p>
        </w:tc>
        <w:tc>
          <w:tcPr>
            <w:tcW w:w="1545" w:type="dxa"/>
            <w:tcBorders>
              <w:top w:val="single" w:color="auto" w:sz="4" w:space="0"/>
              <w:left w:val="nil"/>
              <w:bottom w:val="single" w:color="auto" w:sz="4" w:space="0"/>
              <w:right w:val="nil"/>
            </w:tcBorders>
            <w:shd w:val="clear" w:color="auto" w:fill="auto"/>
          </w:tcPr>
          <w:p w14:paraId="0ED9C6D4">
            <w:pPr>
              <w:spacing w:line="480" w:lineRule="auto"/>
              <w:jc w:val="both"/>
              <w:rPr>
                <w:rFonts w:ascii="Times New Roman" w:hAnsi="Times New Roman"/>
                <w:sz w:val="24"/>
                <w:szCs w:val="24"/>
              </w:rPr>
            </w:pPr>
            <w:r>
              <w:rPr>
                <w:rFonts w:ascii="Times New Roman" w:hAnsi="Times New Roman"/>
                <w:sz w:val="24"/>
                <w:szCs w:val="24"/>
              </w:rPr>
              <w:t>198 (77</w:t>
            </w:r>
            <w:r>
              <w:rPr>
                <w:rFonts w:ascii="Times New Roman" w:hAnsi="Times New Roman"/>
                <w:sz w:val="24"/>
                <w:szCs w:val="24"/>
                <w:lang w:val="en-US"/>
              </w:rPr>
              <w:t>.0</w:t>
            </w:r>
            <w:r>
              <w:rPr>
                <w:rFonts w:ascii="Times New Roman" w:hAnsi="Times New Roman"/>
                <w:sz w:val="24"/>
                <w:szCs w:val="24"/>
              </w:rPr>
              <w:t>%)</w:t>
            </w:r>
          </w:p>
        </w:tc>
        <w:tc>
          <w:tcPr>
            <w:tcW w:w="1719" w:type="dxa"/>
            <w:tcBorders>
              <w:top w:val="single" w:color="auto" w:sz="4" w:space="0"/>
              <w:left w:val="nil"/>
              <w:bottom w:val="single" w:color="auto" w:sz="4" w:space="0"/>
              <w:right w:val="nil"/>
            </w:tcBorders>
            <w:shd w:val="clear" w:color="auto" w:fill="auto"/>
          </w:tcPr>
          <w:p w14:paraId="53AD666A">
            <w:pPr>
              <w:spacing w:line="480" w:lineRule="auto"/>
              <w:jc w:val="both"/>
              <w:rPr>
                <w:rFonts w:ascii="Times New Roman" w:hAnsi="Times New Roman"/>
                <w:sz w:val="24"/>
                <w:szCs w:val="24"/>
              </w:rPr>
            </w:pPr>
            <w:r>
              <w:rPr>
                <w:rFonts w:ascii="Times New Roman" w:hAnsi="Times New Roman"/>
                <w:sz w:val="24"/>
                <w:szCs w:val="24"/>
              </w:rPr>
              <w:t>59 (23</w:t>
            </w:r>
            <w:r>
              <w:rPr>
                <w:rFonts w:ascii="Times New Roman" w:hAnsi="Times New Roman"/>
                <w:sz w:val="24"/>
                <w:szCs w:val="24"/>
                <w:lang w:val="en-US"/>
              </w:rPr>
              <w:t>.0</w:t>
            </w:r>
            <w:r>
              <w:rPr>
                <w:rFonts w:ascii="Times New Roman" w:hAnsi="Times New Roman"/>
                <w:sz w:val="24"/>
                <w:szCs w:val="24"/>
              </w:rPr>
              <w:t>%)</w:t>
            </w:r>
          </w:p>
        </w:tc>
      </w:tr>
      <w:tr w14:paraId="6769AA65">
        <w:tblPrEx>
          <w:tblCellMar>
            <w:top w:w="15" w:type="dxa"/>
            <w:left w:w="15" w:type="dxa"/>
            <w:bottom w:w="15" w:type="dxa"/>
            <w:right w:w="15" w:type="dxa"/>
          </w:tblCellMar>
        </w:tblPrEx>
        <w:trPr>
          <w:trHeight w:val="210" w:hRule="atLeast"/>
        </w:trPr>
        <w:tc>
          <w:tcPr>
            <w:tcW w:w="897" w:type="dxa"/>
            <w:tcBorders>
              <w:top w:val="single" w:color="auto" w:sz="4" w:space="0"/>
              <w:left w:val="nil"/>
              <w:bottom w:val="single" w:color="auto" w:sz="4" w:space="0"/>
              <w:right w:val="nil"/>
            </w:tcBorders>
          </w:tcPr>
          <w:p w14:paraId="0D60A1EB">
            <w:pPr>
              <w:spacing w:line="480" w:lineRule="auto"/>
              <w:jc w:val="both"/>
              <w:rPr>
                <w:rFonts w:ascii="Times New Roman" w:hAnsi="Times New Roman"/>
                <w:sz w:val="24"/>
                <w:szCs w:val="24"/>
              </w:rPr>
            </w:pPr>
            <w:r>
              <w:rPr>
                <w:rFonts w:ascii="Times New Roman" w:hAnsi="Times New Roman"/>
                <w:sz w:val="24"/>
                <w:szCs w:val="24"/>
              </w:rPr>
              <w:t>6</w:t>
            </w:r>
          </w:p>
        </w:tc>
        <w:tc>
          <w:tcPr>
            <w:tcW w:w="5199" w:type="dxa"/>
            <w:tcBorders>
              <w:top w:val="single" w:color="auto" w:sz="4" w:space="0"/>
              <w:left w:val="nil"/>
              <w:bottom w:val="single" w:color="auto" w:sz="4" w:space="0"/>
              <w:right w:val="nil"/>
            </w:tcBorders>
            <w:shd w:val="clear" w:color="auto" w:fill="auto"/>
          </w:tcPr>
          <w:p w14:paraId="4F305BDC">
            <w:pPr>
              <w:spacing w:line="480" w:lineRule="auto"/>
              <w:jc w:val="both"/>
              <w:rPr>
                <w:rFonts w:ascii="Times New Roman" w:hAnsi="Times New Roman"/>
                <w:sz w:val="24"/>
                <w:szCs w:val="24"/>
              </w:rPr>
            </w:pPr>
            <w:r>
              <w:rPr>
                <w:rFonts w:ascii="Times New Roman" w:hAnsi="Times New Roman"/>
                <w:sz w:val="24"/>
                <w:szCs w:val="24"/>
              </w:rPr>
              <w:t>When there is risk of splashes or spray of blood and body fluids, the nurse must wear mask, goggle and gown.</w:t>
            </w:r>
          </w:p>
        </w:tc>
        <w:tc>
          <w:tcPr>
            <w:tcW w:w="1545" w:type="dxa"/>
            <w:tcBorders>
              <w:top w:val="single" w:color="auto" w:sz="4" w:space="0"/>
              <w:left w:val="nil"/>
              <w:bottom w:val="single" w:color="auto" w:sz="4" w:space="0"/>
              <w:right w:val="nil"/>
            </w:tcBorders>
            <w:shd w:val="clear" w:color="auto" w:fill="auto"/>
          </w:tcPr>
          <w:p w14:paraId="0D40D633">
            <w:pPr>
              <w:spacing w:line="480" w:lineRule="auto"/>
              <w:jc w:val="both"/>
              <w:rPr>
                <w:rFonts w:ascii="Times New Roman" w:hAnsi="Times New Roman"/>
                <w:sz w:val="24"/>
                <w:szCs w:val="24"/>
              </w:rPr>
            </w:pPr>
            <w:r>
              <w:rPr>
                <w:rFonts w:ascii="Times New Roman" w:hAnsi="Times New Roman"/>
                <w:sz w:val="24"/>
                <w:szCs w:val="24"/>
              </w:rPr>
              <w:t>180 (70</w:t>
            </w:r>
            <w:r>
              <w:rPr>
                <w:rFonts w:ascii="Times New Roman" w:hAnsi="Times New Roman"/>
                <w:sz w:val="24"/>
                <w:szCs w:val="24"/>
                <w:lang w:val="en-US"/>
              </w:rPr>
              <w:t>.0</w:t>
            </w:r>
            <w:r>
              <w:rPr>
                <w:rFonts w:ascii="Times New Roman" w:hAnsi="Times New Roman"/>
                <w:sz w:val="24"/>
                <w:szCs w:val="24"/>
              </w:rPr>
              <w:t>%)</w:t>
            </w:r>
          </w:p>
        </w:tc>
        <w:tc>
          <w:tcPr>
            <w:tcW w:w="1719" w:type="dxa"/>
            <w:tcBorders>
              <w:top w:val="single" w:color="auto" w:sz="4" w:space="0"/>
              <w:left w:val="nil"/>
              <w:bottom w:val="single" w:color="auto" w:sz="4" w:space="0"/>
              <w:right w:val="nil"/>
            </w:tcBorders>
            <w:shd w:val="clear" w:color="auto" w:fill="auto"/>
          </w:tcPr>
          <w:p w14:paraId="0B661CC0">
            <w:pPr>
              <w:spacing w:line="480" w:lineRule="auto"/>
              <w:jc w:val="both"/>
              <w:rPr>
                <w:rFonts w:ascii="Times New Roman" w:hAnsi="Times New Roman"/>
                <w:sz w:val="24"/>
                <w:szCs w:val="24"/>
              </w:rPr>
            </w:pPr>
            <w:r>
              <w:rPr>
                <w:rFonts w:ascii="Times New Roman" w:hAnsi="Times New Roman"/>
                <w:sz w:val="24"/>
                <w:szCs w:val="24"/>
              </w:rPr>
              <w:t>77 (30</w:t>
            </w:r>
            <w:r>
              <w:rPr>
                <w:rFonts w:ascii="Times New Roman" w:hAnsi="Times New Roman"/>
                <w:sz w:val="24"/>
                <w:szCs w:val="24"/>
                <w:lang w:val="en-US"/>
              </w:rPr>
              <w:t>.0</w:t>
            </w:r>
            <w:r>
              <w:rPr>
                <w:rFonts w:ascii="Times New Roman" w:hAnsi="Times New Roman"/>
                <w:sz w:val="24"/>
                <w:szCs w:val="24"/>
              </w:rPr>
              <w:t>%)</w:t>
            </w:r>
          </w:p>
        </w:tc>
      </w:tr>
      <w:tr w14:paraId="3A7C8C3F">
        <w:tblPrEx>
          <w:tblCellMar>
            <w:top w:w="15" w:type="dxa"/>
            <w:left w:w="15" w:type="dxa"/>
            <w:bottom w:w="15" w:type="dxa"/>
            <w:right w:w="15" w:type="dxa"/>
          </w:tblCellMar>
        </w:tblPrEx>
        <w:trPr>
          <w:trHeight w:val="210" w:hRule="atLeast"/>
        </w:trPr>
        <w:tc>
          <w:tcPr>
            <w:tcW w:w="897" w:type="dxa"/>
            <w:tcBorders>
              <w:top w:val="single" w:color="auto" w:sz="4" w:space="0"/>
              <w:left w:val="nil"/>
              <w:bottom w:val="single" w:color="auto" w:sz="4" w:space="0"/>
              <w:right w:val="nil"/>
            </w:tcBorders>
          </w:tcPr>
          <w:p w14:paraId="5BBACAD1">
            <w:pPr>
              <w:spacing w:line="480" w:lineRule="auto"/>
              <w:jc w:val="both"/>
              <w:rPr>
                <w:rFonts w:ascii="Times New Roman" w:hAnsi="Times New Roman"/>
                <w:sz w:val="24"/>
                <w:szCs w:val="24"/>
              </w:rPr>
            </w:pPr>
            <w:r>
              <w:rPr>
                <w:rFonts w:ascii="Times New Roman" w:hAnsi="Times New Roman"/>
                <w:sz w:val="24"/>
                <w:szCs w:val="24"/>
              </w:rPr>
              <w:t> </w:t>
            </w:r>
          </w:p>
        </w:tc>
        <w:tc>
          <w:tcPr>
            <w:tcW w:w="5199" w:type="dxa"/>
            <w:tcBorders>
              <w:top w:val="single" w:color="auto" w:sz="4" w:space="0"/>
              <w:left w:val="nil"/>
              <w:bottom w:val="single" w:color="auto" w:sz="4" w:space="0"/>
              <w:right w:val="nil"/>
            </w:tcBorders>
            <w:shd w:val="clear" w:color="auto" w:fill="auto"/>
          </w:tcPr>
          <w:p w14:paraId="2803A3DF">
            <w:pPr>
              <w:spacing w:line="480" w:lineRule="auto"/>
              <w:jc w:val="both"/>
              <w:rPr>
                <w:rFonts w:ascii="Times New Roman" w:hAnsi="Times New Roman"/>
                <w:b/>
                <w:bCs/>
                <w:sz w:val="24"/>
                <w:szCs w:val="24"/>
              </w:rPr>
            </w:pPr>
            <w:r>
              <w:rPr>
                <w:rFonts w:ascii="Times New Roman" w:hAnsi="Times New Roman"/>
                <w:b/>
                <w:bCs/>
                <w:sz w:val="24"/>
                <w:szCs w:val="24"/>
              </w:rPr>
              <w:t>Mean</w:t>
            </w:r>
          </w:p>
        </w:tc>
        <w:tc>
          <w:tcPr>
            <w:tcW w:w="1545" w:type="dxa"/>
            <w:tcBorders>
              <w:top w:val="single" w:color="auto" w:sz="4" w:space="0"/>
              <w:left w:val="nil"/>
              <w:bottom w:val="single" w:color="auto" w:sz="4" w:space="0"/>
              <w:right w:val="nil"/>
            </w:tcBorders>
            <w:shd w:val="clear" w:color="auto" w:fill="auto"/>
          </w:tcPr>
          <w:p w14:paraId="2EB263BA">
            <w:pPr>
              <w:spacing w:line="480" w:lineRule="auto"/>
              <w:jc w:val="both"/>
              <w:rPr>
                <w:rFonts w:ascii="Times New Roman" w:hAnsi="Times New Roman"/>
                <w:b/>
                <w:bCs/>
                <w:sz w:val="24"/>
                <w:szCs w:val="24"/>
              </w:rPr>
            </w:pPr>
            <w:r>
              <w:rPr>
                <w:rFonts w:ascii="Times New Roman" w:hAnsi="Times New Roman"/>
                <w:b/>
                <w:bCs/>
                <w:sz w:val="24"/>
                <w:szCs w:val="24"/>
              </w:rPr>
              <w:t>19</w:t>
            </w:r>
            <w:r>
              <w:rPr>
                <w:rFonts w:ascii="Times New Roman" w:hAnsi="Times New Roman"/>
                <w:b/>
                <w:bCs/>
                <w:sz w:val="24"/>
                <w:szCs w:val="24"/>
                <w:lang w:val="en-US"/>
              </w:rPr>
              <w:t>1</w:t>
            </w:r>
            <w:r>
              <w:rPr>
                <w:rFonts w:ascii="Times New Roman" w:hAnsi="Times New Roman"/>
                <w:b/>
                <w:bCs/>
                <w:sz w:val="24"/>
                <w:szCs w:val="24"/>
              </w:rPr>
              <w:t xml:space="preserve"> (74.</w:t>
            </w:r>
            <w:r>
              <w:rPr>
                <w:rFonts w:ascii="Times New Roman" w:hAnsi="Times New Roman"/>
                <w:b/>
                <w:bCs/>
                <w:sz w:val="24"/>
                <w:szCs w:val="24"/>
                <w:lang w:val="en-US"/>
              </w:rPr>
              <w:t>3</w:t>
            </w:r>
            <w:r>
              <w:rPr>
                <w:rFonts w:ascii="Times New Roman" w:hAnsi="Times New Roman"/>
                <w:b/>
                <w:bCs/>
                <w:sz w:val="24"/>
                <w:szCs w:val="24"/>
              </w:rPr>
              <w:t>%)</w:t>
            </w:r>
          </w:p>
        </w:tc>
        <w:tc>
          <w:tcPr>
            <w:tcW w:w="1719" w:type="dxa"/>
            <w:tcBorders>
              <w:top w:val="single" w:color="auto" w:sz="4" w:space="0"/>
              <w:left w:val="nil"/>
              <w:bottom w:val="single" w:color="auto" w:sz="4" w:space="0"/>
              <w:right w:val="nil"/>
            </w:tcBorders>
            <w:shd w:val="clear" w:color="auto" w:fill="auto"/>
          </w:tcPr>
          <w:p w14:paraId="0CA89583">
            <w:pPr>
              <w:spacing w:line="480" w:lineRule="auto"/>
              <w:jc w:val="both"/>
              <w:rPr>
                <w:rFonts w:ascii="Times New Roman" w:hAnsi="Times New Roman"/>
                <w:b/>
                <w:bCs/>
                <w:sz w:val="24"/>
                <w:szCs w:val="24"/>
              </w:rPr>
            </w:pPr>
            <w:r>
              <w:rPr>
                <w:rFonts w:ascii="Times New Roman" w:hAnsi="Times New Roman"/>
                <w:b/>
                <w:bCs/>
                <w:sz w:val="24"/>
                <w:szCs w:val="24"/>
              </w:rPr>
              <w:t>6</w:t>
            </w:r>
            <w:r>
              <w:rPr>
                <w:rFonts w:ascii="Times New Roman" w:hAnsi="Times New Roman"/>
                <w:b/>
                <w:bCs/>
                <w:sz w:val="24"/>
                <w:szCs w:val="24"/>
                <w:lang w:val="en-US"/>
              </w:rPr>
              <w:t>6</w:t>
            </w:r>
            <w:r>
              <w:rPr>
                <w:rFonts w:ascii="Times New Roman" w:hAnsi="Times New Roman"/>
                <w:b/>
                <w:bCs/>
                <w:sz w:val="24"/>
                <w:szCs w:val="24"/>
              </w:rPr>
              <w:t xml:space="preserve"> (25.</w:t>
            </w:r>
            <w:r>
              <w:rPr>
                <w:rFonts w:ascii="Times New Roman" w:hAnsi="Times New Roman"/>
                <w:b/>
                <w:bCs/>
                <w:sz w:val="24"/>
                <w:szCs w:val="24"/>
                <w:lang w:val="en-US"/>
              </w:rPr>
              <w:t>7</w:t>
            </w:r>
            <w:r>
              <w:rPr>
                <w:rFonts w:ascii="Times New Roman" w:hAnsi="Times New Roman"/>
                <w:b/>
                <w:bCs/>
                <w:sz w:val="24"/>
                <w:szCs w:val="24"/>
              </w:rPr>
              <w:t>%)</w:t>
            </w:r>
          </w:p>
        </w:tc>
      </w:tr>
    </w:tbl>
    <w:p w14:paraId="571D1591">
      <w:pPr>
        <w:spacing w:line="480" w:lineRule="auto"/>
        <w:jc w:val="both"/>
        <w:rPr>
          <w:rFonts w:ascii="Times New Roman" w:hAnsi="Times New Roman"/>
          <w:color w:val="000000"/>
          <w:sz w:val="24"/>
          <w:szCs w:val="24"/>
        </w:rPr>
      </w:pPr>
    </w:p>
    <w:p w14:paraId="11D13CDC">
      <w:pPr>
        <w:spacing w:before="75" w:after="75" w:line="480" w:lineRule="auto"/>
        <w:jc w:val="both"/>
        <w:rPr>
          <w:rFonts w:ascii="Times New Roman" w:hAnsi="Times New Roman"/>
          <w:color w:val="000000"/>
          <w:sz w:val="24"/>
          <w:szCs w:val="24"/>
        </w:rPr>
      </w:pPr>
      <w:r>
        <w:rPr>
          <w:rFonts w:ascii="Times New Roman" w:hAnsi="Times New Roman"/>
          <w:color w:val="000000"/>
          <w:sz w:val="24"/>
          <w:szCs w:val="24"/>
        </w:rPr>
        <w:t xml:space="preserve"> The mean percentages are compared with McDonald’s standard of learning outcome measure</w:t>
      </w:r>
      <w:r>
        <w:rPr>
          <w:rFonts w:ascii="Times New Roman" w:hAnsi="Times New Roman"/>
          <w:color w:val="000000"/>
          <w:sz w:val="24"/>
          <w:szCs w:val="24"/>
          <w:lang w:val="en-US"/>
        </w:rPr>
        <w:t>ment</w:t>
      </w:r>
      <w:r>
        <w:rPr>
          <w:rFonts w:ascii="Times New Roman" w:hAnsi="Times New Roman"/>
          <w:color w:val="000000"/>
          <w:sz w:val="24"/>
          <w:szCs w:val="24"/>
        </w:rPr>
        <w:t xml:space="preserve"> criteria</w:t>
      </w:r>
      <w:r>
        <w:rPr>
          <w:rFonts w:ascii="Times New Roman" w:hAnsi="Times New Roman"/>
          <w:color w:val="000000"/>
          <w:sz w:val="24"/>
          <w:szCs w:val="24"/>
          <w:lang w:val="en-US"/>
        </w:rPr>
        <w:t xml:space="preserve"> (Table 3). </w:t>
      </w:r>
      <w:r>
        <w:rPr>
          <w:rFonts w:ascii="Times New Roman" w:hAnsi="Times New Roman"/>
          <w:color w:val="000000"/>
          <w:sz w:val="24"/>
          <w:szCs w:val="24"/>
        </w:rPr>
        <w:t>Therefore, 74.3% of the respondents who exhibited correct knowledge of universal standard precautions in comparison with the McDonald scale indicated a moderate level of knowledge regarding universal standard precautions. Therefore, the respondents can be said to have a moderate level of knowledge of universal standard precautions.</w:t>
      </w:r>
    </w:p>
    <w:p w14:paraId="23188DF4">
      <w:pPr>
        <w:spacing w:before="75" w:after="75" w:line="480" w:lineRule="auto"/>
        <w:ind w:firstLine="420"/>
        <w:jc w:val="both"/>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Table 3 showing </w:t>
      </w:r>
      <w:r>
        <w:rPr>
          <w:rFonts w:ascii="Times New Roman" w:hAnsi="Times New Roman"/>
          <w:b/>
          <w:bCs/>
          <w:color w:val="000000"/>
          <w:sz w:val="24"/>
          <w:szCs w:val="24"/>
        </w:rPr>
        <w:t>McDonald’s standard of learning outcome measure</w:t>
      </w:r>
      <w:r>
        <w:rPr>
          <w:rFonts w:ascii="Times New Roman" w:hAnsi="Times New Roman"/>
          <w:b/>
          <w:bCs/>
          <w:color w:val="000000"/>
          <w:sz w:val="24"/>
          <w:szCs w:val="24"/>
          <w:lang w:val="en-US"/>
        </w:rPr>
        <w:t>ment</w:t>
      </w:r>
      <w:r>
        <w:rPr>
          <w:rFonts w:ascii="Times New Roman" w:hAnsi="Times New Roman"/>
          <w:b/>
          <w:bCs/>
          <w:color w:val="000000"/>
          <w:sz w:val="24"/>
          <w:szCs w:val="24"/>
        </w:rPr>
        <w:t xml:space="preserve"> criteria</w:t>
      </w:r>
      <w:r>
        <w:rPr>
          <w:rFonts w:ascii="Times New Roman" w:hAnsi="Times New Roman"/>
          <w:b/>
          <w:bCs/>
          <w:color w:val="000000"/>
          <w:sz w:val="24"/>
          <w:szCs w:val="24"/>
          <w:lang w:val="en-US"/>
        </w:rPr>
        <w:t>[</w:t>
      </w:r>
    </w:p>
    <w:p w14:paraId="000A8ECE">
      <w:pPr>
        <w:pBdr>
          <w:top w:val="single" w:color="auto" w:sz="4" w:space="0"/>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Levels of knowledge​​​​</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composite of scores (%)</w:t>
      </w:r>
    </w:p>
    <w:p w14:paraId="30151B0D">
      <w:pPr>
        <w:pBdr>
          <w:top w:val="single" w:color="auto" w:sz="4" w:space="0"/>
          <w:bottom w:val="single" w:color="auto" w:sz="4" w:space="0"/>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Very low​​​​​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&lt; 60%</w:t>
      </w:r>
    </w:p>
    <w:p w14:paraId="34BB8DA1">
      <w:pPr>
        <w:pBdr>
          <w:top w:val="single" w:color="auto" w:sz="4" w:space="0"/>
          <w:bottom w:val="single" w:color="auto" w:sz="4" w:space="0"/>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Low​​​​​​​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60–69.99%</w:t>
      </w:r>
    </w:p>
    <w:p w14:paraId="1A351AAE">
      <w:pPr>
        <w:pBdr>
          <w:top w:val="single" w:color="auto" w:sz="4" w:space="0"/>
          <w:bottom w:val="single" w:color="auto" w:sz="4" w:space="0"/>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Moderate​​​​​​</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70–79.99%</w:t>
      </w:r>
    </w:p>
    <w:p w14:paraId="024D39BD">
      <w:pPr>
        <w:pBdr>
          <w:top w:val="single" w:color="auto" w:sz="4" w:space="0"/>
          <w:bottom w:val="single" w:color="auto" w:sz="4" w:space="0"/>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High​​​​​​​</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80–89.99%</w:t>
      </w:r>
    </w:p>
    <w:p w14:paraId="67ACC7CC">
      <w:pPr>
        <w:pBdr>
          <w:top w:val="single" w:color="auto" w:sz="4" w:space="0"/>
          <w:bottom w:val="single" w:color="auto" w:sz="4" w:space="0"/>
        </w:pBdr>
        <w:spacing w:before="75" w:after="75" w:line="480" w:lineRule="auto"/>
        <w:ind w:firstLine="420"/>
        <w:jc w:val="both"/>
        <w:rPr>
          <w:rFonts w:ascii="Times New Roman" w:hAnsi="Times New Roman"/>
          <w:color w:val="000000"/>
          <w:sz w:val="24"/>
          <w:szCs w:val="24"/>
          <w:lang w:val="en-US"/>
        </w:rPr>
      </w:pPr>
      <w:r>
        <w:rPr>
          <w:rFonts w:ascii="Times New Roman" w:hAnsi="Times New Roman"/>
          <w:color w:val="000000"/>
          <w:sz w:val="24"/>
          <w:szCs w:val="24"/>
        </w:rPr>
        <w:t>Very high​​​​​​</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90–100%</w:t>
      </w:r>
    </w:p>
    <w:p w14:paraId="6A79C988">
      <w:pPr>
        <w:spacing w:before="75" w:after="75" w:line="480" w:lineRule="auto"/>
        <w:jc w:val="both"/>
        <w:rPr>
          <w:rFonts w:ascii="Times New Roman" w:hAnsi="Times New Roman"/>
          <w:color w:val="000000"/>
          <w:sz w:val="24"/>
          <w:szCs w:val="24"/>
        </w:rPr>
      </w:pPr>
    </w:p>
    <w:p w14:paraId="5D3550E1">
      <w:pPr>
        <w:spacing w:before="75" w:after="75" w:line="480" w:lineRule="auto"/>
        <w:jc w:val="both"/>
        <w:rPr>
          <w:rFonts w:ascii="Times New Roman" w:hAnsi="Times New Roman"/>
          <w:color w:val="000000"/>
          <w:sz w:val="24"/>
          <w:szCs w:val="24"/>
        </w:rPr>
      </w:pPr>
      <w:r>
        <w:rPr>
          <w:rFonts w:ascii="Times New Roman" w:hAnsi="Times New Roman"/>
          <w:color w:val="000000"/>
          <w:sz w:val="24"/>
          <w:szCs w:val="24"/>
        </w:rPr>
        <w:t xml:space="preserve">Table </w:t>
      </w:r>
      <w:r>
        <w:rPr>
          <w:rFonts w:ascii="Times New Roman" w:hAnsi="Times New Roman"/>
          <w:color w:val="000000"/>
          <w:sz w:val="24"/>
          <w:szCs w:val="24"/>
          <w:lang w:val="en-US"/>
        </w:rPr>
        <w:t>4</w:t>
      </w:r>
      <w:r>
        <w:rPr>
          <w:rFonts w:ascii="Times New Roman" w:hAnsi="Times New Roman"/>
          <w:color w:val="000000"/>
          <w:sz w:val="24"/>
          <w:szCs w:val="24"/>
        </w:rPr>
        <w:t xml:space="preserve"> shows respondents’ responses regarding their compliance with universal standard precautions. From item 1 in Table </w:t>
      </w:r>
      <w:r>
        <w:rPr>
          <w:rFonts w:ascii="Times New Roman" w:hAnsi="Times New Roman"/>
          <w:color w:val="000000"/>
          <w:sz w:val="24"/>
          <w:szCs w:val="24"/>
          <w:lang w:val="en-US"/>
        </w:rPr>
        <w:t>4</w:t>
      </w:r>
      <w:r>
        <w:rPr>
          <w:rFonts w:ascii="Times New Roman" w:hAnsi="Times New Roman"/>
          <w:color w:val="000000"/>
          <w:sz w:val="24"/>
          <w:szCs w:val="24"/>
        </w:rPr>
        <w:t xml:space="preserve"> above, 196 (76.3%) of the respondents strongly agreed that they washed my hands or rub with alcohol-based solutions or other antiseptics before and after providing a nursing procedure, 31 (12.1%) agreed, 15 (5.8%) disagreed, and the remaining 15 (5.8%) strongly disagreed. The mean response of the respondents to item 1 is 3.59, which is more than the average of 2.50 for a 4-point Likert scale, hence indicating that the respondents generally agree with item 1, which states “I wash my hands or rub with alcohol-based solutions or other antiseptics before and after providing a nursing procedure”. Similarly, the mean responses from the respondents with respect to all the items</w:t>
      </w:r>
      <w:r>
        <w:rPr>
          <w:rFonts w:ascii="Times New Roman" w:hAnsi="Times New Roman"/>
          <w:color w:val="000000"/>
          <w:sz w:val="24"/>
          <w:szCs w:val="24"/>
          <w:lang w:val="en-US"/>
        </w:rPr>
        <w:t xml:space="preserve"> except item 5</w:t>
      </w:r>
      <w:r>
        <w:rPr>
          <w:rFonts w:ascii="Times New Roman" w:hAnsi="Times New Roman"/>
          <w:color w:val="000000"/>
          <w:sz w:val="24"/>
          <w:szCs w:val="24"/>
        </w:rPr>
        <w:t xml:space="preserve"> in Table </w:t>
      </w:r>
      <w:r>
        <w:rPr>
          <w:rFonts w:ascii="Times New Roman" w:hAnsi="Times New Roman"/>
          <w:color w:val="000000"/>
          <w:sz w:val="24"/>
          <w:szCs w:val="24"/>
          <w:lang w:val="en-US"/>
        </w:rPr>
        <w:t>4</w:t>
      </w:r>
      <w:r>
        <w:rPr>
          <w:rFonts w:ascii="Times New Roman" w:hAnsi="Times New Roman"/>
          <w:color w:val="000000"/>
          <w:sz w:val="24"/>
          <w:szCs w:val="24"/>
        </w:rPr>
        <w:t xml:space="preserve"> were found to be greater than 2.50, thus suggesting that the respondents generally agreed with the items in the table. The grand mean of the respondents’ responses was computed as 3.</w:t>
      </w:r>
      <w:r>
        <w:rPr>
          <w:rFonts w:ascii="Times New Roman" w:hAnsi="Times New Roman"/>
          <w:color w:val="000000"/>
          <w:sz w:val="24"/>
          <w:szCs w:val="24"/>
          <w:lang w:val="en-US"/>
        </w:rPr>
        <w:t>26</w:t>
      </w:r>
      <w:r>
        <w:rPr>
          <w:rFonts w:ascii="Times New Roman" w:hAnsi="Times New Roman"/>
          <w:color w:val="000000"/>
          <w:sz w:val="24"/>
          <w:szCs w:val="24"/>
        </w:rPr>
        <w:t>, which is above the decision point of 2.50, thus indicating good compliance with universal standard precaution by the sampled nurses.</w:t>
      </w:r>
    </w:p>
    <w:p w14:paraId="616CA5D9">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Table </w:t>
      </w:r>
      <w:r>
        <w:rPr>
          <w:rFonts w:ascii="Times New Roman" w:hAnsi="Times New Roman"/>
          <w:b/>
          <w:bCs/>
          <w:color w:val="000000"/>
          <w:sz w:val="24"/>
          <w:szCs w:val="24"/>
          <w:lang w:val="en-US"/>
        </w:rPr>
        <w:t>4</w:t>
      </w:r>
      <w:r>
        <w:rPr>
          <w:rFonts w:ascii="Times New Roman" w:hAnsi="Times New Roman"/>
          <w:b/>
          <w:bCs/>
          <w:color w:val="000000"/>
          <w:sz w:val="24"/>
          <w:szCs w:val="24"/>
        </w:rPr>
        <w:t>: Compliance with universal standard precautions among nurses</w:t>
      </w:r>
    </w:p>
    <w:tbl>
      <w:tblPr>
        <w:tblStyle w:val="3"/>
        <w:tblW w:w="944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9"/>
        <w:gridCol w:w="3588"/>
        <w:gridCol w:w="840"/>
        <w:gridCol w:w="816"/>
        <w:gridCol w:w="684"/>
        <w:gridCol w:w="816"/>
        <w:gridCol w:w="744"/>
        <w:gridCol w:w="1224"/>
      </w:tblGrid>
      <w:tr w14:paraId="5065A10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29" w:type="dxa"/>
            <w:tcBorders>
              <w:bottom w:val="single" w:color="auto" w:sz="4" w:space="0"/>
            </w:tcBorders>
            <w:shd w:val="clear" w:color="auto" w:fill="auto"/>
          </w:tcPr>
          <w:p w14:paraId="20235511">
            <w:pPr>
              <w:spacing w:line="480" w:lineRule="auto"/>
              <w:jc w:val="both"/>
              <w:rPr>
                <w:rFonts w:ascii="Times New Roman" w:hAnsi="Times New Roman"/>
                <w:sz w:val="24"/>
                <w:szCs w:val="24"/>
              </w:rPr>
            </w:pPr>
            <w:r>
              <w:rPr>
                <w:rFonts w:ascii="Times New Roman" w:hAnsi="Times New Roman"/>
                <w:b/>
                <w:bCs/>
                <w:sz w:val="24"/>
                <w:szCs w:val="24"/>
              </w:rPr>
              <w:t>S/N</w:t>
            </w:r>
          </w:p>
        </w:tc>
        <w:tc>
          <w:tcPr>
            <w:tcW w:w="3588" w:type="dxa"/>
            <w:tcBorders>
              <w:bottom w:val="single" w:color="auto" w:sz="4" w:space="0"/>
            </w:tcBorders>
            <w:shd w:val="clear" w:color="auto" w:fill="auto"/>
          </w:tcPr>
          <w:p w14:paraId="068341D9">
            <w:pPr>
              <w:spacing w:line="480" w:lineRule="auto"/>
              <w:jc w:val="both"/>
              <w:rPr>
                <w:rFonts w:ascii="Times New Roman" w:hAnsi="Times New Roman"/>
                <w:sz w:val="24"/>
                <w:szCs w:val="24"/>
              </w:rPr>
            </w:pPr>
            <w:r>
              <w:rPr>
                <w:rFonts w:ascii="Times New Roman" w:hAnsi="Times New Roman"/>
                <w:b/>
                <w:bCs/>
                <w:sz w:val="24"/>
                <w:szCs w:val="24"/>
              </w:rPr>
              <w:t>ITEMS</w:t>
            </w:r>
          </w:p>
        </w:tc>
        <w:tc>
          <w:tcPr>
            <w:tcW w:w="840" w:type="dxa"/>
            <w:tcBorders>
              <w:bottom w:val="single" w:color="auto" w:sz="4" w:space="0"/>
            </w:tcBorders>
            <w:shd w:val="clear" w:color="auto" w:fill="auto"/>
          </w:tcPr>
          <w:p w14:paraId="7481DF0C">
            <w:pPr>
              <w:spacing w:line="480" w:lineRule="auto"/>
              <w:jc w:val="both"/>
              <w:rPr>
                <w:rFonts w:ascii="Times New Roman" w:hAnsi="Times New Roman"/>
                <w:sz w:val="24"/>
                <w:szCs w:val="24"/>
              </w:rPr>
            </w:pPr>
            <w:r>
              <w:rPr>
                <w:rFonts w:ascii="Times New Roman" w:hAnsi="Times New Roman"/>
                <w:b/>
                <w:bCs/>
                <w:sz w:val="24"/>
                <w:szCs w:val="24"/>
              </w:rPr>
              <w:t>SA</w:t>
            </w:r>
          </w:p>
        </w:tc>
        <w:tc>
          <w:tcPr>
            <w:tcW w:w="816" w:type="dxa"/>
            <w:tcBorders>
              <w:bottom w:val="single" w:color="auto" w:sz="4" w:space="0"/>
            </w:tcBorders>
            <w:shd w:val="clear" w:color="auto" w:fill="auto"/>
          </w:tcPr>
          <w:p w14:paraId="3556B88F">
            <w:pPr>
              <w:spacing w:line="480" w:lineRule="auto"/>
              <w:jc w:val="both"/>
              <w:rPr>
                <w:rFonts w:ascii="Times New Roman" w:hAnsi="Times New Roman"/>
                <w:sz w:val="24"/>
                <w:szCs w:val="24"/>
              </w:rPr>
            </w:pPr>
            <w:r>
              <w:rPr>
                <w:rFonts w:ascii="Times New Roman" w:hAnsi="Times New Roman"/>
                <w:b/>
                <w:bCs/>
                <w:sz w:val="24"/>
                <w:szCs w:val="24"/>
              </w:rPr>
              <w:t>A</w:t>
            </w:r>
          </w:p>
        </w:tc>
        <w:tc>
          <w:tcPr>
            <w:tcW w:w="684" w:type="dxa"/>
            <w:tcBorders>
              <w:bottom w:val="single" w:color="auto" w:sz="4" w:space="0"/>
            </w:tcBorders>
            <w:shd w:val="clear" w:color="auto" w:fill="auto"/>
          </w:tcPr>
          <w:p w14:paraId="5AF320B0">
            <w:pPr>
              <w:spacing w:line="480" w:lineRule="auto"/>
              <w:jc w:val="both"/>
              <w:rPr>
                <w:rFonts w:ascii="Times New Roman" w:hAnsi="Times New Roman"/>
                <w:sz w:val="24"/>
                <w:szCs w:val="24"/>
              </w:rPr>
            </w:pPr>
            <w:r>
              <w:rPr>
                <w:rFonts w:ascii="Times New Roman" w:hAnsi="Times New Roman"/>
                <w:b/>
                <w:bCs/>
                <w:sz w:val="24"/>
                <w:szCs w:val="24"/>
              </w:rPr>
              <w:t>D</w:t>
            </w:r>
          </w:p>
        </w:tc>
        <w:tc>
          <w:tcPr>
            <w:tcW w:w="816" w:type="dxa"/>
            <w:tcBorders>
              <w:bottom w:val="single" w:color="auto" w:sz="4" w:space="0"/>
            </w:tcBorders>
            <w:shd w:val="clear" w:color="auto" w:fill="auto"/>
          </w:tcPr>
          <w:p w14:paraId="3C39D881">
            <w:pPr>
              <w:spacing w:line="480" w:lineRule="auto"/>
              <w:jc w:val="both"/>
              <w:rPr>
                <w:rFonts w:ascii="Times New Roman" w:hAnsi="Times New Roman"/>
                <w:sz w:val="24"/>
                <w:szCs w:val="24"/>
              </w:rPr>
            </w:pPr>
            <w:r>
              <w:rPr>
                <w:rFonts w:ascii="Times New Roman" w:hAnsi="Times New Roman"/>
                <w:b/>
                <w:bCs/>
                <w:sz w:val="24"/>
                <w:szCs w:val="24"/>
              </w:rPr>
              <w:t>SD</w:t>
            </w:r>
          </w:p>
        </w:tc>
        <w:tc>
          <w:tcPr>
            <w:tcW w:w="744" w:type="dxa"/>
            <w:tcBorders>
              <w:bottom w:val="single" w:color="auto" w:sz="4" w:space="0"/>
            </w:tcBorders>
            <w:shd w:val="clear" w:color="auto" w:fill="auto"/>
          </w:tcPr>
          <w:p w14:paraId="12339B2B">
            <w:pPr>
              <w:spacing w:line="480" w:lineRule="auto"/>
              <w:jc w:val="both"/>
              <w:rPr>
                <w:rFonts w:ascii="Times New Roman" w:hAnsi="Times New Roman"/>
                <w:sz w:val="24"/>
                <w:szCs w:val="24"/>
              </w:rPr>
            </w:pPr>
            <w:r>
              <w:rPr>
                <w:rFonts w:ascii="Times New Roman" w:hAnsi="Times New Roman"/>
                <w:b/>
                <w:bCs/>
                <w:sz w:val="24"/>
                <w:szCs w:val="24"/>
              </w:rPr>
              <w:t>Mean</w:t>
            </w:r>
          </w:p>
        </w:tc>
        <w:tc>
          <w:tcPr>
            <w:tcW w:w="1224" w:type="dxa"/>
            <w:tcBorders>
              <w:bottom w:val="single" w:color="auto" w:sz="4" w:space="0"/>
            </w:tcBorders>
            <w:shd w:val="clear" w:color="auto" w:fill="auto"/>
          </w:tcPr>
          <w:p w14:paraId="60D46CFA">
            <w:pPr>
              <w:spacing w:line="480" w:lineRule="auto"/>
              <w:jc w:val="both"/>
              <w:rPr>
                <w:rFonts w:ascii="Times New Roman" w:hAnsi="Times New Roman"/>
                <w:sz w:val="24"/>
                <w:szCs w:val="24"/>
              </w:rPr>
            </w:pPr>
            <w:r>
              <w:rPr>
                <w:rFonts w:ascii="Times New Roman" w:hAnsi="Times New Roman"/>
                <w:b/>
                <w:bCs/>
                <w:sz w:val="24"/>
                <w:szCs w:val="24"/>
              </w:rPr>
              <w:t>Decision</w:t>
            </w:r>
          </w:p>
        </w:tc>
      </w:tr>
      <w:tr w14:paraId="258443D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29" w:type="dxa"/>
            <w:tcBorders>
              <w:top w:val="single" w:color="auto" w:sz="4" w:space="0"/>
              <w:bottom w:val="single" w:color="auto" w:sz="4" w:space="0"/>
            </w:tcBorders>
            <w:shd w:val="clear" w:color="auto" w:fill="auto"/>
          </w:tcPr>
          <w:p w14:paraId="65DFDDE3">
            <w:pPr>
              <w:spacing w:line="480" w:lineRule="auto"/>
              <w:jc w:val="both"/>
              <w:rPr>
                <w:rFonts w:ascii="Times New Roman" w:hAnsi="Times New Roman"/>
                <w:sz w:val="24"/>
                <w:szCs w:val="24"/>
              </w:rPr>
            </w:pPr>
            <w:r>
              <w:rPr>
                <w:rFonts w:ascii="Times New Roman" w:hAnsi="Times New Roman"/>
                <w:sz w:val="24"/>
                <w:szCs w:val="24"/>
              </w:rPr>
              <w:t>1</w:t>
            </w:r>
          </w:p>
        </w:tc>
        <w:tc>
          <w:tcPr>
            <w:tcW w:w="3588" w:type="dxa"/>
            <w:tcBorders>
              <w:top w:val="single" w:color="auto" w:sz="4" w:space="0"/>
              <w:bottom w:val="single" w:color="auto" w:sz="4" w:space="0"/>
            </w:tcBorders>
            <w:shd w:val="clear" w:color="auto" w:fill="auto"/>
          </w:tcPr>
          <w:p w14:paraId="585044D3">
            <w:pPr>
              <w:spacing w:line="480" w:lineRule="auto"/>
              <w:jc w:val="both"/>
              <w:rPr>
                <w:rFonts w:ascii="Times New Roman" w:hAnsi="Times New Roman"/>
                <w:sz w:val="24"/>
                <w:szCs w:val="24"/>
              </w:rPr>
            </w:pPr>
            <w:r>
              <w:rPr>
                <w:rFonts w:ascii="Times New Roman" w:hAnsi="Times New Roman"/>
                <w:sz w:val="24"/>
                <w:szCs w:val="24"/>
              </w:rPr>
              <w:t>I wash my hands or rub with alcohol based solutions or other antiseptics before and after providing a nursing procedure.</w:t>
            </w:r>
          </w:p>
        </w:tc>
        <w:tc>
          <w:tcPr>
            <w:tcW w:w="840" w:type="dxa"/>
            <w:tcBorders>
              <w:top w:val="single" w:color="auto" w:sz="4" w:space="0"/>
              <w:bottom w:val="single" w:color="auto" w:sz="4" w:space="0"/>
            </w:tcBorders>
            <w:shd w:val="clear" w:color="auto" w:fill="auto"/>
          </w:tcPr>
          <w:p w14:paraId="1A6D3A0E">
            <w:pPr>
              <w:spacing w:line="480" w:lineRule="auto"/>
              <w:jc w:val="both"/>
              <w:rPr>
                <w:rFonts w:ascii="Times New Roman" w:hAnsi="Times New Roman"/>
                <w:sz w:val="24"/>
                <w:szCs w:val="24"/>
              </w:rPr>
            </w:pPr>
            <w:r>
              <w:rPr>
                <w:rFonts w:ascii="Times New Roman" w:hAnsi="Times New Roman"/>
                <w:sz w:val="24"/>
                <w:szCs w:val="24"/>
              </w:rPr>
              <w:t>196</w:t>
            </w:r>
          </w:p>
          <w:p w14:paraId="6B58F809">
            <w:pPr>
              <w:spacing w:line="480" w:lineRule="auto"/>
              <w:jc w:val="both"/>
              <w:rPr>
                <w:rFonts w:ascii="Times New Roman" w:hAnsi="Times New Roman"/>
                <w:sz w:val="24"/>
                <w:szCs w:val="24"/>
              </w:rPr>
            </w:pPr>
            <w:r>
              <w:rPr>
                <w:rFonts w:ascii="Times New Roman" w:hAnsi="Times New Roman"/>
                <w:b/>
                <w:bCs/>
                <w:sz w:val="24"/>
                <w:szCs w:val="24"/>
              </w:rPr>
              <w:t>76.3%</w:t>
            </w:r>
          </w:p>
        </w:tc>
        <w:tc>
          <w:tcPr>
            <w:tcW w:w="816" w:type="dxa"/>
            <w:tcBorders>
              <w:top w:val="single" w:color="auto" w:sz="4" w:space="0"/>
              <w:bottom w:val="single" w:color="auto" w:sz="4" w:space="0"/>
            </w:tcBorders>
            <w:shd w:val="clear" w:color="auto" w:fill="auto"/>
          </w:tcPr>
          <w:p w14:paraId="4F306003">
            <w:pPr>
              <w:spacing w:line="480" w:lineRule="auto"/>
              <w:jc w:val="both"/>
              <w:rPr>
                <w:rFonts w:ascii="Times New Roman" w:hAnsi="Times New Roman"/>
                <w:sz w:val="24"/>
                <w:szCs w:val="24"/>
              </w:rPr>
            </w:pPr>
            <w:r>
              <w:rPr>
                <w:rFonts w:ascii="Times New Roman" w:hAnsi="Times New Roman"/>
                <w:sz w:val="24"/>
                <w:szCs w:val="24"/>
              </w:rPr>
              <w:t>31</w:t>
            </w:r>
          </w:p>
          <w:p w14:paraId="0DE03EEA">
            <w:pPr>
              <w:spacing w:line="480" w:lineRule="auto"/>
              <w:jc w:val="both"/>
              <w:rPr>
                <w:rFonts w:ascii="Times New Roman" w:hAnsi="Times New Roman"/>
                <w:sz w:val="24"/>
                <w:szCs w:val="24"/>
              </w:rPr>
            </w:pPr>
            <w:r>
              <w:rPr>
                <w:rFonts w:ascii="Times New Roman" w:hAnsi="Times New Roman"/>
                <w:b/>
                <w:bCs/>
                <w:sz w:val="24"/>
                <w:szCs w:val="24"/>
              </w:rPr>
              <w:t>12.1%</w:t>
            </w:r>
          </w:p>
        </w:tc>
        <w:tc>
          <w:tcPr>
            <w:tcW w:w="684" w:type="dxa"/>
            <w:tcBorders>
              <w:top w:val="single" w:color="auto" w:sz="4" w:space="0"/>
              <w:bottom w:val="single" w:color="auto" w:sz="4" w:space="0"/>
            </w:tcBorders>
            <w:shd w:val="clear" w:color="auto" w:fill="auto"/>
          </w:tcPr>
          <w:p w14:paraId="6EDA5918">
            <w:pPr>
              <w:spacing w:line="480" w:lineRule="auto"/>
              <w:jc w:val="both"/>
              <w:rPr>
                <w:rFonts w:ascii="Times New Roman" w:hAnsi="Times New Roman"/>
                <w:sz w:val="24"/>
                <w:szCs w:val="24"/>
              </w:rPr>
            </w:pPr>
            <w:r>
              <w:rPr>
                <w:rFonts w:ascii="Times New Roman" w:hAnsi="Times New Roman"/>
                <w:sz w:val="24"/>
                <w:szCs w:val="24"/>
              </w:rPr>
              <w:t>15</w:t>
            </w:r>
          </w:p>
          <w:p w14:paraId="4998CF80">
            <w:pPr>
              <w:spacing w:line="480" w:lineRule="auto"/>
              <w:jc w:val="both"/>
              <w:rPr>
                <w:rFonts w:ascii="Times New Roman" w:hAnsi="Times New Roman"/>
                <w:sz w:val="24"/>
                <w:szCs w:val="24"/>
              </w:rPr>
            </w:pPr>
            <w:r>
              <w:rPr>
                <w:rFonts w:ascii="Times New Roman" w:hAnsi="Times New Roman"/>
                <w:b/>
                <w:bCs/>
                <w:sz w:val="24"/>
                <w:szCs w:val="24"/>
              </w:rPr>
              <w:t>5.8%</w:t>
            </w:r>
          </w:p>
        </w:tc>
        <w:tc>
          <w:tcPr>
            <w:tcW w:w="816" w:type="dxa"/>
            <w:tcBorders>
              <w:top w:val="single" w:color="auto" w:sz="4" w:space="0"/>
              <w:bottom w:val="single" w:color="auto" w:sz="4" w:space="0"/>
            </w:tcBorders>
            <w:shd w:val="clear" w:color="auto" w:fill="auto"/>
          </w:tcPr>
          <w:p w14:paraId="065D3CFE">
            <w:pPr>
              <w:spacing w:line="480" w:lineRule="auto"/>
              <w:jc w:val="both"/>
              <w:rPr>
                <w:rFonts w:ascii="Times New Roman" w:hAnsi="Times New Roman"/>
                <w:sz w:val="24"/>
                <w:szCs w:val="24"/>
              </w:rPr>
            </w:pPr>
            <w:r>
              <w:rPr>
                <w:rFonts w:ascii="Times New Roman" w:hAnsi="Times New Roman"/>
                <w:sz w:val="24"/>
                <w:szCs w:val="24"/>
              </w:rPr>
              <w:t>15</w:t>
            </w:r>
          </w:p>
          <w:p w14:paraId="41F9876F">
            <w:pPr>
              <w:spacing w:line="480" w:lineRule="auto"/>
              <w:jc w:val="both"/>
              <w:rPr>
                <w:rFonts w:ascii="Times New Roman" w:hAnsi="Times New Roman"/>
                <w:sz w:val="24"/>
                <w:szCs w:val="24"/>
              </w:rPr>
            </w:pPr>
            <w:r>
              <w:rPr>
                <w:rFonts w:ascii="Times New Roman" w:hAnsi="Times New Roman"/>
                <w:b/>
                <w:bCs/>
                <w:sz w:val="24"/>
                <w:szCs w:val="24"/>
              </w:rPr>
              <w:t>5.8%</w:t>
            </w:r>
          </w:p>
        </w:tc>
        <w:tc>
          <w:tcPr>
            <w:tcW w:w="744" w:type="dxa"/>
            <w:tcBorders>
              <w:top w:val="single" w:color="auto" w:sz="4" w:space="0"/>
              <w:bottom w:val="single" w:color="auto" w:sz="4" w:space="0"/>
            </w:tcBorders>
            <w:shd w:val="clear" w:color="auto" w:fill="auto"/>
          </w:tcPr>
          <w:p w14:paraId="1CCD78C8">
            <w:pPr>
              <w:spacing w:line="480" w:lineRule="auto"/>
              <w:jc w:val="both"/>
              <w:rPr>
                <w:rFonts w:ascii="Times New Roman" w:hAnsi="Times New Roman"/>
                <w:sz w:val="24"/>
                <w:szCs w:val="24"/>
              </w:rPr>
            </w:pPr>
            <w:r>
              <w:rPr>
                <w:rFonts w:ascii="Times New Roman" w:hAnsi="Times New Roman"/>
                <w:sz w:val="24"/>
                <w:szCs w:val="24"/>
              </w:rPr>
              <w:t>3.59</w:t>
            </w:r>
          </w:p>
        </w:tc>
        <w:tc>
          <w:tcPr>
            <w:tcW w:w="1224" w:type="dxa"/>
            <w:tcBorders>
              <w:top w:val="single" w:color="auto" w:sz="4" w:space="0"/>
              <w:bottom w:val="single" w:color="auto" w:sz="4" w:space="0"/>
            </w:tcBorders>
            <w:shd w:val="clear" w:color="auto" w:fill="auto"/>
          </w:tcPr>
          <w:p w14:paraId="119F40C3">
            <w:pPr>
              <w:spacing w:line="480" w:lineRule="auto"/>
              <w:jc w:val="both"/>
              <w:rPr>
                <w:rFonts w:ascii="Times New Roman" w:hAnsi="Times New Roman"/>
                <w:sz w:val="24"/>
                <w:szCs w:val="24"/>
              </w:rPr>
            </w:pPr>
            <w:r>
              <w:rPr>
                <w:rFonts w:ascii="Times New Roman" w:hAnsi="Times New Roman"/>
                <w:sz w:val="24"/>
                <w:szCs w:val="24"/>
              </w:rPr>
              <w:t>compliance</w:t>
            </w:r>
          </w:p>
        </w:tc>
      </w:tr>
      <w:tr w14:paraId="1FD1327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29" w:type="dxa"/>
            <w:tcBorders>
              <w:top w:val="single" w:color="auto" w:sz="4" w:space="0"/>
              <w:bottom w:val="single" w:color="auto" w:sz="4" w:space="0"/>
            </w:tcBorders>
            <w:shd w:val="clear" w:color="auto" w:fill="auto"/>
          </w:tcPr>
          <w:p w14:paraId="5E2B887D">
            <w:pPr>
              <w:spacing w:line="480" w:lineRule="auto"/>
              <w:jc w:val="both"/>
              <w:rPr>
                <w:rFonts w:ascii="Times New Roman" w:hAnsi="Times New Roman"/>
                <w:sz w:val="24"/>
                <w:szCs w:val="24"/>
              </w:rPr>
            </w:pPr>
            <w:r>
              <w:rPr>
                <w:rFonts w:ascii="Times New Roman" w:hAnsi="Times New Roman"/>
                <w:sz w:val="24"/>
                <w:szCs w:val="24"/>
              </w:rPr>
              <w:t> 2</w:t>
            </w:r>
          </w:p>
        </w:tc>
        <w:tc>
          <w:tcPr>
            <w:tcW w:w="3588" w:type="dxa"/>
            <w:tcBorders>
              <w:top w:val="single" w:color="auto" w:sz="4" w:space="0"/>
              <w:bottom w:val="single" w:color="auto" w:sz="4" w:space="0"/>
            </w:tcBorders>
            <w:shd w:val="clear" w:color="auto" w:fill="auto"/>
          </w:tcPr>
          <w:p w14:paraId="47200724">
            <w:pPr>
              <w:spacing w:line="480" w:lineRule="auto"/>
              <w:jc w:val="both"/>
              <w:rPr>
                <w:rFonts w:ascii="Times New Roman" w:hAnsi="Times New Roman"/>
                <w:sz w:val="24"/>
                <w:szCs w:val="24"/>
              </w:rPr>
            </w:pPr>
            <w:r>
              <w:rPr>
                <w:rFonts w:ascii="Times New Roman" w:hAnsi="Times New Roman"/>
                <w:sz w:val="24"/>
                <w:szCs w:val="24"/>
              </w:rPr>
              <w:t>I wash my hands before and after having direct contact with patient’s intact skin.</w:t>
            </w:r>
          </w:p>
        </w:tc>
        <w:tc>
          <w:tcPr>
            <w:tcW w:w="840" w:type="dxa"/>
            <w:tcBorders>
              <w:top w:val="single" w:color="auto" w:sz="4" w:space="0"/>
              <w:bottom w:val="single" w:color="auto" w:sz="4" w:space="0"/>
            </w:tcBorders>
            <w:shd w:val="clear" w:color="auto" w:fill="auto"/>
          </w:tcPr>
          <w:p w14:paraId="32BEC0DA">
            <w:pPr>
              <w:spacing w:line="480" w:lineRule="auto"/>
              <w:jc w:val="both"/>
              <w:rPr>
                <w:rFonts w:ascii="Times New Roman" w:hAnsi="Times New Roman"/>
                <w:sz w:val="24"/>
                <w:szCs w:val="24"/>
              </w:rPr>
            </w:pPr>
            <w:r>
              <w:rPr>
                <w:rFonts w:ascii="Times New Roman" w:hAnsi="Times New Roman"/>
                <w:sz w:val="24"/>
                <w:szCs w:val="24"/>
              </w:rPr>
              <w:t>200</w:t>
            </w:r>
          </w:p>
          <w:p w14:paraId="5AF93DB1">
            <w:pPr>
              <w:spacing w:line="480" w:lineRule="auto"/>
              <w:jc w:val="both"/>
              <w:rPr>
                <w:rFonts w:ascii="Times New Roman" w:hAnsi="Times New Roman"/>
                <w:sz w:val="24"/>
                <w:szCs w:val="24"/>
              </w:rPr>
            </w:pPr>
            <w:r>
              <w:rPr>
                <w:rFonts w:ascii="Times New Roman" w:hAnsi="Times New Roman"/>
                <w:b/>
                <w:bCs/>
                <w:sz w:val="24"/>
                <w:szCs w:val="24"/>
              </w:rPr>
              <w:t>77.8%</w:t>
            </w:r>
          </w:p>
        </w:tc>
        <w:tc>
          <w:tcPr>
            <w:tcW w:w="816" w:type="dxa"/>
            <w:tcBorders>
              <w:top w:val="single" w:color="auto" w:sz="4" w:space="0"/>
              <w:bottom w:val="single" w:color="auto" w:sz="4" w:space="0"/>
            </w:tcBorders>
            <w:shd w:val="clear" w:color="auto" w:fill="auto"/>
          </w:tcPr>
          <w:p w14:paraId="26C0889E">
            <w:pPr>
              <w:spacing w:line="480" w:lineRule="auto"/>
              <w:jc w:val="both"/>
              <w:rPr>
                <w:rFonts w:ascii="Times New Roman" w:hAnsi="Times New Roman"/>
                <w:sz w:val="24"/>
                <w:szCs w:val="24"/>
              </w:rPr>
            </w:pPr>
            <w:r>
              <w:rPr>
                <w:rFonts w:ascii="Times New Roman" w:hAnsi="Times New Roman"/>
                <w:sz w:val="24"/>
                <w:szCs w:val="24"/>
              </w:rPr>
              <w:t>40</w:t>
            </w:r>
          </w:p>
          <w:p w14:paraId="4345DCA8">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15.6%</w:t>
            </w:r>
          </w:p>
        </w:tc>
        <w:tc>
          <w:tcPr>
            <w:tcW w:w="684" w:type="dxa"/>
            <w:tcBorders>
              <w:top w:val="single" w:color="auto" w:sz="4" w:space="0"/>
              <w:bottom w:val="single" w:color="auto" w:sz="4" w:space="0"/>
            </w:tcBorders>
            <w:shd w:val="clear" w:color="auto" w:fill="auto"/>
          </w:tcPr>
          <w:p w14:paraId="6A2EE8E7">
            <w:pPr>
              <w:spacing w:line="480" w:lineRule="auto"/>
              <w:jc w:val="both"/>
              <w:rPr>
                <w:rFonts w:ascii="Times New Roman" w:hAnsi="Times New Roman"/>
                <w:sz w:val="24"/>
                <w:szCs w:val="24"/>
              </w:rPr>
            </w:pPr>
            <w:r>
              <w:rPr>
                <w:rFonts w:ascii="Times New Roman" w:hAnsi="Times New Roman"/>
                <w:sz w:val="24"/>
                <w:szCs w:val="24"/>
              </w:rPr>
              <w:t>10</w:t>
            </w:r>
          </w:p>
          <w:p w14:paraId="24A9D7E3">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3.9%</w:t>
            </w:r>
          </w:p>
        </w:tc>
        <w:tc>
          <w:tcPr>
            <w:tcW w:w="816" w:type="dxa"/>
            <w:tcBorders>
              <w:top w:val="single" w:color="auto" w:sz="4" w:space="0"/>
              <w:bottom w:val="single" w:color="auto" w:sz="4" w:space="0"/>
            </w:tcBorders>
            <w:shd w:val="clear" w:color="auto" w:fill="auto"/>
          </w:tcPr>
          <w:p w14:paraId="22CBDD82">
            <w:pPr>
              <w:spacing w:line="480" w:lineRule="auto"/>
              <w:jc w:val="both"/>
              <w:rPr>
                <w:rFonts w:ascii="Times New Roman" w:hAnsi="Times New Roman"/>
                <w:sz w:val="24"/>
                <w:szCs w:val="24"/>
              </w:rPr>
            </w:pPr>
            <w:r>
              <w:rPr>
                <w:rFonts w:ascii="Times New Roman" w:hAnsi="Times New Roman"/>
                <w:sz w:val="24"/>
                <w:szCs w:val="24"/>
              </w:rPr>
              <w:t>7</w:t>
            </w:r>
          </w:p>
          <w:p w14:paraId="01FD86FE">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2.7%</w:t>
            </w:r>
          </w:p>
        </w:tc>
        <w:tc>
          <w:tcPr>
            <w:tcW w:w="744" w:type="dxa"/>
            <w:tcBorders>
              <w:top w:val="single" w:color="auto" w:sz="4" w:space="0"/>
              <w:bottom w:val="single" w:color="auto" w:sz="4" w:space="0"/>
            </w:tcBorders>
            <w:shd w:val="clear" w:color="auto" w:fill="auto"/>
          </w:tcPr>
          <w:p w14:paraId="76306BAD">
            <w:pPr>
              <w:spacing w:line="480" w:lineRule="auto"/>
              <w:jc w:val="both"/>
              <w:rPr>
                <w:rFonts w:ascii="Times New Roman" w:hAnsi="Times New Roman"/>
                <w:sz w:val="24"/>
                <w:szCs w:val="24"/>
              </w:rPr>
            </w:pPr>
            <w:r>
              <w:rPr>
                <w:rFonts w:ascii="Times New Roman" w:hAnsi="Times New Roman"/>
                <w:sz w:val="24"/>
                <w:szCs w:val="24"/>
              </w:rPr>
              <w:t> 3.67</w:t>
            </w:r>
          </w:p>
        </w:tc>
        <w:tc>
          <w:tcPr>
            <w:tcW w:w="1224" w:type="dxa"/>
            <w:tcBorders>
              <w:top w:val="single" w:color="auto" w:sz="4" w:space="0"/>
              <w:bottom w:val="single" w:color="auto" w:sz="4" w:space="0"/>
            </w:tcBorders>
            <w:shd w:val="clear" w:color="auto" w:fill="auto"/>
          </w:tcPr>
          <w:p w14:paraId="3A9FCEE6">
            <w:pPr>
              <w:spacing w:line="480" w:lineRule="auto"/>
              <w:jc w:val="both"/>
              <w:rPr>
                <w:rFonts w:ascii="Times New Roman" w:hAnsi="Times New Roman"/>
                <w:sz w:val="24"/>
                <w:szCs w:val="24"/>
              </w:rPr>
            </w:pPr>
            <w:r>
              <w:rPr>
                <w:rFonts w:ascii="Times New Roman" w:hAnsi="Times New Roman"/>
                <w:sz w:val="24"/>
                <w:szCs w:val="24"/>
              </w:rPr>
              <w:t>compliance</w:t>
            </w:r>
          </w:p>
        </w:tc>
      </w:tr>
      <w:tr w14:paraId="728C7B5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29" w:type="dxa"/>
            <w:tcBorders>
              <w:top w:val="single" w:color="auto" w:sz="4" w:space="0"/>
              <w:bottom w:val="single" w:color="auto" w:sz="4" w:space="0"/>
            </w:tcBorders>
            <w:shd w:val="clear" w:color="auto" w:fill="auto"/>
          </w:tcPr>
          <w:p w14:paraId="378A8C39">
            <w:pPr>
              <w:spacing w:line="480" w:lineRule="auto"/>
              <w:jc w:val="both"/>
              <w:rPr>
                <w:rFonts w:ascii="Times New Roman" w:hAnsi="Times New Roman"/>
                <w:sz w:val="24"/>
                <w:szCs w:val="24"/>
              </w:rPr>
            </w:pPr>
            <w:r>
              <w:rPr>
                <w:rFonts w:ascii="Times New Roman" w:hAnsi="Times New Roman"/>
                <w:sz w:val="24"/>
                <w:szCs w:val="24"/>
              </w:rPr>
              <w:t> 3</w:t>
            </w:r>
          </w:p>
        </w:tc>
        <w:tc>
          <w:tcPr>
            <w:tcW w:w="3588" w:type="dxa"/>
            <w:tcBorders>
              <w:top w:val="single" w:color="auto" w:sz="4" w:space="0"/>
              <w:bottom w:val="single" w:color="auto" w:sz="4" w:space="0"/>
            </w:tcBorders>
            <w:shd w:val="clear" w:color="auto" w:fill="auto"/>
          </w:tcPr>
          <w:p w14:paraId="593243FE">
            <w:pPr>
              <w:spacing w:line="480" w:lineRule="auto"/>
              <w:jc w:val="both"/>
              <w:rPr>
                <w:rFonts w:ascii="Times New Roman" w:hAnsi="Times New Roman"/>
                <w:sz w:val="24"/>
                <w:szCs w:val="24"/>
              </w:rPr>
            </w:pPr>
            <w:r>
              <w:rPr>
                <w:rFonts w:ascii="Times New Roman" w:hAnsi="Times New Roman"/>
                <w:sz w:val="24"/>
                <w:szCs w:val="24"/>
              </w:rPr>
              <w:t>I am less compliant with recommended guidelines for reducing transmission of nosocomial infection when workload increases or  in emergencies</w:t>
            </w:r>
          </w:p>
        </w:tc>
        <w:tc>
          <w:tcPr>
            <w:tcW w:w="840" w:type="dxa"/>
            <w:tcBorders>
              <w:top w:val="single" w:color="auto" w:sz="4" w:space="0"/>
              <w:bottom w:val="single" w:color="auto" w:sz="4" w:space="0"/>
            </w:tcBorders>
            <w:shd w:val="clear" w:color="auto" w:fill="auto"/>
          </w:tcPr>
          <w:p w14:paraId="78674694">
            <w:pPr>
              <w:spacing w:line="480" w:lineRule="auto"/>
              <w:jc w:val="both"/>
              <w:rPr>
                <w:rFonts w:ascii="Times New Roman" w:hAnsi="Times New Roman"/>
                <w:sz w:val="24"/>
                <w:szCs w:val="24"/>
              </w:rPr>
            </w:pPr>
            <w:r>
              <w:rPr>
                <w:rFonts w:ascii="Times New Roman" w:hAnsi="Times New Roman"/>
                <w:sz w:val="24"/>
                <w:szCs w:val="24"/>
              </w:rPr>
              <w:t>20</w:t>
            </w:r>
          </w:p>
          <w:p w14:paraId="2D0B9DC5">
            <w:pPr>
              <w:spacing w:line="480" w:lineRule="auto"/>
              <w:jc w:val="both"/>
              <w:rPr>
                <w:rFonts w:ascii="Times New Roman" w:hAnsi="Times New Roman"/>
                <w:sz w:val="24"/>
                <w:szCs w:val="24"/>
              </w:rPr>
            </w:pPr>
            <w:r>
              <w:rPr>
                <w:rFonts w:ascii="Times New Roman" w:hAnsi="Times New Roman"/>
                <w:b/>
                <w:bCs/>
                <w:sz w:val="24"/>
                <w:szCs w:val="24"/>
              </w:rPr>
              <w:t>7.8%</w:t>
            </w:r>
          </w:p>
        </w:tc>
        <w:tc>
          <w:tcPr>
            <w:tcW w:w="816" w:type="dxa"/>
            <w:tcBorders>
              <w:top w:val="single" w:color="auto" w:sz="4" w:space="0"/>
              <w:bottom w:val="single" w:color="auto" w:sz="4" w:space="0"/>
            </w:tcBorders>
            <w:shd w:val="clear" w:color="auto" w:fill="auto"/>
          </w:tcPr>
          <w:p w14:paraId="31B047BD">
            <w:pPr>
              <w:spacing w:line="480" w:lineRule="auto"/>
              <w:jc w:val="both"/>
              <w:rPr>
                <w:rFonts w:ascii="Times New Roman" w:hAnsi="Times New Roman"/>
                <w:sz w:val="24"/>
                <w:szCs w:val="24"/>
              </w:rPr>
            </w:pPr>
            <w:r>
              <w:rPr>
                <w:rFonts w:ascii="Times New Roman" w:hAnsi="Times New Roman"/>
                <w:sz w:val="24"/>
                <w:szCs w:val="24"/>
              </w:rPr>
              <w:t>30</w:t>
            </w:r>
          </w:p>
          <w:p w14:paraId="52BCE7D7">
            <w:pPr>
              <w:spacing w:line="480" w:lineRule="auto"/>
              <w:jc w:val="both"/>
              <w:rPr>
                <w:rFonts w:ascii="Times New Roman" w:hAnsi="Times New Roman"/>
                <w:sz w:val="24"/>
                <w:szCs w:val="24"/>
              </w:rPr>
            </w:pPr>
            <w:r>
              <w:rPr>
                <w:rFonts w:ascii="Times New Roman" w:hAnsi="Times New Roman"/>
                <w:b/>
                <w:bCs/>
                <w:sz w:val="24"/>
                <w:szCs w:val="24"/>
              </w:rPr>
              <w:t>11.7%</w:t>
            </w:r>
          </w:p>
        </w:tc>
        <w:tc>
          <w:tcPr>
            <w:tcW w:w="684" w:type="dxa"/>
            <w:tcBorders>
              <w:top w:val="single" w:color="auto" w:sz="4" w:space="0"/>
              <w:bottom w:val="single" w:color="auto" w:sz="4" w:space="0"/>
            </w:tcBorders>
            <w:shd w:val="clear" w:color="auto" w:fill="auto"/>
          </w:tcPr>
          <w:p w14:paraId="3416F634">
            <w:pPr>
              <w:spacing w:line="480" w:lineRule="auto"/>
              <w:jc w:val="both"/>
              <w:rPr>
                <w:rFonts w:ascii="Times New Roman" w:hAnsi="Times New Roman"/>
                <w:sz w:val="24"/>
                <w:szCs w:val="24"/>
              </w:rPr>
            </w:pPr>
            <w:r>
              <w:rPr>
                <w:rFonts w:ascii="Times New Roman" w:hAnsi="Times New Roman"/>
                <w:sz w:val="24"/>
                <w:szCs w:val="24"/>
              </w:rPr>
              <w:t>187</w:t>
            </w:r>
          </w:p>
          <w:p w14:paraId="6FEFED39">
            <w:pPr>
              <w:spacing w:line="480" w:lineRule="auto"/>
              <w:jc w:val="both"/>
              <w:rPr>
                <w:rFonts w:ascii="Times New Roman" w:hAnsi="Times New Roman"/>
                <w:sz w:val="24"/>
                <w:szCs w:val="24"/>
              </w:rPr>
            </w:pPr>
            <w:r>
              <w:rPr>
                <w:rFonts w:ascii="Times New Roman" w:hAnsi="Times New Roman"/>
                <w:b/>
                <w:bCs/>
                <w:sz w:val="24"/>
                <w:szCs w:val="24"/>
              </w:rPr>
              <w:t>72.8%</w:t>
            </w:r>
          </w:p>
        </w:tc>
        <w:tc>
          <w:tcPr>
            <w:tcW w:w="816" w:type="dxa"/>
            <w:tcBorders>
              <w:top w:val="single" w:color="auto" w:sz="4" w:space="0"/>
              <w:bottom w:val="single" w:color="auto" w:sz="4" w:space="0"/>
            </w:tcBorders>
            <w:shd w:val="clear" w:color="auto" w:fill="auto"/>
          </w:tcPr>
          <w:p w14:paraId="626C96B8">
            <w:pPr>
              <w:spacing w:line="480" w:lineRule="auto"/>
              <w:jc w:val="both"/>
              <w:rPr>
                <w:rFonts w:ascii="Times New Roman" w:hAnsi="Times New Roman"/>
                <w:sz w:val="24"/>
                <w:szCs w:val="24"/>
              </w:rPr>
            </w:pPr>
            <w:r>
              <w:rPr>
                <w:rFonts w:ascii="Times New Roman" w:hAnsi="Times New Roman"/>
                <w:sz w:val="24"/>
                <w:szCs w:val="24"/>
              </w:rPr>
              <w:t>20</w:t>
            </w:r>
          </w:p>
          <w:p w14:paraId="7ADF0A26">
            <w:pPr>
              <w:spacing w:line="480" w:lineRule="auto"/>
              <w:jc w:val="both"/>
              <w:rPr>
                <w:rFonts w:ascii="Times New Roman" w:hAnsi="Times New Roman"/>
                <w:sz w:val="24"/>
                <w:szCs w:val="24"/>
              </w:rPr>
            </w:pPr>
            <w:r>
              <w:rPr>
                <w:rFonts w:ascii="Times New Roman" w:hAnsi="Times New Roman"/>
                <w:b/>
                <w:bCs/>
                <w:sz w:val="24"/>
                <w:szCs w:val="24"/>
              </w:rPr>
              <w:t>7.8%</w:t>
            </w:r>
          </w:p>
        </w:tc>
        <w:tc>
          <w:tcPr>
            <w:tcW w:w="744" w:type="dxa"/>
            <w:tcBorders>
              <w:top w:val="single" w:color="auto" w:sz="4" w:space="0"/>
              <w:bottom w:val="single" w:color="auto" w:sz="4" w:space="0"/>
            </w:tcBorders>
            <w:shd w:val="clear" w:color="auto" w:fill="auto"/>
          </w:tcPr>
          <w:p w14:paraId="599556EE">
            <w:pPr>
              <w:spacing w:line="480" w:lineRule="auto"/>
              <w:jc w:val="both"/>
              <w:rPr>
                <w:rFonts w:ascii="Times New Roman" w:hAnsi="Times New Roman"/>
                <w:sz w:val="24"/>
                <w:szCs w:val="24"/>
              </w:rPr>
            </w:pPr>
            <w:r>
              <w:rPr>
                <w:rFonts w:ascii="Times New Roman" w:hAnsi="Times New Roman"/>
                <w:sz w:val="24"/>
                <w:szCs w:val="24"/>
              </w:rPr>
              <w:t> </w:t>
            </w:r>
          </w:p>
          <w:p w14:paraId="5134BD81">
            <w:pPr>
              <w:spacing w:line="480" w:lineRule="auto"/>
              <w:jc w:val="both"/>
              <w:rPr>
                <w:rFonts w:ascii="Times New Roman" w:hAnsi="Times New Roman"/>
                <w:sz w:val="24"/>
                <w:szCs w:val="24"/>
              </w:rPr>
            </w:pPr>
            <w:r>
              <w:rPr>
                <w:rFonts w:ascii="Times New Roman" w:hAnsi="Times New Roman"/>
                <w:sz w:val="24"/>
                <w:szCs w:val="24"/>
              </w:rPr>
              <w:t>2.81</w:t>
            </w:r>
          </w:p>
        </w:tc>
        <w:tc>
          <w:tcPr>
            <w:tcW w:w="1224" w:type="dxa"/>
            <w:tcBorders>
              <w:top w:val="single" w:color="auto" w:sz="4" w:space="0"/>
              <w:bottom w:val="single" w:color="auto" w:sz="4" w:space="0"/>
            </w:tcBorders>
            <w:shd w:val="clear" w:color="auto" w:fill="auto"/>
          </w:tcPr>
          <w:p w14:paraId="6F56DDEB">
            <w:pPr>
              <w:spacing w:line="480" w:lineRule="auto"/>
              <w:jc w:val="both"/>
              <w:rPr>
                <w:rFonts w:ascii="Times New Roman" w:hAnsi="Times New Roman"/>
                <w:sz w:val="24"/>
                <w:szCs w:val="24"/>
              </w:rPr>
            </w:pPr>
            <w:r>
              <w:rPr>
                <w:rFonts w:ascii="Times New Roman" w:hAnsi="Times New Roman"/>
                <w:sz w:val="24"/>
                <w:szCs w:val="24"/>
              </w:rPr>
              <w:t>compliance</w:t>
            </w:r>
          </w:p>
        </w:tc>
      </w:tr>
      <w:tr w14:paraId="1AF5A9F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29" w:type="dxa"/>
            <w:tcBorders>
              <w:top w:val="single" w:color="auto" w:sz="4" w:space="0"/>
              <w:bottom w:val="single" w:color="auto" w:sz="4" w:space="0"/>
            </w:tcBorders>
            <w:shd w:val="clear" w:color="auto" w:fill="auto"/>
          </w:tcPr>
          <w:p w14:paraId="12642234">
            <w:pPr>
              <w:spacing w:line="480" w:lineRule="auto"/>
              <w:jc w:val="both"/>
              <w:rPr>
                <w:rFonts w:ascii="Times New Roman" w:hAnsi="Times New Roman"/>
                <w:sz w:val="24"/>
                <w:szCs w:val="24"/>
              </w:rPr>
            </w:pPr>
            <w:r>
              <w:rPr>
                <w:rFonts w:ascii="Times New Roman" w:hAnsi="Times New Roman"/>
                <w:sz w:val="24"/>
                <w:szCs w:val="24"/>
              </w:rPr>
              <w:t> 4</w:t>
            </w:r>
          </w:p>
        </w:tc>
        <w:tc>
          <w:tcPr>
            <w:tcW w:w="3588" w:type="dxa"/>
            <w:tcBorders>
              <w:top w:val="single" w:color="auto" w:sz="4" w:space="0"/>
              <w:bottom w:val="single" w:color="auto" w:sz="4" w:space="0"/>
            </w:tcBorders>
            <w:shd w:val="clear" w:color="auto" w:fill="auto"/>
          </w:tcPr>
          <w:p w14:paraId="2680F2E5">
            <w:pPr>
              <w:spacing w:line="480" w:lineRule="auto"/>
              <w:jc w:val="both"/>
              <w:rPr>
                <w:rFonts w:ascii="Times New Roman" w:hAnsi="Times New Roman"/>
                <w:sz w:val="24"/>
                <w:szCs w:val="24"/>
              </w:rPr>
            </w:pPr>
            <w:r>
              <w:rPr>
                <w:rFonts w:ascii="Times New Roman" w:hAnsi="Times New Roman"/>
                <w:sz w:val="24"/>
                <w:szCs w:val="24"/>
              </w:rPr>
              <w:t>I wash my hands after touching inanimate surfaces and objects in patient’s surroundings.</w:t>
            </w:r>
          </w:p>
        </w:tc>
        <w:tc>
          <w:tcPr>
            <w:tcW w:w="840" w:type="dxa"/>
            <w:tcBorders>
              <w:top w:val="single" w:color="auto" w:sz="4" w:space="0"/>
              <w:bottom w:val="single" w:color="auto" w:sz="4" w:space="0"/>
            </w:tcBorders>
            <w:shd w:val="clear" w:color="auto" w:fill="auto"/>
          </w:tcPr>
          <w:p w14:paraId="3BF2F20A">
            <w:pPr>
              <w:spacing w:line="480" w:lineRule="auto"/>
              <w:jc w:val="both"/>
              <w:rPr>
                <w:rFonts w:ascii="Times New Roman" w:hAnsi="Times New Roman"/>
                <w:sz w:val="24"/>
                <w:szCs w:val="24"/>
              </w:rPr>
            </w:pPr>
            <w:r>
              <w:rPr>
                <w:rFonts w:ascii="Times New Roman" w:hAnsi="Times New Roman"/>
                <w:sz w:val="24"/>
                <w:szCs w:val="24"/>
              </w:rPr>
              <w:t>196</w:t>
            </w:r>
          </w:p>
          <w:p w14:paraId="723C41F8">
            <w:pPr>
              <w:spacing w:line="480" w:lineRule="auto"/>
              <w:jc w:val="both"/>
              <w:rPr>
                <w:rFonts w:ascii="Times New Roman" w:hAnsi="Times New Roman"/>
                <w:sz w:val="24"/>
                <w:szCs w:val="24"/>
              </w:rPr>
            </w:pPr>
            <w:r>
              <w:rPr>
                <w:rFonts w:ascii="Times New Roman" w:hAnsi="Times New Roman"/>
                <w:b/>
                <w:bCs/>
                <w:sz w:val="24"/>
                <w:szCs w:val="24"/>
              </w:rPr>
              <w:t>76.3%</w:t>
            </w:r>
          </w:p>
        </w:tc>
        <w:tc>
          <w:tcPr>
            <w:tcW w:w="816" w:type="dxa"/>
            <w:tcBorders>
              <w:top w:val="single" w:color="auto" w:sz="4" w:space="0"/>
              <w:bottom w:val="single" w:color="auto" w:sz="4" w:space="0"/>
            </w:tcBorders>
            <w:shd w:val="clear" w:color="auto" w:fill="auto"/>
          </w:tcPr>
          <w:p w14:paraId="0CBBCD38">
            <w:pPr>
              <w:spacing w:line="480" w:lineRule="auto"/>
              <w:jc w:val="both"/>
              <w:rPr>
                <w:rFonts w:ascii="Times New Roman" w:hAnsi="Times New Roman"/>
                <w:sz w:val="24"/>
                <w:szCs w:val="24"/>
              </w:rPr>
            </w:pPr>
            <w:r>
              <w:rPr>
                <w:rFonts w:ascii="Times New Roman" w:hAnsi="Times New Roman"/>
                <w:sz w:val="24"/>
                <w:szCs w:val="24"/>
              </w:rPr>
              <w:t>31</w:t>
            </w:r>
          </w:p>
          <w:p w14:paraId="1BBC9638">
            <w:pPr>
              <w:spacing w:line="480" w:lineRule="auto"/>
              <w:jc w:val="both"/>
              <w:rPr>
                <w:rFonts w:ascii="Times New Roman" w:hAnsi="Times New Roman"/>
                <w:sz w:val="24"/>
                <w:szCs w:val="24"/>
              </w:rPr>
            </w:pPr>
            <w:r>
              <w:rPr>
                <w:rFonts w:ascii="Times New Roman" w:hAnsi="Times New Roman"/>
                <w:b/>
                <w:bCs/>
                <w:sz w:val="24"/>
                <w:szCs w:val="24"/>
              </w:rPr>
              <w:t>12.1%</w:t>
            </w:r>
          </w:p>
        </w:tc>
        <w:tc>
          <w:tcPr>
            <w:tcW w:w="684" w:type="dxa"/>
            <w:tcBorders>
              <w:top w:val="single" w:color="auto" w:sz="4" w:space="0"/>
              <w:bottom w:val="single" w:color="auto" w:sz="4" w:space="0"/>
            </w:tcBorders>
            <w:shd w:val="clear" w:color="auto" w:fill="auto"/>
          </w:tcPr>
          <w:p w14:paraId="2CDB90A7">
            <w:pPr>
              <w:spacing w:line="480" w:lineRule="auto"/>
              <w:jc w:val="both"/>
              <w:rPr>
                <w:rFonts w:ascii="Times New Roman" w:hAnsi="Times New Roman"/>
                <w:sz w:val="24"/>
                <w:szCs w:val="24"/>
              </w:rPr>
            </w:pPr>
            <w:r>
              <w:rPr>
                <w:rFonts w:ascii="Times New Roman" w:hAnsi="Times New Roman"/>
                <w:sz w:val="24"/>
                <w:szCs w:val="24"/>
              </w:rPr>
              <w:t>15</w:t>
            </w:r>
          </w:p>
          <w:p w14:paraId="7E4913E2">
            <w:pPr>
              <w:spacing w:line="480" w:lineRule="auto"/>
              <w:jc w:val="both"/>
              <w:rPr>
                <w:rFonts w:ascii="Times New Roman" w:hAnsi="Times New Roman"/>
                <w:sz w:val="24"/>
                <w:szCs w:val="24"/>
              </w:rPr>
            </w:pPr>
            <w:r>
              <w:rPr>
                <w:rFonts w:ascii="Times New Roman" w:hAnsi="Times New Roman"/>
                <w:b/>
                <w:bCs/>
                <w:sz w:val="24"/>
                <w:szCs w:val="24"/>
              </w:rPr>
              <w:t>5.8%</w:t>
            </w:r>
          </w:p>
        </w:tc>
        <w:tc>
          <w:tcPr>
            <w:tcW w:w="816" w:type="dxa"/>
            <w:tcBorders>
              <w:top w:val="single" w:color="auto" w:sz="4" w:space="0"/>
              <w:bottom w:val="single" w:color="auto" w:sz="4" w:space="0"/>
            </w:tcBorders>
            <w:shd w:val="clear" w:color="auto" w:fill="auto"/>
          </w:tcPr>
          <w:p w14:paraId="548CAE4D">
            <w:pPr>
              <w:spacing w:line="480" w:lineRule="auto"/>
              <w:jc w:val="both"/>
              <w:rPr>
                <w:rFonts w:ascii="Times New Roman" w:hAnsi="Times New Roman"/>
                <w:sz w:val="24"/>
                <w:szCs w:val="24"/>
              </w:rPr>
            </w:pPr>
            <w:r>
              <w:rPr>
                <w:rFonts w:ascii="Times New Roman" w:hAnsi="Times New Roman"/>
                <w:sz w:val="24"/>
                <w:szCs w:val="24"/>
              </w:rPr>
              <w:t>15</w:t>
            </w:r>
          </w:p>
          <w:p w14:paraId="34079AB6">
            <w:pPr>
              <w:spacing w:line="480" w:lineRule="auto"/>
              <w:jc w:val="both"/>
              <w:rPr>
                <w:rFonts w:ascii="Times New Roman" w:hAnsi="Times New Roman"/>
                <w:sz w:val="24"/>
                <w:szCs w:val="24"/>
              </w:rPr>
            </w:pPr>
            <w:r>
              <w:rPr>
                <w:rFonts w:ascii="Times New Roman" w:hAnsi="Times New Roman"/>
                <w:b/>
                <w:bCs/>
                <w:sz w:val="24"/>
                <w:szCs w:val="24"/>
              </w:rPr>
              <w:t>5.8%</w:t>
            </w:r>
          </w:p>
        </w:tc>
        <w:tc>
          <w:tcPr>
            <w:tcW w:w="744" w:type="dxa"/>
            <w:tcBorders>
              <w:top w:val="single" w:color="auto" w:sz="4" w:space="0"/>
              <w:bottom w:val="single" w:color="auto" w:sz="4" w:space="0"/>
            </w:tcBorders>
            <w:shd w:val="clear" w:color="auto" w:fill="auto"/>
          </w:tcPr>
          <w:p w14:paraId="22C710AF">
            <w:pPr>
              <w:spacing w:line="480" w:lineRule="auto"/>
              <w:jc w:val="both"/>
              <w:rPr>
                <w:rFonts w:ascii="Times New Roman" w:hAnsi="Times New Roman"/>
                <w:sz w:val="24"/>
                <w:szCs w:val="24"/>
              </w:rPr>
            </w:pPr>
            <w:r>
              <w:rPr>
                <w:rFonts w:ascii="Times New Roman" w:hAnsi="Times New Roman"/>
                <w:sz w:val="24"/>
                <w:szCs w:val="24"/>
              </w:rPr>
              <w:t> </w:t>
            </w:r>
          </w:p>
          <w:p w14:paraId="49D7D7E0">
            <w:pPr>
              <w:spacing w:line="480" w:lineRule="auto"/>
              <w:jc w:val="both"/>
              <w:rPr>
                <w:rFonts w:ascii="Times New Roman" w:hAnsi="Times New Roman"/>
                <w:sz w:val="24"/>
                <w:szCs w:val="24"/>
              </w:rPr>
            </w:pPr>
            <w:r>
              <w:rPr>
                <w:rFonts w:ascii="Times New Roman" w:hAnsi="Times New Roman"/>
                <w:sz w:val="24"/>
                <w:szCs w:val="24"/>
              </w:rPr>
              <w:t>3.59</w:t>
            </w:r>
          </w:p>
        </w:tc>
        <w:tc>
          <w:tcPr>
            <w:tcW w:w="1224" w:type="dxa"/>
            <w:tcBorders>
              <w:top w:val="single" w:color="auto" w:sz="4" w:space="0"/>
              <w:bottom w:val="single" w:color="auto" w:sz="4" w:space="0"/>
            </w:tcBorders>
            <w:shd w:val="clear" w:color="auto" w:fill="auto"/>
          </w:tcPr>
          <w:p w14:paraId="78817F18">
            <w:pPr>
              <w:spacing w:line="480" w:lineRule="auto"/>
              <w:jc w:val="both"/>
              <w:rPr>
                <w:rFonts w:ascii="Times New Roman" w:hAnsi="Times New Roman"/>
                <w:sz w:val="24"/>
                <w:szCs w:val="24"/>
              </w:rPr>
            </w:pPr>
            <w:r>
              <w:rPr>
                <w:rFonts w:ascii="Times New Roman" w:hAnsi="Times New Roman"/>
                <w:sz w:val="24"/>
                <w:szCs w:val="24"/>
              </w:rPr>
              <w:t>compliance</w:t>
            </w:r>
          </w:p>
        </w:tc>
      </w:tr>
      <w:tr w14:paraId="1399892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29" w:type="dxa"/>
            <w:tcBorders>
              <w:top w:val="single" w:color="auto" w:sz="4" w:space="0"/>
              <w:bottom w:val="single" w:color="auto" w:sz="4" w:space="0"/>
            </w:tcBorders>
            <w:shd w:val="clear" w:color="auto" w:fill="auto"/>
          </w:tcPr>
          <w:p w14:paraId="5D853D85">
            <w:pPr>
              <w:spacing w:line="480" w:lineRule="auto"/>
              <w:jc w:val="both"/>
              <w:rPr>
                <w:rFonts w:ascii="Times New Roman" w:hAnsi="Times New Roman"/>
                <w:sz w:val="24"/>
                <w:szCs w:val="24"/>
              </w:rPr>
            </w:pPr>
            <w:r>
              <w:rPr>
                <w:rFonts w:ascii="Times New Roman" w:hAnsi="Times New Roman"/>
                <w:sz w:val="24"/>
                <w:szCs w:val="24"/>
              </w:rPr>
              <w:t>5</w:t>
            </w:r>
          </w:p>
        </w:tc>
        <w:tc>
          <w:tcPr>
            <w:tcW w:w="3588" w:type="dxa"/>
            <w:tcBorders>
              <w:top w:val="single" w:color="auto" w:sz="4" w:space="0"/>
              <w:bottom w:val="single" w:color="auto" w:sz="4" w:space="0"/>
            </w:tcBorders>
            <w:shd w:val="clear" w:color="auto" w:fill="auto"/>
          </w:tcPr>
          <w:p w14:paraId="5B95EF48">
            <w:pPr>
              <w:spacing w:line="480" w:lineRule="auto"/>
              <w:jc w:val="both"/>
              <w:rPr>
                <w:rFonts w:ascii="Times New Roman" w:hAnsi="Times New Roman"/>
                <w:sz w:val="24"/>
                <w:szCs w:val="24"/>
              </w:rPr>
            </w:pPr>
            <w:r>
              <w:rPr>
                <w:rFonts w:ascii="Times New Roman" w:hAnsi="Times New Roman"/>
                <w:sz w:val="24"/>
                <w:szCs w:val="24"/>
              </w:rPr>
              <w:t>I shake linens out to release dust from the linen.</w:t>
            </w:r>
          </w:p>
        </w:tc>
        <w:tc>
          <w:tcPr>
            <w:tcW w:w="840" w:type="dxa"/>
            <w:tcBorders>
              <w:top w:val="single" w:color="auto" w:sz="4" w:space="0"/>
              <w:bottom w:val="single" w:color="auto" w:sz="4" w:space="0"/>
            </w:tcBorders>
            <w:shd w:val="clear" w:color="auto" w:fill="auto"/>
          </w:tcPr>
          <w:p w14:paraId="22098070">
            <w:pPr>
              <w:spacing w:line="480" w:lineRule="auto"/>
              <w:jc w:val="both"/>
              <w:rPr>
                <w:rFonts w:ascii="Times New Roman" w:hAnsi="Times New Roman"/>
                <w:sz w:val="24"/>
                <w:szCs w:val="24"/>
              </w:rPr>
            </w:pPr>
            <w:r>
              <w:rPr>
                <w:rFonts w:ascii="Times New Roman" w:hAnsi="Times New Roman"/>
                <w:sz w:val="24"/>
                <w:szCs w:val="24"/>
              </w:rPr>
              <w:t>20</w:t>
            </w:r>
          </w:p>
          <w:p w14:paraId="61911603">
            <w:pPr>
              <w:spacing w:line="480" w:lineRule="auto"/>
              <w:jc w:val="both"/>
              <w:rPr>
                <w:rFonts w:ascii="Times New Roman" w:hAnsi="Times New Roman"/>
                <w:sz w:val="24"/>
                <w:szCs w:val="24"/>
              </w:rPr>
            </w:pPr>
            <w:r>
              <w:rPr>
                <w:rFonts w:ascii="Times New Roman" w:hAnsi="Times New Roman"/>
                <w:b/>
                <w:bCs/>
                <w:sz w:val="24"/>
                <w:szCs w:val="24"/>
              </w:rPr>
              <w:t>7.8%</w:t>
            </w:r>
          </w:p>
        </w:tc>
        <w:tc>
          <w:tcPr>
            <w:tcW w:w="816" w:type="dxa"/>
            <w:tcBorders>
              <w:top w:val="single" w:color="auto" w:sz="4" w:space="0"/>
              <w:bottom w:val="single" w:color="auto" w:sz="4" w:space="0"/>
            </w:tcBorders>
            <w:shd w:val="clear" w:color="auto" w:fill="auto"/>
          </w:tcPr>
          <w:p w14:paraId="16065C51">
            <w:pPr>
              <w:spacing w:line="480" w:lineRule="auto"/>
              <w:jc w:val="both"/>
              <w:rPr>
                <w:rFonts w:ascii="Times New Roman" w:hAnsi="Times New Roman"/>
                <w:sz w:val="24"/>
                <w:szCs w:val="24"/>
              </w:rPr>
            </w:pPr>
            <w:r>
              <w:rPr>
                <w:rFonts w:ascii="Times New Roman" w:hAnsi="Times New Roman"/>
                <w:sz w:val="24"/>
                <w:szCs w:val="24"/>
              </w:rPr>
              <w:t>30</w:t>
            </w:r>
          </w:p>
          <w:p w14:paraId="0D104022">
            <w:pPr>
              <w:spacing w:line="480" w:lineRule="auto"/>
              <w:jc w:val="both"/>
              <w:rPr>
                <w:rFonts w:ascii="Times New Roman" w:hAnsi="Times New Roman"/>
                <w:sz w:val="24"/>
                <w:szCs w:val="24"/>
              </w:rPr>
            </w:pPr>
            <w:r>
              <w:rPr>
                <w:rFonts w:ascii="Times New Roman" w:hAnsi="Times New Roman"/>
                <w:b/>
                <w:bCs/>
                <w:sz w:val="24"/>
                <w:szCs w:val="24"/>
              </w:rPr>
              <w:t>11.7%</w:t>
            </w:r>
          </w:p>
        </w:tc>
        <w:tc>
          <w:tcPr>
            <w:tcW w:w="684" w:type="dxa"/>
            <w:tcBorders>
              <w:top w:val="single" w:color="auto" w:sz="4" w:space="0"/>
              <w:bottom w:val="single" w:color="auto" w:sz="4" w:space="0"/>
            </w:tcBorders>
            <w:shd w:val="clear" w:color="auto" w:fill="auto"/>
          </w:tcPr>
          <w:p w14:paraId="43790E60">
            <w:pPr>
              <w:spacing w:line="480" w:lineRule="auto"/>
              <w:jc w:val="both"/>
              <w:rPr>
                <w:rFonts w:ascii="Times New Roman" w:hAnsi="Times New Roman"/>
                <w:sz w:val="24"/>
                <w:szCs w:val="24"/>
              </w:rPr>
            </w:pPr>
            <w:r>
              <w:rPr>
                <w:rFonts w:ascii="Times New Roman" w:hAnsi="Times New Roman"/>
                <w:sz w:val="24"/>
                <w:szCs w:val="24"/>
              </w:rPr>
              <w:t>187</w:t>
            </w:r>
          </w:p>
          <w:p w14:paraId="1629514B">
            <w:pPr>
              <w:spacing w:line="480" w:lineRule="auto"/>
              <w:jc w:val="both"/>
              <w:rPr>
                <w:rFonts w:ascii="Times New Roman" w:hAnsi="Times New Roman"/>
                <w:sz w:val="24"/>
                <w:szCs w:val="24"/>
              </w:rPr>
            </w:pPr>
            <w:r>
              <w:rPr>
                <w:rFonts w:ascii="Times New Roman" w:hAnsi="Times New Roman"/>
                <w:b/>
                <w:bCs/>
                <w:sz w:val="24"/>
                <w:szCs w:val="24"/>
              </w:rPr>
              <w:t>72.8%</w:t>
            </w:r>
          </w:p>
        </w:tc>
        <w:tc>
          <w:tcPr>
            <w:tcW w:w="816" w:type="dxa"/>
            <w:tcBorders>
              <w:top w:val="single" w:color="auto" w:sz="4" w:space="0"/>
              <w:bottom w:val="single" w:color="auto" w:sz="4" w:space="0"/>
            </w:tcBorders>
            <w:shd w:val="clear" w:color="auto" w:fill="auto"/>
          </w:tcPr>
          <w:p w14:paraId="4A206A9C">
            <w:pPr>
              <w:spacing w:line="480" w:lineRule="auto"/>
              <w:jc w:val="both"/>
              <w:rPr>
                <w:rFonts w:ascii="Times New Roman" w:hAnsi="Times New Roman"/>
                <w:sz w:val="24"/>
                <w:szCs w:val="24"/>
              </w:rPr>
            </w:pPr>
            <w:r>
              <w:rPr>
                <w:rFonts w:ascii="Times New Roman" w:hAnsi="Times New Roman"/>
                <w:sz w:val="24"/>
                <w:szCs w:val="24"/>
              </w:rPr>
              <w:t>20</w:t>
            </w:r>
          </w:p>
          <w:p w14:paraId="58A6BDA2">
            <w:pPr>
              <w:spacing w:line="480" w:lineRule="auto"/>
              <w:jc w:val="both"/>
              <w:rPr>
                <w:rFonts w:ascii="Times New Roman" w:hAnsi="Times New Roman"/>
                <w:sz w:val="24"/>
                <w:szCs w:val="24"/>
              </w:rPr>
            </w:pPr>
            <w:r>
              <w:rPr>
                <w:rFonts w:ascii="Times New Roman" w:hAnsi="Times New Roman"/>
                <w:b/>
                <w:bCs/>
                <w:sz w:val="24"/>
                <w:szCs w:val="24"/>
              </w:rPr>
              <w:t>7.8%</w:t>
            </w:r>
          </w:p>
        </w:tc>
        <w:tc>
          <w:tcPr>
            <w:tcW w:w="744" w:type="dxa"/>
            <w:tcBorders>
              <w:top w:val="single" w:color="auto" w:sz="4" w:space="0"/>
              <w:bottom w:val="single" w:color="auto" w:sz="4" w:space="0"/>
            </w:tcBorders>
            <w:shd w:val="clear" w:color="auto" w:fill="auto"/>
          </w:tcPr>
          <w:p w14:paraId="0FC5DD53">
            <w:pPr>
              <w:spacing w:line="480" w:lineRule="auto"/>
              <w:jc w:val="both"/>
              <w:rPr>
                <w:rFonts w:ascii="Times New Roman" w:hAnsi="Times New Roman"/>
                <w:sz w:val="24"/>
                <w:szCs w:val="24"/>
              </w:rPr>
            </w:pPr>
            <w:r>
              <w:rPr>
                <w:rFonts w:ascii="Times New Roman" w:hAnsi="Times New Roman"/>
                <w:sz w:val="24"/>
                <w:szCs w:val="24"/>
              </w:rPr>
              <w:t> </w:t>
            </w:r>
          </w:p>
          <w:p w14:paraId="34C87B17">
            <w:pPr>
              <w:spacing w:line="480" w:lineRule="auto"/>
              <w:jc w:val="both"/>
              <w:rPr>
                <w:rFonts w:ascii="Times New Roman" w:hAnsi="Times New Roman"/>
                <w:sz w:val="24"/>
                <w:szCs w:val="24"/>
              </w:rPr>
            </w:pPr>
            <w:r>
              <w:rPr>
                <w:rFonts w:ascii="Times New Roman" w:hAnsi="Times New Roman"/>
                <w:sz w:val="24"/>
                <w:szCs w:val="24"/>
              </w:rPr>
              <w:t>2.19</w:t>
            </w:r>
          </w:p>
        </w:tc>
        <w:tc>
          <w:tcPr>
            <w:tcW w:w="1224" w:type="dxa"/>
            <w:tcBorders>
              <w:top w:val="single" w:color="auto" w:sz="4" w:space="0"/>
              <w:bottom w:val="single" w:color="auto" w:sz="4" w:space="0"/>
            </w:tcBorders>
            <w:shd w:val="clear" w:color="auto" w:fill="auto"/>
          </w:tcPr>
          <w:p w14:paraId="0A26F534">
            <w:pPr>
              <w:spacing w:line="480" w:lineRule="auto"/>
              <w:jc w:val="both"/>
              <w:rPr>
                <w:rFonts w:ascii="Times New Roman" w:hAnsi="Times New Roman"/>
                <w:sz w:val="24"/>
                <w:szCs w:val="24"/>
              </w:rPr>
            </w:pPr>
            <w:r>
              <w:rPr>
                <w:rFonts w:ascii="Times New Roman" w:hAnsi="Times New Roman"/>
                <w:sz w:val="24"/>
                <w:szCs w:val="24"/>
              </w:rPr>
              <w:t>Non compliance</w:t>
            </w:r>
          </w:p>
        </w:tc>
      </w:tr>
      <w:tr w14:paraId="1DA20F2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29" w:type="dxa"/>
            <w:tcBorders>
              <w:top w:val="single" w:color="auto" w:sz="4" w:space="0"/>
              <w:bottom w:val="single" w:color="auto" w:sz="4" w:space="0"/>
            </w:tcBorders>
            <w:shd w:val="clear" w:color="auto" w:fill="auto"/>
          </w:tcPr>
          <w:p w14:paraId="043099E2">
            <w:pPr>
              <w:spacing w:line="480" w:lineRule="auto"/>
              <w:jc w:val="both"/>
              <w:rPr>
                <w:rFonts w:ascii="Times New Roman" w:hAnsi="Times New Roman"/>
                <w:sz w:val="24"/>
                <w:szCs w:val="24"/>
              </w:rPr>
            </w:pPr>
            <w:r>
              <w:rPr>
                <w:rFonts w:ascii="Times New Roman" w:hAnsi="Times New Roman"/>
                <w:sz w:val="24"/>
                <w:szCs w:val="24"/>
              </w:rPr>
              <w:t> 6</w:t>
            </w:r>
          </w:p>
        </w:tc>
        <w:tc>
          <w:tcPr>
            <w:tcW w:w="3588" w:type="dxa"/>
            <w:tcBorders>
              <w:top w:val="single" w:color="auto" w:sz="4" w:space="0"/>
              <w:bottom w:val="single" w:color="auto" w:sz="4" w:space="0"/>
            </w:tcBorders>
            <w:shd w:val="clear" w:color="auto" w:fill="auto"/>
          </w:tcPr>
          <w:p w14:paraId="578C235B">
            <w:pPr>
              <w:spacing w:line="480" w:lineRule="auto"/>
              <w:jc w:val="both"/>
              <w:rPr>
                <w:rFonts w:ascii="Times New Roman" w:hAnsi="Times New Roman"/>
                <w:sz w:val="24"/>
                <w:szCs w:val="24"/>
              </w:rPr>
            </w:pPr>
            <w:r>
              <w:rPr>
                <w:rFonts w:ascii="Times New Roman" w:hAnsi="Times New Roman"/>
                <w:sz w:val="24"/>
                <w:szCs w:val="24"/>
              </w:rPr>
              <w:t>I always put on a mask and gown when performing invasive and body fluid procedures</w:t>
            </w:r>
          </w:p>
        </w:tc>
        <w:tc>
          <w:tcPr>
            <w:tcW w:w="840" w:type="dxa"/>
            <w:tcBorders>
              <w:top w:val="single" w:color="auto" w:sz="4" w:space="0"/>
              <w:bottom w:val="single" w:color="auto" w:sz="4" w:space="0"/>
            </w:tcBorders>
            <w:shd w:val="clear" w:color="auto" w:fill="auto"/>
          </w:tcPr>
          <w:p w14:paraId="36353300">
            <w:pPr>
              <w:spacing w:line="480" w:lineRule="auto"/>
              <w:jc w:val="both"/>
              <w:rPr>
                <w:rFonts w:ascii="Times New Roman" w:hAnsi="Times New Roman"/>
                <w:sz w:val="24"/>
                <w:szCs w:val="24"/>
              </w:rPr>
            </w:pPr>
            <w:r>
              <w:rPr>
                <w:rFonts w:ascii="Times New Roman" w:hAnsi="Times New Roman"/>
                <w:sz w:val="24"/>
                <w:szCs w:val="24"/>
              </w:rPr>
              <w:t>200</w:t>
            </w:r>
          </w:p>
          <w:p w14:paraId="31F251C8">
            <w:pPr>
              <w:spacing w:line="480" w:lineRule="auto"/>
              <w:jc w:val="both"/>
              <w:rPr>
                <w:rFonts w:ascii="Times New Roman" w:hAnsi="Times New Roman"/>
                <w:sz w:val="24"/>
                <w:szCs w:val="24"/>
              </w:rPr>
            </w:pPr>
            <w:r>
              <w:rPr>
                <w:rFonts w:ascii="Times New Roman" w:hAnsi="Times New Roman"/>
                <w:b/>
                <w:bCs/>
                <w:sz w:val="24"/>
                <w:szCs w:val="24"/>
              </w:rPr>
              <w:t>77.8%</w:t>
            </w:r>
          </w:p>
        </w:tc>
        <w:tc>
          <w:tcPr>
            <w:tcW w:w="816" w:type="dxa"/>
            <w:tcBorders>
              <w:top w:val="single" w:color="auto" w:sz="4" w:space="0"/>
              <w:bottom w:val="single" w:color="auto" w:sz="4" w:space="0"/>
            </w:tcBorders>
            <w:shd w:val="clear" w:color="auto" w:fill="auto"/>
          </w:tcPr>
          <w:p w14:paraId="383823C6">
            <w:pPr>
              <w:spacing w:line="480" w:lineRule="auto"/>
              <w:jc w:val="both"/>
              <w:rPr>
                <w:rFonts w:ascii="Times New Roman" w:hAnsi="Times New Roman"/>
                <w:sz w:val="24"/>
                <w:szCs w:val="24"/>
              </w:rPr>
            </w:pPr>
            <w:r>
              <w:rPr>
                <w:rFonts w:ascii="Times New Roman" w:hAnsi="Times New Roman"/>
                <w:sz w:val="24"/>
                <w:szCs w:val="24"/>
              </w:rPr>
              <w:t>40</w:t>
            </w:r>
          </w:p>
          <w:p w14:paraId="5CC12CA8">
            <w:pPr>
              <w:spacing w:line="480" w:lineRule="auto"/>
              <w:jc w:val="both"/>
              <w:rPr>
                <w:rFonts w:ascii="Times New Roman" w:hAnsi="Times New Roman"/>
                <w:sz w:val="24"/>
                <w:szCs w:val="24"/>
              </w:rPr>
            </w:pPr>
            <w:r>
              <w:rPr>
                <w:rFonts w:ascii="Times New Roman" w:hAnsi="Times New Roman"/>
                <w:b/>
                <w:bCs/>
                <w:sz w:val="24"/>
                <w:szCs w:val="24"/>
              </w:rPr>
              <w:t>15.6%</w:t>
            </w:r>
          </w:p>
        </w:tc>
        <w:tc>
          <w:tcPr>
            <w:tcW w:w="684" w:type="dxa"/>
            <w:tcBorders>
              <w:top w:val="single" w:color="auto" w:sz="4" w:space="0"/>
              <w:bottom w:val="single" w:color="auto" w:sz="4" w:space="0"/>
            </w:tcBorders>
            <w:shd w:val="clear" w:color="auto" w:fill="auto"/>
          </w:tcPr>
          <w:p w14:paraId="79DB1F0A">
            <w:pPr>
              <w:spacing w:line="480" w:lineRule="auto"/>
              <w:jc w:val="both"/>
              <w:rPr>
                <w:rFonts w:ascii="Times New Roman" w:hAnsi="Times New Roman"/>
                <w:sz w:val="24"/>
                <w:szCs w:val="24"/>
              </w:rPr>
            </w:pPr>
            <w:r>
              <w:rPr>
                <w:rFonts w:ascii="Times New Roman" w:hAnsi="Times New Roman"/>
                <w:sz w:val="24"/>
                <w:szCs w:val="24"/>
              </w:rPr>
              <w:t>10</w:t>
            </w:r>
          </w:p>
          <w:p w14:paraId="6642C60E">
            <w:pPr>
              <w:spacing w:line="480" w:lineRule="auto"/>
              <w:jc w:val="both"/>
              <w:rPr>
                <w:rFonts w:ascii="Times New Roman" w:hAnsi="Times New Roman"/>
                <w:sz w:val="24"/>
                <w:szCs w:val="24"/>
              </w:rPr>
            </w:pPr>
            <w:r>
              <w:rPr>
                <w:rFonts w:ascii="Times New Roman" w:hAnsi="Times New Roman"/>
                <w:b/>
                <w:bCs/>
                <w:sz w:val="24"/>
                <w:szCs w:val="24"/>
              </w:rPr>
              <w:t>3.9%</w:t>
            </w:r>
          </w:p>
        </w:tc>
        <w:tc>
          <w:tcPr>
            <w:tcW w:w="816" w:type="dxa"/>
            <w:tcBorders>
              <w:top w:val="single" w:color="auto" w:sz="4" w:space="0"/>
              <w:bottom w:val="single" w:color="auto" w:sz="4" w:space="0"/>
            </w:tcBorders>
            <w:shd w:val="clear" w:color="auto" w:fill="auto"/>
          </w:tcPr>
          <w:p w14:paraId="2AB4F801">
            <w:pPr>
              <w:spacing w:line="480" w:lineRule="auto"/>
              <w:jc w:val="both"/>
              <w:rPr>
                <w:rFonts w:ascii="Times New Roman" w:hAnsi="Times New Roman"/>
                <w:sz w:val="24"/>
                <w:szCs w:val="24"/>
              </w:rPr>
            </w:pPr>
            <w:r>
              <w:rPr>
                <w:rFonts w:ascii="Times New Roman" w:hAnsi="Times New Roman"/>
                <w:sz w:val="24"/>
                <w:szCs w:val="24"/>
              </w:rPr>
              <w:t>7</w:t>
            </w:r>
          </w:p>
          <w:p w14:paraId="7B9B0DEF">
            <w:pPr>
              <w:spacing w:line="480" w:lineRule="auto"/>
              <w:jc w:val="both"/>
              <w:rPr>
                <w:rFonts w:ascii="Times New Roman" w:hAnsi="Times New Roman"/>
                <w:sz w:val="24"/>
                <w:szCs w:val="24"/>
              </w:rPr>
            </w:pPr>
            <w:r>
              <w:rPr>
                <w:rFonts w:ascii="Times New Roman" w:hAnsi="Times New Roman"/>
                <w:b/>
                <w:bCs/>
                <w:sz w:val="24"/>
                <w:szCs w:val="24"/>
              </w:rPr>
              <w:t>2.7%</w:t>
            </w:r>
          </w:p>
        </w:tc>
        <w:tc>
          <w:tcPr>
            <w:tcW w:w="744" w:type="dxa"/>
            <w:tcBorders>
              <w:top w:val="single" w:color="auto" w:sz="4" w:space="0"/>
              <w:bottom w:val="single" w:color="auto" w:sz="4" w:space="0"/>
            </w:tcBorders>
            <w:shd w:val="clear" w:color="auto" w:fill="auto"/>
          </w:tcPr>
          <w:p w14:paraId="06728649">
            <w:pPr>
              <w:spacing w:line="480" w:lineRule="auto"/>
              <w:jc w:val="both"/>
              <w:rPr>
                <w:rFonts w:ascii="Times New Roman" w:hAnsi="Times New Roman"/>
                <w:sz w:val="24"/>
                <w:szCs w:val="24"/>
              </w:rPr>
            </w:pPr>
            <w:r>
              <w:rPr>
                <w:rFonts w:ascii="Times New Roman" w:hAnsi="Times New Roman"/>
                <w:sz w:val="24"/>
                <w:szCs w:val="24"/>
              </w:rPr>
              <w:t> </w:t>
            </w:r>
          </w:p>
          <w:p w14:paraId="729646C1">
            <w:pPr>
              <w:spacing w:line="480" w:lineRule="auto"/>
              <w:jc w:val="both"/>
              <w:rPr>
                <w:rFonts w:ascii="Times New Roman" w:hAnsi="Times New Roman"/>
                <w:sz w:val="24"/>
                <w:szCs w:val="24"/>
              </w:rPr>
            </w:pPr>
            <w:r>
              <w:rPr>
                <w:rFonts w:ascii="Times New Roman" w:hAnsi="Times New Roman"/>
                <w:sz w:val="24"/>
                <w:szCs w:val="24"/>
              </w:rPr>
              <w:t>3.68</w:t>
            </w:r>
          </w:p>
          <w:p w14:paraId="0A2548B6">
            <w:pPr>
              <w:spacing w:line="480" w:lineRule="auto"/>
              <w:jc w:val="both"/>
              <w:rPr>
                <w:rFonts w:ascii="Times New Roman" w:hAnsi="Times New Roman"/>
                <w:sz w:val="24"/>
                <w:szCs w:val="24"/>
              </w:rPr>
            </w:pPr>
            <w:r>
              <w:rPr>
                <w:rFonts w:ascii="Times New Roman" w:hAnsi="Times New Roman"/>
                <w:sz w:val="24"/>
                <w:szCs w:val="24"/>
              </w:rPr>
              <w:t> </w:t>
            </w:r>
          </w:p>
        </w:tc>
        <w:tc>
          <w:tcPr>
            <w:tcW w:w="1224" w:type="dxa"/>
            <w:tcBorders>
              <w:top w:val="single" w:color="auto" w:sz="4" w:space="0"/>
              <w:bottom w:val="single" w:color="auto" w:sz="4" w:space="0"/>
            </w:tcBorders>
            <w:shd w:val="clear" w:color="auto" w:fill="auto"/>
          </w:tcPr>
          <w:p w14:paraId="5363257D">
            <w:pPr>
              <w:spacing w:line="480" w:lineRule="auto"/>
              <w:jc w:val="both"/>
              <w:rPr>
                <w:rFonts w:ascii="Times New Roman" w:hAnsi="Times New Roman"/>
                <w:sz w:val="24"/>
                <w:szCs w:val="24"/>
              </w:rPr>
            </w:pPr>
            <w:r>
              <w:rPr>
                <w:rFonts w:ascii="Times New Roman" w:hAnsi="Times New Roman"/>
                <w:sz w:val="24"/>
                <w:szCs w:val="24"/>
              </w:rPr>
              <w:t>compliance</w:t>
            </w:r>
          </w:p>
        </w:tc>
      </w:tr>
      <w:tr w14:paraId="6FFBD81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729" w:type="dxa"/>
            <w:tcBorders>
              <w:top w:val="single" w:color="auto" w:sz="4" w:space="0"/>
            </w:tcBorders>
            <w:shd w:val="clear" w:color="auto" w:fill="auto"/>
          </w:tcPr>
          <w:p w14:paraId="6D2CA788">
            <w:pPr>
              <w:spacing w:line="480" w:lineRule="auto"/>
              <w:jc w:val="both"/>
              <w:rPr>
                <w:rFonts w:ascii="Times New Roman" w:hAnsi="Times New Roman"/>
                <w:b/>
                <w:bCs/>
                <w:sz w:val="24"/>
                <w:szCs w:val="24"/>
              </w:rPr>
            </w:pPr>
            <w:r>
              <w:rPr>
                <w:rFonts w:ascii="Times New Roman" w:hAnsi="Times New Roman"/>
                <w:b/>
                <w:bCs/>
                <w:sz w:val="24"/>
                <w:szCs w:val="24"/>
              </w:rPr>
              <w:t> </w:t>
            </w:r>
          </w:p>
        </w:tc>
        <w:tc>
          <w:tcPr>
            <w:tcW w:w="6744" w:type="dxa"/>
            <w:gridSpan w:val="5"/>
            <w:tcBorders>
              <w:top w:val="single" w:color="auto" w:sz="4" w:space="0"/>
            </w:tcBorders>
            <w:shd w:val="clear" w:color="auto" w:fill="auto"/>
          </w:tcPr>
          <w:p w14:paraId="6523EE1C">
            <w:pPr>
              <w:spacing w:line="480" w:lineRule="auto"/>
              <w:jc w:val="both"/>
              <w:rPr>
                <w:rFonts w:ascii="Times New Roman" w:hAnsi="Times New Roman"/>
                <w:b/>
                <w:bCs/>
                <w:sz w:val="24"/>
                <w:szCs w:val="24"/>
              </w:rPr>
            </w:pPr>
            <w:r>
              <w:rPr>
                <w:rFonts w:ascii="Times New Roman" w:hAnsi="Times New Roman"/>
                <w:b/>
                <w:bCs/>
                <w:sz w:val="24"/>
                <w:szCs w:val="24"/>
              </w:rPr>
              <w:t>GRAND MEAN</w:t>
            </w:r>
          </w:p>
        </w:tc>
        <w:tc>
          <w:tcPr>
            <w:tcW w:w="744" w:type="dxa"/>
            <w:tcBorders>
              <w:top w:val="single" w:color="auto" w:sz="4" w:space="0"/>
            </w:tcBorders>
            <w:shd w:val="clear" w:color="auto" w:fill="auto"/>
          </w:tcPr>
          <w:p w14:paraId="2E72A2FB">
            <w:pPr>
              <w:spacing w:line="480" w:lineRule="auto"/>
              <w:jc w:val="both"/>
              <w:rPr>
                <w:rFonts w:ascii="Times New Roman" w:hAnsi="Times New Roman"/>
                <w:b/>
                <w:bCs/>
                <w:sz w:val="24"/>
                <w:szCs w:val="24"/>
              </w:rPr>
            </w:pPr>
            <w:r>
              <w:rPr>
                <w:rFonts w:ascii="Times New Roman" w:hAnsi="Times New Roman"/>
                <w:b/>
                <w:bCs/>
                <w:sz w:val="24"/>
                <w:szCs w:val="24"/>
              </w:rPr>
              <w:t>3.26</w:t>
            </w:r>
          </w:p>
        </w:tc>
        <w:tc>
          <w:tcPr>
            <w:tcW w:w="1224" w:type="dxa"/>
            <w:tcBorders>
              <w:top w:val="single" w:color="auto" w:sz="4" w:space="0"/>
            </w:tcBorders>
            <w:shd w:val="clear" w:color="auto" w:fill="auto"/>
          </w:tcPr>
          <w:p w14:paraId="7EE345DB">
            <w:pPr>
              <w:spacing w:line="480" w:lineRule="auto"/>
              <w:jc w:val="both"/>
              <w:rPr>
                <w:rFonts w:ascii="Times New Roman" w:hAnsi="Times New Roman"/>
                <w:b/>
                <w:bCs/>
                <w:sz w:val="24"/>
                <w:szCs w:val="24"/>
              </w:rPr>
            </w:pPr>
            <w:r>
              <w:rPr>
                <w:rFonts w:ascii="Times New Roman" w:hAnsi="Times New Roman"/>
                <w:b/>
                <w:bCs/>
                <w:sz w:val="24"/>
                <w:szCs w:val="24"/>
              </w:rPr>
              <w:t> </w:t>
            </w:r>
          </w:p>
        </w:tc>
      </w:tr>
    </w:tbl>
    <w:p w14:paraId="2B9EF6F4">
      <w:pPr>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SA- strongly agree, A-agree, D- disagree, SD-strongly disagree</w:t>
      </w:r>
    </w:p>
    <w:p w14:paraId="0C74B274">
      <w:pPr>
        <w:spacing w:line="480" w:lineRule="auto"/>
        <w:jc w:val="both"/>
        <w:rPr>
          <w:rFonts w:ascii="Times New Roman" w:hAnsi="Times New Roman"/>
          <w:color w:val="000000"/>
          <w:sz w:val="24"/>
          <w:szCs w:val="24"/>
          <w:lang w:val="en-US"/>
        </w:rPr>
      </w:pPr>
      <w:r>
        <w:rPr>
          <w:rFonts w:ascii="Times New Roman" w:hAnsi="Times New Roman"/>
          <w:color w:val="000000"/>
          <w:sz w:val="24"/>
          <w:szCs w:val="24"/>
        </w:rPr>
        <w:t xml:space="preserve">The 6 items in Table </w:t>
      </w:r>
      <w:r>
        <w:rPr>
          <w:rFonts w:ascii="Times New Roman" w:hAnsi="Times New Roman"/>
          <w:color w:val="000000"/>
          <w:sz w:val="24"/>
          <w:szCs w:val="24"/>
          <w:lang w:val="en-US"/>
        </w:rPr>
        <w:t>5</w:t>
      </w:r>
      <w:r>
        <w:rPr>
          <w:rFonts w:ascii="Times New Roman" w:hAnsi="Times New Roman"/>
          <w:color w:val="000000"/>
          <w:sz w:val="24"/>
          <w:szCs w:val="24"/>
        </w:rPr>
        <w:t xml:space="preserve"> were constructed such that a high mean score of ≥ 2.50 indicates that the item in the table is a factor that influences compliance with universal standard precautions among nurses. The response to item 1 in Table </w:t>
      </w:r>
      <w:r>
        <w:rPr>
          <w:rFonts w:ascii="Times New Roman" w:hAnsi="Times New Roman"/>
          <w:color w:val="000000"/>
          <w:sz w:val="24"/>
          <w:szCs w:val="24"/>
          <w:lang w:val="en-US"/>
        </w:rPr>
        <w:t>5</w:t>
      </w:r>
      <w:r>
        <w:rPr>
          <w:rFonts w:ascii="Times New Roman" w:hAnsi="Times New Roman"/>
          <w:color w:val="000000"/>
          <w:sz w:val="24"/>
          <w:szCs w:val="24"/>
        </w:rPr>
        <w:t xml:space="preserve"> shows that 19</w:t>
      </w:r>
      <w:r>
        <w:rPr>
          <w:rFonts w:ascii="Times New Roman" w:hAnsi="Times New Roman"/>
          <w:color w:val="000000"/>
          <w:sz w:val="24"/>
          <w:szCs w:val="24"/>
          <w:lang w:val="en-US"/>
        </w:rPr>
        <w:t>1</w:t>
      </w:r>
      <w:r>
        <w:rPr>
          <w:rFonts w:ascii="Times New Roman" w:hAnsi="Times New Roman"/>
          <w:color w:val="000000"/>
          <w:sz w:val="24"/>
          <w:szCs w:val="24"/>
        </w:rPr>
        <w:t xml:space="preserve"> (7</w:t>
      </w:r>
      <w:r>
        <w:rPr>
          <w:rFonts w:ascii="Times New Roman" w:hAnsi="Times New Roman"/>
          <w:color w:val="000000"/>
          <w:sz w:val="24"/>
          <w:szCs w:val="24"/>
          <w:lang w:val="en-US"/>
        </w:rPr>
        <w:t>4</w:t>
      </w:r>
      <w:r>
        <w:rPr>
          <w:rFonts w:ascii="Times New Roman" w:hAnsi="Times New Roman"/>
          <w:color w:val="000000"/>
          <w:sz w:val="24"/>
          <w:szCs w:val="24"/>
        </w:rPr>
        <w:t>.3%) of the respondents strongly agreed that the unavailability of PPE is a factor that influences compliance with universal standard precautions, 3</w:t>
      </w:r>
      <w:r>
        <w:rPr>
          <w:rFonts w:ascii="Times New Roman" w:hAnsi="Times New Roman"/>
          <w:color w:val="000000"/>
          <w:sz w:val="24"/>
          <w:szCs w:val="24"/>
          <w:lang w:val="en-US"/>
        </w:rPr>
        <w:t>6</w:t>
      </w:r>
      <w:r>
        <w:rPr>
          <w:rFonts w:ascii="Times New Roman" w:hAnsi="Times New Roman"/>
          <w:color w:val="000000"/>
          <w:sz w:val="24"/>
          <w:szCs w:val="24"/>
        </w:rPr>
        <w:t xml:space="preserve"> (1</w:t>
      </w:r>
      <w:r>
        <w:rPr>
          <w:rFonts w:ascii="Times New Roman" w:hAnsi="Times New Roman"/>
          <w:color w:val="000000"/>
          <w:sz w:val="24"/>
          <w:szCs w:val="24"/>
          <w:lang w:val="en-US"/>
        </w:rPr>
        <w:t>4</w:t>
      </w:r>
      <w:r>
        <w:rPr>
          <w:rFonts w:ascii="Times New Roman" w:hAnsi="Times New Roman"/>
          <w:color w:val="000000"/>
          <w:sz w:val="24"/>
          <w:szCs w:val="24"/>
        </w:rPr>
        <w:t>.1%) agreed, 15 (5.8%) disagreed, and 15 (5.8%) strongly disagreed. The mean response of 3.</w:t>
      </w:r>
      <w:r>
        <w:rPr>
          <w:rFonts w:ascii="Times New Roman" w:hAnsi="Times New Roman"/>
          <w:color w:val="000000"/>
          <w:sz w:val="24"/>
          <w:szCs w:val="24"/>
          <w:lang w:val="en-US"/>
        </w:rPr>
        <w:t>57</w:t>
      </w:r>
      <w:r>
        <w:rPr>
          <w:rFonts w:ascii="Times New Roman" w:hAnsi="Times New Roman"/>
          <w:color w:val="000000"/>
          <w:sz w:val="24"/>
          <w:szCs w:val="24"/>
        </w:rPr>
        <w:t xml:space="preserve"> indicates that the respondents generally believe that the unavailability of PPE is a factor that influences compliance with universal standard precautions. Similarly, the responses to items 2, 4, and 6 in Table </w:t>
      </w:r>
      <w:r>
        <w:rPr>
          <w:rFonts w:ascii="Times New Roman" w:hAnsi="Times New Roman"/>
          <w:color w:val="000000"/>
          <w:sz w:val="24"/>
          <w:szCs w:val="24"/>
          <w:lang w:val="en-US"/>
        </w:rPr>
        <w:t>5</w:t>
      </w:r>
      <w:r>
        <w:rPr>
          <w:rFonts w:ascii="Times New Roman" w:hAnsi="Times New Roman"/>
          <w:color w:val="000000"/>
          <w:sz w:val="24"/>
          <w:szCs w:val="24"/>
        </w:rPr>
        <w:t xml:space="preserve"> revealed that the mean responses to the items were all above 2.50, thus indicating that the respondents agreed with the items. </w:t>
      </w:r>
      <w:r>
        <w:rPr>
          <w:rFonts w:ascii="Times New Roman" w:hAnsi="Times New Roman"/>
          <w:color w:val="000000"/>
          <w:sz w:val="24"/>
          <w:szCs w:val="24"/>
          <w:lang w:val="en-US"/>
        </w:rPr>
        <w:t xml:space="preserve">Item 3 and 5 are not </w:t>
      </w:r>
      <w:r>
        <w:rPr>
          <w:rFonts w:ascii="Times New Roman" w:hAnsi="Times New Roman"/>
          <w:color w:val="000000"/>
          <w:sz w:val="24"/>
          <w:szCs w:val="24"/>
        </w:rPr>
        <w:t>factors that influence compliance with universal standard precautions.</w:t>
      </w:r>
    </w:p>
    <w:p w14:paraId="73EECE60">
      <w:pPr>
        <w:spacing w:line="480" w:lineRule="auto"/>
        <w:jc w:val="both"/>
        <w:rPr>
          <w:rFonts w:ascii="Times New Roman" w:hAnsi="Times New Roman"/>
          <w:color w:val="000000"/>
          <w:sz w:val="24"/>
          <w:szCs w:val="24"/>
        </w:rPr>
      </w:pPr>
      <w:r>
        <w:rPr>
          <w:rFonts w:ascii="Times New Roman" w:hAnsi="Times New Roman"/>
          <w:b/>
          <w:bCs/>
          <w:color w:val="000000"/>
          <w:sz w:val="24"/>
          <w:szCs w:val="24"/>
        </w:rPr>
        <w:t xml:space="preserve">Table </w:t>
      </w:r>
      <w:r>
        <w:rPr>
          <w:rFonts w:ascii="Times New Roman" w:hAnsi="Times New Roman"/>
          <w:b/>
          <w:bCs/>
          <w:color w:val="000000"/>
          <w:sz w:val="24"/>
          <w:szCs w:val="24"/>
          <w:lang w:val="en-US"/>
        </w:rPr>
        <w:t>5</w:t>
      </w:r>
      <w:r>
        <w:rPr>
          <w:rFonts w:ascii="Times New Roman" w:hAnsi="Times New Roman"/>
          <w:b/>
          <w:bCs/>
          <w:color w:val="000000"/>
          <w:sz w:val="24"/>
          <w:szCs w:val="24"/>
        </w:rPr>
        <w:t>: </w:t>
      </w:r>
      <w:r>
        <w:rPr>
          <w:rFonts w:ascii="Times New Roman" w:hAnsi="Times New Roman"/>
          <w:b/>
          <w:bCs/>
          <w:color w:val="000000"/>
          <w:sz w:val="24"/>
          <w:szCs w:val="24"/>
          <w:lang w:val="en-US"/>
        </w:rPr>
        <w:t>Perceived influencing f</w:t>
      </w:r>
      <w:r>
        <w:rPr>
          <w:rFonts w:ascii="Times New Roman" w:hAnsi="Times New Roman"/>
          <w:b/>
          <w:bCs/>
          <w:color w:val="000000"/>
          <w:sz w:val="24"/>
          <w:szCs w:val="24"/>
        </w:rPr>
        <w:t>actors influencing compliance with universal standard precautions</w:t>
      </w:r>
    </w:p>
    <w:tbl>
      <w:tblPr>
        <w:tblStyle w:val="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29"/>
        <w:gridCol w:w="4056"/>
        <w:gridCol w:w="792"/>
        <w:gridCol w:w="852"/>
        <w:gridCol w:w="780"/>
        <w:gridCol w:w="768"/>
        <w:gridCol w:w="1667"/>
      </w:tblGrid>
      <w:tr w14:paraId="19B9E04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29" w:type="dxa"/>
            <w:tcBorders>
              <w:bottom w:val="single" w:color="auto" w:sz="4" w:space="0"/>
            </w:tcBorders>
            <w:shd w:val="clear" w:color="auto" w:fill="auto"/>
          </w:tcPr>
          <w:p w14:paraId="2B702898">
            <w:pPr>
              <w:spacing w:line="480" w:lineRule="auto"/>
              <w:jc w:val="both"/>
              <w:rPr>
                <w:rFonts w:ascii="Times New Roman" w:hAnsi="Times New Roman"/>
                <w:sz w:val="24"/>
                <w:szCs w:val="24"/>
              </w:rPr>
            </w:pPr>
            <w:r>
              <w:rPr>
                <w:rFonts w:ascii="Times New Roman" w:hAnsi="Times New Roman"/>
                <w:b/>
                <w:bCs/>
                <w:sz w:val="24"/>
                <w:szCs w:val="24"/>
              </w:rPr>
              <w:t>S/N</w:t>
            </w:r>
          </w:p>
        </w:tc>
        <w:tc>
          <w:tcPr>
            <w:tcW w:w="4056" w:type="dxa"/>
            <w:tcBorders>
              <w:bottom w:val="single" w:color="auto" w:sz="4" w:space="0"/>
            </w:tcBorders>
            <w:shd w:val="clear" w:color="auto" w:fill="auto"/>
          </w:tcPr>
          <w:p w14:paraId="08D22278">
            <w:pPr>
              <w:spacing w:line="480" w:lineRule="auto"/>
              <w:jc w:val="both"/>
              <w:rPr>
                <w:rFonts w:ascii="Times New Roman" w:hAnsi="Times New Roman"/>
                <w:sz w:val="24"/>
                <w:szCs w:val="24"/>
              </w:rPr>
            </w:pPr>
            <w:r>
              <w:rPr>
                <w:rFonts w:ascii="Times New Roman" w:hAnsi="Times New Roman"/>
                <w:b/>
                <w:bCs/>
                <w:sz w:val="24"/>
                <w:szCs w:val="24"/>
              </w:rPr>
              <w:t>ITEMS</w:t>
            </w:r>
          </w:p>
        </w:tc>
        <w:tc>
          <w:tcPr>
            <w:tcW w:w="792" w:type="dxa"/>
            <w:tcBorders>
              <w:bottom w:val="single" w:color="auto" w:sz="4" w:space="0"/>
            </w:tcBorders>
            <w:shd w:val="clear" w:color="auto" w:fill="auto"/>
          </w:tcPr>
          <w:p w14:paraId="00810182">
            <w:pPr>
              <w:spacing w:line="480" w:lineRule="auto"/>
              <w:jc w:val="both"/>
              <w:rPr>
                <w:rFonts w:ascii="Times New Roman" w:hAnsi="Times New Roman"/>
                <w:sz w:val="24"/>
                <w:szCs w:val="24"/>
              </w:rPr>
            </w:pPr>
            <w:r>
              <w:rPr>
                <w:rFonts w:ascii="Times New Roman" w:hAnsi="Times New Roman"/>
                <w:b/>
                <w:bCs/>
                <w:sz w:val="24"/>
                <w:szCs w:val="24"/>
              </w:rPr>
              <w:t>SA</w:t>
            </w:r>
          </w:p>
        </w:tc>
        <w:tc>
          <w:tcPr>
            <w:tcW w:w="852" w:type="dxa"/>
            <w:tcBorders>
              <w:bottom w:val="single" w:color="auto" w:sz="4" w:space="0"/>
            </w:tcBorders>
            <w:shd w:val="clear" w:color="auto" w:fill="auto"/>
          </w:tcPr>
          <w:p w14:paraId="70237645">
            <w:pPr>
              <w:spacing w:line="480" w:lineRule="auto"/>
              <w:jc w:val="both"/>
              <w:rPr>
                <w:rFonts w:ascii="Times New Roman" w:hAnsi="Times New Roman"/>
                <w:sz w:val="24"/>
                <w:szCs w:val="24"/>
              </w:rPr>
            </w:pPr>
            <w:r>
              <w:rPr>
                <w:rFonts w:ascii="Times New Roman" w:hAnsi="Times New Roman"/>
                <w:b/>
                <w:bCs/>
                <w:sz w:val="24"/>
                <w:szCs w:val="24"/>
              </w:rPr>
              <w:t>A</w:t>
            </w:r>
          </w:p>
        </w:tc>
        <w:tc>
          <w:tcPr>
            <w:tcW w:w="780" w:type="dxa"/>
            <w:tcBorders>
              <w:bottom w:val="single" w:color="auto" w:sz="4" w:space="0"/>
            </w:tcBorders>
            <w:shd w:val="clear" w:color="auto" w:fill="auto"/>
          </w:tcPr>
          <w:p w14:paraId="1B7D2F0E">
            <w:pPr>
              <w:spacing w:line="480" w:lineRule="auto"/>
              <w:jc w:val="both"/>
              <w:rPr>
                <w:rFonts w:ascii="Times New Roman" w:hAnsi="Times New Roman"/>
                <w:sz w:val="24"/>
                <w:szCs w:val="24"/>
              </w:rPr>
            </w:pPr>
            <w:r>
              <w:rPr>
                <w:rFonts w:ascii="Times New Roman" w:hAnsi="Times New Roman"/>
                <w:b/>
                <w:bCs/>
                <w:sz w:val="24"/>
                <w:szCs w:val="24"/>
              </w:rPr>
              <w:t>D</w:t>
            </w:r>
          </w:p>
        </w:tc>
        <w:tc>
          <w:tcPr>
            <w:tcW w:w="768" w:type="dxa"/>
            <w:tcBorders>
              <w:bottom w:val="single" w:color="auto" w:sz="4" w:space="0"/>
            </w:tcBorders>
            <w:shd w:val="clear" w:color="auto" w:fill="auto"/>
          </w:tcPr>
          <w:p w14:paraId="2C82E003">
            <w:pPr>
              <w:spacing w:line="480" w:lineRule="auto"/>
              <w:jc w:val="both"/>
              <w:rPr>
                <w:rFonts w:ascii="Times New Roman" w:hAnsi="Times New Roman"/>
                <w:sz w:val="24"/>
                <w:szCs w:val="24"/>
              </w:rPr>
            </w:pPr>
            <w:r>
              <w:rPr>
                <w:rFonts w:ascii="Times New Roman" w:hAnsi="Times New Roman"/>
                <w:b/>
                <w:bCs/>
                <w:sz w:val="24"/>
                <w:szCs w:val="24"/>
              </w:rPr>
              <w:t>SD</w:t>
            </w:r>
          </w:p>
        </w:tc>
        <w:tc>
          <w:tcPr>
            <w:tcW w:w="1667" w:type="dxa"/>
            <w:tcBorders>
              <w:bottom w:val="single" w:color="auto" w:sz="4" w:space="0"/>
            </w:tcBorders>
            <w:shd w:val="clear" w:color="auto" w:fill="auto"/>
          </w:tcPr>
          <w:p w14:paraId="33D8A836">
            <w:pPr>
              <w:spacing w:line="480" w:lineRule="auto"/>
              <w:jc w:val="both"/>
              <w:rPr>
                <w:rFonts w:ascii="Times New Roman" w:hAnsi="Times New Roman"/>
                <w:sz w:val="24"/>
                <w:szCs w:val="24"/>
              </w:rPr>
            </w:pPr>
            <w:r>
              <w:rPr>
                <w:rFonts w:ascii="Times New Roman" w:hAnsi="Times New Roman"/>
                <w:b/>
                <w:bCs/>
                <w:sz w:val="24"/>
                <w:szCs w:val="24"/>
              </w:rPr>
              <w:t>Mean</w:t>
            </w:r>
          </w:p>
        </w:tc>
      </w:tr>
      <w:tr w14:paraId="21E64E9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29" w:type="dxa"/>
            <w:tcBorders>
              <w:top w:val="single" w:color="auto" w:sz="4" w:space="0"/>
              <w:bottom w:val="single" w:color="auto" w:sz="4" w:space="0"/>
            </w:tcBorders>
            <w:shd w:val="clear" w:color="auto" w:fill="auto"/>
          </w:tcPr>
          <w:p w14:paraId="0ADDFAA2">
            <w:pPr>
              <w:spacing w:line="480" w:lineRule="auto"/>
              <w:jc w:val="both"/>
              <w:rPr>
                <w:rFonts w:ascii="Times New Roman" w:hAnsi="Times New Roman"/>
                <w:sz w:val="24"/>
                <w:szCs w:val="24"/>
              </w:rPr>
            </w:pPr>
            <w:r>
              <w:rPr>
                <w:rFonts w:ascii="Times New Roman" w:hAnsi="Times New Roman"/>
                <w:sz w:val="24"/>
                <w:szCs w:val="24"/>
              </w:rPr>
              <w:t>1</w:t>
            </w:r>
          </w:p>
        </w:tc>
        <w:tc>
          <w:tcPr>
            <w:tcW w:w="4056" w:type="dxa"/>
            <w:tcBorders>
              <w:top w:val="single" w:color="auto" w:sz="4" w:space="0"/>
              <w:bottom w:val="single" w:color="auto" w:sz="4" w:space="0"/>
            </w:tcBorders>
            <w:shd w:val="clear" w:color="auto" w:fill="auto"/>
          </w:tcPr>
          <w:p w14:paraId="00E4CF7A">
            <w:pPr>
              <w:spacing w:line="480" w:lineRule="auto"/>
              <w:jc w:val="both"/>
              <w:rPr>
                <w:rFonts w:ascii="Times New Roman" w:hAnsi="Times New Roman"/>
                <w:sz w:val="24"/>
                <w:szCs w:val="24"/>
              </w:rPr>
            </w:pPr>
            <w:r>
              <w:rPr>
                <w:rFonts w:ascii="Times New Roman" w:hAnsi="Times New Roman"/>
                <w:sz w:val="24"/>
                <w:szCs w:val="24"/>
              </w:rPr>
              <w:t>Unavailability of personal protective equipment influences practicing infection prevention and control</w:t>
            </w:r>
          </w:p>
        </w:tc>
        <w:tc>
          <w:tcPr>
            <w:tcW w:w="792" w:type="dxa"/>
            <w:tcBorders>
              <w:top w:val="single" w:color="auto" w:sz="4" w:space="0"/>
              <w:bottom w:val="single" w:color="auto" w:sz="4" w:space="0"/>
            </w:tcBorders>
            <w:shd w:val="clear" w:color="auto" w:fill="auto"/>
          </w:tcPr>
          <w:p w14:paraId="64F83EC1">
            <w:pPr>
              <w:spacing w:line="480" w:lineRule="auto"/>
              <w:jc w:val="both"/>
              <w:rPr>
                <w:rFonts w:ascii="Times New Roman" w:hAnsi="Times New Roman"/>
                <w:sz w:val="24"/>
                <w:szCs w:val="24"/>
              </w:rPr>
            </w:pPr>
            <w:r>
              <w:rPr>
                <w:rFonts w:ascii="Times New Roman" w:hAnsi="Times New Roman"/>
                <w:sz w:val="24"/>
                <w:szCs w:val="24"/>
              </w:rPr>
              <w:t>191</w:t>
            </w:r>
          </w:p>
          <w:p w14:paraId="228C5E3D">
            <w:pPr>
              <w:spacing w:line="480" w:lineRule="auto"/>
              <w:jc w:val="both"/>
              <w:rPr>
                <w:rFonts w:ascii="Times New Roman" w:hAnsi="Times New Roman"/>
                <w:sz w:val="24"/>
                <w:szCs w:val="24"/>
              </w:rPr>
            </w:pPr>
            <w:r>
              <w:rPr>
                <w:rFonts w:ascii="Times New Roman" w:hAnsi="Times New Roman"/>
                <w:b/>
                <w:bCs/>
                <w:sz w:val="24"/>
                <w:szCs w:val="24"/>
              </w:rPr>
              <w:t>74.3%</w:t>
            </w:r>
          </w:p>
        </w:tc>
        <w:tc>
          <w:tcPr>
            <w:tcW w:w="852" w:type="dxa"/>
            <w:tcBorders>
              <w:top w:val="single" w:color="auto" w:sz="4" w:space="0"/>
              <w:bottom w:val="single" w:color="auto" w:sz="4" w:space="0"/>
            </w:tcBorders>
            <w:shd w:val="clear" w:color="auto" w:fill="auto"/>
          </w:tcPr>
          <w:p w14:paraId="7E080D38">
            <w:pPr>
              <w:spacing w:line="480" w:lineRule="auto"/>
              <w:jc w:val="both"/>
              <w:rPr>
                <w:rFonts w:ascii="Times New Roman" w:hAnsi="Times New Roman"/>
                <w:sz w:val="24"/>
                <w:szCs w:val="24"/>
              </w:rPr>
            </w:pPr>
            <w:r>
              <w:rPr>
                <w:rFonts w:ascii="Times New Roman" w:hAnsi="Times New Roman"/>
                <w:sz w:val="24"/>
                <w:szCs w:val="24"/>
              </w:rPr>
              <w:t>36</w:t>
            </w:r>
          </w:p>
          <w:p w14:paraId="15F00CFD">
            <w:pPr>
              <w:spacing w:line="480" w:lineRule="auto"/>
              <w:jc w:val="both"/>
              <w:rPr>
                <w:rFonts w:ascii="Times New Roman" w:hAnsi="Times New Roman"/>
                <w:sz w:val="24"/>
                <w:szCs w:val="24"/>
              </w:rPr>
            </w:pPr>
            <w:r>
              <w:rPr>
                <w:rFonts w:ascii="Times New Roman" w:hAnsi="Times New Roman"/>
                <w:b/>
                <w:bCs/>
                <w:sz w:val="24"/>
                <w:szCs w:val="24"/>
              </w:rPr>
              <w:t>14.1%</w:t>
            </w:r>
          </w:p>
        </w:tc>
        <w:tc>
          <w:tcPr>
            <w:tcW w:w="780" w:type="dxa"/>
            <w:tcBorders>
              <w:top w:val="single" w:color="auto" w:sz="4" w:space="0"/>
              <w:bottom w:val="single" w:color="auto" w:sz="4" w:space="0"/>
            </w:tcBorders>
            <w:shd w:val="clear" w:color="auto" w:fill="auto"/>
          </w:tcPr>
          <w:p w14:paraId="352F1243">
            <w:pPr>
              <w:spacing w:line="480" w:lineRule="auto"/>
              <w:jc w:val="both"/>
              <w:rPr>
                <w:rFonts w:ascii="Times New Roman" w:hAnsi="Times New Roman"/>
                <w:sz w:val="24"/>
                <w:szCs w:val="24"/>
              </w:rPr>
            </w:pPr>
            <w:r>
              <w:rPr>
                <w:rFonts w:ascii="Times New Roman" w:hAnsi="Times New Roman"/>
                <w:sz w:val="24"/>
                <w:szCs w:val="24"/>
              </w:rPr>
              <w:t>15</w:t>
            </w:r>
          </w:p>
          <w:p w14:paraId="69DC71B3">
            <w:pPr>
              <w:spacing w:line="480" w:lineRule="auto"/>
              <w:jc w:val="both"/>
              <w:rPr>
                <w:rFonts w:ascii="Times New Roman" w:hAnsi="Times New Roman"/>
                <w:sz w:val="24"/>
                <w:szCs w:val="24"/>
              </w:rPr>
            </w:pPr>
            <w:r>
              <w:rPr>
                <w:rFonts w:ascii="Times New Roman" w:hAnsi="Times New Roman"/>
                <w:b/>
                <w:bCs/>
                <w:sz w:val="24"/>
                <w:szCs w:val="24"/>
              </w:rPr>
              <w:t>5.8%</w:t>
            </w:r>
          </w:p>
        </w:tc>
        <w:tc>
          <w:tcPr>
            <w:tcW w:w="768" w:type="dxa"/>
            <w:tcBorders>
              <w:top w:val="single" w:color="auto" w:sz="4" w:space="0"/>
              <w:bottom w:val="single" w:color="auto" w:sz="4" w:space="0"/>
            </w:tcBorders>
            <w:shd w:val="clear" w:color="auto" w:fill="auto"/>
          </w:tcPr>
          <w:p w14:paraId="4902C64E">
            <w:pPr>
              <w:spacing w:line="480" w:lineRule="auto"/>
              <w:jc w:val="both"/>
              <w:rPr>
                <w:rFonts w:ascii="Times New Roman" w:hAnsi="Times New Roman"/>
                <w:sz w:val="24"/>
                <w:szCs w:val="24"/>
              </w:rPr>
            </w:pPr>
            <w:r>
              <w:rPr>
                <w:rFonts w:ascii="Times New Roman" w:hAnsi="Times New Roman"/>
                <w:sz w:val="24"/>
                <w:szCs w:val="24"/>
              </w:rPr>
              <w:t>15</w:t>
            </w:r>
          </w:p>
          <w:p w14:paraId="0A7E75DB">
            <w:pPr>
              <w:spacing w:line="480" w:lineRule="auto"/>
              <w:jc w:val="both"/>
              <w:rPr>
                <w:rFonts w:ascii="Times New Roman" w:hAnsi="Times New Roman"/>
                <w:sz w:val="24"/>
                <w:szCs w:val="24"/>
              </w:rPr>
            </w:pPr>
            <w:r>
              <w:rPr>
                <w:rFonts w:ascii="Times New Roman" w:hAnsi="Times New Roman"/>
                <w:b/>
                <w:bCs/>
                <w:sz w:val="24"/>
                <w:szCs w:val="24"/>
              </w:rPr>
              <w:t>5.8%</w:t>
            </w:r>
          </w:p>
        </w:tc>
        <w:tc>
          <w:tcPr>
            <w:tcW w:w="1667" w:type="dxa"/>
            <w:tcBorders>
              <w:top w:val="single" w:color="auto" w:sz="4" w:space="0"/>
              <w:bottom w:val="single" w:color="auto" w:sz="4" w:space="0"/>
            </w:tcBorders>
            <w:shd w:val="clear" w:color="auto" w:fill="auto"/>
          </w:tcPr>
          <w:p w14:paraId="307C0C08">
            <w:pPr>
              <w:spacing w:line="480" w:lineRule="auto"/>
              <w:jc w:val="both"/>
              <w:rPr>
                <w:rFonts w:ascii="Times New Roman" w:hAnsi="Times New Roman"/>
                <w:sz w:val="24"/>
                <w:szCs w:val="24"/>
              </w:rPr>
            </w:pPr>
            <w:r>
              <w:rPr>
                <w:rFonts w:ascii="Times New Roman" w:hAnsi="Times New Roman"/>
                <w:sz w:val="24"/>
                <w:szCs w:val="24"/>
              </w:rPr>
              <w:t>3.57</w:t>
            </w:r>
          </w:p>
        </w:tc>
      </w:tr>
      <w:tr w14:paraId="0BBB800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29" w:type="dxa"/>
            <w:tcBorders>
              <w:top w:val="single" w:color="auto" w:sz="4" w:space="0"/>
              <w:bottom w:val="nil"/>
            </w:tcBorders>
            <w:shd w:val="clear" w:color="auto" w:fill="auto"/>
          </w:tcPr>
          <w:p w14:paraId="1B620632">
            <w:pPr>
              <w:spacing w:line="480" w:lineRule="auto"/>
              <w:jc w:val="both"/>
              <w:rPr>
                <w:rFonts w:ascii="Times New Roman" w:hAnsi="Times New Roman"/>
                <w:sz w:val="24"/>
                <w:szCs w:val="24"/>
              </w:rPr>
            </w:pPr>
            <w:r>
              <w:rPr>
                <w:rFonts w:ascii="Times New Roman" w:hAnsi="Times New Roman"/>
                <w:sz w:val="24"/>
                <w:szCs w:val="24"/>
              </w:rPr>
              <w:t>2</w:t>
            </w:r>
          </w:p>
        </w:tc>
        <w:tc>
          <w:tcPr>
            <w:tcW w:w="4056" w:type="dxa"/>
            <w:tcBorders>
              <w:top w:val="single" w:color="auto" w:sz="4" w:space="0"/>
              <w:bottom w:val="nil"/>
            </w:tcBorders>
            <w:shd w:val="clear" w:color="auto" w:fill="auto"/>
          </w:tcPr>
          <w:p w14:paraId="1A947200">
            <w:pPr>
              <w:spacing w:line="480" w:lineRule="auto"/>
              <w:jc w:val="both"/>
              <w:rPr>
                <w:rFonts w:ascii="Times New Roman" w:hAnsi="Times New Roman"/>
                <w:sz w:val="24"/>
                <w:szCs w:val="24"/>
              </w:rPr>
            </w:pPr>
            <w:r>
              <w:rPr>
                <w:rFonts w:ascii="Times New Roman" w:hAnsi="Times New Roman"/>
                <w:sz w:val="24"/>
                <w:szCs w:val="24"/>
              </w:rPr>
              <w:t>Hospital policies do not encourage practicing infection prevention strategies</w:t>
            </w:r>
          </w:p>
        </w:tc>
        <w:tc>
          <w:tcPr>
            <w:tcW w:w="792" w:type="dxa"/>
            <w:tcBorders>
              <w:top w:val="single" w:color="auto" w:sz="4" w:space="0"/>
              <w:bottom w:val="nil"/>
            </w:tcBorders>
            <w:shd w:val="clear" w:color="auto" w:fill="auto"/>
          </w:tcPr>
          <w:p w14:paraId="4BE62891">
            <w:pPr>
              <w:spacing w:line="480" w:lineRule="auto"/>
              <w:jc w:val="both"/>
              <w:rPr>
                <w:rFonts w:ascii="Times New Roman" w:hAnsi="Times New Roman"/>
                <w:sz w:val="24"/>
                <w:szCs w:val="24"/>
              </w:rPr>
            </w:pPr>
            <w:r>
              <w:rPr>
                <w:rFonts w:ascii="Times New Roman" w:hAnsi="Times New Roman"/>
                <w:sz w:val="24"/>
                <w:szCs w:val="24"/>
              </w:rPr>
              <w:t>210</w:t>
            </w:r>
          </w:p>
          <w:p w14:paraId="57AF0FDA">
            <w:pPr>
              <w:spacing w:line="480" w:lineRule="auto"/>
              <w:jc w:val="both"/>
              <w:rPr>
                <w:rFonts w:ascii="Times New Roman" w:hAnsi="Times New Roman"/>
                <w:sz w:val="24"/>
                <w:szCs w:val="24"/>
              </w:rPr>
            </w:pPr>
            <w:r>
              <w:rPr>
                <w:rFonts w:ascii="Times New Roman" w:hAnsi="Times New Roman"/>
                <w:sz w:val="24"/>
                <w:szCs w:val="24"/>
              </w:rPr>
              <w:t> </w:t>
            </w:r>
          </w:p>
          <w:p w14:paraId="71FFFB7A">
            <w:pPr>
              <w:spacing w:line="480" w:lineRule="auto"/>
              <w:jc w:val="both"/>
              <w:rPr>
                <w:rFonts w:ascii="Times New Roman" w:hAnsi="Times New Roman"/>
                <w:sz w:val="24"/>
                <w:szCs w:val="24"/>
              </w:rPr>
            </w:pPr>
            <w:r>
              <w:rPr>
                <w:rFonts w:ascii="Times New Roman" w:hAnsi="Times New Roman"/>
                <w:b/>
                <w:bCs/>
                <w:sz w:val="24"/>
                <w:szCs w:val="24"/>
              </w:rPr>
              <w:t>81.7%</w:t>
            </w:r>
          </w:p>
        </w:tc>
        <w:tc>
          <w:tcPr>
            <w:tcW w:w="852" w:type="dxa"/>
            <w:tcBorders>
              <w:top w:val="single" w:color="auto" w:sz="4" w:space="0"/>
              <w:bottom w:val="nil"/>
            </w:tcBorders>
            <w:shd w:val="clear" w:color="auto" w:fill="auto"/>
          </w:tcPr>
          <w:p w14:paraId="045F7CFF">
            <w:pPr>
              <w:spacing w:line="480" w:lineRule="auto"/>
              <w:jc w:val="both"/>
              <w:rPr>
                <w:rFonts w:ascii="Times New Roman" w:hAnsi="Times New Roman"/>
                <w:sz w:val="24"/>
                <w:szCs w:val="24"/>
              </w:rPr>
            </w:pPr>
            <w:r>
              <w:rPr>
                <w:rFonts w:ascii="Times New Roman" w:hAnsi="Times New Roman"/>
                <w:sz w:val="24"/>
                <w:szCs w:val="24"/>
              </w:rPr>
              <w:t>30</w:t>
            </w:r>
          </w:p>
          <w:p w14:paraId="5E4AF7E9">
            <w:pPr>
              <w:spacing w:line="480" w:lineRule="auto"/>
              <w:jc w:val="both"/>
              <w:rPr>
                <w:rFonts w:ascii="Times New Roman" w:hAnsi="Times New Roman"/>
                <w:sz w:val="24"/>
                <w:szCs w:val="24"/>
              </w:rPr>
            </w:pPr>
            <w:r>
              <w:rPr>
                <w:rFonts w:ascii="Times New Roman" w:hAnsi="Times New Roman"/>
                <w:sz w:val="24"/>
                <w:szCs w:val="24"/>
              </w:rPr>
              <w:t> </w:t>
            </w:r>
          </w:p>
          <w:p w14:paraId="7D15851A">
            <w:pPr>
              <w:spacing w:line="480" w:lineRule="auto"/>
              <w:jc w:val="both"/>
              <w:rPr>
                <w:rFonts w:ascii="Times New Roman" w:hAnsi="Times New Roman"/>
                <w:sz w:val="24"/>
                <w:szCs w:val="24"/>
              </w:rPr>
            </w:pPr>
            <w:r>
              <w:rPr>
                <w:rFonts w:ascii="Times New Roman" w:hAnsi="Times New Roman"/>
                <w:b/>
                <w:bCs/>
                <w:sz w:val="24"/>
                <w:szCs w:val="24"/>
              </w:rPr>
              <w:t>11.7%</w:t>
            </w:r>
          </w:p>
        </w:tc>
        <w:tc>
          <w:tcPr>
            <w:tcW w:w="780" w:type="dxa"/>
            <w:tcBorders>
              <w:top w:val="single" w:color="auto" w:sz="4" w:space="0"/>
              <w:bottom w:val="nil"/>
            </w:tcBorders>
            <w:shd w:val="clear" w:color="auto" w:fill="auto"/>
          </w:tcPr>
          <w:p w14:paraId="3DA02005">
            <w:pPr>
              <w:spacing w:line="480" w:lineRule="auto"/>
              <w:jc w:val="both"/>
              <w:rPr>
                <w:rFonts w:ascii="Times New Roman" w:hAnsi="Times New Roman"/>
                <w:sz w:val="24"/>
                <w:szCs w:val="24"/>
              </w:rPr>
            </w:pPr>
            <w:r>
              <w:rPr>
                <w:rFonts w:ascii="Times New Roman" w:hAnsi="Times New Roman"/>
                <w:sz w:val="24"/>
                <w:szCs w:val="24"/>
              </w:rPr>
              <w:t>12</w:t>
            </w:r>
          </w:p>
          <w:p w14:paraId="42F9371C">
            <w:pPr>
              <w:spacing w:line="480" w:lineRule="auto"/>
              <w:jc w:val="both"/>
              <w:rPr>
                <w:rFonts w:ascii="Times New Roman" w:hAnsi="Times New Roman"/>
                <w:sz w:val="24"/>
                <w:szCs w:val="24"/>
              </w:rPr>
            </w:pPr>
            <w:r>
              <w:rPr>
                <w:rFonts w:ascii="Times New Roman" w:hAnsi="Times New Roman"/>
                <w:sz w:val="24"/>
                <w:szCs w:val="24"/>
              </w:rPr>
              <w:t> </w:t>
            </w:r>
          </w:p>
          <w:p w14:paraId="6DC3F819">
            <w:pPr>
              <w:spacing w:line="480" w:lineRule="auto"/>
              <w:jc w:val="both"/>
              <w:rPr>
                <w:rFonts w:ascii="Times New Roman" w:hAnsi="Times New Roman"/>
                <w:sz w:val="24"/>
                <w:szCs w:val="24"/>
              </w:rPr>
            </w:pPr>
            <w:r>
              <w:rPr>
                <w:rFonts w:ascii="Times New Roman" w:hAnsi="Times New Roman"/>
                <w:b/>
                <w:bCs/>
                <w:sz w:val="24"/>
                <w:szCs w:val="24"/>
              </w:rPr>
              <w:t>4.7%</w:t>
            </w:r>
          </w:p>
        </w:tc>
        <w:tc>
          <w:tcPr>
            <w:tcW w:w="768" w:type="dxa"/>
            <w:tcBorders>
              <w:top w:val="single" w:color="auto" w:sz="4" w:space="0"/>
              <w:bottom w:val="nil"/>
            </w:tcBorders>
            <w:shd w:val="clear" w:color="auto" w:fill="auto"/>
          </w:tcPr>
          <w:p w14:paraId="1211C980">
            <w:pPr>
              <w:spacing w:line="480" w:lineRule="auto"/>
              <w:jc w:val="both"/>
              <w:rPr>
                <w:rFonts w:ascii="Times New Roman" w:hAnsi="Times New Roman"/>
                <w:sz w:val="24"/>
                <w:szCs w:val="24"/>
              </w:rPr>
            </w:pPr>
            <w:r>
              <w:rPr>
                <w:rFonts w:ascii="Times New Roman" w:hAnsi="Times New Roman"/>
                <w:sz w:val="24"/>
                <w:szCs w:val="24"/>
              </w:rPr>
              <w:t>5</w:t>
            </w:r>
          </w:p>
          <w:p w14:paraId="4F6BF510">
            <w:pPr>
              <w:spacing w:line="480" w:lineRule="auto"/>
              <w:jc w:val="both"/>
              <w:rPr>
                <w:rFonts w:ascii="Times New Roman" w:hAnsi="Times New Roman"/>
                <w:sz w:val="24"/>
                <w:szCs w:val="24"/>
              </w:rPr>
            </w:pPr>
            <w:r>
              <w:rPr>
                <w:rFonts w:ascii="Times New Roman" w:hAnsi="Times New Roman"/>
                <w:sz w:val="24"/>
                <w:szCs w:val="24"/>
              </w:rPr>
              <w:t> </w:t>
            </w:r>
          </w:p>
          <w:p w14:paraId="7BA53E2D">
            <w:pPr>
              <w:spacing w:line="480" w:lineRule="auto"/>
              <w:jc w:val="both"/>
              <w:rPr>
                <w:rFonts w:ascii="Times New Roman" w:hAnsi="Times New Roman"/>
                <w:sz w:val="24"/>
                <w:szCs w:val="24"/>
              </w:rPr>
            </w:pPr>
            <w:r>
              <w:rPr>
                <w:rFonts w:ascii="Times New Roman" w:hAnsi="Times New Roman"/>
                <w:b/>
                <w:bCs/>
                <w:sz w:val="24"/>
                <w:szCs w:val="24"/>
              </w:rPr>
              <w:t>1.9%</w:t>
            </w:r>
          </w:p>
        </w:tc>
        <w:tc>
          <w:tcPr>
            <w:tcW w:w="1667" w:type="dxa"/>
            <w:tcBorders>
              <w:top w:val="single" w:color="auto" w:sz="4" w:space="0"/>
              <w:bottom w:val="nil"/>
            </w:tcBorders>
            <w:shd w:val="clear" w:color="auto" w:fill="auto"/>
          </w:tcPr>
          <w:p w14:paraId="0D4F3C9C">
            <w:pPr>
              <w:spacing w:line="480" w:lineRule="auto"/>
              <w:jc w:val="both"/>
              <w:rPr>
                <w:rFonts w:ascii="Times New Roman" w:hAnsi="Times New Roman"/>
                <w:sz w:val="24"/>
                <w:szCs w:val="24"/>
              </w:rPr>
            </w:pPr>
            <w:r>
              <w:rPr>
                <w:rFonts w:ascii="Times New Roman" w:hAnsi="Times New Roman"/>
                <w:sz w:val="24"/>
                <w:szCs w:val="24"/>
              </w:rPr>
              <w:t> </w:t>
            </w:r>
          </w:p>
          <w:p w14:paraId="33D4F4AE">
            <w:pPr>
              <w:spacing w:line="480" w:lineRule="auto"/>
              <w:jc w:val="both"/>
              <w:rPr>
                <w:rFonts w:ascii="Times New Roman" w:hAnsi="Times New Roman"/>
                <w:sz w:val="24"/>
                <w:szCs w:val="24"/>
              </w:rPr>
            </w:pPr>
            <w:r>
              <w:rPr>
                <w:rFonts w:ascii="Times New Roman" w:hAnsi="Times New Roman"/>
                <w:sz w:val="24"/>
                <w:szCs w:val="24"/>
              </w:rPr>
              <w:t>3.84</w:t>
            </w:r>
          </w:p>
        </w:tc>
      </w:tr>
      <w:tr w14:paraId="55F772F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29" w:type="dxa"/>
            <w:tcBorders>
              <w:top w:val="single" w:color="auto" w:sz="4" w:space="0"/>
              <w:bottom w:val="single" w:color="auto" w:sz="4" w:space="0"/>
            </w:tcBorders>
            <w:shd w:val="clear" w:color="auto" w:fill="auto"/>
          </w:tcPr>
          <w:p w14:paraId="332BEEC1">
            <w:pPr>
              <w:spacing w:line="480" w:lineRule="auto"/>
              <w:jc w:val="both"/>
              <w:rPr>
                <w:rFonts w:ascii="Times New Roman" w:hAnsi="Times New Roman"/>
                <w:sz w:val="24"/>
                <w:szCs w:val="24"/>
              </w:rPr>
            </w:pPr>
            <w:r>
              <w:rPr>
                <w:rFonts w:ascii="Times New Roman" w:hAnsi="Times New Roman"/>
                <w:sz w:val="24"/>
                <w:szCs w:val="24"/>
              </w:rPr>
              <w:t>3</w:t>
            </w:r>
          </w:p>
        </w:tc>
        <w:tc>
          <w:tcPr>
            <w:tcW w:w="4056" w:type="dxa"/>
            <w:tcBorders>
              <w:top w:val="single" w:color="auto" w:sz="4" w:space="0"/>
              <w:bottom w:val="single" w:color="auto" w:sz="4" w:space="0"/>
            </w:tcBorders>
            <w:shd w:val="clear" w:color="auto" w:fill="auto"/>
          </w:tcPr>
          <w:p w14:paraId="377323E7">
            <w:pPr>
              <w:spacing w:line="480" w:lineRule="auto"/>
              <w:jc w:val="both"/>
              <w:rPr>
                <w:rFonts w:ascii="Times New Roman" w:hAnsi="Times New Roman"/>
                <w:sz w:val="24"/>
                <w:szCs w:val="24"/>
              </w:rPr>
            </w:pPr>
            <w:r>
              <w:rPr>
                <w:rFonts w:ascii="Times New Roman" w:hAnsi="Times New Roman"/>
                <w:sz w:val="24"/>
                <w:szCs w:val="24"/>
              </w:rPr>
              <w:t>Emergency situation often influences my use of personal protective equipment</w:t>
            </w:r>
          </w:p>
        </w:tc>
        <w:tc>
          <w:tcPr>
            <w:tcW w:w="792" w:type="dxa"/>
            <w:tcBorders>
              <w:top w:val="single" w:color="auto" w:sz="4" w:space="0"/>
              <w:bottom w:val="single" w:color="auto" w:sz="4" w:space="0"/>
            </w:tcBorders>
            <w:shd w:val="clear" w:color="auto" w:fill="auto"/>
          </w:tcPr>
          <w:p w14:paraId="57351AD3">
            <w:pPr>
              <w:spacing w:line="480" w:lineRule="auto"/>
              <w:jc w:val="both"/>
              <w:rPr>
                <w:rFonts w:ascii="Times New Roman" w:hAnsi="Times New Roman"/>
                <w:sz w:val="24"/>
                <w:szCs w:val="24"/>
              </w:rPr>
            </w:pPr>
            <w:r>
              <w:rPr>
                <w:rFonts w:ascii="Times New Roman" w:hAnsi="Times New Roman"/>
                <w:sz w:val="24"/>
                <w:szCs w:val="24"/>
              </w:rPr>
              <w:t>22</w:t>
            </w:r>
          </w:p>
          <w:p w14:paraId="2B52FC8D">
            <w:pPr>
              <w:spacing w:line="480" w:lineRule="auto"/>
              <w:jc w:val="both"/>
              <w:rPr>
                <w:rFonts w:ascii="Times New Roman" w:hAnsi="Times New Roman"/>
                <w:sz w:val="24"/>
                <w:szCs w:val="24"/>
              </w:rPr>
            </w:pPr>
            <w:r>
              <w:rPr>
                <w:rFonts w:ascii="Times New Roman" w:hAnsi="Times New Roman"/>
                <w:b/>
                <w:bCs/>
                <w:sz w:val="24"/>
                <w:szCs w:val="24"/>
              </w:rPr>
              <w:t>8.6%</w:t>
            </w:r>
          </w:p>
        </w:tc>
        <w:tc>
          <w:tcPr>
            <w:tcW w:w="852" w:type="dxa"/>
            <w:tcBorders>
              <w:top w:val="single" w:color="auto" w:sz="4" w:space="0"/>
              <w:bottom w:val="single" w:color="auto" w:sz="4" w:space="0"/>
            </w:tcBorders>
            <w:shd w:val="clear" w:color="auto" w:fill="auto"/>
          </w:tcPr>
          <w:p w14:paraId="29AF7648">
            <w:pPr>
              <w:spacing w:line="480" w:lineRule="auto"/>
              <w:jc w:val="both"/>
              <w:rPr>
                <w:rFonts w:ascii="Times New Roman" w:hAnsi="Times New Roman"/>
                <w:sz w:val="24"/>
                <w:szCs w:val="24"/>
              </w:rPr>
            </w:pPr>
            <w:r>
              <w:rPr>
                <w:rFonts w:ascii="Times New Roman" w:hAnsi="Times New Roman"/>
                <w:sz w:val="24"/>
                <w:szCs w:val="24"/>
              </w:rPr>
              <w:t>30</w:t>
            </w:r>
          </w:p>
          <w:p w14:paraId="4B595F74">
            <w:pPr>
              <w:spacing w:line="480" w:lineRule="auto"/>
              <w:jc w:val="both"/>
              <w:rPr>
                <w:rFonts w:ascii="Times New Roman" w:hAnsi="Times New Roman"/>
                <w:sz w:val="24"/>
                <w:szCs w:val="24"/>
              </w:rPr>
            </w:pPr>
            <w:r>
              <w:rPr>
                <w:rFonts w:ascii="Times New Roman" w:hAnsi="Times New Roman"/>
                <w:b/>
                <w:bCs/>
                <w:sz w:val="24"/>
                <w:szCs w:val="24"/>
              </w:rPr>
              <w:t>11.7%</w:t>
            </w:r>
          </w:p>
        </w:tc>
        <w:tc>
          <w:tcPr>
            <w:tcW w:w="780" w:type="dxa"/>
            <w:tcBorders>
              <w:top w:val="single" w:color="auto" w:sz="4" w:space="0"/>
              <w:bottom w:val="single" w:color="auto" w:sz="4" w:space="0"/>
            </w:tcBorders>
            <w:shd w:val="clear" w:color="auto" w:fill="auto"/>
          </w:tcPr>
          <w:p w14:paraId="3EAFC0EE">
            <w:pPr>
              <w:spacing w:line="480" w:lineRule="auto"/>
              <w:jc w:val="both"/>
              <w:rPr>
                <w:rFonts w:ascii="Times New Roman" w:hAnsi="Times New Roman"/>
                <w:sz w:val="24"/>
                <w:szCs w:val="24"/>
              </w:rPr>
            </w:pPr>
            <w:r>
              <w:rPr>
                <w:rFonts w:ascii="Times New Roman" w:hAnsi="Times New Roman"/>
                <w:sz w:val="24"/>
                <w:szCs w:val="24"/>
              </w:rPr>
              <w:t>187</w:t>
            </w:r>
          </w:p>
          <w:p w14:paraId="7789317D">
            <w:pPr>
              <w:spacing w:line="480" w:lineRule="auto"/>
              <w:jc w:val="both"/>
              <w:rPr>
                <w:rFonts w:ascii="Times New Roman" w:hAnsi="Times New Roman"/>
                <w:sz w:val="24"/>
                <w:szCs w:val="24"/>
              </w:rPr>
            </w:pPr>
            <w:r>
              <w:rPr>
                <w:rFonts w:ascii="Times New Roman" w:hAnsi="Times New Roman"/>
                <w:b/>
                <w:bCs/>
                <w:sz w:val="24"/>
                <w:szCs w:val="24"/>
              </w:rPr>
              <w:t>72.8%</w:t>
            </w:r>
          </w:p>
        </w:tc>
        <w:tc>
          <w:tcPr>
            <w:tcW w:w="768" w:type="dxa"/>
            <w:tcBorders>
              <w:top w:val="single" w:color="auto" w:sz="4" w:space="0"/>
              <w:bottom w:val="single" w:color="auto" w:sz="4" w:space="0"/>
            </w:tcBorders>
            <w:shd w:val="clear" w:color="auto" w:fill="auto"/>
          </w:tcPr>
          <w:p w14:paraId="653C901A">
            <w:pPr>
              <w:spacing w:line="480" w:lineRule="auto"/>
              <w:jc w:val="both"/>
              <w:rPr>
                <w:rFonts w:ascii="Times New Roman" w:hAnsi="Times New Roman"/>
                <w:sz w:val="24"/>
                <w:szCs w:val="24"/>
              </w:rPr>
            </w:pPr>
            <w:r>
              <w:rPr>
                <w:rFonts w:ascii="Times New Roman" w:hAnsi="Times New Roman"/>
                <w:sz w:val="24"/>
                <w:szCs w:val="24"/>
              </w:rPr>
              <w:t>18</w:t>
            </w:r>
          </w:p>
          <w:p w14:paraId="5F7133D9">
            <w:pPr>
              <w:spacing w:line="480" w:lineRule="auto"/>
              <w:jc w:val="both"/>
              <w:rPr>
                <w:rFonts w:ascii="Times New Roman" w:hAnsi="Times New Roman"/>
                <w:sz w:val="24"/>
                <w:szCs w:val="24"/>
              </w:rPr>
            </w:pPr>
            <w:r>
              <w:rPr>
                <w:rFonts w:ascii="Times New Roman" w:hAnsi="Times New Roman"/>
                <w:b/>
                <w:bCs/>
                <w:sz w:val="24"/>
                <w:szCs w:val="24"/>
              </w:rPr>
              <w:t>7.0%</w:t>
            </w:r>
          </w:p>
        </w:tc>
        <w:tc>
          <w:tcPr>
            <w:tcW w:w="1667" w:type="dxa"/>
            <w:tcBorders>
              <w:top w:val="single" w:color="auto" w:sz="4" w:space="0"/>
              <w:bottom w:val="single" w:color="auto" w:sz="4" w:space="0"/>
            </w:tcBorders>
            <w:shd w:val="clear" w:color="auto" w:fill="auto"/>
          </w:tcPr>
          <w:p w14:paraId="14DEF615">
            <w:pPr>
              <w:spacing w:line="480" w:lineRule="auto"/>
              <w:jc w:val="both"/>
              <w:rPr>
                <w:rFonts w:ascii="Times New Roman" w:hAnsi="Times New Roman"/>
                <w:sz w:val="24"/>
                <w:szCs w:val="24"/>
              </w:rPr>
            </w:pPr>
            <w:r>
              <w:rPr>
                <w:rFonts w:ascii="Times New Roman" w:hAnsi="Times New Roman"/>
                <w:sz w:val="24"/>
                <w:szCs w:val="24"/>
              </w:rPr>
              <w:t> </w:t>
            </w:r>
          </w:p>
          <w:p w14:paraId="48934CD5">
            <w:pPr>
              <w:spacing w:line="480" w:lineRule="auto"/>
              <w:jc w:val="both"/>
              <w:rPr>
                <w:rFonts w:ascii="Times New Roman" w:hAnsi="Times New Roman"/>
                <w:sz w:val="24"/>
                <w:szCs w:val="24"/>
              </w:rPr>
            </w:pPr>
            <w:r>
              <w:rPr>
                <w:rFonts w:ascii="Times New Roman" w:hAnsi="Times New Roman"/>
                <w:sz w:val="24"/>
                <w:szCs w:val="24"/>
              </w:rPr>
              <w:t>2.22</w:t>
            </w:r>
          </w:p>
        </w:tc>
      </w:tr>
      <w:tr w14:paraId="60C18D8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29" w:type="dxa"/>
            <w:tcBorders>
              <w:top w:val="single" w:color="auto" w:sz="4" w:space="0"/>
              <w:bottom w:val="single" w:color="auto" w:sz="4" w:space="0"/>
            </w:tcBorders>
            <w:shd w:val="clear" w:color="auto" w:fill="auto"/>
          </w:tcPr>
          <w:p w14:paraId="1102B45E">
            <w:pPr>
              <w:spacing w:line="480" w:lineRule="auto"/>
              <w:jc w:val="both"/>
              <w:rPr>
                <w:rFonts w:ascii="Times New Roman" w:hAnsi="Times New Roman"/>
                <w:sz w:val="24"/>
                <w:szCs w:val="24"/>
              </w:rPr>
            </w:pPr>
            <w:r>
              <w:rPr>
                <w:rFonts w:ascii="Times New Roman" w:hAnsi="Times New Roman"/>
                <w:sz w:val="24"/>
                <w:szCs w:val="24"/>
              </w:rPr>
              <w:t>4</w:t>
            </w:r>
          </w:p>
        </w:tc>
        <w:tc>
          <w:tcPr>
            <w:tcW w:w="4056" w:type="dxa"/>
            <w:tcBorders>
              <w:top w:val="single" w:color="auto" w:sz="4" w:space="0"/>
              <w:bottom w:val="single" w:color="auto" w:sz="4" w:space="0"/>
            </w:tcBorders>
            <w:shd w:val="clear" w:color="auto" w:fill="auto"/>
          </w:tcPr>
          <w:p w14:paraId="2FCE41EE">
            <w:pPr>
              <w:spacing w:line="480" w:lineRule="auto"/>
              <w:jc w:val="both"/>
              <w:rPr>
                <w:rFonts w:ascii="Times New Roman" w:hAnsi="Times New Roman"/>
                <w:sz w:val="24"/>
                <w:szCs w:val="24"/>
              </w:rPr>
            </w:pPr>
            <w:r>
              <w:rPr>
                <w:rFonts w:ascii="Times New Roman" w:hAnsi="Times New Roman"/>
                <w:sz w:val="24"/>
                <w:szCs w:val="24"/>
              </w:rPr>
              <w:t>Years of practice influences my practice of the use of Infection prevention and control strategies</w:t>
            </w:r>
          </w:p>
        </w:tc>
        <w:tc>
          <w:tcPr>
            <w:tcW w:w="792" w:type="dxa"/>
            <w:tcBorders>
              <w:top w:val="single" w:color="auto" w:sz="4" w:space="0"/>
              <w:bottom w:val="single" w:color="auto" w:sz="4" w:space="0"/>
            </w:tcBorders>
            <w:shd w:val="clear" w:color="auto" w:fill="auto"/>
          </w:tcPr>
          <w:p w14:paraId="16C421C1">
            <w:pPr>
              <w:spacing w:line="480" w:lineRule="auto"/>
              <w:jc w:val="both"/>
              <w:rPr>
                <w:rFonts w:ascii="Times New Roman" w:hAnsi="Times New Roman"/>
                <w:sz w:val="24"/>
                <w:szCs w:val="24"/>
              </w:rPr>
            </w:pPr>
            <w:r>
              <w:rPr>
                <w:rFonts w:ascii="Times New Roman" w:hAnsi="Times New Roman"/>
                <w:sz w:val="24"/>
                <w:szCs w:val="24"/>
              </w:rPr>
              <w:t>186</w:t>
            </w:r>
          </w:p>
          <w:p w14:paraId="7D4F97DD">
            <w:pPr>
              <w:spacing w:line="480" w:lineRule="auto"/>
              <w:jc w:val="both"/>
              <w:rPr>
                <w:rFonts w:ascii="Times New Roman" w:hAnsi="Times New Roman"/>
                <w:sz w:val="24"/>
                <w:szCs w:val="24"/>
              </w:rPr>
            </w:pPr>
            <w:r>
              <w:rPr>
                <w:rFonts w:ascii="Times New Roman" w:hAnsi="Times New Roman"/>
                <w:b/>
                <w:bCs/>
                <w:sz w:val="24"/>
                <w:szCs w:val="24"/>
              </w:rPr>
              <w:t>72.4%</w:t>
            </w:r>
          </w:p>
        </w:tc>
        <w:tc>
          <w:tcPr>
            <w:tcW w:w="852" w:type="dxa"/>
            <w:tcBorders>
              <w:top w:val="single" w:color="auto" w:sz="4" w:space="0"/>
              <w:bottom w:val="single" w:color="auto" w:sz="4" w:space="0"/>
            </w:tcBorders>
            <w:shd w:val="clear" w:color="auto" w:fill="auto"/>
          </w:tcPr>
          <w:p w14:paraId="718206AC">
            <w:pPr>
              <w:spacing w:line="480" w:lineRule="auto"/>
              <w:jc w:val="both"/>
              <w:rPr>
                <w:rFonts w:ascii="Times New Roman" w:hAnsi="Times New Roman"/>
                <w:sz w:val="24"/>
                <w:szCs w:val="24"/>
              </w:rPr>
            </w:pPr>
            <w:r>
              <w:rPr>
                <w:rFonts w:ascii="Times New Roman" w:hAnsi="Times New Roman"/>
                <w:sz w:val="24"/>
                <w:szCs w:val="24"/>
              </w:rPr>
              <w:t>41</w:t>
            </w:r>
          </w:p>
          <w:p w14:paraId="2446EB66">
            <w:pPr>
              <w:spacing w:line="480" w:lineRule="auto"/>
              <w:jc w:val="both"/>
              <w:rPr>
                <w:rFonts w:ascii="Times New Roman" w:hAnsi="Times New Roman"/>
                <w:sz w:val="24"/>
                <w:szCs w:val="24"/>
              </w:rPr>
            </w:pPr>
            <w:r>
              <w:rPr>
                <w:rFonts w:ascii="Times New Roman" w:hAnsi="Times New Roman"/>
                <w:b/>
                <w:bCs/>
                <w:sz w:val="24"/>
                <w:szCs w:val="24"/>
              </w:rPr>
              <w:t>16.0%</w:t>
            </w:r>
          </w:p>
        </w:tc>
        <w:tc>
          <w:tcPr>
            <w:tcW w:w="780" w:type="dxa"/>
            <w:tcBorders>
              <w:top w:val="single" w:color="auto" w:sz="4" w:space="0"/>
              <w:bottom w:val="single" w:color="auto" w:sz="4" w:space="0"/>
            </w:tcBorders>
            <w:shd w:val="clear" w:color="auto" w:fill="auto"/>
          </w:tcPr>
          <w:p w14:paraId="4FC165B8">
            <w:pPr>
              <w:spacing w:line="480" w:lineRule="auto"/>
              <w:jc w:val="both"/>
              <w:rPr>
                <w:rFonts w:ascii="Times New Roman" w:hAnsi="Times New Roman"/>
                <w:sz w:val="24"/>
                <w:szCs w:val="24"/>
              </w:rPr>
            </w:pPr>
            <w:r>
              <w:rPr>
                <w:rFonts w:ascii="Times New Roman" w:hAnsi="Times New Roman"/>
                <w:sz w:val="24"/>
                <w:szCs w:val="24"/>
              </w:rPr>
              <w:t>12</w:t>
            </w:r>
          </w:p>
          <w:p w14:paraId="4968307D">
            <w:pPr>
              <w:spacing w:line="480" w:lineRule="auto"/>
              <w:jc w:val="both"/>
              <w:rPr>
                <w:rFonts w:ascii="Times New Roman" w:hAnsi="Times New Roman"/>
                <w:sz w:val="24"/>
                <w:szCs w:val="24"/>
              </w:rPr>
            </w:pPr>
            <w:r>
              <w:rPr>
                <w:rFonts w:ascii="Times New Roman" w:hAnsi="Times New Roman"/>
                <w:b/>
                <w:bCs/>
                <w:sz w:val="24"/>
                <w:szCs w:val="24"/>
              </w:rPr>
              <w:t>4.7%</w:t>
            </w:r>
          </w:p>
        </w:tc>
        <w:tc>
          <w:tcPr>
            <w:tcW w:w="768" w:type="dxa"/>
            <w:tcBorders>
              <w:top w:val="single" w:color="auto" w:sz="4" w:space="0"/>
              <w:bottom w:val="single" w:color="auto" w:sz="4" w:space="0"/>
            </w:tcBorders>
            <w:shd w:val="clear" w:color="auto" w:fill="auto"/>
          </w:tcPr>
          <w:p w14:paraId="3D1913C9">
            <w:pPr>
              <w:spacing w:line="480" w:lineRule="auto"/>
              <w:jc w:val="both"/>
              <w:rPr>
                <w:rFonts w:ascii="Times New Roman" w:hAnsi="Times New Roman"/>
                <w:sz w:val="24"/>
                <w:szCs w:val="24"/>
              </w:rPr>
            </w:pPr>
            <w:r>
              <w:rPr>
                <w:rFonts w:ascii="Times New Roman" w:hAnsi="Times New Roman"/>
                <w:sz w:val="24"/>
                <w:szCs w:val="24"/>
              </w:rPr>
              <w:t>18</w:t>
            </w:r>
          </w:p>
          <w:p w14:paraId="0618E0D6">
            <w:pPr>
              <w:spacing w:line="480" w:lineRule="auto"/>
              <w:jc w:val="both"/>
              <w:rPr>
                <w:rFonts w:ascii="Times New Roman" w:hAnsi="Times New Roman"/>
                <w:sz w:val="24"/>
                <w:szCs w:val="24"/>
              </w:rPr>
            </w:pPr>
            <w:r>
              <w:rPr>
                <w:rFonts w:ascii="Times New Roman" w:hAnsi="Times New Roman"/>
                <w:b/>
                <w:bCs/>
                <w:sz w:val="24"/>
                <w:szCs w:val="24"/>
              </w:rPr>
              <w:t>7.0%</w:t>
            </w:r>
          </w:p>
        </w:tc>
        <w:tc>
          <w:tcPr>
            <w:tcW w:w="1667" w:type="dxa"/>
            <w:tcBorders>
              <w:top w:val="single" w:color="auto" w:sz="4" w:space="0"/>
              <w:bottom w:val="single" w:color="auto" w:sz="4" w:space="0"/>
            </w:tcBorders>
            <w:shd w:val="clear" w:color="auto" w:fill="auto"/>
          </w:tcPr>
          <w:p w14:paraId="03762AEB">
            <w:pPr>
              <w:spacing w:line="480" w:lineRule="auto"/>
              <w:jc w:val="both"/>
              <w:rPr>
                <w:rFonts w:ascii="Times New Roman" w:hAnsi="Times New Roman"/>
                <w:sz w:val="24"/>
                <w:szCs w:val="24"/>
              </w:rPr>
            </w:pPr>
            <w:r>
              <w:rPr>
                <w:rFonts w:ascii="Times New Roman" w:hAnsi="Times New Roman"/>
                <w:sz w:val="24"/>
                <w:szCs w:val="24"/>
              </w:rPr>
              <w:t> </w:t>
            </w:r>
          </w:p>
          <w:p w14:paraId="67591D2F">
            <w:pPr>
              <w:spacing w:line="480" w:lineRule="auto"/>
              <w:jc w:val="both"/>
              <w:rPr>
                <w:rFonts w:ascii="Times New Roman" w:hAnsi="Times New Roman"/>
                <w:sz w:val="24"/>
                <w:szCs w:val="24"/>
              </w:rPr>
            </w:pPr>
            <w:r>
              <w:rPr>
                <w:rFonts w:ascii="Times New Roman" w:hAnsi="Times New Roman"/>
                <w:sz w:val="24"/>
                <w:szCs w:val="24"/>
              </w:rPr>
              <w:t>3.54</w:t>
            </w:r>
          </w:p>
        </w:tc>
      </w:tr>
      <w:tr w14:paraId="2FEFBD0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29" w:type="dxa"/>
            <w:tcBorders>
              <w:top w:val="single" w:color="auto" w:sz="4" w:space="0"/>
            </w:tcBorders>
            <w:shd w:val="clear" w:color="auto" w:fill="auto"/>
          </w:tcPr>
          <w:p w14:paraId="7C5F851A">
            <w:pPr>
              <w:spacing w:line="480" w:lineRule="auto"/>
              <w:jc w:val="both"/>
              <w:rPr>
                <w:rFonts w:ascii="Times New Roman" w:hAnsi="Times New Roman"/>
                <w:sz w:val="24"/>
                <w:szCs w:val="24"/>
              </w:rPr>
            </w:pPr>
            <w:r>
              <w:rPr>
                <w:rFonts w:ascii="Times New Roman" w:hAnsi="Times New Roman"/>
                <w:sz w:val="24"/>
                <w:szCs w:val="24"/>
              </w:rPr>
              <w:t>5</w:t>
            </w:r>
          </w:p>
        </w:tc>
        <w:tc>
          <w:tcPr>
            <w:tcW w:w="4056" w:type="dxa"/>
            <w:tcBorders>
              <w:top w:val="single" w:color="auto" w:sz="4" w:space="0"/>
            </w:tcBorders>
            <w:shd w:val="clear" w:color="auto" w:fill="auto"/>
          </w:tcPr>
          <w:p w14:paraId="77822975">
            <w:pPr>
              <w:spacing w:line="480" w:lineRule="auto"/>
              <w:jc w:val="both"/>
              <w:rPr>
                <w:rFonts w:ascii="Times New Roman" w:hAnsi="Times New Roman"/>
                <w:sz w:val="24"/>
                <w:szCs w:val="24"/>
              </w:rPr>
            </w:pPr>
            <w:r>
              <w:rPr>
                <w:rFonts w:ascii="Times New Roman" w:hAnsi="Times New Roman"/>
                <w:sz w:val="24"/>
                <w:szCs w:val="24"/>
              </w:rPr>
              <w:t>Prompt supervision by infection control committee would encourage the use infection control measures.</w:t>
            </w:r>
          </w:p>
        </w:tc>
        <w:tc>
          <w:tcPr>
            <w:tcW w:w="792" w:type="dxa"/>
            <w:tcBorders>
              <w:top w:val="single" w:color="auto" w:sz="4" w:space="0"/>
            </w:tcBorders>
            <w:shd w:val="clear" w:color="auto" w:fill="auto"/>
          </w:tcPr>
          <w:p w14:paraId="577D66D0">
            <w:pPr>
              <w:spacing w:line="480" w:lineRule="auto"/>
              <w:jc w:val="both"/>
              <w:rPr>
                <w:rFonts w:ascii="Times New Roman" w:hAnsi="Times New Roman"/>
                <w:sz w:val="24"/>
                <w:szCs w:val="24"/>
              </w:rPr>
            </w:pPr>
            <w:r>
              <w:rPr>
                <w:rFonts w:ascii="Times New Roman" w:hAnsi="Times New Roman"/>
                <w:sz w:val="24"/>
                <w:szCs w:val="24"/>
              </w:rPr>
              <w:t>30</w:t>
            </w:r>
          </w:p>
          <w:p w14:paraId="00DE1667">
            <w:pPr>
              <w:spacing w:line="480" w:lineRule="auto"/>
              <w:jc w:val="both"/>
              <w:rPr>
                <w:rFonts w:ascii="Times New Roman" w:hAnsi="Times New Roman"/>
                <w:sz w:val="24"/>
                <w:szCs w:val="24"/>
              </w:rPr>
            </w:pPr>
            <w:r>
              <w:rPr>
                <w:rFonts w:ascii="Times New Roman" w:hAnsi="Times New Roman"/>
                <w:b/>
                <w:bCs/>
                <w:sz w:val="24"/>
                <w:szCs w:val="24"/>
              </w:rPr>
              <w:t>11.7%</w:t>
            </w:r>
          </w:p>
        </w:tc>
        <w:tc>
          <w:tcPr>
            <w:tcW w:w="852" w:type="dxa"/>
            <w:tcBorders>
              <w:top w:val="single" w:color="auto" w:sz="4" w:space="0"/>
            </w:tcBorders>
            <w:shd w:val="clear" w:color="auto" w:fill="auto"/>
          </w:tcPr>
          <w:p w14:paraId="630E22EA">
            <w:pPr>
              <w:spacing w:line="480" w:lineRule="auto"/>
              <w:jc w:val="both"/>
              <w:rPr>
                <w:rFonts w:ascii="Times New Roman" w:hAnsi="Times New Roman"/>
                <w:sz w:val="24"/>
                <w:szCs w:val="24"/>
              </w:rPr>
            </w:pPr>
            <w:r>
              <w:rPr>
                <w:rFonts w:ascii="Times New Roman" w:hAnsi="Times New Roman"/>
                <w:sz w:val="24"/>
                <w:szCs w:val="24"/>
              </w:rPr>
              <w:t>40</w:t>
            </w:r>
          </w:p>
          <w:p w14:paraId="305E5F60">
            <w:pPr>
              <w:spacing w:line="480" w:lineRule="auto"/>
              <w:jc w:val="both"/>
              <w:rPr>
                <w:rFonts w:ascii="Times New Roman" w:hAnsi="Times New Roman"/>
                <w:sz w:val="24"/>
                <w:szCs w:val="24"/>
              </w:rPr>
            </w:pPr>
            <w:r>
              <w:rPr>
                <w:rFonts w:ascii="Times New Roman" w:hAnsi="Times New Roman"/>
                <w:b/>
                <w:bCs/>
                <w:sz w:val="24"/>
                <w:szCs w:val="24"/>
              </w:rPr>
              <w:t>15.6%</w:t>
            </w:r>
          </w:p>
        </w:tc>
        <w:tc>
          <w:tcPr>
            <w:tcW w:w="780" w:type="dxa"/>
            <w:tcBorders>
              <w:top w:val="single" w:color="auto" w:sz="4" w:space="0"/>
            </w:tcBorders>
            <w:shd w:val="clear" w:color="auto" w:fill="auto"/>
          </w:tcPr>
          <w:p w14:paraId="2F7DA830">
            <w:pPr>
              <w:spacing w:line="480" w:lineRule="auto"/>
              <w:jc w:val="both"/>
              <w:rPr>
                <w:rFonts w:ascii="Times New Roman" w:hAnsi="Times New Roman"/>
                <w:sz w:val="24"/>
                <w:szCs w:val="24"/>
              </w:rPr>
            </w:pPr>
            <w:r>
              <w:rPr>
                <w:rFonts w:ascii="Times New Roman" w:hAnsi="Times New Roman"/>
                <w:sz w:val="24"/>
                <w:szCs w:val="24"/>
              </w:rPr>
              <w:t>160</w:t>
            </w:r>
          </w:p>
          <w:p w14:paraId="02AA09C4">
            <w:pPr>
              <w:spacing w:line="480" w:lineRule="auto"/>
              <w:jc w:val="both"/>
              <w:rPr>
                <w:rFonts w:ascii="Times New Roman" w:hAnsi="Times New Roman"/>
                <w:sz w:val="24"/>
                <w:szCs w:val="24"/>
              </w:rPr>
            </w:pPr>
            <w:r>
              <w:rPr>
                <w:rFonts w:ascii="Times New Roman" w:hAnsi="Times New Roman"/>
                <w:b/>
                <w:bCs/>
                <w:sz w:val="24"/>
                <w:szCs w:val="24"/>
              </w:rPr>
              <w:t>62.3%</w:t>
            </w:r>
          </w:p>
        </w:tc>
        <w:tc>
          <w:tcPr>
            <w:tcW w:w="768" w:type="dxa"/>
            <w:tcBorders>
              <w:top w:val="single" w:color="auto" w:sz="4" w:space="0"/>
            </w:tcBorders>
            <w:shd w:val="clear" w:color="auto" w:fill="auto"/>
          </w:tcPr>
          <w:p w14:paraId="50454CE3">
            <w:pPr>
              <w:spacing w:line="480" w:lineRule="auto"/>
              <w:jc w:val="both"/>
              <w:rPr>
                <w:rFonts w:ascii="Times New Roman" w:hAnsi="Times New Roman"/>
                <w:sz w:val="24"/>
                <w:szCs w:val="24"/>
              </w:rPr>
            </w:pPr>
            <w:r>
              <w:rPr>
                <w:rFonts w:ascii="Times New Roman" w:hAnsi="Times New Roman"/>
                <w:sz w:val="24"/>
                <w:szCs w:val="24"/>
              </w:rPr>
              <w:t>27</w:t>
            </w:r>
          </w:p>
          <w:p w14:paraId="0DA39283">
            <w:pPr>
              <w:spacing w:line="480" w:lineRule="auto"/>
              <w:jc w:val="both"/>
              <w:rPr>
                <w:rFonts w:ascii="Times New Roman" w:hAnsi="Times New Roman"/>
                <w:sz w:val="24"/>
                <w:szCs w:val="24"/>
              </w:rPr>
            </w:pPr>
            <w:r>
              <w:rPr>
                <w:rFonts w:ascii="Times New Roman" w:hAnsi="Times New Roman"/>
                <w:b/>
                <w:bCs/>
                <w:sz w:val="24"/>
                <w:szCs w:val="24"/>
              </w:rPr>
              <w:t>10.5%</w:t>
            </w:r>
          </w:p>
        </w:tc>
        <w:tc>
          <w:tcPr>
            <w:tcW w:w="1667" w:type="dxa"/>
            <w:tcBorders>
              <w:top w:val="single" w:color="auto" w:sz="4" w:space="0"/>
            </w:tcBorders>
            <w:shd w:val="clear" w:color="auto" w:fill="auto"/>
          </w:tcPr>
          <w:p w14:paraId="5738613D">
            <w:pPr>
              <w:spacing w:line="480" w:lineRule="auto"/>
              <w:jc w:val="both"/>
              <w:rPr>
                <w:rFonts w:ascii="Times New Roman" w:hAnsi="Times New Roman"/>
                <w:sz w:val="24"/>
                <w:szCs w:val="24"/>
              </w:rPr>
            </w:pPr>
            <w:r>
              <w:rPr>
                <w:rFonts w:ascii="Times New Roman" w:hAnsi="Times New Roman"/>
                <w:sz w:val="24"/>
                <w:szCs w:val="24"/>
              </w:rPr>
              <w:t> </w:t>
            </w:r>
          </w:p>
          <w:p w14:paraId="28F73D19">
            <w:pPr>
              <w:spacing w:line="480" w:lineRule="auto"/>
              <w:jc w:val="both"/>
              <w:rPr>
                <w:rFonts w:ascii="Times New Roman" w:hAnsi="Times New Roman"/>
                <w:sz w:val="24"/>
                <w:szCs w:val="24"/>
              </w:rPr>
            </w:pPr>
            <w:r>
              <w:rPr>
                <w:rFonts w:ascii="Times New Roman" w:hAnsi="Times New Roman"/>
                <w:sz w:val="24"/>
                <w:szCs w:val="24"/>
              </w:rPr>
              <w:t>2.28</w:t>
            </w:r>
          </w:p>
        </w:tc>
      </w:tr>
      <w:tr w14:paraId="745E0F1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29" w:type="dxa"/>
            <w:tcBorders>
              <w:bottom w:val="single" w:color="auto" w:sz="4" w:space="0"/>
            </w:tcBorders>
            <w:shd w:val="clear" w:color="auto" w:fill="auto"/>
          </w:tcPr>
          <w:p w14:paraId="1B3474D1">
            <w:pPr>
              <w:spacing w:line="480" w:lineRule="auto"/>
              <w:jc w:val="both"/>
              <w:rPr>
                <w:rFonts w:ascii="Times New Roman" w:hAnsi="Times New Roman"/>
                <w:sz w:val="24"/>
                <w:szCs w:val="24"/>
              </w:rPr>
            </w:pPr>
            <w:r>
              <w:rPr>
                <w:rFonts w:ascii="Times New Roman" w:hAnsi="Times New Roman"/>
                <w:sz w:val="24"/>
                <w:szCs w:val="24"/>
              </w:rPr>
              <w:t>6</w:t>
            </w:r>
          </w:p>
        </w:tc>
        <w:tc>
          <w:tcPr>
            <w:tcW w:w="4056" w:type="dxa"/>
            <w:tcBorders>
              <w:bottom w:val="single" w:color="auto" w:sz="4" w:space="0"/>
            </w:tcBorders>
            <w:shd w:val="clear" w:color="auto" w:fill="auto"/>
          </w:tcPr>
          <w:p w14:paraId="46722847">
            <w:pPr>
              <w:spacing w:line="480" w:lineRule="auto"/>
              <w:jc w:val="both"/>
              <w:rPr>
                <w:rFonts w:ascii="Times New Roman" w:hAnsi="Times New Roman"/>
                <w:sz w:val="24"/>
                <w:szCs w:val="24"/>
              </w:rPr>
            </w:pPr>
            <w:r>
              <w:rPr>
                <w:rFonts w:ascii="Times New Roman" w:hAnsi="Times New Roman"/>
                <w:sz w:val="24"/>
                <w:szCs w:val="24"/>
              </w:rPr>
              <w:t>Attitude of nurses towards infection prevention and control</w:t>
            </w:r>
          </w:p>
        </w:tc>
        <w:tc>
          <w:tcPr>
            <w:tcW w:w="792" w:type="dxa"/>
            <w:tcBorders>
              <w:bottom w:val="single" w:color="auto" w:sz="4" w:space="0"/>
            </w:tcBorders>
            <w:shd w:val="clear" w:color="auto" w:fill="auto"/>
          </w:tcPr>
          <w:p w14:paraId="24800808">
            <w:pPr>
              <w:spacing w:line="480" w:lineRule="auto"/>
              <w:jc w:val="both"/>
              <w:rPr>
                <w:rFonts w:ascii="Times New Roman" w:hAnsi="Times New Roman"/>
                <w:sz w:val="24"/>
                <w:szCs w:val="24"/>
              </w:rPr>
            </w:pPr>
            <w:r>
              <w:rPr>
                <w:rFonts w:ascii="Times New Roman" w:hAnsi="Times New Roman"/>
                <w:sz w:val="24"/>
                <w:szCs w:val="24"/>
              </w:rPr>
              <w:t>190</w:t>
            </w:r>
          </w:p>
          <w:p w14:paraId="5EC0E562">
            <w:pPr>
              <w:spacing w:line="480" w:lineRule="auto"/>
              <w:jc w:val="both"/>
              <w:rPr>
                <w:rFonts w:ascii="Times New Roman" w:hAnsi="Times New Roman"/>
                <w:sz w:val="24"/>
                <w:szCs w:val="24"/>
              </w:rPr>
            </w:pPr>
            <w:r>
              <w:rPr>
                <w:rFonts w:ascii="Times New Roman" w:hAnsi="Times New Roman"/>
                <w:b/>
                <w:bCs/>
                <w:sz w:val="24"/>
                <w:szCs w:val="24"/>
              </w:rPr>
              <w:t>73.9%</w:t>
            </w:r>
          </w:p>
        </w:tc>
        <w:tc>
          <w:tcPr>
            <w:tcW w:w="852" w:type="dxa"/>
            <w:tcBorders>
              <w:bottom w:val="single" w:color="auto" w:sz="4" w:space="0"/>
            </w:tcBorders>
            <w:shd w:val="clear" w:color="auto" w:fill="auto"/>
          </w:tcPr>
          <w:p w14:paraId="292CCF92">
            <w:pPr>
              <w:spacing w:line="480" w:lineRule="auto"/>
              <w:jc w:val="both"/>
              <w:rPr>
                <w:rFonts w:ascii="Times New Roman" w:hAnsi="Times New Roman"/>
                <w:sz w:val="24"/>
                <w:szCs w:val="24"/>
              </w:rPr>
            </w:pPr>
            <w:r>
              <w:rPr>
                <w:rFonts w:ascii="Times New Roman" w:hAnsi="Times New Roman"/>
                <w:sz w:val="24"/>
                <w:szCs w:val="24"/>
              </w:rPr>
              <w:t>50</w:t>
            </w:r>
          </w:p>
          <w:p w14:paraId="3723EE41">
            <w:pPr>
              <w:spacing w:line="480" w:lineRule="auto"/>
              <w:jc w:val="both"/>
              <w:rPr>
                <w:rFonts w:ascii="Times New Roman" w:hAnsi="Times New Roman"/>
                <w:sz w:val="24"/>
                <w:szCs w:val="24"/>
              </w:rPr>
            </w:pPr>
            <w:r>
              <w:rPr>
                <w:rFonts w:ascii="Times New Roman" w:hAnsi="Times New Roman"/>
                <w:b/>
                <w:bCs/>
                <w:sz w:val="24"/>
                <w:szCs w:val="24"/>
              </w:rPr>
              <w:t>19.5%</w:t>
            </w:r>
          </w:p>
        </w:tc>
        <w:tc>
          <w:tcPr>
            <w:tcW w:w="780" w:type="dxa"/>
            <w:tcBorders>
              <w:bottom w:val="single" w:color="auto" w:sz="4" w:space="0"/>
            </w:tcBorders>
            <w:shd w:val="clear" w:color="auto" w:fill="auto"/>
          </w:tcPr>
          <w:p w14:paraId="787801C3">
            <w:pPr>
              <w:spacing w:line="480" w:lineRule="auto"/>
              <w:jc w:val="both"/>
              <w:rPr>
                <w:rFonts w:ascii="Times New Roman" w:hAnsi="Times New Roman"/>
                <w:sz w:val="24"/>
                <w:szCs w:val="24"/>
              </w:rPr>
            </w:pPr>
            <w:r>
              <w:rPr>
                <w:rFonts w:ascii="Times New Roman" w:hAnsi="Times New Roman"/>
                <w:sz w:val="24"/>
                <w:szCs w:val="24"/>
              </w:rPr>
              <w:t>10</w:t>
            </w:r>
          </w:p>
          <w:p w14:paraId="2EE880FD">
            <w:pPr>
              <w:spacing w:line="480" w:lineRule="auto"/>
              <w:jc w:val="both"/>
              <w:rPr>
                <w:rFonts w:ascii="Times New Roman" w:hAnsi="Times New Roman"/>
                <w:sz w:val="24"/>
                <w:szCs w:val="24"/>
              </w:rPr>
            </w:pPr>
            <w:r>
              <w:rPr>
                <w:rFonts w:ascii="Times New Roman" w:hAnsi="Times New Roman"/>
                <w:b/>
                <w:bCs/>
                <w:sz w:val="24"/>
                <w:szCs w:val="24"/>
              </w:rPr>
              <w:t>3.9%</w:t>
            </w:r>
          </w:p>
        </w:tc>
        <w:tc>
          <w:tcPr>
            <w:tcW w:w="768" w:type="dxa"/>
            <w:tcBorders>
              <w:bottom w:val="single" w:color="auto" w:sz="4" w:space="0"/>
            </w:tcBorders>
            <w:shd w:val="clear" w:color="auto" w:fill="auto"/>
          </w:tcPr>
          <w:p w14:paraId="28A93A29">
            <w:pPr>
              <w:spacing w:line="480" w:lineRule="auto"/>
              <w:jc w:val="both"/>
              <w:rPr>
                <w:rFonts w:ascii="Times New Roman" w:hAnsi="Times New Roman"/>
                <w:sz w:val="24"/>
                <w:szCs w:val="24"/>
              </w:rPr>
            </w:pPr>
            <w:r>
              <w:rPr>
                <w:rFonts w:ascii="Times New Roman" w:hAnsi="Times New Roman"/>
                <w:sz w:val="24"/>
                <w:szCs w:val="24"/>
              </w:rPr>
              <w:t>7</w:t>
            </w:r>
          </w:p>
          <w:p w14:paraId="7F28FEF9">
            <w:pPr>
              <w:spacing w:line="480" w:lineRule="auto"/>
              <w:jc w:val="both"/>
              <w:rPr>
                <w:rFonts w:ascii="Times New Roman" w:hAnsi="Times New Roman"/>
                <w:sz w:val="24"/>
                <w:szCs w:val="24"/>
              </w:rPr>
            </w:pPr>
            <w:r>
              <w:rPr>
                <w:rFonts w:ascii="Times New Roman" w:hAnsi="Times New Roman"/>
                <w:b/>
                <w:bCs/>
                <w:sz w:val="24"/>
                <w:szCs w:val="24"/>
              </w:rPr>
              <w:t>2.7%</w:t>
            </w:r>
          </w:p>
        </w:tc>
        <w:tc>
          <w:tcPr>
            <w:tcW w:w="1667" w:type="dxa"/>
            <w:tcBorders>
              <w:bottom w:val="single" w:color="auto" w:sz="4" w:space="0"/>
            </w:tcBorders>
            <w:shd w:val="clear" w:color="auto" w:fill="auto"/>
          </w:tcPr>
          <w:p w14:paraId="62CA8C9E">
            <w:pPr>
              <w:spacing w:line="480" w:lineRule="auto"/>
              <w:jc w:val="both"/>
              <w:rPr>
                <w:rFonts w:ascii="Times New Roman" w:hAnsi="Times New Roman"/>
                <w:sz w:val="24"/>
                <w:szCs w:val="24"/>
              </w:rPr>
            </w:pPr>
            <w:r>
              <w:rPr>
                <w:rFonts w:ascii="Times New Roman" w:hAnsi="Times New Roman"/>
                <w:sz w:val="24"/>
                <w:szCs w:val="24"/>
              </w:rPr>
              <w:t> </w:t>
            </w:r>
          </w:p>
          <w:p w14:paraId="0F817479">
            <w:pPr>
              <w:spacing w:line="480" w:lineRule="auto"/>
              <w:jc w:val="both"/>
              <w:rPr>
                <w:rFonts w:ascii="Times New Roman" w:hAnsi="Times New Roman"/>
                <w:sz w:val="24"/>
                <w:szCs w:val="24"/>
              </w:rPr>
            </w:pPr>
            <w:r>
              <w:rPr>
                <w:rFonts w:ascii="Times New Roman" w:hAnsi="Times New Roman"/>
                <w:sz w:val="24"/>
                <w:szCs w:val="24"/>
              </w:rPr>
              <w:t>3.65</w:t>
            </w:r>
          </w:p>
        </w:tc>
      </w:tr>
    </w:tbl>
    <w:p w14:paraId="5775A39F">
      <w:pPr>
        <w:spacing w:line="480" w:lineRule="auto"/>
        <w:jc w:val="both"/>
        <w:rPr>
          <w:rFonts w:ascii="Times New Roman" w:hAnsi="Times New Roman"/>
          <w:color w:val="000000"/>
          <w:sz w:val="24"/>
          <w:szCs w:val="24"/>
        </w:rPr>
      </w:pPr>
      <w:r>
        <w:rPr>
          <w:rFonts w:ascii="Times New Roman" w:hAnsi="Times New Roman"/>
          <w:color w:val="000000"/>
          <w:sz w:val="24"/>
          <w:szCs w:val="24"/>
          <w:lang w:val="en-US"/>
        </w:rPr>
        <w:t>SA- strongly agree, A-agree, D- disagree, SD-strongly disagree</w:t>
      </w:r>
    </w:p>
    <w:p w14:paraId="5712E280">
      <w:pPr>
        <w:spacing w:line="480" w:lineRule="auto"/>
        <w:jc w:val="both"/>
        <w:rPr>
          <w:rFonts w:ascii="Times New Roman" w:hAnsi="Times New Roman"/>
          <w:sz w:val="24"/>
          <w:szCs w:val="24"/>
        </w:rPr>
      </w:pPr>
      <w:r>
        <w:rPr>
          <w:rFonts w:ascii="Times New Roman" w:hAnsi="Times New Roman"/>
          <w:b/>
          <w:bCs/>
          <w:sz w:val="24"/>
          <w:szCs w:val="24"/>
        </w:rPr>
        <w:t>Discussion</w:t>
      </w:r>
    </w:p>
    <w:p w14:paraId="0A883D3E">
      <w:pPr>
        <w:spacing w:line="480" w:lineRule="auto"/>
        <w:jc w:val="both"/>
        <w:rPr>
          <w:rFonts w:ascii="Times New Roman" w:hAnsi="Times New Roman"/>
          <w:sz w:val="24"/>
          <w:szCs w:val="24"/>
        </w:rPr>
      </w:pPr>
      <w:r>
        <w:rPr>
          <w:rFonts w:ascii="Times New Roman" w:hAnsi="Times New Roman"/>
          <w:sz w:val="24"/>
          <w:szCs w:val="24"/>
        </w:rPr>
        <w:t>The demographic data of this study revealed a diverse age distribution among the respondents, with 10.5% aged between 21 and 25 years, 19.5% between 26 and 30 years, 22.5% between 31 and 35 years, and 7.8% aged 51 years and above. This wide age range suggests that the findings reflect perspectives from both early-career and more experienced nurses. In terms of academic qualifications, 10.5% held Registered Nurse (RN) qualifications, 19.5% were both RNs and Registered Midwives (RMs), 38.9% had a Bachelor of Nursing Science (BNSc), 27.2% held a Master of Nursing Science (MNSc), and 3.9% had a Doctor of Philosophy (PhD). The high proportion of respondents with a BNSc or higher degree suggests a relatively well-educated sample, which may have positively influenced both knowledge and compliance levels. Marital status data showed that 30% of respondents were single, 58.4% married, 7.8% divorced, and 3.9% widowed. Regarding years of professional practice, 19.5% had 1–5 years, 38.9% had 6–10 years, 27.2% had 11–15 years, 10.5% had 16–20 years, and 3.9% had more than 20 years of experience.</w:t>
      </w:r>
    </w:p>
    <w:p w14:paraId="27A226DA">
      <w:pPr>
        <w:spacing w:line="480" w:lineRule="auto"/>
        <w:jc w:val="both"/>
        <w:rPr>
          <w:rFonts w:ascii="Times New Roman" w:hAnsi="Times New Roman"/>
          <w:sz w:val="24"/>
          <w:szCs w:val="24"/>
        </w:rPr>
      </w:pPr>
      <w:r>
        <w:rPr>
          <w:rFonts w:ascii="Times New Roman" w:hAnsi="Times New Roman"/>
          <w:sz w:val="24"/>
          <w:szCs w:val="24"/>
        </w:rPr>
        <w:t>The study revealed that 74.3% of respondents exhibited correct knowledge of universal standard precautions, reflecting a moderate level of awareness. This finding aligns with previous studies by Abdulraheem</w:t>
      </w:r>
      <w:r>
        <w:rPr>
          <w:rFonts w:ascii="Times New Roman" w:hAnsi="Times New Roman"/>
          <w:sz w:val="24"/>
          <w:szCs w:val="24"/>
          <w:lang w:val="en-US"/>
        </w:rPr>
        <w:t xml:space="preserve"> et al.</w:t>
      </w:r>
      <w:r>
        <w:rPr>
          <w:rFonts w:ascii="Times New Roman" w:hAnsi="Times New Roman"/>
          <w:sz w:val="24"/>
          <w:szCs w:val="24"/>
        </w:rPr>
        <w:t xml:space="preserve"> and Ogbonda</w:t>
      </w:r>
      <w:r>
        <w:rPr>
          <w:rFonts w:ascii="Times New Roman" w:hAnsi="Times New Roman"/>
          <w:sz w:val="24"/>
          <w:szCs w:val="24"/>
          <w:lang w:val="en-US"/>
        </w:rPr>
        <w:t xml:space="preserve"> et al.</w:t>
      </w:r>
      <w:r>
        <w:rPr>
          <w:rFonts w:ascii="Times New Roman" w:hAnsi="Times New Roman"/>
          <w:sz w:val="24"/>
          <w:szCs w:val="24"/>
        </w:rPr>
        <w:t xml:space="preserve"> which reported fair and adequate knowledge among healthcare workers, respectively</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{"citationID":"J8Pryifa","properties":{"formattedCitation":"\\super 13,14\\nosupersub{}","plainCitation":"13,14","noteIndex":0},"citationItems":[{"id":406,"uris":["http://zotero.org/users/local/j2qthHfY/items/RMEIH55J"],"itemData":{"id":406,"type":"article-journal","container-title":"Journal of Community Medicine &amp; Health Education","DOI":"10.4172/2161-0711.1000131","ISSN":"21610711","issue":"03","journalAbbreviation":"J Community Med Health Edu","source":"DOI.org (Crossref)","title":"Knowledge, Awareness and Compliance with Standard Precautions among Health Workers in North Eastearn Nigeria","URL":"https://www.omicsonline.org/knowledge-awareness-and-compliance-with-standard-precautions-among-health-workers-in-north-eastearn-nigeria-2161-0711.1000131.php?aid=5305","volume":"02","author":[{"literal":"Abdulraheem et al."}],"accessed":{"date-parts":[["2025",5,14]]},"issued":{"date-parts":[["2012"]]}}},{"id":407,"uris":["http://zotero.org/users/local/j2qthHfY/items/2I4BLBI6"],"itemData":{"id":407,"type":"article-journal","abstract":"Background: Standard precautions (SPs) in the hospital are very important in the reduction of health care workers’ exposure to occupational health hazards but most hospitals are used to reactive rather than proactive safety practices. The effect of reactive safety practices is overwhelming to health care workers, hospitals and the society. Thus, this study assessed health care workers’ knowledge and compliance with standard precautions.\r\nMaterials and Methods: Descriptive cross-sectional design and proportionate stratified random sampling method was adopted and a sample size of 391was selected using Taro-Yamane formula. The study relied on a structured questionnaire to elicit information from respondents and a reliability of 0.87 was obtained. Descriptive and inferential statistics were used with the aid of statistical package for social science (SPSS) software version 21.\r\nResults: Healthcare workers’ (HCWs) have fair knowledge of SPs and poor compliance with SPs. Also, there is significant association between HCWs’ knowledge of SPs and gender, marital status, years of experience and job category in the hospitals (p &lt; 0.05). Consequently, there is significant association between compliance with SPs and gender, years of experience and job categories in the hospitals (p &lt; 0.05).\r\nConclusion: There is great need for strong advocacy on knowledge of SPs and compliance with SPs in the hospitals to curb increasing occupational health hazards. The Nigeria government and hospital managements should develop an all-encompassing integrated SPs policies, strategies and procedures consistent with global best practices.","container-title":"Asian Journal of Medicine and Health","DOI":"10.9734/ajmah/2020/v18i230181","ISSN":"2456-8414","journalAbbreviation":"AJMAH","page":"11-22","source":"DOI.org (Crossref)","title":"Knowledge and Compliance with Standard Precautions amongst Healthcare Workers in Selected Hospitals in Rivers State, Nigeria","URL":"https://journalajmah.com/index.php/AJMAH/article/view/397","author":[{"family":"Ogbonda","given":"P. N."},{"family":"Douglas","given":"K."},{"family":"Moore","given":"B. M."}],"accessed":{"date-parts":[["2025",5,14]]},"issued":{"date-parts":[["2020",3,25]]}}}],"schema":"https://github.com/citation-style-language/schema/raw/master/csl-citation.json"}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13,14</w:t>
      </w:r>
      <w:r>
        <w:rPr>
          <w:rFonts w:ascii="Times New Roman" w:hAnsi="Times New Roman"/>
          <w:sz w:val="24"/>
          <w:szCs w:val="24"/>
        </w:rPr>
        <w:fldChar w:fldCharType="end"/>
      </w:r>
      <w:r>
        <w:rPr>
          <w:rFonts w:ascii="Times New Roman" w:hAnsi="Times New Roman"/>
          <w:sz w:val="24"/>
          <w:szCs w:val="24"/>
        </w:rPr>
        <w:t xml:space="preserve"> The similarity may stem from comparable professional training, continuing education, or similar healthcare settings where infection control training is emphasized. However, the findings contradict those of a study conducted in Dar es Salaam, which reported poor knowledge among nurses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{"citationID":"bWCwVn96","properties":{"formattedCitation":"\\super 15\\nosupersub{}","plainCitation":"15","noteIndex":0},"citationItems":[{"id":408,"uris":["http://zotero.org/users/local/j2qthHfY/items/TWIUEQBZ"],"itemData":{"id":408,"type":"article-journal","container-title":"Saudi Journal of Nursing and Health Care","DOI":"10.36348/sjnhc.2020.v03i03.003","ISSN":"26167921, 26166186","issue":"03","journalAbbreviation":"SJNHC","page":"106-113","source":"DOI.org (Crossref)","title":"Adherence to Universal Precautions and Associated Factors among Nurses Caring For Critically Ill Patients in Dar es Salaam Tanzania","URL":"https://saudijournals.com/media/articles/SJNHC_33_106-113.pdf","volume":"03","author":[{"family":"Wibonela","given":"Salma A"},{"family":"Mbekenga","given":"Columba"},{"family":"Ramadhani","given":"Fatina B"},{"family":"Mwanga","given":"Ally"},{"family":"Pallangyo","given":"Pedro"}],"accessed":{"date-parts":[["2025",5,14]]},"issued":{"date-parts":[["2020",3,25]]}}}],"schema":"https://github.com/citation-style-language/schema/raw/master/csl-citation.json"}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15</w:t>
      </w:r>
      <w:r>
        <w:rPr>
          <w:rFonts w:ascii="Times New Roman" w:hAnsi="Times New Roman"/>
          <w:sz w:val="24"/>
          <w:szCs w:val="24"/>
        </w:rPr>
        <w:fldChar w:fldCharType="end"/>
      </w:r>
      <w:r>
        <w:rPr>
          <w:rFonts w:ascii="Times New Roman" w:hAnsi="Times New Roman"/>
          <w:sz w:val="24"/>
          <w:szCs w:val="24"/>
        </w:rPr>
        <w:t>. This discrepancy may be due to differences in institutional training programs, frequency and quality of in-service training, or resource availability across the studied settings. Additionally, the lower knowledge levels observed in the Dar es Salaam study may reflect systemic issues such as insufficient policy enforcement or limited access to updated guidelines.</w:t>
      </w:r>
    </w:p>
    <w:p w14:paraId="12B93CEF">
      <w:pPr>
        <w:spacing w:line="480" w:lineRule="auto"/>
        <w:jc w:val="both"/>
        <w:rPr>
          <w:rFonts w:ascii="Times New Roman" w:hAnsi="Times New Roman"/>
          <w:sz w:val="24"/>
          <w:szCs w:val="24"/>
        </w:rPr>
      </w:pPr>
      <w:r>
        <w:rPr>
          <w:rFonts w:ascii="Times New Roman" w:hAnsi="Times New Roman"/>
          <w:sz w:val="24"/>
          <w:szCs w:val="24"/>
        </w:rPr>
        <w:t>Regarding compliance, the respondents in this study demonstrated good adherence to universal standard precautions. This is encouraging, considering that high compliance rates are critical in preventing healthcare-associated infections. However, this finding is at odds with the Dar es Salaam study, which reported poor compliance</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{"citationID":"vm4K8laZ","properties":{"formattedCitation":"\\super 15\\nosupersub{}","plainCitation":"15","noteIndex":0},"citationItems":[{"id":408,"uris":["http://zotero.org/users/local/j2qthHfY/items/TWIUEQBZ"],"itemData":{"id":408,"type":"article-journal","container-title":"Saudi Journal of Nursing and Health Care","DOI":"10.36348/sjnhc.2020.v03i03.003","ISSN":"26167921, 26166186","issue":"03","journalAbbreviation":"SJNHC","page":"106-113","source":"DOI.org (Crossref)","title":"Adherence to Universal Precautions and Associated Factors among Nurses Caring For Critically Ill Patients in Dar es Salaam Tanzania","URL":"https://saudijournals.com/media/articles/SJNHC_33_106-113.pdf","volume":"03","author":[{"family":"Wibonela","given":"Salma A"},{"family":"Mbekenga","given":"Columba"},{"family":"Ramadhani","given":"Fatina B"},{"family":"Mwanga","given":"Ally"},{"family":"Pallangyo","given":"Pedro"}],"accessed":{"date-parts":[["2025",5,14]]},"issued":{"date-parts":[["2020",3,25]]}}}],"schema":"https://github.com/citation-style-language/schema/raw/master/csl-citation.json"}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15</w:t>
      </w:r>
      <w:r>
        <w:rPr>
          <w:rFonts w:ascii="Times New Roman" w:hAnsi="Times New Roman"/>
          <w:sz w:val="24"/>
          <w:szCs w:val="24"/>
        </w:rPr>
        <w:fldChar w:fldCharType="end"/>
      </w:r>
      <w:r>
        <w:rPr>
          <w:rFonts w:ascii="Times New Roman" w:hAnsi="Times New Roman"/>
          <w:sz w:val="24"/>
          <w:szCs w:val="24"/>
        </w:rPr>
        <w:t>. Possible reasons for this divergence could include differences in healthcare infrastructure, organizational support, availability of PPE, and monitoring mechanisms. It is also possible that cultural or motivational differences, or variations in patient load and staffing ratios, affected compliance differently across the two contexts.</w:t>
      </w:r>
    </w:p>
    <w:p w14:paraId="67635817">
      <w:pPr>
        <w:spacing w:line="480" w:lineRule="auto"/>
        <w:jc w:val="both"/>
        <w:rPr>
          <w:rFonts w:hint="default" w:ascii="Times New Roman" w:hAnsi="Times New Roman"/>
          <w:sz w:val="24"/>
          <w:szCs w:val="24"/>
          <w:lang w:val="en-US"/>
        </w:rPr>
      </w:pPr>
      <w:r>
        <w:rPr>
          <w:rFonts w:ascii="Times New Roman" w:hAnsi="Times New Roman"/>
          <w:sz w:val="24"/>
          <w:szCs w:val="24"/>
        </w:rPr>
        <w:t>Several factors influencing compliance with universal standard precautions were identified in this study. These included the unavailability of personal protective equipment (PPE), hospital policiesand nurses' attitudes. This is consistent with Zeb's findings, which revealed that inadequate resources, excessive workload, and the absence of clear infection control policies were major barriers to compliance</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{"citationID":"J5ISypDv","properties":{"formattedCitation":"\\super 20\\nosupersub{}","plainCitation":"20","noteIndex":0},"citationItems":[{"id":410,"uris":["http://zotero.org/users/local/j2qthHfY/items/IUJJ693P"],"itemData":{"id":410,"type":"article-journal","container-title":"American Journal of Biomedical Science &amp; Research","DOI":"10.34297/AJBSR.2019.04.000840","ISSN":"26421747","issue":"5","journalAbbreviation":"AJBSR","page":"384-389","source":"DOI.org (Crossref)","title":"Factors Affecting Nurses’ Compliance to Standard Precautions in Resource Scarce Settings","URL":"https://biomedgrid.com/fulltext/volume4/factors-affecting-nurses-compliance-to-standard-precautions-in-resource-scarce-settings.000840.php","volume":"4","author":[{"family":"Zeb","given":"Aurang"}],"accessed":{"date-parts":[["2025",5,14]]},"issued":{"date-parts":[["2019",8,22]]}}}],"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20</w:t>
      </w:r>
      <w:r>
        <w:rPr>
          <w:rFonts w:ascii="Times New Roman" w:hAnsi="Times New Roman"/>
          <w:sz w:val="24"/>
          <w:szCs w:val="24"/>
        </w:rPr>
        <w:fldChar w:fldCharType="end"/>
      </w:r>
      <w:r>
        <w:rPr>
          <w:rFonts w:ascii="Times New Roman" w:hAnsi="Times New Roman"/>
          <w:sz w:val="24"/>
          <w:szCs w:val="24"/>
        </w:rPr>
        <w:t>. Similarly, Esu</w:t>
      </w:r>
      <w:r>
        <w:rPr>
          <w:rFonts w:ascii="Times New Roman" w:hAnsi="Times New Roman"/>
          <w:sz w:val="24"/>
          <w:szCs w:val="24"/>
          <w:lang w:val="en-US"/>
        </w:rPr>
        <w:t xml:space="preserve"> et al.</w:t>
      </w:r>
      <w:r>
        <w:rPr>
          <w:rFonts w:ascii="Times New Roman" w:hAnsi="Times New Roman"/>
          <w:sz w:val="24"/>
          <w:szCs w:val="24"/>
        </w:rPr>
        <w:t xml:space="preserve"> noted that the type of healthcare facility and years of professional experience significantly influenced nurses' adherence to standard precautions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{"citationID":"TTKPcXoE","properties":{"formattedCitation":"\\super 21\\nosupersub{}","plainCitation":"21","noteIndex":0},"citationItems":[{"id":412,"uris":["http://zotero.org/users/local/j2qthHfY/items/DCJRZ9FU"],"itemData":{"id":412,"type":"article-journal","abstract":"Background: Health care workers are at risk of various occupational hazards such as blood borne and other pathogens infections in the hospital in the course of carrying out their duties. This study aims to assess the factors affecting compliance with standard precautions (SP)s among Health care workers in primary, secondary and tertiary hospitals in Nigeria\r\nMethods: A cross-sectional survey of 332 health care workers involved in clinical practices from 19 Government health facilities in North central Nigeria. A multi-staged sampling technique was used and data collected using a semi-structured self-administered questionnaire and analysed using Epi-info 7 and associations tested using chi square test and logistic regression. Level of significance was set at 5%.\r\nResults: Of 332 participants interviewed, knowledge was above average in 274 (82.6%) of the respondents out of which 141 (42.5%) had good knowledge and 133 (40.1%) had fair knowledge. Majority of the respondents (76.2%) were compliant with SPs. Factors significantly affecting health care worker’s compliance type of health facility (p=0.022) and years of practice (p=0.044).\r\nConclusion: Health care workers in primary health facilities were less likely to be compliant with standard precautions than those in tertiary health facilities. Training on infection prevention and control, was recommended.","container-title":"International Journal of TROPICAL DISEASE &amp; Health","DOI":"10.9734/ijtdh/2019/v36i230141","ISSN":"2278-1005","journalAbbreviation":"IJTDH","page":"1-11","source":"DOI.org (Crossref)","title":"Factors Affecting Compliance with Standard Precautions among Healthcare Workers in Public Hospitals Abuja, Nigeria","URL":"https://journalijtdh.com/index.php/IJTDH/article/view/811","author":[{"family":"Esu","given":"Irene"},{"family":"Okeke","given":"Chinyere"},{"family":"Gobir","given":"A."}],"accessed":{"date-parts":[["2025",5,14]]},"issued":{"date-parts":[["2019",5,28]]}}}],"schema":"https://github.com/citation-style-language/schema/raw/master/csl-citation.json"} </w:instrText>
      </w:r>
      <w:r>
        <w:rPr>
          <w:rFonts w:ascii="Times New Roman" w:hAnsi="Times New Roman"/>
          <w:sz w:val="24"/>
          <w:szCs w:val="24"/>
        </w:rPr>
        <w:fldChar w:fldCharType="separate"/>
      </w:r>
      <w:r>
        <w:rPr>
          <w:rFonts w:hint="default" w:ascii="Times New Roman" w:hAnsi="Times New Roman" w:cs="Times New Roman"/>
          <w:sz w:val="24"/>
          <w:szCs w:val="24"/>
          <w:vertAlign w:val="superscript"/>
        </w:rPr>
        <w:t>21</w:t>
      </w:r>
      <w:r>
        <w:rPr>
          <w:rFonts w:ascii="Times New Roman" w:hAnsi="Times New Roman"/>
          <w:sz w:val="24"/>
          <w:szCs w:val="24"/>
        </w:rPr>
        <w:fldChar w:fldCharType="end"/>
      </w:r>
      <w:r>
        <w:rPr>
          <w:rFonts w:ascii="Times New Roman" w:hAnsi="Times New Roman"/>
          <w:sz w:val="24"/>
          <w:szCs w:val="24"/>
        </w:rPr>
        <w:t>. These parallels suggest that while knowledge is important, structural and institutional factors play a critical role in shaping compliance behavior. For instance, even well-informed nurses may be unable to comply with standard precautions if PPE is not consistently available or if management does not prioritize infection prevention practices. Moreover, attitudes shaped by experience and professional culture can significantly influence whether nurses internalize and practice these precautions consistently.</w:t>
      </w:r>
      <w:r>
        <w:rPr>
          <w:rFonts w:hint="default" w:ascii="Times New Roman" w:hAnsi="Times New Roman"/>
          <w:sz w:val="24"/>
          <w:szCs w:val="24"/>
          <w:lang w:val="en-US"/>
        </w:rPr>
        <w:t xml:space="preserve"> Preventive behaviours toward infectious diseases are often influenced by level of knowledge, not only in healthcare settings but also within communities. The observed moderate knowledge and good compliance with universal standard precautions among the nurses in this study suggest that knowledge alone may not ensure appropriate infection prevention behaviours, whether in clinical or community settings, and additional factors such as resource availability, institutional policies and personal attitudes play critical role in shaping compliance as similarly reported in a study conducted to assess preventive practices of mothers towards Lassa fever.</w:t>
      </w:r>
      <w:r>
        <w:rPr>
          <w:rFonts w:hint="default" w:ascii="Times New Roman" w:hAnsi="Times New Roman"/>
          <w:sz w:val="24"/>
          <w:szCs w:val="24"/>
          <w:lang w:val="en-US"/>
        </w:rPr>
        <w:fldChar w:fldCharType="begin"/>
      </w:r>
      <w:r>
        <w:rPr>
          <w:rFonts w:hint="default" w:ascii="Times New Roman" w:hAnsi="Times New Roman"/>
          <w:sz w:val="24"/>
          <w:szCs w:val="24"/>
          <w:lang w:val="en-US"/>
        </w:rPr>
        <w:instrText xml:space="preserve"> ADDIN ZOTERO_ITEM CSL_CITATION {"citationID":"Cw4f7KN7","properties":{"formattedCitation":"\\super 22\\nosupersub{}","plainCitation":"22","noteIndex":0},"citationItems":[{"id":484,"uris":["http://zotero.org/users/local/j2qthHfY/items/XLM8DFC3"],"itemData":{"id":484,"type":"article-journal","container-title":"BMC Public Health","DOI":"10.1186/s12889-025-22057-z","ISSN":"1471-2458","issue":"1","journalAbbreviation":"BMC Public Health","language":"en","page":"837","source":"DOI.org (Crossref)","title":"Knowledge, perception and preventive practices of Lassa fever among mothers of under-five children in an endemic community in Edo State, Nigeria","URL":"https://bmcpublichealth.biomedcentral.com/articles/10.1186/s12889-025-22057-z","volume":"25","author":[{"family":"Saka","given":"Sulymon A."},{"family":"Ojo","given":"Dele O."},{"family":"Mezu","given":"Nneoma M."},{"family":"Uzuegbu","given":"Christian O."},{"family":"Ighodaro","given":"Osazuwa"},{"family":"Illoh","given":"Oluchi O."},{"family":"Emekolom","given":"Obiajulum N."},{"family":"Akpa","given":"Offiong A."},{"family":"Obiora","given":"Ezinne A."},{"family":"Muogbo","given":"Amara P."}],"accessed":{"date-parts":[["2025",6,26]]},"issued":{"date-parts":[["2025",3,3]]}}}],"schema":"https://github.com/citation-style-language/schema/raw/master/csl-citation.json"} </w:instrText>
      </w:r>
      <w:r>
        <w:rPr>
          <w:rFonts w:hint="default" w:ascii="Times New Roman" w:hAnsi="Times New Roman"/>
          <w:sz w:val="24"/>
          <w:szCs w:val="24"/>
          <w:lang w:val="en-US"/>
        </w:rPr>
        <w:fldChar w:fldCharType="separate"/>
      </w:r>
      <w:r>
        <w:rPr>
          <w:rFonts w:hint="default" w:ascii="Times New Roman" w:hAnsi="Times New Roman" w:cs="Times New Roman"/>
          <w:sz w:val="24"/>
          <w:szCs w:val="24"/>
          <w:vertAlign w:val="superscript"/>
        </w:rPr>
        <w:t>22</w:t>
      </w:r>
      <w:r>
        <w:rPr>
          <w:rFonts w:hint="default" w:ascii="Times New Roman" w:hAnsi="Times New Roman"/>
          <w:sz w:val="24"/>
          <w:szCs w:val="24"/>
          <w:lang w:val="en-US"/>
        </w:rPr>
        <w:fldChar w:fldCharType="end"/>
      </w:r>
    </w:p>
    <w:p w14:paraId="69375E31">
      <w:pPr>
        <w:spacing w:line="480" w:lineRule="auto"/>
        <w:jc w:val="both"/>
        <w:rPr>
          <w:rFonts w:ascii="Times New Roman" w:hAnsi="Times New Roman"/>
          <w:sz w:val="24"/>
          <w:szCs w:val="24"/>
        </w:rPr>
      </w:pPr>
      <w:r>
        <w:rPr>
          <w:rFonts w:ascii="Times New Roman" w:hAnsi="Times New Roman"/>
          <w:b/>
          <w:bCs/>
          <w:sz w:val="24"/>
          <w:szCs w:val="24"/>
        </w:rPr>
        <w:t>Implications for Nursing</w:t>
      </w:r>
    </w:p>
    <w:p w14:paraId="0C2576F7">
      <w:pPr>
        <w:spacing w:line="480" w:lineRule="auto"/>
        <w:jc w:val="both"/>
        <w:rPr>
          <w:rFonts w:ascii="Times New Roman" w:hAnsi="Times New Roman"/>
          <w:sz w:val="24"/>
          <w:szCs w:val="24"/>
        </w:rPr>
      </w:pPr>
      <w:r>
        <w:rPr>
          <w:rFonts w:ascii="Times New Roman" w:hAnsi="Times New Roman"/>
          <w:sz w:val="24"/>
          <w:szCs w:val="24"/>
        </w:rPr>
        <w:t>Compliance with universal standard precautions is crucial for ensuring healthcare quality, affecting clinical outcomes and patient safety, and reducing the risk of healthcare-associated infections. Nurses, as frontline healthcare providers, play a pivotal role in adhering to these precautions to protect both themselves and their patients. The findings underscore the need for continuous education and training to increase nurses' knowledge and adherence to universal standard precautions. Strengthening hospital policies, ensuring the availability of PPE, and improving supervision by infection control units are vital steps in promoting better compliance among nurses. These efforts not only contribute to improved patient outcomes but also enhance the overall quality of healthcare delivery.</w:t>
      </w:r>
    </w:p>
    <w:p w14:paraId="14518A32">
      <w:pPr>
        <w:spacing w:line="480" w:lineRule="auto"/>
        <w:jc w:val="both"/>
        <w:rPr>
          <w:rFonts w:ascii="Times New Roman" w:hAnsi="Times New Roman"/>
          <w:sz w:val="24"/>
          <w:szCs w:val="24"/>
        </w:rPr>
      </w:pPr>
      <w:r>
        <w:rPr>
          <w:rFonts w:ascii="Times New Roman" w:hAnsi="Times New Roman"/>
          <w:b/>
          <w:bCs/>
          <w:sz w:val="24"/>
          <w:szCs w:val="24"/>
        </w:rPr>
        <w:t>Conclusion and recommendations</w:t>
      </w:r>
    </w:p>
    <w:p w14:paraId="172F56F1">
      <w:pPr>
        <w:spacing w:line="480" w:lineRule="auto"/>
        <w:jc w:val="both"/>
        <w:rPr>
          <w:rFonts w:ascii="Times New Roman" w:hAnsi="Times New Roman"/>
          <w:sz w:val="24"/>
          <w:szCs w:val="24"/>
        </w:rPr>
      </w:pPr>
      <w:r>
        <w:rPr>
          <w:rFonts w:ascii="Times New Roman" w:hAnsi="Times New Roman"/>
          <w:sz w:val="24"/>
          <w:szCs w:val="24"/>
        </w:rPr>
        <w:t>This study highlights compliance with universal standard precautions among nurses at the University of Benin Teaching Hospital, Benin city. Nursing care plays a crucial role in the patient healing process, making adherence to universal standard precautions essential for ensuring high-quality care and preventing infections. The study revealed that nurses at UBTH have a moderate level of knowledge about these precautions and generally demonstrate good compliance with them. Thus, the conclusion is that there is a fair level of knowledge and good compliance with universal standard precautions among the nurses in this hospital.</w:t>
      </w:r>
    </w:p>
    <w:p w14:paraId="0E270690">
      <w:pPr>
        <w:spacing w:line="480" w:lineRule="auto"/>
        <w:jc w:val="both"/>
        <w:rPr>
          <w:rFonts w:ascii="Times New Roman" w:hAnsi="Times New Roman"/>
          <w:sz w:val="24"/>
          <w:szCs w:val="24"/>
        </w:rPr>
      </w:pPr>
      <w:r>
        <w:rPr>
          <w:rFonts w:ascii="Times New Roman" w:hAnsi="Times New Roman"/>
          <w:sz w:val="24"/>
          <w:szCs w:val="24"/>
        </w:rPr>
        <w:t>On the basis of these findings, several recommendations are proposed to further improve compliance and knowledge. Hospitals should regularly conduct surveys to understand the needs and expectations of patients, allowing them to design nursing care that meets these requirements. Providing nurses with continuous training, including in-service, in-house, and on-the-job sessions focused on universal standard precautions and the factors influencing compliance, is vital. Additionally, nursing training institutions should enhance the practical skills of students regarding these precautions to ensure that they are well prepared for professional practice.</w:t>
      </w:r>
    </w:p>
    <w:p w14:paraId="0A337FD5">
      <w:pPr>
        <w:spacing w:line="480" w:lineRule="auto"/>
        <w:jc w:val="both"/>
        <w:rPr>
          <w:rFonts w:ascii="Times New Roman" w:hAnsi="Times New Roman"/>
          <w:sz w:val="24"/>
          <w:szCs w:val="24"/>
          <w:lang w:val="en-US"/>
        </w:rPr>
      </w:pPr>
      <w:r>
        <w:rPr>
          <w:rFonts w:ascii="Times New Roman" w:hAnsi="Times New Roman"/>
          <w:sz w:val="24"/>
          <w:szCs w:val="24"/>
        </w:rPr>
        <w:t>Moreover, expanding this research to include a larger sample size and nurses from other hospitals, especially those in rural areas with limited healthcare facilities, would provide a broader understanding of compliance with universal standard precautions. This would help identify any regional disparities and target areas for improvement across various healthcare settings.</w:t>
      </w:r>
    </w:p>
    <w:p w14:paraId="2157880B">
      <w:pPr>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t>Availability of data and materials</w:t>
      </w:r>
    </w:p>
    <w:p w14:paraId="360AD448">
      <w:pPr>
        <w:spacing w:after="0" w:line="480" w:lineRule="auto"/>
        <w:jc w:val="both"/>
        <w:rPr>
          <w:rFonts w:ascii="Times New Roman" w:hAnsi="Times New Roman"/>
          <w:sz w:val="24"/>
          <w:szCs w:val="24"/>
          <w:lang w:val="en-US"/>
        </w:rPr>
      </w:pPr>
      <w:r>
        <w:rPr>
          <w:rFonts w:ascii="Times New Roman" w:hAnsi="Times New Roman"/>
          <w:sz w:val="24"/>
          <w:szCs w:val="24"/>
          <w:lang w:val="en-US"/>
        </w:rPr>
        <w:t>The data presented in this study are available on request from the corresponding author.</w:t>
      </w:r>
    </w:p>
    <w:p w14:paraId="587E902B">
      <w:pPr>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t>Declarations</w:t>
      </w:r>
    </w:p>
    <w:p w14:paraId="0A6D9C70">
      <w:pPr>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t>Ethical approval and consent to participate</w:t>
      </w:r>
    </w:p>
    <w:p w14:paraId="2A172DDC">
      <w:pPr>
        <w:spacing w:after="0" w:line="480" w:lineRule="auto"/>
        <w:jc w:val="both"/>
        <w:rPr>
          <w:rFonts w:ascii="Times New Roman" w:hAnsi="Times New Roman"/>
          <w:sz w:val="24"/>
          <w:szCs w:val="24"/>
          <w:lang w:val="en-US"/>
        </w:rPr>
      </w:pPr>
      <w:r>
        <w:rPr>
          <w:rFonts w:ascii="Times New Roman" w:hAnsi="Times New Roman"/>
          <w:sz w:val="24"/>
          <w:szCs w:val="24"/>
          <w:lang w:val="en-US"/>
        </w:rPr>
        <w:t>This study was performed in accordance with the  Helsinki’s declaration and the protocol was approved by the Ethical Review Board at University of Benin Teaching Hospital, Benin-City, Edo state, Nigeria. Informed consent was obtained from the participants.</w:t>
      </w:r>
    </w:p>
    <w:p w14:paraId="56471B1A">
      <w:pPr>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t>Consent for publication</w:t>
      </w:r>
    </w:p>
    <w:p w14:paraId="00E7878C">
      <w:pPr>
        <w:spacing w:after="0" w:line="480" w:lineRule="auto"/>
        <w:jc w:val="both"/>
        <w:rPr>
          <w:rFonts w:ascii="Times New Roman" w:hAnsi="Times New Roman"/>
          <w:sz w:val="24"/>
          <w:szCs w:val="24"/>
          <w:lang w:val="en-US"/>
        </w:rPr>
      </w:pPr>
      <w:r>
        <w:rPr>
          <w:rFonts w:ascii="Times New Roman" w:hAnsi="Times New Roman"/>
          <w:sz w:val="24"/>
          <w:szCs w:val="24"/>
          <w:lang w:val="en-US"/>
        </w:rPr>
        <w:t>Not applicable</w:t>
      </w:r>
    </w:p>
    <w:p w14:paraId="206EA745">
      <w:pPr>
        <w:spacing w:after="0" w:line="480" w:lineRule="auto"/>
        <w:jc w:val="both"/>
        <w:rPr>
          <w:rFonts w:ascii="Times New Roman" w:hAnsi="Times New Roman"/>
          <w:b/>
          <w:bCs/>
          <w:sz w:val="24"/>
          <w:szCs w:val="24"/>
          <w:lang w:val="en-US"/>
        </w:rPr>
      </w:pPr>
    </w:p>
    <w:p w14:paraId="4B32E43E">
      <w:pPr>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t>Key-points</w:t>
      </w:r>
    </w:p>
    <w:p w14:paraId="7A6AEC4C">
      <w:pPr>
        <w:spacing w:after="0" w:line="480" w:lineRule="auto"/>
        <w:jc w:val="both"/>
        <w:rPr>
          <w:rFonts w:ascii="Times New Roman" w:hAnsi="Times New Roman"/>
          <w:sz w:val="24"/>
          <w:szCs w:val="24"/>
          <w:lang w:val="en-US"/>
        </w:rPr>
      </w:pPr>
      <w:r>
        <w:rPr>
          <w:rFonts w:ascii="Times New Roman" w:hAnsi="Times New Roman"/>
          <w:sz w:val="24"/>
          <w:szCs w:val="24"/>
          <w:lang w:val="en-US"/>
        </w:rPr>
        <w:t>• Nurses at the University of Benin Teaching Hospital demonstrated a moderate level of knowledge regarding universal standard precautions.</w:t>
      </w:r>
    </w:p>
    <w:p w14:paraId="72F80E47">
      <w:pPr>
        <w:spacing w:after="0" w:line="480" w:lineRule="auto"/>
        <w:jc w:val="both"/>
        <w:rPr>
          <w:rFonts w:ascii="Times New Roman" w:hAnsi="Times New Roman"/>
          <w:sz w:val="24"/>
          <w:szCs w:val="24"/>
          <w:lang w:val="en-US"/>
        </w:rPr>
      </w:pPr>
      <w:r>
        <w:rPr>
          <w:rFonts w:ascii="Times New Roman" w:hAnsi="Times New Roman"/>
          <w:sz w:val="24"/>
          <w:szCs w:val="24"/>
          <w:lang w:val="en-US"/>
        </w:rPr>
        <w:t>• Compliance with universal standard precautions among nurses was generally good, despite variability in practice.</w:t>
      </w:r>
    </w:p>
    <w:p w14:paraId="31489E93">
      <w:pPr>
        <w:spacing w:after="0" w:line="480" w:lineRule="auto"/>
        <w:jc w:val="both"/>
        <w:rPr>
          <w:rFonts w:ascii="Times New Roman" w:hAnsi="Times New Roman"/>
          <w:sz w:val="24"/>
          <w:szCs w:val="24"/>
          <w:lang w:val="en-US"/>
        </w:rPr>
      </w:pPr>
      <w:r>
        <w:rPr>
          <w:rFonts w:ascii="Times New Roman" w:hAnsi="Times New Roman"/>
          <w:sz w:val="24"/>
          <w:szCs w:val="24"/>
          <w:lang w:val="en-US"/>
        </w:rPr>
        <w:t>• Unavailability of personal protective equipment (PPE), hospital policies, years of professional practice, and nurses' attitudes significantly influenced compliance.</w:t>
      </w:r>
    </w:p>
    <w:p w14:paraId="49F82CB7">
      <w:pPr>
        <w:spacing w:after="0" w:line="480" w:lineRule="auto"/>
        <w:jc w:val="both"/>
        <w:rPr>
          <w:rFonts w:ascii="Times New Roman" w:hAnsi="Times New Roman"/>
          <w:sz w:val="24"/>
          <w:szCs w:val="24"/>
          <w:lang w:val="en-US"/>
        </w:rPr>
      </w:pPr>
      <w:r>
        <w:rPr>
          <w:rFonts w:ascii="Times New Roman" w:hAnsi="Times New Roman"/>
          <w:sz w:val="24"/>
          <w:szCs w:val="24"/>
          <w:lang w:val="en-US"/>
        </w:rPr>
        <w:t>• A statistically significant relationship was found between knowledge and compliance with universal standard precautions.</w:t>
      </w:r>
    </w:p>
    <w:p w14:paraId="50D854FA">
      <w:pPr>
        <w:spacing w:after="0" w:line="480" w:lineRule="auto"/>
        <w:jc w:val="both"/>
        <w:rPr>
          <w:rFonts w:ascii="Times New Roman" w:hAnsi="Times New Roman"/>
          <w:sz w:val="24"/>
          <w:szCs w:val="24"/>
          <w:lang w:val="en-US"/>
        </w:rPr>
      </w:pPr>
      <w:r>
        <w:rPr>
          <w:rFonts w:ascii="Times New Roman" w:hAnsi="Times New Roman"/>
          <w:sz w:val="24"/>
          <w:szCs w:val="24"/>
          <w:lang w:val="en-US"/>
        </w:rPr>
        <w:t>• Targeted training, improved hospital policies, and consistent provision of PPE are essential to sustain and enhance compliance levels.</w:t>
      </w:r>
    </w:p>
    <w:p w14:paraId="2555E7E7">
      <w:pPr>
        <w:spacing w:after="0" w:line="480" w:lineRule="auto"/>
        <w:jc w:val="both"/>
        <w:rPr>
          <w:rFonts w:ascii="Times New Roman" w:hAnsi="Times New Roman"/>
          <w:sz w:val="24"/>
          <w:szCs w:val="24"/>
          <w:lang w:val="en-US"/>
        </w:rPr>
      </w:pPr>
    </w:p>
    <w:p w14:paraId="41FE1507">
      <w:pPr>
        <w:spacing w:after="0" w:line="480" w:lineRule="auto"/>
        <w:jc w:val="both"/>
        <w:rPr>
          <w:rFonts w:ascii="Times New Roman" w:hAnsi="Times New Roman"/>
          <w:sz w:val="24"/>
          <w:szCs w:val="24"/>
          <w:lang w:val="en-US"/>
        </w:rPr>
      </w:pPr>
      <w:r>
        <w:rPr>
          <w:rFonts w:ascii="Times New Roman" w:hAnsi="Times New Roman"/>
          <w:sz w:val="24"/>
          <w:szCs w:val="24"/>
          <w:lang w:val="en-US"/>
        </w:rPr>
        <w:t>COMPETING INTERESTS DISCLAIMER:</w:t>
      </w:r>
    </w:p>
    <w:p w14:paraId="2381E5BD">
      <w:pPr>
        <w:spacing w:after="0" w:line="480" w:lineRule="auto"/>
        <w:jc w:val="both"/>
        <w:rPr>
          <w:rFonts w:ascii="Times New Roman" w:hAnsi="Times New Roman"/>
          <w:sz w:val="24"/>
          <w:szCs w:val="24"/>
          <w:lang w:val="en-US"/>
        </w:rPr>
      </w:pPr>
      <w:r>
        <w:rPr>
          <w:rFonts w:ascii="Times New Roman" w:hAnsi="Times New Roman"/>
          <w:sz w:val="24"/>
          <w:szCs w:val="24"/>
          <w:lang w:val="en-US"/>
        </w:rPr>
        <w:t>Authors have declared that they have no known competing financial interests OR non-financial interests OR personal relationships that could have appeared to influence the work reported in this paper.</w:t>
      </w:r>
    </w:p>
    <w:p w14:paraId="6C4271E5">
      <w:pPr>
        <w:spacing w:after="0" w:line="480" w:lineRule="auto"/>
        <w:jc w:val="both"/>
        <w:rPr>
          <w:rFonts w:ascii="Times New Roman" w:hAnsi="Times New Roman"/>
          <w:sz w:val="24"/>
          <w:szCs w:val="24"/>
          <w:lang w:val="en-US"/>
        </w:rPr>
      </w:pPr>
    </w:p>
    <w:p w14:paraId="18AA7F24">
      <w:pPr>
        <w:rPr>
          <w:kern w:val="2"/>
          <w:highlight w:val="yellow"/>
          <w:lang w:val="en-US"/>
        </w:rPr>
      </w:pPr>
      <w:bookmarkStart w:id="0" w:name="_Hlk193540946"/>
      <w:r>
        <w:rPr>
          <w:kern w:val="2"/>
          <w:highlight w:val="yellow"/>
          <w:lang w:val="en-US"/>
        </w:rPr>
        <w:t>Disclaimer (Artificial intelligence)</w:t>
      </w:r>
    </w:p>
    <w:p w14:paraId="569E2302">
      <w:pPr>
        <w:rPr>
          <w:rFonts w:ascii="Times New Roman" w:hAnsi="Times New Roman"/>
          <w:sz w:val="24"/>
          <w:szCs w:val="24"/>
          <w:lang w:val="en-US"/>
        </w:rPr>
      </w:pPr>
      <w:r>
        <w:rPr>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bookmarkEnd w:id="0"/>
    </w:p>
    <w:p w14:paraId="708417EF">
      <w:pPr>
        <w:spacing w:after="0" w:line="480" w:lineRule="auto"/>
        <w:jc w:val="both"/>
        <w:rPr>
          <w:rFonts w:ascii="Times New Roman" w:hAnsi="Times New Roman"/>
          <w:sz w:val="24"/>
          <w:szCs w:val="24"/>
          <w:lang w:val="en-US"/>
        </w:rPr>
      </w:pPr>
    </w:p>
    <w:p w14:paraId="1640D543">
      <w:pPr>
        <w:spacing w:line="480" w:lineRule="auto"/>
        <w:jc w:val="both"/>
        <w:rPr>
          <w:rFonts w:ascii="Times New Roman" w:hAnsi="Times New Roman"/>
          <w:b/>
          <w:bCs/>
          <w:sz w:val="24"/>
          <w:szCs w:val="24"/>
        </w:rPr>
      </w:pPr>
      <w:r>
        <w:rPr>
          <w:rFonts w:ascii="Times New Roman" w:hAnsi="Times New Roman"/>
          <w:b/>
          <w:bCs/>
          <w:sz w:val="24"/>
          <w:szCs w:val="24"/>
        </w:rPr>
        <w:t>References</w:t>
      </w:r>
    </w:p>
    <w:p w14:paraId="783CFA7F">
      <w:pPr>
        <w:spacing w:beforeLines="0" w:afterLines="0"/>
        <w:jc w:val="left"/>
        <w:rPr>
          <w:rFonts w:hint="default" w:ascii="Times New Roman" w:hAnsi="Times New Roman" w:cs="Times New Roman"/>
          <w:sz w:val="24"/>
          <w:szCs w:val="24"/>
        </w:rPr>
      </w:pPr>
      <w:r>
        <w:rPr>
          <w:rFonts w:ascii="Times New Roman" w:hAnsi="Times New Roman"/>
          <w:b/>
          <w:bCs/>
          <w:sz w:val="24"/>
          <w:szCs w:val="24"/>
          <w:lang w:val="en-US"/>
        </w:rPr>
        <w:fldChar w:fldCharType="begin"/>
      </w:r>
      <w:r>
        <w:rPr>
          <w:rFonts w:ascii="Times New Roman" w:hAnsi="Times New Roman"/>
          <w:b/>
          <w:bCs/>
          <w:sz w:val="24"/>
          <w:szCs w:val="24"/>
          <w:lang w:val="en-US"/>
        </w:rPr>
        <w:instrText xml:space="preserve"> ADDIN ZOTERO_BIBL {"uncited":[],"omitted":[],"custom":[]} CSL_BIBLIOGRAPHY </w:instrText>
      </w:r>
      <w:r>
        <w:rPr>
          <w:rFonts w:ascii="Times New Roman" w:hAnsi="Times New Roman"/>
          <w:b/>
          <w:bCs/>
          <w:sz w:val="24"/>
          <w:szCs w:val="24"/>
          <w:lang w:val="en-US"/>
        </w:rPr>
        <w:fldChar w:fldCharType="separate"/>
      </w:r>
      <w:r>
        <w:rPr>
          <w:rFonts w:hint="default" w:ascii="Times New Roman" w:hAnsi="Times New Roman" w:cs="Times New Roman"/>
          <w:sz w:val="24"/>
          <w:szCs w:val="24"/>
        </w:rPr>
        <w:t xml:space="preserve">1. </w:t>
      </w:r>
      <w:r>
        <w:rPr>
          <w:rFonts w:hint="default" w:ascii="Times New Roman" w:hAnsi="Times New Roman" w:cs="Times New Roman"/>
          <w:sz w:val="24"/>
          <w:szCs w:val="24"/>
        </w:rPr>
        <w:tab/>
      </w:r>
      <w:r>
        <w:rPr>
          <w:rFonts w:hint="default" w:ascii="Times New Roman" w:hAnsi="Times New Roman" w:cs="Times New Roman"/>
          <w:sz w:val="24"/>
          <w:szCs w:val="24"/>
        </w:rPr>
        <w:t xml:space="preserve">Centers for Disease Control and Prevention (CDC). </w:t>
      </w:r>
      <w:r>
        <w:rPr>
          <w:rFonts w:hint="default" w:ascii="Times New Roman" w:hAnsi="Times New Roman" w:cs="Times New Roman"/>
          <w:i/>
          <w:sz w:val="24"/>
          <w:szCs w:val="24"/>
        </w:rPr>
        <w:t>Standard Precautions for All Patient Care</w:t>
      </w:r>
      <w:r>
        <w:rPr>
          <w:rFonts w:hint="default" w:ascii="Times New Roman" w:hAnsi="Times New Roman" w:cs="Times New Roman"/>
          <w:sz w:val="24"/>
          <w:szCs w:val="24"/>
        </w:rPr>
        <w:t>. cdc, https://www.cdc.gov/infection-control/hcp/basics/standard-precautions.html (2024, accessed 26 June 2025).</w:t>
      </w:r>
    </w:p>
    <w:p w14:paraId="6B6CE668">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sz w:val="24"/>
          <w:szCs w:val="24"/>
        </w:rPr>
        <w:tab/>
      </w:r>
      <w:r>
        <w:rPr>
          <w:rFonts w:hint="default" w:ascii="Times New Roman" w:hAnsi="Times New Roman" w:cs="Times New Roman"/>
          <w:sz w:val="24"/>
          <w:szCs w:val="24"/>
        </w:rPr>
        <w:t xml:space="preserve">Randa M. Adly, Fatma M. Amin,Magda Ahamed Abd El Aziz. Improving Nurses’ Compliance with Standard Precautions of Infection Control in Pediatric Critical Care Units. </w:t>
      </w:r>
      <w:r>
        <w:rPr>
          <w:rFonts w:hint="default" w:ascii="Times New Roman" w:hAnsi="Times New Roman" w:cs="Times New Roman"/>
          <w:i/>
          <w:sz w:val="24"/>
          <w:szCs w:val="24"/>
        </w:rPr>
        <w:t>World J Nurs Sci</w:t>
      </w:r>
      <w:r>
        <w:rPr>
          <w:rFonts w:hint="default" w:ascii="Times New Roman" w:hAnsi="Times New Roman" w:cs="Times New Roman"/>
          <w:sz w:val="24"/>
          <w:szCs w:val="24"/>
        </w:rPr>
        <w:t xml:space="preserve"> 2014; 01–09.</w:t>
      </w:r>
    </w:p>
    <w:p w14:paraId="64F2C5B3">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3. </w:t>
      </w:r>
      <w:r>
        <w:rPr>
          <w:rFonts w:hint="default" w:ascii="Times New Roman" w:hAnsi="Times New Roman" w:cs="Times New Roman"/>
          <w:sz w:val="24"/>
          <w:szCs w:val="24"/>
        </w:rPr>
        <w:tab/>
      </w:r>
      <w:r>
        <w:rPr>
          <w:rFonts w:hint="default" w:ascii="Times New Roman" w:hAnsi="Times New Roman" w:cs="Times New Roman"/>
          <w:sz w:val="24"/>
          <w:szCs w:val="24"/>
        </w:rPr>
        <w:t xml:space="preserve">Amoran O, Onwube O. Infection control and practice of standard precautions among healthcare workers in northern Nigeria. </w:t>
      </w:r>
      <w:r>
        <w:rPr>
          <w:rFonts w:hint="default" w:ascii="Times New Roman" w:hAnsi="Times New Roman" w:cs="Times New Roman"/>
          <w:i/>
          <w:sz w:val="24"/>
          <w:szCs w:val="24"/>
        </w:rPr>
        <w:t>J Glob Infect Dis</w:t>
      </w:r>
      <w:r>
        <w:rPr>
          <w:rFonts w:hint="default" w:ascii="Times New Roman" w:hAnsi="Times New Roman" w:cs="Times New Roman"/>
          <w:sz w:val="24"/>
          <w:szCs w:val="24"/>
        </w:rPr>
        <w:t xml:space="preserve"> 2013; 5: 156.</w:t>
      </w:r>
    </w:p>
    <w:p w14:paraId="38ACAB59">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4. </w:t>
      </w:r>
      <w:r>
        <w:rPr>
          <w:rFonts w:hint="default" w:ascii="Times New Roman" w:hAnsi="Times New Roman" w:cs="Times New Roman"/>
          <w:sz w:val="24"/>
          <w:szCs w:val="24"/>
        </w:rPr>
        <w:tab/>
      </w:r>
      <w:r>
        <w:rPr>
          <w:rFonts w:hint="default" w:ascii="Times New Roman" w:hAnsi="Times New Roman" w:cs="Times New Roman"/>
          <w:sz w:val="24"/>
          <w:szCs w:val="24"/>
        </w:rPr>
        <w:t xml:space="preserve">Isara A, Ofili A. Knowledge and practice of standard precautions among health care workers in the Federal Medical Centre, Asaba, Delta State, Nigeria. </w:t>
      </w:r>
      <w:r>
        <w:rPr>
          <w:rFonts w:hint="default" w:ascii="Times New Roman" w:hAnsi="Times New Roman" w:cs="Times New Roman"/>
          <w:i/>
          <w:sz w:val="24"/>
          <w:szCs w:val="24"/>
        </w:rPr>
        <w:t>Niger Postgrad Med J</w:t>
      </w:r>
      <w:r>
        <w:rPr>
          <w:rFonts w:hint="default" w:ascii="Times New Roman" w:hAnsi="Times New Roman" w:cs="Times New Roman"/>
          <w:sz w:val="24"/>
          <w:szCs w:val="24"/>
        </w:rPr>
        <w:t xml:space="preserve"> 2010; 17: 204.</w:t>
      </w:r>
    </w:p>
    <w:p w14:paraId="0E2EEB50">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5. </w:t>
      </w:r>
      <w:r>
        <w:rPr>
          <w:rFonts w:hint="default" w:ascii="Times New Roman" w:hAnsi="Times New Roman" w:cs="Times New Roman"/>
          <w:sz w:val="24"/>
          <w:szCs w:val="24"/>
        </w:rPr>
        <w:tab/>
      </w:r>
      <w:r>
        <w:rPr>
          <w:rFonts w:hint="default" w:ascii="Times New Roman" w:hAnsi="Times New Roman" w:cs="Times New Roman"/>
          <w:sz w:val="24"/>
          <w:szCs w:val="24"/>
        </w:rPr>
        <w:t xml:space="preserve">Punia S, Nair S, Shetty RS. Health Care Workers and Standard Precautions: Perceptions and Determinants of Compliance in the Emergency and Trauma Triage of a Tertiary Care Hospital in South India. </w:t>
      </w:r>
      <w:r>
        <w:rPr>
          <w:rFonts w:hint="default" w:ascii="Times New Roman" w:hAnsi="Times New Roman" w:cs="Times New Roman"/>
          <w:i/>
          <w:sz w:val="24"/>
          <w:szCs w:val="24"/>
        </w:rPr>
        <w:t>Int Sch Res Not</w:t>
      </w:r>
      <w:r>
        <w:rPr>
          <w:rFonts w:hint="default" w:ascii="Times New Roman" w:hAnsi="Times New Roman" w:cs="Times New Roman"/>
          <w:sz w:val="24"/>
          <w:szCs w:val="24"/>
        </w:rPr>
        <w:t xml:space="preserve"> 2014; 2014: 1–5.</w:t>
      </w:r>
    </w:p>
    <w:p w14:paraId="55B23B7D">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6. </w:t>
      </w:r>
      <w:r>
        <w:rPr>
          <w:rFonts w:hint="default" w:ascii="Times New Roman" w:hAnsi="Times New Roman" w:cs="Times New Roman"/>
          <w:sz w:val="24"/>
          <w:szCs w:val="24"/>
        </w:rPr>
        <w:tab/>
      </w:r>
      <w:r>
        <w:rPr>
          <w:rFonts w:hint="default" w:ascii="Times New Roman" w:hAnsi="Times New Roman" w:cs="Times New Roman"/>
          <w:sz w:val="24"/>
          <w:szCs w:val="24"/>
        </w:rPr>
        <w:t xml:space="preserve">Shinde M. B, Mohite V. R. A Study to Assess Knowledge, Attitude and Practices of Five Moments of Hand Hygiene among Nursing Staff and Students at a Tertiary Care Hospitals at Karad. </w:t>
      </w:r>
      <w:r>
        <w:rPr>
          <w:rFonts w:hint="default" w:ascii="Times New Roman" w:hAnsi="Times New Roman" w:cs="Times New Roman"/>
          <w:i/>
          <w:sz w:val="24"/>
          <w:szCs w:val="24"/>
        </w:rPr>
        <w:t>Int J Sci Res</w:t>
      </w:r>
      <w:r>
        <w:rPr>
          <w:rFonts w:hint="default" w:ascii="Times New Roman" w:hAnsi="Times New Roman" w:cs="Times New Roman"/>
          <w:sz w:val="24"/>
          <w:szCs w:val="24"/>
        </w:rPr>
        <w:t xml:space="preserve"> 2014; 3: 311–321.</w:t>
      </w:r>
    </w:p>
    <w:p w14:paraId="56DFF1B4">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7. </w:t>
      </w:r>
      <w:r>
        <w:rPr>
          <w:rFonts w:hint="default" w:ascii="Times New Roman" w:hAnsi="Times New Roman" w:cs="Times New Roman"/>
          <w:sz w:val="24"/>
          <w:szCs w:val="24"/>
        </w:rPr>
        <w:tab/>
      </w:r>
      <w:r>
        <w:rPr>
          <w:rFonts w:hint="default" w:ascii="Times New Roman" w:hAnsi="Times New Roman" w:cs="Times New Roman"/>
          <w:sz w:val="24"/>
          <w:szCs w:val="24"/>
        </w:rPr>
        <w:t xml:space="preserve">Vaz K, McGrowder D, Alexander-Lindo R, et al. Knowledge, awareness and compliance with universal precautions among health care workers at the University Hospital of the West Indies, Jamaica. </w:t>
      </w:r>
      <w:r>
        <w:rPr>
          <w:rFonts w:hint="default" w:ascii="Times New Roman" w:hAnsi="Times New Roman" w:cs="Times New Roman"/>
          <w:i/>
          <w:sz w:val="24"/>
          <w:szCs w:val="24"/>
        </w:rPr>
        <w:t>Int J Occup Environ Med</w:t>
      </w:r>
      <w:r>
        <w:rPr>
          <w:rFonts w:hint="default" w:ascii="Times New Roman" w:hAnsi="Times New Roman" w:cs="Times New Roman"/>
          <w:sz w:val="24"/>
          <w:szCs w:val="24"/>
        </w:rPr>
        <w:t xml:space="preserve"> 2010; 1: 171–181.</w:t>
      </w:r>
    </w:p>
    <w:p w14:paraId="77B17EE5">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8. </w:t>
      </w:r>
      <w:r>
        <w:rPr>
          <w:rFonts w:hint="default" w:ascii="Times New Roman" w:hAnsi="Times New Roman" w:cs="Times New Roman"/>
          <w:sz w:val="24"/>
          <w:szCs w:val="24"/>
        </w:rPr>
        <w:tab/>
      </w:r>
      <w:r>
        <w:rPr>
          <w:rFonts w:hint="default" w:ascii="Times New Roman" w:hAnsi="Times New Roman" w:cs="Times New Roman"/>
          <w:sz w:val="24"/>
          <w:szCs w:val="24"/>
        </w:rPr>
        <w:t xml:space="preserve">Benzy Paul, Anant Pawar, Durgesh Kumar, Sujesh PK. A Study on Knowledge, Attitude and Practice of Universal Precautions among Medical and Nursing Students. </w:t>
      </w:r>
      <w:r>
        <w:rPr>
          <w:rFonts w:hint="default" w:ascii="Times New Roman" w:hAnsi="Times New Roman" w:cs="Times New Roman"/>
          <w:i/>
          <w:sz w:val="24"/>
          <w:szCs w:val="24"/>
        </w:rPr>
        <w:t>Sch J Appl Med Sci</w:t>
      </w:r>
      <w:r>
        <w:rPr>
          <w:rFonts w:hint="default" w:ascii="Times New Roman" w:hAnsi="Times New Roman" w:cs="Times New Roman"/>
          <w:sz w:val="24"/>
          <w:szCs w:val="24"/>
        </w:rPr>
        <w:t>; 2.</w:t>
      </w:r>
    </w:p>
    <w:p w14:paraId="22027E98">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9. </w:t>
      </w:r>
      <w:r>
        <w:rPr>
          <w:rFonts w:hint="default" w:ascii="Times New Roman" w:hAnsi="Times New Roman" w:cs="Times New Roman"/>
          <w:sz w:val="24"/>
          <w:szCs w:val="24"/>
        </w:rPr>
        <w:tab/>
      </w:r>
      <w:r>
        <w:rPr>
          <w:rFonts w:hint="default" w:ascii="Times New Roman" w:hAnsi="Times New Roman" w:cs="Times New Roman"/>
          <w:sz w:val="24"/>
          <w:szCs w:val="24"/>
        </w:rPr>
        <w:t xml:space="preserve">Saka SA, Mavis EE, Mezu NM, et al. Knowledge Attitudes and Practices of Voluntary Blood Donation among University Students in Nigeria: A Descriptive Cross Sectional Study. </w:t>
      </w:r>
      <w:r>
        <w:rPr>
          <w:rFonts w:hint="default" w:ascii="Times New Roman" w:hAnsi="Times New Roman" w:cs="Times New Roman"/>
          <w:i/>
          <w:sz w:val="24"/>
          <w:szCs w:val="24"/>
        </w:rPr>
        <w:t>J Adv Med Pharm Sci</w:t>
      </w:r>
      <w:r>
        <w:rPr>
          <w:rFonts w:hint="default" w:ascii="Times New Roman" w:hAnsi="Times New Roman" w:cs="Times New Roman"/>
          <w:sz w:val="24"/>
          <w:szCs w:val="24"/>
        </w:rPr>
        <w:t xml:space="preserve"> 2024; 26: 1–16.</w:t>
      </w:r>
    </w:p>
    <w:p w14:paraId="2355929E">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10. </w:t>
      </w:r>
      <w:r>
        <w:rPr>
          <w:rFonts w:hint="default" w:ascii="Times New Roman" w:hAnsi="Times New Roman" w:cs="Times New Roman"/>
          <w:sz w:val="24"/>
          <w:szCs w:val="24"/>
        </w:rPr>
        <w:tab/>
      </w:r>
      <w:r>
        <w:rPr>
          <w:rFonts w:hint="default" w:ascii="Times New Roman" w:hAnsi="Times New Roman" w:cs="Times New Roman"/>
          <w:sz w:val="24"/>
          <w:szCs w:val="24"/>
        </w:rPr>
        <w:t xml:space="preserve">Cruz JP, Almazan JU, Kuntuganova A, et al. Standard precautions compliance and its associated factors among nurses in Kazakhstan: A cross-sectional study. </w:t>
      </w:r>
      <w:r>
        <w:rPr>
          <w:rFonts w:hint="default" w:ascii="Times New Roman" w:hAnsi="Times New Roman" w:cs="Times New Roman"/>
          <w:i/>
          <w:sz w:val="24"/>
          <w:szCs w:val="24"/>
        </w:rPr>
        <w:t>Am J Infect Control</w:t>
      </w:r>
      <w:r>
        <w:rPr>
          <w:rFonts w:hint="default" w:ascii="Times New Roman" w:hAnsi="Times New Roman" w:cs="Times New Roman"/>
          <w:sz w:val="24"/>
          <w:szCs w:val="24"/>
        </w:rPr>
        <w:t xml:space="preserve"> 2024; 52: 941–946.</w:t>
      </w:r>
    </w:p>
    <w:p w14:paraId="714D6621">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11. </w:t>
      </w:r>
      <w:r>
        <w:rPr>
          <w:rFonts w:hint="default" w:ascii="Times New Roman" w:hAnsi="Times New Roman" w:cs="Times New Roman"/>
          <w:sz w:val="24"/>
          <w:szCs w:val="24"/>
        </w:rPr>
        <w:tab/>
      </w:r>
      <w:r>
        <w:rPr>
          <w:rFonts w:hint="default" w:ascii="Times New Roman" w:hAnsi="Times New Roman" w:cs="Times New Roman"/>
          <w:sz w:val="24"/>
          <w:szCs w:val="24"/>
        </w:rPr>
        <w:t xml:space="preserve">Eskandari P, Azizi M, Madmoli Y, et al. Evaluation of Nursing Students’ Performance in Controlling Healthcare-associated Infections in Southwest of Iran. </w:t>
      </w:r>
      <w:r>
        <w:rPr>
          <w:rFonts w:hint="default" w:ascii="Times New Roman" w:hAnsi="Times New Roman" w:cs="Times New Roman"/>
          <w:i/>
          <w:sz w:val="24"/>
          <w:szCs w:val="24"/>
        </w:rPr>
        <w:t>J Pharm Res Int</w:t>
      </w:r>
      <w:r>
        <w:rPr>
          <w:rFonts w:hint="default" w:ascii="Times New Roman" w:hAnsi="Times New Roman" w:cs="Times New Roman"/>
          <w:sz w:val="24"/>
          <w:szCs w:val="24"/>
        </w:rPr>
        <w:t xml:space="preserve"> 2019; 1–6.</w:t>
      </w:r>
    </w:p>
    <w:p w14:paraId="583808BC">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12. </w:t>
      </w:r>
      <w:r>
        <w:rPr>
          <w:rFonts w:hint="default" w:ascii="Times New Roman" w:hAnsi="Times New Roman" w:cs="Times New Roman"/>
          <w:sz w:val="24"/>
          <w:szCs w:val="24"/>
        </w:rPr>
        <w:tab/>
      </w:r>
      <w:r>
        <w:rPr>
          <w:rFonts w:hint="default" w:ascii="Times New Roman" w:hAnsi="Times New Roman" w:cs="Times New Roman"/>
          <w:sz w:val="24"/>
          <w:szCs w:val="24"/>
        </w:rPr>
        <w:t xml:space="preserve">El Sebaey AF, Atlam SAEM, El Kafas ESAER, et al. Effect of infection control training course on knowledge and practices of medical interns in a large academic hospital in Egypt: an intervention study. </w:t>
      </w:r>
      <w:r>
        <w:rPr>
          <w:rFonts w:hint="default" w:ascii="Times New Roman" w:hAnsi="Times New Roman" w:cs="Times New Roman"/>
          <w:i/>
          <w:sz w:val="24"/>
          <w:szCs w:val="24"/>
        </w:rPr>
        <w:t>Environ Sci Pollut Res Int</w:t>
      </w:r>
      <w:r>
        <w:rPr>
          <w:rFonts w:hint="default" w:ascii="Times New Roman" w:hAnsi="Times New Roman" w:cs="Times New Roman"/>
          <w:sz w:val="24"/>
          <w:szCs w:val="24"/>
        </w:rPr>
        <w:t xml:space="preserve"> 2022; 29: 14371–14379.</w:t>
      </w:r>
    </w:p>
    <w:p w14:paraId="1EFB02F7">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13. </w:t>
      </w:r>
      <w:r>
        <w:rPr>
          <w:rFonts w:hint="default" w:ascii="Times New Roman" w:hAnsi="Times New Roman" w:cs="Times New Roman"/>
          <w:sz w:val="24"/>
          <w:szCs w:val="24"/>
        </w:rPr>
        <w:tab/>
      </w:r>
      <w:r>
        <w:rPr>
          <w:rFonts w:hint="default" w:ascii="Times New Roman" w:hAnsi="Times New Roman" w:cs="Times New Roman"/>
          <w:sz w:val="24"/>
          <w:szCs w:val="24"/>
        </w:rPr>
        <w:t xml:space="preserve">Abdulraheem et al. Knowledge, Awareness and Compliance with Standard Precautions among Health Workers in North Eastearn Nigeria. </w:t>
      </w:r>
      <w:r>
        <w:rPr>
          <w:rFonts w:hint="default" w:ascii="Times New Roman" w:hAnsi="Times New Roman" w:cs="Times New Roman"/>
          <w:i/>
          <w:sz w:val="24"/>
          <w:szCs w:val="24"/>
        </w:rPr>
        <w:t>J Community Med Health Educ</w:t>
      </w:r>
      <w:r>
        <w:rPr>
          <w:rFonts w:hint="default" w:ascii="Times New Roman" w:hAnsi="Times New Roman" w:cs="Times New Roman"/>
          <w:sz w:val="24"/>
          <w:szCs w:val="24"/>
        </w:rPr>
        <w:t>; 02. Epub ahead of print 2012. DOI: 10.4172/2161-0711.1000131.</w:t>
      </w:r>
    </w:p>
    <w:p w14:paraId="66DF0E2B">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14. </w:t>
      </w:r>
      <w:r>
        <w:rPr>
          <w:rFonts w:hint="default" w:ascii="Times New Roman" w:hAnsi="Times New Roman" w:cs="Times New Roman"/>
          <w:sz w:val="24"/>
          <w:szCs w:val="24"/>
        </w:rPr>
        <w:tab/>
      </w:r>
      <w:r>
        <w:rPr>
          <w:rFonts w:hint="default" w:ascii="Times New Roman" w:hAnsi="Times New Roman" w:cs="Times New Roman"/>
          <w:sz w:val="24"/>
          <w:szCs w:val="24"/>
        </w:rPr>
        <w:t xml:space="preserve">Ogbonda PN, Douglas K, Moore BM. Knowledge and Compliance with Standard Precautions amongst Healthcare Workers in Selected Hospitals in Rivers State, Nigeria. </w:t>
      </w:r>
      <w:r>
        <w:rPr>
          <w:rFonts w:hint="default" w:ascii="Times New Roman" w:hAnsi="Times New Roman" w:cs="Times New Roman"/>
          <w:i/>
          <w:sz w:val="24"/>
          <w:szCs w:val="24"/>
        </w:rPr>
        <w:t>Asian J Med Health</w:t>
      </w:r>
      <w:r>
        <w:rPr>
          <w:rFonts w:hint="default" w:ascii="Times New Roman" w:hAnsi="Times New Roman" w:cs="Times New Roman"/>
          <w:sz w:val="24"/>
          <w:szCs w:val="24"/>
        </w:rPr>
        <w:t xml:space="preserve"> 2020; 11–22.</w:t>
      </w:r>
    </w:p>
    <w:p w14:paraId="2A4DADA2">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15. </w:t>
      </w:r>
      <w:r>
        <w:rPr>
          <w:rFonts w:hint="default" w:ascii="Times New Roman" w:hAnsi="Times New Roman" w:cs="Times New Roman"/>
          <w:sz w:val="24"/>
          <w:szCs w:val="24"/>
        </w:rPr>
        <w:tab/>
      </w:r>
      <w:r>
        <w:rPr>
          <w:rFonts w:hint="default" w:ascii="Times New Roman" w:hAnsi="Times New Roman" w:cs="Times New Roman"/>
          <w:sz w:val="24"/>
          <w:szCs w:val="24"/>
        </w:rPr>
        <w:t xml:space="preserve">Wibonela SA, Mbekenga C, Ramadhani FB, et al. Adherence to Universal Precautions and Associated Factors among Nurses Caring For Critically Ill Patients in Dar es Salaam Tanzania. </w:t>
      </w:r>
      <w:r>
        <w:rPr>
          <w:rFonts w:hint="default" w:ascii="Times New Roman" w:hAnsi="Times New Roman" w:cs="Times New Roman"/>
          <w:i/>
          <w:sz w:val="24"/>
          <w:szCs w:val="24"/>
        </w:rPr>
        <w:t>Saudi J Nurs Health Care</w:t>
      </w:r>
      <w:r>
        <w:rPr>
          <w:rFonts w:hint="default" w:ascii="Times New Roman" w:hAnsi="Times New Roman" w:cs="Times New Roman"/>
          <w:sz w:val="24"/>
          <w:szCs w:val="24"/>
        </w:rPr>
        <w:t xml:space="preserve"> 2020; 03: 106–113.</w:t>
      </w:r>
    </w:p>
    <w:p w14:paraId="0D468CD7">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16. </w:t>
      </w:r>
      <w:r>
        <w:rPr>
          <w:rFonts w:hint="default" w:ascii="Times New Roman" w:hAnsi="Times New Roman" w:cs="Times New Roman"/>
          <w:sz w:val="24"/>
          <w:szCs w:val="24"/>
        </w:rPr>
        <w:tab/>
      </w:r>
      <w:r>
        <w:rPr>
          <w:rFonts w:hint="default" w:ascii="Times New Roman" w:hAnsi="Times New Roman" w:cs="Times New Roman"/>
          <w:sz w:val="24"/>
          <w:szCs w:val="24"/>
        </w:rPr>
        <w:t>Wikipedia contributors. University of Benin Teaching Hospital. In Wikipedia, https://en.wikipedia.org/w/index.php?title=University_of_Benin_Teaching_Hospital&amp;oldid=1284274280 (2025, accessed 14 May 2025).</w:t>
      </w:r>
    </w:p>
    <w:p w14:paraId="787A26A0">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17. </w:t>
      </w:r>
      <w:r>
        <w:rPr>
          <w:rFonts w:hint="default" w:ascii="Times New Roman" w:hAnsi="Times New Roman" w:cs="Times New Roman"/>
          <w:sz w:val="24"/>
          <w:szCs w:val="24"/>
        </w:rPr>
        <w:tab/>
      </w:r>
      <w:r>
        <w:rPr>
          <w:rFonts w:hint="default" w:ascii="Times New Roman" w:hAnsi="Times New Roman" w:cs="Times New Roman"/>
          <w:sz w:val="24"/>
          <w:szCs w:val="24"/>
        </w:rPr>
        <w:t xml:space="preserve">Olonite OA. Olonite Sampling Technique and Taro Yamane Sampling Method: The Paradigm Shift. </w:t>
      </w:r>
      <w:r>
        <w:rPr>
          <w:rFonts w:hint="default" w:ascii="Times New Roman" w:hAnsi="Times New Roman" w:cs="Times New Roman"/>
          <w:i/>
          <w:sz w:val="24"/>
          <w:szCs w:val="24"/>
        </w:rPr>
        <w:t>SSRN Electron J</w:t>
      </w:r>
      <w:r>
        <w:rPr>
          <w:rFonts w:hint="default" w:ascii="Times New Roman" w:hAnsi="Times New Roman" w:cs="Times New Roman"/>
          <w:sz w:val="24"/>
          <w:szCs w:val="24"/>
        </w:rPr>
        <w:t>. Epub ahead of print 2021. DOI: 10.2139/ssrn.3994018.</w:t>
      </w:r>
    </w:p>
    <w:p w14:paraId="22B142D4">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18. </w:t>
      </w:r>
      <w:r>
        <w:rPr>
          <w:rFonts w:hint="default" w:ascii="Times New Roman" w:hAnsi="Times New Roman" w:cs="Times New Roman"/>
          <w:sz w:val="24"/>
          <w:szCs w:val="24"/>
        </w:rPr>
        <w:tab/>
      </w:r>
      <w:r>
        <w:rPr>
          <w:rFonts w:hint="default" w:ascii="Times New Roman" w:hAnsi="Times New Roman" w:cs="Times New Roman"/>
          <w:sz w:val="24"/>
          <w:szCs w:val="24"/>
        </w:rPr>
        <w:t xml:space="preserve">Cronbach, L. J. </w:t>
      </w:r>
      <w:r>
        <w:rPr>
          <w:rFonts w:hint="default" w:ascii="Times New Roman" w:hAnsi="Times New Roman" w:cs="Times New Roman"/>
          <w:i/>
          <w:sz w:val="24"/>
          <w:szCs w:val="24"/>
        </w:rPr>
        <w:t>Coefficient alpha and the internal structure of tests</w:t>
      </w:r>
      <w:r>
        <w:rPr>
          <w:rFonts w:hint="default" w:ascii="Times New Roman" w:hAnsi="Times New Roman" w:cs="Times New Roman"/>
          <w:sz w:val="24"/>
          <w:szCs w:val="24"/>
        </w:rPr>
        <w:t>. 16, 297–334, Psychometrika, 1951.</w:t>
      </w:r>
    </w:p>
    <w:p w14:paraId="284E3D2D">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19. </w:t>
      </w:r>
      <w:r>
        <w:rPr>
          <w:rFonts w:hint="default" w:ascii="Times New Roman" w:hAnsi="Times New Roman" w:cs="Times New Roman"/>
          <w:sz w:val="24"/>
          <w:szCs w:val="24"/>
        </w:rPr>
        <w:tab/>
      </w:r>
      <w:r>
        <w:rPr>
          <w:rFonts w:hint="default" w:ascii="Times New Roman" w:hAnsi="Times New Roman" w:cs="Times New Roman"/>
          <w:sz w:val="24"/>
          <w:szCs w:val="24"/>
        </w:rPr>
        <w:t xml:space="preserve">Uba MN, Alih FI, Kever RT, et al. Knowledge, attitude and practice of nurses toward pressure ulcer prevention in University of Maiduguri Teaching Hospital, Borno State, North-Eastern, Nigeria. </w:t>
      </w:r>
      <w:r>
        <w:rPr>
          <w:rFonts w:hint="default" w:ascii="Times New Roman" w:hAnsi="Times New Roman" w:cs="Times New Roman"/>
          <w:i/>
          <w:sz w:val="24"/>
          <w:szCs w:val="24"/>
        </w:rPr>
        <w:t>Int J Nurs Midwifery</w:t>
      </w:r>
      <w:r>
        <w:rPr>
          <w:rFonts w:hint="default" w:ascii="Times New Roman" w:hAnsi="Times New Roman" w:cs="Times New Roman"/>
          <w:sz w:val="24"/>
          <w:szCs w:val="24"/>
        </w:rPr>
        <w:t xml:space="preserve"> 2015; 7: 54–60.</w:t>
      </w:r>
    </w:p>
    <w:p w14:paraId="5DA9CCB3">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 </w:t>
      </w:r>
      <w:r>
        <w:rPr>
          <w:rFonts w:hint="default" w:ascii="Times New Roman" w:hAnsi="Times New Roman" w:cs="Times New Roman"/>
          <w:sz w:val="24"/>
          <w:szCs w:val="24"/>
        </w:rPr>
        <w:tab/>
      </w:r>
      <w:r>
        <w:rPr>
          <w:rFonts w:hint="default" w:ascii="Times New Roman" w:hAnsi="Times New Roman" w:cs="Times New Roman"/>
          <w:sz w:val="24"/>
          <w:szCs w:val="24"/>
        </w:rPr>
        <w:t xml:space="preserve">Zeb A. Factors Affecting Nurses’ Compliance to Standard Precautions in Resource Scarce Settings. </w:t>
      </w:r>
      <w:r>
        <w:rPr>
          <w:rFonts w:hint="default" w:ascii="Times New Roman" w:hAnsi="Times New Roman" w:cs="Times New Roman"/>
          <w:i/>
          <w:sz w:val="24"/>
          <w:szCs w:val="24"/>
        </w:rPr>
        <w:t>Am J Biomed Sci Res</w:t>
      </w:r>
      <w:r>
        <w:rPr>
          <w:rFonts w:hint="default" w:ascii="Times New Roman" w:hAnsi="Times New Roman" w:cs="Times New Roman"/>
          <w:sz w:val="24"/>
          <w:szCs w:val="24"/>
        </w:rPr>
        <w:t xml:space="preserve"> 2019; 4: 384–389.</w:t>
      </w:r>
    </w:p>
    <w:p w14:paraId="1C804E0D">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21. </w:t>
      </w:r>
      <w:r>
        <w:rPr>
          <w:rFonts w:hint="default" w:ascii="Times New Roman" w:hAnsi="Times New Roman" w:cs="Times New Roman"/>
          <w:sz w:val="24"/>
          <w:szCs w:val="24"/>
        </w:rPr>
        <w:tab/>
      </w:r>
      <w:r>
        <w:rPr>
          <w:rFonts w:hint="default" w:ascii="Times New Roman" w:hAnsi="Times New Roman" w:cs="Times New Roman"/>
          <w:sz w:val="24"/>
          <w:szCs w:val="24"/>
        </w:rPr>
        <w:t xml:space="preserve">Esu I, Okeke C, Gobir A. Factors Affecting Compliance with Standard Precautions among Healthcare Workers in Public Hospitals Abuja, Nigeria. </w:t>
      </w:r>
      <w:r>
        <w:rPr>
          <w:rFonts w:hint="default" w:ascii="Times New Roman" w:hAnsi="Times New Roman" w:cs="Times New Roman"/>
          <w:i/>
          <w:sz w:val="24"/>
          <w:szCs w:val="24"/>
        </w:rPr>
        <w:t>Int J Trop Dis Health</w:t>
      </w:r>
      <w:r>
        <w:rPr>
          <w:rFonts w:hint="default" w:ascii="Times New Roman" w:hAnsi="Times New Roman" w:cs="Times New Roman"/>
          <w:sz w:val="24"/>
          <w:szCs w:val="24"/>
        </w:rPr>
        <w:t xml:space="preserve"> 2019; 1–11.</w:t>
      </w:r>
    </w:p>
    <w:p w14:paraId="64CF66CD">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22. </w:t>
      </w:r>
      <w:r>
        <w:rPr>
          <w:rFonts w:hint="default" w:ascii="Times New Roman" w:hAnsi="Times New Roman" w:cs="Times New Roman"/>
          <w:sz w:val="24"/>
          <w:szCs w:val="24"/>
        </w:rPr>
        <w:tab/>
      </w:r>
      <w:r>
        <w:rPr>
          <w:rFonts w:hint="default" w:ascii="Times New Roman" w:hAnsi="Times New Roman" w:cs="Times New Roman"/>
          <w:sz w:val="24"/>
          <w:szCs w:val="24"/>
        </w:rPr>
        <w:t xml:space="preserve">Saka SA, Ojo DO, Mezu NM, et al. Knowledge, perception and preventive practices of Lassa fever among mothers of under-five children in an endemic community in Edo State, Nigeria. </w:t>
      </w:r>
      <w:r>
        <w:rPr>
          <w:rFonts w:hint="default" w:ascii="Times New Roman" w:hAnsi="Times New Roman" w:cs="Times New Roman"/>
          <w:i/>
          <w:sz w:val="24"/>
          <w:szCs w:val="24"/>
        </w:rPr>
        <w:t>BMC Public Health</w:t>
      </w:r>
      <w:r>
        <w:rPr>
          <w:rFonts w:hint="default" w:ascii="Times New Roman" w:hAnsi="Times New Roman" w:cs="Times New Roman"/>
          <w:sz w:val="24"/>
          <w:szCs w:val="24"/>
        </w:rPr>
        <w:t xml:space="preserve"> 2025; 25: 837.</w:t>
      </w:r>
    </w:p>
    <w:p w14:paraId="4A68BF22">
      <w:pPr>
        <w:spacing w:line="480" w:lineRule="auto"/>
        <w:jc w:val="both"/>
        <w:rPr>
          <w:rFonts w:ascii="Times New Roman" w:hAnsi="Times New Roman"/>
          <w:b/>
          <w:bCs/>
          <w:sz w:val="24"/>
          <w:szCs w:val="24"/>
          <w:lang w:val="en-US"/>
        </w:rPr>
      </w:pPr>
      <w:r>
        <w:rPr>
          <w:rFonts w:ascii="Times New Roman" w:hAnsi="Times New Roman"/>
          <w:b/>
          <w:bCs/>
          <w:sz w:val="24"/>
          <w:szCs w:val="24"/>
          <w:lang w:val="en-US"/>
        </w:rPr>
        <w:fldChar w:fldCharType="end"/>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5595">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0F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14:paraId="69EC50F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194F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8E8EE">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F5F32">
    <w:pPr>
      <w:jc w:val="center"/>
    </w:pPr>
    <w:r>
      <w:pict>
        <v:shape id="PowerPlusWaterMarkObject705577064" o:spid="_x0000_s4098" o:spt="136" type="#_x0000_t136" style="position:absolute;left:0pt;height:104.15pt;width:555.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98EF">
    <w:pPr>
      <w:pStyle w:val="6"/>
    </w:pPr>
    <w:r>
      <w:pict>
        <v:shape id="PowerPlusWaterMarkObject705577063" o:spid="_x0000_s4099"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CC39">
    <w:pPr>
      <w:pStyle w:val="6"/>
    </w:pPr>
    <w:r>
      <w:pict>
        <v:shape id="PowerPlusWaterMarkObject705577062" o:spid="_x0000_s4097"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TrackMoves/>
  <w:documentProtection w:enforcement="0"/>
  <w:defaultTabStop w:val="720"/>
  <w:doNotShadeFormData w:val="1"/>
  <w:noPunctuationKerning w:val="1"/>
  <w:characterSpacingControl w:val="doNotCompress"/>
  <w:doNotValidateAgainstSchema/>
  <w:doNotDemarcateInvalidXml/>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U2sjQ2sDCytDQ3MTNV0lEKTi0uzszPAykwrAUAx5C+rywAAAA="/>
  </w:docVars>
  <w:rsids>
    <w:rsidRoot w:val="00172A27"/>
    <w:rsid w:val="000E1011"/>
    <w:rsid w:val="00172A27"/>
    <w:rsid w:val="00233F5A"/>
    <w:rsid w:val="002E562E"/>
    <w:rsid w:val="00341F31"/>
    <w:rsid w:val="003A789B"/>
    <w:rsid w:val="0045054A"/>
    <w:rsid w:val="004578EA"/>
    <w:rsid w:val="005D7F43"/>
    <w:rsid w:val="007D0BBF"/>
    <w:rsid w:val="00976C12"/>
    <w:rsid w:val="009B6275"/>
    <w:rsid w:val="00AB719B"/>
    <w:rsid w:val="00BB21CD"/>
    <w:rsid w:val="00CD4E6F"/>
    <w:rsid w:val="00D63F58"/>
    <w:rsid w:val="01396C92"/>
    <w:rsid w:val="013E0ACD"/>
    <w:rsid w:val="026152DE"/>
    <w:rsid w:val="02E421E7"/>
    <w:rsid w:val="102A13C9"/>
    <w:rsid w:val="1EB82832"/>
    <w:rsid w:val="1F4B29F9"/>
    <w:rsid w:val="2C4E5E59"/>
    <w:rsid w:val="2CD52737"/>
    <w:rsid w:val="2CD54AE5"/>
    <w:rsid w:val="308929CF"/>
    <w:rsid w:val="38220785"/>
    <w:rsid w:val="42FC6DC1"/>
    <w:rsid w:val="45736285"/>
    <w:rsid w:val="462D619B"/>
    <w:rsid w:val="54406991"/>
    <w:rsid w:val="56EF17BA"/>
    <w:rsid w:val="5CBC6FA6"/>
    <w:rsid w:val="5D3777C0"/>
    <w:rsid w:val="6E75486B"/>
    <w:rsid w:val="745D7273"/>
    <w:rsid w:val="7E1179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GB"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sz w:val="16"/>
      <w:szCs w:val="16"/>
    </w:rPr>
  </w:style>
  <w:style w:type="paragraph" w:styleId="5">
    <w:name w:val="footer"/>
    <w:basedOn w:val="1"/>
    <w:unhideWhenUsed/>
    <w:uiPriority w:val="99"/>
    <w:pPr>
      <w:tabs>
        <w:tab w:val="center" w:pos="4153"/>
        <w:tab w:val="right" w:pos="8306"/>
      </w:tabs>
      <w:snapToGrid w:val="0"/>
    </w:pPr>
    <w:rPr>
      <w:sz w:val="18"/>
      <w:szCs w:val="18"/>
    </w:rPr>
  </w:style>
  <w:style w:type="paragraph" w:styleId="6">
    <w:name w:val="header"/>
    <w:basedOn w:val="1"/>
    <w:link w:val="14"/>
    <w:unhideWhenUsed/>
    <w:uiPriority w:val="99"/>
    <w:pPr>
      <w:tabs>
        <w:tab w:val="center" w:pos="4680"/>
        <w:tab w:val="right" w:pos="9360"/>
      </w:tabs>
      <w:spacing w:after="0" w:line="240" w:lineRule="auto"/>
    </w:pPr>
  </w:style>
  <w:style w:type="character" w:styleId="7">
    <w:name w:val="Hyperlink"/>
    <w:basedOn w:val="2"/>
    <w:qFormat/>
    <w:uiPriority w:val="0"/>
    <w:rPr>
      <w:color w:val="0000FF"/>
      <w:u w:val="single"/>
    </w:rPr>
  </w:style>
  <w:style w:type="character" w:styleId="8">
    <w:name w:val="line number"/>
    <w:basedOn w:val="2"/>
    <w:semiHidden/>
    <w:unhideWhenUsed/>
    <w:uiPriority w:val="99"/>
  </w:style>
  <w:style w:type="paragraph" w:styleId="9">
    <w:name w:val="Normal (Web)"/>
    <w:basedOn w:val="1"/>
    <w:uiPriority w:val="0"/>
    <w:rPr>
      <w:sz w:val="24"/>
      <w:szCs w:val="24"/>
    </w:rPr>
  </w:style>
  <w:style w:type="paragraph" w:customStyle="1" w:styleId="10">
    <w:name w:val="s20"/>
    <w:basedOn w:val="1"/>
    <w:qFormat/>
    <w:uiPriority w:val="0"/>
    <w:pPr>
      <w:spacing w:before="100" w:beforeAutospacing="1" w:after="100" w:afterAutospacing="1" w:line="240" w:lineRule="auto"/>
    </w:pPr>
    <w:rPr>
      <w:rFonts w:ascii="Times New Roman" w:hAnsi="Times New Roman" w:eastAsiaTheme="minorEastAsia"/>
      <w:sz w:val="24"/>
      <w:szCs w:val="24"/>
      <w:lang w:eastAsia="en-GB"/>
    </w:rPr>
  </w:style>
  <w:style w:type="character" w:customStyle="1" w:styleId="11">
    <w:name w:val="bumpedfont15"/>
    <w:basedOn w:val="2"/>
    <w:qFormat/>
    <w:uiPriority w:val="0"/>
  </w:style>
  <w:style w:type="paragraph" w:customStyle="1" w:styleId="12">
    <w:name w:val="Bibliography1"/>
    <w:basedOn w:val="1"/>
    <w:uiPriority w:val="0"/>
    <w:pPr>
      <w:tabs>
        <w:tab w:val="left" w:pos="504"/>
      </w:tabs>
      <w:spacing w:after="240" w:line="240" w:lineRule="auto"/>
      <w:ind w:left="504" w:hanging="504"/>
    </w:pPr>
  </w:style>
  <w:style w:type="character" w:customStyle="1" w:styleId="13">
    <w:name w:val="Unresolved Mention"/>
    <w:basedOn w:val="2"/>
    <w:semiHidden/>
    <w:unhideWhenUsed/>
    <w:uiPriority w:val="99"/>
    <w:rPr>
      <w:color w:val="605E5C"/>
      <w:shd w:val="clear" w:color="auto" w:fill="E1DFDD"/>
    </w:rPr>
  </w:style>
  <w:style w:type="character" w:customStyle="1" w:styleId="14">
    <w:name w:val="Header Char"/>
    <w:basedOn w:val="2"/>
    <w:link w:val="6"/>
    <w:uiPriority w:val="99"/>
    <w:rPr>
      <w:rFonts w:ascii="Calibri" w:hAnsi="Calibri"/>
      <w:sz w:val="22"/>
      <w:szCs w:val="22"/>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9359</Words>
  <Characters>53348</Characters>
  <Lines>444</Lines>
  <Paragraphs>125</Paragraphs>
  <TotalTime>13</TotalTime>
  <ScaleCrop>false</ScaleCrop>
  <LinksUpToDate>false</LinksUpToDate>
  <CharactersWithSpaces>62582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2024-06-27T21:43:00Z</dcterms:created>
  <dc:creator>CPH2385</dc:creator>
  <cp:lastModifiedBy>Saka Sulymon</cp:lastModifiedBy>
  <dcterms:modified xsi:type="dcterms:W3CDTF">2025-06-26T12:27:56Z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F8AF5CA553144169BD61313FBF39F8D3_13</vt:lpwstr>
  </property>
  <property fmtid="{D5CDD505-2E9C-101B-9397-08002B2CF9AE}" pid="3" name="KSOProductBuildVer">
    <vt:lpwstr>1033-12.2.0.20795</vt:lpwstr>
  </property>
  <property fmtid="{D5CDD505-2E9C-101B-9397-08002B2CF9AE}" pid="4" name="LE1">
    <vt:filetime>2024-07-31T17:04:16Z</vt:filetime>
  </property>
  <property fmtid="{D5CDD505-2E9C-101B-9397-08002B2CF9AE}" pid="5" name="ZOTERO_PREF_1">
    <vt:lpwstr>&lt;data data-version="3" zotero-version="7.0.16"&gt;&lt;session id="r8JpsUpI"/&gt;&lt;style id="http://www.zotero.org/styles/sage-vancouver" hasBibliography="1" bibliographyStyleHasBeenSet="1"/&gt;&lt;prefs&gt;&lt;pref name="fieldType" value="Field"/&gt;&lt;pref name="automaticJournalAb</vt:lpwstr>
  </property>
  <property fmtid="{D5CDD505-2E9C-101B-9397-08002B2CF9AE}" pid="6" name="ZOTERO_PREF_2">
    <vt:lpwstr>breviations" value="true"/&gt;&lt;/prefs&gt;&lt;/data&gt;</vt:lpwstr>
  </property>
</Properties>
</file>