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7B0E1" w14:textId="77777777" w:rsidR="00754C9A" w:rsidRPr="00EC33F5" w:rsidRDefault="00754C9A" w:rsidP="00EC33F5">
      <w:pPr>
        <w:pStyle w:val="Title"/>
        <w:spacing w:after="0"/>
        <w:rPr>
          <w:rFonts w:ascii="Arial" w:hAnsi="Arial" w:cs="Arial"/>
          <w:szCs w:val="36"/>
        </w:rPr>
      </w:pPr>
    </w:p>
    <w:p w14:paraId="5333E8A0" w14:textId="77777777" w:rsidR="00746507" w:rsidRPr="00746507" w:rsidRDefault="00746507" w:rsidP="00746507">
      <w:pPr>
        <w:spacing w:line="276" w:lineRule="auto"/>
        <w:jc w:val="right"/>
        <w:rPr>
          <w:rFonts w:ascii="Arial" w:hAnsi="Arial" w:cs="Arial"/>
          <w:b/>
          <w:bCs/>
          <w:i/>
          <w:iCs/>
          <w:sz w:val="36"/>
          <w:szCs w:val="36"/>
          <w:u w:val="single"/>
        </w:rPr>
      </w:pPr>
      <w:r w:rsidRPr="00746507">
        <w:rPr>
          <w:rFonts w:ascii="Arial" w:hAnsi="Arial" w:cs="Arial"/>
          <w:b/>
          <w:bCs/>
          <w:i/>
          <w:iCs/>
          <w:sz w:val="36"/>
          <w:szCs w:val="36"/>
          <w:u w:val="single"/>
        </w:rPr>
        <w:t>Original Research Article</w:t>
      </w:r>
    </w:p>
    <w:p w14:paraId="20FA4CB1" w14:textId="77777777" w:rsidR="00EC33F5" w:rsidRPr="00EC33F5" w:rsidRDefault="00EC33F5" w:rsidP="00EC33F5">
      <w:pPr>
        <w:spacing w:line="276" w:lineRule="auto"/>
        <w:jc w:val="right"/>
        <w:rPr>
          <w:rFonts w:ascii="Arial" w:hAnsi="Arial" w:cs="Arial"/>
          <w:b/>
          <w:bCs/>
          <w:sz w:val="36"/>
          <w:szCs w:val="36"/>
        </w:rPr>
      </w:pPr>
      <w:r w:rsidRPr="00EC33F5">
        <w:rPr>
          <w:rFonts w:ascii="Arial" w:hAnsi="Arial" w:cs="Arial"/>
          <w:b/>
          <w:bCs/>
          <w:sz w:val="36"/>
          <w:szCs w:val="36"/>
        </w:rPr>
        <w:t>Effects of Polyethylene Terephthalate Microplastics on CA 15-3 Breast Cancer Marker, TNF-α and Breast Tissues of Chronically Exposed Female Albino Rats</w:t>
      </w:r>
    </w:p>
    <w:p w14:paraId="39472106" w14:textId="77777777" w:rsidR="00A258C3" w:rsidRPr="00790ADA" w:rsidRDefault="00A258C3" w:rsidP="00441B6F">
      <w:pPr>
        <w:pStyle w:val="Author"/>
        <w:spacing w:line="240" w:lineRule="auto"/>
        <w:jc w:val="both"/>
        <w:rPr>
          <w:rFonts w:ascii="Arial" w:hAnsi="Arial" w:cs="Arial"/>
          <w:sz w:val="36"/>
        </w:rPr>
      </w:pPr>
    </w:p>
    <w:p w14:paraId="7BA04387" w14:textId="39D355CC" w:rsidR="00790ADA" w:rsidRDefault="00790ADA" w:rsidP="00F207B0">
      <w:pPr>
        <w:pStyle w:val="Affiliation"/>
        <w:spacing w:after="0" w:line="240" w:lineRule="auto"/>
        <w:rPr>
          <w:rFonts w:ascii="Arial" w:hAnsi="Arial" w:cs="Arial"/>
        </w:rPr>
      </w:pPr>
    </w:p>
    <w:p w14:paraId="4E4B9D4C" w14:textId="77777777" w:rsidR="002C57D2" w:rsidRPr="00FB3A86" w:rsidRDefault="002C57D2" w:rsidP="00441B6F">
      <w:pPr>
        <w:pStyle w:val="Affiliation"/>
        <w:spacing w:after="0" w:line="240" w:lineRule="auto"/>
        <w:jc w:val="both"/>
        <w:rPr>
          <w:rFonts w:ascii="Arial" w:hAnsi="Arial" w:cs="Arial"/>
        </w:rPr>
      </w:pPr>
    </w:p>
    <w:p w14:paraId="45DE4998" w14:textId="5449B2C5" w:rsidR="00B01FCD" w:rsidRPr="00FB3A86" w:rsidRDefault="00A64602" w:rsidP="00441B6F">
      <w:pPr>
        <w:pStyle w:val="Copyright"/>
        <w:spacing w:after="0" w:line="240" w:lineRule="auto"/>
        <w:jc w:val="both"/>
        <w:rPr>
          <w:rFonts w:ascii="Arial" w:hAnsi="Arial" w:cs="Arial"/>
        </w:rPr>
        <w:sectPr w:rsidR="00B01FCD" w:rsidRPr="00FB3A86" w:rsidSect="00CE764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435A170" wp14:editId="32391E3C">
                <wp:extent cx="5303520" cy="635"/>
                <wp:effectExtent l="13335" t="13970" r="17145" b="14605"/>
                <wp:docPr id="8239123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F5796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BBA3604" w14:textId="18158EC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1B723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250A2AE" w14:textId="77777777" w:rsidTr="001E44FE">
        <w:tc>
          <w:tcPr>
            <w:tcW w:w="9576" w:type="dxa"/>
            <w:shd w:val="clear" w:color="auto" w:fill="F2F2F2"/>
          </w:tcPr>
          <w:p w14:paraId="7E89B36D" w14:textId="77777777" w:rsidR="008F4866" w:rsidRPr="008F4866" w:rsidRDefault="008F4866" w:rsidP="008F4866">
            <w:pPr>
              <w:jc w:val="both"/>
              <w:rPr>
                <w:rFonts w:ascii="Arial" w:hAnsi="Arial" w:cs="Arial"/>
              </w:rPr>
            </w:pPr>
            <w:r w:rsidRPr="008F4866">
              <w:rPr>
                <w:rFonts w:ascii="Arial" w:hAnsi="Arial" w:cs="Arial"/>
              </w:rPr>
              <w:t>Breast cancer remains the leading cause of cancer-related deaths among women, with approximately 670,000 deaths globally. Emerging studies have linked exposure to various substances, including microplastics, to organ damage and cancer development. Polyethylene terephthalate (PET) is a common plastic polymer in Nigeria and a popular choice for beverage bottles, food packaging, and synthetic fibers. Over time, PET products can degrade into microplastics, contributing significantly to pollution and human toxicity.</w:t>
            </w:r>
          </w:p>
          <w:p w14:paraId="6E4E3071" w14:textId="38E4C2C3" w:rsidR="00EB219B" w:rsidRDefault="00EB219B" w:rsidP="00D56E70">
            <w:pPr>
              <w:spacing w:after="160"/>
              <w:jc w:val="both"/>
              <w:rPr>
                <w:rFonts w:ascii="Arial" w:hAnsi="Arial" w:cs="Arial"/>
              </w:rPr>
            </w:pPr>
          </w:p>
          <w:p w14:paraId="56032EAD" w14:textId="5204E932" w:rsidR="00D56E70" w:rsidRPr="001C291C" w:rsidRDefault="00EB219B" w:rsidP="00D56E70">
            <w:pPr>
              <w:spacing w:after="160"/>
              <w:jc w:val="both"/>
              <w:rPr>
                <w:rFonts w:ascii="Arial" w:hAnsi="Arial" w:cs="Arial"/>
              </w:rPr>
            </w:pPr>
            <w:r w:rsidRPr="00EB219B">
              <w:rPr>
                <w:rFonts w:ascii="Arial" w:hAnsi="Arial" w:cs="Arial"/>
                <w:b/>
                <w:bCs/>
              </w:rPr>
              <w:t>Aim:</w:t>
            </w:r>
            <w:r>
              <w:rPr>
                <w:rFonts w:ascii="Arial" w:hAnsi="Arial" w:cs="Arial"/>
              </w:rPr>
              <w:t xml:space="preserve"> </w:t>
            </w:r>
            <w:r w:rsidR="00D56E70" w:rsidRPr="001C291C">
              <w:rPr>
                <w:rFonts w:ascii="Arial" w:hAnsi="Arial" w:cs="Arial"/>
              </w:rPr>
              <w:t>This study evaluated the effects of chronic</w:t>
            </w:r>
            <w:r w:rsidR="00D56E70" w:rsidRPr="00A64602">
              <w:rPr>
                <w:rFonts w:ascii="Arial" w:hAnsi="Arial" w:cs="Arial"/>
              </w:rPr>
              <w:t xml:space="preserve"> exposure to</w:t>
            </w:r>
            <w:r w:rsidR="00D56E70" w:rsidRPr="001C291C">
              <w:rPr>
                <w:rFonts w:ascii="Arial" w:hAnsi="Arial" w:cs="Arial"/>
              </w:rPr>
              <w:t xml:space="preserve"> PET-derived microplastic</w:t>
            </w:r>
            <w:r w:rsidR="00D56E70" w:rsidRPr="00A64602">
              <w:rPr>
                <w:rFonts w:ascii="Arial" w:hAnsi="Arial" w:cs="Arial"/>
              </w:rPr>
              <w:t>s</w:t>
            </w:r>
            <w:r w:rsidR="00D56E70" w:rsidRPr="001C291C">
              <w:rPr>
                <w:rFonts w:ascii="Arial" w:hAnsi="Arial" w:cs="Arial"/>
              </w:rPr>
              <w:t xml:space="preserve"> on CA 15-3 breast cancer marker, Tumor Necrosis Factor-alpha (TNF-α), and breast tissues in female albino rats.</w:t>
            </w:r>
          </w:p>
          <w:p w14:paraId="5EEA06B4" w14:textId="67A92D4C" w:rsidR="00D56E70" w:rsidRPr="00A64602" w:rsidRDefault="00D56E70" w:rsidP="00EB512E">
            <w:pPr>
              <w:spacing w:before="240"/>
              <w:jc w:val="both"/>
              <w:rPr>
                <w:rFonts w:ascii="Arial" w:hAnsi="Arial" w:cs="Arial"/>
              </w:rPr>
            </w:pPr>
            <w:r w:rsidRPr="00A64602">
              <w:rPr>
                <w:rFonts w:ascii="Arial" w:hAnsi="Arial" w:cs="Arial"/>
                <w:b/>
                <w:bCs/>
              </w:rPr>
              <w:t>Method</w:t>
            </w:r>
            <w:r w:rsidR="00EB219B">
              <w:rPr>
                <w:rFonts w:ascii="Arial" w:hAnsi="Arial" w:cs="Arial"/>
                <w:b/>
                <w:bCs/>
              </w:rPr>
              <w:t>ology</w:t>
            </w:r>
            <w:r w:rsidRPr="00A64602">
              <w:rPr>
                <w:rFonts w:ascii="Arial" w:hAnsi="Arial" w:cs="Arial"/>
                <w:b/>
                <w:bCs/>
              </w:rPr>
              <w:t xml:space="preserve">: </w:t>
            </w:r>
            <w:r w:rsidRPr="001C291C">
              <w:rPr>
                <w:rFonts w:ascii="Arial" w:hAnsi="Arial" w:cs="Arial"/>
              </w:rPr>
              <w:t xml:space="preserve">Thirty-five </w:t>
            </w:r>
            <w:r w:rsidRPr="00A64602">
              <w:rPr>
                <w:rFonts w:ascii="Arial" w:hAnsi="Arial" w:cs="Arial"/>
              </w:rPr>
              <w:t xml:space="preserve">female </w:t>
            </w:r>
            <w:r w:rsidRPr="001C291C">
              <w:rPr>
                <w:rFonts w:ascii="Arial" w:hAnsi="Arial" w:cs="Arial"/>
              </w:rPr>
              <w:t>albino rats weighing 150–170g were</w:t>
            </w:r>
            <w:r w:rsidRPr="00A64602">
              <w:rPr>
                <w:rFonts w:ascii="Arial" w:hAnsi="Arial" w:cs="Arial"/>
              </w:rPr>
              <w:t xml:space="preserve"> used for the study. The rats were</w:t>
            </w:r>
            <w:r w:rsidRPr="001C291C">
              <w:rPr>
                <w:rFonts w:ascii="Arial" w:hAnsi="Arial" w:cs="Arial"/>
              </w:rPr>
              <w:t xml:space="preserve"> acclimatized for 14 days and randomly divided into five groups </w:t>
            </w:r>
            <w:r w:rsidRPr="00A64602">
              <w:rPr>
                <w:rFonts w:ascii="Arial" w:hAnsi="Arial" w:cs="Arial"/>
              </w:rPr>
              <w:t>with 7 rats in each group. PET pellets were crushed to microplastics, dissolved in water and filtered before use. G</w:t>
            </w:r>
            <w:r w:rsidRPr="001C291C">
              <w:rPr>
                <w:rFonts w:ascii="Arial" w:hAnsi="Arial" w:cs="Arial"/>
              </w:rPr>
              <w:t xml:space="preserve">roup 2, 3, and 4 </w:t>
            </w:r>
            <w:r w:rsidRPr="00A64602">
              <w:rPr>
                <w:rFonts w:ascii="Arial" w:hAnsi="Arial" w:cs="Arial"/>
              </w:rPr>
              <w:t xml:space="preserve">rats </w:t>
            </w:r>
            <w:r w:rsidRPr="001C291C">
              <w:rPr>
                <w:rFonts w:ascii="Arial" w:hAnsi="Arial" w:cs="Arial"/>
              </w:rPr>
              <w:t>received 40mg/kg, 80mg/kg, and 120mg/kg PET</w:t>
            </w:r>
            <w:r w:rsidRPr="00A64602">
              <w:rPr>
                <w:rFonts w:ascii="Arial" w:hAnsi="Arial" w:cs="Arial"/>
              </w:rPr>
              <w:t>-</w:t>
            </w:r>
            <w:r w:rsidRPr="001C291C">
              <w:rPr>
                <w:rFonts w:ascii="Arial" w:hAnsi="Arial" w:cs="Arial"/>
              </w:rPr>
              <w:t>microplastics respectively, administered orally</w:t>
            </w:r>
            <w:r w:rsidRPr="00A64602">
              <w:rPr>
                <w:rFonts w:ascii="Arial" w:hAnsi="Arial" w:cs="Arial"/>
              </w:rPr>
              <w:t xml:space="preserve"> using gavage tubes for 90 days</w:t>
            </w:r>
            <w:r w:rsidRPr="001C291C">
              <w:rPr>
                <w:rFonts w:ascii="Arial" w:hAnsi="Arial" w:cs="Arial"/>
              </w:rPr>
              <w:t xml:space="preserve">. Group 5 </w:t>
            </w:r>
            <w:r w:rsidRPr="00A64602">
              <w:rPr>
                <w:rFonts w:ascii="Arial" w:hAnsi="Arial" w:cs="Arial"/>
              </w:rPr>
              <w:t xml:space="preserve">rats </w:t>
            </w:r>
            <w:r w:rsidRPr="001C291C">
              <w:rPr>
                <w:rFonts w:ascii="Arial" w:hAnsi="Arial" w:cs="Arial"/>
              </w:rPr>
              <w:t>w</w:t>
            </w:r>
            <w:r w:rsidRPr="00A64602">
              <w:rPr>
                <w:rFonts w:ascii="Arial" w:hAnsi="Arial" w:cs="Arial"/>
              </w:rPr>
              <w:t>ere</w:t>
            </w:r>
            <w:r w:rsidRPr="001C291C">
              <w:rPr>
                <w:rFonts w:ascii="Arial" w:hAnsi="Arial" w:cs="Arial"/>
              </w:rPr>
              <w:t xml:space="preserve"> given water exposed to sunlight</w:t>
            </w:r>
            <w:r w:rsidRPr="00A64602">
              <w:rPr>
                <w:rFonts w:ascii="Arial" w:hAnsi="Arial" w:cs="Arial"/>
              </w:rPr>
              <w:t xml:space="preserve"> between 10 am to 4pm daily</w:t>
            </w:r>
            <w:r w:rsidRPr="001C291C">
              <w:rPr>
                <w:rFonts w:ascii="Arial" w:hAnsi="Arial" w:cs="Arial"/>
              </w:rPr>
              <w:t xml:space="preserve"> in PET</w:t>
            </w:r>
            <w:r w:rsidRPr="00A64602">
              <w:rPr>
                <w:rFonts w:ascii="Arial" w:hAnsi="Arial" w:cs="Arial"/>
              </w:rPr>
              <w:t xml:space="preserve">1 </w:t>
            </w:r>
            <w:r w:rsidRPr="001C291C">
              <w:rPr>
                <w:rFonts w:ascii="Arial" w:hAnsi="Arial" w:cs="Arial"/>
              </w:rPr>
              <w:t>containers for 30 days, while Group 1 served as the negative control with standard food and water. After treatment, blood samples were collected to assess CA 15-3 and TNF-α using ELISA</w:t>
            </w:r>
            <w:r w:rsidRPr="00A64602">
              <w:rPr>
                <w:rFonts w:ascii="Arial" w:hAnsi="Arial" w:cs="Arial"/>
              </w:rPr>
              <w:t xml:space="preserve"> method</w:t>
            </w:r>
            <w:r w:rsidRPr="001C291C">
              <w:rPr>
                <w:rFonts w:ascii="Arial" w:hAnsi="Arial" w:cs="Arial"/>
              </w:rPr>
              <w:t xml:space="preserve">, and breast tissues were </w:t>
            </w:r>
            <w:r w:rsidRPr="00A64602">
              <w:rPr>
                <w:rFonts w:ascii="Arial" w:hAnsi="Arial" w:cs="Arial"/>
              </w:rPr>
              <w:t>also collected for</w:t>
            </w:r>
            <w:r w:rsidRPr="001C291C">
              <w:rPr>
                <w:rFonts w:ascii="Arial" w:hAnsi="Arial" w:cs="Arial"/>
              </w:rPr>
              <w:t xml:space="preserve"> histological</w:t>
            </w:r>
            <w:r w:rsidRPr="00A64602">
              <w:rPr>
                <w:rFonts w:ascii="Arial" w:hAnsi="Arial" w:cs="Arial"/>
              </w:rPr>
              <w:t xml:space="preserve"> examination</w:t>
            </w:r>
            <w:r w:rsidRPr="001C291C">
              <w:rPr>
                <w:rFonts w:ascii="Arial" w:hAnsi="Arial" w:cs="Arial"/>
              </w:rPr>
              <w:t xml:space="preserve">. Statistical analysis was performed using GraphPad Prism (Version 9.0.0), with significance set at </w:t>
            </w:r>
            <w:r w:rsidRPr="00AB55A9">
              <w:rPr>
                <w:rFonts w:ascii="Arial" w:hAnsi="Arial" w:cs="Arial"/>
                <w:i/>
                <w:iCs/>
              </w:rPr>
              <w:t>P</w:t>
            </w:r>
            <w:r w:rsidRPr="001C291C">
              <w:rPr>
                <w:rFonts w:ascii="Arial" w:hAnsi="Arial" w:cs="Arial"/>
              </w:rPr>
              <w:t>≤0.05.</w:t>
            </w:r>
          </w:p>
          <w:p w14:paraId="6ED0E9B1" w14:textId="1FC74DD9" w:rsidR="00D56E70" w:rsidRPr="001C291C" w:rsidRDefault="00D56E70" w:rsidP="00EB512E">
            <w:pPr>
              <w:spacing w:before="240" w:line="276" w:lineRule="auto"/>
              <w:jc w:val="both"/>
              <w:rPr>
                <w:rFonts w:ascii="Arial" w:hAnsi="Arial" w:cs="Arial"/>
              </w:rPr>
            </w:pPr>
            <w:r w:rsidRPr="00A64602">
              <w:rPr>
                <w:rFonts w:ascii="Arial" w:hAnsi="Arial" w:cs="Arial"/>
                <w:b/>
                <w:bCs/>
              </w:rPr>
              <w:t xml:space="preserve">Results: </w:t>
            </w:r>
            <w:r w:rsidRPr="00A64602">
              <w:rPr>
                <w:rFonts w:ascii="Arial" w:hAnsi="Arial" w:cs="Arial"/>
              </w:rPr>
              <w:t xml:space="preserve">Results obtained showed </w:t>
            </w:r>
            <w:r w:rsidR="002A6B92">
              <w:rPr>
                <w:rFonts w:ascii="Arial" w:hAnsi="Arial" w:cs="Arial"/>
              </w:rPr>
              <w:t>that t</w:t>
            </w:r>
            <w:r w:rsidR="002A6B92" w:rsidRPr="00004A97">
              <w:rPr>
                <w:rFonts w:ascii="Arial" w:hAnsi="Arial" w:cs="Arial"/>
              </w:rPr>
              <w:t xml:space="preserve">he mean levels of TNF-α in the rats exposed to PET were significantly higher than the levels in the control group </w:t>
            </w:r>
            <w:r w:rsidR="002A6B92">
              <w:rPr>
                <w:rFonts w:ascii="Arial" w:hAnsi="Arial" w:cs="Arial"/>
              </w:rPr>
              <w:t xml:space="preserve">at </w:t>
            </w:r>
            <w:r w:rsidR="002A6B92" w:rsidRPr="00004A97">
              <w:rPr>
                <w:rFonts w:ascii="Arial" w:hAnsi="Arial" w:cs="Arial"/>
                <w:i/>
                <w:iCs/>
              </w:rPr>
              <w:t>P</w:t>
            </w:r>
            <w:r w:rsidR="002A6B92" w:rsidRPr="00004A97">
              <w:rPr>
                <w:rFonts w:ascii="Arial" w:hAnsi="Arial" w:cs="Arial"/>
              </w:rPr>
              <w:t>&lt;0.001.</w:t>
            </w:r>
            <w:r w:rsidRPr="001C291C">
              <w:rPr>
                <w:rFonts w:ascii="Arial" w:hAnsi="Arial" w:cs="Arial"/>
              </w:rPr>
              <w:t xml:space="preserve"> However, CA 15-3 levels showed no significant difference between PET-exposed</w:t>
            </w:r>
            <w:r w:rsidR="00EB512E">
              <w:rPr>
                <w:rFonts w:ascii="Arial" w:hAnsi="Arial" w:cs="Arial"/>
              </w:rPr>
              <w:t xml:space="preserve"> rats</w:t>
            </w:r>
            <w:r w:rsidRPr="001C291C">
              <w:rPr>
                <w:rFonts w:ascii="Arial" w:hAnsi="Arial" w:cs="Arial"/>
              </w:rPr>
              <w:t xml:space="preserve"> and </w:t>
            </w:r>
            <w:r w:rsidR="00EB512E">
              <w:rPr>
                <w:rFonts w:ascii="Arial" w:hAnsi="Arial" w:cs="Arial"/>
              </w:rPr>
              <w:t xml:space="preserve">the </w:t>
            </w:r>
            <w:r w:rsidRPr="001C291C">
              <w:rPr>
                <w:rFonts w:ascii="Arial" w:hAnsi="Arial" w:cs="Arial"/>
              </w:rPr>
              <w:t xml:space="preserve">control </w:t>
            </w:r>
            <w:r w:rsidR="00EB512E">
              <w:rPr>
                <w:rFonts w:ascii="Arial" w:hAnsi="Arial" w:cs="Arial"/>
              </w:rPr>
              <w:t>rats at</w:t>
            </w:r>
            <w:r w:rsidRPr="001C291C">
              <w:rPr>
                <w:rFonts w:ascii="Arial" w:hAnsi="Arial" w:cs="Arial"/>
              </w:rPr>
              <w:t xml:space="preserve"> </w:t>
            </w:r>
            <w:r w:rsidR="00AB55A9" w:rsidRPr="00AB55A9">
              <w:rPr>
                <w:rFonts w:ascii="Arial" w:hAnsi="Arial" w:cs="Arial"/>
                <w:i/>
                <w:iCs/>
              </w:rPr>
              <w:t>P</w:t>
            </w:r>
            <w:r w:rsidRPr="001C291C">
              <w:rPr>
                <w:rFonts w:ascii="Arial" w:hAnsi="Arial" w:cs="Arial"/>
              </w:rPr>
              <w:t>=0.077</w:t>
            </w:r>
            <w:r w:rsidR="00EA0B3B">
              <w:rPr>
                <w:rFonts w:ascii="Arial" w:hAnsi="Arial" w:cs="Arial"/>
              </w:rPr>
              <w:t xml:space="preserve">, </w:t>
            </w:r>
            <w:r w:rsidR="00EA0B3B" w:rsidRPr="00EA0B3B">
              <w:rPr>
                <w:rFonts w:ascii="Arial" w:hAnsi="Arial" w:cs="Arial"/>
              </w:rPr>
              <w:t>indicating that CA 15-3 was not notably affected by PET exposure</w:t>
            </w:r>
            <w:r w:rsidRPr="001C291C">
              <w:rPr>
                <w:rFonts w:ascii="Arial" w:hAnsi="Arial" w:cs="Arial"/>
              </w:rPr>
              <w:t>. Histological analysis revealed fibrocystic changes in the breast tissues of PET-exposed rats.</w:t>
            </w:r>
          </w:p>
          <w:p w14:paraId="533EEE06" w14:textId="77777777" w:rsidR="00887826" w:rsidRPr="00887826" w:rsidRDefault="00D56E70" w:rsidP="00887826">
            <w:pPr>
              <w:spacing w:before="240"/>
              <w:jc w:val="both"/>
              <w:rPr>
                <w:rFonts w:ascii="Arial" w:hAnsi="Arial" w:cs="Arial"/>
              </w:rPr>
            </w:pPr>
            <w:r w:rsidRPr="00A64602">
              <w:rPr>
                <w:rFonts w:ascii="Arial" w:hAnsi="Arial" w:cs="Arial"/>
                <w:b/>
                <w:bCs/>
              </w:rPr>
              <w:t xml:space="preserve">Conclusion: </w:t>
            </w:r>
            <w:r w:rsidR="00887826" w:rsidRPr="00887826">
              <w:rPr>
                <w:rFonts w:ascii="Arial" w:hAnsi="Arial" w:cs="Arial"/>
              </w:rPr>
              <w:t xml:space="preserve">These findings suggest that chronic PET microplastics exposure induced inflammatory responses and histological breast tissue alterations such as fibrocystic </w:t>
            </w:r>
            <w:r w:rsidR="00887826" w:rsidRPr="00887826">
              <w:rPr>
                <w:rFonts w:ascii="Arial" w:hAnsi="Arial" w:cs="Arial"/>
              </w:rPr>
              <w:lastRenderedPageBreak/>
              <w:t>changes, which are significant indicators of tissue remodeling and potential disease risk. This highlights the potential health risks associated with prolonged PET exposure.</w:t>
            </w:r>
          </w:p>
          <w:p w14:paraId="0A163DE1" w14:textId="303E3CC3" w:rsidR="00505F06" w:rsidRPr="00BA1B01" w:rsidRDefault="00505F06" w:rsidP="00441B6F">
            <w:pPr>
              <w:pStyle w:val="Body"/>
              <w:spacing w:after="0"/>
              <w:rPr>
                <w:rFonts w:ascii="Arial" w:eastAsia="Calibri" w:hAnsi="Arial" w:cs="Arial"/>
                <w:szCs w:val="22"/>
              </w:rPr>
            </w:pPr>
          </w:p>
        </w:tc>
      </w:tr>
    </w:tbl>
    <w:p w14:paraId="47B69977" w14:textId="77777777" w:rsidR="00D56E70" w:rsidRDefault="00D56E70" w:rsidP="00441B6F">
      <w:pPr>
        <w:pStyle w:val="Body"/>
        <w:spacing w:after="0"/>
        <w:rPr>
          <w:rFonts w:ascii="Arial" w:hAnsi="Arial" w:cs="Arial"/>
          <w:i/>
        </w:rPr>
      </w:pPr>
    </w:p>
    <w:p w14:paraId="7FA45BF4" w14:textId="2F0AA0F3" w:rsidR="00A24E7E" w:rsidRDefault="00A24E7E" w:rsidP="00441B6F">
      <w:pPr>
        <w:pStyle w:val="Body"/>
        <w:spacing w:after="0"/>
        <w:rPr>
          <w:rFonts w:ascii="Arial" w:hAnsi="Arial" w:cs="Arial"/>
          <w:i/>
        </w:rPr>
      </w:pPr>
      <w:r>
        <w:rPr>
          <w:rFonts w:ascii="Arial" w:hAnsi="Arial" w:cs="Arial"/>
          <w:i/>
        </w:rPr>
        <w:t xml:space="preserve">Keywords: </w:t>
      </w:r>
      <w:r w:rsidR="00ED7F3B" w:rsidRPr="00ED7F3B">
        <w:rPr>
          <w:rFonts w:ascii="Arial" w:hAnsi="Arial" w:cs="Arial"/>
          <w:i/>
          <w:iCs/>
        </w:rPr>
        <w:t>Breast cancer, Inflammation, Polyethylene Terephthalate (PET), Microplastics</w:t>
      </w:r>
    </w:p>
    <w:p w14:paraId="3CE6FD48" w14:textId="77777777" w:rsidR="0024282C" w:rsidRDefault="0024282C" w:rsidP="00441B6F">
      <w:pPr>
        <w:pStyle w:val="Body"/>
        <w:spacing w:after="0"/>
        <w:rPr>
          <w:rFonts w:ascii="Arial" w:hAnsi="Arial" w:cs="Arial"/>
          <w:i/>
          <w:sz w:val="18"/>
        </w:rPr>
      </w:pPr>
    </w:p>
    <w:p w14:paraId="048F7985" w14:textId="77777777" w:rsidR="00505F06" w:rsidRPr="00A24E7E" w:rsidRDefault="00505F06" w:rsidP="00441B6F">
      <w:pPr>
        <w:pStyle w:val="Body"/>
        <w:spacing w:after="0"/>
        <w:rPr>
          <w:rFonts w:ascii="Arial" w:hAnsi="Arial" w:cs="Arial"/>
          <w:i/>
        </w:rPr>
      </w:pPr>
    </w:p>
    <w:p w14:paraId="135FF885" w14:textId="5802B5B6"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00AD111" w14:textId="09F0D7DF" w:rsidR="0037172C" w:rsidRPr="0037172C" w:rsidRDefault="0037172C" w:rsidP="0037172C">
      <w:pPr>
        <w:spacing w:before="240" w:after="240" w:line="276" w:lineRule="auto"/>
        <w:jc w:val="both"/>
        <w:rPr>
          <w:rFonts w:ascii="Arial" w:hAnsi="Arial" w:cs="Arial"/>
        </w:rPr>
      </w:pPr>
      <w:r w:rsidRPr="0037172C">
        <w:rPr>
          <w:rFonts w:ascii="Arial" w:hAnsi="Arial" w:cs="Arial"/>
        </w:rPr>
        <w:t xml:space="preserve">Breast cancer, which is an abnormal, uncontrolled growth of cells in the breast tissue, is currently the 5th cause of cancer-related deaths, with an estimated 2.3 million new cases worldwide (Sung </w:t>
      </w:r>
      <w:r w:rsidRPr="0037172C">
        <w:rPr>
          <w:rFonts w:ascii="Arial" w:hAnsi="Arial" w:cs="Arial"/>
          <w:i/>
          <w:iCs/>
        </w:rPr>
        <w:t>et al.,</w:t>
      </w:r>
      <w:r w:rsidRPr="0037172C">
        <w:rPr>
          <w:rFonts w:ascii="Arial" w:hAnsi="Arial" w:cs="Arial"/>
        </w:rPr>
        <w:t xml:space="preserve"> 2021; Kumar </w:t>
      </w:r>
      <w:r w:rsidRPr="0037172C">
        <w:rPr>
          <w:rFonts w:ascii="Arial" w:hAnsi="Arial" w:cs="Arial"/>
          <w:i/>
          <w:iCs/>
        </w:rPr>
        <w:t>et al.,</w:t>
      </w:r>
      <w:r w:rsidRPr="0037172C">
        <w:rPr>
          <w:rFonts w:ascii="Arial" w:hAnsi="Arial" w:cs="Arial"/>
        </w:rPr>
        <w:t xml:space="preserve"> 2022). It is one of the most frequently occurring cancers among women, remaining a major public health concern due to its high occurrence and increasing trend (Devi </w:t>
      </w:r>
      <w:r w:rsidRPr="0037172C">
        <w:rPr>
          <w:rFonts w:ascii="Arial" w:hAnsi="Arial" w:cs="Arial"/>
          <w:i/>
          <w:iCs/>
        </w:rPr>
        <w:t>et al.,</w:t>
      </w:r>
      <w:r w:rsidRPr="0037172C">
        <w:rPr>
          <w:rFonts w:ascii="Arial" w:hAnsi="Arial" w:cs="Arial"/>
        </w:rPr>
        <w:t xml:space="preserve"> 2021). In 2022, there were 2.3 million women diagnosed with breast cancer and 670 000 deaths globally (WHO, 2024). It is most common in developed countries but rapidly rises in developing countries (Sun </w:t>
      </w:r>
      <w:r w:rsidRPr="0037172C">
        <w:rPr>
          <w:rFonts w:ascii="Arial" w:hAnsi="Arial" w:cs="Arial"/>
          <w:i/>
          <w:iCs/>
        </w:rPr>
        <w:t>et al.,</w:t>
      </w:r>
      <w:r w:rsidRPr="0037172C">
        <w:rPr>
          <w:rFonts w:ascii="Arial" w:hAnsi="Arial" w:cs="Arial"/>
        </w:rPr>
        <w:t xml:space="preserve"> 2022). Breast cancer rates vary due to genetic manipulations, lifestyle factors, early detection and treatment access, making understanding risk factors and etiology crucial for prevention, early detection, and treatment. Recently, different natural and chemical substances, including microplastics, have been implicated in causing damage to organs of the body, including inflammatory response and cancer (Yee </w:t>
      </w:r>
      <w:r w:rsidRPr="0037172C">
        <w:rPr>
          <w:rFonts w:ascii="Arial" w:hAnsi="Arial" w:cs="Arial"/>
          <w:i/>
          <w:iCs/>
        </w:rPr>
        <w:t>et al.,</w:t>
      </w:r>
      <w:r w:rsidRPr="0037172C">
        <w:rPr>
          <w:rFonts w:ascii="Arial" w:hAnsi="Arial" w:cs="Arial"/>
        </w:rPr>
        <w:t xml:space="preserve"> 2021; Park </w:t>
      </w:r>
      <w:r w:rsidRPr="0037172C">
        <w:rPr>
          <w:rFonts w:ascii="Arial" w:hAnsi="Arial" w:cs="Arial"/>
          <w:i/>
          <w:iCs/>
        </w:rPr>
        <w:t>et al.,</w:t>
      </w:r>
      <w:r w:rsidRPr="0037172C">
        <w:rPr>
          <w:rFonts w:ascii="Arial" w:hAnsi="Arial" w:cs="Arial"/>
        </w:rPr>
        <w:t xml:space="preserve"> 2023; Li </w:t>
      </w:r>
      <w:r w:rsidRPr="0037172C">
        <w:rPr>
          <w:rFonts w:ascii="Arial" w:hAnsi="Arial" w:cs="Arial"/>
          <w:i/>
          <w:iCs/>
        </w:rPr>
        <w:t>et al.,</w:t>
      </w:r>
      <w:r w:rsidRPr="0037172C">
        <w:rPr>
          <w:rFonts w:ascii="Arial" w:hAnsi="Arial" w:cs="Arial"/>
        </w:rPr>
        <w:t xml:space="preserve"> 2024).</w:t>
      </w:r>
    </w:p>
    <w:p w14:paraId="16F3D02C" w14:textId="77777777" w:rsidR="00427893" w:rsidRPr="00427893" w:rsidRDefault="00427893" w:rsidP="0037172C">
      <w:pPr>
        <w:spacing w:before="240" w:after="240" w:line="276" w:lineRule="auto"/>
        <w:jc w:val="both"/>
        <w:rPr>
          <w:rFonts w:ascii="Arial" w:hAnsi="Arial" w:cs="Arial"/>
        </w:rPr>
      </w:pPr>
      <w:r w:rsidRPr="00427893">
        <w:rPr>
          <w:rFonts w:ascii="Arial" w:hAnsi="Arial" w:cs="Arial"/>
        </w:rPr>
        <w:t xml:space="preserve">Microplastics are plastic particles with a diameter less than 5 mm, and recently, there has been a global recognition of the potential damage and threat they pose to the environment and human health (Priya </w:t>
      </w:r>
      <w:r w:rsidRPr="00427893">
        <w:rPr>
          <w:rFonts w:ascii="Arial" w:hAnsi="Arial" w:cs="Arial"/>
          <w:i/>
          <w:iCs/>
        </w:rPr>
        <w:t>et al.,</w:t>
      </w:r>
      <w:r w:rsidRPr="00427893">
        <w:rPr>
          <w:rFonts w:ascii="Arial" w:hAnsi="Arial" w:cs="Arial"/>
        </w:rPr>
        <w:t xml:space="preserve"> 2022; Ziani </w:t>
      </w:r>
      <w:r w:rsidRPr="00427893">
        <w:rPr>
          <w:rFonts w:ascii="Arial" w:hAnsi="Arial" w:cs="Arial"/>
          <w:i/>
          <w:iCs/>
        </w:rPr>
        <w:t>et al.,</w:t>
      </w:r>
      <w:r w:rsidRPr="00427893">
        <w:rPr>
          <w:rFonts w:ascii="Arial" w:hAnsi="Arial" w:cs="Arial"/>
        </w:rPr>
        <w:t xml:space="preserve"> 2023). With a tremendous increase in the worldwide use of plastics (Li </w:t>
      </w:r>
      <w:r w:rsidRPr="00427893">
        <w:rPr>
          <w:rFonts w:ascii="Arial" w:hAnsi="Arial" w:cs="Arial"/>
          <w:i/>
          <w:iCs/>
        </w:rPr>
        <w:t>et al.,</w:t>
      </w:r>
      <w:r w:rsidRPr="00427893">
        <w:rPr>
          <w:rFonts w:ascii="Arial" w:hAnsi="Arial" w:cs="Arial"/>
        </w:rPr>
        <w:t xml:space="preserve"> 2023), recently, microplastic particles have been classified as a new environmental pollutant due to their increased toxicity </w:t>
      </w:r>
      <w:proofErr w:type="gramStart"/>
      <w:r w:rsidRPr="00427893">
        <w:rPr>
          <w:rFonts w:ascii="Arial" w:hAnsi="Arial" w:cs="Arial"/>
        </w:rPr>
        <w:t>as a result of</w:t>
      </w:r>
      <w:proofErr w:type="gramEnd"/>
      <w:r w:rsidRPr="00427893">
        <w:rPr>
          <w:rFonts w:ascii="Arial" w:hAnsi="Arial" w:cs="Arial"/>
        </w:rPr>
        <w:t xml:space="preserve"> high production and extremely low natural biodegradation in the ecosystem (Prata, 2018; Li </w:t>
      </w:r>
      <w:r w:rsidRPr="00427893">
        <w:rPr>
          <w:rFonts w:ascii="Arial" w:hAnsi="Arial" w:cs="Arial"/>
          <w:i/>
          <w:iCs/>
        </w:rPr>
        <w:t>et al.,</w:t>
      </w:r>
      <w:r w:rsidRPr="00427893">
        <w:rPr>
          <w:rFonts w:ascii="Arial" w:hAnsi="Arial" w:cs="Arial"/>
        </w:rPr>
        <w:t xml:space="preserve"> 2023). There are also increasing reports of microplastics in drinking water and food products (</w:t>
      </w:r>
      <w:proofErr w:type="spellStart"/>
      <w:r w:rsidRPr="00427893">
        <w:rPr>
          <w:rFonts w:ascii="Arial" w:hAnsi="Arial" w:cs="Arial"/>
        </w:rPr>
        <w:t>Schymanski</w:t>
      </w:r>
      <w:proofErr w:type="spellEnd"/>
      <w:r w:rsidRPr="00427893">
        <w:rPr>
          <w:rFonts w:ascii="Arial" w:hAnsi="Arial" w:cs="Arial"/>
        </w:rPr>
        <w:t xml:space="preserve"> </w:t>
      </w:r>
      <w:r w:rsidRPr="00427893">
        <w:rPr>
          <w:rFonts w:ascii="Arial" w:hAnsi="Arial" w:cs="Arial"/>
          <w:i/>
          <w:iCs/>
        </w:rPr>
        <w:t>et al.,</w:t>
      </w:r>
      <w:r w:rsidRPr="00427893">
        <w:rPr>
          <w:rFonts w:ascii="Arial" w:hAnsi="Arial" w:cs="Arial"/>
        </w:rPr>
        <w:t xml:space="preserve"> 2018), which can enter the human body from the environment or through food (Deng </w:t>
      </w:r>
      <w:r w:rsidRPr="00427893">
        <w:rPr>
          <w:rFonts w:ascii="Arial" w:hAnsi="Arial" w:cs="Arial"/>
          <w:i/>
          <w:iCs/>
        </w:rPr>
        <w:t>et al.,</w:t>
      </w:r>
      <w:r w:rsidRPr="00427893">
        <w:rPr>
          <w:rFonts w:ascii="Arial" w:hAnsi="Arial" w:cs="Arial"/>
        </w:rPr>
        <w:t xml:space="preserve"> 2017; Schwabl </w:t>
      </w:r>
      <w:r w:rsidRPr="00427893">
        <w:rPr>
          <w:rFonts w:ascii="Arial" w:hAnsi="Arial" w:cs="Arial"/>
          <w:i/>
          <w:iCs/>
        </w:rPr>
        <w:t>et al.,</w:t>
      </w:r>
      <w:r w:rsidRPr="00427893">
        <w:rPr>
          <w:rFonts w:ascii="Arial" w:hAnsi="Arial" w:cs="Arial"/>
        </w:rPr>
        <w:t xml:space="preserve"> 2019).</w:t>
      </w:r>
    </w:p>
    <w:p w14:paraId="7B332451" w14:textId="4B8B9933" w:rsidR="00B1111B" w:rsidRPr="00B1111B" w:rsidRDefault="00B1111B" w:rsidP="00B1111B">
      <w:pPr>
        <w:spacing w:before="240" w:after="240" w:line="276" w:lineRule="auto"/>
        <w:jc w:val="both"/>
        <w:rPr>
          <w:rFonts w:ascii="Arial" w:hAnsi="Arial" w:cs="Arial"/>
        </w:rPr>
      </w:pPr>
      <w:r w:rsidRPr="00B1111B">
        <w:rPr>
          <w:rFonts w:ascii="Arial" w:hAnsi="Arial" w:cs="Arial"/>
        </w:rPr>
        <w:t xml:space="preserve">Major commercial plastic polymers in the market include polypropylene (PP), polyethylene (PE), polyethylene terephthalate (PET), polystyrene (PS), and polyvinyl chloride (PVC) (Sharma </w:t>
      </w:r>
      <w:r w:rsidRPr="00B1111B">
        <w:rPr>
          <w:rFonts w:ascii="Arial" w:hAnsi="Arial" w:cs="Arial"/>
          <w:i/>
          <w:iCs/>
        </w:rPr>
        <w:t>et al.,</w:t>
      </w:r>
      <w:r w:rsidRPr="00B1111B">
        <w:rPr>
          <w:rFonts w:ascii="Arial" w:hAnsi="Arial" w:cs="Arial"/>
        </w:rPr>
        <w:t xml:space="preserve"> 2023). Polyethylene terephthalate (PET) is a widely used plastic polymer, especially in Nigeria, particularly favored for its robustness, clarity, and food safety, making it a popular choice for beverage bottles, food packaging, and synthetic fibers (Dhaka </w:t>
      </w:r>
      <w:r w:rsidRPr="00B1111B">
        <w:rPr>
          <w:rFonts w:ascii="Arial" w:hAnsi="Arial" w:cs="Arial"/>
          <w:i/>
          <w:iCs/>
        </w:rPr>
        <w:t>et al.,</w:t>
      </w:r>
      <w:r w:rsidRPr="00B1111B">
        <w:rPr>
          <w:rFonts w:ascii="Arial" w:hAnsi="Arial" w:cs="Arial"/>
        </w:rPr>
        <w:t xml:space="preserve"> 2022). Over time and through physical wear, exposure to UV light, and other environmental stressors, PET products can degrade and fragment into smaller pieces (microplastics), which can persist in the environment, contributing significantly to pollution and human toxicity (De Vos </w:t>
      </w:r>
      <w:r w:rsidRPr="00B1111B">
        <w:rPr>
          <w:rFonts w:ascii="Arial" w:hAnsi="Arial" w:cs="Arial"/>
          <w:i/>
          <w:iCs/>
        </w:rPr>
        <w:t>et al.,</w:t>
      </w:r>
      <w:r w:rsidRPr="00B1111B">
        <w:rPr>
          <w:rFonts w:ascii="Arial" w:hAnsi="Arial" w:cs="Arial"/>
        </w:rPr>
        <w:t xml:space="preserve"> 2021). Also, it has been reported that when these plastics are used in food packaging and bottling of water, microplastics have the tendency of leaching into foods (serving as a potential source of toxicity affecting human health), and contributing to various responses and diseases in the body, which may include inflammatory response and cancer (Campanale </w:t>
      </w:r>
      <w:r w:rsidRPr="00B1111B">
        <w:rPr>
          <w:rFonts w:ascii="Arial" w:hAnsi="Arial" w:cs="Arial"/>
          <w:i/>
          <w:iCs/>
        </w:rPr>
        <w:t>et al.,</w:t>
      </w:r>
      <w:r w:rsidRPr="00B1111B">
        <w:rPr>
          <w:rFonts w:ascii="Arial" w:hAnsi="Arial" w:cs="Arial"/>
        </w:rPr>
        <w:t xml:space="preserve"> 2020). Due to the adverse effects of microplastics, various international organizations have banned their use, especially phthalates, in various household products such as toys and childcare articles in concentrations above 0.1% (The Danish EPA, 2013; The REACH Regulation, 2019).</w:t>
      </w:r>
    </w:p>
    <w:p w14:paraId="53213EC9" w14:textId="0E2AE8EE" w:rsidR="003825E7" w:rsidRPr="003825E7" w:rsidRDefault="003825E7" w:rsidP="003825E7">
      <w:pPr>
        <w:spacing w:after="240" w:line="276" w:lineRule="auto"/>
        <w:jc w:val="both"/>
        <w:rPr>
          <w:rFonts w:ascii="Arial" w:hAnsi="Arial" w:cs="Arial"/>
        </w:rPr>
      </w:pPr>
      <w:r w:rsidRPr="003825E7">
        <w:rPr>
          <w:rFonts w:ascii="Arial" w:hAnsi="Arial" w:cs="Arial"/>
        </w:rPr>
        <w:lastRenderedPageBreak/>
        <w:t>As these microplastics (MPs) pose significant environmental and health concerns, the long-term effects of MPs on human health and chronic diseases, including cancer, are currently unknown or not extensively studied</w:t>
      </w:r>
      <w:r w:rsidR="00901805">
        <w:rPr>
          <w:rFonts w:ascii="Arial" w:hAnsi="Arial" w:cs="Arial"/>
        </w:rPr>
        <w:t>, especially</w:t>
      </w:r>
      <w:r w:rsidRPr="003825E7">
        <w:rPr>
          <w:rFonts w:ascii="Arial" w:hAnsi="Arial" w:cs="Arial"/>
        </w:rPr>
        <w:t xml:space="preserve"> in this part of the world (Rahman </w:t>
      </w:r>
      <w:r w:rsidRPr="003825E7">
        <w:rPr>
          <w:rFonts w:ascii="Arial" w:hAnsi="Arial" w:cs="Arial"/>
          <w:i/>
          <w:iCs/>
        </w:rPr>
        <w:t>et al.,</w:t>
      </w:r>
      <w:r w:rsidRPr="003825E7">
        <w:rPr>
          <w:rFonts w:ascii="Arial" w:hAnsi="Arial" w:cs="Arial"/>
        </w:rPr>
        <w:t xml:space="preserve"> 2021). Few studies have shown that the ingestion of MPs can cause an inflammatory response and can damage the gut, cause organ damage, and affect reproduction and metabolism (Li </w:t>
      </w:r>
      <w:r w:rsidRPr="003825E7">
        <w:rPr>
          <w:rFonts w:ascii="Arial" w:hAnsi="Arial" w:cs="Arial"/>
          <w:i/>
          <w:iCs/>
        </w:rPr>
        <w:t>et al.,</w:t>
      </w:r>
      <w:r w:rsidRPr="003825E7">
        <w:rPr>
          <w:rFonts w:ascii="Arial" w:hAnsi="Arial" w:cs="Arial"/>
        </w:rPr>
        <w:t xml:space="preserve"> 2024). Also, Campanale </w:t>
      </w:r>
      <w:r w:rsidRPr="003825E7">
        <w:rPr>
          <w:rFonts w:ascii="Arial" w:hAnsi="Arial" w:cs="Arial"/>
          <w:i/>
          <w:iCs/>
        </w:rPr>
        <w:t>et al.</w:t>
      </w:r>
      <w:r w:rsidRPr="003825E7">
        <w:rPr>
          <w:rFonts w:ascii="Arial" w:hAnsi="Arial" w:cs="Arial"/>
        </w:rPr>
        <w:t xml:space="preserve"> (2020) reported that MPs introduced through skin contact can cause skin damage due to local inflammation and cellular toxicity. Further, most plastic products have been known to release estrogenic chemicals or endocrine-disrupting chemicals (EDCs), and exposure to EDCs and estrogenic chemicals released by most plastics may cause hormonal imbalances as well as increasing the risk of cancer, including breast cancer (Rodgers </w:t>
      </w:r>
      <w:r w:rsidRPr="003825E7">
        <w:rPr>
          <w:rFonts w:ascii="Arial" w:hAnsi="Arial" w:cs="Arial"/>
          <w:i/>
          <w:iCs/>
        </w:rPr>
        <w:t>et al.,</w:t>
      </w:r>
      <w:r w:rsidRPr="003825E7">
        <w:rPr>
          <w:rFonts w:ascii="Arial" w:hAnsi="Arial" w:cs="Arial"/>
        </w:rPr>
        <w:t xml:space="preserve"> 2018; Kannan and Vimalkumar, 2021). Park </w:t>
      </w:r>
      <w:r w:rsidRPr="003825E7">
        <w:rPr>
          <w:rFonts w:ascii="Arial" w:hAnsi="Arial" w:cs="Arial"/>
          <w:i/>
          <w:iCs/>
        </w:rPr>
        <w:t>et al.</w:t>
      </w:r>
      <w:r w:rsidRPr="003825E7">
        <w:rPr>
          <w:rFonts w:ascii="Arial" w:hAnsi="Arial" w:cs="Arial"/>
        </w:rPr>
        <w:t xml:space="preserve"> (2023), in their study on polypropylene microplastics, found that moderate amounts of </w:t>
      </w:r>
      <w:r w:rsidR="00901805" w:rsidRPr="00B1111B">
        <w:rPr>
          <w:rFonts w:ascii="Arial" w:hAnsi="Arial" w:cs="Arial"/>
        </w:rPr>
        <w:t>polypropylene</w:t>
      </w:r>
      <w:r w:rsidR="00901805" w:rsidRPr="003825E7">
        <w:rPr>
          <w:rFonts w:ascii="Arial" w:hAnsi="Arial" w:cs="Arial"/>
        </w:rPr>
        <w:t xml:space="preserve"> </w:t>
      </w:r>
      <w:r w:rsidR="00901805">
        <w:rPr>
          <w:rFonts w:ascii="Arial" w:hAnsi="Arial" w:cs="Arial"/>
        </w:rPr>
        <w:t>microplastics (</w:t>
      </w:r>
      <w:proofErr w:type="spellStart"/>
      <w:r w:rsidRPr="003825E7">
        <w:rPr>
          <w:rFonts w:ascii="Arial" w:hAnsi="Arial" w:cs="Arial"/>
        </w:rPr>
        <w:t>PPMPs</w:t>
      </w:r>
      <w:proofErr w:type="spellEnd"/>
      <w:r w:rsidR="00901805">
        <w:rPr>
          <w:rFonts w:ascii="Arial" w:hAnsi="Arial" w:cs="Arial"/>
        </w:rPr>
        <w:t>)</w:t>
      </w:r>
      <w:r w:rsidRPr="003825E7">
        <w:rPr>
          <w:rFonts w:ascii="Arial" w:hAnsi="Arial" w:cs="Arial"/>
        </w:rPr>
        <w:t xml:space="preserve"> significantly accelerated the cell cycle of cancer cells and enhanced the secretion of interleukin 6 (IL-6) in the human breast cancer cell lines MDA-MB-231 and MCF-7, stating that chronic exposure to </w:t>
      </w:r>
      <w:proofErr w:type="spellStart"/>
      <w:r w:rsidRPr="003825E7">
        <w:rPr>
          <w:rFonts w:ascii="Arial" w:hAnsi="Arial" w:cs="Arial"/>
        </w:rPr>
        <w:t>PPMPs</w:t>
      </w:r>
      <w:proofErr w:type="spellEnd"/>
      <w:r w:rsidRPr="003825E7">
        <w:rPr>
          <w:rFonts w:ascii="Arial" w:hAnsi="Arial" w:cs="Arial"/>
        </w:rPr>
        <w:t xml:space="preserve"> may increase the risk of cancer progression and metastasis.</w:t>
      </w:r>
    </w:p>
    <w:p w14:paraId="3F90B58E" w14:textId="77777777" w:rsidR="00B7682F" w:rsidRPr="00B7682F" w:rsidRDefault="00B7682F" w:rsidP="00B7682F">
      <w:pPr>
        <w:spacing w:after="240" w:line="276" w:lineRule="auto"/>
        <w:jc w:val="both"/>
        <w:rPr>
          <w:rFonts w:ascii="Arial" w:hAnsi="Arial" w:cs="Arial"/>
        </w:rPr>
      </w:pPr>
      <w:r w:rsidRPr="00B7682F">
        <w:rPr>
          <w:rFonts w:ascii="Arial" w:hAnsi="Arial" w:cs="Arial"/>
        </w:rPr>
        <w:t>Currently, there is a dearth of literature on the risks of PET MPs relating to inflammatory response and cancer development or metabolic diseases, especially in Nigeria, where breast cancer remains one of the most common cancers, affecting millions of people with rising incidence rates. This highlights the urgent need for research into all potential risk factors, including environmental pollutants like microplastics; hence the need for this study. This study was therefore conducted to evaluate the effects of chronic exposure to polyethylene terephthalate (PET) microplastics on CA 15-3 breast cancer marker, tumor necrosis factor-α (TNF-α), and breast tissues of female albino rats. Understanding the effects of these particles on human health, particularly in relation to inflammatory response and breast cancer, is crucial for assessing potential risks, effective diagnosis, prevention, and implementing appropriate regulatory measures to improve health and outcomes.</w:t>
      </w:r>
    </w:p>
    <w:p w14:paraId="598BC6C4" w14:textId="77777777" w:rsidR="00ED7F3B" w:rsidRDefault="00ED7F3B" w:rsidP="00441B6F">
      <w:pPr>
        <w:pStyle w:val="AbstHead"/>
        <w:spacing w:after="0"/>
        <w:jc w:val="both"/>
        <w:rPr>
          <w:rFonts w:ascii="Arial" w:hAnsi="Arial" w:cs="Arial"/>
        </w:rPr>
      </w:pPr>
    </w:p>
    <w:p w14:paraId="20CDCF52" w14:textId="0A6A15C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r w:rsidR="007F7B32">
        <w:rPr>
          <w:rFonts w:ascii="Arial" w:hAnsi="Arial" w:cs="Arial"/>
        </w:rPr>
        <w:t xml:space="preserve"> </w:t>
      </w:r>
    </w:p>
    <w:p w14:paraId="1297355D" w14:textId="77777777" w:rsidR="00790ADA" w:rsidRPr="00FB3A86" w:rsidRDefault="00790ADA" w:rsidP="00441B6F">
      <w:pPr>
        <w:pStyle w:val="AbstHead"/>
        <w:spacing w:after="0"/>
        <w:jc w:val="both"/>
        <w:rPr>
          <w:rFonts w:ascii="Arial" w:hAnsi="Arial" w:cs="Arial"/>
        </w:rPr>
      </w:pPr>
    </w:p>
    <w:p w14:paraId="6421D752" w14:textId="77777777" w:rsidR="00ED7F3B" w:rsidRPr="00A14D06" w:rsidRDefault="00ED7F3B" w:rsidP="00ED7F3B">
      <w:pPr>
        <w:spacing w:line="276" w:lineRule="auto"/>
        <w:rPr>
          <w:rFonts w:ascii="Arial" w:hAnsi="Arial" w:cs="Arial"/>
          <w:b/>
          <w:sz w:val="22"/>
          <w:szCs w:val="22"/>
        </w:rPr>
      </w:pPr>
      <w:r w:rsidRPr="00A14D06">
        <w:rPr>
          <w:rFonts w:ascii="Arial" w:hAnsi="Arial" w:cs="Arial"/>
          <w:b/>
          <w:sz w:val="22"/>
          <w:szCs w:val="22"/>
        </w:rPr>
        <w:t>2.1</w:t>
      </w:r>
      <w:r w:rsidRPr="00A14D06">
        <w:rPr>
          <w:rFonts w:ascii="Arial" w:hAnsi="Arial" w:cs="Arial"/>
          <w:b/>
          <w:sz w:val="22"/>
          <w:szCs w:val="22"/>
        </w:rPr>
        <w:tab/>
        <w:t>Materials</w:t>
      </w:r>
    </w:p>
    <w:p w14:paraId="5B27D4B7" w14:textId="4E5CB2C7" w:rsidR="002F3A5B" w:rsidRPr="002F3A5B" w:rsidRDefault="002F3A5B" w:rsidP="002F3A5B">
      <w:pPr>
        <w:spacing w:line="276" w:lineRule="auto"/>
        <w:jc w:val="both"/>
        <w:rPr>
          <w:rFonts w:ascii="Arial" w:hAnsi="Arial" w:cs="Arial"/>
        </w:rPr>
      </w:pPr>
      <w:r w:rsidRPr="002F3A5B">
        <w:rPr>
          <w:rFonts w:ascii="Arial" w:hAnsi="Arial" w:cs="Arial"/>
        </w:rPr>
        <w:t>Female albino rats used in this study were obtained from the University of Port Harcourt Teaching Hospital and transported in a well-ventilated wired cage to the Animal House at the Department of Animal and Environmental Biology, Rivers State University, Port Harcourt, where the study was carried out. Polyethylene terephthalate (PET, PETE), (C10H8O</w:t>
      </w:r>
      <w:proofErr w:type="gramStart"/>
      <w:r w:rsidRPr="002F3A5B">
        <w:rPr>
          <w:rFonts w:ascii="Arial" w:hAnsi="Arial" w:cs="Arial"/>
        </w:rPr>
        <w:t>4)n</w:t>
      </w:r>
      <w:proofErr w:type="gramEnd"/>
      <w:r w:rsidRPr="002F3A5B">
        <w:rPr>
          <w:rFonts w:ascii="Arial" w:hAnsi="Arial" w:cs="Arial"/>
        </w:rPr>
        <w:t>, (CAS Number 25038-59-9), pellets used in this study were obtained from a petrochemical industry in Port Harcourt, Rivers State. Rat-specific cancer marker CA 15-3 ELISA kit (Cat. No. E1139Ra) was obtained from Bioassay Technology Laboratory, Jiaxing, Zhejiang Province, China. Rat-specific TNF-α (</w:t>
      </w:r>
      <w:proofErr w:type="spellStart"/>
      <w:r w:rsidRPr="002F3A5B">
        <w:rPr>
          <w:rFonts w:ascii="Arial" w:hAnsi="Arial" w:cs="Arial"/>
        </w:rPr>
        <w:t>Tumour</w:t>
      </w:r>
      <w:proofErr w:type="spellEnd"/>
      <w:r w:rsidRPr="002F3A5B">
        <w:rPr>
          <w:rFonts w:ascii="Arial" w:hAnsi="Arial" w:cs="Arial"/>
        </w:rPr>
        <w:t xml:space="preserve"> Necrosis Factor Alpha) ELISA Kit (Catalog No: E-EL-R2856) was obtained from </w:t>
      </w:r>
      <w:proofErr w:type="spellStart"/>
      <w:r w:rsidRPr="002F3A5B">
        <w:rPr>
          <w:rFonts w:ascii="Arial" w:hAnsi="Arial" w:cs="Arial"/>
        </w:rPr>
        <w:t>Elabscience</w:t>
      </w:r>
      <w:proofErr w:type="spellEnd"/>
      <w:r w:rsidRPr="002F3A5B">
        <w:rPr>
          <w:rFonts w:ascii="Arial" w:hAnsi="Arial" w:cs="Arial"/>
        </w:rPr>
        <w:t xml:space="preserve"> </w:t>
      </w:r>
      <w:proofErr w:type="spellStart"/>
      <w:r w:rsidRPr="002F3A5B">
        <w:rPr>
          <w:rFonts w:ascii="Arial" w:hAnsi="Arial" w:cs="Arial"/>
        </w:rPr>
        <w:t>Bioinovation</w:t>
      </w:r>
      <w:proofErr w:type="spellEnd"/>
      <w:r w:rsidRPr="002F3A5B">
        <w:rPr>
          <w:rFonts w:ascii="Arial" w:hAnsi="Arial" w:cs="Arial"/>
        </w:rPr>
        <w:t xml:space="preserve"> Inc. Other equipment used included the </w:t>
      </w:r>
      <w:proofErr w:type="spellStart"/>
      <w:r w:rsidRPr="002F3A5B">
        <w:rPr>
          <w:rFonts w:ascii="Arial" w:hAnsi="Arial" w:cs="Arial"/>
        </w:rPr>
        <w:t>MindRay</w:t>
      </w:r>
      <w:proofErr w:type="spellEnd"/>
      <w:r w:rsidRPr="002F3A5B">
        <w:rPr>
          <w:rFonts w:ascii="Arial" w:hAnsi="Arial" w:cs="Arial"/>
        </w:rPr>
        <w:t xml:space="preserve"> MR-96A Microplate Reader, NewLife Bucket Centrifuge (Model: 800D), digital weighing balance, tissue embedder (LEICA </w:t>
      </w:r>
      <w:proofErr w:type="spellStart"/>
      <w:r w:rsidRPr="002F3A5B">
        <w:rPr>
          <w:rFonts w:ascii="Arial" w:hAnsi="Arial" w:cs="Arial"/>
        </w:rPr>
        <w:t>EG</w:t>
      </w:r>
      <w:proofErr w:type="spellEnd"/>
      <w:r w:rsidRPr="002F3A5B">
        <w:rPr>
          <w:rFonts w:ascii="Arial" w:hAnsi="Arial" w:cs="Arial"/>
        </w:rPr>
        <w:t xml:space="preserve"> 1160), and rotatory microtome (LEICA RM 2125 RTS). All chemicals, stains, and reagents used for all analyses were of good quality and analytical grade.</w:t>
      </w:r>
    </w:p>
    <w:p w14:paraId="2EA37518" w14:textId="77777777" w:rsidR="00A14D06" w:rsidRDefault="00A14D06" w:rsidP="00ED7F3B">
      <w:pPr>
        <w:spacing w:line="276" w:lineRule="auto"/>
        <w:jc w:val="both"/>
        <w:rPr>
          <w:rFonts w:ascii="Arial" w:hAnsi="Arial" w:cs="Arial"/>
          <w:bCs/>
        </w:rPr>
      </w:pPr>
    </w:p>
    <w:p w14:paraId="3315C908" w14:textId="77777777" w:rsidR="00ED7F3B" w:rsidRPr="004C13C4" w:rsidRDefault="00ED7F3B" w:rsidP="00ED7F3B">
      <w:pPr>
        <w:spacing w:line="276" w:lineRule="auto"/>
        <w:jc w:val="both"/>
        <w:rPr>
          <w:rFonts w:ascii="Arial" w:hAnsi="Arial" w:cs="Arial"/>
          <w:bCs/>
        </w:rPr>
      </w:pPr>
    </w:p>
    <w:p w14:paraId="65CDFB7E" w14:textId="3F2E6318" w:rsidR="00ED7F3B" w:rsidRPr="00A14D06" w:rsidRDefault="00ED7F3B" w:rsidP="00ED7F3B">
      <w:pPr>
        <w:spacing w:line="276" w:lineRule="auto"/>
        <w:jc w:val="both"/>
        <w:rPr>
          <w:rFonts w:ascii="Arial" w:hAnsi="Arial" w:cs="Arial"/>
          <w:b/>
          <w:sz w:val="22"/>
          <w:szCs w:val="22"/>
        </w:rPr>
      </w:pPr>
      <w:r w:rsidRPr="00A14D06">
        <w:rPr>
          <w:rFonts w:ascii="Arial" w:hAnsi="Arial" w:cs="Arial"/>
          <w:b/>
          <w:sz w:val="22"/>
          <w:szCs w:val="22"/>
        </w:rPr>
        <w:lastRenderedPageBreak/>
        <w:t>2.2</w:t>
      </w:r>
      <w:r w:rsidRPr="00A14D06">
        <w:rPr>
          <w:rFonts w:ascii="Arial" w:hAnsi="Arial" w:cs="Arial"/>
          <w:b/>
          <w:sz w:val="22"/>
          <w:szCs w:val="22"/>
        </w:rPr>
        <w:tab/>
        <w:t>Experimental Animals</w:t>
      </w:r>
    </w:p>
    <w:p w14:paraId="795C02F9" w14:textId="6FF25BD5" w:rsidR="000E6E8D" w:rsidRPr="000E6E8D" w:rsidRDefault="000E6E8D" w:rsidP="000E6E8D">
      <w:pPr>
        <w:spacing w:line="276" w:lineRule="auto"/>
        <w:jc w:val="both"/>
        <w:rPr>
          <w:rFonts w:ascii="Arial" w:hAnsi="Arial" w:cs="Arial"/>
        </w:rPr>
      </w:pPr>
      <w:r w:rsidRPr="000E6E8D">
        <w:rPr>
          <w:rFonts w:ascii="Arial" w:hAnsi="Arial" w:cs="Arial"/>
        </w:rPr>
        <w:t xml:space="preserve">Thirty-five (35) female albino rats weighing approximately 150 g–170 g were used for the study. The rats were acclimatized for 14 days prior to the initiation of the research and were permitted access to standard laboratory feed and uncontaminated drinking water </w:t>
      </w:r>
      <w:r w:rsidRPr="000E6E8D">
        <w:rPr>
          <w:rFonts w:ascii="Arial" w:hAnsi="Arial" w:cs="Arial"/>
          <w:i/>
          <w:iCs/>
        </w:rPr>
        <w:t>ad libitum.</w:t>
      </w:r>
      <w:r w:rsidRPr="000E6E8D">
        <w:rPr>
          <w:rFonts w:ascii="Arial" w:hAnsi="Arial" w:cs="Arial"/>
        </w:rPr>
        <w:t xml:space="preserve"> The rats were placed in a well-ventilated cage in a temperature-maintained (28 ± 2 °C) and humidity-regulated (47 ± 2%) location, with a typical 12:12 light-dark photocycle. The animal experiments and handling were in consonance with the National Research Council's Guide for the Care and Use of Laboratory Animals Health (National Research Council, 2011) and the ARRIVE (Animal Research: Reporting of In Vivo Experiments) guidelines (Percie du </w:t>
      </w:r>
      <w:proofErr w:type="spellStart"/>
      <w:r w:rsidRPr="000E6E8D">
        <w:rPr>
          <w:rFonts w:ascii="Arial" w:hAnsi="Arial" w:cs="Arial"/>
        </w:rPr>
        <w:t>Sert</w:t>
      </w:r>
      <w:proofErr w:type="spellEnd"/>
      <w:r w:rsidRPr="000E6E8D">
        <w:rPr>
          <w:rFonts w:ascii="Arial" w:hAnsi="Arial" w:cs="Arial"/>
        </w:rPr>
        <w:t>, 2020).</w:t>
      </w:r>
    </w:p>
    <w:p w14:paraId="7243E17F" w14:textId="77777777" w:rsidR="00ED7F3B" w:rsidRPr="004C13C4" w:rsidRDefault="00ED7F3B" w:rsidP="00ED7F3B">
      <w:pPr>
        <w:spacing w:line="276" w:lineRule="auto"/>
        <w:jc w:val="both"/>
        <w:rPr>
          <w:rFonts w:ascii="Arial" w:hAnsi="Arial" w:cs="Arial"/>
          <w:b/>
        </w:rPr>
      </w:pPr>
    </w:p>
    <w:p w14:paraId="312EAE43" w14:textId="77777777" w:rsidR="00ED7F3B" w:rsidRPr="00A14D06" w:rsidRDefault="00ED7F3B" w:rsidP="00ED7F3B">
      <w:pPr>
        <w:spacing w:line="276" w:lineRule="auto"/>
        <w:jc w:val="both"/>
        <w:rPr>
          <w:rFonts w:ascii="Arial" w:hAnsi="Arial" w:cs="Arial"/>
          <w:b/>
          <w:sz w:val="22"/>
          <w:szCs w:val="22"/>
        </w:rPr>
      </w:pPr>
      <w:r w:rsidRPr="00A14D06">
        <w:rPr>
          <w:rFonts w:ascii="Arial" w:hAnsi="Arial" w:cs="Arial"/>
          <w:b/>
          <w:sz w:val="22"/>
          <w:szCs w:val="22"/>
        </w:rPr>
        <w:t>2.3</w:t>
      </w:r>
      <w:r w:rsidRPr="00A14D06">
        <w:rPr>
          <w:rFonts w:ascii="Arial" w:hAnsi="Arial" w:cs="Arial"/>
          <w:b/>
          <w:sz w:val="22"/>
          <w:szCs w:val="22"/>
        </w:rPr>
        <w:tab/>
        <w:t xml:space="preserve">Preparation of </w:t>
      </w:r>
      <w:r w:rsidRPr="00A14D06">
        <w:rPr>
          <w:rFonts w:ascii="Arial" w:hAnsi="Arial" w:cs="Arial"/>
          <w:b/>
          <w:bCs/>
          <w:sz w:val="22"/>
          <w:szCs w:val="22"/>
        </w:rPr>
        <w:t>Polyethylene terephthalate (PET)</w:t>
      </w:r>
    </w:p>
    <w:p w14:paraId="565DBC0F" w14:textId="77777777" w:rsidR="002F3A5B" w:rsidRPr="002F3A5B" w:rsidRDefault="002F3A5B" w:rsidP="002F3A5B">
      <w:pPr>
        <w:spacing w:line="276" w:lineRule="auto"/>
        <w:jc w:val="both"/>
        <w:rPr>
          <w:rFonts w:ascii="Arial" w:hAnsi="Arial" w:cs="Arial"/>
        </w:rPr>
      </w:pPr>
      <w:r w:rsidRPr="002F3A5B">
        <w:rPr>
          <w:rFonts w:ascii="Arial" w:hAnsi="Arial" w:cs="Arial"/>
        </w:rPr>
        <w:t>Polyethylene terephthalate pellets were crushed thoroughly using a mechanical grinder to obtain tiny particles (microplastics). Then, the particles from the crushed PET were weighed using a digital weighing balance (Model: TS500), mixed with water, and allowed to stay for 24 hours, after which they were filtered using a micropore sieve before use.</w:t>
      </w:r>
    </w:p>
    <w:p w14:paraId="3D7332BB" w14:textId="77777777" w:rsidR="00ED7F3B" w:rsidRPr="00A14D06" w:rsidRDefault="00ED7F3B" w:rsidP="00ED7F3B">
      <w:pPr>
        <w:spacing w:line="276" w:lineRule="auto"/>
        <w:jc w:val="both"/>
        <w:rPr>
          <w:rFonts w:ascii="Arial" w:hAnsi="Arial" w:cs="Arial"/>
          <w:sz w:val="22"/>
          <w:szCs w:val="22"/>
        </w:rPr>
      </w:pPr>
    </w:p>
    <w:p w14:paraId="076DF9BE" w14:textId="4B561E4A" w:rsidR="00ED7F3B" w:rsidRPr="00A14D06" w:rsidRDefault="00264095" w:rsidP="00264095">
      <w:pPr>
        <w:spacing w:line="276" w:lineRule="auto"/>
        <w:jc w:val="both"/>
        <w:rPr>
          <w:rFonts w:ascii="Arial" w:hAnsi="Arial" w:cs="Arial"/>
          <w:b/>
          <w:bCs/>
          <w:sz w:val="22"/>
          <w:szCs w:val="22"/>
        </w:rPr>
      </w:pPr>
      <w:r w:rsidRPr="00A14D06">
        <w:rPr>
          <w:rFonts w:ascii="Arial" w:hAnsi="Arial" w:cs="Arial"/>
          <w:b/>
          <w:bCs/>
          <w:sz w:val="22"/>
          <w:szCs w:val="22"/>
        </w:rPr>
        <w:t xml:space="preserve">2.4 </w:t>
      </w:r>
      <w:r w:rsidRPr="00A14D06">
        <w:rPr>
          <w:rFonts w:ascii="Arial" w:hAnsi="Arial" w:cs="Arial"/>
          <w:b/>
          <w:bCs/>
          <w:sz w:val="22"/>
          <w:szCs w:val="22"/>
        </w:rPr>
        <w:tab/>
      </w:r>
      <w:r w:rsidR="00ED7F3B" w:rsidRPr="00A14D06">
        <w:rPr>
          <w:rFonts w:ascii="Arial" w:hAnsi="Arial" w:cs="Arial"/>
          <w:b/>
          <w:bCs/>
          <w:sz w:val="22"/>
          <w:szCs w:val="22"/>
        </w:rPr>
        <w:t>Dose Determination and Pilot Study</w:t>
      </w:r>
    </w:p>
    <w:p w14:paraId="5DECE60F" w14:textId="77777777" w:rsidR="00F82C21" w:rsidRDefault="00F82C21" w:rsidP="00F82C21">
      <w:pPr>
        <w:spacing w:line="276" w:lineRule="auto"/>
        <w:jc w:val="both"/>
        <w:rPr>
          <w:rFonts w:ascii="Arial" w:hAnsi="Arial" w:cs="Arial"/>
        </w:rPr>
      </w:pPr>
      <w:r w:rsidRPr="00F82C21">
        <w:rPr>
          <w:rFonts w:ascii="Arial" w:hAnsi="Arial" w:cs="Arial"/>
        </w:rPr>
        <w:t>A pilot study was carried out to determine the LD</w:t>
      </w:r>
      <w:r w:rsidRPr="00DB1C35">
        <w:rPr>
          <w:rFonts w:ascii="Arial" w:hAnsi="Arial" w:cs="Arial"/>
          <w:vertAlign w:val="subscript"/>
        </w:rPr>
        <w:t>50</w:t>
      </w:r>
      <w:r w:rsidRPr="00F82C21">
        <w:rPr>
          <w:rFonts w:ascii="Arial" w:hAnsi="Arial" w:cs="Arial"/>
        </w:rPr>
        <w:t xml:space="preserve"> of polyethylene terephthalate (PET) microplastic administered orally after allowing 14 days of acclimatization using the </w:t>
      </w:r>
      <w:proofErr w:type="spellStart"/>
      <w:r w:rsidRPr="00F82C21">
        <w:rPr>
          <w:rFonts w:ascii="Arial" w:hAnsi="Arial" w:cs="Arial"/>
        </w:rPr>
        <w:t>Lorke’s</w:t>
      </w:r>
      <w:proofErr w:type="spellEnd"/>
      <w:r w:rsidRPr="00F82C21">
        <w:rPr>
          <w:rFonts w:ascii="Arial" w:hAnsi="Arial" w:cs="Arial"/>
        </w:rPr>
        <w:t xml:space="preserve"> method of pilot toxicity testing as described by Chinedu </w:t>
      </w:r>
      <w:r w:rsidRPr="00F82C21">
        <w:rPr>
          <w:rFonts w:ascii="Arial" w:hAnsi="Arial" w:cs="Arial"/>
          <w:i/>
          <w:iCs/>
        </w:rPr>
        <w:t>et al.</w:t>
      </w:r>
      <w:r w:rsidRPr="00F82C21">
        <w:rPr>
          <w:rFonts w:ascii="Arial" w:hAnsi="Arial" w:cs="Arial"/>
        </w:rPr>
        <w:t xml:space="preserve"> (2013). A total of 12 rats weighing approximately 150 g–170 g were used for the pilot study. The rats were classified into 6 groups labelled 1, 2, 3, 4, 5, and 6, with groups 1–3 consisting of 3 rats each and groups 4–6 having 1 rat each, and were treated with 20 mg/kg, 50 mg/kg, 80 mg/kg, 100 mg/kg, 115 mg/kg, and 130 mg/kg PET microplastic, respectively. After 24 hours, the rats were observed for signs of PET toxicity, such as changes in feeding </w:t>
      </w:r>
      <w:proofErr w:type="spellStart"/>
      <w:r w:rsidRPr="00F82C21">
        <w:rPr>
          <w:rFonts w:ascii="Arial" w:hAnsi="Arial" w:cs="Arial"/>
        </w:rPr>
        <w:t>behaviour</w:t>
      </w:r>
      <w:proofErr w:type="spellEnd"/>
      <w:r w:rsidRPr="00F82C21">
        <w:rPr>
          <w:rFonts w:ascii="Arial" w:hAnsi="Arial" w:cs="Arial"/>
        </w:rPr>
        <w:t>, micturition, restlessness, pupil constriction, and convulsion. The LD</w:t>
      </w:r>
      <w:r w:rsidRPr="00295BEE">
        <w:rPr>
          <w:rFonts w:ascii="Arial" w:hAnsi="Arial" w:cs="Arial"/>
          <w:vertAlign w:val="subscript"/>
        </w:rPr>
        <w:t>50</w:t>
      </w:r>
      <w:r w:rsidRPr="00F82C21">
        <w:rPr>
          <w:rFonts w:ascii="Arial" w:hAnsi="Arial" w:cs="Arial"/>
        </w:rPr>
        <w:t xml:space="preserve"> of the PET administered orally was obtained using </w:t>
      </w:r>
      <w:proofErr w:type="spellStart"/>
      <w:r w:rsidRPr="00F82C21">
        <w:rPr>
          <w:rFonts w:ascii="Arial" w:hAnsi="Arial" w:cs="Arial"/>
        </w:rPr>
        <w:t>Lorke’s</w:t>
      </w:r>
      <w:proofErr w:type="spellEnd"/>
      <w:r w:rsidRPr="00F82C21">
        <w:rPr>
          <w:rFonts w:ascii="Arial" w:hAnsi="Arial" w:cs="Arial"/>
        </w:rPr>
        <w:t xml:space="preserve"> formula:</w:t>
      </w:r>
    </w:p>
    <w:p w14:paraId="24072F3D" w14:textId="77777777" w:rsidR="00F82C21" w:rsidRPr="00F82C21" w:rsidRDefault="00F82C21" w:rsidP="00F82C21">
      <w:pPr>
        <w:spacing w:line="276" w:lineRule="auto"/>
        <w:jc w:val="both"/>
        <w:rPr>
          <w:rFonts w:ascii="Arial" w:hAnsi="Arial" w:cs="Arial"/>
        </w:rPr>
      </w:pPr>
    </w:p>
    <w:p w14:paraId="6442B29A" w14:textId="77777777" w:rsidR="00F82C21" w:rsidRPr="00F82C21" w:rsidRDefault="00F82C21" w:rsidP="00F82C21">
      <w:pPr>
        <w:spacing w:line="276" w:lineRule="auto"/>
        <w:jc w:val="both"/>
        <w:rPr>
          <w:rFonts w:ascii="Arial" w:hAnsi="Arial" w:cs="Arial"/>
        </w:rPr>
      </w:pPr>
      <w:r w:rsidRPr="00F82C21">
        <w:rPr>
          <w:rFonts w:ascii="Arial" w:hAnsi="Arial" w:cs="Arial"/>
        </w:rPr>
        <w:t>LD</w:t>
      </w:r>
      <w:r w:rsidRPr="00295BEE">
        <w:rPr>
          <w:rFonts w:ascii="Arial" w:hAnsi="Arial" w:cs="Arial"/>
          <w:vertAlign w:val="subscript"/>
        </w:rPr>
        <w:t>50</w:t>
      </w:r>
      <w:r w:rsidRPr="00F82C21">
        <w:rPr>
          <w:rFonts w:ascii="Arial" w:hAnsi="Arial" w:cs="Arial"/>
        </w:rPr>
        <w:t xml:space="preserve"> = √ (D</w:t>
      </w:r>
      <w:r w:rsidRPr="00295BEE">
        <w:rPr>
          <w:rFonts w:ascii="Arial" w:hAnsi="Arial" w:cs="Arial"/>
          <w:vertAlign w:val="subscript"/>
        </w:rPr>
        <w:t>0</w:t>
      </w:r>
      <w:r w:rsidRPr="00F82C21">
        <w:rPr>
          <w:rFonts w:ascii="Arial" w:hAnsi="Arial" w:cs="Arial"/>
        </w:rPr>
        <w:t xml:space="preserve"> × D</w:t>
      </w:r>
      <w:r w:rsidRPr="00295BEE">
        <w:rPr>
          <w:rFonts w:ascii="Arial" w:hAnsi="Arial" w:cs="Arial"/>
          <w:vertAlign w:val="subscript"/>
        </w:rPr>
        <w:t>100</w:t>
      </w:r>
      <w:r w:rsidRPr="00F82C21">
        <w:rPr>
          <w:rFonts w:ascii="Arial" w:hAnsi="Arial" w:cs="Arial"/>
        </w:rPr>
        <w:t>)</w:t>
      </w:r>
    </w:p>
    <w:p w14:paraId="5DB34311" w14:textId="77777777" w:rsidR="00F82C21" w:rsidRDefault="00F82C21" w:rsidP="00F82C21">
      <w:pPr>
        <w:spacing w:line="276" w:lineRule="auto"/>
        <w:jc w:val="both"/>
        <w:rPr>
          <w:rFonts w:ascii="Arial" w:hAnsi="Arial" w:cs="Arial"/>
        </w:rPr>
      </w:pPr>
    </w:p>
    <w:p w14:paraId="6DCAA006" w14:textId="42AC0E74" w:rsidR="00F82C21" w:rsidRPr="00F82C21" w:rsidRDefault="00F82C21" w:rsidP="00F82C21">
      <w:pPr>
        <w:spacing w:line="276" w:lineRule="auto"/>
        <w:jc w:val="both"/>
        <w:rPr>
          <w:rFonts w:ascii="Arial" w:hAnsi="Arial" w:cs="Arial"/>
        </w:rPr>
      </w:pPr>
      <w:r w:rsidRPr="00F82C21">
        <w:rPr>
          <w:rFonts w:ascii="Arial" w:hAnsi="Arial" w:cs="Arial"/>
        </w:rPr>
        <w:t>Where:</w:t>
      </w:r>
    </w:p>
    <w:p w14:paraId="1169FD78" w14:textId="77777777" w:rsidR="00F82C21" w:rsidRPr="00F82C21" w:rsidRDefault="00F82C21" w:rsidP="00F82C21">
      <w:pPr>
        <w:spacing w:line="276" w:lineRule="auto"/>
        <w:jc w:val="both"/>
        <w:rPr>
          <w:rFonts w:ascii="Arial" w:hAnsi="Arial" w:cs="Arial"/>
        </w:rPr>
      </w:pPr>
      <w:r w:rsidRPr="00F82C21">
        <w:rPr>
          <w:rFonts w:ascii="Arial" w:hAnsi="Arial" w:cs="Arial"/>
        </w:rPr>
        <w:t>D</w:t>
      </w:r>
      <w:r w:rsidRPr="00295BEE">
        <w:rPr>
          <w:rFonts w:ascii="Arial" w:hAnsi="Arial" w:cs="Arial"/>
          <w:vertAlign w:val="subscript"/>
        </w:rPr>
        <w:t>0</w:t>
      </w:r>
      <w:r w:rsidRPr="00F82C21">
        <w:rPr>
          <w:rFonts w:ascii="Arial" w:hAnsi="Arial" w:cs="Arial"/>
        </w:rPr>
        <w:t xml:space="preserve"> = Highest dose that gave no mortality</w:t>
      </w:r>
    </w:p>
    <w:p w14:paraId="2A2D9EAA" w14:textId="77777777" w:rsidR="00F82C21" w:rsidRPr="00F82C21" w:rsidRDefault="00F82C21" w:rsidP="00F82C21">
      <w:pPr>
        <w:spacing w:line="276" w:lineRule="auto"/>
        <w:jc w:val="both"/>
        <w:rPr>
          <w:rFonts w:ascii="Arial" w:hAnsi="Arial" w:cs="Arial"/>
        </w:rPr>
      </w:pPr>
      <w:r w:rsidRPr="00F82C21">
        <w:rPr>
          <w:rFonts w:ascii="Arial" w:hAnsi="Arial" w:cs="Arial"/>
        </w:rPr>
        <w:t>D</w:t>
      </w:r>
      <w:r w:rsidRPr="00295BEE">
        <w:rPr>
          <w:rFonts w:ascii="Arial" w:hAnsi="Arial" w:cs="Arial"/>
          <w:vertAlign w:val="subscript"/>
        </w:rPr>
        <w:t>100</w:t>
      </w:r>
      <w:r w:rsidRPr="00F82C21">
        <w:rPr>
          <w:rFonts w:ascii="Arial" w:hAnsi="Arial" w:cs="Arial"/>
        </w:rPr>
        <w:t xml:space="preserve"> = Lowest dose that produced mortality</w:t>
      </w:r>
    </w:p>
    <w:p w14:paraId="332CB0D5" w14:textId="77777777" w:rsidR="00F82C21" w:rsidRPr="00F82C21" w:rsidRDefault="00F82C21" w:rsidP="00F82C21">
      <w:pPr>
        <w:spacing w:line="276" w:lineRule="auto"/>
        <w:jc w:val="both"/>
        <w:rPr>
          <w:rFonts w:ascii="Arial" w:hAnsi="Arial" w:cs="Arial"/>
        </w:rPr>
      </w:pPr>
      <w:r w:rsidRPr="00F82C21">
        <w:rPr>
          <w:rFonts w:ascii="Arial" w:hAnsi="Arial" w:cs="Arial"/>
          <w:b/>
          <w:bCs/>
        </w:rPr>
        <w:t> </w:t>
      </w:r>
    </w:p>
    <w:p w14:paraId="0B929D42" w14:textId="77777777" w:rsidR="004C13C4" w:rsidRPr="00B4595E" w:rsidRDefault="004C13C4" w:rsidP="004C13C4">
      <w:pPr>
        <w:spacing w:line="276" w:lineRule="auto"/>
        <w:jc w:val="both"/>
        <w:rPr>
          <w:rFonts w:ascii="Arial" w:hAnsi="Arial" w:cs="Arial"/>
          <w:b/>
          <w:sz w:val="22"/>
          <w:szCs w:val="22"/>
        </w:rPr>
      </w:pPr>
    </w:p>
    <w:p w14:paraId="12A7B463"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t>2.5</w:t>
      </w:r>
      <w:r w:rsidRPr="00B4595E">
        <w:rPr>
          <w:rFonts w:ascii="Arial" w:hAnsi="Arial" w:cs="Arial"/>
          <w:b/>
          <w:sz w:val="22"/>
          <w:szCs w:val="22"/>
        </w:rPr>
        <w:tab/>
        <w:t>Experimental Design</w:t>
      </w:r>
    </w:p>
    <w:p w14:paraId="0EC3B4B9" w14:textId="77777777" w:rsidR="004D029A" w:rsidRPr="004D029A" w:rsidRDefault="004D029A" w:rsidP="004D029A">
      <w:pPr>
        <w:spacing w:line="276" w:lineRule="auto"/>
        <w:jc w:val="both"/>
        <w:rPr>
          <w:rFonts w:ascii="Arial" w:hAnsi="Arial" w:cs="Arial"/>
        </w:rPr>
      </w:pPr>
      <w:bookmarkStart w:id="0" w:name="_Hlk168488723"/>
      <w:r w:rsidRPr="004D029A">
        <w:rPr>
          <w:rFonts w:ascii="Arial" w:hAnsi="Arial" w:cs="Arial"/>
        </w:rPr>
        <w:t>After allowing fourteen (14) days for adaptation to the new environment (acclimatization), the rats for the study were randomly assigned into five (5) groups labelled group 1 to 5 with seven (7) rats in each group, as shown in table 1.</w:t>
      </w:r>
    </w:p>
    <w:p w14:paraId="04F8D568" w14:textId="77777777" w:rsidR="004D029A" w:rsidRPr="004D029A" w:rsidRDefault="004D029A" w:rsidP="004D029A">
      <w:pPr>
        <w:spacing w:line="276" w:lineRule="auto"/>
        <w:jc w:val="both"/>
        <w:rPr>
          <w:rFonts w:ascii="Arial" w:hAnsi="Arial" w:cs="Arial"/>
        </w:rPr>
      </w:pPr>
      <w:r w:rsidRPr="004D029A">
        <w:rPr>
          <w:rFonts w:ascii="Arial" w:hAnsi="Arial" w:cs="Arial"/>
        </w:rPr>
        <w:t> </w:t>
      </w:r>
    </w:p>
    <w:p w14:paraId="37520789" w14:textId="77777777" w:rsidR="00B4595E" w:rsidRDefault="00B4595E" w:rsidP="004C13C4">
      <w:pPr>
        <w:spacing w:line="276" w:lineRule="auto"/>
        <w:jc w:val="both"/>
        <w:rPr>
          <w:rFonts w:ascii="Arial" w:hAnsi="Arial" w:cs="Arial"/>
        </w:rPr>
      </w:pPr>
    </w:p>
    <w:p w14:paraId="1D37E2DC" w14:textId="77777777" w:rsidR="00B4595E" w:rsidRDefault="00B4595E" w:rsidP="004C13C4">
      <w:pPr>
        <w:spacing w:line="276" w:lineRule="auto"/>
        <w:jc w:val="both"/>
        <w:rPr>
          <w:rFonts w:ascii="Arial" w:hAnsi="Arial" w:cs="Arial"/>
        </w:rPr>
      </w:pPr>
    </w:p>
    <w:p w14:paraId="6441316D" w14:textId="77777777" w:rsidR="00B4595E" w:rsidRDefault="00B4595E" w:rsidP="004C13C4">
      <w:pPr>
        <w:spacing w:line="276" w:lineRule="auto"/>
        <w:jc w:val="both"/>
        <w:rPr>
          <w:rFonts w:ascii="Arial" w:hAnsi="Arial" w:cs="Arial"/>
        </w:rPr>
      </w:pPr>
    </w:p>
    <w:p w14:paraId="3FA2B447" w14:textId="77777777" w:rsidR="00B4595E" w:rsidRDefault="00B4595E" w:rsidP="004C13C4">
      <w:pPr>
        <w:spacing w:line="276" w:lineRule="auto"/>
        <w:jc w:val="both"/>
        <w:rPr>
          <w:rFonts w:ascii="Arial" w:hAnsi="Arial" w:cs="Arial"/>
        </w:rPr>
      </w:pPr>
    </w:p>
    <w:p w14:paraId="7862DB3B" w14:textId="77777777" w:rsidR="00B4595E" w:rsidRPr="004C13C4" w:rsidRDefault="00B4595E" w:rsidP="004C13C4">
      <w:pPr>
        <w:spacing w:line="276" w:lineRule="auto"/>
        <w:jc w:val="both"/>
        <w:rPr>
          <w:rFonts w:ascii="Arial" w:hAnsi="Arial" w:cs="Arial"/>
        </w:rPr>
      </w:pPr>
    </w:p>
    <w:p w14:paraId="45B553CD" w14:textId="37A99F41" w:rsidR="004C13C4" w:rsidRPr="004C13C4" w:rsidRDefault="004C13C4" w:rsidP="004C13C4">
      <w:pPr>
        <w:spacing w:line="276" w:lineRule="auto"/>
        <w:jc w:val="both"/>
        <w:rPr>
          <w:rFonts w:ascii="Arial" w:hAnsi="Arial" w:cs="Arial"/>
          <w:b/>
          <w:bCs/>
        </w:rPr>
      </w:pPr>
      <w:r w:rsidRPr="004C13C4">
        <w:rPr>
          <w:rFonts w:ascii="Arial" w:hAnsi="Arial" w:cs="Arial"/>
          <w:b/>
          <w:bCs/>
        </w:rPr>
        <w:lastRenderedPageBreak/>
        <w:t xml:space="preserve">Table </w:t>
      </w:r>
      <w:r w:rsidR="00B4595E">
        <w:rPr>
          <w:rFonts w:ascii="Arial" w:hAnsi="Arial" w:cs="Arial"/>
          <w:b/>
          <w:bCs/>
        </w:rPr>
        <w:t>1</w:t>
      </w:r>
      <w:r w:rsidRPr="004C13C4">
        <w:rPr>
          <w:rFonts w:ascii="Arial" w:hAnsi="Arial" w:cs="Arial"/>
          <w:b/>
          <w:bCs/>
        </w:rPr>
        <w:t xml:space="preserve">: Experimental Design </w:t>
      </w:r>
    </w:p>
    <w:tbl>
      <w:tblPr>
        <w:tblW w:w="4808" w:type="pct"/>
        <w:tblCellMar>
          <w:left w:w="0" w:type="dxa"/>
          <w:right w:w="0" w:type="dxa"/>
        </w:tblCellMar>
        <w:tblLook w:val="0620" w:firstRow="1" w:lastRow="0" w:firstColumn="0" w:lastColumn="0" w:noHBand="1" w:noVBand="1"/>
      </w:tblPr>
      <w:tblGrid>
        <w:gridCol w:w="3473"/>
        <w:gridCol w:w="4420"/>
      </w:tblGrid>
      <w:tr w:rsidR="004C13C4" w:rsidRPr="004C13C4" w14:paraId="60639CA8" w14:textId="77777777" w:rsidTr="00E643B5">
        <w:trPr>
          <w:trHeight w:val="340"/>
        </w:trPr>
        <w:tc>
          <w:tcPr>
            <w:tcW w:w="22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85CC18D" w14:textId="77777777" w:rsidR="004C13C4" w:rsidRPr="004C13C4" w:rsidRDefault="004C13C4" w:rsidP="00E643B5">
            <w:pPr>
              <w:spacing w:line="276" w:lineRule="auto"/>
              <w:jc w:val="both"/>
              <w:rPr>
                <w:rFonts w:ascii="Arial" w:hAnsi="Arial" w:cs="Arial"/>
              </w:rPr>
            </w:pPr>
            <w:r w:rsidRPr="004C13C4">
              <w:rPr>
                <w:rFonts w:ascii="Arial" w:hAnsi="Arial" w:cs="Arial"/>
                <w:b/>
                <w:bCs/>
              </w:rPr>
              <w:t>Groups</w:t>
            </w:r>
          </w:p>
        </w:tc>
        <w:tc>
          <w:tcPr>
            <w:tcW w:w="28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97A3581" w14:textId="77777777" w:rsidR="004C13C4" w:rsidRPr="004C13C4" w:rsidRDefault="004C13C4" w:rsidP="00E643B5">
            <w:pPr>
              <w:spacing w:line="276" w:lineRule="auto"/>
              <w:jc w:val="both"/>
              <w:rPr>
                <w:rFonts w:ascii="Arial" w:hAnsi="Arial" w:cs="Arial"/>
              </w:rPr>
            </w:pPr>
            <w:r w:rsidRPr="004C13C4">
              <w:rPr>
                <w:rFonts w:ascii="Arial" w:hAnsi="Arial" w:cs="Arial"/>
                <w:b/>
                <w:bCs/>
              </w:rPr>
              <w:t>Treatment</w:t>
            </w:r>
          </w:p>
        </w:tc>
      </w:tr>
      <w:tr w:rsidR="004C13C4" w:rsidRPr="004C13C4" w14:paraId="11E16DAB" w14:textId="77777777" w:rsidTr="00E672F9">
        <w:trPr>
          <w:trHeight w:val="493"/>
        </w:trPr>
        <w:tc>
          <w:tcPr>
            <w:tcW w:w="220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687DD08A" w14:textId="77777777" w:rsidR="004C13C4" w:rsidRPr="004C13C4" w:rsidRDefault="004C13C4" w:rsidP="00E643B5">
            <w:pPr>
              <w:spacing w:line="276" w:lineRule="auto"/>
              <w:jc w:val="both"/>
              <w:rPr>
                <w:rFonts w:ascii="Arial" w:hAnsi="Arial" w:cs="Arial"/>
              </w:rPr>
            </w:pPr>
            <w:r w:rsidRPr="004C13C4">
              <w:rPr>
                <w:rFonts w:ascii="Arial" w:hAnsi="Arial" w:cs="Arial"/>
              </w:rPr>
              <w:t>1 (Negative Control)</w:t>
            </w:r>
          </w:p>
        </w:tc>
        <w:tc>
          <w:tcPr>
            <w:tcW w:w="280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3DB63379" w14:textId="77777777" w:rsidR="004C13C4" w:rsidRPr="004C13C4" w:rsidRDefault="004C13C4" w:rsidP="00E643B5">
            <w:pPr>
              <w:spacing w:line="276" w:lineRule="auto"/>
              <w:jc w:val="both"/>
              <w:rPr>
                <w:rFonts w:ascii="Arial" w:hAnsi="Arial" w:cs="Arial"/>
              </w:rPr>
            </w:pPr>
            <w:r w:rsidRPr="004C13C4">
              <w:rPr>
                <w:rFonts w:ascii="Arial" w:hAnsi="Arial" w:cs="Arial"/>
              </w:rPr>
              <w:t>Food and water only</w:t>
            </w:r>
          </w:p>
        </w:tc>
      </w:tr>
      <w:tr w:rsidR="004C13C4" w:rsidRPr="004C13C4" w14:paraId="19D7D068" w14:textId="77777777" w:rsidTr="0037172C">
        <w:trPr>
          <w:trHeight w:val="522"/>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10390241" w14:textId="77777777" w:rsidR="004C13C4" w:rsidRPr="004C13C4" w:rsidRDefault="004C13C4" w:rsidP="00E643B5">
            <w:pPr>
              <w:spacing w:line="276" w:lineRule="auto"/>
              <w:jc w:val="both"/>
              <w:rPr>
                <w:rFonts w:ascii="Arial" w:hAnsi="Arial" w:cs="Arial"/>
              </w:rPr>
            </w:pPr>
            <w:r w:rsidRPr="004C13C4">
              <w:rPr>
                <w:rFonts w:ascii="Arial" w:hAnsi="Arial" w:cs="Arial"/>
              </w:rPr>
              <w:t>2 (Low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761835E0" w14:textId="77777777" w:rsidR="004C13C4" w:rsidRPr="004C13C4" w:rsidRDefault="004C13C4" w:rsidP="00E643B5">
            <w:pPr>
              <w:spacing w:line="276" w:lineRule="auto"/>
              <w:jc w:val="both"/>
              <w:rPr>
                <w:rFonts w:ascii="Arial" w:hAnsi="Arial" w:cs="Arial"/>
              </w:rPr>
            </w:pPr>
            <w:r w:rsidRPr="004C13C4">
              <w:rPr>
                <w:rFonts w:ascii="Arial" w:hAnsi="Arial" w:cs="Arial"/>
                <w:bCs/>
              </w:rPr>
              <w:t xml:space="preserve">40mg/kg PET microplastics + Food and Water </w:t>
            </w:r>
          </w:p>
        </w:tc>
      </w:tr>
      <w:tr w:rsidR="004C13C4" w:rsidRPr="004C13C4" w14:paraId="70CBB664" w14:textId="77777777" w:rsidTr="0037172C">
        <w:trPr>
          <w:trHeight w:val="495"/>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0762ED57" w14:textId="77777777" w:rsidR="004C13C4" w:rsidRPr="004C13C4" w:rsidRDefault="004C13C4" w:rsidP="00E643B5">
            <w:pPr>
              <w:spacing w:line="276" w:lineRule="auto"/>
              <w:jc w:val="both"/>
              <w:rPr>
                <w:rFonts w:ascii="Arial" w:hAnsi="Arial" w:cs="Arial"/>
              </w:rPr>
            </w:pPr>
            <w:r w:rsidRPr="004C13C4">
              <w:rPr>
                <w:rFonts w:ascii="Arial" w:hAnsi="Arial" w:cs="Arial"/>
              </w:rPr>
              <w:t>3 (Medium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7937E7FC" w14:textId="77777777" w:rsidR="004C13C4" w:rsidRPr="004C13C4" w:rsidRDefault="004C13C4" w:rsidP="00E643B5">
            <w:pPr>
              <w:spacing w:line="276" w:lineRule="auto"/>
              <w:jc w:val="both"/>
              <w:rPr>
                <w:rFonts w:ascii="Arial" w:hAnsi="Arial" w:cs="Arial"/>
              </w:rPr>
            </w:pPr>
            <w:r w:rsidRPr="004C13C4">
              <w:rPr>
                <w:rFonts w:ascii="Arial" w:hAnsi="Arial" w:cs="Arial"/>
                <w:bCs/>
              </w:rPr>
              <w:t>80mg/kg PET microplastics + Food and Water</w:t>
            </w:r>
          </w:p>
        </w:tc>
      </w:tr>
      <w:tr w:rsidR="004C13C4" w:rsidRPr="004C13C4" w14:paraId="719EE3CA" w14:textId="77777777" w:rsidTr="0037172C">
        <w:trPr>
          <w:trHeight w:val="522"/>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5221004E" w14:textId="77777777" w:rsidR="004C13C4" w:rsidRPr="004C13C4" w:rsidRDefault="004C13C4" w:rsidP="00E643B5">
            <w:pPr>
              <w:spacing w:line="276" w:lineRule="auto"/>
              <w:jc w:val="both"/>
              <w:rPr>
                <w:rFonts w:ascii="Arial" w:hAnsi="Arial" w:cs="Arial"/>
              </w:rPr>
            </w:pPr>
            <w:r w:rsidRPr="004C13C4">
              <w:rPr>
                <w:rFonts w:ascii="Arial" w:hAnsi="Arial" w:cs="Arial"/>
              </w:rPr>
              <w:t>4 (High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5715926A" w14:textId="77777777" w:rsidR="004C13C4" w:rsidRPr="004C13C4" w:rsidRDefault="004C13C4" w:rsidP="00E643B5">
            <w:pPr>
              <w:spacing w:line="276" w:lineRule="auto"/>
              <w:jc w:val="both"/>
              <w:rPr>
                <w:rFonts w:ascii="Arial" w:hAnsi="Arial" w:cs="Arial"/>
              </w:rPr>
            </w:pPr>
            <w:r w:rsidRPr="004C13C4">
              <w:rPr>
                <w:rFonts w:ascii="Arial" w:hAnsi="Arial" w:cs="Arial"/>
                <w:bCs/>
              </w:rPr>
              <w:t>120mg/kg PET microplastics + Food and Water</w:t>
            </w:r>
          </w:p>
        </w:tc>
      </w:tr>
      <w:tr w:rsidR="004C13C4" w:rsidRPr="004C13C4" w14:paraId="50C1A2F8" w14:textId="77777777" w:rsidTr="0037172C">
        <w:trPr>
          <w:trHeight w:val="792"/>
        </w:trPr>
        <w:tc>
          <w:tcPr>
            <w:tcW w:w="2200" w:type="pct"/>
            <w:tcBorders>
              <w:top w:val="nil"/>
              <w:left w:val="nil"/>
              <w:bottom w:val="single" w:sz="8" w:space="0" w:color="000000"/>
              <w:right w:val="nil"/>
            </w:tcBorders>
            <w:shd w:val="clear" w:color="auto" w:fill="auto"/>
            <w:tcMar>
              <w:top w:w="72" w:type="dxa"/>
              <w:left w:w="144" w:type="dxa"/>
              <w:bottom w:w="72" w:type="dxa"/>
              <w:right w:w="144" w:type="dxa"/>
            </w:tcMar>
          </w:tcPr>
          <w:p w14:paraId="7795C32D" w14:textId="77777777" w:rsidR="004C13C4" w:rsidRPr="004C13C4" w:rsidRDefault="004C13C4" w:rsidP="00E643B5">
            <w:pPr>
              <w:spacing w:line="276" w:lineRule="auto"/>
              <w:jc w:val="both"/>
              <w:rPr>
                <w:rFonts w:ascii="Arial" w:hAnsi="Arial" w:cs="Arial"/>
              </w:rPr>
            </w:pPr>
            <w:r w:rsidRPr="004C13C4">
              <w:rPr>
                <w:rFonts w:ascii="Arial" w:hAnsi="Arial" w:cs="Arial"/>
                <w:bCs/>
              </w:rPr>
              <w:t xml:space="preserve">5 (Food and water exposed to sunlight in PET containers) </w:t>
            </w:r>
          </w:p>
        </w:tc>
        <w:tc>
          <w:tcPr>
            <w:tcW w:w="2800" w:type="pct"/>
            <w:tcBorders>
              <w:top w:val="nil"/>
              <w:left w:val="nil"/>
              <w:bottom w:val="single" w:sz="8" w:space="0" w:color="000000"/>
              <w:right w:val="nil"/>
            </w:tcBorders>
            <w:shd w:val="clear" w:color="auto" w:fill="auto"/>
            <w:tcMar>
              <w:top w:w="72" w:type="dxa"/>
              <w:left w:w="144" w:type="dxa"/>
              <w:bottom w:w="72" w:type="dxa"/>
              <w:right w:w="144" w:type="dxa"/>
            </w:tcMar>
          </w:tcPr>
          <w:p w14:paraId="476D8CDC" w14:textId="77777777" w:rsidR="004C13C4" w:rsidRPr="004C13C4" w:rsidRDefault="004C13C4" w:rsidP="00E643B5">
            <w:pPr>
              <w:spacing w:line="276" w:lineRule="auto"/>
              <w:jc w:val="both"/>
              <w:rPr>
                <w:rFonts w:ascii="Arial" w:hAnsi="Arial" w:cs="Arial"/>
                <w:bCs/>
              </w:rPr>
            </w:pPr>
            <w:r w:rsidRPr="004C13C4">
              <w:rPr>
                <w:rFonts w:ascii="Arial" w:hAnsi="Arial" w:cs="Arial"/>
                <w:bCs/>
              </w:rPr>
              <w:t>Food + water exposed to sunlight between 10am to 4pm daily for 90 days in PET 1 containers</w:t>
            </w:r>
          </w:p>
        </w:tc>
      </w:tr>
      <w:bookmarkEnd w:id="0"/>
    </w:tbl>
    <w:p w14:paraId="2F95F623" w14:textId="77777777" w:rsidR="004C13C4" w:rsidRPr="004C13C4" w:rsidRDefault="004C13C4" w:rsidP="004C13C4">
      <w:pPr>
        <w:spacing w:line="276" w:lineRule="auto"/>
        <w:jc w:val="both"/>
        <w:rPr>
          <w:rFonts w:ascii="Arial" w:hAnsi="Arial" w:cs="Arial"/>
          <w:bCs/>
        </w:rPr>
      </w:pPr>
    </w:p>
    <w:p w14:paraId="271061BA" w14:textId="77777777" w:rsidR="004C13C4" w:rsidRDefault="004C13C4" w:rsidP="004C13C4">
      <w:pPr>
        <w:spacing w:line="276" w:lineRule="auto"/>
        <w:jc w:val="both"/>
        <w:rPr>
          <w:rFonts w:ascii="Arial" w:hAnsi="Arial" w:cs="Arial"/>
        </w:rPr>
      </w:pPr>
      <w:r w:rsidRPr="004C13C4">
        <w:rPr>
          <w:rFonts w:ascii="Arial" w:hAnsi="Arial" w:cs="Arial"/>
        </w:rPr>
        <w:t xml:space="preserve">The PET microplastic treatment was done daily, administered orally using gavage tube for 90 days. </w:t>
      </w:r>
    </w:p>
    <w:p w14:paraId="4C04601D" w14:textId="77777777" w:rsidR="004C13C4" w:rsidRDefault="004C13C4" w:rsidP="004C13C4">
      <w:pPr>
        <w:spacing w:line="276" w:lineRule="auto"/>
        <w:jc w:val="both"/>
        <w:rPr>
          <w:rFonts w:ascii="Arial" w:hAnsi="Arial" w:cs="Arial"/>
        </w:rPr>
      </w:pPr>
    </w:p>
    <w:p w14:paraId="54751AFE" w14:textId="77777777" w:rsidR="004C13C4" w:rsidRPr="004C13C4" w:rsidRDefault="004C13C4" w:rsidP="004C13C4">
      <w:pPr>
        <w:spacing w:line="276" w:lineRule="auto"/>
        <w:jc w:val="both"/>
        <w:rPr>
          <w:rFonts w:ascii="Arial" w:hAnsi="Arial" w:cs="Arial"/>
        </w:rPr>
      </w:pPr>
    </w:p>
    <w:p w14:paraId="3A81DB36"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t>2.6</w:t>
      </w:r>
      <w:r w:rsidRPr="00B4595E">
        <w:rPr>
          <w:rFonts w:ascii="Arial" w:hAnsi="Arial" w:cs="Arial"/>
          <w:b/>
          <w:sz w:val="22"/>
          <w:szCs w:val="22"/>
        </w:rPr>
        <w:tab/>
        <w:t>Blood and Tissue Sample Collection and Preparation</w:t>
      </w:r>
    </w:p>
    <w:p w14:paraId="2C689650" w14:textId="77777777" w:rsidR="004D029A" w:rsidRPr="004D029A" w:rsidRDefault="004D029A" w:rsidP="004D029A">
      <w:pPr>
        <w:spacing w:line="276" w:lineRule="auto"/>
        <w:jc w:val="both"/>
        <w:rPr>
          <w:rFonts w:ascii="Arial" w:hAnsi="Arial" w:cs="Arial"/>
        </w:rPr>
      </w:pPr>
      <w:r w:rsidRPr="004D029A">
        <w:rPr>
          <w:rFonts w:ascii="Arial" w:hAnsi="Arial" w:cs="Arial"/>
        </w:rPr>
        <w:t>At the end of the 90-day treatment for the respective groups, the animals in all groups were anaesthetized using chloroform, after which a cardiac puncture was performed. Then, 5 ml of blood samples were collected aseptically into plain sample bottles and allowed to clot. The clotted samples were spun using a centrifuge (NewLife bucket centrifuge, Model: 800D) at 4000 rpm for 5 minutes. The serum was collected into another plain bottle and properly labeled for analysis of breast cancer marker CA 15-3 and TNF α. Breast tissues were also collected from rats in all groups to determine the histological changes in the breast tissue after exposure to PET microplastics.</w:t>
      </w:r>
    </w:p>
    <w:p w14:paraId="40496401" w14:textId="77777777" w:rsidR="004C13C4" w:rsidRPr="00B4595E" w:rsidRDefault="004C13C4" w:rsidP="004C13C4">
      <w:pPr>
        <w:spacing w:line="276" w:lineRule="auto"/>
        <w:jc w:val="both"/>
        <w:rPr>
          <w:rFonts w:ascii="Arial" w:hAnsi="Arial" w:cs="Arial"/>
          <w:sz w:val="22"/>
          <w:szCs w:val="22"/>
        </w:rPr>
      </w:pPr>
    </w:p>
    <w:p w14:paraId="5A8E5A0C" w14:textId="77777777" w:rsidR="004C13C4" w:rsidRPr="00B4595E" w:rsidRDefault="004C13C4" w:rsidP="004C13C4">
      <w:pPr>
        <w:spacing w:line="276" w:lineRule="auto"/>
        <w:jc w:val="both"/>
        <w:rPr>
          <w:rFonts w:ascii="Arial" w:hAnsi="Arial" w:cs="Arial"/>
          <w:b/>
          <w:bCs/>
          <w:sz w:val="22"/>
          <w:szCs w:val="22"/>
        </w:rPr>
      </w:pPr>
      <w:r w:rsidRPr="00B4595E">
        <w:rPr>
          <w:rFonts w:ascii="Arial" w:hAnsi="Arial" w:cs="Arial"/>
          <w:b/>
          <w:bCs/>
          <w:sz w:val="22"/>
          <w:szCs w:val="22"/>
        </w:rPr>
        <w:t>2.7</w:t>
      </w:r>
      <w:r w:rsidRPr="00B4595E">
        <w:rPr>
          <w:rFonts w:ascii="Arial" w:hAnsi="Arial" w:cs="Arial"/>
          <w:b/>
          <w:bCs/>
          <w:sz w:val="22"/>
          <w:szCs w:val="22"/>
        </w:rPr>
        <w:tab/>
        <w:t xml:space="preserve">Estimation of CA 15-3 </w:t>
      </w:r>
      <w:proofErr w:type="spellStart"/>
      <w:r w:rsidRPr="00B4595E">
        <w:rPr>
          <w:rFonts w:ascii="Arial" w:hAnsi="Arial" w:cs="Arial"/>
          <w:b/>
          <w:bCs/>
          <w:sz w:val="22"/>
          <w:szCs w:val="22"/>
        </w:rPr>
        <w:t>Tumour</w:t>
      </w:r>
      <w:proofErr w:type="spellEnd"/>
      <w:r w:rsidRPr="00B4595E">
        <w:rPr>
          <w:rFonts w:ascii="Arial" w:hAnsi="Arial" w:cs="Arial"/>
          <w:b/>
          <w:bCs/>
          <w:sz w:val="22"/>
          <w:szCs w:val="22"/>
        </w:rPr>
        <w:t xml:space="preserve"> Marker</w:t>
      </w:r>
    </w:p>
    <w:p w14:paraId="3426A85C" w14:textId="77777777" w:rsidR="000311D5" w:rsidRPr="000311D5" w:rsidRDefault="000311D5" w:rsidP="000311D5">
      <w:pPr>
        <w:spacing w:line="276" w:lineRule="auto"/>
        <w:jc w:val="both"/>
        <w:rPr>
          <w:rFonts w:ascii="Arial" w:hAnsi="Arial" w:cs="Arial"/>
        </w:rPr>
      </w:pPr>
      <w:r w:rsidRPr="000311D5">
        <w:rPr>
          <w:rFonts w:ascii="Arial" w:hAnsi="Arial" w:cs="Arial"/>
        </w:rPr>
        <w:t xml:space="preserve">Rat-specific cancer marker CA 15-3 ELISA kit (Cat. No. E1139Ra) from Bioassay Technology Laboratory, Jiaxing, Zhejiang Province, China, was used to measure the concentration of rat carbohydrate antigen CA 15-3 present in the samples using ELISA method according to the manufacturer’s instruction/procedure as described by Bioassay Technology Laboratory, (2024). Analysis was performed using a </w:t>
      </w:r>
      <w:proofErr w:type="spellStart"/>
      <w:r w:rsidRPr="000311D5">
        <w:rPr>
          <w:rFonts w:ascii="Arial" w:hAnsi="Arial" w:cs="Arial"/>
        </w:rPr>
        <w:t>MindRay</w:t>
      </w:r>
      <w:proofErr w:type="spellEnd"/>
      <w:r w:rsidRPr="000311D5">
        <w:rPr>
          <w:rFonts w:ascii="Arial" w:hAnsi="Arial" w:cs="Arial"/>
        </w:rPr>
        <w:t xml:space="preserve"> MR-96A Microplate Reader.</w:t>
      </w:r>
    </w:p>
    <w:p w14:paraId="60BC9719" w14:textId="77777777" w:rsidR="004C13C4" w:rsidRPr="004C13C4" w:rsidRDefault="004C13C4" w:rsidP="004C13C4">
      <w:pPr>
        <w:spacing w:line="276" w:lineRule="auto"/>
        <w:jc w:val="both"/>
        <w:rPr>
          <w:rFonts w:ascii="Arial" w:hAnsi="Arial" w:cs="Arial"/>
        </w:rPr>
      </w:pPr>
    </w:p>
    <w:p w14:paraId="73FF512C" w14:textId="77777777" w:rsidR="004C13C4" w:rsidRPr="00B4595E" w:rsidRDefault="004C13C4" w:rsidP="004C13C4">
      <w:pPr>
        <w:spacing w:line="276" w:lineRule="auto"/>
        <w:jc w:val="both"/>
        <w:rPr>
          <w:rFonts w:ascii="Arial" w:hAnsi="Arial" w:cs="Arial"/>
          <w:b/>
          <w:bCs/>
          <w:sz w:val="22"/>
          <w:szCs w:val="22"/>
        </w:rPr>
      </w:pPr>
      <w:r w:rsidRPr="00B4595E">
        <w:rPr>
          <w:rFonts w:ascii="Arial" w:hAnsi="Arial" w:cs="Arial"/>
          <w:b/>
          <w:bCs/>
          <w:sz w:val="22"/>
          <w:szCs w:val="22"/>
        </w:rPr>
        <w:t>2.8</w:t>
      </w:r>
      <w:r w:rsidRPr="00B4595E">
        <w:rPr>
          <w:rFonts w:ascii="Arial" w:hAnsi="Arial" w:cs="Arial"/>
          <w:b/>
          <w:bCs/>
          <w:sz w:val="22"/>
          <w:szCs w:val="22"/>
        </w:rPr>
        <w:tab/>
        <w:t xml:space="preserve">Estimation of Rat </w:t>
      </w:r>
      <w:proofErr w:type="spellStart"/>
      <w:r w:rsidRPr="00B4595E">
        <w:rPr>
          <w:rFonts w:ascii="Arial" w:hAnsi="Arial" w:cs="Arial"/>
          <w:b/>
          <w:bCs/>
          <w:sz w:val="22"/>
          <w:szCs w:val="22"/>
        </w:rPr>
        <w:t>Tumour</w:t>
      </w:r>
      <w:proofErr w:type="spellEnd"/>
      <w:r w:rsidRPr="00B4595E">
        <w:rPr>
          <w:rFonts w:ascii="Arial" w:hAnsi="Arial" w:cs="Arial"/>
          <w:b/>
          <w:bCs/>
          <w:sz w:val="22"/>
          <w:szCs w:val="22"/>
        </w:rPr>
        <w:t xml:space="preserve"> Necrosis Factor Alpha</w:t>
      </w:r>
    </w:p>
    <w:p w14:paraId="3DC017F9" w14:textId="77777777" w:rsidR="000311D5" w:rsidRPr="000311D5" w:rsidRDefault="000311D5" w:rsidP="000311D5">
      <w:pPr>
        <w:spacing w:line="276" w:lineRule="auto"/>
        <w:jc w:val="both"/>
        <w:rPr>
          <w:rFonts w:ascii="Arial" w:hAnsi="Arial" w:cs="Arial"/>
        </w:rPr>
      </w:pPr>
      <w:r w:rsidRPr="000311D5">
        <w:rPr>
          <w:rFonts w:ascii="Arial" w:hAnsi="Arial" w:cs="Arial"/>
        </w:rPr>
        <w:t>Rat-specific TNF-α (</w:t>
      </w:r>
      <w:proofErr w:type="spellStart"/>
      <w:r w:rsidRPr="000311D5">
        <w:rPr>
          <w:rFonts w:ascii="Arial" w:hAnsi="Arial" w:cs="Arial"/>
        </w:rPr>
        <w:t>Tumour</w:t>
      </w:r>
      <w:proofErr w:type="spellEnd"/>
      <w:r w:rsidRPr="000311D5">
        <w:rPr>
          <w:rFonts w:ascii="Arial" w:hAnsi="Arial" w:cs="Arial"/>
        </w:rPr>
        <w:t xml:space="preserve"> Necrosis Factor Alpha) ELISA Kit (Catalog No: E-EL-R2856) from </w:t>
      </w:r>
      <w:proofErr w:type="spellStart"/>
      <w:r w:rsidRPr="000311D5">
        <w:rPr>
          <w:rFonts w:ascii="Arial" w:hAnsi="Arial" w:cs="Arial"/>
        </w:rPr>
        <w:t>Elabscience</w:t>
      </w:r>
      <w:proofErr w:type="spellEnd"/>
      <w:r w:rsidRPr="000311D5">
        <w:rPr>
          <w:rFonts w:ascii="Arial" w:hAnsi="Arial" w:cs="Arial"/>
        </w:rPr>
        <w:t xml:space="preserve"> </w:t>
      </w:r>
      <w:proofErr w:type="spellStart"/>
      <w:r w:rsidRPr="000311D5">
        <w:rPr>
          <w:rFonts w:ascii="Arial" w:hAnsi="Arial" w:cs="Arial"/>
        </w:rPr>
        <w:t>Bioinovation</w:t>
      </w:r>
      <w:proofErr w:type="spellEnd"/>
      <w:r w:rsidRPr="000311D5">
        <w:rPr>
          <w:rFonts w:ascii="Arial" w:hAnsi="Arial" w:cs="Arial"/>
        </w:rPr>
        <w:t xml:space="preserve"> Inc. was used to measure the concentration of </w:t>
      </w:r>
      <w:proofErr w:type="spellStart"/>
      <w:r w:rsidRPr="000311D5">
        <w:rPr>
          <w:rFonts w:ascii="Arial" w:hAnsi="Arial" w:cs="Arial"/>
        </w:rPr>
        <w:t>Tumour</w:t>
      </w:r>
      <w:proofErr w:type="spellEnd"/>
      <w:r w:rsidRPr="000311D5">
        <w:rPr>
          <w:rFonts w:ascii="Arial" w:hAnsi="Arial" w:cs="Arial"/>
        </w:rPr>
        <w:t xml:space="preserve"> Necrosis Factor Alpha in the samples according to the manufacturer’s instruction/procedure as described by </w:t>
      </w:r>
      <w:proofErr w:type="spellStart"/>
      <w:r w:rsidRPr="000311D5">
        <w:rPr>
          <w:rFonts w:ascii="Arial" w:hAnsi="Arial" w:cs="Arial"/>
        </w:rPr>
        <w:t>Elabscience</w:t>
      </w:r>
      <w:proofErr w:type="spellEnd"/>
      <w:r w:rsidRPr="000311D5">
        <w:rPr>
          <w:rFonts w:ascii="Arial" w:hAnsi="Arial" w:cs="Arial"/>
        </w:rPr>
        <w:t xml:space="preserve"> </w:t>
      </w:r>
      <w:proofErr w:type="spellStart"/>
      <w:r w:rsidRPr="000311D5">
        <w:rPr>
          <w:rFonts w:ascii="Arial" w:hAnsi="Arial" w:cs="Arial"/>
        </w:rPr>
        <w:t>Bioinovation</w:t>
      </w:r>
      <w:proofErr w:type="spellEnd"/>
      <w:r w:rsidRPr="000311D5">
        <w:rPr>
          <w:rFonts w:ascii="Arial" w:hAnsi="Arial" w:cs="Arial"/>
        </w:rPr>
        <w:t xml:space="preserve"> Inc., (2024). Analysis was performed using a </w:t>
      </w:r>
      <w:proofErr w:type="spellStart"/>
      <w:r w:rsidRPr="000311D5">
        <w:rPr>
          <w:rFonts w:ascii="Arial" w:hAnsi="Arial" w:cs="Arial"/>
        </w:rPr>
        <w:t>MindRay</w:t>
      </w:r>
      <w:proofErr w:type="spellEnd"/>
      <w:r w:rsidRPr="000311D5">
        <w:rPr>
          <w:rFonts w:ascii="Arial" w:hAnsi="Arial" w:cs="Arial"/>
        </w:rPr>
        <w:t xml:space="preserve"> MR-96A Microplate Reader.</w:t>
      </w:r>
    </w:p>
    <w:p w14:paraId="3493E581" w14:textId="77777777" w:rsidR="004C13C4" w:rsidRPr="00B4595E" w:rsidRDefault="004C13C4" w:rsidP="004C13C4">
      <w:pPr>
        <w:spacing w:line="276" w:lineRule="auto"/>
        <w:jc w:val="both"/>
        <w:rPr>
          <w:rFonts w:ascii="Arial" w:hAnsi="Arial" w:cs="Arial"/>
          <w:sz w:val="22"/>
          <w:szCs w:val="22"/>
        </w:rPr>
      </w:pPr>
    </w:p>
    <w:p w14:paraId="57E99815"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lastRenderedPageBreak/>
        <w:t>2.9</w:t>
      </w:r>
      <w:r w:rsidRPr="00B4595E">
        <w:rPr>
          <w:rFonts w:ascii="Arial" w:hAnsi="Arial" w:cs="Arial"/>
          <w:b/>
          <w:sz w:val="22"/>
          <w:szCs w:val="22"/>
        </w:rPr>
        <w:tab/>
        <w:t>Histological Analysis</w:t>
      </w:r>
    </w:p>
    <w:p w14:paraId="3777552D" w14:textId="56578E6B" w:rsidR="007056A7" w:rsidRPr="007056A7" w:rsidRDefault="007056A7" w:rsidP="007056A7">
      <w:pPr>
        <w:spacing w:line="276" w:lineRule="auto"/>
        <w:jc w:val="both"/>
        <w:rPr>
          <w:rFonts w:ascii="Arial" w:hAnsi="Arial" w:cs="Arial"/>
        </w:rPr>
      </w:pPr>
      <w:r w:rsidRPr="007056A7">
        <w:rPr>
          <w:rFonts w:ascii="Arial" w:hAnsi="Arial" w:cs="Arial"/>
        </w:rPr>
        <w:t xml:space="preserve">Breast tissue was prepared for histological examination using the procedure as described by Kiernan (2001), which involves fixing the breast tissue in 10% neutral buffered formalin, dehydrating in increasing grades of alcohol (70%, 85%, 90%, 100%, and 100%) for two (2) hours each, and clearing in two changes of xylene for 30 minutes each. The tissue was embedded in paraffin wax in a tissue embedder (LEICA </w:t>
      </w:r>
      <w:proofErr w:type="spellStart"/>
      <w:r w:rsidRPr="007056A7">
        <w:rPr>
          <w:rFonts w:ascii="Arial" w:hAnsi="Arial" w:cs="Arial"/>
        </w:rPr>
        <w:t>EG</w:t>
      </w:r>
      <w:proofErr w:type="spellEnd"/>
      <w:r w:rsidRPr="007056A7">
        <w:rPr>
          <w:rFonts w:ascii="Arial" w:hAnsi="Arial" w:cs="Arial"/>
        </w:rPr>
        <w:t xml:space="preserve"> 1160) and trimmed using a rotatory microtome (LEICA RM 2125 RTS) and sectioned at 3 </w:t>
      </w:r>
      <w:r>
        <w:rPr>
          <w:rFonts w:ascii="Arial" w:hAnsi="Arial" w:cs="Arial"/>
        </w:rPr>
        <w:t>µ</w:t>
      </w:r>
      <w:r w:rsidRPr="007056A7">
        <w:rPr>
          <w:rFonts w:ascii="Arial" w:hAnsi="Arial" w:cs="Arial"/>
        </w:rPr>
        <w:t xml:space="preserve">m. The sectioned tissues were attached to slides and subsequently dewaxed in xylene and stained in </w:t>
      </w:r>
      <w:proofErr w:type="spellStart"/>
      <w:r w:rsidRPr="007056A7">
        <w:rPr>
          <w:rFonts w:ascii="Arial" w:hAnsi="Arial" w:cs="Arial"/>
        </w:rPr>
        <w:t>Haematoxylin</w:t>
      </w:r>
      <w:proofErr w:type="spellEnd"/>
      <w:r w:rsidRPr="007056A7">
        <w:rPr>
          <w:rFonts w:ascii="Arial" w:hAnsi="Arial" w:cs="Arial"/>
        </w:rPr>
        <w:t xml:space="preserve"> and Eosin (</w:t>
      </w:r>
      <w:proofErr w:type="spellStart"/>
      <w:r w:rsidRPr="007056A7">
        <w:rPr>
          <w:rFonts w:ascii="Arial" w:hAnsi="Arial" w:cs="Arial"/>
        </w:rPr>
        <w:t>H&amp;E</w:t>
      </w:r>
      <w:proofErr w:type="spellEnd"/>
      <w:r w:rsidRPr="007056A7">
        <w:rPr>
          <w:rFonts w:ascii="Arial" w:hAnsi="Arial" w:cs="Arial"/>
        </w:rPr>
        <w:t xml:space="preserve">) using the method as described by </w:t>
      </w:r>
      <w:proofErr w:type="spellStart"/>
      <w:r w:rsidRPr="007056A7">
        <w:rPr>
          <w:rFonts w:ascii="Arial" w:hAnsi="Arial" w:cs="Arial"/>
        </w:rPr>
        <w:t>Avwioro</w:t>
      </w:r>
      <w:proofErr w:type="spellEnd"/>
      <w:r w:rsidRPr="007056A7">
        <w:rPr>
          <w:rFonts w:ascii="Arial" w:hAnsi="Arial" w:cs="Arial"/>
        </w:rPr>
        <w:t>, (2014) for general tissue architecture. The stained slides were examined under the light microscope at ×100 magnification, and photomicrographs were taken.</w:t>
      </w:r>
    </w:p>
    <w:p w14:paraId="780B646E" w14:textId="77777777" w:rsidR="007056A7" w:rsidRPr="007056A7" w:rsidRDefault="007056A7" w:rsidP="007056A7">
      <w:pPr>
        <w:spacing w:line="276" w:lineRule="auto"/>
        <w:jc w:val="both"/>
        <w:rPr>
          <w:rFonts w:ascii="Arial" w:hAnsi="Arial" w:cs="Arial"/>
        </w:rPr>
      </w:pPr>
      <w:r w:rsidRPr="007056A7">
        <w:rPr>
          <w:rFonts w:ascii="Arial" w:hAnsi="Arial" w:cs="Arial"/>
          <w:b/>
          <w:bCs/>
        </w:rPr>
        <w:t> </w:t>
      </w:r>
    </w:p>
    <w:p w14:paraId="06F87215" w14:textId="77777777" w:rsidR="004C13C4" w:rsidRPr="00533ECF" w:rsidRDefault="004C13C4" w:rsidP="004C13C4">
      <w:pPr>
        <w:spacing w:line="276" w:lineRule="auto"/>
        <w:jc w:val="both"/>
        <w:rPr>
          <w:rFonts w:ascii="Arial" w:hAnsi="Arial" w:cs="Arial"/>
          <w:b/>
          <w:sz w:val="22"/>
          <w:szCs w:val="22"/>
        </w:rPr>
      </w:pPr>
      <w:r w:rsidRPr="00533ECF">
        <w:rPr>
          <w:rFonts w:ascii="Arial" w:hAnsi="Arial" w:cs="Arial"/>
          <w:b/>
          <w:sz w:val="22"/>
          <w:szCs w:val="22"/>
        </w:rPr>
        <w:t>2.10</w:t>
      </w:r>
      <w:r w:rsidRPr="00533ECF">
        <w:rPr>
          <w:rFonts w:ascii="Arial" w:hAnsi="Arial" w:cs="Arial"/>
          <w:b/>
          <w:sz w:val="22"/>
          <w:szCs w:val="22"/>
        </w:rPr>
        <w:tab/>
        <w:t>Statistical Analysis</w:t>
      </w:r>
    </w:p>
    <w:p w14:paraId="1803D596" w14:textId="77777777" w:rsidR="007056A7" w:rsidRPr="007056A7" w:rsidRDefault="007056A7" w:rsidP="007056A7">
      <w:pPr>
        <w:pStyle w:val="Body"/>
        <w:spacing w:after="0"/>
        <w:rPr>
          <w:rFonts w:ascii="Arial" w:hAnsi="Arial" w:cs="Arial"/>
        </w:rPr>
      </w:pPr>
      <w:r w:rsidRPr="007056A7">
        <w:rPr>
          <w:rFonts w:ascii="Arial" w:hAnsi="Arial" w:cs="Arial"/>
        </w:rPr>
        <w:t>Data obtained from evaluation of parameters was presented as mean ± SD. Analysis was computed using GraphPad Prism Software Version 9.0.0 (121), San Diego, CA. Statistical comparison between groups was done using one-way ANOVA, while Tukey’s multiple comparison (post hoc tests) was used to obtain specific significant differences among the various groups. Differences were considered significant at P≤0.05.</w:t>
      </w:r>
    </w:p>
    <w:p w14:paraId="2D4952A5" w14:textId="77777777" w:rsidR="004C13C4" w:rsidRPr="008826D6" w:rsidRDefault="004C13C4" w:rsidP="00441B6F">
      <w:pPr>
        <w:pStyle w:val="Body"/>
        <w:spacing w:after="0"/>
        <w:rPr>
          <w:rFonts w:ascii="Arial" w:hAnsi="Arial" w:cs="Arial"/>
          <w:sz w:val="22"/>
          <w:szCs w:val="22"/>
        </w:rPr>
      </w:pPr>
    </w:p>
    <w:p w14:paraId="24D48980" w14:textId="77777777" w:rsidR="00902823" w:rsidRDefault="00000F8F" w:rsidP="00441B6F">
      <w:pPr>
        <w:pStyle w:val="Head1"/>
        <w:spacing w:after="0"/>
        <w:jc w:val="both"/>
        <w:rPr>
          <w:rFonts w:ascii="Arial" w:hAnsi="Arial" w:cs="Arial"/>
          <w:szCs w:val="22"/>
        </w:rPr>
      </w:pPr>
      <w:r w:rsidRPr="008826D6">
        <w:rPr>
          <w:rFonts w:ascii="Arial" w:hAnsi="Arial" w:cs="Arial"/>
          <w:szCs w:val="22"/>
        </w:rPr>
        <w:t>3</w:t>
      </w:r>
      <w:r w:rsidR="00902823" w:rsidRPr="008826D6">
        <w:rPr>
          <w:rFonts w:ascii="Arial" w:hAnsi="Arial" w:cs="Arial"/>
          <w:szCs w:val="22"/>
        </w:rPr>
        <w:t xml:space="preserve">. </w:t>
      </w:r>
      <w:r w:rsidRPr="008826D6">
        <w:rPr>
          <w:rFonts w:ascii="Arial" w:hAnsi="Arial" w:cs="Arial"/>
          <w:szCs w:val="22"/>
        </w:rPr>
        <w:t>results and discussion</w:t>
      </w:r>
    </w:p>
    <w:p w14:paraId="08ABAE2C" w14:textId="2F46DB77" w:rsidR="00790ADA" w:rsidRPr="00533ECF" w:rsidRDefault="00790ADA" w:rsidP="00441B6F">
      <w:pPr>
        <w:pStyle w:val="Head1"/>
        <w:spacing w:after="0"/>
        <w:jc w:val="both"/>
        <w:rPr>
          <w:rFonts w:ascii="Arial" w:hAnsi="Arial" w:cs="Arial"/>
          <w:szCs w:val="22"/>
        </w:rPr>
      </w:pPr>
    </w:p>
    <w:p w14:paraId="4EAF502B" w14:textId="3F8F5334" w:rsidR="00B11A24" w:rsidRDefault="006F1CC6" w:rsidP="00264095">
      <w:pPr>
        <w:spacing w:line="276" w:lineRule="auto"/>
        <w:jc w:val="both"/>
        <w:rPr>
          <w:rFonts w:ascii="Arial" w:hAnsi="Arial" w:cs="Arial"/>
          <w:b/>
          <w:bCs/>
          <w:sz w:val="22"/>
          <w:szCs w:val="22"/>
        </w:rPr>
      </w:pPr>
      <w:r>
        <w:rPr>
          <w:rFonts w:ascii="Arial" w:hAnsi="Arial" w:cs="Arial"/>
          <w:b/>
          <w:bCs/>
          <w:sz w:val="22"/>
          <w:szCs w:val="22"/>
        </w:rPr>
        <w:t>3.1</w:t>
      </w:r>
      <w:r>
        <w:rPr>
          <w:rFonts w:ascii="Arial" w:hAnsi="Arial" w:cs="Arial"/>
          <w:b/>
          <w:bCs/>
          <w:sz w:val="22"/>
          <w:szCs w:val="22"/>
        </w:rPr>
        <w:tab/>
        <w:t>Results</w:t>
      </w:r>
    </w:p>
    <w:p w14:paraId="27AFCC85" w14:textId="77777777" w:rsidR="0037172C" w:rsidRDefault="0037172C" w:rsidP="00264095">
      <w:pPr>
        <w:spacing w:line="276" w:lineRule="auto"/>
        <w:jc w:val="both"/>
        <w:rPr>
          <w:rFonts w:ascii="Arial" w:hAnsi="Arial" w:cs="Arial"/>
          <w:b/>
          <w:bCs/>
          <w:sz w:val="22"/>
          <w:szCs w:val="22"/>
        </w:rPr>
      </w:pPr>
    </w:p>
    <w:p w14:paraId="39B8F098" w14:textId="5CEBA93E" w:rsidR="00536675" w:rsidRPr="0021110F" w:rsidRDefault="00536675" w:rsidP="00536675">
      <w:pPr>
        <w:jc w:val="both"/>
        <w:rPr>
          <w:rFonts w:ascii="Arial" w:hAnsi="Arial" w:cs="Arial"/>
          <w:b/>
          <w:u w:val="single"/>
        </w:rPr>
      </w:pPr>
      <w:r w:rsidRPr="0021110F">
        <w:rPr>
          <w:rFonts w:ascii="Arial" w:hAnsi="Arial" w:cs="Arial"/>
          <w:b/>
          <w:u w:val="single"/>
        </w:rPr>
        <w:t>3.1</w:t>
      </w:r>
      <w:r w:rsidR="004B5FEA" w:rsidRPr="0021110F">
        <w:rPr>
          <w:rFonts w:ascii="Arial" w:hAnsi="Arial" w:cs="Arial"/>
          <w:b/>
          <w:u w:val="single"/>
        </w:rPr>
        <w:t>.1</w:t>
      </w:r>
      <w:r w:rsidRPr="0021110F">
        <w:rPr>
          <w:rFonts w:ascii="Arial" w:hAnsi="Arial" w:cs="Arial"/>
          <w:b/>
          <w:u w:val="single"/>
        </w:rPr>
        <w:t xml:space="preserve"> Pilot Toxicity Study for Determination of D</w:t>
      </w:r>
      <w:r w:rsidRPr="0021110F">
        <w:rPr>
          <w:rFonts w:ascii="Arial" w:hAnsi="Arial" w:cs="Arial"/>
          <w:b/>
          <w:u w:val="single"/>
          <w:vertAlign w:val="subscript"/>
        </w:rPr>
        <w:t>0</w:t>
      </w:r>
      <w:r w:rsidRPr="0021110F">
        <w:rPr>
          <w:rFonts w:ascii="Arial" w:hAnsi="Arial" w:cs="Arial"/>
          <w:b/>
          <w:u w:val="single"/>
        </w:rPr>
        <w:t>, D</w:t>
      </w:r>
      <w:r w:rsidRPr="0021110F">
        <w:rPr>
          <w:rFonts w:ascii="Arial" w:hAnsi="Arial" w:cs="Arial"/>
          <w:b/>
          <w:u w:val="single"/>
          <w:vertAlign w:val="subscript"/>
        </w:rPr>
        <w:t>100</w:t>
      </w:r>
      <w:r w:rsidRPr="0021110F">
        <w:rPr>
          <w:rFonts w:ascii="Arial" w:hAnsi="Arial" w:cs="Arial"/>
          <w:b/>
          <w:u w:val="single"/>
        </w:rPr>
        <w:t xml:space="preserve"> and LD</w:t>
      </w:r>
      <w:r w:rsidRPr="0021110F">
        <w:rPr>
          <w:rFonts w:ascii="Arial" w:hAnsi="Arial" w:cs="Arial"/>
          <w:b/>
          <w:u w:val="single"/>
          <w:vertAlign w:val="subscript"/>
        </w:rPr>
        <w:t>50</w:t>
      </w:r>
      <w:r w:rsidRPr="0021110F">
        <w:rPr>
          <w:rFonts w:ascii="Arial" w:hAnsi="Arial" w:cs="Arial"/>
          <w:b/>
          <w:u w:val="single"/>
        </w:rPr>
        <w:t xml:space="preserve"> of Rats Treated Orally with PET Microplastics </w:t>
      </w:r>
    </w:p>
    <w:p w14:paraId="6E0553BA" w14:textId="77777777" w:rsidR="006D71A0" w:rsidRPr="006D71A0" w:rsidRDefault="006D71A0" w:rsidP="006D71A0">
      <w:pPr>
        <w:spacing w:line="276" w:lineRule="auto"/>
        <w:jc w:val="both"/>
        <w:rPr>
          <w:rFonts w:ascii="Arial" w:hAnsi="Arial" w:cs="Arial"/>
        </w:rPr>
      </w:pPr>
      <w:r w:rsidRPr="006D71A0">
        <w:rPr>
          <w:rFonts w:ascii="Arial" w:hAnsi="Arial" w:cs="Arial"/>
        </w:rPr>
        <w:t>Results obtained from the pilot toxicity study as presented in table 2 revealed that the highest dose that caused no death (D</w:t>
      </w:r>
      <w:r w:rsidRPr="006D71A0">
        <w:rPr>
          <w:rFonts w:ascii="Arial" w:hAnsi="Arial" w:cs="Arial"/>
          <w:vertAlign w:val="subscript"/>
        </w:rPr>
        <w:t>0</w:t>
      </w:r>
      <w:r w:rsidRPr="006D71A0">
        <w:rPr>
          <w:rFonts w:ascii="Arial" w:hAnsi="Arial" w:cs="Arial"/>
        </w:rPr>
        <w:t>) of PET microplastics administered orally was 115 mg/kg; the minimum dose that caused death (D</w:t>
      </w:r>
      <w:r w:rsidRPr="006D71A0">
        <w:rPr>
          <w:rFonts w:ascii="Arial" w:hAnsi="Arial" w:cs="Arial"/>
          <w:vertAlign w:val="subscript"/>
        </w:rPr>
        <w:t>100</w:t>
      </w:r>
      <w:r w:rsidRPr="006D71A0">
        <w:rPr>
          <w:rFonts w:ascii="Arial" w:hAnsi="Arial" w:cs="Arial"/>
        </w:rPr>
        <w:t>) was 130 mg/kg, while the lethal dose 50 (LD</w:t>
      </w:r>
      <w:r w:rsidRPr="006D71A0">
        <w:rPr>
          <w:rFonts w:ascii="Arial" w:hAnsi="Arial" w:cs="Arial"/>
          <w:vertAlign w:val="subscript"/>
        </w:rPr>
        <w:t>50</w:t>
      </w:r>
      <w:r w:rsidRPr="006D71A0">
        <w:rPr>
          <w:rFonts w:ascii="Arial" w:hAnsi="Arial" w:cs="Arial"/>
        </w:rPr>
        <w:t>) was 122.27 mg/kg.</w:t>
      </w:r>
    </w:p>
    <w:p w14:paraId="6AE47916" w14:textId="77777777" w:rsidR="0021110F" w:rsidRPr="00B11A24" w:rsidRDefault="0021110F" w:rsidP="00264095">
      <w:pPr>
        <w:spacing w:line="276" w:lineRule="auto"/>
        <w:jc w:val="both"/>
        <w:rPr>
          <w:rFonts w:ascii="Arial" w:hAnsi="Arial" w:cs="Arial"/>
          <w:b/>
          <w:bCs/>
          <w:sz w:val="22"/>
          <w:szCs w:val="22"/>
        </w:rPr>
      </w:pPr>
    </w:p>
    <w:p w14:paraId="7321B951" w14:textId="6C6C1D7A" w:rsidR="00B11A24" w:rsidRPr="00B11A24" w:rsidRDefault="00B11A24" w:rsidP="00B11A24">
      <w:pPr>
        <w:jc w:val="both"/>
        <w:rPr>
          <w:rFonts w:ascii="Arial" w:hAnsi="Arial" w:cs="Arial"/>
          <w:b/>
        </w:rPr>
      </w:pPr>
      <w:r w:rsidRPr="00B11A24">
        <w:rPr>
          <w:rFonts w:ascii="Arial" w:hAnsi="Arial" w:cs="Arial"/>
          <w:b/>
        </w:rPr>
        <w:t xml:space="preserve">Table </w:t>
      </w:r>
      <w:r w:rsidR="00B926BF">
        <w:rPr>
          <w:rFonts w:ascii="Arial" w:hAnsi="Arial" w:cs="Arial"/>
          <w:b/>
        </w:rPr>
        <w:t>2</w:t>
      </w:r>
      <w:r w:rsidRPr="00B11A24">
        <w:rPr>
          <w:rFonts w:ascii="Arial" w:hAnsi="Arial" w:cs="Arial"/>
          <w:b/>
        </w:rPr>
        <w:t xml:space="preserve">: </w:t>
      </w:r>
      <w:r w:rsidR="000E170F">
        <w:rPr>
          <w:rFonts w:ascii="Arial" w:hAnsi="Arial" w:cs="Arial"/>
          <w:b/>
        </w:rPr>
        <w:t xml:space="preserve">Pilot Toxicity Study for </w:t>
      </w:r>
      <w:r w:rsidRPr="00B11A24">
        <w:rPr>
          <w:rFonts w:ascii="Arial" w:hAnsi="Arial" w:cs="Arial"/>
          <w:b/>
        </w:rPr>
        <w:t>Determination of D</w:t>
      </w:r>
      <w:r w:rsidRPr="00B11A24">
        <w:rPr>
          <w:rFonts w:ascii="Arial" w:hAnsi="Arial" w:cs="Arial"/>
          <w:b/>
          <w:vertAlign w:val="subscript"/>
        </w:rPr>
        <w:t>0</w:t>
      </w:r>
      <w:r w:rsidR="000E170F">
        <w:rPr>
          <w:rFonts w:ascii="Arial" w:hAnsi="Arial" w:cs="Arial"/>
          <w:b/>
        </w:rPr>
        <w:t>,</w:t>
      </w:r>
      <w:r w:rsidRPr="00B11A24">
        <w:rPr>
          <w:rFonts w:ascii="Arial" w:hAnsi="Arial" w:cs="Arial"/>
          <w:b/>
        </w:rPr>
        <w:t xml:space="preserve"> D</w:t>
      </w:r>
      <w:r w:rsidRPr="00B11A24">
        <w:rPr>
          <w:rFonts w:ascii="Arial" w:hAnsi="Arial" w:cs="Arial"/>
          <w:b/>
          <w:vertAlign w:val="subscript"/>
        </w:rPr>
        <w:t>100</w:t>
      </w:r>
      <w:r w:rsidR="000E170F">
        <w:rPr>
          <w:rFonts w:ascii="Arial" w:hAnsi="Arial" w:cs="Arial"/>
          <w:b/>
        </w:rPr>
        <w:t xml:space="preserve"> and LD</w:t>
      </w:r>
      <w:r w:rsidR="000E170F" w:rsidRPr="000E170F">
        <w:rPr>
          <w:rFonts w:ascii="Arial" w:hAnsi="Arial" w:cs="Arial"/>
          <w:b/>
          <w:vertAlign w:val="subscript"/>
        </w:rPr>
        <w:t>50</w:t>
      </w:r>
      <w:r w:rsidRPr="00B11A24">
        <w:rPr>
          <w:rFonts w:ascii="Arial" w:hAnsi="Arial" w:cs="Arial"/>
          <w:b/>
        </w:rPr>
        <w:t xml:space="preserve"> </w:t>
      </w:r>
      <w:r w:rsidR="000E170F">
        <w:rPr>
          <w:rFonts w:ascii="Arial" w:hAnsi="Arial" w:cs="Arial"/>
          <w:b/>
        </w:rPr>
        <w:t>of</w:t>
      </w:r>
      <w:r w:rsidRPr="00B11A24">
        <w:rPr>
          <w:rFonts w:ascii="Arial" w:hAnsi="Arial" w:cs="Arial"/>
          <w:b/>
        </w:rPr>
        <w:t xml:space="preserve"> </w:t>
      </w:r>
      <w:r w:rsidR="000E170F">
        <w:rPr>
          <w:rFonts w:ascii="Arial" w:hAnsi="Arial" w:cs="Arial"/>
          <w:b/>
        </w:rPr>
        <w:t xml:space="preserve">Rats Treated Orally with </w:t>
      </w:r>
      <w:r w:rsidRPr="00B11A24">
        <w:rPr>
          <w:rFonts w:ascii="Arial" w:hAnsi="Arial" w:cs="Arial"/>
          <w:b/>
        </w:rPr>
        <w:t xml:space="preserve">PET </w:t>
      </w:r>
      <w:r w:rsidR="000E170F">
        <w:rPr>
          <w:rFonts w:ascii="Arial" w:hAnsi="Arial" w:cs="Arial"/>
          <w:b/>
        </w:rPr>
        <w:t>Microplastics</w:t>
      </w:r>
      <w:r w:rsidRPr="00B11A24">
        <w:rPr>
          <w:rFonts w:ascii="Arial" w:hAnsi="Arial" w:cs="Arial"/>
          <w:b/>
        </w:rPr>
        <w:t xml:space="preserve"> </w:t>
      </w:r>
    </w:p>
    <w:tbl>
      <w:tblPr>
        <w:tblStyle w:val="TableGridLight1"/>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6"/>
        <w:gridCol w:w="1454"/>
        <w:gridCol w:w="1800"/>
        <w:gridCol w:w="1890"/>
        <w:gridCol w:w="1530"/>
      </w:tblGrid>
      <w:tr w:rsidR="00B11A24" w:rsidRPr="00B11A24" w14:paraId="2D4B72E7" w14:textId="77777777" w:rsidTr="00536675">
        <w:trPr>
          <w:trHeight w:val="683"/>
        </w:trPr>
        <w:tc>
          <w:tcPr>
            <w:tcW w:w="1786" w:type="dxa"/>
            <w:tcBorders>
              <w:top w:val="single" w:sz="4" w:space="0" w:color="auto"/>
              <w:bottom w:val="single" w:sz="4" w:space="0" w:color="auto"/>
            </w:tcBorders>
            <w:shd w:val="clear" w:color="auto" w:fill="auto"/>
          </w:tcPr>
          <w:p w14:paraId="6FCF5029"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Groups</w:t>
            </w:r>
          </w:p>
        </w:tc>
        <w:tc>
          <w:tcPr>
            <w:tcW w:w="1454" w:type="dxa"/>
            <w:tcBorders>
              <w:top w:val="single" w:sz="4" w:space="0" w:color="auto"/>
              <w:bottom w:val="single" w:sz="4" w:space="0" w:color="auto"/>
            </w:tcBorders>
            <w:shd w:val="clear" w:color="auto" w:fill="auto"/>
          </w:tcPr>
          <w:p w14:paraId="7F4318EC"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Dose</w:t>
            </w:r>
          </w:p>
          <w:p w14:paraId="4C200274"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(mg/kg)</w:t>
            </w:r>
          </w:p>
        </w:tc>
        <w:tc>
          <w:tcPr>
            <w:tcW w:w="1800" w:type="dxa"/>
            <w:tcBorders>
              <w:top w:val="single" w:sz="4" w:space="0" w:color="auto"/>
              <w:bottom w:val="single" w:sz="4" w:space="0" w:color="auto"/>
            </w:tcBorders>
            <w:shd w:val="clear" w:color="auto" w:fill="auto"/>
          </w:tcPr>
          <w:p w14:paraId="030B0B90"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of rats</w:t>
            </w:r>
          </w:p>
        </w:tc>
        <w:tc>
          <w:tcPr>
            <w:tcW w:w="1890" w:type="dxa"/>
            <w:tcBorders>
              <w:top w:val="single" w:sz="4" w:space="0" w:color="auto"/>
              <w:bottom w:val="single" w:sz="4" w:space="0" w:color="auto"/>
            </w:tcBorders>
            <w:shd w:val="clear" w:color="auto" w:fill="auto"/>
          </w:tcPr>
          <w:p w14:paraId="59C74A9C"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of Death</w:t>
            </w:r>
          </w:p>
        </w:tc>
        <w:tc>
          <w:tcPr>
            <w:tcW w:w="1530" w:type="dxa"/>
            <w:tcBorders>
              <w:top w:val="single" w:sz="4" w:space="0" w:color="auto"/>
              <w:bottom w:val="single" w:sz="4" w:space="0" w:color="auto"/>
            </w:tcBorders>
            <w:shd w:val="clear" w:color="auto" w:fill="auto"/>
          </w:tcPr>
          <w:p w14:paraId="4D861E76"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Alive</w:t>
            </w:r>
          </w:p>
        </w:tc>
      </w:tr>
      <w:tr w:rsidR="00B11A24" w:rsidRPr="00B11A24" w14:paraId="0EB6F093" w14:textId="77777777" w:rsidTr="00536675">
        <w:trPr>
          <w:trHeight w:val="438"/>
        </w:trPr>
        <w:tc>
          <w:tcPr>
            <w:tcW w:w="1786" w:type="dxa"/>
            <w:tcBorders>
              <w:top w:val="single" w:sz="4" w:space="0" w:color="auto"/>
            </w:tcBorders>
            <w:shd w:val="clear" w:color="auto" w:fill="auto"/>
          </w:tcPr>
          <w:p w14:paraId="4283E02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454" w:type="dxa"/>
            <w:tcBorders>
              <w:top w:val="single" w:sz="4" w:space="0" w:color="auto"/>
            </w:tcBorders>
            <w:shd w:val="clear" w:color="auto" w:fill="auto"/>
          </w:tcPr>
          <w:p w14:paraId="583C43DD"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20</w:t>
            </w:r>
          </w:p>
        </w:tc>
        <w:tc>
          <w:tcPr>
            <w:tcW w:w="1800" w:type="dxa"/>
            <w:tcBorders>
              <w:top w:val="single" w:sz="4" w:space="0" w:color="auto"/>
            </w:tcBorders>
            <w:shd w:val="clear" w:color="auto" w:fill="auto"/>
          </w:tcPr>
          <w:p w14:paraId="1B04587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tcBorders>
              <w:top w:val="single" w:sz="4" w:space="0" w:color="auto"/>
            </w:tcBorders>
            <w:shd w:val="clear" w:color="auto" w:fill="auto"/>
          </w:tcPr>
          <w:p w14:paraId="10C3A022"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tcBorders>
              <w:top w:val="single" w:sz="4" w:space="0" w:color="auto"/>
            </w:tcBorders>
            <w:shd w:val="clear" w:color="auto" w:fill="auto"/>
          </w:tcPr>
          <w:p w14:paraId="3BE30155"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4EE6CEBA" w14:textId="77777777" w:rsidTr="00536675">
        <w:trPr>
          <w:trHeight w:val="438"/>
        </w:trPr>
        <w:tc>
          <w:tcPr>
            <w:tcW w:w="1786" w:type="dxa"/>
            <w:shd w:val="clear" w:color="auto" w:fill="auto"/>
          </w:tcPr>
          <w:p w14:paraId="1B37F0F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2</w:t>
            </w:r>
          </w:p>
        </w:tc>
        <w:tc>
          <w:tcPr>
            <w:tcW w:w="1454" w:type="dxa"/>
            <w:shd w:val="clear" w:color="auto" w:fill="auto"/>
          </w:tcPr>
          <w:p w14:paraId="4C2360E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50</w:t>
            </w:r>
          </w:p>
        </w:tc>
        <w:tc>
          <w:tcPr>
            <w:tcW w:w="1800" w:type="dxa"/>
            <w:shd w:val="clear" w:color="auto" w:fill="auto"/>
          </w:tcPr>
          <w:p w14:paraId="044A95A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shd w:val="clear" w:color="auto" w:fill="auto"/>
          </w:tcPr>
          <w:p w14:paraId="3C5CFA6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55FFBC47"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6EDD6391" w14:textId="77777777" w:rsidTr="00536675">
        <w:trPr>
          <w:trHeight w:val="438"/>
        </w:trPr>
        <w:tc>
          <w:tcPr>
            <w:tcW w:w="1786" w:type="dxa"/>
            <w:shd w:val="clear" w:color="auto" w:fill="auto"/>
          </w:tcPr>
          <w:p w14:paraId="079594BC"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454" w:type="dxa"/>
            <w:shd w:val="clear" w:color="auto" w:fill="auto"/>
          </w:tcPr>
          <w:p w14:paraId="107797A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80</w:t>
            </w:r>
          </w:p>
        </w:tc>
        <w:tc>
          <w:tcPr>
            <w:tcW w:w="1800" w:type="dxa"/>
            <w:shd w:val="clear" w:color="auto" w:fill="auto"/>
          </w:tcPr>
          <w:p w14:paraId="5701098D"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shd w:val="clear" w:color="auto" w:fill="auto"/>
          </w:tcPr>
          <w:p w14:paraId="5DD84F0C"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4E5D5D9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03C8E9D6" w14:textId="77777777" w:rsidTr="00536675">
        <w:trPr>
          <w:trHeight w:val="438"/>
        </w:trPr>
        <w:tc>
          <w:tcPr>
            <w:tcW w:w="1786" w:type="dxa"/>
            <w:shd w:val="clear" w:color="auto" w:fill="auto"/>
          </w:tcPr>
          <w:p w14:paraId="3E41A477"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4</w:t>
            </w:r>
          </w:p>
        </w:tc>
        <w:tc>
          <w:tcPr>
            <w:tcW w:w="1454" w:type="dxa"/>
            <w:shd w:val="clear" w:color="auto" w:fill="auto"/>
          </w:tcPr>
          <w:p w14:paraId="774F4D8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100</w:t>
            </w:r>
          </w:p>
        </w:tc>
        <w:tc>
          <w:tcPr>
            <w:tcW w:w="1800" w:type="dxa"/>
            <w:shd w:val="clear" w:color="auto" w:fill="auto"/>
          </w:tcPr>
          <w:p w14:paraId="385F491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shd w:val="clear" w:color="auto" w:fill="auto"/>
          </w:tcPr>
          <w:p w14:paraId="3A8468DA"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04B73716"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r>
      <w:tr w:rsidR="00B11A24" w:rsidRPr="00B11A24" w14:paraId="5A4E5BAC" w14:textId="77777777" w:rsidTr="00536675">
        <w:trPr>
          <w:trHeight w:val="438"/>
        </w:trPr>
        <w:tc>
          <w:tcPr>
            <w:tcW w:w="1786" w:type="dxa"/>
            <w:shd w:val="clear" w:color="auto" w:fill="auto"/>
          </w:tcPr>
          <w:p w14:paraId="4DBF7BFA"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*5</w:t>
            </w:r>
          </w:p>
        </w:tc>
        <w:tc>
          <w:tcPr>
            <w:tcW w:w="1454" w:type="dxa"/>
            <w:shd w:val="clear" w:color="auto" w:fill="auto"/>
          </w:tcPr>
          <w:p w14:paraId="4603F95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115</w:t>
            </w:r>
          </w:p>
        </w:tc>
        <w:tc>
          <w:tcPr>
            <w:tcW w:w="1800" w:type="dxa"/>
            <w:shd w:val="clear" w:color="auto" w:fill="auto"/>
          </w:tcPr>
          <w:p w14:paraId="218252E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shd w:val="clear" w:color="auto" w:fill="auto"/>
          </w:tcPr>
          <w:p w14:paraId="1FB44EC0"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633DF0D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r>
      <w:tr w:rsidR="00B11A24" w:rsidRPr="00B11A24" w14:paraId="1E735DA4" w14:textId="77777777" w:rsidTr="00536675">
        <w:trPr>
          <w:trHeight w:val="438"/>
        </w:trPr>
        <w:tc>
          <w:tcPr>
            <w:tcW w:w="1786" w:type="dxa"/>
            <w:tcBorders>
              <w:bottom w:val="single" w:sz="4" w:space="0" w:color="auto"/>
            </w:tcBorders>
            <w:shd w:val="clear" w:color="auto" w:fill="auto"/>
          </w:tcPr>
          <w:p w14:paraId="0B1FCC5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**6</w:t>
            </w:r>
          </w:p>
        </w:tc>
        <w:tc>
          <w:tcPr>
            <w:tcW w:w="1454" w:type="dxa"/>
            <w:tcBorders>
              <w:bottom w:val="single" w:sz="4" w:space="0" w:color="auto"/>
            </w:tcBorders>
            <w:shd w:val="clear" w:color="auto" w:fill="auto"/>
          </w:tcPr>
          <w:p w14:paraId="5DEE42C6"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130</w:t>
            </w:r>
          </w:p>
        </w:tc>
        <w:tc>
          <w:tcPr>
            <w:tcW w:w="1800" w:type="dxa"/>
            <w:tcBorders>
              <w:bottom w:val="single" w:sz="4" w:space="0" w:color="auto"/>
            </w:tcBorders>
            <w:shd w:val="clear" w:color="auto" w:fill="auto"/>
          </w:tcPr>
          <w:p w14:paraId="18848FB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tcBorders>
              <w:bottom w:val="single" w:sz="4" w:space="0" w:color="auto"/>
            </w:tcBorders>
            <w:shd w:val="clear" w:color="auto" w:fill="auto"/>
          </w:tcPr>
          <w:p w14:paraId="308ABEB1"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530" w:type="dxa"/>
            <w:tcBorders>
              <w:bottom w:val="single" w:sz="4" w:space="0" w:color="auto"/>
            </w:tcBorders>
            <w:shd w:val="clear" w:color="auto" w:fill="auto"/>
          </w:tcPr>
          <w:p w14:paraId="55C26A4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r>
    </w:tbl>
    <w:p w14:paraId="4ADC1320" w14:textId="77777777" w:rsidR="00B11A24" w:rsidRPr="00B11A24" w:rsidRDefault="00B11A24" w:rsidP="00B11A24">
      <w:pPr>
        <w:jc w:val="both"/>
        <w:rPr>
          <w:rFonts w:ascii="Arial" w:hAnsi="Arial" w:cs="Arial"/>
          <w:b/>
        </w:rPr>
      </w:pPr>
      <w:r w:rsidRPr="00B11A24">
        <w:rPr>
          <w:rFonts w:ascii="Arial" w:hAnsi="Arial" w:cs="Arial"/>
          <w:b/>
        </w:rPr>
        <w:t>KEY</w:t>
      </w:r>
    </w:p>
    <w:p w14:paraId="77D69574" w14:textId="77777777" w:rsidR="00B11A24" w:rsidRPr="00B11A24" w:rsidRDefault="00B11A24" w:rsidP="00B11A24">
      <w:pPr>
        <w:jc w:val="both"/>
        <w:rPr>
          <w:rFonts w:ascii="Arial" w:hAnsi="Arial" w:cs="Arial"/>
          <w:bCs/>
        </w:rPr>
      </w:pPr>
      <w:r w:rsidRPr="00B11A24">
        <w:rPr>
          <w:rFonts w:ascii="Arial" w:hAnsi="Arial" w:cs="Arial"/>
          <w:bCs/>
        </w:rPr>
        <w:t>*Highest Dose that caused no death = 115mg/kg (D</w:t>
      </w:r>
      <w:r w:rsidRPr="00B11A24">
        <w:rPr>
          <w:rFonts w:ascii="Arial" w:hAnsi="Arial" w:cs="Arial"/>
          <w:bCs/>
          <w:vertAlign w:val="subscript"/>
        </w:rPr>
        <w:t>0</w:t>
      </w:r>
      <w:r w:rsidRPr="00B11A24">
        <w:rPr>
          <w:rFonts w:ascii="Arial" w:hAnsi="Arial" w:cs="Arial"/>
          <w:bCs/>
        </w:rPr>
        <w:t>)</w:t>
      </w:r>
    </w:p>
    <w:p w14:paraId="7E307361" w14:textId="77777777" w:rsidR="00B11A24" w:rsidRPr="00B11A24" w:rsidRDefault="00B11A24" w:rsidP="00B11A24">
      <w:pPr>
        <w:jc w:val="both"/>
        <w:rPr>
          <w:rFonts w:ascii="Arial" w:hAnsi="Arial" w:cs="Arial"/>
          <w:bCs/>
        </w:rPr>
      </w:pPr>
      <w:r w:rsidRPr="00B11A24">
        <w:rPr>
          <w:rFonts w:ascii="Arial" w:hAnsi="Arial" w:cs="Arial"/>
          <w:bCs/>
        </w:rPr>
        <w:t>**Minimum Dose that caused death = 130mg/kg (D</w:t>
      </w:r>
      <w:r w:rsidRPr="00B11A24">
        <w:rPr>
          <w:rFonts w:ascii="Arial" w:hAnsi="Arial" w:cs="Arial"/>
          <w:bCs/>
          <w:vertAlign w:val="subscript"/>
        </w:rPr>
        <w:t>100</w:t>
      </w:r>
      <w:r w:rsidRPr="00B11A24">
        <w:rPr>
          <w:rFonts w:ascii="Arial" w:hAnsi="Arial" w:cs="Arial"/>
          <w:bCs/>
        </w:rPr>
        <w:t>)</w:t>
      </w:r>
    </w:p>
    <w:p w14:paraId="1812CA4E" w14:textId="1A0E5613" w:rsidR="000E170F" w:rsidRDefault="00B11A24" w:rsidP="0021110F">
      <w:pPr>
        <w:pStyle w:val="ListParagraph"/>
        <w:numPr>
          <w:ilvl w:val="0"/>
          <w:numId w:val="33"/>
        </w:numPr>
        <w:spacing w:after="0" w:line="240" w:lineRule="auto"/>
        <w:jc w:val="both"/>
        <w:rPr>
          <w:rFonts w:ascii="Arial" w:hAnsi="Arial" w:cs="Arial"/>
          <w:bCs/>
          <w:sz w:val="20"/>
          <w:szCs w:val="20"/>
        </w:rPr>
      </w:pPr>
      <w:r w:rsidRPr="00B11A24">
        <w:rPr>
          <w:rFonts w:ascii="Arial" w:hAnsi="Arial" w:cs="Arial"/>
          <w:bCs/>
          <w:sz w:val="20"/>
          <w:szCs w:val="20"/>
        </w:rPr>
        <w:lastRenderedPageBreak/>
        <w:t xml:space="preserve">= </w:t>
      </w:r>
      <w:proofErr w:type="gramStart"/>
      <w:r w:rsidRPr="00B11A24">
        <w:rPr>
          <w:rFonts w:ascii="Arial" w:hAnsi="Arial" w:cs="Arial"/>
          <w:bCs/>
          <w:sz w:val="20"/>
          <w:szCs w:val="20"/>
        </w:rPr>
        <w:t>√( D</w:t>
      </w:r>
      <w:proofErr w:type="gramEnd"/>
      <w:r w:rsidRPr="00B11A24">
        <w:rPr>
          <w:rFonts w:ascii="Arial" w:hAnsi="Arial" w:cs="Arial"/>
          <w:bCs/>
          <w:sz w:val="20"/>
          <w:szCs w:val="20"/>
          <w:vertAlign w:val="subscript"/>
        </w:rPr>
        <w:t xml:space="preserve">0 </w:t>
      </w:r>
      <w:r w:rsidRPr="00B11A24">
        <w:rPr>
          <w:rFonts w:ascii="Arial" w:hAnsi="Arial" w:cs="Arial"/>
          <w:bCs/>
          <w:sz w:val="20"/>
          <w:szCs w:val="20"/>
        </w:rPr>
        <w:t>× D</w:t>
      </w:r>
      <w:r w:rsidRPr="00B11A24">
        <w:rPr>
          <w:rFonts w:ascii="Arial" w:hAnsi="Arial" w:cs="Arial"/>
          <w:bCs/>
          <w:sz w:val="20"/>
          <w:szCs w:val="20"/>
          <w:vertAlign w:val="subscript"/>
        </w:rPr>
        <w:t>100</w:t>
      </w:r>
      <w:r w:rsidRPr="00B11A24">
        <w:rPr>
          <w:rFonts w:ascii="Arial" w:hAnsi="Arial" w:cs="Arial"/>
          <w:bCs/>
          <w:sz w:val="20"/>
          <w:szCs w:val="20"/>
        </w:rPr>
        <w:t>) (</w:t>
      </w:r>
      <w:proofErr w:type="spellStart"/>
      <w:r w:rsidRPr="00B11A24">
        <w:rPr>
          <w:rFonts w:ascii="Arial" w:hAnsi="Arial" w:cs="Arial"/>
          <w:bCs/>
          <w:sz w:val="20"/>
          <w:szCs w:val="20"/>
        </w:rPr>
        <w:t>Lorke’s</w:t>
      </w:r>
      <w:proofErr w:type="spellEnd"/>
      <w:r w:rsidRPr="00B11A24">
        <w:rPr>
          <w:rFonts w:ascii="Arial" w:hAnsi="Arial" w:cs="Arial"/>
          <w:bCs/>
          <w:sz w:val="20"/>
          <w:szCs w:val="20"/>
        </w:rPr>
        <w:t xml:space="preserve"> Formula).</w:t>
      </w:r>
    </w:p>
    <w:p w14:paraId="70C1FB59" w14:textId="77777777" w:rsidR="0021110F" w:rsidRPr="0021110F" w:rsidRDefault="0021110F" w:rsidP="0021110F">
      <w:pPr>
        <w:pStyle w:val="ListParagraph"/>
        <w:spacing w:after="0" w:line="240" w:lineRule="auto"/>
        <w:jc w:val="both"/>
        <w:rPr>
          <w:rFonts w:ascii="Arial" w:hAnsi="Arial" w:cs="Arial"/>
          <w:bCs/>
          <w:sz w:val="20"/>
          <w:szCs w:val="20"/>
        </w:rPr>
      </w:pPr>
    </w:p>
    <w:p w14:paraId="335584C8" w14:textId="77777777" w:rsidR="00B11A24" w:rsidRPr="00B11A24" w:rsidRDefault="00B11A24" w:rsidP="00B11A24">
      <w:pPr>
        <w:jc w:val="both"/>
        <w:rPr>
          <w:rFonts w:ascii="Arial" w:hAnsi="Arial" w:cs="Arial"/>
          <w:bCs/>
        </w:rPr>
      </w:pPr>
      <w:r w:rsidRPr="00B11A24">
        <w:rPr>
          <w:rFonts w:ascii="Arial" w:hAnsi="Arial" w:cs="Arial"/>
          <w:bCs/>
        </w:rPr>
        <w:t xml:space="preserve">Therefore:  </w:t>
      </w:r>
      <w:r w:rsidRPr="00B11A24">
        <w:rPr>
          <w:rFonts w:ascii="Arial" w:hAnsi="Arial" w:cs="Arial"/>
          <w:bCs/>
          <w:noProof/>
        </w:rPr>
        <w:drawing>
          <wp:inline distT="0" distB="0" distL="0" distR="0" wp14:anchorId="3AF7FE38" wp14:editId="56E085FB">
            <wp:extent cx="304800" cy="171450"/>
            <wp:effectExtent l="0" t="0" r="0" b="0"/>
            <wp:docPr id="1054299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11A24">
        <w:rPr>
          <w:rFonts w:ascii="Arial" w:hAnsi="Arial" w:cs="Arial"/>
          <w:bCs/>
        </w:rPr>
        <w:t xml:space="preserve"> = </w:t>
      </w:r>
      <m:oMath>
        <m:rad>
          <m:radPr>
            <m:degHide m:val="1"/>
            <m:ctrlPr>
              <w:rPr>
                <w:rFonts w:ascii="Cambria Math" w:hAnsi="Cambria Math" w:cs="Arial"/>
                <w:bCs/>
                <w:i/>
              </w:rPr>
            </m:ctrlPr>
          </m:radPr>
          <m:deg/>
          <m:e>
            <m:r>
              <w:rPr>
                <w:rFonts w:ascii="Cambria Math" w:hAnsi="Cambria Math" w:cs="Arial"/>
              </w:rPr>
              <m:t>(115 ×130)</m:t>
            </m:r>
          </m:e>
        </m:rad>
      </m:oMath>
      <w:r w:rsidRPr="00B11A24">
        <w:rPr>
          <w:rFonts w:ascii="Arial" w:hAnsi="Arial" w:cs="Arial"/>
          <w:bCs/>
        </w:rPr>
        <w:t xml:space="preserve">     = </w:t>
      </w:r>
      <m:oMath>
        <m:rad>
          <m:radPr>
            <m:degHide m:val="1"/>
            <m:ctrlPr>
              <w:rPr>
                <w:rFonts w:ascii="Cambria Math" w:hAnsi="Cambria Math" w:cs="Arial"/>
                <w:bCs/>
                <w:i/>
              </w:rPr>
            </m:ctrlPr>
          </m:radPr>
          <m:deg/>
          <m:e>
            <m:r>
              <w:rPr>
                <w:rFonts w:ascii="Cambria Math" w:hAnsi="Cambria Math" w:cs="Arial"/>
              </w:rPr>
              <m:t>14950</m:t>
            </m:r>
          </m:e>
        </m:rad>
      </m:oMath>
    </w:p>
    <w:p w14:paraId="72D3CA3D" w14:textId="77777777" w:rsidR="00B11A24" w:rsidRPr="00B11A24" w:rsidRDefault="00B11A24" w:rsidP="00B11A24">
      <w:pPr>
        <w:jc w:val="both"/>
        <w:rPr>
          <w:rFonts w:ascii="Arial" w:hAnsi="Arial" w:cs="Arial"/>
          <w:bCs/>
        </w:rPr>
      </w:pPr>
      <w:r w:rsidRPr="00B11A24">
        <w:rPr>
          <w:rFonts w:ascii="Arial" w:hAnsi="Arial" w:cs="Arial"/>
          <w:bCs/>
        </w:rPr>
        <w:tab/>
        <w:t xml:space="preserve">  = 122.27mg/kg</w:t>
      </w:r>
    </w:p>
    <w:p w14:paraId="2185DD24" w14:textId="72BBADB0" w:rsidR="00B11A24" w:rsidRPr="00B11A24" w:rsidRDefault="00B11A24" w:rsidP="00B11A24">
      <w:pPr>
        <w:jc w:val="both"/>
        <w:rPr>
          <w:rFonts w:ascii="Arial" w:hAnsi="Arial" w:cs="Arial"/>
          <w:bCs/>
        </w:rPr>
      </w:pPr>
      <w:r w:rsidRPr="00B11A24">
        <w:rPr>
          <w:rFonts w:ascii="Arial" w:hAnsi="Arial" w:cs="Arial"/>
          <w:bCs/>
        </w:rPr>
        <w:t>Thus, the mean lethal dose (LD</w:t>
      </w:r>
      <w:r w:rsidRPr="00B11A24">
        <w:rPr>
          <w:rFonts w:ascii="Arial" w:hAnsi="Arial" w:cs="Arial"/>
          <w:bCs/>
          <w:vertAlign w:val="subscript"/>
        </w:rPr>
        <w:t>50</w:t>
      </w:r>
      <w:r w:rsidRPr="00B11A24">
        <w:rPr>
          <w:rFonts w:ascii="Arial" w:hAnsi="Arial" w:cs="Arial"/>
          <w:bCs/>
        </w:rPr>
        <w:t xml:space="preserve">) = </w:t>
      </w:r>
      <w:r w:rsidRPr="00B11A24">
        <w:rPr>
          <w:rFonts w:ascii="Arial" w:hAnsi="Arial" w:cs="Arial"/>
        </w:rPr>
        <w:t xml:space="preserve">122.27mg/kg </w:t>
      </w:r>
    </w:p>
    <w:p w14:paraId="6A5282D9" w14:textId="77777777" w:rsidR="00B11A24" w:rsidRDefault="00B11A24" w:rsidP="00264095">
      <w:pPr>
        <w:spacing w:line="276" w:lineRule="auto"/>
        <w:jc w:val="both"/>
        <w:rPr>
          <w:rFonts w:ascii="Arial" w:hAnsi="Arial" w:cs="Arial"/>
          <w:b/>
          <w:bCs/>
          <w:sz w:val="22"/>
          <w:szCs w:val="22"/>
        </w:rPr>
      </w:pPr>
    </w:p>
    <w:p w14:paraId="53CD5FB9" w14:textId="4F305690" w:rsidR="00264095" w:rsidRDefault="006F1CC6" w:rsidP="00264095">
      <w:pPr>
        <w:spacing w:line="276" w:lineRule="auto"/>
        <w:jc w:val="both"/>
        <w:rPr>
          <w:rFonts w:ascii="Arial" w:hAnsi="Arial" w:cs="Arial"/>
          <w:b/>
          <w:bCs/>
          <w:sz w:val="22"/>
          <w:szCs w:val="22"/>
        </w:rPr>
      </w:pPr>
      <w:r>
        <w:rPr>
          <w:rFonts w:ascii="Arial" w:hAnsi="Arial" w:cs="Arial"/>
          <w:b/>
          <w:bCs/>
          <w:sz w:val="22"/>
          <w:szCs w:val="22"/>
        </w:rPr>
        <w:t>3.1.</w:t>
      </w:r>
      <w:r w:rsidR="00A16B32">
        <w:rPr>
          <w:rFonts w:ascii="Arial" w:hAnsi="Arial" w:cs="Arial"/>
          <w:b/>
          <w:bCs/>
          <w:sz w:val="22"/>
          <w:szCs w:val="22"/>
        </w:rPr>
        <w:t>2</w:t>
      </w:r>
      <w:r>
        <w:rPr>
          <w:rFonts w:ascii="Arial" w:hAnsi="Arial" w:cs="Arial"/>
          <w:b/>
          <w:bCs/>
          <w:sz w:val="22"/>
          <w:szCs w:val="22"/>
        </w:rPr>
        <w:tab/>
      </w:r>
      <w:r w:rsidR="00264095" w:rsidRPr="006F1CC6">
        <w:rPr>
          <w:rFonts w:ascii="Arial" w:hAnsi="Arial" w:cs="Arial"/>
          <w:b/>
          <w:bCs/>
          <w:u w:val="single"/>
        </w:rPr>
        <w:t>Mean ± SD of Levels of Ca 15-3 and TNF α in the Rats According to Groups</w:t>
      </w:r>
    </w:p>
    <w:p w14:paraId="3B819DFD" w14:textId="11B73113" w:rsidR="00004A97" w:rsidRPr="00004A97" w:rsidRDefault="00004A97" w:rsidP="00004A97">
      <w:pPr>
        <w:spacing w:line="276" w:lineRule="auto"/>
        <w:jc w:val="both"/>
        <w:rPr>
          <w:rFonts w:ascii="Arial" w:hAnsi="Arial" w:cs="Arial"/>
        </w:rPr>
      </w:pPr>
      <w:r w:rsidRPr="00004A97">
        <w:rPr>
          <w:rFonts w:ascii="Arial" w:hAnsi="Arial" w:cs="Arial"/>
        </w:rPr>
        <w:t xml:space="preserve">The results of the mean values of Ca 15-3 and TNF α, as shown in table 3, revealed no significant difference in the mean levels of breast cancer marker Ca 15-3 in rats exposed to polyethylene terephthalate (PET) microplastics and the control rats </w:t>
      </w:r>
      <w:r w:rsidR="002A6B92">
        <w:rPr>
          <w:rFonts w:ascii="Arial" w:hAnsi="Arial" w:cs="Arial"/>
        </w:rPr>
        <w:t xml:space="preserve">at </w:t>
      </w:r>
      <w:r w:rsidRPr="00004A97">
        <w:rPr>
          <w:rFonts w:ascii="Arial" w:hAnsi="Arial" w:cs="Arial"/>
          <w:i/>
          <w:iCs/>
        </w:rPr>
        <w:t>P</w:t>
      </w:r>
      <w:r w:rsidRPr="00004A97">
        <w:rPr>
          <w:rFonts w:ascii="Arial" w:hAnsi="Arial" w:cs="Arial"/>
        </w:rPr>
        <w:t>=0.077</w:t>
      </w:r>
      <w:r w:rsidR="002A6B92">
        <w:rPr>
          <w:rFonts w:ascii="Arial" w:hAnsi="Arial" w:cs="Arial"/>
        </w:rPr>
        <w:t>. Also</w:t>
      </w:r>
      <w:r w:rsidR="002A6B92" w:rsidRPr="00004A97">
        <w:rPr>
          <w:rFonts w:ascii="Arial" w:hAnsi="Arial" w:cs="Arial"/>
        </w:rPr>
        <w:t>, the levels of CA 15-3 in the rats fed with water in PET bottles exposed to sunlight do not differ significantly from the control rats</w:t>
      </w:r>
      <w:r w:rsidR="002A6B92">
        <w:rPr>
          <w:rFonts w:ascii="Arial" w:hAnsi="Arial" w:cs="Arial"/>
        </w:rPr>
        <w:t xml:space="preserve"> at </w:t>
      </w:r>
      <w:r w:rsidR="002A6B92" w:rsidRPr="00004A97">
        <w:rPr>
          <w:rFonts w:ascii="Arial" w:hAnsi="Arial" w:cs="Arial"/>
          <w:i/>
          <w:iCs/>
        </w:rPr>
        <w:t>P</w:t>
      </w:r>
      <w:r w:rsidR="002A6B92" w:rsidRPr="00004A97">
        <w:rPr>
          <w:rFonts w:ascii="Arial" w:hAnsi="Arial" w:cs="Arial"/>
        </w:rPr>
        <w:t>=0.077</w:t>
      </w:r>
      <w:r w:rsidR="002A6B92">
        <w:rPr>
          <w:rFonts w:ascii="Arial" w:hAnsi="Arial" w:cs="Arial"/>
        </w:rPr>
        <w:t>.</w:t>
      </w:r>
      <w:r w:rsidRPr="00004A97">
        <w:rPr>
          <w:rFonts w:ascii="Arial" w:hAnsi="Arial" w:cs="Arial"/>
        </w:rPr>
        <w:t xml:space="preserve"> The mean levels of TNF-α in the rats exposed to PET were significantly higher than the levels in the control group </w:t>
      </w:r>
      <w:r w:rsidR="002A6B92">
        <w:rPr>
          <w:rFonts w:ascii="Arial" w:hAnsi="Arial" w:cs="Arial"/>
        </w:rPr>
        <w:t xml:space="preserve">at </w:t>
      </w:r>
      <w:r w:rsidRPr="00004A97">
        <w:rPr>
          <w:rFonts w:ascii="Arial" w:hAnsi="Arial" w:cs="Arial"/>
          <w:i/>
          <w:iCs/>
        </w:rPr>
        <w:t>P</w:t>
      </w:r>
      <w:r w:rsidRPr="00004A97">
        <w:rPr>
          <w:rFonts w:ascii="Arial" w:hAnsi="Arial" w:cs="Arial"/>
        </w:rPr>
        <w:t xml:space="preserve">&lt;0.001. </w:t>
      </w:r>
    </w:p>
    <w:p w14:paraId="0E39764E" w14:textId="77777777" w:rsidR="008826D6" w:rsidRPr="00264095" w:rsidRDefault="008826D6" w:rsidP="00264095">
      <w:pPr>
        <w:spacing w:line="276" w:lineRule="auto"/>
        <w:jc w:val="both"/>
        <w:rPr>
          <w:rFonts w:ascii="Arial" w:hAnsi="Arial" w:cs="Arial"/>
        </w:rPr>
      </w:pPr>
    </w:p>
    <w:p w14:paraId="09C3C1FA" w14:textId="0F39CFB9" w:rsidR="008826D6" w:rsidRPr="00264095" w:rsidRDefault="00264095" w:rsidP="00264095">
      <w:pPr>
        <w:spacing w:line="276" w:lineRule="auto"/>
        <w:jc w:val="both"/>
        <w:rPr>
          <w:rFonts w:ascii="Arial" w:hAnsi="Arial" w:cs="Arial"/>
          <w:b/>
          <w:bCs/>
        </w:rPr>
      </w:pPr>
      <w:r w:rsidRPr="00264095">
        <w:rPr>
          <w:rFonts w:ascii="Arial" w:hAnsi="Arial" w:cs="Arial"/>
          <w:b/>
          <w:bCs/>
        </w:rPr>
        <w:t>Table 3.</w:t>
      </w:r>
      <w:r w:rsidRPr="00264095">
        <w:rPr>
          <w:rFonts w:ascii="Arial" w:hAnsi="Arial" w:cs="Arial"/>
          <w:b/>
          <w:bCs/>
        </w:rPr>
        <w:tab/>
        <w:t>Mean ± SD of Levels of Ca 15-3, IL 1β and TNF α in the Rats According to Groups</w:t>
      </w:r>
    </w:p>
    <w:tbl>
      <w:tblPr>
        <w:tblStyle w:val="ListTable6Colourful1"/>
        <w:tblW w:w="0" w:type="auto"/>
        <w:jc w:val="center"/>
        <w:tblLook w:val="06A0" w:firstRow="1" w:lastRow="0" w:firstColumn="1" w:lastColumn="0" w:noHBand="1" w:noVBand="1"/>
      </w:tblPr>
      <w:tblGrid>
        <w:gridCol w:w="2269"/>
        <w:gridCol w:w="3769"/>
        <w:gridCol w:w="2170"/>
      </w:tblGrid>
      <w:tr w:rsidR="00264095" w:rsidRPr="00264095" w14:paraId="48E17F23" w14:textId="77777777" w:rsidTr="00E643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6F499A04"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color w:val="auto"/>
                <w:sz w:val="20"/>
                <w:szCs w:val="20"/>
              </w:rPr>
              <w:t>Groups</w:t>
            </w:r>
          </w:p>
        </w:tc>
        <w:tc>
          <w:tcPr>
            <w:tcW w:w="4140" w:type="dxa"/>
          </w:tcPr>
          <w:p w14:paraId="75A67CE4" w14:textId="77777777" w:rsidR="00264095" w:rsidRPr="00264095" w:rsidRDefault="00264095" w:rsidP="00E643B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Ca 15-3 (</w:t>
            </w:r>
            <w:proofErr w:type="spellStart"/>
            <w:r w:rsidRPr="00264095">
              <w:rPr>
                <w:rFonts w:ascii="Arial" w:hAnsi="Arial" w:cs="Arial"/>
                <w:color w:val="auto"/>
                <w:sz w:val="20"/>
                <w:szCs w:val="20"/>
              </w:rPr>
              <w:t>uIU</w:t>
            </w:r>
            <w:proofErr w:type="spellEnd"/>
            <w:r w:rsidRPr="00264095">
              <w:rPr>
                <w:rFonts w:ascii="Arial" w:hAnsi="Arial" w:cs="Arial"/>
                <w:color w:val="auto"/>
                <w:sz w:val="20"/>
                <w:szCs w:val="20"/>
              </w:rPr>
              <w:t>/ml)</w:t>
            </w:r>
          </w:p>
        </w:tc>
        <w:tc>
          <w:tcPr>
            <w:tcW w:w="2340" w:type="dxa"/>
          </w:tcPr>
          <w:p w14:paraId="0F123755" w14:textId="77777777" w:rsidR="00264095" w:rsidRPr="00264095" w:rsidRDefault="00264095" w:rsidP="00E643B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TNF α (</w:t>
            </w:r>
            <w:proofErr w:type="spellStart"/>
            <w:r w:rsidRPr="00264095">
              <w:rPr>
                <w:rFonts w:ascii="Arial" w:hAnsi="Arial" w:cs="Arial"/>
                <w:color w:val="auto"/>
                <w:sz w:val="20"/>
                <w:szCs w:val="20"/>
              </w:rPr>
              <w:t>pg</w:t>
            </w:r>
            <w:proofErr w:type="spellEnd"/>
            <w:r w:rsidRPr="00264095">
              <w:rPr>
                <w:rFonts w:ascii="Arial" w:hAnsi="Arial" w:cs="Arial"/>
                <w:color w:val="auto"/>
                <w:sz w:val="20"/>
                <w:szCs w:val="20"/>
              </w:rPr>
              <w:t>/ml)</w:t>
            </w:r>
          </w:p>
        </w:tc>
      </w:tr>
      <w:tr w:rsidR="00264095" w:rsidRPr="00264095" w14:paraId="494CAA6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0DD73197"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1</w:t>
            </w:r>
          </w:p>
        </w:tc>
        <w:tc>
          <w:tcPr>
            <w:tcW w:w="4140" w:type="dxa"/>
          </w:tcPr>
          <w:p w14:paraId="13963976"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16.83 ± 2.84</w:t>
            </w:r>
          </w:p>
        </w:tc>
        <w:tc>
          <w:tcPr>
            <w:tcW w:w="2340" w:type="dxa"/>
          </w:tcPr>
          <w:p w14:paraId="052721E9"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26.60 ± 2.84</w:t>
            </w:r>
            <w:r w:rsidRPr="00264095">
              <w:rPr>
                <w:rFonts w:ascii="Arial" w:hAnsi="Arial" w:cs="Arial"/>
                <w:color w:val="auto"/>
                <w:sz w:val="20"/>
                <w:szCs w:val="20"/>
                <w:vertAlign w:val="superscript"/>
              </w:rPr>
              <w:t>a</w:t>
            </w:r>
          </w:p>
        </w:tc>
      </w:tr>
      <w:tr w:rsidR="00264095" w:rsidRPr="00264095" w14:paraId="6DD40B47"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1D322B8E"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2</w:t>
            </w:r>
          </w:p>
        </w:tc>
        <w:tc>
          <w:tcPr>
            <w:tcW w:w="4140" w:type="dxa"/>
          </w:tcPr>
          <w:p w14:paraId="28BD9CE9"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18.03 ± 1.54</w:t>
            </w:r>
          </w:p>
        </w:tc>
        <w:tc>
          <w:tcPr>
            <w:tcW w:w="2340" w:type="dxa"/>
          </w:tcPr>
          <w:p w14:paraId="0D396493"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61.52 ± 4.69</w:t>
            </w:r>
            <w:r w:rsidRPr="00264095">
              <w:rPr>
                <w:rFonts w:ascii="Arial" w:hAnsi="Arial" w:cs="Arial"/>
                <w:color w:val="auto"/>
                <w:sz w:val="20"/>
                <w:szCs w:val="20"/>
                <w:vertAlign w:val="superscript"/>
              </w:rPr>
              <w:t>b</w:t>
            </w:r>
          </w:p>
        </w:tc>
      </w:tr>
      <w:tr w:rsidR="00264095" w:rsidRPr="00264095" w14:paraId="1F784D6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7AC1A59D"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3</w:t>
            </w:r>
          </w:p>
        </w:tc>
        <w:tc>
          <w:tcPr>
            <w:tcW w:w="4140" w:type="dxa"/>
          </w:tcPr>
          <w:p w14:paraId="71FB7DEE"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18.17 ± 2.42</w:t>
            </w:r>
          </w:p>
        </w:tc>
        <w:tc>
          <w:tcPr>
            <w:tcW w:w="2340" w:type="dxa"/>
          </w:tcPr>
          <w:p w14:paraId="581B0414"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80.36 ± 6.19</w:t>
            </w:r>
            <w:r w:rsidRPr="00264095">
              <w:rPr>
                <w:rFonts w:ascii="Arial" w:hAnsi="Arial" w:cs="Arial"/>
                <w:color w:val="auto"/>
                <w:sz w:val="20"/>
                <w:szCs w:val="20"/>
                <w:vertAlign w:val="superscript"/>
              </w:rPr>
              <w:t>c</w:t>
            </w:r>
          </w:p>
        </w:tc>
      </w:tr>
      <w:tr w:rsidR="00264095" w:rsidRPr="00264095" w14:paraId="0BF47C3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653E55F6"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4</w:t>
            </w:r>
          </w:p>
        </w:tc>
        <w:tc>
          <w:tcPr>
            <w:tcW w:w="4140" w:type="dxa"/>
          </w:tcPr>
          <w:p w14:paraId="2374ADA3"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19.07 ± 0.59</w:t>
            </w:r>
          </w:p>
        </w:tc>
        <w:tc>
          <w:tcPr>
            <w:tcW w:w="2340" w:type="dxa"/>
          </w:tcPr>
          <w:p w14:paraId="4E3615F0"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84.93 ± 3.75</w:t>
            </w:r>
            <w:r w:rsidRPr="00264095">
              <w:rPr>
                <w:rFonts w:ascii="Arial" w:hAnsi="Arial" w:cs="Arial"/>
                <w:color w:val="auto"/>
                <w:sz w:val="20"/>
                <w:szCs w:val="20"/>
                <w:vertAlign w:val="superscript"/>
              </w:rPr>
              <w:t>c</w:t>
            </w:r>
          </w:p>
        </w:tc>
      </w:tr>
      <w:tr w:rsidR="00264095" w:rsidRPr="00264095" w14:paraId="2E98A199"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D4E36A1"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5</w:t>
            </w:r>
          </w:p>
        </w:tc>
        <w:tc>
          <w:tcPr>
            <w:tcW w:w="4140" w:type="dxa"/>
          </w:tcPr>
          <w:p w14:paraId="7C92807F"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15.90 ± 2.18</w:t>
            </w:r>
          </w:p>
        </w:tc>
        <w:tc>
          <w:tcPr>
            <w:tcW w:w="2340" w:type="dxa"/>
          </w:tcPr>
          <w:p w14:paraId="1B588951"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51.88 ± 2.84</w:t>
            </w:r>
            <w:r w:rsidRPr="00264095">
              <w:rPr>
                <w:rFonts w:ascii="Arial" w:hAnsi="Arial" w:cs="Arial"/>
                <w:color w:val="auto"/>
                <w:sz w:val="20"/>
                <w:szCs w:val="20"/>
                <w:vertAlign w:val="superscript"/>
              </w:rPr>
              <w:t>d</w:t>
            </w:r>
          </w:p>
        </w:tc>
      </w:tr>
      <w:tr w:rsidR="00264095" w:rsidRPr="00264095" w14:paraId="21C57755"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07C34C3"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p- value</w:t>
            </w:r>
          </w:p>
        </w:tc>
        <w:tc>
          <w:tcPr>
            <w:tcW w:w="4140" w:type="dxa"/>
          </w:tcPr>
          <w:p w14:paraId="2800EFF0" w14:textId="201C941F"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0.077</w:t>
            </w:r>
          </w:p>
        </w:tc>
        <w:tc>
          <w:tcPr>
            <w:tcW w:w="2340" w:type="dxa"/>
          </w:tcPr>
          <w:p w14:paraId="47018E86" w14:textId="4206F61D"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&lt;0.001</w:t>
            </w:r>
          </w:p>
        </w:tc>
      </w:tr>
      <w:tr w:rsidR="00264095" w:rsidRPr="00264095" w14:paraId="6772F156"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2F7FCAC0"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F -value</w:t>
            </w:r>
          </w:p>
        </w:tc>
        <w:tc>
          <w:tcPr>
            <w:tcW w:w="4140" w:type="dxa"/>
          </w:tcPr>
          <w:p w14:paraId="5491FD8B"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2.354</w:t>
            </w:r>
          </w:p>
        </w:tc>
        <w:tc>
          <w:tcPr>
            <w:tcW w:w="2340" w:type="dxa"/>
          </w:tcPr>
          <w:p w14:paraId="7FB89682"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145.0</w:t>
            </w:r>
          </w:p>
        </w:tc>
      </w:tr>
      <w:tr w:rsidR="00264095" w:rsidRPr="00264095" w14:paraId="43BEA7DB"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FA150AD"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Inference</w:t>
            </w:r>
          </w:p>
        </w:tc>
        <w:tc>
          <w:tcPr>
            <w:tcW w:w="4140" w:type="dxa"/>
          </w:tcPr>
          <w:p w14:paraId="2AA0CDEC"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NS</w:t>
            </w:r>
          </w:p>
        </w:tc>
        <w:tc>
          <w:tcPr>
            <w:tcW w:w="2340" w:type="dxa"/>
          </w:tcPr>
          <w:p w14:paraId="76089EBD"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S</w:t>
            </w:r>
          </w:p>
        </w:tc>
      </w:tr>
    </w:tbl>
    <w:p w14:paraId="6C2E1866" w14:textId="669C1174" w:rsidR="006F1CC6" w:rsidRDefault="00264095" w:rsidP="00264095">
      <w:pPr>
        <w:tabs>
          <w:tab w:val="left" w:pos="12780"/>
        </w:tabs>
        <w:spacing w:line="276" w:lineRule="auto"/>
        <w:jc w:val="both"/>
        <w:rPr>
          <w:rFonts w:ascii="Arial" w:hAnsi="Arial" w:cs="Arial"/>
        </w:rPr>
      </w:pPr>
      <w:r w:rsidRPr="00264095">
        <w:rPr>
          <w:rFonts w:ascii="Arial" w:hAnsi="Arial" w:cs="Arial"/>
          <w:b/>
        </w:rPr>
        <w:t>NB</w:t>
      </w:r>
      <w:r w:rsidRPr="00264095">
        <w:rPr>
          <w:rFonts w:ascii="Arial" w:hAnsi="Arial" w:cs="Arial"/>
        </w:rPr>
        <w:t xml:space="preserve">. </w:t>
      </w:r>
      <w:r w:rsidRPr="00264095">
        <w:rPr>
          <w:rFonts w:ascii="Arial" w:hAnsi="Arial" w:cs="Arial"/>
          <w:b/>
        </w:rPr>
        <w:t>Post Hoc Analysis (Tukey’s Test):</w:t>
      </w:r>
      <w:r w:rsidRPr="00264095">
        <w:rPr>
          <w:rFonts w:ascii="Arial" w:hAnsi="Arial" w:cs="Arial"/>
        </w:rPr>
        <w:t xml:space="preserve"> </w:t>
      </w:r>
      <w:r w:rsidRPr="007D3E51">
        <w:rPr>
          <w:rFonts w:ascii="Arial" w:hAnsi="Arial" w:cs="Arial"/>
        </w:rPr>
        <w:t>Values with different superscripts within a column indicate significant differences between groups when compared. Values with the same superscript on each column do not differ significantly from each other.</w:t>
      </w:r>
    </w:p>
    <w:p w14:paraId="1AFEE637" w14:textId="77777777" w:rsidR="00804826" w:rsidRPr="00264095" w:rsidRDefault="00804826" w:rsidP="00264095">
      <w:pPr>
        <w:tabs>
          <w:tab w:val="left" w:pos="12780"/>
        </w:tabs>
        <w:spacing w:line="276" w:lineRule="auto"/>
        <w:jc w:val="both"/>
        <w:rPr>
          <w:rFonts w:ascii="Arial" w:hAnsi="Arial" w:cs="Arial"/>
        </w:rPr>
      </w:pPr>
    </w:p>
    <w:p w14:paraId="4A81F636" w14:textId="77777777" w:rsidR="00264095" w:rsidRDefault="00264095" w:rsidP="00264095">
      <w:pPr>
        <w:spacing w:line="276" w:lineRule="auto"/>
        <w:jc w:val="both"/>
        <w:rPr>
          <w:rFonts w:ascii="Arial" w:hAnsi="Arial" w:cs="Arial"/>
          <w:bCs/>
        </w:rPr>
      </w:pPr>
      <w:r w:rsidRPr="00264095">
        <w:rPr>
          <w:rFonts w:ascii="Arial" w:hAnsi="Arial" w:cs="Arial"/>
          <w:b/>
          <w:bCs/>
        </w:rPr>
        <w:t xml:space="preserve">Key: </w:t>
      </w:r>
      <w:r w:rsidRPr="00264095">
        <w:rPr>
          <w:rFonts w:ascii="Arial" w:hAnsi="Arial" w:cs="Arial"/>
          <w:bCs/>
        </w:rPr>
        <w:t xml:space="preserve">NS- Not Significant; S – Significant; Ca 15-3 – Cancer Antigen 15-3; TNF α – </w:t>
      </w:r>
      <w:proofErr w:type="spellStart"/>
      <w:r w:rsidRPr="00264095">
        <w:rPr>
          <w:rFonts w:ascii="Arial" w:hAnsi="Arial" w:cs="Arial"/>
          <w:bCs/>
        </w:rPr>
        <w:t>Tumour</w:t>
      </w:r>
      <w:proofErr w:type="spellEnd"/>
      <w:r w:rsidRPr="00264095">
        <w:rPr>
          <w:rFonts w:ascii="Arial" w:hAnsi="Arial" w:cs="Arial"/>
          <w:bCs/>
        </w:rPr>
        <w:t xml:space="preserve"> Necrotic Factor α</w:t>
      </w:r>
    </w:p>
    <w:p w14:paraId="62DBEE7B" w14:textId="77777777" w:rsidR="008826D6" w:rsidRDefault="008826D6" w:rsidP="00264095">
      <w:pPr>
        <w:spacing w:line="276" w:lineRule="auto"/>
        <w:jc w:val="both"/>
        <w:rPr>
          <w:rFonts w:ascii="Arial" w:hAnsi="Arial" w:cs="Arial"/>
          <w:bCs/>
        </w:rPr>
      </w:pPr>
    </w:p>
    <w:p w14:paraId="5386C2FF" w14:textId="77777777" w:rsidR="00A16B32" w:rsidRDefault="00A16B32" w:rsidP="00264095">
      <w:pPr>
        <w:spacing w:line="276" w:lineRule="auto"/>
        <w:jc w:val="both"/>
        <w:rPr>
          <w:rFonts w:ascii="Arial" w:hAnsi="Arial" w:cs="Arial"/>
          <w:bCs/>
        </w:rPr>
      </w:pPr>
    </w:p>
    <w:p w14:paraId="3B24D2C6" w14:textId="77777777" w:rsidR="00A16B32" w:rsidRDefault="00A16B32" w:rsidP="00264095">
      <w:pPr>
        <w:spacing w:line="276" w:lineRule="auto"/>
        <w:jc w:val="both"/>
        <w:rPr>
          <w:rFonts w:ascii="Arial" w:hAnsi="Arial" w:cs="Arial"/>
          <w:bCs/>
        </w:rPr>
      </w:pPr>
    </w:p>
    <w:p w14:paraId="7BA694DC" w14:textId="77777777" w:rsidR="00A16B32" w:rsidRDefault="00A16B32" w:rsidP="00264095">
      <w:pPr>
        <w:spacing w:line="276" w:lineRule="auto"/>
        <w:jc w:val="both"/>
        <w:rPr>
          <w:rFonts w:ascii="Arial" w:hAnsi="Arial" w:cs="Arial"/>
          <w:bCs/>
        </w:rPr>
      </w:pPr>
    </w:p>
    <w:p w14:paraId="3CCB6DE2" w14:textId="77777777" w:rsidR="00A16B32" w:rsidRDefault="00A16B32" w:rsidP="00264095">
      <w:pPr>
        <w:spacing w:line="276" w:lineRule="auto"/>
        <w:jc w:val="both"/>
        <w:rPr>
          <w:rFonts w:ascii="Arial" w:hAnsi="Arial" w:cs="Arial"/>
          <w:bCs/>
        </w:rPr>
      </w:pPr>
    </w:p>
    <w:p w14:paraId="38D58966" w14:textId="77777777" w:rsidR="00A16B32" w:rsidRDefault="00A16B32" w:rsidP="00264095">
      <w:pPr>
        <w:spacing w:line="276" w:lineRule="auto"/>
        <w:jc w:val="both"/>
        <w:rPr>
          <w:rFonts w:ascii="Arial" w:hAnsi="Arial" w:cs="Arial"/>
          <w:bCs/>
        </w:rPr>
      </w:pPr>
    </w:p>
    <w:p w14:paraId="25BDA6A4" w14:textId="77777777" w:rsidR="00A16B32" w:rsidRDefault="00A16B32" w:rsidP="00264095">
      <w:pPr>
        <w:spacing w:line="276" w:lineRule="auto"/>
        <w:jc w:val="both"/>
        <w:rPr>
          <w:rFonts w:ascii="Arial" w:hAnsi="Arial" w:cs="Arial"/>
          <w:bCs/>
        </w:rPr>
      </w:pPr>
    </w:p>
    <w:p w14:paraId="3F10B740" w14:textId="77777777" w:rsidR="00A16B32" w:rsidRDefault="00A16B32" w:rsidP="00264095">
      <w:pPr>
        <w:spacing w:line="276" w:lineRule="auto"/>
        <w:jc w:val="both"/>
        <w:rPr>
          <w:rFonts w:ascii="Arial" w:hAnsi="Arial" w:cs="Arial"/>
          <w:bCs/>
        </w:rPr>
      </w:pPr>
    </w:p>
    <w:p w14:paraId="0A99290D" w14:textId="77777777" w:rsidR="00A16B32" w:rsidRDefault="00A16B32" w:rsidP="00264095">
      <w:pPr>
        <w:spacing w:line="276" w:lineRule="auto"/>
        <w:jc w:val="both"/>
        <w:rPr>
          <w:rFonts w:ascii="Arial" w:hAnsi="Arial" w:cs="Arial"/>
          <w:bCs/>
        </w:rPr>
      </w:pPr>
    </w:p>
    <w:p w14:paraId="2E17095C" w14:textId="77777777" w:rsidR="00A16B32" w:rsidRDefault="00A16B32" w:rsidP="00264095">
      <w:pPr>
        <w:spacing w:line="276" w:lineRule="auto"/>
        <w:jc w:val="both"/>
        <w:rPr>
          <w:rFonts w:ascii="Arial" w:hAnsi="Arial" w:cs="Arial"/>
          <w:bCs/>
        </w:rPr>
      </w:pPr>
    </w:p>
    <w:p w14:paraId="14A7F160" w14:textId="77777777" w:rsidR="00A16B32" w:rsidRDefault="00A16B32" w:rsidP="00264095">
      <w:pPr>
        <w:spacing w:line="276" w:lineRule="auto"/>
        <w:jc w:val="both"/>
        <w:rPr>
          <w:rFonts w:ascii="Arial" w:hAnsi="Arial" w:cs="Arial"/>
          <w:bCs/>
        </w:rPr>
      </w:pPr>
    </w:p>
    <w:p w14:paraId="76CF61E3" w14:textId="0C1E8567" w:rsidR="00264095" w:rsidRDefault="00264095" w:rsidP="00264095">
      <w:pPr>
        <w:tabs>
          <w:tab w:val="left" w:pos="12780"/>
        </w:tabs>
        <w:spacing w:line="276" w:lineRule="auto"/>
        <w:jc w:val="both"/>
        <w:rPr>
          <w:rFonts w:ascii="Arial" w:hAnsi="Arial" w:cs="Arial"/>
          <w:b/>
          <w:bCs/>
          <w:u w:val="single"/>
        </w:rPr>
      </w:pPr>
      <w:r w:rsidRPr="006F1CC6">
        <w:rPr>
          <w:rFonts w:ascii="Arial" w:hAnsi="Arial" w:cs="Arial"/>
          <w:b/>
          <w:bCs/>
          <w:u w:val="single"/>
        </w:rPr>
        <w:t>3.</w:t>
      </w:r>
      <w:r w:rsidR="006F1CC6" w:rsidRPr="006F1CC6">
        <w:rPr>
          <w:rFonts w:ascii="Arial" w:hAnsi="Arial" w:cs="Arial"/>
          <w:b/>
          <w:bCs/>
          <w:u w:val="single"/>
        </w:rPr>
        <w:t>1.2</w:t>
      </w:r>
      <w:r w:rsidRPr="006F1CC6">
        <w:rPr>
          <w:rFonts w:ascii="Arial" w:hAnsi="Arial" w:cs="Arial"/>
          <w:b/>
          <w:bCs/>
          <w:u w:val="single"/>
        </w:rPr>
        <w:t xml:space="preserve">   Histological Analysis</w:t>
      </w:r>
    </w:p>
    <w:p w14:paraId="1B4D62E6" w14:textId="77777777" w:rsidR="006F1CC6" w:rsidRPr="006F1CC6" w:rsidRDefault="006F1CC6" w:rsidP="00264095">
      <w:pPr>
        <w:tabs>
          <w:tab w:val="left" w:pos="12780"/>
        </w:tabs>
        <w:spacing w:line="276" w:lineRule="auto"/>
        <w:jc w:val="both"/>
        <w:rPr>
          <w:rFonts w:ascii="Arial" w:hAnsi="Arial" w:cs="Arial"/>
          <w:b/>
          <w:bCs/>
          <w:u w:val="single"/>
        </w:rPr>
      </w:pPr>
    </w:p>
    <w:tbl>
      <w:tblPr>
        <w:tblStyle w:val="TableGrid"/>
        <w:tblW w:w="0" w:type="auto"/>
        <w:tblLook w:val="04A0" w:firstRow="1" w:lastRow="0" w:firstColumn="1" w:lastColumn="0" w:noHBand="0" w:noVBand="1"/>
      </w:tblPr>
      <w:tblGrid>
        <w:gridCol w:w="4433"/>
        <w:gridCol w:w="3765"/>
      </w:tblGrid>
      <w:tr w:rsidR="00447BD2" w:rsidRPr="00264095" w14:paraId="626CBB4E" w14:textId="77777777" w:rsidTr="00E643B5">
        <w:trPr>
          <w:trHeight w:val="4643"/>
        </w:trPr>
        <w:tc>
          <w:tcPr>
            <w:tcW w:w="4605" w:type="dxa"/>
          </w:tcPr>
          <w:p w14:paraId="0CEB2D5D" w14:textId="77777777" w:rsidR="00264095" w:rsidRPr="00264095" w:rsidRDefault="00264095" w:rsidP="00E643B5">
            <w:pPr>
              <w:spacing w:line="276" w:lineRule="auto"/>
              <w:jc w:val="center"/>
              <w:rPr>
                <w:rFonts w:ascii="Arial" w:hAnsi="Arial" w:cs="Arial"/>
                <w:sz w:val="20"/>
                <w:szCs w:val="20"/>
              </w:rPr>
            </w:pPr>
          </w:p>
          <w:p w14:paraId="353811D7" w14:textId="77777777" w:rsidR="00264095" w:rsidRPr="00264095" w:rsidRDefault="00264095"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4384" behindDoc="0" locked="0" layoutInCell="1" allowOverlap="1" wp14:anchorId="33ABD448" wp14:editId="4D7FA272">
                      <wp:simplePos x="0" y="0"/>
                      <wp:positionH relativeFrom="column">
                        <wp:posOffset>2453005</wp:posOffset>
                      </wp:positionH>
                      <wp:positionV relativeFrom="paragraph">
                        <wp:posOffset>1392886</wp:posOffset>
                      </wp:positionV>
                      <wp:extent cx="206655" cy="174753"/>
                      <wp:effectExtent l="19050" t="19050" r="22225" b="34925"/>
                      <wp:wrapNone/>
                      <wp:docPr id="1026"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B7C5A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93.15pt;margin-top:109.7pt;width:16.25pt;height:13.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jdokvuAAAAALAQAADwAAAGRycy9kb3ducmV2LnhtbEyPwU7DMAyG70i8Q2QkbiztVlVdaTrBxK5I&#10;dAhxzJqsrUicKknXjqfHnOBo+9Pv7692izXson0YHApIVwkwja1TA3YC3o+HhwJYiBKVNA61gKsO&#10;sKtvbypZKjfjm740sWMUgqGUAvoYx5Lz0PbayrByo0a6nZ23MtLoO668nCncGr5OkpxbOSB96OWo&#10;971uv5rJCkj2H9/Na1j8dI7x+pk9H+YXZYS4v1ueHoFFvcQ/GH71SR1qcjq5CVVgRsCmyDeEClin&#10;2wwYEVlaUJkTbbJ8C7yu+P8O9Q8AAAD//wMAUEsBAi0AFAAGAAgAAAAhALaDOJL+AAAA4QEAABMA&#10;AAAAAAAAAAAAAAAAAAAAAFtDb250ZW50X1R5cGVzXS54bWxQSwECLQAUAAYACAAAACEAOP0h/9YA&#10;AACUAQAACwAAAAAAAAAAAAAAAAAvAQAAX3JlbHMvLnJlbHNQSwECLQAUAAYACAAAACEASZNIxdMB&#10;AADJAwAADgAAAAAAAAAAAAAAAAAuAgAAZHJzL2Uyb0RvYy54bWxQSwECLQAUAAYACAAAACEAjdok&#10;vuAAAAALAQAADwAAAAAAAAAAAAAAAAAtBAAAZHJzL2Rvd25yZXYueG1sUEsFBgAAAAAEAAQA8wAA&#10;ADoFAAAAAA==&#10;" adj="9133"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63360" behindDoc="0" locked="0" layoutInCell="1" allowOverlap="1" wp14:anchorId="0A2A2433" wp14:editId="0DBB5C6C">
                      <wp:simplePos x="0" y="0"/>
                      <wp:positionH relativeFrom="column">
                        <wp:posOffset>1006153</wp:posOffset>
                      </wp:positionH>
                      <wp:positionV relativeFrom="paragraph">
                        <wp:posOffset>1652970</wp:posOffset>
                      </wp:positionV>
                      <wp:extent cx="206655" cy="174752"/>
                      <wp:effectExtent l="19050" t="19050" r="22225" b="34925"/>
                      <wp:wrapNone/>
                      <wp:docPr id="102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2"/>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E8C974" id="Left Arrow 8" o:spid="_x0000_s1026" type="#_x0000_t66" style="position:absolute;margin-left:79.2pt;margin-top:130.15pt;width:16.25pt;height:13.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m82QEAAMkDAAAOAAAAZHJzL2Uyb0RvYy54bWysU8tu2zAQvBfoPxC815IVPwLBclDEdS9B&#10;WiApel5TpESUL3BZS/77UpTsuGlPQS7ErnY5nJ0dbe56rciRe5TWVHQ+yynhhtlamqaiP573n24p&#10;wQCmBmUNr+iJI73bfvyw6VzJC9taVXNPIojBsnMVbUNwZZYha7kGnFnHTSwK6zWEmPomqz10EV2r&#10;rMjzVdZZXztvGUeMX3djkW4TvhCchW9CIA9EVTRyC+n06TwMZ7bdQNl4cK1kEw14AwsN0sRHL1A7&#10;CEB+e/kPlJbMW7QizJjVmRVCMp5miNPM81fTPLXgeJolioPuIhO+Hyx7PD65736gju7Bsl8YFck6&#10;h+WlMiQ49fTC66E3Eid9UvF0UZH3gbD4schXq+WSEhZL8/VivSwGlTMoz5edx/CVW02GoKKKi/DZ&#10;e9slAeH4gGHsP/clclbJei+VSolvDvfKkyPErS4W6+J+MT2B123KkC5SKNZ53DyD6C6hIMRQu7qi&#10;aJr04F9X8Br5Zr68ud3/D3lgtgNsRwYJYXSSloH75KmWQ/3F1CkOINUYRxWUmQQeNR3UPdj6NO5g&#10;AH7uf4J3kzghqvpoz0aA8pU8Y+8EeIZJ64t+SaJP3h4MeZ2nKy9/4PYPAAAA//8DAFBLAwQUAAYA&#10;CAAAACEAm5k4KuAAAAALAQAADwAAAGRycy9kb3ducmV2LnhtbEyPwU7DMAyG70i8Q2QkbiyhjNGV&#10;ptOEhITEATaQdk0bL61onNKka8vTk53g+Nuffn/ON5Nt2Ql73ziScLsQwJAqpxsyEj4/nm9SYD4o&#10;0qp1hBJm9LApLi9ylWk30g5P+2BYLCGfKQl1CF3Gua9qtMovXIcUd0fXWxVi7A3XvRpjuW15IsSK&#10;W9VQvFCrDp9qrL72g5VQ4nIczKzoJfkWb7v5YF63P+9SXl9N20dgAafwB8NZP6pDEZ1KN5D2rI35&#10;Pl1GVEKyEnfAzsRarIGVcZI+pMCLnP//ofgFAAD//wMAUEsBAi0AFAAGAAgAAAAhALaDOJL+AAAA&#10;4QEAABMAAAAAAAAAAAAAAAAAAAAAAFtDb250ZW50X1R5cGVzXS54bWxQSwECLQAUAAYACAAAACEA&#10;OP0h/9YAAACUAQAACwAAAAAAAAAAAAAAAAAvAQAAX3JlbHMvLnJlbHNQSwECLQAUAAYACAAAACEA&#10;gzOZvNkBAADJAwAADgAAAAAAAAAAAAAAAAAuAgAAZHJzL2Uyb0RvYy54bWxQSwECLQAUAAYACAAA&#10;ACEAm5k4KuAAAAALAQAADwAAAAAAAAAAAAAAAAAzBAAAZHJzL2Rvd25yZXYueG1sUEsFBgAAAAAE&#10;AAQA8wAAAEAFAAAAAA==&#10;" adj="9133" fillcolor="#4472c4" strokecolor="#31538f" strokeweight="1pt">
                      <v:path arrowok="t"/>
                    </v:shape>
                  </w:pict>
                </mc:Fallback>
              </mc:AlternateContent>
            </w:r>
            <w:r w:rsidRPr="00264095">
              <w:rPr>
                <w:rFonts w:ascii="Arial" w:hAnsi="Arial" w:cs="Arial"/>
                <w:noProof/>
              </w:rPr>
              <w:drawing>
                <wp:inline distT="0" distB="0" distL="0" distR="0" wp14:anchorId="67D54EEF" wp14:editId="6F177800">
                  <wp:extent cx="2647784" cy="2615482"/>
                  <wp:effectExtent l="0" t="0" r="635" b="0"/>
                  <wp:docPr id="1028" name="Picture 1736485316"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6485316"/>
                          <pic:cNvPicPr/>
                        </pic:nvPicPr>
                        <pic:blipFill>
                          <a:blip r:embed="rId15" cstate="print"/>
                          <a:srcRect/>
                          <a:stretch/>
                        </pic:blipFill>
                        <pic:spPr>
                          <a:xfrm>
                            <a:off x="0" y="0"/>
                            <a:ext cx="2654341" cy="2621959"/>
                          </a:xfrm>
                          <a:prstGeom prst="rect">
                            <a:avLst/>
                          </a:prstGeom>
                          <a:ln>
                            <a:noFill/>
                          </a:ln>
                        </pic:spPr>
                      </pic:pic>
                    </a:graphicData>
                  </a:graphic>
                </wp:inline>
              </w:drawing>
            </w:r>
          </w:p>
          <w:p w14:paraId="431142C4" w14:textId="77777777" w:rsidR="00264095" w:rsidRPr="00264095" w:rsidRDefault="00264095" w:rsidP="00E643B5">
            <w:pPr>
              <w:spacing w:line="276" w:lineRule="auto"/>
              <w:rPr>
                <w:rFonts w:ascii="Arial" w:hAnsi="Arial" w:cs="Arial"/>
                <w:sz w:val="20"/>
                <w:szCs w:val="20"/>
              </w:rPr>
            </w:pPr>
          </w:p>
        </w:tc>
        <w:tc>
          <w:tcPr>
            <w:tcW w:w="4524" w:type="dxa"/>
          </w:tcPr>
          <w:p w14:paraId="083B34FE" w14:textId="20D6D3B7" w:rsidR="00264095" w:rsidRPr="00264095" w:rsidRDefault="00B253CF"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5408" behindDoc="0" locked="0" layoutInCell="1" allowOverlap="1" wp14:anchorId="0DC75165" wp14:editId="64B1EA4B">
                      <wp:simplePos x="0" y="0"/>
                      <wp:positionH relativeFrom="column">
                        <wp:posOffset>527381</wp:posOffset>
                      </wp:positionH>
                      <wp:positionV relativeFrom="paragraph">
                        <wp:posOffset>460375</wp:posOffset>
                      </wp:positionV>
                      <wp:extent cx="234950" cy="171450"/>
                      <wp:effectExtent l="19050" t="19050" r="12700" b="38100"/>
                      <wp:wrapNone/>
                      <wp:docPr id="1030"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71450"/>
                              </a:xfrm>
                              <a:prstGeom prst="leftArrow">
                                <a:avLst/>
                              </a:prstGeom>
                              <a:solidFill>
                                <a:srgbClr val="4472C4"/>
                              </a:solidFill>
                              <a:ln w="12700" cap="flat" cmpd="sng">
                                <a:solidFill>
                                  <a:srgbClr val="1C3053"/>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1F4E6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41.55pt;margin-top:36.25pt;width:18.5pt;height:13.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Zl1wEAAMkDAAAOAAAAZHJzL2Uyb0RvYy54bWysk02P0zAQhu9I/IfId5r0YykbNV2hluWy&#10;WpB2V5ynjt1Y+Ese07T/nrGTlrJwQlysmXj8+p3Hk9Xd0ejiIAIqZxs2nVSsEJa7Vtl9w16e7999&#10;YAVGsC1oZ0XDTgLZ3frtm1XvazFzndOtCAWJWKx737AuRl+XJfJOGMCJ88LSpnTBQKQ07Ms2QE/q&#10;Rpezqnpf9i60PjguEOnrdthk66wvpeDxi5QoYqEbRt5iXkNed2kt1yuo9wF8p/hoA/7BhQFl6dKL&#10;1BYiFD+C+kPKKB4cOhkn3JnSSam4yD1QN9PqVTdPHXiReyE46C+Y8P/J8sfDk/8aknX0D45/RyJS&#10;9h7ry05KcKw5ymBSLRkvjpni6UJRHGPB6eNsvri9IdactqbL6YLipAn1+bAPGD8LZ4oUNEwLGT+G&#10;4PoMEA4PGIf6c10257Rq75XWOQn73UaH4gD0qovFcrZZjFfgdZm2RU8WZssquQGaLqkhUmh82zC0&#10;+3zhb0fwWnm6mVc3878pJ2dbwG5wkBWGSTIqipBnqhPQfrJtjiMoPcREQdsR8MA00d259jS8QRJ+&#10;Pn6D4Ec4kag+uvMgQP0Kz1A7Cp5l8vPRvGTo42yngbzO85Fff+D6JwAAAP//AwBQSwMEFAAGAAgA&#10;AAAhAK+/4DvcAAAACAEAAA8AAABkcnMvZG93bnJldi54bWxMj8FOwzAQRO9I/IO1SNyonUAhCdlU&#10;iNIzpVScHXtJImI72G4b/h73BMfZGc28rVezGdmRfBicRcgWAhhZ5fRgO4T9++amABaitFqOzhLC&#10;DwVYNZcXtay0O9k3Ou5ix1KJDZVE6GOcKs6D6snIsHAT2eR9Om9kTNJ3XHt5SuVm5LkQ99zIwaaF&#10;Xk703JP62h0Mwt1efZTCv9LLet1OhSqybfm9Qby+mp8egUWa418YzvgJHZrE1LqD1YGNCMVtlpII&#10;D/kS2NnPRTq0CGW5BN7U/P8DzS8AAAD//wMAUEsBAi0AFAAGAAgAAAAhALaDOJL+AAAA4QEAABMA&#10;AAAAAAAAAAAAAAAAAAAAAFtDb250ZW50X1R5cGVzXS54bWxQSwECLQAUAAYACAAAACEAOP0h/9YA&#10;AACUAQAACwAAAAAAAAAAAAAAAAAvAQAAX3JlbHMvLnJlbHNQSwECLQAUAAYACAAAACEAU5WmZdcB&#10;AADJAwAADgAAAAAAAAAAAAAAAAAuAgAAZHJzL2Uyb0RvYy54bWxQSwECLQAUAAYACAAAACEAr7/g&#10;O9wAAAAIAQAADwAAAAAAAAAAAAAAAAAxBAAAZHJzL2Rvd25yZXYueG1sUEsFBgAAAAAEAAQA8wAA&#10;ADoFAAAAAA==&#10;" adj="7881" fillcolor="#4472c4" strokecolor="#1c3053" strokeweight="1pt">
                      <v:path arrowok="t"/>
                    </v:shape>
                  </w:pict>
                </mc:Fallback>
              </mc:AlternateContent>
            </w:r>
            <w:r w:rsidR="003A1AC0" w:rsidRPr="00264095">
              <w:rPr>
                <w:rFonts w:ascii="Arial" w:hAnsi="Arial" w:cs="Arial"/>
                <w:noProof/>
              </w:rPr>
              <mc:AlternateContent>
                <mc:Choice Requires="wps">
                  <w:drawing>
                    <wp:anchor distT="0" distB="0" distL="0" distR="0" simplePos="0" relativeHeight="251666432" behindDoc="0" locked="0" layoutInCell="1" allowOverlap="1" wp14:anchorId="6A08F571" wp14:editId="6C84E9DF">
                      <wp:simplePos x="0" y="0"/>
                      <wp:positionH relativeFrom="column">
                        <wp:posOffset>1279525</wp:posOffset>
                      </wp:positionH>
                      <wp:positionV relativeFrom="paragraph">
                        <wp:posOffset>1498296</wp:posOffset>
                      </wp:positionV>
                      <wp:extent cx="274955" cy="195580"/>
                      <wp:effectExtent l="19050" t="19050" r="10795" b="33020"/>
                      <wp:wrapNone/>
                      <wp:docPr id="1029"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95580"/>
                              </a:xfrm>
                              <a:prstGeom prst="leftArrow">
                                <a:avLst/>
                              </a:prstGeom>
                              <a:solidFill>
                                <a:srgbClr val="FF0000"/>
                              </a:solidFill>
                              <a:ln w="12700" cap="flat" cmpd="sng">
                                <a:solidFill>
                                  <a:srgbClr val="1C3053"/>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2FB36" id="Arrow: Left 13" o:spid="_x0000_s1026" type="#_x0000_t66" style="position:absolute;margin-left:100.75pt;margin-top:118pt;width:21.65pt;height:15.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dX1wEAAMkDAAAOAAAAZHJzL2Uyb0RvYy54bWysU01v2zAMvQ/YfxB0X+yky9oZcYqhWXYp&#10;ugHtsDMjS7EwfUHU4vTfj5KdLOt2GuaDQIrk0+Mjvbo9WsMOMqL2ruXzWc2ZdMJ32u1b/vVp++aG&#10;M0zgOjDeyZY/S+S369evVkNo5ML33nQyMgJx2Ayh5X1KoakqFL20gDMfpKOg8tFCIjfuqy7CQOjW&#10;VIu6flcNPnYheiER6XYzBvm64CslRfqsFMrETMuJWypnLOcun9V6Bc0+Qui1mGjAP7CwoB09eoba&#10;QAL2I+o/oKwW0aNXaSa8rbxSWsjSA3Uzr19089hDkKUXEgfDWSb8f7Di4fAYvsRMHcO9F9+RFKmG&#10;gM05kh2cco4q2pxLxNmxqPh8VlEeExN0ubh++3655ExQaE7WTVG5guZUHCKmT9Jblo2WG6nShxj9&#10;UASEwz2mzAGaU14h543uttqY4sT97s5EdgCa6nZb05cHSSV4mWYcG4jC4prCTABtlzKQyLShazm6&#10;fXnwtxK8RJ7fXdXLq78hZ2YbwH5kUBDGTbI6yVh2qpfQfXRdsRNoM9pE0bhJ4FHTrO7Od8/jDDLw&#10;0/EbxDCJk0jVB39aBGheyDPmToAnmDI+2peiyLTbeSEv/VLy6w9c/wQAAP//AwBQSwMEFAAGAAgA&#10;AAAhAEg/lwjhAAAACwEAAA8AAABkcnMvZG93bnJldi54bWxMj0FLw0AQhe+C/2EZwZvdNG1iSbMp&#10;IhRBitja3qfZMQnJ7obspo3+eseT3t5jPt68l28m04kLDb5xVsF8FoEgWzrd2ErB8WP7sALhA1qN&#10;nbOk4Is8bIrbmxwz7a52T5dDqASHWJ+hgjqEPpPSlzUZ9DPXk+XbpxsMBrZDJfWAVw43nYyjKJUG&#10;G8sfauzpuaayPYxGweu22dVJ+/2+2LX4eErG6fT2slfq/m56WoMINIU/GH7rc3UouNPZjVZ70SmI&#10;o3nCKItFyqOYiJdLHnNmkaYrkEUu/28ofgAAAP//AwBQSwECLQAUAAYACAAAACEAtoM4kv4AAADh&#10;AQAAEwAAAAAAAAAAAAAAAAAAAAAAW0NvbnRlbnRfVHlwZXNdLnhtbFBLAQItABQABgAIAAAAIQA4&#10;/SH/1gAAAJQBAAALAAAAAAAAAAAAAAAAAC8BAABfcmVscy8ucmVsc1BLAQItABQABgAIAAAAIQCr&#10;LedX1wEAAMkDAAAOAAAAAAAAAAAAAAAAAC4CAABkcnMvZTJvRG9jLnhtbFBLAQItABQABgAIAAAA&#10;IQBIP5cI4QAAAAsBAAAPAAAAAAAAAAAAAAAAADEEAABkcnMvZG93bnJldi54bWxQSwUGAAAAAAQA&#10;BADzAAAAPwUAAAAA&#10;" adj="7682" fillcolor="red" strokecolor="#1c3053" strokeweight="1pt">
                      <v:path arrowok="t"/>
                    </v:shape>
                  </w:pict>
                </mc:Fallback>
              </mc:AlternateContent>
            </w:r>
            <w:r w:rsidR="00264095" w:rsidRPr="00264095">
              <w:rPr>
                <w:rFonts w:ascii="Arial" w:hAnsi="Arial" w:cs="Arial"/>
                <w:noProof/>
              </w:rPr>
              <w:drawing>
                <wp:inline distT="0" distB="0" distL="0" distR="0" wp14:anchorId="7D6D9838" wp14:editId="6F89FEE2">
                  <wp:extent cx="2122998" cy="2618628"/>
                  <wp:effectExtent l="0" t="0" r="0" b="0"/>
                  <wp:docPr id="1031" name="Picture 116687971" descr="C:\Users\Chimzurum\Pictures\B2G2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6687971"/>
                          <pic:cNvPicPr/>
                        </pic:nvPicPr>
                        <pic:blipFill>
                          <a:blip r:embed="rId16" cstate="print"/>
                          <a:srcRect/>
                          <a:stretch/>
                        </pic:blipFill>
                        <pic:spPr>
                          <a:xfrm>
                            <a:off x="0" y="0"/>
                            <a:ext cx="2132394" cy="2630217"/>
                          </a:xfrm>
                          <a:prstGeom prst="rect">
                            <a:avLst/>
                          </a:prstGeom>
                          <a:ln>
                            <a:noFill/>
                          </a:ln>
                        </pic:spPr>
                      </pic:pic>
                    </a:graphicData>
                  </a:graphic>
                </wp:inline>
              </w:drawing>
            </w:r>
          </w:p>
        </w:tc>
      </w:tr>
    </w:tbl>
    <w:p w14:paraId="005A80AC"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62336" behindDoc="0" locked="0" layoutInCell="1" allowOverlap="1" wp14:anchorId="6C9026C2" wp14:editId="0CE9494D">
                <wp:simplePos x="0" y="0"/>
                <wp:positionH relativeFrom="margin">
                  <wp:posOffset>0</wp:posOffset>
                </wp:positionH>
                <wp:positionV relativeFrom="paragraph">
                  <wp:posOffset>61264</wp:posOffset>
                </wp:positionV>
                <wp:extent cx="5781675" cy="485775"/>
                <wp:effectExtent l="0" t="0" r="9525" b="9525"/>
                <wp:wrapNone/>
                <wp:docPr id="10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10276F59"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B</w:t>
                            </w:r>
                          </w:p>
                        </w:txbxContent>
                      </wps:txbx>
                      <wps:bodyPr vert="horz" wrap="square" lIns="91440" tIns="45720" rIns="91440" bIns="45720" anchor="ctr">
                        <a:prstTxWarp prst="textNoShape">
                          <a:avLst/>
                        </a:prstTxWarp>
                        <a:noAutofit/>
                      </wps:bodyPr>
                    </wps:wsp>
                  </a:graphicData>
                </a:graphic>
              </wp:anchor>
            </w:drawing>
          </mc:Choice>
          <mc:Fallback>
            <w:pict>
              <v:rect w14:anchorId="6C9026C2" id="Rectangle 12" o:spid="_x0000_s1026" style="position:absolute;margin-left:0;margin-top:4.8pt;width:455.25pt;height:38.25pt;z-index:25166233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rX1QEAALUDAAAOAAAAZHJzL2Uyb0RvYy54bWysU9Fq2zAUfR/sH4TeFychaTITp4yVjEHp&#10;Cu3YsyzLsZisq10psbOv35XspKF7K/WD0NU9Pj7n6Hpz27eGHRV6Dbbgs8mUM2UlVNruC/7zefdp&#10;zZkPwlbCgFUFPynPb7cfP2w6l6s5NGAqhYxIrM87V/AmBJdnmZeNaoWfgFOWmjVgKwKVuM8qFB2x&#10;tyabT6c3WQdYOQSpvKfTu6HJt4m/rpUMP+raq8BMwUlbSCumtYxrtt2IfI/CNVqOMsQbVLRCW/ro&#10;hepOBMEOqP+jarVE8FCHiYQ2g7rWUiUP5GY2feXmqRFOJS8UjneXmPz70cqH45N7xCjdu3uQvz0l&#10;knXO55dOLPyI6WtsI5aEsz6leLqkqPrAJB0uV+vZzWrJmaTeYr1c0T6Sivz8tkMfviloWdwUHOmW&#10;UnjieO/DAD1DkjAwutppY1KB+/KrQXYUdKO79Izs/hpmbARbiK8NjPEkGRu8RFehL3tqxm0J1emR&#10;WBWSoAbwL2cdTUXB/Z+DQMWZ+W4p9s+zxSKOUSoWy9WcCrzulNcdYSVRFVwGTP6iqef+l0A3Og+U&#10;2QOcr1nkrwIYsIORL4cAtU7pvOgdHdFspHzHOY7Dd10n1Mvftv0HAAD//wMAUEsDBBQABgAIAAAA&#10;IQD0L4042wAAAAUBAAAPAAAAZHJzL2Rvd25yZXYueG1sTI/BTsMwEETvSPyDtUjcqB0EURuyqRAS&#10;h15oSfMBbrwkUeN1FDtNytdjTnAczWjmTb5dbC8uNPrOMUKyUiCIa2c6bhCq4/vDGoQPmo3uHRPC&#10;lTxsi9ubXGfGzfxJlzI0IpawzzRCG8KQSenrlqz2KzcQR+/LjVaHKMdGmlHPsdz28lGpVFrdcVxo&#10;9UBvLdXncrII+8N+V6kn9T2l152Zy8P5o/cV4v3d8voCItAS/sLwix/RoYhMJzex8aJHiEcCwiYF&#10;Ec1Nop5BnBDWaQKyyOV/+uIHAAD//wMAUEsBAi0AFAAGAAgAAAAhALaDOJL+AAAA4QEAABMAAAAA&#10;AAAAAAAAAAAAAAAAAFtDb250ZW50X1R5cGVzXS54bWxQSwECLQAUAAYACAAAACEAOP0h/9YAAACU&#10;AQAACwAAAAAAAAAAAAAAAAAvAQAAX3JlbHMvLnJlbHNQSwECLQAUAAYACAAAACEArTaK19UBAAC1&#10;AwAADgAAAAAAAAAAAAAAAAAuAgAAZHJzL2Uyb0RvYy54bWxQSwECLQAUAAYACAAAACEA9C+NONsA&#10;AAAFAQAADwAAAAAAAAAAAAAAAAAvBAAAZHJzL2Rvd25yZXYueG1sUEsFBgAAAAAEAAQA8wAAADcF&#10;AAAAAA==&#10;" stroked="f">
                <v:textbox>
                  <w:txbxContent>
                    <w:p w14:paraId="10276F59"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B</w:t>
                      </w:r>
                    </w:p>
                  </w:txbxContent>
                </v:textbox>
                <w10:wrap anchorx="margin"/>
              </v:rect>
            </w:pict>
          </mc:Fallback>
        </mc:AlternateContent>
      </w:r>
    </w:p>
    <w:p w14:paraId="2B06F817"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61312" behindDoc="0" locked="0" layoutInCell="1" allowOverlap="1" wp14:anchorId="37973027" wp14:editId="2EF20143">
                <wp:simplePos x="0" y="0"/>
                <wp:positionH relativeFrom="column">
                  <wp:posOffset>-39757</wp:posOffset>
                </wp:positionH>
                <wp:positionV relativeFrom="paragraph">
                  <wp:posOffset>106928</wp:posOffset>
                </wp:positionV>
                <wp:extent cx="5319423" cy="1208598"/>
                <wp:effectExtent l="0" t="0" r="0" b="0"/>
                <wp:wrapNone/>
                <wp:docPr id="10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9423" cy="1208598"/>
                        </a:xfrm>
                        <a:prstGeom prst="rect">
                          <a:avLst/>
                        </a:prstGeom>
                        <a:solidFill>
                          <a:srgbClr val="FFFFFF"/>
                        </a:solidFill>
                        <a:ln>
                          <a:noFill/>
                        </a:ln>
                      </wps:spPr>
                      <wps:txbx>
                        <w:txbxContent>
                          <w:p w14:paraId="3F521A49" w14:textId="29FC3EDC" w:rsidR="00A676A4"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Plate 1:</w:t>
                            </w:r>
                            <w:r w:rsidRPr="00E92A44">
                              <w:rPr>
                                <w:rFonts w:ascii="Arial" w:hAnsi="Arial" w:cs="Arial"/>
                                <w:sz w:val="20"/>
                                <w:szCs w:val="20"/>
                              </w:rPr>
                              <w:t xml:space="preserve"> </w:t>
                            </w:r>
                            <w:proofErr w:type="spellStart"/>
                            <w:r w:rsidR="00A676A4" w:rsidRPr="00E92A44">
                              <w:rPr>
                                <w:rFonts w:ascii="Arial" w:hAnsi="Arial" w:cs="Arial"/>
                                <w:b/>
                                <w:bCs/>
                                <w:sz w:val="20"/>
                                <w:szCs w:val="20"/>
                              </w:rPr>
                              <w:t>Histo</w:t>
                            </w:r>
                            <w:proofErr w:type="spellEnd"/>
                            <w:r w:rsidRPr="00E92A44">
                              <w:rPr>
                                <w:rFonts w:ascii="Arial" w:hAnsi="Arial" w:cs="Arial"/>
                                <w:b/>
                                <w:bCs/>
                                <w:sz w:val="20"/>
                                <w:szCs w:val="20"/>
                              </w:rPr>
                              <w:t xml:space="preserve">-architecture of the </w:t>
                            </w:r>
                            <w:r w:rsidR="00A676A4" w:rsidRPr="00E92A44">
                              <w:rPr>
                                <w:rFonts w:ascii="Arial" w:hAnsi="Arial" w:cs="Arial"/>
                                <w:b/>
                                <w:bCs/>
                                <w:sz w:val="20"/>
                                <w:szCs w:val="20"/>
                              </w:rPr>
                              <w:t xml:space="preserve">Breast Tissues </w:t>
                            </w:r>
                            <w:r w:rsidRPr="00E92A44">
                              <w:rPr>
                                <w:rFonts w:ascii="Arial" w:hAnsi="Arial" w:cs="Arial"/>
                                <w:b/>
                                <w:bCs/>
                                <w:sz w:val="20"/>
                                <w:szCs w:val="20"/>
                              </w:rPr>
                              <w:t xml:space="preserve">of </w:t>
                            </w:r>
                            <w:r w:rsidR="00A676A4" w:rsidRPr="00E92A44">
                              <w:rPr>
                                <w:rFonts w:ascii="Arial" w:hAnsi="Arial" w:cs="Arial"/>
                                <w:b/>
                                <w:bCs/>
                                <w:sz w:val="20"/>
                                <w:szCs w:val="20"/>
                              </w:rPr>
                              <w:t>Control (A) and Group 2</w:t>
                            </w:r>
                            <w:r w:rsidRPr="00E92A44">
                              <w:rPr>
                                <w:rFonts w:ascii="Arial" w:hAnsi="Arial" w:cs="Arial"/>
                                <w:b/>
                                <w:bCs/>
                                <w:sz w:val="20"/>
                                <w:szCs w:val="20"/>
                              </w:rPr>
                              <w:t xml:space="preserve"> </w:t>
                            </w:r>
                            <w:r w:rsidR="00A676A4" w:rsidRPr="00E92A44">
                              <w:rPr>
                                <w:rFonts w:ascii="Arial" w:hAnsi="Arial" w:cs="Arial"/>
                                <w:b/>
                                <w:bCs/>
                                <w:sz w:val="20"/>
                                <w:szCs w:val="20"/>
                              </w:rPr>
                              <w:t>(B)</w:t>
                            </w:r>
                            <w:r w:rsidR="00A676A4" w:rsidRPr="00E92A44">
                              <w:rPr>
                                <w:rFonts w:ascii="Arial" w:hAnsi="Arial" w:cs="Arial"/>
                                <w:sz w:val="20"/>
                                <w:szCs w:val="20"/>
                              </w:rPr>
                              <w:t xml:space="preserve"> </w:t>
                            </w:r>
                            <w:r w:rsidR="00A676A4" w:rsidRPr="00E92A44">
                              <w:rPr>
                                <w:rFonts w:ascii="Arial" w:hAnsi="Arial" w:cs="Arial"/>
                                <w:b/>
                                <w:bCs/>
                                <w:sz w:val="20"/>
                                <w:szCs w:val="20"/>
                              </w:rPr>
                              <w:t>Rats</w:t>
                            </w:r>
                            <w:r w:rsidRPr="00E92A44">
                              <w:rPr>
                                <w:rFonts w:ascii="Arial" w:hAnsi="Arial" w:cs="Arial"/>
                                <w:b/>
                                <w:bCs/>
                                <w:sz w:val="20"/>
                                <w:szCs w:val="20"/>
                              </w:rPr>
                              <w:t>.</w:t>
                            </w:r>
                            <w:r w:rsidRPr="00E92A44">
                              <w:rPr>
                                <w:rFonts w:ascii="Arial" w:hAnsi="Arial" w:cs="Arial"/>
                                <w:sz w:val="20"/>
                                <w:szCs w:val="20"/>
                              </w:rPr>
                              <w:t xml:space="preserve"> </w:t>
                            </w:r>
                          </w:p>
                          <w:p w14:paraId="70E85FF3" w14:textId="235AA4A2"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(B)</w:t>
                            </w:r>
                            <w:r w:rsidRPr="00E92A44">
                              <w:rPr>
                                <w:rFonts w:ascii="Arial" w:hAnsi="Arial" w:cs="Arial"/>
                                <w:sz w:val="20"/>
                                <w:szCs w:val="20"/>
                              </w:rPr>
                              <w:t xml:space="preserve"> Group 2, showing unremarkable breast ducts (blue) and lobules (red) also implying a normal tissue architecture.</w:t>
                            </w:r>
                            <w:r w:rsidR="00EE30D2" w:rsidRPr="00E92A44">
                              <w:rPr>
                                <w:rFonts w:ascii="Arial" w:hAnsi="Arial" w:cs="Arial"/>
                                <w:sz w:val="20"/>
                                <w:szCs w:val="20"/>
                              </w:rPr>
                              <w:t xml:space="preserve"> H &amp; E ×100.</w:t>
                            </w:r>
                          </w:p>
                          <w:p w14:paraId="08EEDBD7" w14:textId="77777777" w:rsidR="008826D6" w:rsidRPr="00E92A44" w:rsidRDefault="008826D6" w:rsidP="00264095">
                            <w:pPr>
                              <w:pStyle w:val="NormalWeb"/>
                              <w:jc w:val="both"/>
                              <w:rPr>
                                <w:rFonts w:ascii="Arial" w:hAnsi="Arial" w:cs="Arial"/>
                                <w:sz w:val="20"/>
                                <w:szCs w:val="20"/>
                              </w:rPr>
                            </w:pPr>
                          </w:p>
                          <w:p w14:paraId="020B1C12" w14:textId="77777777" w:rsidR="008826D6" w:rsidRPr="00E92A44" w:rsidRDefault="008826D6" w:rsidP="00264095">
                            <w:pPr>
                              <w:pStyle w:val="NormalWeb"/>
                              <w:jc w:val="both"/>
                              <w:rPr>
                                <w:rFonts w:ascii="Arial" w:hAnsi="Arial" w:cs="Arial"/>
                                <w:sz w:val="20"/>
                                <w:szCs w:val="20"/>
                              </w:rPr>
                            </w:pPr>
                          </w:p>
                          <w:p w14:paraId="1DB5ECE2" w14:textId="77777777" w:rsidR="00264095" w:rsidRPr="00E92A44" w:rsidRDefault="00264095" w:rsidP="00264095">
                            <w:pPr>
                              <w:jc w:val="both"/>
                              <w:rPr>
                                <w:rFonts w:ascii="Arial" w:hAnsi="Arial" w:cs="Aria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73027" id="_x0000_s1027" style="position:absolute;margin-left:-3.15pt;margin-top:8.4pt;width:418.85pt;height:95.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UF3AEAAL0DAAAOAAAAZHJzL2Uyb0RvYy54bWysU0Fu2zAQvBfoHwjea1mO3dqC5aBo4KJA&#10;kAZIgp5pirKIUlx2SVtyX98lJTtGeiuqA6HlDkczw9X6tm8NOyr0GmzJ88mUM2UlVNruS/7yvP2w&#10;5MwHYSthwKqSn5Tnt5v379adK9QMGjCVQkYk1hedK3kTgiuyzMtGtcJPwClLzRqwFYFK3GcVio7Y&#10;W5PNptOPWQdYOQSpvKfdu6HJN4m/rpUM3+vaq8BMyUlbSCumdRfXbLMWxR6Fa7QcZYh/UNEKbemj&#10;F6o7EQQ7oP6LqtUSwUMdJhLaDOpaS5U8kJt8+sbNUyOcSl4oHO8uMfn/Rysfjk/uEaN07+5B/vSU&#10;SNY5X1w6sfAjpq+xjVgSzvqU4umSouoDk7S5uMlX89kNZ5J6+Wy6XKyWMedMFOfjDn34qqBl8aXk&#10;SNeU0hPHex8G6BmSlIHR1VYbkwrc774YZEdBV7pNz8jur2HGRrCFeGxgjDvJ2WAm2gr9rme6IpmR&#10;Iu7soDo9ErlC0tUA/uaso+kouf91EKg4M98sxb/K5/M4TqmYLz7NqMDrzu66I6wkqpLLgMlm9Pbc&#10;/xDoxgACZfcA5+sWxZscBuzg5/MhQK1TSK96R2M0IynmcZ7jEF7XCfX6123+AAAA//8DAFBLAwQU&#10;AAYACAAAACEAEkBIvN8AAAAJAQAADwAAAGRycy9kb3ducmV2LnhtbEyPzU7DMBCE70h9B2srcWvt&#10;tFWoQpwKIXHohZaQB3DjJYnqnyh2mpSnZznBcWdGs9/kh9kadsMhdN5JSNYCGLra6841EqrPt9Ue&#10;WIjKaWW8Qwl3DHAoFg+5yrSf3AfeytgwKnEhUxLaGPuM81C3aFVY+x4deV9+sCrSOTRcD2qicmv4&#10;RoiUW9U5+tCqHl9brK/laCWczqdjJXbie0zvRz2V5+u7CZWUj8v55RlYxDn+heEXn9ChIKaLH50O&#10;zEhYpVtKkp7SAvL322QH7CJhI54S4EXO/y8ofgAAAP//AwBQSwECLQAUAAYACAAAACEAtoM4kv4A&#10;AADhAQAAEwAAAAAAAAAAAAAAAAAAAAAAW0NvbnRlbnRfVHlwZXNdLnhtbFBLAQItABQABgAIAAAA&#10;IQA4/SH/1gAAAJQBAAALAAAAAAAAAAAAAAAAAC8BAABfcmVscy8ucmVsc1BLAQItABQABgAIAAAA&#10;IQCcxnUF3AEAAL0DAAAOAAAAAAAAAAAAAAAAAC4CAABkcnMvZTJvRG9jLnhtbFBLAQItABQABgAI&#10;AAAAIQASQEi83wAAAAkBAAAPAAAAAAAAAAAAAAAAADYEAABkcnMvZG93bnJldi54bWxQSwUGAAAA&#10;AAQABADzAAAAQgUAAAAA&#10;" stroked="f">
                <v:textbox>
                  <w:txbxContent>
                    <w:p w14:paraId="3F521A49" w14:textId="29FC3EDC" w:rsidR="00A676A4"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Plate 1:</w:t>
                      </w:r>
                      <w:r w:rsidRPr="00E92A44">
                        <w:rPr>
                          <w:rFonts w:ascii="Arial" w:hAnsi="Arial" w:cs="Arial"/>
                          <w:sz w:val="20"/>
                          <w:szCs w:val="20"/>
                        </w:rPr>
                        <w:t xml:space="preserve"> </w:t>
                      </w:r>
                      <w:proofErr w:type="spellStart"/>
                      <w:r w:rsidR="00A676A4" w:rsidRPr="00E92A44">
                        <w:rPr>
                          <w:rFonts w:ascii="Arial" w:hAnsi="Arial" w:cs="Arial"/>
                          <w:b/>
                          <w:bCs/>
                          <w:sz w:val="20"/>
                          <w:szCs w:val="20"/>
                        </w:rPr>
                        <w:t>Histo</w:t>
                      </w:r>
                      <w:proofErr w:type="spellEnd"/>
                      <w:r w:rsidRPr="00E92A44">
                        <w:rPr>
                          <w:rFonts w:ascii="Arial" w:hAnsi="Arial" w:cs="Arial"/>
                          <w:b/>
                          <w:bCs/>
                          <w:sz w:val="20"/>
                          <w:szCs w:val="20"/>
                        </w:rPr>
                        <w:t xml:space="preserve">-architecture of the </w:t>
                      </w:r>
                      <w:r w:rsidR="00A676A4" w:rsidRPr="00E92A44">
                        <w:rPr>
                          <w:rFonts w:ascii="Arial" w:hAnsi="Arial" w:cs="Arial"/>
                          <w:b/>
                          <w:bCs/>
                          <w:sz w:val="20"/>
                          <w:szCs w:val="20"/>
                        </w:rPr>
                        <w:t xml:space="preserve">Breast Tissues </w:t>
                      </w:r>
                      <w:r w:rsidRPr="00E92A44">
                        <w:rPr>
                          <w:rFonts w:ascii="Arial" w:hAnsi="Arial" w:cs="Arial"/>
                          <w:b/>
                          <w:bCs/>
                          <w:sz w:val="20"/>
                          <w:szCs w:val="20"/>
                        </w:rPr>
                        <w:t xml:space="preserve">of </w:t>
                      </w:r>
                      <w:r w:rsidR="00A676A4" w:rsidRPr="00E92A44">
                        <w:rPr>
                          <w:rFonts w:ascii="Arial" w:hAnsi="Arial" w:cs="Arial"/>
                          <w:b/>
                          <w:bCs/>
                          <w:sz w:val="20"/>
                          <w:szCs w:val="20"/>
                        </w:rPr>
                        <w:t>Control (A) and Group 2</w:t>
                      </w:r>
                      <w:r w:rsidRPr="00E92A44">
                        <w:rPr>
                          <w:rFonts w:ascii="Arial" w:hAnsi="Arial" w:cs="Arial"/>
                          <w:b/>
                          <w:bCs/>
                          <w:sz w:val="20"/>
                          <w:szCs w:val="20"/>
                        </w:rPr>
                        <w:t xml:space="preserve"> </w:t>
                      </w:r>
                      <w:r w:rsidR="00A676A4" w:rsidRPr="00E92A44">
                        <w:rPr>
                          <w:rFonts w:ascii="Arial" w:hAnsi="Arial" w:cs="Arial"/>
                          <w:b/>
                          <w:bCs/>
                          <w:sz w:val="20"/>
                          <w:szCs w:val="20"/>
                        </w:rPr>
                        <w:t>(B)</w:t>
                      </w:r>
                      <w:r w:rsidR="00A676A4" w:rsidRPr="00E92A44">
                        <w:rPr>
                          <w:rFonts w:ascii="Arial" w:hAnsi="Arial" w:cs="Arial"/>
                          <w:sz w:val="20"/>
                          <w:szCs w:val="20"/>
                        </w:rPr>
                        <w:t xml:space="preserve"> </w:t>
                      </w:r>
                      <w:r w:rsidR="00A676A4" w:rsidRPr="00E92A44">
                        <w:rPr>
                          <w:rFonts w:ascii="Arial" w:hAnsi="Arial" w:cs="Arial"/>
                          <w:b/>
                          <w:bCs/>
                          <w:sz w:val="20"/>
                          <w:szCs w:val="20"/>
                        </w:rPr>
                        <w:t>Rats</w:t>
                      </w:r>
                      <w:r w:rsidRPr="00E92A44">
                        <w:rPr>
                          <w:rFonts w:ascii="Arial" w:hAnsi="Arial" w:cs="Arial"/>
                          <w:b/>
                          <w:bCs/>
                          <w:sz w:val="20"/>
                          <w:szCs w:val="20"/>
                        </w:rPr>
                        <w:t>.</w:t>
                      </w:r>
                      <w:r w:rsidRPr="00E92A44">
                        <w:rPr>
                          <w:rFonts w:ascii="Arial" w:hAnsi="Arial" w:cs="Arial"/>
                          <w:sz w:val="20"/>
                          <w:szCs w:val="20"/>
                        </w:rPr>
                        <w:t xml:space="preserve"> </w:t>
                      </w:r>
                    </w:p>
                    <w:p w14:paraId="70E85FF3" w14:textId="235AA4A2"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(B)</w:t>
                      </w:r>
                      <w:r w:rsidRPr="00E92A44">
                        <w:rPr>
                          <w:rFonts w:ascii="Arial" w:hAnsi="Arial" w:cs="Arial"/>
                          <w:sz w:val="20"/>
                          <w:szCs w:val="20"/>
                        </w:rPr>
                        <w:t xml:space="preserve"> Group 2, showing unremarkable breast ducts (blue) and lobules (red) also implying a normal tissue architecture.</w:t>
                      </w:r>
                      <w:r w:rsidR="00EE30D2" w:rsidRPr="00E92A44">
                        <w:rPr>
                          <w:rFonts w:ascii="Arial" w:hAnsi="Arial" w:cs="Arial"/>
                          <w:sz w:val="20"/>
                          <w:szCs w:val="20"/>
                        </w:rPr>
                        <w:t xml:space="preserve"> H &amp; E ×100.</w:t>
                      </w:r>
                    </w:p>
                    <w:p w14:paraId="08EEDBD7" w14:textId="77777777" w:rsidR="008826D6" w:rsidRPr="00E92A44" w:rsidRDefault="008826D6" w:rsidP="00264095">
                      <w:pPr>
                        <w:pStyle w:val="NormalWeb"/>
                        <w:jc w:val="both"/>
                        <w:rPr>
                          <w:rFonts w:ascii="Arial" w:hAnsi="Arial" w:cs="Arial"/>
                          <w:sz w:val="20"/>
                          <w:szCs w:val="20"/>
                        </w:rPr>
                      </w:pPr>
                    </w:p>
                    <w:p w14:paraId="020B1C12" w14:textId="77777777" w:rsidR="008826D6" w:rsidRPr="00E92A44" w:rsidRDefault="008826D6" w:rsidP="00264095">
                      <w:pPr>
                        <w:pStyle w:val="NormalWeb"/>
                        <w:jc w:val="both"/>
                        <w:rPr>
                          <w:rFonts w:ascii="Arial" w:hAnsi="Arial" w:cs="Arial"/>
                          <w:sz w:val="20"/>
                          <w:szCs w:val="20"/>
                        </w:rPr>
                      </w:pPr>
                    </w:p>
                    <w:p w14:paraId="1DB5ECE2" w14:textId="77777777" w:rsidR="00264095" w:rsidRPr="00E92A44" w:rsidRDefault="00264095" w:rsidP="00264095">
                      <w:pPr>
                        <w:jc w:val="both"/>
                        <w:rPr>
                          <w:rFonts w:ascii="Arial" w:hAnsi="Arial" w:cs="Arial"/>
                        </w:rPr>
                      </w:pPr>
                    </w:p>
                  </w:txbxContent>
                </v:textbox>
              </v:rect>
            </w:pict>
          </mc:Fallback>
        </mc:AlternateContent>
      </w:r>
    </w:p>
    <w:p w14:paraId="45684746" w14:textId="77777777" w:rsidR="00264095" w:rsidRPr="00264095" w:rsidRDefault="00264095" w:rsidP="00264095">
      <w:pPr>
        <w:pStyle w:val="NormalWeb"/>
        <w:spacing w:line="276" w:lineRule="auto"/>
        <w:rPr>
          <w:rFonts w:ascii="Arial" w:hAnsi="Arial" w:cs="Arial"/>
          <w:sz w:val="20"/>
          <w:szCs w:val="20"/>
        </w:rPr>
      </w:pPr>
    </w:p>
    <w:p w14:paraId="4C832424" w14:textId="77777777" w:rsidR="00264095" w:rsidRPr="00264095" w:rsidRDefault="00264095" w:rsidP="00264095">
      <w:pPr>
        <w:pStyle w:val="NormalWeb"/>
        <w:spacing w:line="276" w:lineRule="auto"/>
        <w:rPr>
          <w:rFonts w:ascii="Arial" w:hAnsi="Arial" w:cs="Arial"/>
          <w:b/>
          <w:bCs/>
          <w:sz w:val="20"/>
          <w:szCs w:val="20"/>
        </w:rPr>
      </w:pPr>
    </w:p>
    <w:p w14:paraId="5E0E5F81" w14:textId="77777777" w:rsidR="00264095" w:rsidRDefault="00264095" w:rsidP="00264095">
      <w:pPr>
        <w:pStyle w:val="NormalWeb"/>
        <w:spacing w:line="276" w:lineRule="auto"/>
        <w:rPr>
          <w:rFonts w:ascii="Arial" w:hAnsi="Arial" w:cs="Arial"/>
          <w:b/>
          <w:bCs/>
          <w:sz w:val="20"/>
          <w:szCs w:val="20"/>
        </w:rPr>
      </w:pPr>
    </w:p>
    <w:p w14:paraId="7036051C" w14:textId="77777777" w:rsidR="008826D6" w:rsidRPr="00264095" w:rsidRDefault="008826D6" w:rsidP="00264095">
      <w:pPr>
        <w:pStyle w:val="NormalWeb"/>
        <w:spacing w:line="276" w:lineRule="auto"/>
        <w:rPr>
          <w:rFonts w:ascii="Arial" w:hAnsi="Arial" w:cs="Arial"/>
          <w:b/>
          <w:bCs/>
          <w:sz w:val="20"/>
          <w:szCs w:val="20"/>
        </w:rPr>
      </w:pPr>
    </w:p>
    <w:tbl>
      <w:tblPr>
        <w:tblStyle w:val="TableGrid"/>
        <w:tblW w:w="8725" w:type="dxa"/>
        <w:tblLayout w:type="fixed"/>
        <w:tblLook w:val="04A0" w:firstRow="1" w:lastRow="0" w:firstColumn="1" w:lastColumn="0" w:noHBand="0" w:noVBand="1"/>
      </w:tblPr>
      <w:tblGrid>
        <w:gridCol w:w="4574"/>
        <w:gridCol w:w="4151"/>
      </w:tblGrid>
      <w:tr w:rsidR="00264095" w:rsidRPr="00264095" w14:paraId="1C4D2B25" w14:textId="77777777" w:rsidTr="002D3CD9">
        <w:trPr>
          <w:trHeight w:val="4709"/>
        </w:trPr>
        <w:tc>
          <w:tcPr>
            <w:tcW w:w="4574" w:type="dxa"/>
          </w:tcPr>
          <w:p w14:paraId="6872BD50" w14:textId="77777777" w:rsidR="00264095" w:rsidRPr="00264095" w:rsidRDefault="00264095" w:rsidP="00E643B5">
            <w:pPr>
              <w:spacing w:line="276" w:lineRule="auto"/>
              <w:jc w:val="center"/>
              <w:rPr>
                <w:rFonts w:ascii="Arial" w:hAnsi="Arial" w:cs="Arial"/>
                <w:sz w:val="20"/>
                <w:szCs w:val="20"/>
              </w:rPr>
            </w:pPr>
          </w:p>
          <w:p w14:paraId="14D5A405" w14:textId="43283B76" w:rsidR="00264095" w:rsidRPr="00264095" w:rsidRDefault="000F1DF6"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7456" behindDoc="0" locked="0" layoutInCell="1" allowOverlap="1" wp14:anchorId="54C09AE9" wp14:editId="3683A7D0">
                      <wp:simplePos x="0" y="0"/>
                      <wp:positionH relativeFrom="column">
                        <wp:posOffset>1013460</wp:posOffset>
                      </wp:positionH>
                      <wp:positionV relativeFrom="paragraph">
                        <wp:posOffset>1644954</wp:posOffset>
                      </wp:positionV>
                      <wp:extent cx="206375" cy="174625"/>
                      <wp:effectExtent l="19050" t="19050" r="22225" b="34925"/>
                      <wp:wrapNone/>
                      <wp:docPr id="1035"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746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2AD3C4" id="Left Arrow 8" o:spid="_x0000_s1026" type="#_x0000_t66" style="position:absolute;margin-left:79.8pt;margin-top:129.5pt;width:16.25pt;height:13.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dR2AEAAMkDAAAOAAAAZHJzL2Uyb0RvYy54bWysU02P0zAQvSPxHyzfadL0axU1XaEt5bJa&#10;kHYR56ljJxb+ksc06b/HcdJuWTghLtZMZvz85s3L9r7Xipy4R2lNReeznBJumK2laSr67eXw4Y4S&#10;DGBqUNbwip450vvd+3fbzpW8sK1VNfckghgsO1fRNgRXZhmylmvAmXXcxKKwXkOIqW+y2kMX0bXK&#10;ijxfZ531tfOWccT4dT8W6S7hC8FZ+CIE8kBURSO3kE6fzuNwZrstlI0H10o20YB/YKFBmvjoFWoP&#10;AchPL/+A0pJ5i1aEGbM6s0JIxtMMcZp5/maa5xYcT7NEcdBdZcL/B8ueTs/uqx+oo3u07AdGRbLO&#10;YXmtDAlOPb3weuiNxEmfVDxfVeR9ICx+LPL1YrOihMXSfLNcF6tB5QzKy2XnMXzmVpMhqKjiInz0&#10;3nZJQDg9Yhj7L32JnFWyPkilUuKb44Py5ARxq8vlpnhYTk/gbZsypIsUik0eN88guksoCDHUrq4o&#10;miY9+NsVvEVezFeLu8PfkAdme8B2ZJAQRidpGbhPnmo51J9MneIAUo1xVEGZSeBR00Hdo63P4w4G&#10;4Jf+O3g3iROiqk/2YgQo38gz9k6AF5i0vuiXJPrk7cGQt3m68voH7n4BAAD//wMAUEsDBBQABgAI&#10;AAAAIQAV3JTe4QAAAAsBAAAPAAAAZHJzL2Rvd25yZXYueG1sTI/BTsMwEETvSPyDtUjcqNNISZs0&#10;ToWQIlQQhxYu3Nx4GwdiO7LdNvD1bE/lOLNPszPVejIDO6EPvbMC5rMEGNrWqd52Aj7em4clsBCl&#10;VXJwFgX8YIB1fXtTyVK5s93iaRc7RiE2lFKAjnEsOQ+tRiPDzI1o6XZw3shI0ndceXmmcDPwNEly&#10;bmRv6YOWIz5pbL93RyPg5e1zwX99Uny9erVoNs/bZiO1EPd30+MKWMQpXmG41KfqUFOnvTtaFdhA&#10;OityQgWkWUGjLkSRzoHtyVnmGfC64v831H8AAAD//wMAUEsBAi0AFAAGAAgAAAAhALaDOJL+AAAA&#10;4QEAABMAAAAAAAAAAAAAAAAAAAAAAFtDb250ZW50X1R5cGVzXS54bWxQSwECLQAUAAYACAAAACEA&#10;OP0h/9YAAACUAQAACwAAAAAAAAAAAAAAAAAvAQAAX3JlbHMvLnJlbHNQSwECLQAUAAYACAAAACEA&#10;htAXUdgBAADJAwAADgAAAAAAAAAAAAAAAAAuAgAAZHJzL2Uyb0RvYy54bWxQSwECLQAUAAYACAAA&#10;ACEAFdyU3uEAAAALAQAADwAAAAAAAAAAAAAAAAAyBAAAZHJzL2Rvd25yZXYueG1sUEsFBgAAAAAE&#10;AAQA8wAAAEAFAAAAAA==&#10;" adj="9138" fillcolor="#4472c4" strokecolor="#31538f" strokeweight="1pt">
                      <v:path arrowok="t"/>
                    </v:shape>
                  </w:pict>
                </mc:Fallback>
              </mc:AlternateContent>
            </w:r>
            <w:r w:rsidR="00264095" w:rsidRPr="00264095">
              <w:rPr>
                <w:rFonts w:ascii="Arial" w:hAnsi="Arial" w:cs="Arial"/>
                <w:noProof/>
              </w:rPr>
              <mc:AlternateContent>
                <mc:Choice Requires="wps">
                  <w:drawing>
                    <wp:anchor distT="0" distB="0" distL="0" distR="0" simplePos="0" relativeHeight="251668480" behindDoc="0" locked="0" layoutInCell="1" allowOverlap="1" wp14:anchorId="4BB33509" wp14:editId="797DF515">
                      <wp:simplePos x="0" y="0"/>
                      <wp:positionH relativeFrom="column">
                        <wp:posOffset>2527300</wp:posOffset>
                      </wp:positionH>
                      <wp:positionV relativeFrom="paragraph">
                        <wp:posOffset>1401749</wp:posOffset>
                      </wp:positionV>
                      <wp:extent cx="206655" cy="174753"/>
                      <wp:effectExtent l="19050" t="19050" r="22225" b="34925"/>
                      <wp:wrapNone/>
                      <wp:docPr id="103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2C45FD" id="Left Arrow 8" o:spid="_x0000_s1026" type="#_x0000_t66" style="position:absolute;margin-left:199pt;margin-top:110.35pt;width:16.25pt;height:13.7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xuZOjt8AAAALAQAADwAAAGRycy9kb3ducmV2LnhtbEyPwU7DMBBE70j8g7VI3KhNGiCEOBVU9IpE&#10;QIijG2+TCHsd2U6T8vWYExxnZzT7ptos1rAj+jA4knC9EsCQWqcH6iS8v+2uCmAhKtLKOEIJJwyw&#10;qc/PKlVqN9MrHpvYsVRCoVQS+hjHkvPQ9mhVWLkRKXkH562KSfqOa6/mVG4Nz4S45VYNlD70asRt&#10;j+1XM1kJYvvx3byExU+HGE+f+dNuftZGysuL5fEBWMQl/oXhFz+hQ52Y9m4iHZiRsL4v0pYoIcvE&#10;HbCUyNfiBtg+XfIiA15X/P+G+gcAAP//AwBQSwECLQAUAAYACAAAACEAtoM4kv4AAADhAQAAEwAA&#10;AAAAAAAAAAAAAAAAAAAAW0NvbnRlbnRfVHlwZXNdLnhtbFBLAQItABQABgAIAAAAIQA4/SH/1gAA&#10;AJQBAAALAAAAAAAAAAAAAAAAAC8BAABfcmVscy8ucmVsc1BLAQItABQABgAIAAAAIQBJk0jF0wEA&#10;AMkDAAAOAAAAAAAAAAAAAAAAAC4CAABkcnMvZTJvRG9jLnhtbFBLAQItABQABgAIAAAAIQDG5k6O&#10;3wAAAAsBAAAPAAAAAAAAAAAAAAAAAC0EAABkcnMvZG93bnJldi54bWxQSwUGAAAAAAQABADzAAAA&#10;OQUAAAAA&#10;" adj="9133" fillcolor="red" strokecolor="#c00000" strokeweight="1pt">
                      <v:path arrowok="t"/>
                    </v:shape>
                  </w:pict>
                </mc:Fallback>
              </mc:AlternateContent>
            </w:r>
            <w:r w:rsidR="00264095" w:rsidRPr="00264095">
              <w:rPr>
                <w:rFonts w:ascii="Arial" w:hAnsi="Arial" w:cs="Arial"/>
                <w:noProof/>
              </w:rPr>
              <w:drawing>
                <wp:inline distT="0" distB="0" distL="0" distR="0" wp14:anchorId="36E6B46D" wp14:editId="59957DF0">
                  <wp:extent cx="2759102" cy="2607125"/>
                  <wp:effectExtent l="0" t="0" r="3175" b="3175"/>
                  <wp:docPr id="1036" name="Picture 1442088902"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2088902"/>
                          <pic:cNvPicPr/>
                        </pic:nvPicPr>
                        <pic:blipFill>
                          <a:blip r:embed="rId15" cstate="print"/>
                          <a:srcRect/>
                          <a:stretch/>
                        </pic:blipFill>
                        <pic:spPr>
                          <a:xfrm>
                            <a:off x="0" y="0"/>
                            <a:ext cx="2765874" cy="2613524"/>
                          </a:xfrm>
                          <a:prstGeom prst="rect">
                            <a:avLst/>
                          </a:prstGeom>
                          <a:ln>
                            <a:noFill/>
                          </a:ln>
                        </pic:spPr>
                      </pic:pic>
                    </a:graphicData>
                  </a:graphic>
                </wp:inline>
              </w:drawing>
            </w:r>
          </w:p>
          <w:p w14:paraId="63021441" w14:textId="77777777" w:rsidR="00264095" w:rsidRPr="00264095" w:rsidRDefault="00264095" w:rsidP="00E643B5">
            <w:pPr>
              <w:spacing w:line="276" w:lineRule="auto"/>
              <w:rPr>
                <w:rFonts w:ascii="Arial" w:hAnsi="Arial" w:cs="Arial"/>
                <w:sz w:val="20"/>
                <w:szCs w:val="20"/>
              </w:rPr>
            </w:pPr>
          </w:p>
        </w:tc>
        <w:tc>
          <w:tcPr>
            <w:tcW w:w="4151" w:type="dxa"/>
          </w:tcPr>
          <w:p w14:paraId="61CFE38B" w14:textId="77777777" w:rsidR="00264095" w:rsidRPr="00264095" w:rsidRDefault="00264095" w:rsidP="00E643B5">
            <w:pPr>
              <w:spacing w:line="276" w:lineRule="auto"/>
              <w:rPr>
                <w:rFonts w:ascii="Arial" w:hAnsi="Arial" w:cs="Arial"/>
                <w:noProof/>
                <w:sz w:val="20"/>
                <w:szCs w:val="20"/>
              </w:rPr>
            </w:pPr>
          </w:p>
          <w:p w14:paraId="7F5934D7" w14:textId="3887AE5E" w:rsidR="00264095" w:rsidRPr="00264095" w:rsidRDefault="000F1DF6"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9504" behindDoc="0" locked="0" layoutInCell="1" allowOverlap="1" wp14:anchorId="00942593" wp14:editId="4E81ECDF">
                      <wp:simplePos x="0" y="0"/>
                      <wp:positionH relativeFrom="column">
                        <wp:posOffset>1053769</wp:posOffset>
                      </wp:positionH>
                      <wp:positionV relativeFrom="paragraph">
                        <wp:posOffset>641350</wp:posOffset>
                      </wp:positionV>
                      <wp:extent cx="311150" cy="156210"/>
                      <wp:effectExtent l="19050" t="19050" r="12700" b="34290"/>
                      <wp:wrapNone/>
                      <wp:docPr id="103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56210"/>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3A3C92" id="Left Arrow 8" o:spid="_x0000_s1026" type="#_x0000_t66" style="position:absolute;margin-left:82.95pt;margin-top:50.5pt;width:24.5pt;height:12.3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mx1AEAAMkDAAAOAAAAZHJzL2Uyb0RvYy54bWysU02P0zAQvSPxHyzfaZqiXVDUdIW2lMtq&#10;QdpFnKeOnVj4Sx7TtP+esZOWsnBC5GDNeGae37yZrO+O1rCDjKi9a3m9WHImnfCddn3Lvz7v3rzn&#10;DBO4Dox3suUnifxu8/rVegyNXPnBm05GRiAOmzG0fEgpNFWFYpAWcOGDdBRUPlpI5Ma+6iKMhG5N&#10;tVoub6vRxy5ELyQi3W6nIN8UfKWkSJ+VQpmYaTlxS+WM5dzns9qsoekjhEGLmQb8AwsL2tGjF6gt&#10;JGA/ov4DymoRPXqVFsLbyiulhSw9UDf18kU3TwMEWXohcTBcZML/ByseD0/hS8zUMTx48R1JkWoM&#10;2Fwi2cE556iizblEnB2LiqeLivKYmKDLt3Vd35DWgkL1ze2qLipX0JyLQ8T0SXrLstFyI1X6EKMf&#10;i4BweMCUOUBzzivkvNHdThtTnNjv701kB6Cp7nZL+vIgqQSv04xjI1FYvaMwE0DbpQwkMm3oWo6u&#10;Lw/+VoLXyPcZ+K/ImdkWcJgYFIRpk6xOMpadGiR0H11X7ATaTDZRNG4WeNI0q7v33WmaQQZ+Pn6D&#10;GGZxEqn66M+LAM0LeabcGfAMU8ZH+1IUmXc7L+S1X0p+/YGbnwAAAP//AwBQSwMEFAAGAAgAAAAh&#10;AMRM6GXdAAAACwEAAA8AAABkcnMvZG93bnJldi54bWxMT01Pg0AQvZv4HzZj4s0uoKUtsjSNSU/G&#10;g6028TbACER2Ftlti//e8VRv8z7y5r18PdlenWj0nWMD8SwCRVy5uuPGwNt+e7cE5QNyjb1jMvBD&#10;HtbF9VWOWe3O/EqnXWiUhLDP0EAbwpBp7auWLPqZG4hF+3SjxSBwbHQ94lnCba+TKEq1xY7lQ4sD&#10;PbVUfe2O1sDw4g738WGL6QKfefPxXtL3fmHM7c20eQQVaAoXM/zVl+pQSKfSHbn2qheczldilSOK&#10;ZZQ4kvhBmFKYZJ6CLnL9f0PxCwAA//8DAFBLAQItABQABgAIAAAAIQC2gziS/gAAAOEBAAATAAAA&#10;AAAAAAAAAAAAAAAAAABbQ29udGVudF9UeXBlc10ueG1sUEsBAi0AFAAGAAgAAAAhADj9If/WAAAA&#10;lAEAAAsAAAAAAAAAAAAAAAAALwEAAF9yZWxzLy5yZWxzUEsBAi0AFAAGAAgAAAAhAPaWObHUAQAA&#10;yQMAAA4AAAAAAAAAAAAAAAAALgIAAGRycy9lMm9Eb2MueG1sUEsBAi0AFAAGAAgAAAAhAMRM6GXd&#10;AAAACwEAAA8AAAAAAAAAAAAAAAAALgQAAGRycy9kb3ducmV2LnhtbFBLBQYAAAAABAAEAPMAAAA4&#10;BQAAAAA=&#10;" adj="5422"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60288" behindDoc="0" locked="0" layoutInCell="1" allowOverlap="1" wp14:anchorId="38FD521A" wp14:editId="2BDAC9FC">
                      <wp:simplePos x="0" y="0"/>
                      <wp:positionH relativeFrom="column">
                        <wp:posOffset>507669</wp:posOffset>
                      </wp:positionH>
                      <wp:positionV relativeFrom="paragraph">
                        <wp:posOffset>696595</wp:posOffset>
                      </wp:positionV>
                      <wp:extent cx="255270" cy="128270"/>
                      <wp:effectExtent l="19050" t="19050" r="11430" b="43180"/>
                      <wp:wrapNone/>
                      <wp:docPr id="1039"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28270"/>
                              </a:xfrm>
                              <a:prstGeom prst="leftArrow">
                                <a:avLst/>
                              </a:prstGeom>
                              <a:solidFill>
                                <a:srgbClr val="000000"/>
                              </a:solidFill>
                              <a:ln w="12700" cap="flat" cmpd="sng">
                                <a:solidFill>
                                  <a:srgbClr val="0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833734" id="Left Arrow 19" o:spid="_x0000_s1026" type="#_x0000_t66" style="position:absolute;margin-left:39.95pt;margin-top:54.85pt;width:20.1pt;height:10.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neyQEAAMkDAAAOAAAAZHJzL2Uyb0RvYy54bWysU01v1DAQvSPxHyzf2exGKq2izVaIpVyq&#10;gtRWnGcdO7Hwl2bMJvvvsZ3sUsoFIXKwZjzj5zfPL9vbyRp2lEjau5ZvVmvOpBO+065v+fPT3bsb&#10;ziiC68B4J1t+ksRvd2/fbMfQyNoP3nQSWQJx1Iyh5UOMoakqEoO0QCsfpEtF5dFCTCn2VYcwJnRr&#10;qnq9fl+NHruAXkiitLufi3xX8JWSIn5RimRkpuWJWywrlvWQ12q3haZHCIMWCw34BxYWtEuXXqD2&#10;EIH9QP0HlNUCPXkVV8LbyiulhSwzpGk261fTPA4QZJkliUPhIhP9P1jxcHwMXzFTp3DvxXdKilRj&#10;oOZSyQktPZNCm3sTcTYVFU8XFeUUmUib9dVVfZ20Fqm0qW9ynDGhOR8OSPGz9JbloOVGqvgB0Y9F&#10;QDjeU5z7z32FnDe6u9PGlAT7w0eD7Aj5Vcu3XEEv24xjY6Zwvc5sILlLGYgptKFrObm+XPjbEfo7&#10;5MxsDzTMDArC7CSro8TiqUFC98l1JY6gzRwnFYxbBJ41zeoefHea3yADP03fAMMiTkyqPvizEaB5&#10;Jc/cuwCeYcrzJb8U0RdvZ0O+zMuRX3/g7icAAAD//wMAUEsDBBQABgAIAAAAIQBnt44G3QAAAAoB&#10;AAAPAAAAZHJzL2Rvd25yZXYueG1sTI8/T8MwEMV3JL6DdUgsiNrp0DYhTkWRWBiQSFnY3PiIo/pP&#10;FLtu+PZcJtju7j29+716PzvLMk5xCF5CsRLA0HdBD76X8Hl8fdwBi0l5rWzwKOEHI+yb25taVTpc&#10;/QfmNvWMQnyslAST0lhxHjuDTsVVGNGT9h0mpxKtU8/1pK4U7ixfC7HhTg2ePhg14ovB7txenIRx&#10;3r0/DG+5Lc46h8O4MV82H6S8v5ufn4AlnNOfGRZ8QoeGmE7h4nVkVsK2LMlJd1FugS2GtSiAnZaB&#10;JN7U/H+F5hcAAP//AwBQSwECLQAUAAYACAAAACEAtoM4kv4AAADhAQAAEwAAAAAAAAAAAAAAAAAA&#10;AAAAW0NvbnRlbnRfVHlwZXNdLnhtbFBLAQItABQABgAIAAAAIQA4/SH/1gAAAJQBAAALAAAAAAAA&#10;AAAAAAAAAC8BAABfcmVscy8ucmVsc1BLAQItABQABgAIAAAAIQDoXnneyQEAAMkDAAAOAAAAAAAA&#10;AAAAAAAAAC4CAABkcnMvZTJvRG9jLnhtbFBLAQItABQABgAIAAAAIQBnt44G3QAAAAoBAAAPAAAA&#10;AAAAAAAAAAAAACMEAABkcnMvZG93bnJldi54bWxQSwUGAAAAAAQABADzAAAALQUAAAAA&#10;" adj="5427" fillcolor="black" strokeweight="1pt">
                      <v:path arrowok="t"/>
                    </v:shape>
                  </w:pict>
                </mc:Fallback>
              </mc:AlternateContent>
            </w:r>
            <w:r w:rsidRPr="00264095">
              <w:rPr>
                <w:rFonts w:ascii="Arial" w:hAnsi="Arial" w:cs="Arial"/>
                <w:noProof/>
              </w:rPr>
              <mc:AlternateContent>
                <mc:Choice Requires="wps">
                  <w:drawing>
                    <wp:anchor distT="0" distB="0" distL="0" distR="0" simplePos="0" relativeHeight="251659264" behindDoc="0" locked="0" layoutInCell="1" allowOverlap="1" wp14:anchorId="0D6BE405" wp14:editId="48392DC8">
                      <wp:simplePos x="0" y="0"/>
                      <wp:positionH relativeFrom="column">
                        <wp:posOffset>746760</wp:posOffset>
                      </wp:positionH>
                      <wp:positionV relativeFrom="paragraph">
                        <wp:posOffset>1521129</wp:posOffset>
                      </wp:positionV>
                      <wp:extent cx="266700" cy="179070"/>
                      <wp:effectExtent l="19050" t="19050" r="19050" b="30480"/>
                      <wp:wrapNone/>
                      <wp:docPr id="1038" name="Lef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9070"/>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CB5C93" id="Left Arrow 14" o:spid="_x0000_s1026" type="#_x0000_t66" style="position:absolute;margin-left:58.8pt;margin-top:119.75pt;width:21pt;height:14.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qu2AEAAMkDAAAOAAAAZHJzL2Uyb0RvYy54bWysU02P0zAQvSPxHyLfadJuaZeo6QptKZfV&#10;stIu4jx17MbCX/KYpv33jJ20lIUT4mJ5MjPPb968rO6ORhcHEVA527DppGKFsNy1yu4b9vVl++6W&#10;FRjBtqCdFQ07CWR367dvVr2vxcx1TrciFARise59w7oYfV2WyDthACfOC0tJ6YKBSGHYl22AntCN&#10;LmdVtSh7F1ofHBeI9HUzJNk640spePwiJYpY6IYRt5jPkM9dOsv1Cup9AN8pPtKAf2BhQFl69AK1&#10;gQjFj6D+gDKKB4dOxgl3pnRSKi7yDDTNtHo1zXMHXuRZSBz0F5nw/8Hyx8OzfwqJOvoHx78jKVL2&#10;HutLJgU41hxlMKmWiBfHrOLpoqI4xoLTx9lisaxIa06p6fJDtcwql1Cfm33A+Fk4U6RLw7SQ8WMI&#10;rs8CwuEBY+IA9bkuk3NatVuldQ7CfnevQ3EA2up8vpzdz9MiqQWvy7QteqIwG9gAuUtqiETM+LZh&#10;aPf5wd9a8Br5Zvr+5nb7N+TEbAPYDQwywuAko6II2VOdgPaTbfM9gtLDnShqOwo8aJrU3bn2NOwg&#10;Ab8cv0HwoziRVH10ZyNA/UqeoXYEPMPk9ZFfsiKjt5Mhr+Pc8usPXP8EAAD//wMAUEsDBBQABgAI&#10;AAAAIQD8sX074AAAAAsBAAAPAAAAZHJzL2Rvd25yZXYueG1sTI/BTsMwEETvSPyDtUjcqNOiJiTE&#10;qRACqQcEpVSquDnxEkfE6yh22/D3bE9wnNmn2ZlyNbleHHEMnScF81kCAqnxpqNWwe7j+eYORIia&#10;jO49oYIfDLCqLi9KXRh/onc8bmMrOIRCoRXYGIdCytBYdDrM/IDEty8/Oh1Zjq00oz5xuOvlIklS&#10;6XRH/MHqAR8tNt/bg1PwtJEv67DPpcxqsq+bGN8+17lS11fTwz2IiFP8g+Fcn6tDxZ1qfyATRM96&#10;nqWMKljc5ksQZ2KZs1Ozk2YZyKqU/zdUvwAAAP//AwBQSwECLQAUAAYACAAAACEAtoM4kv4AAADh&#10;AQAAEwAAAAAAAAAAAAAAAAAAAAAAW0NvbnRlbnRfVHlwZXNdLnhtbFBLAQItABQABgAIAAAAIQA4&#10;/SH/1gAAAJQBAAALAAAAAAAAAAAAAAAAAC8BAABfcmVscy8ucmVsc1BLAQItABQABgAIAAAAIQB7&#10;m2qu2AEAAMkDAAAOAAAAAAAAAAAAAAAAAC4CAABkcnMvZTJvRG9jLnhtbFBLAQItABQABgAIAAAA&#10;IQD8sX074AAAAAsBAAAPAAAAAAAAAAAAAAAAADIEAABkcnMvZG93bnJldi54bWxQSwUGAAAAAAQA&#10;BADzAAAAPwUAAAAA&#10;" adj="7251" fillcolor="#4472c4" strokecolor="#31538f" strokeweight="1pt">
                      <v:path arrowok="t"/>
                    </v:shape>
                  </w:pict>
                </mc:Fallback>
              </mc:AlternateContent>
            </w:r>
            <w:r w:rsidR="00264095" w:rsidRPr="00264095">
              <w:rPr>
                <w:rFonts w:ascii="Arial" w:hAnsi="Arial" w:cs="Arial"/>
                <w:noProof/>
              </w:rPr>
              <w:drawing>
                <wp:inline distT="0" distB="0" distL="0" distR="0" wp14:anchorId="5F698204" wp14:editId="2CBF9450">
                  <wp:extent cx="2496709" cy="2449001"/>
                  <wp:effectExtent l="0" t="0" r="0" b="8890"/>
                  <wp:docPr id="1040" name="Picture 6" descr="C:\Users\Chimzurum\Pictures\D3 G4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7" cstate="print"/>
                          <a:srcRect/>
                          <a:stretch/>
                        </pic:blipFill>
                        <pic:spPr>
                          <a:xfrm>
                            <a:off x="0" y="0"/>
                            <a:ext cx="2508062" cy="2460137"/>
                          </a:xfrm>
                          <a:prstGeom prst="rect">
                            <a:avLst/>
                          </a:prstGeom>
                          <a:ln>
                            <a:noFill/>
                          </a:ln>
                        </pic:spPr>
                      </pic:pic>
                    </a:graphicData>
                  </a:graphic>
                </wp:inline>
              </w:drawing>
            </w:r>
          </w:p>
        </w:tc>
      </w:tr>
    </w:tbl>
    <w:p w14:paraId="577CFAD7"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1552" behindDoc="0" locked="0" layoutInCell="1" allowOverlap="1" wp14:anchorId="3ED77A23" wp14:editId="6B75690E">
                <wp:simplePos x="0" y="0"/>
                <wp:positionH relativeFrom="margin">
                  <wp:align>left</wp:align>
                </wp:positionH>
                <wp:positionV relativeFrom="paragraph">
                  <wp:posOffset>152400</wp:posOffset>
                </wp:positionV>
                <wp:extent cx="5781675" cy="485775"/>
                <wp:effectExtent l="0" t="0" r="9525" b="9525"/>
                <wp:wrapNone/>
                <wp:docPr id="10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1D946232"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C</w:t>
                            </w:r>
                          </w:p>
                        </w:txbxContent>
                      </wps:txbx>
                      <wps:bodyPr vert="horz" wrap="square" lIns="91440" tIns="45720" rIns="91440" bIns="45720" anchor="ctr">
                        <a:prstTxWarp prst="textNoShape">
                          <a:avLst/>
                        </a:prstTxWarp>
                        <a:noAutofit/>
                      </wps:bodyPr>
                    </wps:wsp>
                  </a:graphicData>
                </a:graphic>
              </wp:anchor>
            </w:drawing>
          </mc:Choice>
          <mc:Fallback>
            <w:pict>
              <v:rect w14:anchorId="3ED77A23" id="_x0000_s1028" style="position:absolute;margin-left:0;margin-top:12pt;width:455.25pt;height:38.25pt;z-index:251671552;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B2gEAALwDAAAOAAAAZHJzL2Uyb0RvYy54bWysU9Fq2zAUfR/sH4TeFychaTITp4yVjEHp&#10;Cu3YsyzLsZisq10psbOv35XspKF7K/WD8NU9Oj7n6Hpz27eGHRV6Dbbgs8mUM2UlVNruC/7zefdp&#10;zZkPwlbCgFUFPynPb7cfP2w6l6s5NGAqhYxIrM87V/AmBJdnmZeNaoWfgFOWmjVgKwKVuM8qFB2x&#10;tyabT6c3WQdYOQSpvKfdu6HJt4m/rpUMP+raq8BMwUlbSCumtYxrtt2IfI/CNVqOMsQbVLRCW/ro&#10;hepOBMEOqP+jarVE8FCHiYQ2g7rWUiUP5GY2feXmqRFOJS8UjneXmPz70cqH45N7xCjdu3uQvz0l&#10;knXO55dOLPyI6WtsI5aEsz6leLqkqPrAJG0uV+vZzWrJmaTeYr1c0XskFfn5tEMfviloWXwpONIt&#10;pfDE8d6HAXqGJGFgdLXTxqQC9+VXg+wo6EZ36RnZ/TXM2Ai2EI8NjHEnGRu8RFehL3umq4LPI0Xc&#10;KaE6PRK5QtLVAP7lrKPhKLj/cxCoODPfLaX/ebZYxGlKxWK5mlOB153yuiOsJKqCy4DJZvT23P8S&#10;6MYAAkX3AOfbFvmrHAbs4OfLIUCtU0gvekdjNCIp5nGc4wxe1wn18tNt/wEAAP//AwBQSwMEFAAG&#10;AAgAAAAhAFaidCHcAAAABwEAAA8AAABkcnMvZG93bnJldi54bWxMj8FOwzAQRO9I/IO1SNyo3apU&#10;EOJUCIlDL7Sk+QA3XpKo9jqKnSbl61lOcNpdzWj2Tb6dvRMXHGIXSMNyoUAg1cF21Gioju8PTyBi&#10;MmSNC4QarhhhW9ze5CazYaJPvJSpERxCMTMa2pT6TMpYt+hNXIQeibWvMHiT+BwaaQczcbh3cqXU&#10;RnrTEX9oTY9vLdbncvQa9of9rlJr9T1urjs7lYfzh4uV1vd38+sLiIRz+jPDLz6jQ8FMpzCSjcJp&#10;4CJJw2rNk9XnpXoEcWKb4kUWufzPX/wAAAD//wMAUEsBAi0AFAAGAAgAAAAhALaDOJL+AAAA4QEA&#10;ABMAAAAAAAAAAAAAAAAAAAAAAFtDb250ZW50X1R5cGVzXS54bWxQSwECLQAUAAYACAAAACEAOP0h&#10;/9YAAACUAQAACwAAAAAAAAAAAAAAAAAvAQAAX3JlbHMvLnJlbHNQSwECLQAUAAYACAAAACEAsEfk&#10;gdoBAAC8AwAADgAAAAAAAAAAAAAAAAAuAgAAZHJzL2Uyb0RvYy54bWxQSwECLQAUAAYACAAAACEA&#10;VqJ0IdwAAAAHAQAADwAAAAAAAAAAAAAAAAA0BAAAZHJzL2Rvd25yZXYueG1sUEsFBgAAAAAEAAQA&#10;8wAAAD0FAAAAAA==&#10;" stroked="f">
                <v:textbox>
                  <w:txbxContent>
                    <w:p w14:paraId="1D946232"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C</w:t>
                      </w:r>
                    </w:p>
                  </w:txbxContent>
                </v:textbox>
                <w10:wrap anchorx="margin"/>
              </v:rect>
            </w:pict>
          </mc:Fallback>
        </mc:AlternateContent>
      </w:r>
    </w:p>
    <w:p w14:paraId="70AFE01F"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0528" behindDoc="0" locked="0" layoutInCell="1" allowOverlap="1" wp14:anchorId="124C1DD9" wp14:editId="00E23052">
                <wp:simplePos x="0" y="0"/>
                <wp:positionH relativeFrom="margin">
                  <wp:align>left</wp:align>
                </wp:positionH>
                <wp:positionV relativeFrom="paragraph">
                  <wp:posOffset>208335</wp:posOffset>
                </wp:positionV>
                <wp:extent cx="5640309" cy="1530036"/>
                <wp:effectExtent l="0" t="0" r="0" b="0"/>
                <wp:wrapNone/>
                <wp:docPr id="10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309" cy="1530036"/>
                        </a:xfrm>
                        <a:prstGeom prst="rect">
                          <a:avLst/>
                        </a:prstGeom>
                        <a:solidFill>
                          <a:srgbClr val="FFFFFF"/>
                        </a:solidFill>
                        <a:ln>
                          <a:noFill/>
                        </a:ln>
                      </wps:spPr>
                      <wps:txbx>
                        <w:txbxContent>
                          <w:p w14:paraId="4786C9EB" w14:textId="4A165235" w:rsidR="00A676A4" w:rsidRPr="00E92A44" w:rsidRDefault="00264095" w:rsidP="00A676A4">
                            <w:pPr>
                              <w:pStyle w:val="NormalWeb"/>
                              <w:jc w:val="both"/>
                              <w:rPr>
                                <w:rFonts w:ascii="Arial" w:hAnsi="Arial" w:cs="Arial"/>
                                <w:sz w:val="20"/>
                                <w:szCs w:val="20"/>
                              </w:rPr>
                            </w:pPr>
                            <w:r w:rsidRPr="00E92A44">
                              <w:rPr>
                                <w:rFonts w:ascii="Arial" w:hAnsi="Arial" w:cs="Arial"/>
                                <w:b/>
                                <w:bCs/>
                                <w:sz w:val="20"/>
                                <w:szCs w:val="20"/>
                              </w:rPr>
                              <w:t>Plate 2:</w:t>
                            </w:r>
                            <w:r w:rsidRPr="00E92A44">
                              <w:rPr>
                                <w:rFonts w:ascii="Arial" w:hAnsi="Arial" w:cs="Arial"/>
                                <w:sz w:val="20"/>
                                <w:szCs w:val="20"/>
                              </w:rPr>
                              <w:t xml:space="preserve"> </w:t>
                            </w:r>
                            <w:proofErr w:type="spellStart"/>
                            <w:r w:rsidR="00A676A4" w:rsidRPr="00E92A44">
                              <w:rPr>
                                <w:rFonts w:ascii="Arial" w:hAnsi="Arial" w:cs="Arial"/>
                                <w:b/>
                                <w:bCs/>
                                <w:sz w:val="20"/>
                                <w:szCs w:val="20"/>
                              </w:rPr>
                              <w:t>Histo</w:t>
                            </w:r>
                            <w:proofErr w:type="spellEnd"/>
                            <w:r w:rsidR="00A676A4" w:rsidRPr="00E92A44">
                              <w:rPr>
                                <w:rFonts w:ascii="Arial" w:hAnsi="Arial" w:cs="Arial"/>
                                <w:b/>
                                <w:bCs/>
                                <w:sz w:val="20"/>
                                <w:szCs w:val="20"/>
                              </w:rPr>
                              <w:t>-architecture of the Breast Tissues of Control (A) and Group 3 (C)</w:t>
                            </w:r>
                            <w:r w:rsidR="00A676A4" w:rsidRPr="00E92A44">
                              <w:rPr>
                                <w:rFonts w:ascii="Arial" w:hAnsi="Arial" w:cs="Arial"/>
                                <w:sz w:val="20"/>
                                <w:szCs w:val="20"/>
                              </w:rPr>
                              <w:t xml:space="preserve"> </w:t>
                            </w:r>
                            <w:r w:rsidR="00A676A4" w:rsidRPr="00E92A44">
                              <w:rPr>
                                <w:rFonts w:ascii="Arial" w:hAnsi="Arial" w:cs="Arial"/>
                                <w:b/>
                                <w:bCs/>
                                <w:sz w:val="20"/>
                                <w:szCs w:val="20"/>
                              </w:rPr>
                              <w:t>Rats.</w:t>
                            </w:r>
                            <w:r w:rsidR="00A676A4" w:rsidRPr="00E92A44">
                              <w:rPr>
                                <w:rFonts w:ascii="Arial" w:hAnsi="Arial" w:cs="Arial"/>
                                <w:sz w:val="20"/>
                                <w:szCs w:val="20"/>
                              </w:rPr>
                              <w:t xml:space="preserve"> </w:t>
                            </w:r>
                          </w:p>
                          <w:p w14:paraId="578D425E" w14:textId="53050A14"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(C)</w:t>
                            </w:r>
                            <w:r w:rsidRPr="00E92A44">
                              <w:rPr>
                                <w:rFonts w:ascii="Arial" w:hAnsi="Arial" w:cs="Arial"/>
                                <w:sz w:val="20"/>
                                <w:szCs w:val="20"/>
                              </w:rPr>
                              <w:t xml:space="preserve"> Group 3, showing preserved breast lobules (blue) with ducts containing pinkish luminal secretion. The stroma shows increased fibrosis (black). This is suggestive of fibrocystic changes.</w:t>
                            </w:r>
                            <w:r w:rsidR="00EE30D2" w:rsidRPr="00E92A44">
                              <w:rPr>
                                <w:rFonts w:ascii="Arial" w:hAnsi="Arial" w:cs="Arial"/>
                                <w:sz w:val="20"/>
                                <w:szCs w:val="20"/>
                              </w:rPr>
                              <w:t xml:space="preserve"> H &amp; E ×100.</w:t>
                            </w:r>
                          </w:p>
                          <w:p w14:paraId="6137E3FE" w14:textId="77777777" w:rsidR="00264095" w:rsidRPr="00E92A44" w:rsidRDefault="00264095" w:rsidP="00264095">
                            <w:pPr>
                              <w:jc w:val="both"/>
                              <w:rPr>
                                <w:rFonts w:ascii="Arial" w:hAnsi="Arial" w:cs="Aria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1DD9" id="_x0000_s1029" style="position:absolute;margin-left:0;margin-top:16.4pt;width:444.1pt;height:120.5pt;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1M3AEAAL0DAAAOAAAAZHJzL2Uyb0RvYy54bWysU8tu2zAQvBfoPxC815KfTQTLQdHARYEg&#10;DZAUPdMUZRGluOyStuR+fZeU7BjpragOhJY7HM0MV+u7vjXsqNBrsCWfTnLOlJVQabsv+feX7Ycb&#10;znwQthIGrCr5SXl+t3n/bt25Qs2gAVMpZERifdG5kjchuCLLvGxUK/wEnLLUrAFbEajEfVah6Ii9&#10;Ndksz1dZB1g5BKm8p937ock3ib+ulQzf6tqrwEzJSVtIK6Z1F9dssxbFHoVrtBxliH9Q0Qpt6aMX&#10;qnsRBDug/ouq1RLBQx0mEtoM6lpLlTyQm2n+xs1zI5xKXigc7y4x+f9HKx+Pz+4Jo3TvHkD+9JRI&#10;1jlfXDqx8COmr7GNWBLO+pTi6ZKi6gOTtLlcLfJ5fsuZpN50Oc/z+SrmnInifNyhD18UtCy+lBzp&#10;mlJ64vjgwwA9Q5IyMLraamNSgfvdZ4PsKOhKt+kZ2f01zNgIthCPDYxxJzkbzERbod/1TFcln0eK&#10;uLOD6vRE5ApJVwP4m7OOpqPk/tdBoOLMfLUU/+10sYjjlIrF8uOMCrzu7K47wkqiKrkMmGxGby/9&#10;D4FuDCBQdo9wvm5RvMlhwA5+Ph0C1DqF9Kp3NEYzkmIe5zkO4XWdUK9/3eYPAAAA//8DAFBLAwQU&#10;AAYACAAAACEAi9GyQN0AAAAHAQAADwAAAGRycy9kb3ducmV2LnhtbEzPwU7DMAwG4DsS7xAZiRtL&#10;6NCISt0JIXHYhY2uD5A1oa2WOFWTrh1PTzjB0fqt35+L7eIsu5gx9J4QHlcCmKHG655ahPr4/iCB&#10;hahIK+vJIFxNgG15e1OoXPuZPs2lii1LJRRyhdDFOOSch6YzToWVHwyl7MuPTsU0ji3Xo5pTubM8&#10;E2LDneopXejUYN4605yrySHsD/tdLZ7E97S57vRcHc4fNtSI93fL6wuwaJb4twy//ESHMplOfiId&#10;mEVIj0SEdZb8KZVSZsBOCNnzWgIvC/7fX/4AAAD//wMAUEsBAi0AFAAGAAgAAAAhALaDOJL+AAAA&#10;4QEAABMAAAAAAAAAAAAAAAAAAAAAAFtDb250ZW50X1R5cGVzXS54bWxQSwECLQAUAAYACAAAACEA&#10;OP0h/9YAAACUAQAACwAAAAAAAAAAAAAAAAAvAQAAX3JlbHMvLnJlbHNQSwECLQAUAAYACAAAACEA&#10;1+dNTNwBAAC9AwAADgAAAAAAAAAAAAAAAAAuAgAAZHJzL2Uyb0RvYy54bWxQSwECLQAUAAYACAAA&#10;ACEAi9GyQN0AAAAHAQAADwAAAAAAAAAAAAAAAAA2BAAAZHJzL2Rvd25yZXYueG1sUEsFBgAAAAAE&#10;AAQA8wAAAEAFAAAAAA==&#10;" stroked="f">
                <v:textbox>
                  <w:txbxContent>
                    <w:p w14:paraId="4786C9EB" w14:textId="4A165235" w:rsidR="00A676A4" w:rsidRPr="00E92A44" w:rsidRDefault="00264095" w:rsidP="00A676A4">
                      <w:pPr>
                        <w:pStyle w:val="NormalWeb"/>
                        <w:jc w:val="both"/>
                        <w:rPr>
                          <w:rFonts w:ascii="Arial" w:hAnsi="Arial" w:cs="Arial"/>
                          <w:sz w:val="20"/>
                          <w:szCs w:val="20"/>
                        </w:rPr>
                      </w:pPr>
                      <w:r w:rsidRPr="00E92A44">
                        <w:rPr>
                          <w:rFonts w:ascii="Arial" w:hAnsi="Arial" w:cs="Arial"/>
                          <w:b/>
                          <w:bCs/>
                          <w:sz w:val="20"/>
                          <w:szCs w:val="20"/>
                        </w:rPr>
                        <w:t>Plate 2:</w:t>
                      </w:r>
                      <w:r w:rsidRPr="00E92A44">
                        <w:rPr>
                          <w:rFonts w:ascii="Arial" w:hAnsi="Arial" w:cs="Arial"/>
                          <w:sz w:val="20"/>
                          <w:szCs w:val="20"/>
                        </w:rPr>
                        <w:t xml:space="preserve"> </w:t>
                      </w:r>
                      <w:proofErr w:type="spellStart"/>
                      <w:r w:rsidR="00A676A4" w:rsidRPr="00E92A44">
                        <w:rPr>
                          <w:rFonts w:ascii="Arial" w:hAnsi="Arial" w:cs="Arial"/>
                          <w:b/>
                          <w:bCs/>
                          <w:sz w:val="20"/>
                          <w:szCs w:val="20"/>
                        </w:rPr>
                        <w:t>Histo</w:t>
                      </w:r>
                      <w:proofErr w:type="spellEnd"/>
                      <w:r w:rsidR="00A676A4" w:rsidRPr="00E92A44">
                        <w:rPr>
                          <w:rFonts w:ascii="Arial" w:hAnsi="Arial" w:cs="Arial"/>
                          <w:b/>
                          <w:bCs/>
                          <w:sz w:val="20"/>
                          <w:szCs w:val="20"/>
                        </w:rPr>
                        <w:t>-architecture of the Breast Tissues of Control (A) and Group 3 (C)</w:t>
                      </w:r>
                      <w:r w:rsidR="00A676A4" w:rsidRPr="00E92A44">
                        <w:rPr>
                          <w:rFonts w:ascii="Arial" w:hAnsi="Arial" w:cs="Arial"/>
                          <w:sz w:val="20"/>
                          <w:szCs w:val="20"/>
                        </w:rPr>
                        <w:t xml:space="preserve"> </w:t>
                      </w:r>
                      <w:r w:rsidR="00A676A4" w:rsidRPr="00E92A44">
                        <w:rPr>
                          <w:rFonts w:ascii="Arial" w:hAnsi="Arial" w:cs="Arial"/>
                          <w:b/>
                          <w:bCs/>
                          <w:sz w:val="20"/>
                          <w:szCs w:val="20"/>
                        </w:rPr>
                        <w:t>Rats.</w:t>
                      </w:r>
                      <w:r w:rsidR="00A676A4" w:rsidRPr="00E92A44">
                        <w:rPr>
                          <w:rFonts w:ascii="Arial" w:hAnsi="Arial" w:cs="Arial"/>
                          <w:sz w:val="20"/>
                          <w:szCs w:val="20"/>
                        </w:rPr>
                        <w:t xml:space="preserve"> </w:t>
                      </w:r>
                    </w:p>
                    <w:p w14:paraId="578D425E" w14:textId="53050A14"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(C)</w:t>
                      </w:r>
                      <w:r w:rsidRPr="00E92A44">
                        <w:rPr>
                          <w:rFonts w:ascii="Arial" w:hAnsi="Arial" w:cs="Arial"/>
                          <w:sz w:val="20"/>
                          <w:szCs w:val="20"/>
                        </w:rPr>
                        <w:t xml:space="preserve"> Group 3, showing preserved breast lobules (blue) with ducts containing pinkish luminal secretion. The stroma shows increased fibrosis (black). This is suggestive of fibrocystic changes.</w:t>
                      </w:r>
                      <w:r w:rsidR="00EE30D2" w:rsidRPr="00E92A44">
                        <w:rPr>
                          <w:rFonts w:ascii="Arial" w:hAnsi="Arial" w:cs="Arial"/>
                          <w:sz w:val="20"/>
                          <w:szCs w:val="20"/>
                        </w:rPr>
                        <w:t xml:space="preserve"> H &amp; E ×100.</w:t>
                      </w:r>
                    </w:p>
                    <w:p w14:paraId="6137E3FE" w14:textId="77777777" w:rsidR="00264095" w:rsidRPr="00E92A44" w:rsidRDefault="00264095" w:rsidP="00264095">
                      <w:pPr>
                        <w:jc w:val="both"/>
                        <w:rPr>
                          <w:rFonts w:ascii="Arial" w:hAnsi="Arial" w:cs="Arial"/>
                        </w:rPr>
                      </w:pPr>
                    </w:p>
                  </w:txbxContent>
                </v:textbox>
                <w10:wrap anchorx="margin"/>
              </v:rect>
            </w:pict>
          </mc:Fallback>
        </mc:AlternateContent>
      </w:r>
    </w:p>
    <w:p w14:paraId="2635F32F" w14:textId="77777777" w:rsidR="00264095" w:rsidRPr="00264095" w:rsidRDefault="00264095" w:rsidP="00264095">
      <w:pPr>
        <w:pStyle w:val="NormalWeb"/>
        <w:spacing w:line="276" w:lineRule="auto"/>
        <w:rPr>
          <w:rFonts w:ascii="Arial" w:hAnsi="Arial" w:cs="Arial"/>
          <w:b/>
          <w:bCs/>
          <w:sz w:val="20"/>
          <w:szCs w:val="20"/>
        </w:rPr>
      </w:pPr>
    </w:p>
    <w:p w14:paraId="7EBF1787" w14:textId="77777777" w:rsidR="00264095" w:rsidRPr="00264095" w:rsidRDefault="00264095" w:rsidP="00264095">
      <w:pPr>
        <w:spacing w:line="276" w:lineRule="auto"/>
        <w:rPr>
          <w:rFonts w:ascii="Arial" w:hAnsi="Arial" w:cs="Arial"/>
        </w:rPr>
      </w:pPr>
    </w:p>
    <w:p w14:paraId="03F6A4DC" w14:textId="77777777" w:rsidR="00264095" w:rsidRPr="00264095" w:rsidRDefault="00264095" w:rsidP="00264095">
      <w:pPr>
        <w:spacing w:line="276" w:lineRule="auto"/>
        <w:rPr>
          <w:rFonts w:ascii="Arial" w:hAnsi="Arial" w:cs="Arial"/>
        </w:rPr>
      </w:pPr>
    </w:p>
    <w:p w14:paraId="281F477E" w14:textId="77777777" w:rsidR="00264095" w:rsidRPr="00264095" w:rsidRDefault="00264095" w:rsidP="00264095">
      <w:pPr>
        <w:spacing w:line="276" w:lineRule="auto"/>
        <w:rPr>
          <w:rFonts w:ascii="Arial" w:hAnsi="Arial" w:cs="Arial"/>
        </w:rPr>
      </w:pPr>
    </w:p>
    <w:p w14:paraId="53066FC2" w14:textId="77777777" w:rsidR="00264095" w:rsidRPr="00264095" w:rsidRDefault="00264095" w:rsidP="00264095">
      <w:pPr>
        <w:spacing w:line="276" w:lineRule="auto"/>
        <w:rPr>
          <w:rFonts w:ascii="Arial" w:hAnsi="Arial" w:cs="Arial"/>
        </w:rPr>
      </w:pPr>
    </w:p>
    <w:tbl>
      <w:tblPr>
        <w:tblStyle w:val="TableGrid"/>
        <w:tblW w:w="8928" w:type="dxa"/>
        <w:tblLook w:val="04A0" w:firstRow="1" w:lastRow="0" w:firstColumn="1" w:lastColumn="0" w:noHBand="0" w:noVBand="1"/>
      </w:tblPr>
      <w:tblGrid>
        <w:gridCol w:w="4354"/>
        <w:gridCol w:w="4574"/>
      </w:tblGrid>
      <w:tr w:rsidR="002D3CD9" w:rsidRPr="00264095" w14:paraId="6AF7184D" w14:textId="77777777" w:rsidTr="001F3E28">
        <w:trPr>
          <w:trHeight w:val="4746"/>
        </w:trPr>
        <w:tc>
          <w:tcPr>
            <w:tcW w:w="4354" w:type="dxa"/>
          </w:tcPr>
          <w:p w14:paraId="38FA4E27" w14:textId="77777777" w:rsidR="00264095" w:rsidRPr="00264095" w:rsidRDefault="00264095" w:rsidP="00E643B5">
            <w:pPr>
              <w:spacing w:line="276" w:lineRule="auto"/>
              <w:jc w:val="center"/>
              <w:rPr>
                <w:rFonts w:ascii="Arial" w:hAnsi="Arial" w:cs="Arial"/>
                <w:sz w:val="20"/>
                <w:szCs w:val="20"/>
              </w:rPr>
            </w:pPr>
          </w:p>
          <w:p w14:paraId="7594FE7D" w14:textId="4C3CAFC4" w:rsidR="00264095" w:rsidRPr="00264095" w:rsidRDefault="004D330D"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2576" behindDoc="0" locked="0" layoutInCell="1" allowOverlap="1" wp14:anchorId="6C6F48BD" wp14:editId="233A5299">
                      <wp:simplePos x="0" y="0"/>
                      <wp:positionH relativeFrom="column">
                        <wp:posOffset>964869</wp:posOffset>
                      </wp:positionH>
                      <wp:positionV relativeFrom="paragraph">
                        <wp:posOffset>1628140</wp:posOffset>
                      </wp:positionV>
                      <wp:extent cx="206375" cy="174625"/>
                      <wp:effectExtent l="19050" t="19050" r="22225" b="34925"/>
                      <wp:wrapNone/>
                      <wp:docPr id="104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746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7CDD16" id="Left Arrow 8" o:spid="_x0000_s1026" type="#_x0000_t66" style="position:absolute;margin-left:75.95pt;margin-top:128.2pt;width:16.25pt;height:13.7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dR2AEAAMkDAAAOAAAAZHJzL2Uyb0RvYy54bWysU02P0zAQvSPxHyzfadL0axU1XaEt5bJa&#10;kHYR56ljJxb+ksc06b/HcdJuWTghLtZMZvz85s3L9r7Xipy4R2lNReeznBJumK2laSr67eXw4Y4S&#10;DGBqUNbwip450vvd+3fbzpW8sK1VNfckghgsO1fRNgRXZhmylmvAmXXcxKKwXkOIqW+y2kMX0bXK&#10;ijxfZ531tfOWccT4dT8W6S7hC8FZ+CIE8kBURSO3kE6fzuNwZrstlI0H10o20YB/YKFBmvjoFWoP&#10;AchPL/+A0pJ5i1aEGbM6s0JIxtMMcZp5/maa5xYcT7NEcdBdZcL/B8ueTs/uqx+oo3u07AdGRbLO&#10;YXmtDAlOPb3weuiNxEmfVDxfVeR9ICx+LPL1YrOihMXSfLNcF6tB5QzKy2XnMXzmVpMhqKjiInz0&#10;3nZJQDg9Yhj7L32JnFWyPkilUuKb44Py5ARxq8vlpnhYTk/gbZsypIsUik0eN88guksoCDHUrq4o&#10;miY9+NsVvEVezFeLu8PfkAdme8B2ZJAQRidpGbhPnmo51J9MneIAUo1xVEGZSeBR00Hdo63P4w4G&#10;4Jf+O3g3iROiqk/2YgQo38gz9k6AF5i0vuiXJPrk7cGQt3m68voH7n4BAAD//wMAUEsDBBQABgAI&#10;AAAAIQCYNFdh4QAAAAsBAAAPAAAAZHJzL2Rvd25yZXYueG1sTI/NTsMwEITvSLyDtUjcqNPSnyTE&#10;qRBShAri0MKF2zZekkBsR7bbBp6e7QluO7uj2W+K9Wh6cSQfOmcVTCcJCLK1051tFLy9VjcpiBDR&#10;auydJQXfFGBdXl4UmGt3sls67mIjOMSGHBW0MQ65lKFuyWCYuIEs3z6cNxhZ+kZqjycON72cJclS&#10;Guwsf2hxoIeW6q/dwSh4enlfyR+fZJ/PXq+qzeO22mCr1PXVeH8HItIY/8xwxmd0KJlp7w5WB9Gz&#10;XkwztiqYLZZzEGdHOudhz5v0NgNZFvJ/h/IXAAD//wMAUEsBAi0AFAAGAAgAAAAhALaDOJL+AAAA&#10;4QEAABMAAAAAAAAAAAAAAAAAAAAAAFtDb250ZW50X1R5cGVzXS54bWxQSwECLQAUAAYACAAAACEA&#10;OP0h/9YAAACUAQAACwAAAAAAAAAAAAAAAAAvAQAAX3JlbHMvLnJlbHNQSwECLQAUAAYACAAAACEA&#10;htAXUdgBAADJAwAADgAAAAAAAAAAAAAAAAAuAgAAZHJzL2Uyb0RvYy54bWxQSwECLQAUAAYACAAA&#10;ACEAmDRXYeEAAAALAQAADwAAAAAAAAAAAAAAAAAyBAAAZHJzL2Rvd25yZXYueG1sUEsFBgAAAAAE&#10;AAQA8wAAAEAFAAAAAA==&#10;" adj="9138" fillcolor="#4472c4" strokecolor="#31538f" strokeweight="1pt">
                      <v:path arrowok="t"/>
                    </v:shape>
                  </w:pict>
                </mc:Fallback>
              </mc:AlternateContent>
            </w:r>
            <w:r w:rsidR="00264095" w:rsidRPr="00264095">
              <w:rPr>
                <w:rFonts w:ascii="Arial" w:hAnsi="Arial" w:cs="Arial"/>
                <w:noProof/>
              </w:rPr>
              <mc:AlternateContent>
                <mc:Choice Requires="wps">
                  <w:drawing>
                    <wp:anchor distT="0" distB="0" distL="0" distR="0" simplePos="0" relativeHeight="251673600" behindDoc="0" locked="0" layoutInCell="1" allowOverlap="1" wp14:anchorId="63D0BC0F" wp14:editId="4F2FDB54">
                      <wp:simplePos x="0" y="0"/>
                      <wp:positionH relativeFrom="column">
                        <wp:posOffset>2403779</wp:posOffset>
                      </wp:positionH>
                      <wp:positionV relativeFrom="paragraph">
                        <wp:posOffset>1393190</wp:posOffset>
                      </wp:positionV>
                      <wp:extent cx="206655" cy="174753"/>
                      <wp:effectExtent l="19050" t="19050" r="22225" b="34925"/>
                      <wp:wrapNone/>
                      <wp:docPr id="1043"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153A8D" id="Left Arrow 8" o:spid="_x0000_s1026" type="#_x0000_t66" style="position:absolute;margin-left:189.25pt;margin-top:109.7pt;width:16.25pt;height:13.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yP0ycuAAAAALAQAADwAAAGRycy9kb3ducmV2LnhtbEyPwU7DMAyG70i8Q2QkbiztKGMrTSeY2BWJ&#10;ghDHrPHaisapknTteHrMCY62P/3+/mI7216c0IfOkYJ0kYBAqp3pqFHw/ra/WYMIUZPRvSNUcMYA&#10;2/LyotC5cRO94qmKjeAQCrlW0MY45FKGukWrw8INSHw7Om915NE30ng9cbjt5TJJVtLqjvhDqwfc&#10;tVh/VaNVkOw+vquXMPvxGOP5M3vaT8+mV+r6an58ABFxjn8w/OqzOpTsdHAjmSB6Bbf36ztGFSzT&#10;TQaCiSxNud2BN9lqA7Is5P8O5Q8AAAD//wMAUEsBAi0AFAAGAAgAAAAhALaDOJL+AAAA4QEAABMA&#10;AAAAAAAAAAAAAAAAAAAAAFtDb250ZW50X1R5cGVzXS54bWxQSwECLQAUAAYACAAAACEAOP0h/9YA&#10;AACUAQAACwAAAAAAAAAAAAAAAAAvAQAAX3JlbHMvLnJlbHNQSwECLQAUAAYACAAAACEASZNIxdMB&#10;AADJAwAADgAAAAAAAAAAAAAAAAAuAgAAZHJzL2Uyb0RvYy54bWxQSwECLQAUAAYACAAAACEAyP0y&#10;cuAAAAALAQAADwAAAAAAAAAAAAAAAAAtBAAAZHJzL2Rvd25yZXYueG1sUEsFBgAAAAAEAAQA8wAA&#10;ADoFAAAAAA==&#10;" adj="9133" fillcolor="red" strokecolor="#c00000" strokeweight="1pt">
                      <v:path arrowok="t"/>
                    </v:shape>
                  </w:pict>
                </mc:Fallback>
              </mc:AlternateContent>
            </w:r>
            <w:r w:rsidR="00264095" w:rsidRPr="00264095">
              <w:rPr>
                <w:rFonts w:ascii="Arial" w:hAnsi="Arial" w:cs="Arial"/>
                <w:noProof/>
              </w:rPr>
              <w:drawing>
                <wp:inline distT="0" distB="0" distL="0" distR="0" wp14:anchorId="1F06C07B" wp14:editId="70EDB21E">
                  <wp:extent cx="2615979" cy="2607531"/>
                  <wp:effectExtent l="0" t="0" r="0" b="2540"/>
                  <wp:docPr id="1045" name="Picture 141416267"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416267"/>
                          <pic:cNvPicPr/>
                        </pic:nvPicPr>
                        <pic:blipFill>
                          <a:blip r:embed="rId15" cstate="print"/>
                          <a:srcRect/>
                          <a:stretch/>
                        </pic:blipFill>
                        <pic:spPr>
                          <a:xfrm>
                            <a:off x="0" y="0"/>
                            <a:ext cx="2619611" cy="2611151"/>
                          </a:xfrm>
                          <a:prstGeom prst="rect">
                            <a:avLst/>
                          </a:prstGeom>
                          <a:ln>
                            <a:noFill/>
                          </a:ln>
                        </pic:spPr>
                      </pic:pic>
                    </a:graphicData>
                  </a:graphic>
                </wp:inline>
              </w:drawing>
            </w:r>
          </w:p>
          <w:p w14:paraId="6FF3F6D2" w14:textId="6D93E776" w:rsidR="00264095" w:rsidRPr="00264095" w:rsidRDefault="00264095" w:rsidP="00E643B5">
            <w:pPr>
              <w:spacing w:line="276" w:lineRule="auto"/>
              <w:rPr>
                <w:rFonts w:ascii="Arial" w:hAnsi="Arial" w:cs="Arial"/>
                <w:sz w:val="20"/>
                <w:szCs w:val="20"/>
              </w:rPr>
            </w:pPr>
          </w:p>
        </w:tc>
        <w:tc>
          <w:tcPr>
            <w:tcW w:w="4574" w:type="dxa"/>
          </w:tcPr>
          <w:p w14:paraId="7D50C867" w14:textId="77777777" w:rsidR="00264095" w:rsidRPr="00264095" w:rsidRDefault="00264095" w:rsidP="00E643B5">
            <w:pPr>
              <w:spacing w:line="276" w:lineRule="auto"/>
              <w:rPr>
                <w:rFonts w:ascii="Arial" w:hAnsi="Arial" w:cs="Arial"/>
                <w:noProof/>
                <w:sz w:val="20"/>
                <w:szCs w:val="20"/>
              </w:rPr>
            </w:pPr>
          </w:p>
          <w:p w14:paraId="1F2509D6" w14:textId="57A7004C" w:rsidR="00264095" w:rsidRPr="00264095" w:rsidRDefault="004D330D"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5648" behindDoc="0" locked="0" layoutInCell="1" allowOverlap="1" wp14:anchorId="318B763E" wp14:editId="5D8F1DAE">
                      <wp:simplePos x="0" y="0"/>
                      <wp:positionH relativeFrom="column">
                        <wp:posOffset>890270</wp:posOffset>
                      </wp:positionH>
                      <wp:positionV relativeFrom="paragraph">
                        <wp:posOffset>1583359</wp:posOffset>
                      </wp:positionV>
                      <wp:extent cx="282575" cy="86995"/>
                      <wp:effectExtent l="19050" t="19050" r="22225" b="46355"/>
                      <wp:wrapNone/>
                      <wp:docPr id="1046"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8699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5882A2" id="Left Arrow 8" o:spid="_x0000_s1026" type="#_x0000_t66" style="position:absolute;margin-left:70.1pt;margin-top:124.65pt;width:22.25pt;height:6.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8d2QEAAMgDAAAOAAAAZHJzL2Uyb0RvYy54bWysU01v2zAMvQ/YfxB0X+y4SZMacYqhWXYp&#10;ugLtsDMjS7YwfUHUYuffT5adLOt2GnYRSJN6enx83tz3WpEj9yitqeh8llPCDbO1NE1Fv77uP6wp&#10;wQCmBmUNr+iJI73fvn+36VzJC9taVXNPIojBsnMVbUNwZZYha7kGnFnHTSwK6zWEmPomqz10EV2r&#10;rMjz26yzvnbeMo4Yv+7GIt0mfCE4C1+EQB6IqmjkFtLp03kYzmy7gbLx4FrJJhrwDyw0SBMfvUDt&#10;IAD54eUfUFoyb9GKMGNWZ1YIyXiaIU4zz99M89KC42mWKA66i0z4/2DZ0/HFPfuBOrpHy75jVCTr&#10;HJaXypDg1NMLr4feSJz0ScXTRUXeB8Lix2JdLFdLSlgsrW/v7paDyBmU57vOY/jMrSZDUFHFRfjo&#10;ve2SfnB8xDD2n/sSN6tkvZdKpcQ3hwflyRHiUheLVfGwmJ7A6zZlSBctWazyuHgG0VxCQYihdnVF&#10;0TTpwd+u4DXyzXx5s97/DXlgtgNsRwYJYTSSloH7ZKmWQ/3J1CkOINUYRxWUmfQdJR3EPdj6NK5g&#10;AH7tv4F3kzghivpkzz6A8o08Y+8EeIZJ24t2SaJP1h78eJ2nK79+wO1PAAAA//8DAFBLAwQUAAYA&#10;CAAAACEAwWiMWeEAAAALAQAADwAAAGRycy9kb3ducmV2LnhtbEyPTUvDQBCG74L/YRnBm901DbWN&#10;2ZQiCNZDoVVoj9tk8oHZD7KbbfTXOz3p8Z15eOeZfD3pnkUcfGeNhMeZAIamtFVnGgmfH68PS2A+&#10;KFOp3hqU8I0e1sXtTa6yyl7MHuMhNIxKjM+UhDYEl3Huyxa18jPr0NCutoNWgeLQ8GpQFyrXPU+E&#10;WHCtOkMXWuXwpcXy6zBqCRu3O7n37fFtrE/1Tvxso4t1lPL+bto8Aws4hT8YrvqkDgU5ne1oKs96&#10;yqlICJWQpKs5sCuxTJ+AnWmymAvgRc7//1D8AgAA//8DAFBLAQItABQABgAIAAAAIQC2gziS/gAA&#10;AOEBAAATAAAAAAAAAAAAAAAAAAAAAABbQ29udGVudF9UeXBlc10ueG1sUEsBAi0AFAAGAAgAAAAh&#10;ADj9If/WAAAAlAEAAAsAAAAAAAAAAAAAAAAALwEAAF9yZWxzLy5yZWxzUEsBAi0AFAAGAAgAAAAh&#10;AOFOLx3ZAQAAyAMAAA4AAAAAAAAAAAAAAAAALgIAAGRycy9lMm9Eb2MueG1sUEsBAi0AFAAGAAgA&#10;AAAhAMFojFnhAAAACwEAAA8AAAAAAAAAAAAAAAAAMwQAAGRycy9kb3ducmV2LnhtbFBLBQYAAAAA&#10;BAAEAPMAAABBBQAAAAA=&#10;" adj="3325" fillcolor="#4472c4" strokecolor="#31538f" strokeweight="1pt">
                      <v:path arrowok="t"/>
                    </v:shape>
                  </w:pict>
                </mc:Fallback>
              </mc:AlternateContent>
            </w:r>
            <w:r w:rsidRPr="00264095">
              <w:rPr>
                <w:rFonts w:ascii="Arial" w:hAnsi="Arial" w:cs="Arial"/>
                <w:noProof/>
              </w:rPr>
              <mc:AlternateContent>
                <mc:Choice Requires="wps">
                  <w:drawing>
                    <wp:anchor distT="0" distB="0" distL="0" distR="0" simplePos="0" relativeHeight="251674624" behindDoc="0" locked="0" layoutInCell="1" allowOverlap="1" wp14:anchorId="1F77F9DA" wp14:editId="3CC34458">
                      <wp:simplePos x="0" y="0"/>
                      <wp:positionH relativeFrom="column">
                        <wp:posOffset>992174</wp:posOffset>
                      </wp:positionH>
                      <wp:positionV relativeFrom="paragraph">
                        <wp:posOffset>1111885</wp:posOffset>
                      </wp:positionV>
                      <wp:extent cx="266700" cy="139700"/>
                      <wp:effectExtent l="19050" t="19050" r="19050" b="31750"/>
                      <wp:wrapNone/>
                      <wp:docPr id="104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39700"/>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D0C061" id="Left Arrow 8" o:spid="_x0000_s1026" type="#_x0000_t66" style="position:absolute;margin-left:78.1pt;margin-top:87.55pt;width:21pt;height:11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DR1QEAAMkDAAAOAAAAZHJzL2Uyb0RvYy54bWysk02P0zAQhu9I/AfLd5o0Ld0larpCW8pl&#10;tay0izhPHTux8Jc8pmn/PbaTlrJwQlysmXj8+p3Hk/XdUSty4B6lNQ2dz0pKuGG2laZr6NeX3btb&#10;SjCAaUFZwxt64kjvNm/frAdX88r2VrXckyhisB5cQ/sQXF0UyHquAWfWcRM3hfUaQkx9V7Qehqiu&#10;VVGV5aoYrG+dt4wjxq/bcZNusr4QnIUvQiAPRDU0egt59Xndp7XYrKHuPLhesskG/IMLDdLESy9S&#10;WwhAfnj5h5SWzFu0IsyY1YUVQjKee4jdzMtX3Tz34HjuJcJBd8GE/0+WPR6e3ZNP1tE9WPYdI5Fi&#10;cFhfdlKCU81ReJ1qo3FyzBRPF4r8GAiLH6vV6qaMrFncmi8+pDhpQn0+7DyGz9xqkoKGKi7CR+/t&#10;kAHC4QHDWH+uy+asku1OKpUT3+3vlScHiK+6XN5U98vpCrwuU4YM0UI1uoE4XUJBiMa0axuKpssX&#10;/nYEr5UX8/eL293flJOzLWA/OsgK4yRpGbjPM9VzaD+ZNscBpBrjSEGZCfDINNHd2/Y0vkESfjl+&#10;A+8mOCFSfbTnQYD6FZ6xdhI8y+Tni/OSoU+znQbyOs9Hfv2Bm58AAAD//wMAUEsDBBQABgAIAAAA&#10;IQBP/8BD3gAAAAsBAAAPAAAAZHJzL2Rvd25yZXYueG1sTI9BT4NAEIXvJv6HzZh4swuNtIgsjTFq&#10;PZmIxvOWHYGUnaXsFvDfO5z09t7My5tv8t1sOzHi4FtHCuJVBAKpcqalWsHnx/NNCsIHTUZ3jlDB&#10;D3rYFZcXuc6Mm+gdxzLUgkvIZ1pBE0KfSemrBq32K9cj8e7bDVYHtkMtzaAnLredXEfRRlrdEl9o&#10;dI+PDVbH8mwVvCbjPim/jm/h5el0mm6ncp9OrVLXV/PDPYiAc/gLw4LP6FAw08GdyXjRsU82a46y&#10;2CYxiCVxl/LksIhtDLLI5f8fil8AAAD//wMAUEsBAi0AFAAGAAgAAAAhALaDOJL+AAAA4QEAABMA&#10;AAAAAAAAAAAAAAAAAAAAAFtDb250ZW50X1R5cGVzXS54bWxQSwECLQAUAAYACAAAACEAOP0h/9YA&#10;AACUAQAACwAAAAAAAAAAAAAAAAAvAQAAX3JlbHMvLnJlbHNQSwECLQAUAAYACAAAACEAHAuw0dUB&#10;AADJAwAADgAAAAAAAAAAAAAAAAAuAgAAZHJzL2Uyb0RvYy54bWxQSwECLQAUAAYACAAAACEAT//A&#10;Q94AAAALAQAADwAAAAAAAAAAAAAAAAAvBAAAZHJzL2Rvd25yZXYueG1sUEsFBgAAAAAEAAQA8wAA&#10;ADoFAAAAAA==&#10;" adj="5657" fillcolor="#4472c4" strokecolor="#31538f" strokeweight="1pt">
                      <v:path arrowok="t"/>
                    </v:shape>
                  </w:pict>
                </mc:Fallback>
              </mc:AlternateContent>
            </w:r>
            <w:r w:rsidR="00264095" w:rsidRPr="00264095">
              <w:rPr>
                <w:rFonts w:ascii="Arial" w:hAnsi="Arial" w:cs="Arial"/>
                <w:noProof/>
              </w:rPr>
              <w:drawing>
                <wp:inline distT="0" distB="0" distL="0" distR="0" wp14:anchorId="46F34FC4" wp14:editId="144DD141">
                  <wp:extent cx="2655735" cy="2369185"/>
                  <wp:effectExtent l="0" t="0" r="0" b="0"/>
                  <wp:docPr id="1048" name="Picture 966312360" descr="C:\Users\Chimzurum\Pictures\E3 G5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66312360"/>
                          <pic:cNvPicPr/>
                        </pic:nvPicPr>
                        <pic:blipFill>
                          <a:blip r:embed="rId18" cstate="print"/>
                          <a:srcRect/>
                          <a:stretch/>
                        </pic:blipFill>
                        <pic:spPr>
                          <a:xfrm>
                            <a:off x="0" y="0"/>
                            <a:ext cx="2663761" cy="2376345"/>
                          </a:xfrm>
                          <a:prstGeom prst="rect">
                            <a:avLst/>
                          </a:prstGeom>
                          <a:ln>
                            <a:noFill/>
                          </a:ln>
                        </pic:spPr>
                      </pic:pic>
                    </a:graphicData>
                  </a:graphic>
                </wp:inline>
              </w:drawing>
            </w:r>
          </w:p>
        </w:tc>
      </w:tr>
    </w:tbl>
    <w:p w14:paraId="246C3FB4" w14:textId="5E238038" w:rsidR="00264095" w:rsidRPr="00264095" w:rsidRDefault="002D3CD9" w:rsidP="00264095">
      <w:pPr>
        <w:spacing w:line="276" w:lineRule="auto"/>
        <w:rPr>
          <w:rFonts w:ascii="Arial" w:hAnsi="Arial" w:cs="Arial"/>
        </w:rPr>
      </w:pPr>
      <w:r w:rsidRPr="00264095">
        <w:rPr>
          <w:rFonts w:ascii="Arial" w:hAnsi="Arial" w:cs="Arial"/>
          <w:noProof/>
        </w:rPr>
        <mc:AlternateContent>
          <mc:Choice Requires="wps">
            <w:drawing>
              <wp:anchor distT="0" distB="0" distL="0" distR="0" simplePos="0" relativeHeight="251677696" behindDoc="0" locked="0" layoutInCell="1" allowOverlap="1" wp14:anchorId="06650618" wp14:editId="3696EB29">
                <wp:simplePos x="0" y="0"/>
                <wp:positionH relativeFrom="margin">
                  <wp:align>left</wp:align>
                </wp:positionH>
                <wp:positionV relativeFrom="paragraph">
                  <wp:posOffset>98701</wp:posOffset>
                </wp:positionV>
                <wp:extent cx="5781675" cy="485775"/>
                <wp:effectExtent l="0" t="0" r="9525" b="9525"/>
                <wp:wrapNone/>
                <wp:docPr id="10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013CF645"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w:t>
                            </w:r>
                          </w:p>
                        </w:txbxContent>
                      </wps:txbx>
                      <wps:bodyPr vert="horz" wrap="square" lIns="91440" tIns="45720" rIns="91440" bIns="45720" anchor="ctr">
                        <a:prstTxWarp prst="textNoShape">
                          <a:avLst/>
                        </a:prstTxWarp>
                        <a:noAutofit/>
                      </wps:bodyPr>
                    </wps:wsp>
                  </a:graphicData>
                </a:graphic>
              </wp:anchor>
            </w:drawing>
          </mc:Choice>
          <mc:Fallback>
            <w:pict>
              <v:rect w14:anchorId="06650618" id="_x0000_s1030" style="position:absolute;margin-left:0;margin-top:7.75pt;width:455.25pt;height:38.25pt;z-index:251677696;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di2QEAALwDAAAOAAAAZHJzL2Uyb0RvYy54bWysU9Fq2zAUfR/sH4TeFychaTITp4yVjEHp&#10;Cu3YsyzLsZisq10psbOv35XspKF7K/WD8NU9Oj7n6Hpz27eGHRV6Dbbgs8mUM2UlVNruC/7zefdp&#10;zZkPwlbCgFUFPynPb7cfP2w6l6s5NGAqhYxIrM87V/AmBJdnmZeNaoWfgFOWmjVgKwKVuM8qFB2x&#10;tyabT6c3WQdYOQSpvKfdu6HJt4m/rpUMP+raq8BMwUlbSCumtYxrtt2IfI/CNVqOMsQbVLRCW/ro&#10;hepOBMEOqP+jarVE8FCHiYQ2g7rWUiUP5GY2feXmqRFOJS8UjneXmPz70cqH45N7xCjdu3uQvz0l&#10;knXO55dOLPyI6WtsI5aEsz6leLqkqPrAJG0uV+vZzWrJmaTeYr1c0XskFfn5tEMfviloWXwpONIt&#10;pfDE8d6HAXqGJGFgdLXTxqQC9+VXg+wo6EZ36RnZ/TXM2Ai2EI8NjHEnGRu8RFehL3umK1IZKeJO&#10;CdXpkcgVkq4G8C9nHQ1Hwf2fg0DFmfluKf3Ps8UiTlMqFsvVnAq87pTXHWElURVcBkw2o7fn/pdA&#10;NwYQKLoHON+2yF/lMGAHP18OAWqdQnrROxqjEUkxj+McZ/C6TqiXn277DwAA//8DAFBLAwQUAAYA&#10;CAAAACEAhJMdQ9sAAAAGAQAADwAAAGRycy9kb3ducmV2LnhtbEyPwU7DMBBE70j8g7VI3KjdilYQ&#10;4lQIiUMvtKT5ADdekqj2OoqdJuXrWU5wm91Zzb7Jt7N34oJD7AJpWC4UCKQ62I4aDdXx/eEJREyG&#10;rHGBUMMVI2yL25vcZDZM9ImXMjWCQyhmRkObUp9JGesWvYmL0COx9xUGbxKPQyPtYCYO906ulNpI&#10;bzriD63p8a3F+lyOXsP+sN9V6lF9j5vrzk7l4fzhYqX1/d38+gIi4Zz+juEXn9GhYKZTGMlG4TRw&#10;kcTb9RoEu89LxeLEYqVAFrn8j1/8AAAA//8DAFBLAQItABQABgAIAAAAIQC2gziS/gAAAOEBAAAT&#10;AAAAAAAAAAAAAAAAAAAAAABbQ29udGVudF9UeXBlc10ueG1sUEsBAi0AFAAGAAgAAAAhADj9If/W&#10;AAAAlAEAAAsAAAAAAAAAAAAAAAAALwEAAF9yZWxzLy5yZWxzUEsBAi0AFAAGAAgAAAAhADqtV2LZ&#10;AQAAvAMAAA4AAAAAAAAAAAAAAAAALgIAAGRycy9lMm9Eb2MueG1sUEsBAi0AFAAGAAgAAAAhAIST&#10;HUPbAAAABgEAAA8AAAAAAAAAAAAAAAAAMwQAAGRycy9kb3ducmV2LnhtbFBLBQYAAAAABAAEAPMA&#10;AAA7BQAAAAA=&#10;" stroked="f">
                <v:textbox>
                  <w:txbxContent>
                    <w:p w14:paraId="013CF645"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w:t>
                      </w:r>
                    </w:p>
                  </w:txbxContent>
                </v:textbox>
                <w10:wrap anchorx="margin"/>
              </v:rect>
            </w:pict>
          </mc:Fallback>
        </mc:AlternateContent>
      </w:r>
    </w:p>
    <w:p w14:paraId="67D4AE6F" w14:textId="29F00158" w:rsidR="00264095" w:rsidRPr="00264095" w:rsidRDefault="008826D6"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6672" behindDoc="0" locked="0" layoutInCell="1" allowOverlap="1" wp14:anchorId="6E5E34F9" wp14:editId="034CD1E2">
                <wp:simplePos x="0" y="0"/>
                <wp:positionH relativeFrom="margin">
                  <wp:posOffset>-66675</wp:posOffset>
                </wp:positionH>
                <wp:positionV relativeFrom="paragraph">
                  <wp:posOffset>508718</wp:posOffset>
                </wp:positionV>
                <wp:extent cx="5781675" cy="1204111"/>
                <wp:effectExtent l="0" t="0" r="9525" b="0"/>
                <wp:wrapNone/>
                <wp:docPr id="10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204111"/>
                        </a:xfrm>
                        <a:prstGeom prst="rect">
                          <a:avLst/>
                        </a:prstGeom>
                        <a:solidFill>
                          <a:srgbClr val="FFFFFF"/>
                        </a:solidFill>
                        <a:ln>
                          <a:noFill/>
                        </a:ln>
                      </wps:spPr>
                      <wps:txbx>
                        <w:txbxContent>
                          <w:p w14:paraId="309E0C94" w14:textId="2D656E1B" w:rsidR="00442830"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Plate 3:</w:t>
                            </w:r>
                            <w:r w:rsidRPr="00E92A44">
                              <w:rPr>
                                <w:rFonts w:ascii="Arial" w:hAnsi="Arial" w:cs="Arial"/>
                                <w:sz w:val="20"/>
                                <w:szCs w:val="20"/>
                              </w:rPr>
                              <w:t xml:space="preserve"> </w:t>
                            </w:r>
                            <w:proofErr w:type="spellStart"/>
                            <w:r w:rsidR="00442830" w:rsidRPr="00E92A44">
                              <w:rPr>
                                <w:rFonts w:ascii="Arial" w:hAnsi="Arial" w:cs="Arial"/>
                                <w:b/>
                                <w:bCs/>
                                <w:sz w:val="20"/>
                                <w:szCs w:val="20"/>
                              </w:rPr>
                              <w:t>Hist</w:t>
                            </w:r>
                            <w:r w:rsidR="004D330D" w:rsidRPr="00E92A44">
                              <w:rPr>
                                <w:rFonts w:ascii="Arial" w:hAnsi="Arial" w:cs="Arial"/>
                                <w:b/>
                                <w:bCs/>
                                <w:sz w:val="20"/>
                                <w:szCs w:val="20"/>
                              </w:rPr>
                              <w:t>o</w:t>
                            </w:r>
                            <w:proofErr w:type="spellEnd"/>
                            <w:r w:rsidR="00442830" w:rsidRPr="00E92A44">
                              <w:rPr>
                                <w:rFonts w:ascii="Arial" w:hAnsi="Arial" w:cs="Arial"/>
                                <w:b/>
                                <w:bCs/>
                                <w:sz w:val="20"/>
                                <w:szCs w:val="20"/>
                              </w:rPr>
                              <w:t>-architecture of the Breast Tissues of Control (A) and Group 4 (D)</w:t>
                            </w:r>
                            <w:r w:rsidR="00442830" w:rsidRPr="00E92A44">
                              <w:rPr>
                                <w:rFonts w:ascii="Arial" w:hAnsi="Arial" w:cs="Arial"/>
                                <w:sz w:val="20"/>
                                <w:szCs w:val="20"/>
                              </w:rPr>
                              <w:t xml:space="preserve"> </w:t>
                            </w:r>
                            <w:r w:rsidR="00442830" w:rsidRPr="00E92A44">
                              <w:rPr>
                                <w:rFonts w:ascii="Arial" w:hAnsi="Arial" w:cs="Arial"/>
                                <w:b/>
                                <w:bCs/>
                                <w:sz w:val="20"/>
                                <w:szCs w:val="20"/>
                              </w:rPr>
                              <w:t>Rats.</w:t>
                            </w:r>
                            <w:r w:rsidR="00442830" w:rsidRPr="00E92A44">
                              <w:rPr>
                                <w:rFonts w:ascii="Arial" w:hAnsi="Arial" w:cs="Arial"/>
                                <w:sz w:val="20"/>
                                <w:szCs w:val="20"/>
                              </w:rPr>
                              <w:t xml:space="preserve"> </w:t>
                            </w:r>
                          </w:p>
                          <w:p w14:paraId="61FBD3BA" w14:textId="3C8C0CC9"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(D)</w:t>
                            </w:r>
                            <w:r w:rsidRPr="00E92A44">
                              <w:rPr>
                                <w:rFonts w:ascii="Arial" w:hAnsi="Arial" w:cs="Arial"/>
                                <w:sz w:val="20"/>
                                <w:szCs w:val="20"/>
                              </w:rPr>
                              <w:t xml:space="preserve"> Group 4, showing breast ducts (blue) with pinkish luminal secretion suggestive of fibrocystic changes. </w:t>
                            </w:r>
                            <w:r w:rsidR="00EE30D2" w:rsidRPr="00E92A44">
                              <w:rPr>
                                <w:rFonts w:ascii="Arial" w:hAnsi="Arial" w:cs="Arial"/>
                                <w:sz w:val="20"/>
                                <w:szCs w:val="20"/>
                              </w:rPr>
                              <w:t>H &amp; E ×100.</w:t>
                            </w:r>
                          </w:p>
                          <w:p w14:paraId="7D5391FE" w14:textId="77777777" w:rsidR="00460C55" w:rsidRPr="00E92A44" w:rsidRDefault="00460C55" w:rsidP="00264095">
                            <w:pPr>
                              <w:pStyle w:val="NormalWeb"/>
                              <w:jc w:val="both"/>
                              <w:rPr>
                                <w:rFonts w:ascii="Arial" w:hAnsi="Arial" w:cs="Arial"/>
                                <w:sz w:val="20"/>
                                <w:szCs w:val="20"/>
                              </w:rPr>
                            </w:pPr>
                          </w:p>
                          <w:p w14:paraId="69D2029F" w14:textId="77777777" w:rsidR="00460C55" w:rsidRPr="00E92A44" w:rsidRDefault="00460C55" w:rsidP="00264095">
                            <w:pPr>
                              <w:pStyle w:val="NormalWeb"/>
                              <w:jc w:val="both"/>
                              <w:rPr>
                                <w:rFonts w:ascii="Arial" w:hAnsi="Arial" w:cs="Arial"/>
                                <w:sz w:val="20"/>
                                <w:szCs w:val="20"/>
                              </w:rPr>
                            </w:pPr>
                          </w:p>
                          <w:p w14:paraId="6A969867" w14:textId="77777777" w:rsidR="00460C55" w:rsidRPr="00E92A44" w:rsidRDefault="00460C55" w:rsidP="00264095">
                            <w:pPr>
                              <w:pStyle w:val="NormalWeb"/>
                              <w:jc w:val="both"/>
                              <w:rPr>
                                <w:rFonts w:ascii="Arial" w:hAnsi="Arial" w:cs="Arial"/>
                                <w:sz w:val="20"/>
                                <w:szCs w:val="20"/>
                              </w:rPr>
                            </w:pPr>
                          </w:p>
                          <w:p w14:paraId="6A845701" w14:textId="77777777" w:rsidR="008826D6" w:rsidRPr="00E92A44" w:rsidRDefault="008826D6" w:rsidP="00264095">
                            <w:pPr>
                              <w:pStyle w:val="NormalWeb"/>
                              <w:jc w:val="both"/>
                              <w:rPr>
                                <w:rFonts w:ascii="Arial" w:hAnsi="Arial" w:cs="Arial"/>
                                <w:sz w:val="20"/>
                                <w:szCs w:val="20"/>
                              </w:rPr>
                            </w:pPr>
                          </w:p>
                          <w:p w14:paraId="14F68337" w14:textId="77777777" w:rsidR="00264095" w:rsidRPr="00E92A44" w:rsidRDefault="00264095" w:rsidP="00264095">
                            <w:pPr>
                              <w:pStyle w:val="NormalWeb"/>
                              <w:jc w:val="both"/>
                              <w:rPr>
                                <w:rFonts w:ascii="Arial" w:hAnsi="Arial" w:cs="Arial"/>
                                <w:sz w:val="20"/>
                                <w:szCs w:val="20"/>
                              </w:rP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E5E34F9" id="_x0000_s1031" style="position:absolute;margin-left:-5.25pt;margin-top:40.05pt;width:455.25pt;height:94.8pt;z-index:25167667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tX2wEAAL0DAAAOAAAAZHJzL2Uyb0RvYy54bWysU8GK2zAQvRf6D0L3xnZINlsTZyldUgrL&#10;dmG39KzIciwqa9SREjv9+o5kJxu2t1IfhEfz9Pze03h9N3SGHRV6DbbixSznTFkJtbb7in9/2X64&#10;5cwHYWthwKqKn5Tnd5v379a9K9UcWjC1QkYk1pe9q3gbgiuzzMtWdcLPwClLzQawE4FK3Gc1ip7Y&#10;O5PN8/wm6wFrhyCV97R7Pzb5JvE3jZLhW9N4FZipOGkLacW07uKabdai3KNwrZaTDPEPKjqhLX30&#10;QnUvgmAH1H9RdVoieGjCTEKXQdNoqZIHclPkb9w8t8Kp5IXC8e4Sk/9/tPLx+OyeMEr37gHkT0+J&#10;ZL3z5aUTCz9hhga7iCXhbEgpni4pqiEwSZvL1W1xs1pyJqlXzPNFURQx50yU5+MOffiioGPxpeJI&#10;15TSE8cHH0boGZKUgdH1VhuTCtzvPhtkR0FXuk3PxO6vYcZGsIV4bGSMO8nZaCbaCsNuYLomzZEi&#10;7uygPj0RuULS1QL+5qyn6ai4/3UQqDgzXy3F/7FYLOI4pWKxXM2pwOvO7rojrCSqisuAyWb09jL8&#10;EOimAAJl9wjn6xblmxxG7Ojn0yFAo1NIr3onYzQjKeZpnuMQXtcJ9frXbf4AAAD//wMAUEsDBBQA&#10;BgAIAAAAIQAApR9x4AAAAAoBAAAPAAAAZHJzL2Rvd25yZXYueG1sTI9BTsMwEEX3SNzBGiR2rZ0K&#10;QpvGqRASi25oCTmAG0+TqPY4ip0m5fSYFSxH8/T/+/lutoZdcfCdIwnJUgBDqp3uqJFQfb0v1sB8&#10;UKSVcYQSbuhhV9zf5SrTbqJPvJahYTGEfKYktCH0Gee+btEqv3Q9Uvyd3WBViOfQcD2oKYZbw1dC&#10;pNyqjmJDq3p8a7G+lKOVcDge9pV4Et9jetvrqTxePoyvpHx8mF+3wALO4Q+GX/2oDkV0OrmRtGdG&#10;wiIRzxGVsBYJsAhshIjjThJW6eYFeJHz/xOKHwAAAP//AwBQSwECLQAUAAYACAAAACEAtoM4kv4A&#10;AADhAQAAEwAAAAAAAAAAAAAAAAAAAAAAW0NvbnRlbnRfVHlwZXNdLnhtbFBLAQItABQABgAIAAAA&#10;IQA4/SH/1gAAAJQBAAALAAAAAAAAAAAAAAAAAC8BAABfcmVscy8ucmVsc1BLAQItABQABgAIAAAA&#10;IQDZibtX2wEAAL0DAAAOAAAAAAAAAAAAAAAAAC4CAABkcnMvZTJvRG9jLnhtbFBLAQItABQABgAI&#10;AAAAIQAApR9x4AAAAAoBAAAPAAAAAAAAAAAAAAAAADUEAABkcnMvZG93bnJldi54bWxQSwUGAAAA&#10;AAQABADzAAAAQgUAAAAA&#10;" stroked="f">
                <v:textbox>
                  <w:txbxContent>
                    <w:p w14:paraId="309E0C94" w14:textId="2D656E1B" w:rsidR="00442830"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Plate 3:</w:t>
                      </w:r>
                      <w:r w:rsidRPr="00E92A44">
                        <w:rPr>
                          <w:rFonts w:ascii="Arial" w:hAnsi="Arial" w:cs="Arial"/>
                          <w:sz w:val="20"/>
                          <w:szCs w:val="20"/>
                        </w:rPr>
                        <w:t xml:space="preserve"> </w:t>
                      </w:r>
                      <w:proofErr w:type="spellStart"/>
                      <w:r w:rsidR="00442830" w:rsidRPr="00E92A44">
                        <w:rPr>
                          <w:rFonts w:ascii="Arial" w:hAnsi="Arial" w:cs="Arial"/>
                          <w:b/>
                          <w:bCs/>
                          <w:sz w:val="20"/>
                          <w:szCs w:val="20"/>
                        </w:rPr>
                        <w:t>Hist</w:t>
                      </w:r>
                      <w:r w:rsidR="004D330D" w:rsidRPr="00E92A44">
                        <w:rPr>
                          <w:rFonts w:ascii="Arial" w:hAnsi="Arial" w:cs="Arial"/>
                          <w:b/>
                          <w:bCs/>
                          <w:sz w:val="20"/>
                          <w:szCs w:val="20"/>
                        </w:rPr>
                        <w:t>o</w:t>
                      </w:r>
                      <w:proofErr w:type="spellEnd"/>
                      <w:r w:rsidR="00442830" w:rsidRPr="00E92A44">
                        <w:rPr>
                          <w:rFonts w:ascii="Arial" w:hAnsi="Arial" w:cs="Arial"/>
                          <w:b/>
                          <w:bCs/>
                          <w:sz w:val="20"/>
                          <w:szCs w:val="20"/>
                        </w:rPr>
                        <w:t>-architecture of the Breast Tissues of Control (A) and Group 4 (D)</w:t>
                      </w:r>
                      <w:r w:rsidR="00442830" w:rsidRPr="00E92A44">
                        <w:rPr>
                          <w:rFonts w:ascii="Arial" w:hAnsi="Arial" w:cs="Arial"/>
                          <w:sz w:val="20"/>
                          <w:szCs w:val="20"/>
                        </w:rPr>
                        <w:t xml:space="preserve"> </w:t>
                      </w:r>
                      <w:r w:rsidR="00442830" w:rsidRPr="00E92A44">
                        <w:rPr>
                          <w:rFonts w:ascii="Arial" w:hAnsi="Arial" w:cs="Arial"/>
                          <w:b/>
                          <w:bCs/>
                          <w:sz w:val="20"/>
                          <w:szCs w:val="20"/>
                        </w:rPr>
                        <w:t>Rats.</w:t>
                      </w:r>
                      <w:r w:rsidR="00442830" w:rsidRPr="00E92A44">
                        <w:rPr>
                          <w:rFonts w:ascii="Arial" w:hAnsi="Arial" w:cs="Arial"/>
                          <w:sz w:val="20"/>
                          <w:szCs w:val="20"/>
                        </w:rPr>
                        <w:t xml:space="preserve"> </w:t>
                      </w:r>
                    </w:p>
                    <w:p w14:paraId="61FBD3BA" w14:textId="3C8C0CC9"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(A)</w:t>
                      </w:r>
                      <w:r w:rsidRPr="00E92A44">
                        <w:rPr>
                          <w:rFonts w:ascii="Arial" w:hAnsi="Arial" w:cs="Arial"/>
                          <w:sz w:val="20"/>
                          <w:szCs w:val="20"/>
                        </w:rPr>
                        <w:t xml:space="preserve"> Control group showing normal tissue architecture with unremarkable breast ducts (blue) and lobules (red). </w:t>
                      </w:r>
                      <w:r w:rsidRPr="00E92A44">
                        <w:rPr>
                          <w:rFonts w:ascii="Arial" w:hAnsi="Arial" w:cs="Arial"/>
                          <w:b/>
                          <w:bCs/>
                          <w:sz w:val="20"/>
                          <w:szCs w:val="20"/>
                        </w:rPr>
                        <w:t>(D)</w:t>
                      </w:r>
                      <w:r w:rsidRPr="00E92A44">
                        <w:rPr>
                          <w:rFonts w:ascii="Arial" w:hAnsi="Arial" w:cs="Arial"/>
                          <w:sz w:val="20"/>
                          <w:szCs w:val="20"/>
                        </w:rPr>
                        <w:t xml:space="preserve"> Group 4, showing breast ducts (blue) with pinkish luminal secretion suggestive of fibrocystic changes. </w:t>
                      </w:r>
                      <w:r w:rsidR="00EE30D2" w:rsidRPr="00E92A44">
                        <w:rPr>
                          <w:rFonts w:ascii="Arial" w:hAnsi="Arial" w:cs="Arial"/>
                          <w:sz w:val="20"/>
                          <w:szCs w:val="20"/>
                        </w:rPr>
                        <w:t>H &amp; E ×100.</w:t>
                      </w:r>
                    </w:p>
                    <w:p w14:paraId="7D5391FE" w14:textId="77777777" w:rsidR="00460C55" w:rsidRPr="00E92A44" w:rsidRDefault="00460C55" w:rsidP="00264095">
                      <w:pPr>
                        <w:pStyle w:val="NormalWeb"/>
                        <w:jc w:val="both"/>
                        <w:rPr>
                          <w:rFonts w:ascii="Arial" w:hAnsi="Arial" w:cs="Arial"/>
                          <w:sz w:val="20"/>
                          <w:szCs w:val="20"/>
                        </w:rPr>
                      </w:pPr>
                    </w:p>
                    <w:p w14:paraId="69D2029F" w14:textId="77777777" w:rsidR="00460C55" w:rsidRPr="00E92A44" w:rsidRDefault="00460C55" w:rsidP="00264095">
                      <w:pPr>
                        <w:pStyle w:val="NormalWeb"/>
                        <w:jc w:val="both"/>
                        <w:rPr>
                          <w:rFonts w:ascii="Arial" w:hAnsi="Arial" w:cs="Arial"/>
                          <w:sz w:val="20"/>
                          <w:szCs w:val="20"/>
                        </w:rPr>
                      </w:pPr>
                    </w:p>
                    <w:p w14:paraId="6A969867" w14:textId="77777777" w:rsidR="00460C55" w:rsidRPr="00E92A44" w:rsidRDefault="00460C55" w:rsidP="00264095">
                      <w:pPr>
                        <w:pStyle w:val="NormalWeb"/>
                        <w:jc w:val="both"/>
                        <w:rPr>
                          <w:rFonts w:ascii="Arial" w:hAnsi="Arial" w:cs="Arial"/>
                          <w:sz w:val="20"/>
                          <w:szCs w:val="20"/>
                        </w:rPr>
                      </w:pPr>
                    </w:p>
                    <w:p w14:paraId="6A845701" w14:textId="77777777" w:rsidR="008826D6" w:rsidRPr="00E92A44" w:rsidRDefault="008826D6" w:rsidP="00264095">
                      <w:pPr>
                        <w:pStyle w:val="NormalWeb"/>
                        <w:jc w:val="both"/>
                        <w:rPr>
                          <w:rFonts w:ascii="Arial" w:hAnsi="Arial" w:cs="Arial"/>
                          <w:sz w:val="20"/>
                          <w:szCs w:val="20"/>
                        </w:rPr>
                      </w:pPr>
                    </w:p>
                    <w:p w14:paraId="14F68337" w14:textId="77777777" w:rsidR="00264095" w:rsidRPr="00E92A44" w:rsidRDefault="00264095" w:rsidP="00264095">
                      <w:pPr>
                        <w:pStyle w:val="NormalWeb"/>
                        <w:jc w:val="both"/>
                        <w:rPr>
                          <w:rFonts w:ascii="Arial" w:hAnsi="Arial" w:cs="Arial"/>
                          <w:sz w:val="20"/>
                          <w:szCs w:val="20"/>
                        </w:rPr>
                      </w:pPr>
                    </w:p>
                  </w:txbxContent>
                </v:textbox>
                <w10:wrap anchorx="margin"/>
              </v:rect>
            </w:pict>
          </mc:Fallback>
        </mc:AlternateContent>
      </w:r>
    </w:p>
    <w:p w14:paraId="6534D48E" w14:textId="7BEC0E5D" w:rsidR="00264095" w:rsidRPr="00264095" w:rsidRDefault="00264095" w:rsidP="00264095">
      <w:pPr>
        <w:pStyle w:val="NormalWeb"/>
        <w:spacing w:line="276" w:lineRule="auto"/>
        <w:rPr>
          <w:rFonts w:ascii="Arial" w:hAnsi="Arial" w:cs="Arial"/>
          <w:sz w:val="20"/>
          <w:szCs w:val="20"/>
        </w:rPr>
      </w:pPr>
    </w:p>
    <w:p w14:paraId="36CB2B92" w14:textId="1CED6D6D" w:rsidR="00264095" w:rsidRDefault="00264095" w:rsidP="00264095">
      <w:pPr>
        <w:pStyle w:val="NormalWeb"/>
        <w:spacing w:line="276" w:lineRule="auto"/>
        <w:rPr>
          <w:rFonts w:ascii="Arial" w:hAnsi="Arial" w:cs="Arial"/>
          <w:sz w:val="20"/>
          <w:szCs w:val="20"/>
        </w:rPr>
      </w:pPr>
    </w:p>
    <w:p w14:paraId="6F5E64C3" w14:textId="77777777" w:rsidR="00460C55" w:rsidRDefault="00460C55" w:rsidP="00264095">
      <w:pPr>
        <w:pStyle w:val="NormalWeb"/>
        <w:spacing w:line="276" w:lineRule="auto"/>
        <w:rPr>
          <w:rFonts w:ascii="Arial" w:hAnsi="Arial" w:cs="Arial"/>
          <w:sz w:val="20"/>
          <w:szCs w:val="20"/>
        </w:rPr>
      </w:pPr>
    </w:p>
    <w:p w14:paraId="76A56D45" w14:textId="77777777" w:rsidR="00460C55" w:rsidRDefault="00460C55" w:rsidP="00264095">
      <w:pPr>
        <w:pStyle w:val="NormalWeb"/>
        <w:spacing w:line="276" w:lineRule="auto"/>
        <w:rPr>
          <w:rFonts w:ascii="Arial" w:hAnsi="Arial" w:cs="Arial"/>
          <w:sz w:val="20"/>
          <w:szCs w:val="20"/>
        </w:rPr>
      </w:pPr>
    </w:p>
    <w:p w14:paraId="0287BB97" w14:textId="77777777" w:rsidR="00460C55" w:rsidRDefault="00460C55" w:rsidP="00264095">
      <w:pPr>
        <w:pStyle w:val="NormalWeb"/>
        <w:spacing w:line="276" w:lineRule="auto"/>
        <w:rPr>
          <w:rFonts w:ascii="Arial" w:hAnsi="Arial" w:cs="Arial"/>
          <w:sz w:val="20"/>
          <w:szCs w:val="20"/>
        </w:rPr>
      </w:pPr>
    </w:p>
    <w:tbl>
      <w:tblPr>
        <w:tblStyle w:val="TableGrid"/>
        <w:tblW w:w="8995" w:type="dxa"/>
        <w:tblLook w:val="04A0" w:firstRow="1" w:lastRow="0" w:firstColumn="1" w:lastColumn="0" w:noHBand="0" w:noVBand="1"/>
      </w:tblPr>
      <w:tblGrid>
        <w:gridCol w:w="4574"/>
        <w:gridCol w:w="4421"/>
      </w:tblGrid>
      <w:tr w:rsidR="00264095" w:rsidRPr="00264095" w14:paraId="5CA69E0C" w14:textId="77777777" w:rsidTr="004D330D">
        <w:trPr>
          <w:trHeight w:val="5081"/>
        </w:trPr>
        <w:tc>
          <w:tcPr>
            <w:tcW w:w="4574" w:type="dxa"/>
          </w:tcPr>
          <w:p w14:paraId="53E1B3F1" w14:textId="77777777" w:rsidR="00264095" w:rsidRPr="00264095" w:rsidRDefault="00264095" w:rsidP="00E643B5">
            <w:pPr>
              <w:spacing w:line="276" w:lineRule="auto"/>
              <w:jc w:val="center"/>
              <w:rPr>
                <w:rFonts w:ascii="Arial" w:hAnsi="Arial" w:cs="Arial"/>
                <w:sz w:val="20"/>
                <w:szCs w:val="20"/>
              </w:rPr>
            </w:pPr>
          </w:p>
          <w:p w14:paraId="14C1153F" w14:textId="77777777" w:rsidR="00264095" w:rsidRPr="00264095" w:rsidRDefault="00264095"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9744" behindDoc="0" locked="0" layoutInCell="1" allowOverlap="1" wp14:anchorId="74071061" wp14:editId="4E0C608F">
                      <wp:simplePos x="0" y="0"/>
                      <wp:positionH relativeFrom="column">
                        <wp:posOffset>2535627</wp:posOffset>
                      </wp:positionH>
                      <wp:positionV relativeFrom="paragraph">
                        <wp:posOffset>1451007</wp:posOffset>
                      </wp:positionV>
                      <wp:extent cx="206655" cy="174753"/>
                      <wp:effectExtent l="19050" t="19050" r="22225" b="34925"/>
                      <wp:wrapNone/>
                      <wp:docPr id="1051"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79413" id="Left Arrow 8" o:spid="_x0000_s1026" type="#_x0000_t66" style="position:absolute;margin-left:199.65pt;margin-top:114.25pt;width:16.25pt;height:13.7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UmXBkeAAAAALAQAADwAAAGRycy9kb3ducmV2LnhtbEyPTU/CQBCG7yb+h82YeJNdWiBQuiVK5Gpi&#10;Ncbj0h3ahv1oulta/PWOJznOzJN3njffTdawC/ah9U7CfCaAoau8bl0t4fPj8LQGFqJyWhnvUMIV&#10;A+yK+7tcZdqP7h0vZawZhbiQKQlNjF3GeagatCrMfIeObiffWxVp7GuuezVSuDU8EWLFrWodfWhU&#10;h/sGq3M5WAli//VTvoWpH04xXr8XL4fxVRspHx+m5y2wiFP8h+FPn9ShIKejH5wOzEhIN5uUUAlJ&#10;sl4CI2KRzqnMkTbLlQBe5Py2Q/ELAAD//wMAUEsBAi0AFAAGAAgAAAAhALaDOJL+AAAA4QEAABMA&#10;AAAAAAAAAAAAAAAAAAAAAFtDb250ZW50X1R5cGVzXS54bWxQSwECLQAUAAYACAAAACEAOP0h/9YA&#10;AACUAQAACwAAAAAAAAAAAAAAAAAvAQAAX3JlbHMvLnJlbHNQSwECLQAUAAYACAAAACEASZNIxdMB&#10;AADJAwAADgAAAAAAAAAAAAAAAAAuAgAAZHJzL2Uyb0RvYy54bWxQSwECLQAUAAYACAAAACEAUmXB&#10;keAAAAALAQAADwAAAAAAAAAAAAAAAAAtBAAAZHJzL2Rvd25yZXYueG1sUEsFBgAAAAAEAAQA8wAA&#10;ADoFAAAAAA==&#10;" adj="9133"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78720" behindDoc="0" locked="0" layoutInCell="1" allowOverlap="1" wp14:anchorId="4BE12996" wp14:editId="18053EF4">
                      <wp:simplePos x="0" y="0"/>
                      <wp:positionH relativeFrom="column">
                        <wp:posOffset>1006153</wp:posOffset>
                      </wp:positionH>
                      <wp:positionV relativeFrom="paragraph">
                        <wp:posOffset>1652970</wp:posOffset>
                      </wp:positionV>
                      <wp:extent cx="206655" cy="174752"/>
                      <wp:effectExtent l="19050" t="19050" r="22225" b="34925"/>
                      <wp:wrapNone/>
                      <wp:docPr id="1052"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2"/>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14C64" id="Left Arrow 8" o:spid="_x0000_s1026" type="#_x0000_t66" style="position:absolute;margin-left:79.2pt;margin-top:130.15pt;width:16.25pt;height:13.7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m82QEAAMkDAAAOAAAAZHJzL2Uyb0RvYy54bWysU8tu2zAQvBfoPxC815IVPwLBclDEdS9B&#10;WiApel5TpESUL3BZS/77UpTsuGlPQS7ErnY5nJ0dbe56rciRe5TWVHQ+yynhhtlamqaiP573n24p&#10;wQCmBmUNr+iJI73bfvyw6VzJC9taVXNPIojBsnMVbUNwZZYha7kGnFnHTSwK6zWEmPomqz10EV2r&#10;rMjzVdZZXztvGUeMX3djkW4TvhCchW9CIA9EVTRyC+n06TwMZ7bdQNl4cK1kEw14AwsN0sRHL1A7&#10;CEB+e/kPlJbMW7QizJjVmRVCMp5miNPM81fTPLXgeJolioPuIhO+Hyx7PD65736gju7Bsl8YFck6&#10;h+WlMiQ49fTC66E3Eid9UvF0UZH3gbD4schXq+WSEhZL8/VivSwGlTMoz5edx/CVW02GoKKKi/DZ&#10;e9slAeH4gGHsP/clclbJei+VSolvDvfKkyPErS4W6+J+MT2B123KkC5SKNZ53DyD6C6hIMRQu7qi&#10;aJr04F9X8Br5Zr68ud3/D3lgtgNsRwYJYXSSloH75KmWQ/3F1CkOINUYRxWUmQQeNR3UPdj6NO5g&#10;AH7uf4J3kzghqvpoz0aA8pU8Y+8EeIZJ64t+SaJP3h4MeZ2nKy9/4PYPAAAA//8DAFBLAwQUAAYA&#10;CAAAACEAm5k4KuAAAAALAQAADwAAAGRycy9kb3ducmV2LnhtbEyPwU7DMAyG70i8Q2QkbiyhjNGV&#10;ptOEhITEATaQdk0bL61onNKka8vTk53g+Nuffn/ON5Nt2Ql73ziScLsQwJAqpxsyEj4/nm9SYD4o&#10;0qp1hBJm9LApLi9ylWk30g5P+2BYLCGfKQl1CF3Gua9qtMovXIcUd0fXWxVi7A3XvRpjuW15IsSK&#10;W9VQvFCrDp9qrL72g5VQ4nIczKzoJfkWb7v5YF63P+9SXl9N20dgAafwB8NZP6pDEZ1KN5D2rI35&#10;Pl1GVEKyEnfAzsRarIGVcZI+pMCLnP//ofgFAAD//wMAUEsBAi0AFAAGAAgAAAAhALaDOJL+AAAA&#10;4QEAABMAAAAAAAAAAAAAAAAAAAAAAFtDb250ZW50X1R5cGVzXS54bWxQSwECLQAUAAYACAAAACEA&#10;OP0h/9YAAACUAQAACwAAAAAAAAAAAAAAAAAvAQAAX3JlbHMvLnJlbHNQSwECLQAUAAYACAAAACEA&#10;gzOZvNkBAADJAwAADgAAAAAAAAAAAAAAAAAuAgAAZHJzL2Uyb0RvYy54bWxQSwECLQAUAAYACAAA&#10;ACEAm5k4KuAAAAALAQAADwAAAAAAAAAAAAAAAAAzBAAAZHJzL2Rvd25yZXYueG1sUEsFBgAAAAAE&#10;AAQA8wAAAEAFAAAAAA==&#10;" adj="9133" fillcolor="#4472c4" strokecolor="#31538f" strokeweight="1pt">
                      <v:path arrowok="t"/>
                    </v:shape>
                  </w:pict>
                </mc:Fallback>
              </mc:AlternateContent>
            </w:r>
            <w:r w:rsidRPr="00264095">
              <w:rPr>
                <w:rFonts w:ascii="Arial" w:hAnsi="Arial" w:cs="Arial"/>
                <w:noProof/>
              </w:rPr>
              <w:drawing>
                <wp:inline distT="0" distB="0" distL="0" distR="0" wp14:anchorId="1C4CD9DB" wp14:editId="4B4E5769">
                  <wp:extent cx="2767712" cy="2663687"/>
                  <wp:effectExtent l="0" t="0" r="0" b="3810"/>
                  <wp:docPr id="1053" name="Picture 695384319"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5384319"/>
                          <pic:cNvPicPr/>
                        </pic:nvPicPr>
                        <pic:blipFill>
                          <a:blip r:embed="rId15" cstate="print"/>
                          <a:srcRect/>
                          <a:stretch/>
                        </pic:blipFill>
                        <pic:spPr>
                          <a:xfrm>
                            <a:off x="0" y="0"/>
                            <a:ext cx="2767712" cy="2663687"/>
                          </a:xfrm>
                          <a:prstGeom prst="rect">
                            <a:avLst/>
                          </a:prstGeom>
                          <a:ln>
                            <a:noFill/>
                          </a:ln>
                        </pic:spPr>
                      </pic:pic>
                    </a:graphicData>
                  </a:graphic>
                </wp:inline>
              </w:drawing>
            </w:r>
          </w:p>
          <w:p w14:paraId="4E58CC8E" w14:textId="77777777" w:rsidR="00264095" w:rsidRPr="00264095" w:rsidRDefault="00264095" w:rsidP="00E643B5">
            <w:pPr>
              <w:spacing w:line="276" w:lineRule="auto"/>
              <w:rPr>
                <w:rFonts w:ascii="Arial" w:hAnsi="Arial" w:cs="Arial"/>
                <w:sz w:val="20"/>
                <w:szCs w:val="20"/>
              </w:rPr>
            </w:pPr>
          </w:p>
        </w:tc>
        <w:tc>
          <w:tcPr>
            <w:tcW w:w="4421" w:type="dxa"/>
          </w:tcPr>
          <w:p w14:paraId="3FAC460B" w14:textId="77777777" w:rsidR="00264095" w:rsidRPr="00264095" w:rsidRDefault="00264095" w:rsidP="00E643B5">
            <w:pPr>
              <w:spacing w:line="276" w:lineRule="auto"/>
              <w:rPr>
                <w:rFonts w:ascii="Arial" w:hAnsi="Arial" w:cs="Arial"/>
                <w:noProof/>
                <w:sz w:val="20"/>
                <w:szCs w:val="20"/>
              </w:rPr>
            </w:pPr>
          </w:p>
          <w:p w14:paraId="4F07E165" w14:textId="77777777" w:rsidR="00264095" w:rsidRPr="00264095" w:rsidRDefault="00264095" w:rsidP="00E643B5">
            <w:pPr>
              <w:spacing w:line="276" w:lineRule="auto"/>
              <w:rPr>
                <w:rFonts w:ascii="Arial" w:hAnsi="Arial" w:cs="Arial"/>
                <w:noProof/>
                <w:sz w:val="20"/>
                <w:szCs w:val="20"/>
              </w:rPr>
            </w:pPr>
          </w:p>
          <w:p w14:paraId="7C5ED1E1" w14:textId="4B84C003" w:rsidR="00264095" w:rsidRPr="00264095" w:rsidRDefault="004C3B57"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80768" behindDoc="0" locked="0" layoutInCell="1" allowOverlap="1" wp14:anchorId="33080EAE" wp14:editId="4D208015">
                      <wp:simplePos x="0" y="0"/>
                      <wp:positionH relativeFrom="column">
                        <wp:posOffset>2467306</wp:posOffset>
                      </wp:positionH>
                      <wp:positionV relativeFrom="paragraph">
                        <wp:posOffset>2018665</wp:posOffset>
                      </wp:positionV>
                      <wp:extent cx="274955" cy="60325"/>
                      <wp:effectExtent l="19050" t="19050" r="10795" b="34925"/>
                      <wp:wrapNone/>
                      <wp:docPr id="1055"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603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C2EC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94.3pt;margin-top:158.95pt;width:21.65pt;height:4.7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5m2AEAAMgDAAAOAAAAZHJzL2Uyb0RvYy54bWysU01v2zAMvQ/YfxB0X+w4SdMZcYqhWXYp&#10;ugFtsTMjS7YwfUHUYuffT5adLO12GnYRSJN6enx83tz1WpEj9yitqeh8llPCDbO1NE1FX573H24p&#10;wQCmBmUNr+iJI73bvn+36VzJC9taVXNPIojBsnMVbUNwZZYha7kGnFnHTSwK6zWEmPomqz10EV2r&#10;rMjzm6yzvnbeMo4Yv+7GIt0mfCE4C1+FQB6IqmjkFtLp03kYzmy7gbLx4FrJJhrwDyw0SBMfvUDt&#10;IAD56eUfUFoyb9GKMGNWZ1YIyXiaIU4zz99M89SC42mWKA66i0z4/2DZ4/HJffMDdXQPlv3AqEjW&#10;OSwvlSHBqacXXg+9kTjpk4qni4q8D4TFj8V6+XG1ooTF0k2+KFaDyBmU57vOY/jCrSZDUFHFRfjk&#10;ve2SfnB8wDD2n/sSN6tkvZdKpcQ3h3vlyRHiUpfLdXG/nJ7A6zZlSBctWazzuHgG0VxCQYihdnVF&#10;0TTpwVdX8Bp5MV8tbvd/Qx6Y7QDbkUFCGI2kZeA+WarlUH82dYoDSDXGUQVlJn1HSQdxD7Y+jSsY&#10;gJ/77+DdJE6Ioj7asw+gfCPP2DsBnmHS9qJdkuiTtQc/Xufpyu8fcPsLAAD//wMAUEsDBBQABgAI&#10;AAAAIQAH1+AY4gAAAAsBAAAPAAAAZHJzL2Rvd25yZXYueG1sTI9LT8MwEITvSPwHa5G4IOqkrZoQ&#10;4lQ8DxUcSsmFm2s7D2Gvo9htA7+e5QS32Z3R7LflenKWHc0Yeo8C0lkCzKDyusdWQP3+fJ0DC1Gi&#10;ltajEfBlAqyr87NSFtqf8M0cd7FlVIKhkAK6GIeC86A642SY+cEgeY0fnYw0ji3XozxRubN8niQr&#10;7mSPdKGTg3nojPrcHZyAj3g/PD7V31ZdqaZ+3WTb5mXaCnF5Md3dAotmin9h+MUndKiIae8PqAOz&#10;AhZ5vqIoiTS7AUaJ5SIlsafNPFsCr0r+/4fqBwAA//8DAFBLAQItABQABgAIAAAAIQC2gziS/gAA&#10;AOEBAAATAAAAAAAAAAAAAAAAAAAAAABbQ29udGVudF9UeXBlc10ueG1sUEsBAi0AFAAGAAgAAAAh&#10;ADj9If/WAAAAlAEAAAsAAAAAAAAAAAAAAAAALwEAAF9yZWxzLy5yZWxzUEsBAi0AFAAGAAgAAAAh&#10;AG/GTmbYAQAAyAMAAA4AAAAAAAAAAAAAAAAALgIAAGRycy9lMm9Eb2MueG1sUEsBAi0AFAAGAAgA&#10;AAAhAAfX4BjiAAAACwEAAA8AAAAAAAAAAAAAAAAAMgQAAGRycy9kb3ducmV2LnhtbFBLBQYAAAAA&#10;BAAEAPMAAABBBQAAAAA=&#10;" adj="2370" fillcolor="#4472c4" strokecolor="#31538f" strokeweight="1pt">
                      <v:path arrowok="t"/>
                    </v:shape>
                  </w:pict>
                </mc:Fallback>
              </mc:AlternateContent>
            </w:r>
            <w:r w:rsidR="004D330D" w:rsidRPr="00264095">
              <w:rPr>
                <w:rFonts w:ascii="Arial" w:hAnsi="Arial" w:cs="Arial"/>
                <w:noProof/>
              </w:rPr>
              <mc:AlternateContent>
                <mc:Choice Requires="wps">
                  <w:drawing>
                    <wp:anchor distT="0" distB="0" distL="0" distR="0" simplePos="0" relativeHeight="251681792" behindDoc="0" locked="0" layoutInCell="1" allowOverlap="1" wp14:anchorId="177C4178" wp14:editId="3EC712D9">
                      <wp:simplePos x="0" y="0"/>
                      <wp:positionH relativeFrom="column">
                        <wp:posOffset>1991691</wp:posOffset>
                      </wp:positionH>
                      <wp:positionV relativeFrom="paragraph">
                        <wp:posOffset>108585</wp:posOffset>
                      </wp:positionV>
                      <wp:extent cx="274955" cy="121920"/>
                      <wp:effectExtent l="19050" t="19050" r="10795" b="30480"/>
                      <wp:wrapNone/>
                      <wp:docPr id="105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21920"/>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4888E7" id="Left Arrow 8" o:spid="_x0000_s1026" type="#_x0000_t66" style="position:absolute;margin-left:156.85pt;margin-top:8.55pt;width:21.65pt;height:9.6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vk1QEAAMkDAAAOAAAAZHJzL2Uyb0RvYy54bWysU01v2zAMvQ/YfxB0X5wE67oacYqhWXYp&#10;ugHtsDMjS7YwfUHU4uTfj5KdLOt6KuaDQIrk0+Mjvbo9WMP2MqL2ruGL2Zwz6YRvtesa/v1p++4j&#10;Z5jAtWC8kw0/SuS367dvVkOo5dL33rQyMgJxWA+h4X1Koa4qFL20gDMfpKOg8tFCIjd2VRthIHRr&#10;quV8/qEafGxD9EIi0u1mDPJ1wVdKivRVKZSJmYYTt1TOWM5dPqv1CuouQui1mGjAK1hY0I4ePUNt&#10;IAH7FfU/UFaL6NGrNBPeVl4pLWTpgbpZzJ9189hDkKUXEgfDWSb8f7DiYf8YvsVMHcO9Fz+RFKmG&#10;gPU5kh2ccg4q2pxLxNmhqHg8qygPiQm6XF6/v7m64kxQaLFc3CyLyhXUp+IQMX2R3rJsNNxIlT7F&#10;6IciIOzvMWUOUJ/yCjlvdLvVxhQndrs7E9keaKrb7Zy+PEgqwcs049iQKVxTmAmg7VIGEpk2tA1H&#10;15UH/yrBS+S7DPwicma2AexHBgVh3CSrk4xlp3oJ7WfXFjuBNqNNFI2bBB41zerufHscZ5CBnw4/&#10;IIZJnESqPvjTIkD9TJ4xdwI8wZTx0b4URabdzgt56ZeSP3/g+jcAAAD//wMAUEsDBBQABgAIAAAA&#10;IQCpCPeb3gAAAAkBAAAPAAAAZHJzL2Rvd25yZXYueG1sTI/BTsMwEETvSPyDtUhcEHXSqE0JcSoE&#10;9E5bKtSbGy9xRLyOYjcNf89ygtuO5ml2plxPrhMjDqH1pCCdJSCQam9aahS87zf3KxAhajK684QK&#10;vjHAurq+KnVh/IW2OO5iIziEQqEV2Bj7QspQW3Q6zHyPxN6nH5yOLIdGmkFfONx1cp4kS+l0S/zB&#10;6h6fLdZfu7NT8Lp/OR4Od/3mYWHH1Lm3+UdsnVK3N9PTI4iIU/yD4bc+V4eKO538mUwQnYIszXJG&#10;2chTEAxki5zHnfhYZiCrUv5fUP0AAAD//wMAUEsBAi0AFAAGAAgAAAAhALaDOJL+AAAA4QEAABMA&#10;AAAAAAAAAAAAAAAAAAAAAFtDb250ZW50X1R5cGVzXS54bWxQSwECLQAUAAYACAAAACEAOP0h/9YA&#10;AACUAQAACwAAAAAAAAAAAAAAAAAvAQAAX3JlbHMvLnJlbHNQSwECLQAUAAYACAAAACEA0wlr5NUB&#10;AADJAwAADgAAAAAAAAAAAAAAAAAuAgAAZHJzL2Uyb0RvYy54bWxQSwECLQAUAAYACAAAACEAqQj3&#10;m94AAAAJAQAADwAAAAAAAAAAAAAAAAAvBAAAZHJzL2Rvd25yZXYueG1sUEsFBgAAAAAEAAQA8wAA&#10;ADoFAAAAAA==&#10;" adj="4789" fillcolor="red" strokecolor="#c00000" strokeweight="1pt">
                      <v:path arrowok="t"/>
                    </v:shape>
                  </w:pict>
                </mc:Fallback>
              </mc:AlternateContent>
            </w:r>
            <w:r w:rsidR="00264095" w:rsidRPr="00264095">
              <w:rPr>
                <w:rFonts w:ascii="Arial" w:hAnsi="Arial" w:cs="Arial"/>
                <w:noProof/>
              </w:rPr>
              <w:drawing>
                <wp:inline distT="0" distB="0" distL="0" distR="0" wp14:anchorId="3426C59D" wp14:editId="17FDB1A2">
                  <wp:extent cx="2639833" cy="2279566"/>
                  <wp:effectExtent l="0" t="0" r="8255" b="6985"/>
                  <wp:docPr id="1056" name="Picture 117806824" descr="C:\Users\Chimzurum\Pictures\C1 G1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7806824"/>
                          <pic:cNvPicPr/>
                        </pic:nvPicPr>
                        <pic:blipFill>
                          <a:blip r:embed="rId19" cstate="print"/>
                          <a:srcRect/>
                          <a:stretch/>
                        </pic:blipFill>
                        <pic:spPr>
                          <a:xfrm>
                            <a:off x="0" y="0"/>
                            <a:ext cx="2639833" cy="2279566"/>
                          </a:xfrm>
                          <a:prstGeom prst="rect">
                            <a:avLst/>
                          </a:prstGeom>
                          <a:ln>
                            <a:noFill/>
                          </a:ln>
                        </pic:spPr>
                      </pic:pic>
                    </a:graphicData>
                  </a:graphic>
                </wp:inline>
              </w:drawing>
            </w:r>
          </w:p>
        </w:tc>
      </w:tr>
    </w:tbl>
    <w:p w14:paraId="7F0A0F31" w14:textId="25F2BF8F"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83840" behindDoc="0" locked="0" layoutInCell="1" allowOverlap="1" wp14:anchorId="6781B2D5" wp14:editId="7A866F81">
                <wp:simplePos x="0" y="0"/>
                <wp:positionH relativeFrom="margin">
                  <wp:align>left</wp:align>
                </wp:positionH>
                <wp:positionV relativeFrom="paragraph">
                  <wp:posOffset>152400</wp:posOffset>
                </wp:positionV>
                <wp:extent cx="5781675" cy="381663"/>
                <wp:effectExtent l="0" t="0" r="9525" b="0"/>
                <wp:wrapNone/>
                <wp:docPr id="10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381663"/>
                        </a:xfrm>
                        <a:prstGeom prst="rect">
                          <a:avLst/>
                        </a:prstGeom>
                        <a:solidFill>
                          <a:srgbClr val="FFFFFF"/>
                        </a:solidFill>
                        <a:ln>
                          <a:noFill/>
                        </a:ln>
                      </wps:spPr>
                      <wps:txbx>
                        <w:txbxContent>
                          <w:p w14:paraId="428C7698"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E</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781B2D5" id="_x0000_s1032" style="position:absolute;margin-left:0;margin-top:12pt;width:455.25pt;height:30.05pt;z-index:251683840;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72wEAALwDAAAOAAAAZHJzL2Uyb0RvYy54bWysU8tu2zAQvBfoPxC817IdP1LBclA0cFEg&#10;SAMkRc8URVlEKS67pC25X98lJTtGeiuqA6HlDkczw9Xmrm8NOyr0GmzBZ5MpZ8pKqLTdF/z7y+7D&#10;LWc+CFsJA1YV/KQ8v9u+f7fpXK7m0ICpFDIisT7vXMGbEFyeZV42qhV+Ak5ZataArQhU4j6rUHTE&#10;3ppsPp2usg6wcghSeU+790OTbxN/XSsZvtW1V4GZgpO2kFZMaxnXbLsR+R6Fa7QcZYh/UNEKbemj&#10;F6p7EQQ7oP6LqtUSwUMdJhLaDOpaS5U8kJvZ9I2b50Y4lbxQON5dYvL/j1Y+Hp/dE0bp3j2A/Okp&#10;kaxzPr90YuFHTF9jG7EknPUpxdMlRdUHJmlzub6drdZLziT1buh9dRNjzkR+Pu3Qhy8KWhZfCo50&#10;Syk8cXzwYYCeIUkYGF3ttDGpwH352SA7CrrRXXpGdn8NMzaCLcRjA2PcScYGL9FV6Mue6argq0gR&#10;d0qoTk9ErpB0NYC/OetoOArufx0EKs7MV0vpf5wtFnGaUrFYrudU4HWnvO4IK4mq4DJgshm9vfQ/&#10;BLoxgEDRPcL5tkX+JocBO/j5dAhQ6xTSq97RGI1Iinkc5ziD13VCvf502z8AAAD//wMAUEsDBBQA&#10;BgAIAAAAIQDtlj7v3QAAAAYBAAAPAAAAZHJzL2Rvd25yZXYueG1sTI/BTsMwEETvSPyDtUjcqJ0q&#10;VCVkUyEkDr3QEvIBbrwkUeN1FDtNytdjTnBajWY08zbfLbYXFxp95xghWSkQxLUzHTcI1efbwxaE&#10;D5qN7h0TwpU87Irbm1xnxs38QZcyNCKWsM80QhvCkEnp65as9is3EEfvy41WhyjHRppRz7Hc9nKt&#10;1EZa3XFcaPVAry3V53KyCIfjYV+pVH1Pm+vezOXx/N77CvH+bnl5BhFoCX9h+MWP6FBEppOb2HjR&#10;I8RHAsI6jTe6T4l6BHFC2KYJyCKX//GLHwAAAP//AwBQSwECLQAUAAYACAAAACEAtoM4kv4AAADh&#10;AQAAEwAAAAAAAAAAAAAAAAAAAAAAW0NvbnRlbnRfVHlwZXNdLnhtbFBLAQItABQABgAIAAAAIQA4&#10;/SH/1gAAAJQBAAALAAAAAAAAAAAAAAAAAC8BAABfcmVscy8ucmVsc1BLAQItABQABgAIAAAAIQAJ&#10;l0L72wEAALwDAAAOAAAAAAAAAAAAAAAAAC4CAABkcnMvZTJvRG9jLnhtbFBLAQItABQABgAIAAAA&#10;IQDtlj7v3QAAAAYBAAAPAAAAAAAAAAAAAAAAADUEAABkcnMvZG93bnJldi54bWxQSwUGAAAAAAQA&#10;BADzAAAAPwUAAAAA&#10;" stroked="f">
                <v:textbox>
                  <w:txbxContent>
                    <w:p w14:paraId="428C7698"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E</w:t>
                      </w:r>
                    </w:p>
                  </w:txbxContent>
                </v:textbox>
                <w10:wrap anchorx="margin"/>
              </v:rect>
            </w:pict>
          </mc:Fallback>
        </mc:AlternateContent>
      </w:r>
    </w:p>
    <w:p w14:paraId="3FF5CD07" w14:textId="5EE99A54" w:rsidR="00264095" w:rsidRPr="00264095" w:rsidRDefault="00EE30D2"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82816" behindDoc="0" locked="0" layoutInCell="1" allowOverlap="1" wp14:anchorId="77EBAE6E" wp14:editId="27F7B8DA">
                <wp:simplePos x="0" y="0"/>
                <wp:positionH relativeFrom="margin">
                  <wp:posOffset>-7951</wp:posOffset>
                </wp:positionH>
                <wp:positionV relativeFrom="paragraph">
                  <wp:posOffset>229180</wp:posOffset>
                </wp:positionV>
                <wp:extent cx="5510254" cy="1348967"/>
                <wp:effectExtent l="0" t="0" r="0" b="3810"/>
                <wp:wrapNone/>
                <wp:docPr id="10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7617" cy="1348967"/>
                        </a:xfrm>
                        <a:prstGeom prst="rect">
                          <a:avLst/>
                        </a:prstGeom>
                        <a:solidFill>
                          <a:srgbClr val="FFFFFF"/>
                        </a:solidFill>
                        <a:ln>
                          <a:noFill/>
                        </a:ln>
                      </wps:spPr>
                      <wps:txbx>
                        <w:txbxContent>
                          <w:p w14:paraId="34B930CC" w14:textId="1B52FFDF" w:rsidR="00442830" w:rsidRPr="00E92A44" w:rsidRDefault="00264095" w:rsidP="00442830">
                            <w:pPr>
                              <w:pStyle w:val="NormalWeb"/>
                              <w:jc w:val="both"/>
                              <w:rPr>
                                <w:rFonts w:ascii="Arial" w:hAnsi="Arial" w:cs="Arial"/>
                                <w:sz w:val="20"/>
                                <w:szCs w:val="20"/>
                              </w:rPr>
                            </w:pPr>
                            <w:r w:rsidRPr="00E92A44">
                              <w:rPr>
                                <w:rFonts w:ascii="Arial" w:hAnsi="Arial" w:cs="Arial"/>
                                <w:b/>
                                <w:bCs/>
                                <w:sz w:val="20"/>
                                <w:szCs w:val="20"/>
                              </w:rPr>
                              <w:t>Plate 4:</w:t>
                            </w:r>
                            <w:r w:rsidRPr="00E92A44">
                              <w:rPr>
                                <w:rFonts w:ascii="Arial" w:hAnsi="Arial" w:cs="Arial"/>
                                <w:sz w:val="20"/>
                                <w:szCs w:val="20"/>
                              </w:rPr>
                              <w:t xml:space="preserve"> </w:t>
                            </w:r>
                            <w:proofErr w:type="spellStart"/>
                            <w:r w:rsidR="00442830" w:rsidRPr="00E92A44">
                              <w:rPr>
                                <w:rFonts w:ascii="Arial" w:hAnsi="Arial" w:cs="Arial"/>
                                <w:b/>
                                <w:bCs/>
                                <w:sz w:val="20"/>
                                <w:szCs w:val="20"/>
                              </w:rPr>
                              <w:t>Histo</w:t>
                            </w:r>
                            <w:proofErr w:type="spellEnd"/>
                            <w:r w:rsidR="00442830" w:rsidRPr="00E92A44">
                              <w:rPr>
                                <w:rFonts w:ascii="Arial" w:hAnsi="Arial" w:cs="Arial"/>
                                <w:b/>
                                <w:bCs/>
                                <w:sz w:val="20"/>
                                <w:szCs w:val="20"/>
                              </w:rPr>
                              <w:t>-architecture of the Breast Tissues of Control (A) and Group 5 (E)</w:t>
                            </w:r>
                            <w:r w:rsidR="00442830" w:rsidRPr="00E92A44">
                              <w:rPr>
                                <w:rFonts w:ascii="Arial" w:hAnsi="Arial" w:cs="Arial"/>
                                <w:sz w:val="20"/>
                                <w:szCs w:val="20"/>
                              </w:rPr>
                              <w:t xml:space="preserve"> </w:t>
                            </w:r>
                            <w:r w:rsidR="00442830" w:rsidRPr="00E92A44">
                              <w:rPr>
                                <w:rFonts w:ascii="Arial" w:hAnsi="Arial" w:cs="Arial"/>
                                <w:b/>
                                <w:bCs/>
                                <w:sz w:val="20"/>
                                <w:szCs w:val="20"/>
                              </w:rPr>
                              <w:t>Rats.</w:t>
                            </w:r>
                            <w:r w:rsidR="00442830" w:rsidRPr="00E92A44">
                              <w:rPr>
                                <w:rFonts w:ascii="Arial" w:hAnsi="Arial" w:cs="Arial"/>
                                <w:sz w:val="20"/>
                                <w:szCs w:val="20"/>
                              </w:rPr>
                              <w:t xml:space="preserve"> </w:t>
                            </w:r>
                          </w:p>
                          <w:p w14:paraId="3D13E238" w14:textId="6E8EAB8D"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 xml:space="preserve">(A) </w:t>
                            </w:r>
                            <w:r w:rsidRPr="00E92A44">
                              <w:rPr>
                                <w:rFonts w:ascii="Arial" w:hAnsi="Arial" w:cs="Arial"/>
                                <w:sz w:val="20"/>
                                <w:szCs w:val="20"/>
                              </w:rPr>
                              <w:t xml:space="preserve">Control group showing normal tissue architecture with unremarkable breast ducts (blue) and lobules (red). </w:t>
                            </w:r>
                            <w:r w:rsidRPr="00E92A44">
                              <w:rPr>
                                <w:rFonts w:ascii="Arial" w:hAnsi="Arial" w:cs="Arial"/>
                                <w:b/>
                                <w:bCs/>
                                <w:sz w:val="20"/>
                                <w:szCs w:val="20"/>
                              </w:rPr>
                              <w:t>(E)</w:t>
                            </w:r>
                            <w:r w:rsidRPr="00E92A44">
                              <w:rPr>
                                <w:rFonts w:ascii="Arial" w:hAnsi="Arial" w:cs="Arial"/>
                                <w:sz w:val="20"/>
                                <w:szCs w:val="20"/>
                              </w:rPr>
                              <w:t xml:space="preserve"> Group 5, showing unremarkable skeletal muscle (red) and fibrous tissue (blue)</w:t>
                            </w:r>
                          </w:p>
                          <w:p w14:paraId="3EDA4C92" w14:textId="77777777" w:rsidR="00264095" w:rsidRPr="00E92A44" w:rsidRDefault="00264095" w:rsidP="00264095">
                            <w:pPr>
                              <w:pStyle w:val="NormalWeb"/>
                              <w:jc w:val="both"/>
                              <w:rPr>
                                <w:rFonts w:ascii="Arial" w:hAnsi="Arial" w:cs="Arial"/>
                                <w:sz w:val="20"/>
                                <w:szCs w:val="20"/>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BAE6E" id="_x0000_s1033" style="position:absolute;margin-left:-.65pt;margin-top:18.05pt;width:433.9pt;height:106.2pt;z-index:251682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IG3AEAAL0DAAAOAAAAZHJzL2Uyb0RvYy54bWysU0Fu2zAQvBfoHwjea1muYzuC5aBo4KJA&#10;kAZIip5pirKIUlx2SVtyX98lJTtGeiuqA6HlDkczw9X6rm8NOyr0GmzJ88mUM2UlVNruS/79Zfth&#10;xZkPwlbCgFUlPynP7zbv3607V6gZNGAqhYxIrC86V/ImBFdkmZeNaoWfgFOWmjVgKwKVuM8qFB2x&#10;tyabTaeLrAOsHIJU3tPu/dDkm8Rf10qGb3XtVWCm5KQtpBXTuotrtlmLYo/CNVqOMsQ/qGiFtvTR&#10;C9W9CIIdUP9F1WqJ4KEOEwltBnWtpUoeyE0+fePmuRFOJS8UjneXmPz/o5WPx2f3hFG6dw8gf3pK&#10;JOucLy6dWPgR09fYRiwJZ31K8XRJUfWBSdq8ma2Wi3zJmaRe/nG+ul0sY86ZKM7HHfrwRUHL4kvJ&#10;ka4ppSeODz4M0DMkKQOjq602JhW43302yI6CrnSbnpHdX8OMjWAL8djAGHeSs8FMtBX6Xc90VfIk&#10;MO7soDo9EblC0tUA/uaso+kouf91EKg4M18txX+bz+dxnFIxv1nOqMDrzu66I6wkqpLLgMlm9PbS&#10;/xDoxgACZfcI5+sWxZscBuzg59MhQK1TSK96R2M0IynmcZ7jEF7XCfX6123+AAAA//8DAFBLAwQU&#10;AAYACAAAACEAacs/YN8AAAAJAQAADwAAAGRycy9kb3ducmV2LnhtbEyPy26DMBRE95XyD9aN1F1i&#10;k4eFKCaqKnWRTZMSPsDBt4DiB8ImkH593VW7HM1o5kx+mI0mdxx856yAZM2AoK2d6mwjoLq8r1Ig&#10;PkirpHYWBTzQw6FYPOUyU26yn3gvQ0NiifWZFNCG0GeU+rpFI/3a9Wij9+UGI0OUQ0PVIKdYbjTd&#10;MMapkZ2NC63s8a3F+laORsDpfDpWbMe+R/44qqk83z60r4R4Xs6vL0ACzuEvDL/4ER2KyHR1o1We&#10;aAGrZBuTArY8ARL9lPM9kKuAzS7dAy1y+v9B8QMAAP//AwBQSwECLQAUAAYACAAAACEAtoM4kv4A&#10;AADhAQAAEwAAAAAAAAAAAAAAAAAAAAAAW0NvbnRlbnRfVHlwZXNdLnhtbFBLAQItABQABgAIAAAA&#10;IQA4/SH/1gAAAJQBAAALAAAAAAAAAAAAAAAAAC8BAABfcmVscy8ucmVsc1BLAQItABQABgAIAAAA&#10;IQBYpxIG3AEAAL0DAAAOAAAAAAAAAAAAAAAAAC4CAABkcnMvZTJvRG9jLnhtbFBLAQItABQABgAI&#10;AAAAIQBpyz9g3wAAAAkBAAAPAAAAAAAAAAAAAAAAADYEAABkcnMvZG93bnJldi54bWxQSwUGAAAA&#10;AAQABADzAAAAQgUAAAAA&#10;" stroked="f">
                <v:textbox>
                  <w:txbxContent>
                    <w:p w14:paraId="34B930CC" w14:textId="1B52FFDF" w:rsidR="00442830" w:rsidRPr="00E92A44" w:rsidRDefault="00264095" w:rsidP="00442830">
                      <w:pPr>
                        <w:pStyle w:val="NormalWeb"/>
                        <w:jc w:val="both"/>
                        <w:rPr>
                          <w:rFonts w:ascii="Arial" w:hAnsi="Arial" w:cs="Arial"/>
                          <w:sz w:val="20"/>
                          <w:szCs w:val="20"/>
                        </w:rPr>
                      </w:pPr>
                      <w:r w:rsidRPr="00E92A44">
                        <w:rPr>
                          <w:rFonts w:ascii="Arial" w:hAnsi="Arial" w:cs="Arial"/>
                          <w:b/>
                          <w:bCs/>
                          <w:sz w:val="20"/>
                          <w:szCs w:val="20"/>
                        </w:rPr>
                        <w:t>Plate 4:</w:t>
                      </w:r>
                      <w:r w:rsidRPr="00E92A44">
                        <w:rPr>
                          <w:rFonts w:ascii="Arial" w:hAnsi="Arial" w:cs="Arial"/>
                          <w:sz w:val="20"/>
                          <w:szCs w:val="20"/>
                        </w:rPr>
                        <w:t xml:space="preserve"> </w:t>
                      </w:r>
                      <w:proofErr w:type="spellStart"/>
                      <w:r w:rsidR="00442830" w:rsidRPr="00E92A44">
                        <w:rPr>
                          <w:rFonts w:ascii="Arial" w:hAnsi="Arial" w:cs="Arial"/>
                          <w:b/>
                          <w:bCs/>
                          <w:sz w:val="20"/>
                          <w:szCs w:val="20"/>
                        </w:rPr>
                        <w:t>Histo</w:t>
                      </w:r>
                      <w:proofErr w:type="spellEnd"/>
                      <w:r w:rsidR="00442830" w:rsidRPr="00E92A44">
                        <w:rPr>
                          <w:rFonts w:ascii="Arial" w:hAnsi="Arial" w:cs="Arial"/>
                          <w:b/>
                          <w:bCs/>
                          <w:sz w:val="20"/>
                          <w:szCs w:val="20"/>
                        </w:rPr>
                        <w:t>-architecture of the Breast Tissues of Control (A) and Group 5 (E)</w:t>
                      </w:r>
                      <w:r w:rsidR="00442830" w:rsidRPr="00E92A44">
                        <w:rPr>
                          <w:rFonts w:ascii="Arial" w:hAnsi="Arial" w:cs="Arial"/>
                          <w:sz w:val="20"/>
                          <w:szCs w:val="20"/>
                        </w:rPr>
                        <w:t xml:space="preserve"> </w:t>
                      </w:r>
                      <w:r w:rsidR="00442830" w:rsidRPr="00E92A44">
                        <w:rPr>
                          <w:rFonts w:ascii="Arial" w:hAnsi="Arial" w:cs="Arial"/>
                          <w:b/>
                          <w:bCs/>
                          <w:sz w:val="20"/>
                          <w:szCs w:val="20"/>
                        </w:rPr>
                        <w:t>Rats.</w:t>
                      </w:r>
                      <w:r w:rsidR="00442830" w:rsidRPr="00E92A44">
                        <w:rPr>
                          <w:rFonts w:ascii="Arial" w:hAnsi="Arial" w:cs="Arial"/>
                          <w:sz w:val="20"/>
                          <w:szCs w:val="20"/>
                        </w:rPr>
                        <w:t xml:space="preserve"> </w:t>
                      </w:r>
                    </w:p>
                    <w:p w14:paraId="3D13E238" w14:textId="6E8EAB8D" w:rsidR="00264095" w:rsidRPr="00E92A44" w:rsidRDefault="00264095" w:rsidP="00264095">
                      <w:pPr>
                        <w:pStyle w:val="NormalWeb"/>
                        <w:jc w:val="both"/>
                        <w:rPr>
                          <w:rFonts w:ascii="Arial" w:hAnsi="Arial" w:cs="Arial"/>
                          <w:sz w:val="20"/>
                          <w:szCs w:val="20"/>
                        </w:rPr>
                      </w:pPr>
                      <w:r w:rsidRPr="00E92A44">
                        <w:rPr>
                          <w:rFonts w:ascii="Arial" w:hAnsi="Arial" w:cs="Arial"/>
                          <w:b/>
                          <w:bCs/>
                          <w:sz w:val="20"/>
                          <w:szCs w:val="20"/>
                        </w:rPr>
                        <w:t xml:space="preserve">(A) </w:t>
                      </w:r>
                      <w:r w:rsidRPr="00E92A44">
                        <w:rPr>
                          <w:rFonts w:ascii="Arial" w:hAnsi="Arial" w:cs="Arial"/>
                          <w:sz w:val="20"/>
                          <w:szCs w:val="20"/>
                        </w:rPr>
                        <w:t xml:space="preserve">Control group showing normal tissue architecture with unremarkable breast ducts (blue) and lobules (red). </w:t>
                      </w:r>
                      <w:r w:rsidRPr="00E92A44">
                        <w:rPr>
                          <w:rFonts w:ascii="Arial" w:hAnsi="Arial" w:cs="Arial"/>
                          <w:b/>
                          <w:bCs/>
                          <w:sz w:val="20"/>
                          <w:szCs w:val="20"/>
                        </w:rPr>
                        <w:t>(E)</w:t>
                      </w:r>
                      <w:r w:rsidRPr="00E92A44">
                        <w:rPr>
                          <w:rFonts w:ascii="Arial" w:hAnsi="Arial" w:cs="Arial"/>
                          <w:sz w:val="20"/>
                          <w:szCs w:val="20"/>
                        </w:rPr>
                        <w:t xml:space="preserve"> Group 5, showing unremarkable skeletal muscle (red) and fibrous tissue (blue)</w:t>
                      </w:r>
                    </w:p>
                    <w:p w14:paraId="3EDA4C92" w14:textId="77777777" w:rsidR="00264095" w:rsidRPr="00E92A44" w:rsidRDefault="00264095" w:rsidP="00264095">
                      <w:pPr>
                        <w:pStyle w:val="NormalWeb"/>
                        <w:jc w:val="both"/>
                        <w:rPr>
                          <w:rFonts w:ascii="Arial" w:hAnsi="Arial" w:cs="Arial"/>
                          <w:sz w:val="20"/>
                          <w:szCs w:val="20"/>
                        </w:rPr>
                      </w:pPr>
                    </w:p>
                  </w:txbxContent>
                </v:textbox>
                <w10:wrap anchorx="margin"/>
              </v:rect>
            </w:pict>
          </mc:Fallback>
        </mc:AlternateContent>
      </w:r>
    </w:p>
    <w:p w14:paraId="53C753B1" w14:textId="77777777" w:rsidR="00264095" w:rsidRPr="00264095" w:rsidRDefault="00264095" w:rsidP="00264095">
      <w:pPr>
        <w:pStyle w:val="NormalWeb"/>
        <w:spacing w:line="276" w:lineRule="auto"/>
        <w:rPr>
          <w:rFonts w:ascii="Arial" w:hAnsi="Arial" w:cs="Arial"/>
          <w:sz w:val="20"/>
          <w:szCs w:val="20"/>
        </w:rPr>
      </w:pPr>
    </w:p>
    <w:p w14:paraId="20E29873" w14:textId="77777777" w:rsidR="00264095" w:rsidRPr="00264095" w:rsidRDefault="00264095" w:rsidP="00264095">
      <w:pPr>
        <w:spacing w:line="276" w:lineRule="auto"/>
        <w:rPr>
          <w:rFonts w:ascii="Arial" w:hAnsi="Arial" w:cs="Arial"/>
        </w:rPr>
      </w:pPr>
    </w:p>
    <w:p w14:paraId="368F9B7E" w14:textId="77777777" w:rsidR="00460C55" w:rsidRDefault="00460C55" w:rsidP="00460C55">
      <w:pPr>
        <w:spacing w:line="276" w:lineRule="auto"/>
        <w:rPr>
          <w:rFonts w:ascii="Arial" w:hAnsi="Arial" w:cs="Arial"/>
          <w:b/>
          <w:bCs/>
        </w:rPr>
      </w:pPr>
    </w:p>
    <w:p w14:paraId="4A6D8E72" w14:textId="77777777" w:rsidR="000F1DF6" w:rsidRDefault="000F1DF6" w:rsidP="00460C55">
      <w:pPr>
        <w:spacing w:line="276" w:lineRule="auto"/>
        <w:rPr>
          <w:rFonts w:ascii="Arial" w:hAnsi="Arial" w:cs="Arial"/>
          <w:b/>
          <w:bCs/>
        </w:rPr>
      </w:pPr>
    </w:p>
    <w:p w14:paraId="0A2AD0AF" w14:textId="77777777" w:rsidR="000F1DF6" w:rsidRDefault="000F1DF6" w:rsidP="00460C55">
      <w:pPr>
        <w:spacing w:line="276" w:lineRule="auto"/>
        <w:rPr>
          <w:rFonts w:ascii="Arial" w:hAnsi="Arial" w:cs="Arial"/>
          <w:b/>
          <w:bCs/>
        </w:rPr>
      </w:pPr>
    </w:p>
    <w:p w14:paraId="6A90F2FD" w14:textId="77777777" w:rsidR="00442830" w:rsidRDefault="00442830" w:rsidP="00460C55">
      <w:pPr>
        <w:spacing w:line="276" w:lineRule="auto"/>
        <w:rPr>
          <w:rFonts w:ascii="Arial" w:hAnsi="Arial" w:cs="Arial"/>
          <w:b/>
          <w:bCs/>
          <w:sz w:val="22"/>
          <w:szCs w:val="22"/>
        </w:rPr>
      </w:pPr>
    </w:p>
    <w:p w14:paraId="00D25B67" w14:textId="77777777" w:rsidR="00442830" w:rsidRDefault="00442830" w:rsidP="00460C55">
      <w:pPr>
        <w:spacing w:line="276" w:lineRule="auto"/>
        <w:rPr>
          <w:rFonts w:ascii="Arial" w:hAnsi="Arial" w:cs="Arial"/>
          <w:b/>
          <w:bCs/>
          <w:sz w:val="22"/>
          <w:szCs w:val="22"/>
        </w:rPr>
      </w:pPr>
    </w:p>
    <w:p w14:paraId="2FFF43E1" w14:textId="28272565" w:rsidR="00264095" w:rsidRPr="00460C55" w:rsidRDefault="00460C55" w:rsidP="00460C55">
      <w:pPr>
        <w:spacing w:line="276" w:lineRule="auto"/>
        <w:rPr>
          <w:rFonts w:ascii="Arial" w:hAnsi="Arial" w:cs="Arial"/>
          <w:b/>
          <w:bCs/>
          <w:sz w:val="22"/>
          <w:szCs w:val="22"/>
        </w:rPr>
      </w:pPr>
      <w:r w:rsidRPr="00460C55">
        <w:rPr>
          <w:rFonts w:ascii="Arial" w:hAnsi="Arial" w:cs="Arial"/>
          <w:b/>
          <w:bCs/>
          <w:sz w:val="22"/>
          <w:szCs w:val="22"/>
        </w:rPr>
        <w:t>3.2</w:t>
      </w:r>
      <w:r w:rsidRPr="00460C55">
        <w:rPr>
          <w:rFonts w:ascii="Arial" w:hAnsi="Arial" w:cs="Arial"/>
          <w:b/>
          <w:bCs/>
          <w:sz w:val="22"/>
          <w:szCs w:val="22"/>
        </w:rPr>
        <w:tab/>
        <w:t xml:space="preserve">Discussion </w:t>
      </w:r>
    </w:p>
    <w:p w14:paraId="22A29686" w14:textId="77777777" w:rsidR="00552257" w:rsidRPr="00552257" w:rsidRDefault="00552257" w:rsidP="00552257">
      <w:pPr>
        <w:spacing w:after="240" w:line="276" w:lineRule="auto"/>
        <w:jc w:val="both"/>
        <w:rPr>
          <w:rFonts w:ascii="Arial" w:hAnsi="Arial" w:cs="Arial"/>
        </w:rPr>
      </w:pPr>
      <w:r w:rsidRPr="00552257">
        <w:rPr>
          <w:rFonts w:ascii="Arial" w:hAnsi="Arial" w:cs="Arial"/>
        </w:rPr>
        <w:t xml:space="preserve">This study investigated the effects of chronic exposure to polyethylene terephthalate (PET) microplastics on CA 15-3 breast cancer marker, </w:t>
      </w:r>
      <w:proofErr w:type="spellStart"/>
      <w:r w:rsidRPr="00552257">
        <w:rPr>
          <w:rFonts w:ascii="Arial" w:hAnsi="Arial" w:cs="Arial"/>
        </w:rPr>
        <w:t>Tumour</w:t>
      </w:r>
      <w:proofErr w:type="spellEnd"/>
      <w:r w:rsidRPr="00552257">
        <w:rPr>
          <w:rFonts w:ascii="Arial" w:hAnsi="Arial" w:cs="Arial"/>
        </w:rPr>
        <w:t xml:space="preserve"> necrosis factor-α (TNF-α), and breast tissues of female albino rats.</w:t>
      </w:r>
    </w:p>
    <w:p w14:paraId="6783D1C2" w14:textId="31D34E0F" w:rsidR="00552257" w:rsidRDefault="00552257" w:rsidP="007E0CF6">
      <w:pPr>
        <w:spacing w:after="240" w:line="276" w:lineRule="auto"/>
        <w:jc w:val="both"/>
        <w:rPr>
          <w:rFonts w:ascii="Arial" w:hAnsi="Arial" w:cs="Arial"/>
        </w:rPr>
      </w:pPr>
      <w:r w:rsidRPr="00552257">
        <w:rPr>
          <w:rFonts w:ascii="Arial" w:hAnsi="Arial" w:cs="Arial"/>
        </w:rPr>
        <w:t>From this study, as presented in Table 3, there was no significant difference in the mean levels of breast cancer marker CA 15-3 in rats exposed to polyethylene terephthalate (PET) microplastics and the control rats (</w:t>
      </w:r>
      <w:r w:rsidRPr="00552257">
        <w:rPr>
          <w:rFonts w:ascii="Arial" w:hAnsi="Arial" w:cs="Arial"/>
          <w:i/>
          <w:iCs/>
        </w:rPr>
        <w:t>P</w:t>
      </w:r>
      <w:r w:rsidRPr="00552257">
        <w:rPr>
          <w:rFonts w:ascii="Arial" w:hAnsi="Arial" w:cs="Arial"/>
        </w:rPr>
        <w:t xml:space="preserve">=0.077). The absence of a statistically significant difference in CA 15-3 levels in this study suggests that PET microplastic exposure has no effect on this marker. CA 15-3, a soluble fragment of Mucin 1 (MUC1), is a well-established biomarker for breast cancer and is commonly used to monitor disease progression and treatment response (Duffy </w:t>
      </w:r>
      <w:r w:rsidRPr="00552257">
        <w:rPr>
          <w:rFonts w:ascii="Arial" w:hAnsi="Arial" w:cs="Arial"/>
          <w:i/>
          <w:iCs/>
        </w:rPr>
        <w:t>et al.,</w:t>
      </w:r>
      <w:r w:rsidRPr="00552257">
        <w:rPr>
          <w:rFonts w:ascii="Arial" w:hAnsi="Arial" w:cs="Arial"/>
        </w:rPr>
        <w:t xml:space="preserve"> 2010). Alternatively, the lack of a significant difference may indicate that any potential carcinogenic effects of PET microplastics are still in the early stages, </w:t>
      </w:r>
      <w:r w:rsidRPr="00552257">
        <w:rPr>
          <w:rFonts w:ascii="Arial" w:hAnsi="Arial" w:cs="Arial"/>
        </w:rPr>
        <w:lastRenderedPageBreak/>
        <w:t>influencing underlying pathways that have not yet resulted in elevated CA 15-3, which is primarily associated with later disease progression.</w:t>
      </w:r>
    </w:p>
    <w:p w14:paraId="1BC1FECD" w14:textId="3FE30526" w:rsidR="00552257" w:rsidRPr="00552257" w:rsidRDefault="00552257" w:rsidP="00552257">
      <w:pPr>
        <w:spacing w:line="276" w:lineRule="auto"/>
        <w:jc w:val="both"/>
        <w:rPr>
          <w:rFonts w:ascii="Arial" w:hAnsi="Arial" w:cs="Arial"/>
        </w:rPr>
      </w:pPr>
      <w:r w:rsidRPr="00552257">
        <w:rPr>
          <w:rFonts w:ascii="Arial" w:hAnsi="Arial" w:cs="Arial"/>
        </w:rPr>
        <w:t xml:space="preserve">While no study has directly assessed CA 15-3 in relation to PET microplastic exposure, previous research has demonstrated that exposure to different types of microplastics has a significant alteration/influence on breast cancer cell lines (Park </w:t>
      </w:r>
      <w:r w:rsidRPr="00552257">
        <w:rPr>
          <w:rFonts w:ascii="Arial" w:hAnsi="Arial" w:cs="Arial"/>
          <w:i/>
          <w:iCs/>
        </w:rPr>
        <w:t>et al.,</w:t>
      </w:r>
      <w:r w:rsidRPr="00552257">
        <w:rPr>
          <w:rFonts w:ascii="Arial" w:hAnsi="Arial" w:cs="Arial"/>
        </w:rPr>
        <w:t xml:space="preserve"> 2023; Schnee </w:t>
      </w:r>
      <w:r w:rsidRPr="00552257">
        <w:rPr>
          <w:rFonts w:ascii="Arial" w:hAnsi="Arial" w:cs="Arial"/>
          <w:i/>
          <w:iCs/>
        </w:rPr>
        <w:t>et al.,</w:t>
      </w:r>
      <w:r w:rsidRPr="00552257">
        <w:rPr>
          <w:rFonts w:ascii="Arial" w:hAnsi="Arial" w:cs="Arial"/>
        </w:rPr>
        <w:t xml:space="preserve"> 2024). Park </w:t>
      </w:r>
      <w:r w:rsidRPr="00552257">
        <w:rPr>
          <w:rFonts w:ascii="Arial" w:hAnsi="Arial" w:cs="Arial"/>
          <w:i/>
          <w:iCs/>
        </w:rPr>
        <w:t>et al.</w:t>
      </w:r>
      <w:r w:rsidRPr="00552257">
        <w:rPr>
          <w:rFonts w:ascii="Arial" w:hAnsi="Arial" w:cs="Arial"/>
        </w:rPr>
        <w:t xml:space="preserve"> (2023), in their study, found that polypropylene microplastics (</w:t>
      </w:r>
      <w:proofErr w:type="spellStart"/>
      <w:r w:rsidRPr="00552257">
        <w:rPr>
          <w:rFonts w:ascii="Arial" w:hAnsi="Arial" w:cs="Arial"/>
        </w:rPr>
        <w:t>PPMPs</w:t>
      </w:r>
      <w:proofErr w:type="spellEnd"/>
      <w:r w:rsidRPr="00552257">
        <w:rPr>
          <w:rFonts w:ascii="Arial" w:hAnsi="Arial" w:cs="Arial"/>
        </w:rPr>
        <w:t>) significantly accelerated the cell cycle in breast cancer cell lines, which does not directly agree with the breast cancer marker result in this study. The reason for this discrepancy may be that while we examined the effects of PET microplastics on serum marker (C</w:t>
      </w:r>
      <w:r w:rsidR="007E0CF6">
        <w:rPr>
          <w:rFonts w:ascii="Arial" w:hAnsi="Arial" w:cs="Arial"/>
        </w:rPr>
        <w:t>A</w:t>
      </w:r>
      <w:r w:rsidRPr="00552257">
        <w:rPr>
          <w:rFonts w:ascii="Arial" w:hAnsi="Arial" w:cs="Arial"/>
        </w:rPr>
        <w:t xml:space="preserve"> 15-3) in this study, Park </w:t>
      </w:r>
      <w:r w:rsidRPr="00552257">
        <w:rPr>
          <w:rFonts w:ascii="Arial" w:hAnsi="Arial" w:cs="Arial"/>
          <w:i/>
          <w:iCs/>
        </w:rPr>
        <w:t>et al.</w:t>
      </w:r>
      <w:r w:rsidRPr="00552257">
        <w:rPr>
          <w:rFonts w:ascii="Arial" w:hAnsi="Arial" w:cs="Arial"/>
        </w:rPr>
        <w:t xml:space="preserve"> (2023) examined the effects of polypropylene microplastics on breast cancer cells, which suggests that different types of microplastics may have varying biological effects depending on their composition, exposure route, and target system. Similarly, Schnee </w:t>
      </w:r>
      <w:r w:rsidRPr="00552257">
        <w:rPr>
          <w:rFonts w:ascii="Arial" w:hAnsi="Arial" w:cs="Arial"/>
          <w:i/>
          <w:iCs/>
        </w:rPr>
        <w:t>et al.</w:t>
      </w:r>
      <w:r w:rsidRPr="00552257">
        <w:rPr>
          <w:rFonts w:ascii="Arial" w:hAnsi="Arial" w:cs="Arial"/>
        </w:rPr>
        <w:t xml:space="preserve"> (2024) observed absorption of microplastic particles in breast cancer cells exposed to polystyrene (PS) particles, suggesting that different plastics can differentially affect cancer cell behavior. Their study focused on cellular responses, including cancer cell absorption and accumulation of microplastics, while our study evaluated systemic biochemical changes in vivo, which may also account for the difference in the results between the studies.</w:t>
      </w:r>
    </w:p>
    <w:p w14:paraId="4CB2C117" w14:textId="77777777" w:rsidR="003B2C2A" w:rsidRPr="009C585D" w:rsidRDefault="003B2C2A" w:rsidP="003B2C2A">
      <w:pPr>
        <w:spacing w:line="276" w:lineRule="auto"/>
        <w:jc w:val="both"/>
        <w:rPr>
          <w:rFonts w:ascii="Times New Roman" w:hAnsi="Times New Roman"/>
          <w:sz w:val="24"/>
          <w:szCs w:val="24"/>
        </w:rPr>
      </w:pPr>
    </w:p>
    <w:p w14:paraId="617472C0" w14:textId="477E2C0F" w:rsidR="00813E72" w:rsidRPr="00813E72" w:rsidRDefault="00AC5B06" w:rsidP="00813E72">
      <w:pPr>
        <w:spacing w:after="240" w:line="276" w:lineRule="auto"/>
        <w:jc w:val="both"/>
        <w:rPr>
          <w:rFonts w:ascii="Arial" w:hAnsi="Arial" w:cs="Arial"/>
        </w:rPr>
      </w:pPr>
      <w:r w:rsidRPr="00AC5B06">
        <w:rPr>
          <w:rFonts w:ascii="Arial" w:hAnsi="Arial" w:cs="Arial"/>
        </w:rPr>
        <w:t xml:space="preserve">This study also found a significant increase in the levels of </w:t>
      </w:r>
      <w:proofErr w:type="spellStart"/>
      <w:r w:rsidR="00813E72">
        <w:rPr>
          <w:rFonts w:ascii="Arial" w:hAnsi="Arial" w:cs="Arial"/>
        </w:rPr>
        <w:t>tumour</w:t>
      </w:r>
      <w:proofErr w:type="spellEnd"/>
      <w:r w:rsidR="00813E72">
        <w:rPr>
          <w:rFonts w:ascii="Arial" w:hAnsi="Arial" w:cs="Arial"/>
        </w:rPr>
        <w:t xml:space="preserve"> necrosis factor alpha (</w:t>
      </w:r>
      <w:r w:rsidRPr="00AC5B06">
        <w:rPr>
          <w:rFonts w:ascii="Arial" w:hAnsi="Arial" w:cs="Arial"/>
        </w:rPr>
        <w:t>TNF-α</w:t>
      </w:r>
      <w:r w:rsidR="00813E72">
        <w:rPr>
          <w:rFonts w:ascii="Arial" w:hAnsi="Arial" w:cs="Arial"/>
        </w:rPr>
        <w:t>)</w:t>
      </w:r>
      <w:r w:rsidRPr="00AC5B06">
        <w:rPr>
          <w:rFonts w:ascii="Arial" w:hAnsi="Arial" w:cs="Arial"/>
        </w:rPr>
        <w:t xml:space="preserve"> (</w:t>
      </w:r>
      <w:r w:rsidRPr="00AC5B06">
        <w:rPr>
          <w:rFonts w:ascii="Arial" w:hAnsi="Arial" w:cs="Arial"/>
          <w:i/>
          <w:iCs/>
        </w:rPr>
        <w:t>P</w:t>
      </w:r>
      <w:r w:rsidRPr="00AC5B06">
        <w:rPr>
          <w:rFonts w:ascii="Arial" w:hAnsi="Arial" w:cs="Arial"/>
        </w:rPr>
        <w:t xml:space="preserve">&lt;0.001) following PET microplastic exposure (table 3). </w:t>
      </w:r>
      <w:r w:rsidR="00813E72" w:rsidRPr="00813E72">
        <w:rPr>
          <w:rFonts w:ascii="Arial" w:hAnsi="Arial" w:cs="Arial"/>
        </w:rPr>
        <w:t xml:space="preserve">Since the inflammatory cytokine TNF-α is a key mediator of chronic inflammation and tumorigenesis (Hanahan &amp; Weinberg, 2011), its significant elevation suggests that PET microplastics induce a persistent inflammatory response. Chronic inflammation is a well-established driver of various disease conditions, including cancer. The activation of inflammatory pathways in response to PET microplastics may result from the stimulation of macrophages and the recruitment of immune cells (Hu &amp; </w:t>
      </w:r>
      <w:proofErr w:type="spellStart"/>
      <w:r w:rsidR="00813E72" w:rsidRPr="00813E72">
        <w:rPr>
          <w:rFonts w:ascii="Arial" w:hAnsi="Arial" w:cs="Arial"/>
        </w:rPr>
        <w:t>Palić</w:t>
      </w:r>
      <w:proofErr w:type="spellEnd"/>
      <w:r w:rsidR="00813E72" w:rsidRPr="00813E72">
        <w:rPr>
          <w:rFonts w:ascii="Arial" w:hAnsi="Arial" w:cs="Arial"/>
        </w:rPr>
        <w:t xml:space="preserve">, 2020). PET microplastics are recognized as foreign particles by macrophages, which respond by releasing inflammatory cytokines such as TNF-α, interleukin-6 (IL-6), and interleukin-1β (IL-1β). The persistent elevation of TNF-α following PET microplastic exposure indicates a long-term inflammatory state that may accelerate disease progression (Hu &amp; </w:t>
      </w:r>
      <w:proofErr w:type="spellStart"/>
      <w:r w:rsidR="00813E72" w:rsidRPr="00813E72">
        <w:rPr>
          <w:rFonts w:ascii="Arial" w:hAnsi="Arial" w:cs="Arial"/>
        </w:rPr>
        <w:t>Palić</w:t>
      </w:r>
      <w:proofErr w:type="spellEnd"/>
      <w:r w:rsidR="00813E72" w:rsidRPr="00813E72">
        <w:rPr>
          <w:rFonts w:ascii="Arial" w:hAnsi="Arial" w:cs="Arial"/>
        </w:rPr>
        <w:t xml:space="preserve">, 2020; Deng </w:t>
      </w:r>
      <w:r w:rsidR="00813E72" w:rsidRPr="00E92A44">
        <w:rPr>
          <w:rFonts w:ascii="Arial" w:hAnsi="Arial" w:cs="Arial"/>
          <w:i/>
          <w:iCs/>
        </w:rPr>
        <w:t>et al.,</w:t>
      </w:r>
      <w:r w:rsidR="00813E72" w:rsidRPr="00813E72">
        <w:rPr>
          <w:rFonts w:ascii="Arial" w:hAnsi="Arial" w:cs="Arial"/>
        </w:rPr>
        <w:t xml:space="preserve"> 2017). This chronic inflammatory environment can also contribute to immune </w:t>
      </w:r>
      <w:proofErr w:type="gramStart"/>
      <w:r w:rsidR="00813E72" w:rsidRPr="00813E72">
        <w:rPr>
          <w:rFonts w:ascii="Arial" w:hAnsi="Arial" w:cs="Arial"/>
        </w:rPr>
        <w:t>evasion,</w:t>
      </w:r>
      <w:proofErr w:type="gramEnd"/>
      <w:r w:rsidR="00813E72" w:rsidRPr="00813E72">
        <w:rPr>
          <w:rFonts w:ascii="Arial" w:hAnsi="Arial" w:cs="Arial"/>
        </w:rPr>
        <w:t xml:space="preserve"> whereby malignant cells exploit dysregulated immune signaling to escape immune surveillance. Pro-tumorigenic signaling pathways—particularly those involving nuclear factor kappa B (NF-</w:t>
      </w:r>
      <w:proofErr w:type="spellStart"/>
      <w:r w:rsidR="00813E72" w:rsidRPr="00813E72">
        <w:rPr>
          <w:rFonts w:ascii="Arial" w:hAnsi="Arial" w:cs="Arial"/>
        </w:rPr>
        <w:t>κB</w:t>
      </w:r>
      <w:proofErr w:type="spellEnd"/>
      <w:r w:rsidR="00813E72" w:rsidRPr="00813E72">
        <w:rPr>
          <w:rFonts w:ascii="Arial" w:hAnsi="Arial" w:cs="Arial"/>
        </w:rPr>
        <w:t xml:space="preserve">) and TNF-α—are activated under such conditions. These pathways promote the transcription of genes responsible for cell survival, proliferation, and angiogenesis, all of which are essential for tumor development and progression (Zhao </w:t>
      </w:r>
      <w:r w:rsidR="00813E72" w:rsidRPr="00E92A44">
        <w:rPr>
          <w:rFonts w:ascii="Arial" w:hAnsi="Arial" w:cs="Arial"/>
          <w:i/>
          <w:iCs/>
        </w:rPr>
        <w:t>et al.,</w:t>
      </w:r>
      <w:r w:rsidR="00813E72" w:rsidRPr="00813E72">
        <w:rPr>
          <w:rFonts w:ascii="Arial" w:hAnsi="Arial" w:cs="Arial"/>
        </w:rPr>
        <w:t xml:space="preserve"> 2021). Furthermore, sustained inflammation triggered by PET microplastics may lead to excessive generation of reactive oxygen species (ROS), resulting in oxidative stress. ROS-induced damage to cellular components—such as DNA, lipids, and proteins—can further increase cellular dysfunction. Notably, oxidative damage may activate NF-</w:t>
      </w:r>
      <w:proofErr w:type="spellStart"/>
      <w:r w:rsidR="00813E72" w:rsidRPr="00813E72">
        <w:rPr>
          <w:rFonts w:ascii="Arial" w:hAnsi="Arial" w:cs="Arial"/>
        </w:rPr>
        <w:t>κB</w:t>
      </w:r>
      <w:proofErr w:type="spellEnd"/>
      <w:r w:rsidR="00813E72" w:rsidRPr="00813E72">
        <w:rPr>
          <w:rFonts w:ascii="Arial" w:hAnsi="Arial" w:cs="Arial"/>
        </w:rPr>
        <w:t>, a central transcription factor regulating immune and inflammatory responses. Elevated ROS levels can cause both single- and double-strand DNA breaks, thereby increasing the risk of mutations and genomic instability, particularly in settings where DNA repair mechanisms are impaired. This genomic instability is a hallmark of carcinogenesis, driving uncontrolled cell proliferation (</w:t>
      </w:r>
      <w:proofErr w:type="spellStart"/>
      <w:r w:rsidR="00813E72" w:rsidRPr="00813E72">
        <w:rPr>
          <w:rFonts w:ascii="Arial" w:hAnsi="Arial" w:cs="Arial"/>
        </w:rPr>
        <w:t>Prüst</w:t>
      </w:r>
      <w:proofErr w:type="spellEnd"/>
      <w:r w:rsidR="00813E72" w:rsidRPr="00813E72">
        <w:rPr>
          <w:rFonts w:ascii="Arial" w:hAnsi="Arial" w:cs="Arial"/>
        </w:rPr>
        <w:t xml:space="preserve"> </w:t>
      </w:r>
      <w:r w:rsidR="00813E72" w:rsidRPr="00E92A44">
        <w:rPr>
          <w:rFonts w:ascii="Arial" w:hAnsi="Arial" w:cs="Arial"/>
          <w:i/>
          <w:iCs/>
        </w:rPr>
        <w:t>et al.,</w:t>
      </w:r>
      <w:r w:rsidR="00813E72" w:rsidRPr="00813E72">
        <w:rPr>
          <w:rFonts w:ascii="Arial" w:hAnsi="Arial" w:cs="Arial"/>
        </w:rPr>
        <w:t xml:space="preserve"> 2020; Kumar </w:t>
      </w:r>
      <w:r w:rsidR="00813E72" w:rsidRPr="00E92A44">
        <w:rPr>
          <w:rFonts w:ascii="Arial" w:hAnsi="Arial" w:cs="Arial"/>
          <w:i/>
          <w:iCs/>
        </w:rPr>
        <w:t>et al.,</w:t>
      </w:r>
      <w:r w:rsidR="00813E72" w:rsidRPr="00813E72">
        <w:rPr>
          <w:rFonts w:ascii="Arial" w:hAnsi="Arial" w:cs="Arial"/>
        </w:rPr>
        <w:t xml:space="preserve"> 2024).</w:t>
      </w:r>
    </w:p>
    <w:p w14:paraId="39FA45B4" w14:textId="4B631461" w:rsidR="00AC5B06" w:rsidRPr="00AC5B06" w:rsidRDefault="00AC5B06" w:rsidP="00AC5B06">
      <w:pPr>
        <w:spacing w:after="240" w:line="276" w:lineRule="auto"/>
        <w:jc w:val="both"/>
        <w:rPr>
          <w:rFonts w:ascii="Arial" w:hAnsi="Arial" w:cs="Arial"/>
        </w:rPr>
      </w:pPr>
      <w:r w:rsidRPr="00AC5B06">
        <w:rPr>
          <w:rFonts w:ascii="Arial" w:hAnsi="Arial" w:cs="Arial"/>
        </w:rPr>
        <w:lastRenderedPageBreak/>
        <w:t xml:space="preserve">This study’s findings are consistent with that of Campanale </w:t>
      </w:r>
      <w:r w:rsidRPr="00AC5B06">
        <w:rPr>
          <w:rFonts w:ascii="Arial" w:hAnsi="Arial" w:cs="Arial"/>
          <w:i/>
          <w:iCs/>
        </w:rPr>
        <w:t>et al.</w:t>
      </w:r>
      <w:r w:rsidRPr="00AC5B06">
        <w:rPr>
          <w:rFonts w:ascii="Arial" w:hAnsi="Arial" w:cs="Arial"/>
        </w:rPr>
        <w:t xml:space="preserve"> (2020), who reported that inhaled microplastics trigger inflammation and increase cytokine levels. Similarly, Deng </w:t>
      </w:r>
      <w:r w:rsidRPr="00AC5B06">
        <w:rPr>
          <w:rFonts w:ascii="Arial" w:hAnsi="Arial" w:cs="Arial"/>
          <w:i/>
          <w:iCs/>
        </w:rPr>
        <w:t>et al.</w:t>
      </w:r>
      <w:r w:rsidRPr="00AC5B06">
        <w:rPr>
          <w:rFonts w:ascii="Arial" w:hAnsi="Arial" w:cs="Arial"/>
        </w:rPr>
        <w:t xml:space="preserve"> (2021) found that microplastic leachates upregulate pro-inflammatory pathways, leading to chronic inflammation and increased cancer risk. Moreover, Park </w:t>
      </w:r>
      <w:r w:rsidRPr="00AC5B06">
        <w:rPr>
          <w:rFonts w:ascii="Arial" w:hAnsi="Arial" w:cs="Arial"/>
          <w:i/>
          <w:iCs/>
        </w:rPr>
        <w:t>et al.</w:t>
      </w:r>
      <w:r w:rsidRPr="00AC5B06">
        <w:rPr>
          <w:rFonts w:ascii="Arial" w:hAnsi="Arial" w:cs="Arial"/>
        </w:rPr>
        <w:t xml:space="preserve"> (2023) observed enhanced IL-6 secretion in breast cancer cells exposed to polypropylene microplastics, reinforcing the link between plastic exposure and inflammatory cytokine production. The increased levels of TNF-α in this study suggest that while PET microplastics may not directly elevate CA 15-3 levels, they may promote an inflammatory microenvironment conducive to disease development, including breast tissue alterations and cancer progression.</w:t>
      </w:r>
    </w:p>
    <w:p w14:paraId="6D5D9F4C" w14:textId="71B6A19E" w:rsidR="006F4DAC" w:rsidRDefault="009B0FC5" w:rsidP="009B0FC5">
      <w:pPr>
        <w:spacing w:after="240" w:line="276" w:lineRule="auto"/>
        <w:jc w:val="both"/>
        <w:rPr>
          <w:rFonts w:ascii="Arial" w:hAnsi="Arial" w:cs="Arial"/>
        </w:rPr>
      </w:pPr>
      <w:r w:rsidRPr="009B0FC5">
        <w:rPr>
          <w:rFonts w:ascii="Arial" w:hAnsi="Arial" w:cs="Arial"/>
        </w:rPr>
        <w:t xml:space="preserve">Histological results of breast tissues also support these biochemical findings. Sections of breast tissue from control rats (Plate 1A) and Group 2 rats (Plate 1B) that received a very low dose of PET microplastics showed unremarkable breast ducts and lobules, indicating normal tissue architecture with no significant pathological changes. However, Group 3 (Plate 2C) and Group 4 rats (Plate 3D), which were exposed to higher PET doses, exhibited notable histopathological alterations, including ducts containing pinkish luminal secretion and increased stromal fibrosis, suggestive of fibrocystic changes. </w:t>
      </w:r>
    </w:p>
    <w:p w14:paraId="108DE26B" w14:textId="461E5F0C" w:rsidR="00134C1B" w:rsidRDefault="00087418" w:rsidP="00087418">
      <w:pPr>
        <w:spacing w:after="240" w:line="276" w:lineRule="auto"/>
        <w:jc w:val="both"/>
        <w:rPr>
          <w:rFonts w:ascii="Arial" w:hAnsi="Arial" w:cs="Arial"/>
        </w:rPr>
      </w:pPr>
      <w:r w:rsidRPr="00087418">
        <w:rPr>
          <w:rFonts w:ascii="Arial" w:hAnsi="Arial" w:cs="Arial"/>
        </w:rPr>
        <w:t xml:space="preserve">Fibrocystic changes, though benign, reflect chronic tissue stress and may be indicative of underlying endocrine disruption and inflammation (Malherbe </w:t>
      </w:r>
      <w:r w:rsidRPr="005A0F61">
        <w:rPr>
          <w:rFonts w:ascii="Arial" w:hAnsi="Arial" w:cs="Arial"/>
          <w:i/>
          <w:iCs/>
        </w:rPr>
        <w:t>et al.,</w:t>
      </w:r>
      <w:r w:rsidRPr="00087418">
        <w:rPr>
          <w:rFonts w:ascii="Arial" w:hAnsi="Arial" w:cs="Arial"/>
        </w:rPr>
        <w:t xml:space="preserve"> 2023). Hence, in this study, the observed fibrocystic alterations may result from inflammatory responses triggered by exposure to PET microplastics. This inflammation may serve as a potential mechanism through which PET contributes to breast tissue remodeling and possibly elevates the risk of disease development. Fibrosis, a key feature of tissue remodeling, arises from the excessive accumulation of extracellular matrix (ECM) components—primarily collagen and fibronectin—typically in response to persistent injury or chronic inflammation (Zhao </w:t>
      </w:r>
      <w:r w:rsidRPr="005A0F61">
        <w:rPr>
          <w:rFonts w:ascii="Arial" w:hAnsi="Arial" w:cs="Arial"/>
          <w:i/>
          <w:iCs/>
        </w:rPr>
        <w:t>et al.,</w:t>
      </w:r>
      <w:r w:rsidRPr="00087418">
        <w:rPr>
          <w:rFonts w:ascii="Arial" w:hAnsi="Arial" w:cs="Arial"/>
        </w:rPr>
        <w:t xml:space="preserve"> 2022). Chronic inflammation activates a cascade of signaling events that enhance ECM deposition, increase tissue stiffness, and alter the mechanical properties of tissues. Immune cells such as macrophages, neutrophils, and lymphocytes remain persistently activated, with M2 macrophages secreting profibrotic cytokines like transforming growth factor-beta (</w:t>
      </w:r>
      <w:proofErr w:type="spellStart"/>
      <w:r w:rsidRPr="00087418">
        <w:rPr>
          <w:rFonts w:ascii="Arial" w:hAnsi="Arial" w:cs="Arial"/>
        </w:rPr>
        <w:t>TGF</w:t>
      </w:r>
      <w:proofErr w:type="spellEnd"/>
      <w:r w:rsidRPr="00087418">
        <w:rPr>
          <w:rFonts w:ascii="Arial" w:hAnsi="Arial" w:cs="Arial"/>
        </w:rPr>
        <w:t>-β) and platelet-derived growth factor (PDGF), which in turn stimulate fibroblast activation and differentiation into myofibroblasts. These myofibroblasts possess contractile properties and secrete high levels of ECM, leading to fibrotic scarring due to disrupted tissue remodeling</w:t>
      </w:r>
      <w:r w:rsidR="00134C1B">
        <w:rPr>
          <w:rFonts w:ascii="Arial" w:hAnsi="Arial" w:cs="Arial"/>
        </w:rPr>
        <w:t xml:space="preserve"> which can in turn lead to pathological conditions</w:t>
      </w:r>
      <w:r w:rsidRPr="00087418">
        <w:rPr>
          <w:rFonts w:ascii="Arial" w:hAnsi="Arial" w:cs="Arial"/>
        </w:rPr>
        <w:t xml:space="preserve"> (Li </w:t>
      </w:r>
      <w:r w:rsidRPr="005A0F61">
        <w:rPr>
          <w:rFonts w:ascii="Arial" w:hAnsi="Arial" w:cs="Arial"/>
          <w:i/>
          <w:iCs/>
        </w:rPr>
        <w:t>et al.,</w:t>
      </w:r>
      <w:r w:rsidRPr="00087418">
        <w:rPr>
          <w:rFonts w:ascii="Arial" w:hAnsi="Arial" w:cs="Arial"/>
        </w:rPr>
        <w:t xml:space="preserve"> 2021; Eom </w:t>
      </w:r>
      <w:r w:rsidRPr="005A0F61">
        <w:rPr>
          <w:rFonts w:ascii="Arial" w:hAnsi="Arial" w:cs="Arial"/>
          <w:i/>
          <w:iCs/>
        </w:rPr>
        <w:t>et al.,</w:t>
      </w:r>
      <w:r w:rsidRPr="00087418">
        <w:rPr>
          <w:rFonts w:ascii="Arial" w:hAnsi="Arial" w:cs="Arial"/>
        </w:rPr>
        <w:t xml:space="preserve"> 2025).</w:t>
      </w:r>
      <w:r w:rsidR="00134C1B">
        <w:rPr>
          <w:rFonts w:ascii="Arial" w:hAnsi="Arial" w:cs="Arial"/>
        </w:rPr>
        <w:t xml:space="preserve"> </w:t>
      </w:r>
    </w:p>
    <w:p w14:paraId="1A6BF3D5" w14:textId="47DB71FA" w:rsidR="00087418" w:rsidRPr="00087418" w:rsidRDefault="005A0F61" w:rsidP="00087418">
      <w:pPr>
        <w:spacing w:after="240" w:line="276" w:lineRule="auto"/>
        <w:jc w:val="both"/>
        <w:rPr>
          <w:rFonts w:ascii="Arial" w:hAnsi="Arial" w:cs="Arial"/>
        </w:rPr>
      </w:pPr>
      <w:r>
        <w:rPr>
          <w:rFonts w:ascii="Arial" w:hAnsi="Arial" w:cs="Arial"/>
        </w:rPr>
        <w:t>Furthermore</w:t>
      </w:r>
      <w:r w:rsidR="00087418" w:rsidRPr="00087418">
        <w:rPr>
          <w:rFonts w:ascii="Arial" w:hAnsi="Arial" w:cs="Arial"/>
        </w:rPr>
        <w:t>, chronic inflammation disturbs the balance between ECM synthesis and degradation. Dysregulation of matrix metalloproteinases (</w:t>
      </w:r>
      <w:proofErr w:type="spellStart"/>
      <w:r w:rsidR="00087418" w:rsidRPr="00087418">
        <w:rPr>
          <w:rFonts w:ascii="Arial" w:hAnsi="Arial" w:cs="Arial"/>
        </w:rPr>
        <w:t>MMPs</w:t>
      </w:r>
      <w:proofErr w:type="spellEnd"/>
      <w:r w:rsidR="00087418" w:rsidRPr="00087418">
        <w:rPr>
          <w:rFonts w:ascii="Arial" w:hAnsi="Arial" w:cs="Arial"/>
        </w:rPr>
        <w:t xml:space="preserve">), enzymes crucial for ECM turnover, contributes to ECM accumulation and tissue stiffening. This altered mechanical environment can interfere with normal cellular </w:t>
      </w:r>
      <w:proofErr w:type="spellStart"/>
      <w:r w:rsidR="00087418" w:rsidRPr="00087418">
        <w:rPr>
          <w:rFonts w:ascii="Arial" w:hAnsi="Arial" w:cs="Arial"/>
        </w:rPr>
        <w:t>mechanotransduction</w:t>
      </w:r>
      <w:proofErr w:type="spellEnd"/>
      <w:r w:rsidR="00087418" w:rsidRPr="00087418">
        <w:rPr>
          <w:rFonts w:ascii="Arial" w:hAnsi="Arial" w:cs="Arial"/>
        </w:rPr>
        <w:t xml:space="preserve"> signals, potentially activating tumorigenic pathways. As fibrosis progresses, the expanding fibrotic matrix limits oxygen diffusion, creating a hypoxic microenvironment that induces hypoxia-inducible factors (HIF-1α and HIF-2α). These factors not only accelerate fibrosis but also stimulate angiogenesis—a process often exploited by tumors for growth and metastasis (Marozzi et al., 2021). The fibrotic microenvironment is inherently pro-tumorigenic. Increased tissue stiffness promotes epithelial-to-mesenchymal transition (EMT), enabling epithelial cells to acquire migratory and invasive characteristics essential for tumor progression (Marozzi </w:t>
      </w:r>
      <w:r w:rsidR="00087418" w:rsidRPr="005A0F61">
        <w:rPr>
          <w:rFonts w:ascii="Arial" w:hAnsi="Arial" w:cs="Arial"/>
          <w:i/>
          <w:iCs/>
        </w:rPr>
        <w:t>et al.,</w:t>
      </w:r>
      <w:r w:rsidR="00087418" w:rsidRPr="00087418">
        <w:rPr>
          <w:rFonts w:ascii="Arial" w:hAnsi="Arial" w:cs="Arial"/>
        </w:rPr>
        <w:t xml:space="preserve"> 2021). Additionally, the dense ECM can form physical barriers that hinder immune cell infiltration, </w:t>
      </w:r>
      <w:r w:rsidR="00087418" w:rsidRPr="00087418">
        <w:rPr>
          <w:rFonts w:ascii="Arial" w:hAnsi="Arial" w:cs="Arial"/>
        </w:rPr>
        <w:lastRenderedPageBreak/>
        <w:t xml:space="preserve">impairing effective immune surveillance and allowing malignant cells to evade destruction. Fibrosis-induced hypoxia further enhances tumorigenesis by upregulating vascular endothelial growth factor (VEGF), which drives the formation of abnormal and dysfunctional blood vessels. These </w:t>
      </w:r>
      <w:proofErr w:type="spellStart"/>
      <w:r w:rsidR="00087418" w:rsidRPr="00087418">
        <w:rPr>
          <w:rFonts w:ascii="Arial" w:hAnsi="Arial" w:cs="Arial"/>
        </w:rPr>
        <w:t>neovessels</w:t>
      </w:r>
      <w:proofErr w:type="spellEnd"/>
      <w:r w:rsidR="00087418" w:rsidRPr="00087418">
        <w:rPr>
          <w:rFonts w:ascii="Arial" w:hAnsi="Arial" w:cs="Arial"/>
        </w:rPr>
        <w:t xml:space="preserve"> </w:t>
      </w:r>
      <w:r>
        <w:rPr>
          <w:rFonts w:ascii="Arial" w:hAnsi="Arial" w:cs="Arial"/>
        </w:rPr>
        <w:t xml:space="preserve">may </w:t>
      </w:r>
      <w:r w:rsidR="00087418" w:rsidRPr="00087418">
        <w:rPr>
          <w:rFonts w:ascii="Arial" w:hAnsi="Arial" w:cs="Arial"/>
        </w:rPr>
        <w:t xml:space="preserve">not only supply nutrients to tumor cells but also facilitate their dissemination and metastatic spread (Marozzi </w:t>
      </w:r>
      <w:r w:rsidR="00087418" w:rsidRPr="005A0F61">
        <w:rPr>
          <w:rFonts w:ascii="Arial" w:hAnsi="Arial" w:cs="Arial"/>
          <w:i/>
          <w:iCs/>
        </w:rPr>
        <w:t>et al.,</w:t>
      </w:r>
      <w:r w:rsidR="00087418" w:rsidRPr="00087418">
        <w:rPr>
          <w:rFonts w:ascii="Arial" w:hAnsi="Arial" w:cs="Arial"/>
        </w:rPr>
        <w:t xml:space="preserve"> 2021; Lee </w:t>
      </w:r>
      <w:r w:rsidR="00087418" w:rsidRPr="005A0F61">
        <w:rPr>
          <w:rFonts w:ascii="Arial" w:hAnsi="Arial" w:cs="Arial"/>
          <w:i/>
          <w:iCs/>
        </w:rPr>
        <w:t>et al.,</w:t>
      </w:r>
      <w:r w:rsidR="00087418" w:rsidRPr="00087418">
        <w:rPr>
          <w:rFonts w:ascii="Arial" w:hAnsi="Arial" w:cs="Arial"/>
        </w:rPr>
        <w:t xml:space="preserve"> 2024).</w:t>
      </w:r>
    </w:p>
    <w:p w14:paraId="4007BB98" w14:textId="2A424FE0" w:rsidR="009B0FC5" w:rsidRPr="009B0FC5" w:rsidRDefault="000A3EC4" w:rsidP="009B0FC5">
      <w:pPr>
        <w:spacing w:after="240" w:line="276" w:lineRule="auto"/>
        <w:jc w:val="both"/>
        <w:rPr>
          <w:rFonts w:ascii="Arial" w:hAnsi="Arial" w:cs="Arial"/>
        </w:rPr>
      </w:pPr>
      <w:r w:rsidRPr="000A3EC4">
        <w:rPr>
          <w:rFonts w:ascii="Arial" w:hAnsi="Arial" w:cs="Arial"/>
        </w:rPr>
        <w:t xml:space="preserve">The significant increase in TNF-α in this study aligns with the histological findings, suggesting that PET microplastics contribute to a pro-inflammatory microenvironment that may predispose breast tissue to alterations, including </w:t>
      </w:r>
      <w:proofErr w:type="spellStart"/>
      <w:r w:rsidRPr="000A3EC4">
        <w:rPr>
          <w:rFonts w:ascii="Arial" w:hAnsi="Arial" w:cs="Arial"/>
        </w:rPr>
        <w:t>tumour</w:t>
      </w:r>
      <w:proofErr w:type="spellEnd"/>
      <w:r w:rsidRPr="000A3EC4">
        <w:rPr>
          <w:rFonts w:ascii="Arial" w:hAnsi="Arial" w:cs="Arial"/>
        </w:rPr>
        <w:t xml:space="preserve"> development. Group 5 (Plate 4E), which received water stored in PET bottles exposed to sunlight, showed no significant histopathological abnormalities, with unremarkable skeletal muscle and fibrous tissue. The absence of fibrocystic changes in Group 5 indicates that PET microplastics may not have leached in this case to cause a detectable change in the parameters studied as well as breast tissue histological characterization.</w:t>
      </w:r>
    </w:p>
    <w:p w14:paraId="6EDEE7C3" w14:textId="77777777" w:rsidR="00264095" w:rsidRPr="00442830" w:rsidRDefault="00264095" w:rsidP="00264095">
      <w:pPr>
        <w:pStyle w:val="ListParagraph"/>
        <w:numPr>
          <w:ilvl w:val="0"/>
          <w:numId w:val="32"/>
        </w:numPr>
        <w:spacing w:line="276" w:lineRule="auto"/>
        <w:ind w:left="360"/>
        <w:jc w:val="both"/>
        <w:rPr>
          <w:rFonts w:ascii="Arial" w:hAnsi="Arial" w:cs="Arial"/>
          <w:b/>
          <w:bCs/>
        </w:rPr>
      </w:pPr>
      <w:r w:rsidRPr="00442830">
        <w:rPr>
          <w:rFonts w:ascii="Arial" w:hAnsi="Arial" w:cs="Arial"/>
          <w:b/>
          <w:bCs/>
        </w:rPr>
        <w:t>CONCLUSION</w:t>
      </w:r>
    </w:p>
    <w:p w14:paraId="46CFE7A5" w14:textId="77777777" w:rsidR="009B0FC5" w:rsidRPr="009B0FC5" w:rsidRDefault="009B0FC5" w:rsidP="009B0FC5">
      <w:pPr>
        <w:jc w:val="both"/>
        <w:rPr>
          <w:rFonts w:ascii="Arial" w:hAnsi="Arial" w:cs="Arial"/>
        </w:rPr>
      </w:pPr>
      <w:r w:rsidRPr="009B0FC5">
        <w:rPr>
          <w:rFonts w:ascii="Arial" w:hAnsi="Arial" w:cs="Arial"/>
        </w:rPr>
        <w:t>The findings from this study revealed that chronic exposure to polyethylene terephthalate (PET) microplastics significantly increases the levels of TNF-α. Histological findings revealed fibrocystic breast changes in PET-exposed groups, suggesting potential long-term risks associated with PET microplastic exposure. The increased inflammatory cytokines observed in this study highlight PET microplastics as contributors to a pro-inflammatory microenvironment, which may predispose breast tissue to pathological alterations and hormone-related disorders, including breast cancer risks. These findings highlight the potential health risks associated with prolonged PET microplastic exposure.</w:t>
      </w:r>
    </w:p>
    <w:p w14:paraId="1E3475CF" w14:textId="77777777" w:rsidR="00315186" w:rsidRPr="00315186" w:rsidRDefault="00315186" w:rsidP="00441B6F"/>
    <w:p w14:paraId="6DEEC5B1" w14:textId="77777777" w:rsidR="00371FB6" w:rsidRDefault="00371FB6" w:rsidP="00441B6F">
      <w:pPr>
        <w:pStyle w:val="ReferHead"/>
        <w:spacing w:after="0"/>
        <w:jc w:val="both"/>
        <w:rPr>
          <w:rFonts w:ascii="Arial" w:hAnsi="Arial" w:cs="Arial"/>
          <w:b w:val="0"/>
          <w:caps w:val="0"/>
          <w:sz w:val="20"/>
        </w:rPr>
      </w:pPr>
    </w:p>
    <w:p w14:paraId="0AB2CD0D" w14:textId="01A9BD7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87118AF" w14:textId="77777777" w:rsidR="002B685A" w:rsidRPr="002B685A" w:rsidRDefault="002B685A" w:rsidP="00441B6F">
      <w:pPr>
        <w:pStyle w:val="ReferHead"/>
        <w:spacing w:after="0"/>
        <w:jc w:val="both"/>
        <w:rPr>
          <w:rFonts w:ascii="Arial" w:hAnsi="Arial" w:cs="Arial"/>
          <w:bCs/>
        </w:rPr>
      </w:pPr>
    </w:p>
    <w:p w14:paraId="56CBBB65" w14:textId="502838BD" w:rsidR="001A29D8" w:rsidRPr="003409E4" w:rsidRDefault="00A94E4C" w:rsidP="003409E4">
      <w:pPr>
        <w:spacing w:line="276" w:lineRule="auto"/>
        <w:jc w:val="both"/>
        <w:rPr>
          <w:rFonts w:ascii="Arial" w:hAnsi="Arial" w:cs="Arial"/>
        </w:rPr>
      </w:pPr>
      <w:r w:rsidRPr="00A94E4C">
        <w:rPr>
          <w:rFonts w:ascii="Arial" w:hAnsi="Arial" w:cs="Arial"/>
        </w:rPr>
        <w:t>It is not applicable.</w:t>
      </w:r>
    </w:p>
    <w:p w14:paraId="60E1041B" w14:textId="77777777" w:rsidR="005C784C" w:rsidRDefault="005C784C" w:rsidP="00441B6F">
      <w:pPr>
        <w:pStyle w:val="ReferHead"/>
        <w:spacing w:after="0"/>
        <w:jc w:val="both"/>
        <w:rPr>
          <w:rFonts w:ascii="Arial" w:hAnsi="Arial" w:cs="Arial"/>
          <w:b w:val="0"/>
          <w:caps w:val="0"/>
          <w:sz w:val="20"/>
        </w:rPr>
      </w:pPr>
    </w:p>
    <w:p w14:paraId="336767A9"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1008ECB" w14:textId="77777777" w:rsidR="005C784C" w:rsidRPr="002B685A" w:rsidRDefault="005C784C" w:rsidP="00441B6F">
      <w:pPr>
        <w:pStyle w:val="ReferHead"/>
        <w:spacing w:after="0"/>
        <w:jc w:val="both"/>
        <w:rPr>
          <w:rFonts w:ascii="Arial" w:hAnsi="Arial" w:cs="Arial"/>
          <w:bCs/>
        </w:rPr>
      </w:pPr>
    </w:p>
    <w:p w14:paraId="2926BC15" w14:textId="314FCB15" w:rsidR="00A94E4C" w:rsidRPr="009C720E" w:rsidRDefault="007F3B06" w:rsidP="00A94E4C">
      <w:pPr>
        <w:spacing w:line="276" w:lineRule="auto"/>
        <w:jc w:val="both"/>
        <w:rPr>
          <w:rFonts w:ascii="Arial" w:hAnsi="Arial" w:cs="Arial"/>
        </w:rPr>
      </w:pPr>
      <w:r>
        <w:rPr>
          <w:rFonts w:ascii="Arial" w:hAnsi="Arial" w:cs="Arial"/>
        </w:rPr>
        <w:t>The</w:t>
      </w:r>
      <w:r w:rsidR="00A94E4C" w:rsidRPr="00A94E4C">
        <w:rPr>
          <w:rFonts w:ascii="Arial" w:hAnsi="Arial" w:cs="Arial"/>
        </w:rPr>
        <w:t xml:space="preserve"> National </w:t>
      </w:r>
      <w:r w:rsidR="00A94E4C" w:rsidRPr="009C720E">
        <w:rPr>
          <w:rFonts w:ascii="Arial" w:hAnsi="Arial" w:cs="Arial"/>
        </w:rPr>
        <w:t xml:space="preserve">Research Council's Guide for the Care and Use of Laboratory Animals Health </w:t>
      </w:r>
      <w:r w:rsidR="009C720E" w:rsidRPr="009C720E">
        <w:rPr>
          <w:rFonts w:ascii="Arial" w:hAnsi="Arial" w:cs="Arial"/>
        </w:rPr>
        <w:t>(National Research Council, 2011) </w:t>
      </w:r>
      <w:r w:rsidR="00A94E4C" w:rsidRPr="009C720E">
        <w:rPr>
          <w:rFonts w:ascii="Arial" w:hAnsi="Arial" w:cs="Arial"/>
        </w:rPr>
        <w:t xml:space="preserve">and the ARRIVE (Animal Research: Reporting of In Vivo Experiments) guidelines </w:t>
      </w:r>
      <w:r w:rsidR="009C720E" w:rsidRPr="009C720E">
        <w:rPr>
          <w:rFonts w:ascii="Arial" w:hAnsi="Arial" w:cs="Arial"/>
        </w:rPr>
        <w:t xml:space="preserve">(Percie du </w:t>
      </w:r>
      <w:proofErr w:type="spellStart"/>
      <w:r w:rsidR="009C720E" w:rsidRPr="009C720E">
        <w:rPr>
          <w:rFonts w:ascii="Arial" w:hAnsi="Arial" w:cs="Arial"/>
        </w:rPr>
        <w:t>Sert</w:t>
      </w:r>
      <w:proofErr w:type="spellEnd"/>
      <w:r w:rsidR="009C720E" w:rsidRPr="009C720E">
        <w:rPr>
          <w:rFonts w:ascii="Arial" w:hAnsi="Arial" w:cs="Arial"/>
        </w:rPr>
        <w:t xml:space="preserve">, 2020) </w:t>
      </w:r>
      <w:r w:rsidR="00A94E4C" w:rsidRPr="009C720E">
        <w:rPr>
          <w:rFonts w:ascii="Arial" w:hAnsi="Arial" w:cs="Arial"/>
        </w:rPr>
        <w:t>were followed</w:t>
      </w:r>
      <w:r w:rsidR="003409E4" w:rsidRPr="009C720E">
        <w:rPr>
          <w:rFonts w:ascii="Arial" w:hAnsi="Arial" w:cs="Arial"/>
        </w:rPr>
        <w:t xml:space="preserve"> in this research.</w:t>
      </w:r>
    </w:p>
    <w:p w14:paraId="760930DF" w14:textId="77777777" w:rsidR="00860000" w:rsidRDefault="00860000" w:rsidP="00441B6F">
      <w:pPr>
        <w:pStyle w:val="ReferHead"/>
        <w:spacing w:after="0"/>
        <w:jc w:val="both"/>
        <w:rPr>
          <w:rFonts w:ascii="Arial" w:hAnsi="Arial" w:cs="Arial"/>
        </w:rPr>
      </w:pPr>
    </w:p>
    <w:p w14:paraId="5E2BB963" w14:textId="4DDE7DED" w:rsidR="007F3B06" w:rsidRPr="003409E4" w:rsidRDefault="007F3B06" w:rsidP="00441B6F">
      <w:pPr>
        <w:pStyle w:val="ReferHead"/>
        <w:spacing w:after="0"/>
        <w:jc w:val="both"/>
        <w:rPr>
          <w:rFonts w:ascii="Arial" w:hAnsi="Arial" w:cs="Arial"/>
        </w:rPr>
      </w:pPr>
      <w:r w:rsidRPr="007F3B06">
        <w:rPr>
          <w:rFonts w:ascii="Arial" w:hAnsi="Arial" w:cs="Arial"/>
        </w:rPr>
        <w:t>DISCLAIMER (ARTIFICIAL INTELLIGENCE)</w:t>
      </w:r>
    </w:p>
    <w:p w14:paraId="52F236E5" w14:textId="691F29CF" w:rsidR="007F3B06" w:rsidRDefault="00637414" w:rsidP="00441B6F">
      <w:pPr>
        <w:pStyle w:val="ReferHead"/>
        <w:spacing w:after="0"/>
        <w:jc w:val="both"/>
        <w:rPr>
          <w:rFonts w:ascii="Arial" w:hAnsi="Arial" w:cs="Arial"/>
          <w:b w:val="0"/>
          <w:bCs/>
          <w:caps w:val="0"/>
          <w:sz w:val="20"/>
        </w:rPr>
      </w:pPr>
      <w:r>
        <w:rPr>
          <w:rFonts w:ascii="Arial" w:hAnsi="Arial" w:cs="Arial"/>
          <w:b w:val="0"/>
          <w:bCs/>
          <w:caps w:val="0"/>
          <w:sz w:val="20"/>
        </w:rPr>
        <w:t>The a</w:t>
      </w:r>
      <w:r w:rsidR="007F3B06" w:rsidRPr="00AC1C8F">
        <w:rPr>
          <w:rFonts w:ascii="Arial" w:hAnsi="Arial" w:cs="Arial"/>
          <w:b w:val="0"/>
          <w:bCs/>
          <w:caps w:val="0"/>
          <w:sz w:val="20"/>
        </w:rPr>
        <w:t xml:space="preserve">uthor(s) hereby </w:t>
      </w:r>
      <w:r w:rsidR="003409E4" w:rsidRPr="00AC1C8F">
        <w:rPr>
          <w:rFonts w:ascii="Arial" w:hAnsi="Arial" w:cs="Arial"/>
          <w:b w:val="0"/>
          <w:bCs/>
          <w:caps w:val="0"/>
          <w:sz w:val="20"/>
        </w:rPr>
        <w:t xml:space="preserve">declares </w:t>
      </w:r>
      <w:r w:rsidR="007F3B06" w:rsidRPr="00AC1C8F">
        <w:rPr>
          <w:rFonts w:ascii="Arial" w:hAnsi="Arial" w:cs="Arial"/>
          <w:b w:val="0"/>
          <w:bCs/>
          <w:caps w:val="0"/>
          <w:sz w:val="20"/>
        </w:rPr>
        <w:t xml:space="preserve">that </w:t>
      </w:r>
      <w:r w:rsidR="003409E4" w:rsidRPr="00AC1C8F">
        <w:rPr>
          <w:rFonts w:ascii="Arial" w:hAnsi="Arial" w:cs="Arial"/>
          <w:b w:val="0"/>
          <w:bCs/>
          <w:caps w:val="0"/>
          <w:sz w:val="20"/>
        </w:rPr>
        <w:t xml:space="preserve">this manuscript is solely the result of </w:t>
      </w:r>
      <w:r>
        <w:rPr>
          <w:rFonts w:ascii="Arial" w:hAnsi="Arial" w:cs="Arial"/>
          <w:b w:val="0"/>
          <w:bCs/>
          <w:caps w:val="0"/>
          <w:sz w:val="20"/>
        </w:rPr>
        <w:t xml:space="preserve">the </w:t>
      </w:r>
      <w:r w:rsidR="003409E4" w:rsidRPr="00AC1C8F">
        <w:rPr>
          <w:rFonts w:ascii="Arial" w:hAnsi="Arial" w:cs="Arial"/>
          <w:b w:val="0"/>
          <w:bCs/>
          <w:caps w:val="0"/>
          <w:sz w:val="20"/>
        </w:rPr>
        <w:t xml:space="preserve">author’s original research. No </w:t>
      </w:r>
      <w:r w:rsidR="007F3B06" w:rsidRPr="00AC1C8F">
        <w:rPr>
          <w:rFonts w:ascii="Arial" w:hAnsi="Arial" w:cs="Arial"/>
          <w:b w:val="0"/>
          <w:bCs/>
          <w:caps w:val="0"/>
          <w:sz w:val="20"/>
        </w:rPr>
        <w:t xml:space="preserve">generative </w:t>
      </w:r>
      <w:r w:rsidR="003409E4" w:rsidRPr="00AC1C8F">
        <w:rPr>
          <w:rFonts w:ascii="Arial" w:hAnsi="Arial" w:cs="Arial"/>
          <w:b w:val="0"/>
          <w:bCs/>
          <w:caps w:val="0"/>
          <w:sz w:val="20"/>
        </w:rPr>
        <w:t xml:space="preserve">AI </w:t>
      </w:r>
      <w:r w:rsidR="007F3B06" w:rsidRPr="00AC1C8F">
        <w:rPr>
          <w:rFonts w:ascii="Arial" w:hAnsi="Arial" w:cs="Arial"/>
          <w:b w:val="0"/>
          <w:bCs/>
          <w:caps w:val="0"/>
          <w:sz w:val="20"/>
        </w:rPr>
        <w:t>technologies such as large language models (</w:t>
      </w:r>
      <w:r w:rsidR="003409E4" w:rsidRPr="00AC1C8F">
        <w:rPr>
          <w:rFonts w:ascii="Arial" w:hAnsi="Arial" w:cs="Arial"/>
          <w:b w:val="0"/>
          <w:bCs/>
          <w:caps w:val="0"/>
          <w:sz w:val="20"/>
        </w:rPr>
        <w:t>ChatGPT</w:t>
      </w:r>
      <w:r w:rsidR="007F3B06" w:rsidRPr="00AC1C8F">
        <w:rPr>
          <w:rFonts w:ascii="Arial" w:hAnsi="Arial" w:cs="Arial"/>
          <w:b w:val="0"/>
          <w:bCs/>
          <w:caps w:val="0"/>
          <w:sz w:val="20"/>
        </w:rPr>
        <w:t xml:space="preserve">, </w:t>
      </w:r>
      <w:r w:rsidR="003409E4" w:rsidRPr="00AC1C8F">
        <w:rPr>
          <w:rFonts w:ascii="Arial" w:hAnsi="Arial" w:cs="Arial"/>
          <w:b w:val="0"/>
          <w:bCs/>
          <w:caps w:val="0"/>
          <w:sz w:val="20"/>
        </w:rPr>
        <w:t>Copilot</w:t>
      </w:r>
      <w:r w:rsidR="007F3B06" w:rsidRPr="00AC1C8F">
        <w:rPr>
          <w:rFonts w:ascii="Arial" w:hAnsi="Arial" w:cs="Arial"/>
          <w:b w:val="0"/>
          <w:bCs/>
          <w:caps w:val="0"/>
          <w:sz w:val="20"/>
        </w:rPr>
        <w:t xml:space="preserve">, </w:t>
      </w:r>
      <w:r w:rsidR="003409E4" w:rsidRPr="00AC1C8F">
        <w:rPr>
          <w:rFonts w:ascii="Arial" w:hAnsi="Arial" w:cs="Arial"/>
          <w:b w:val="0"/>
          <w:bCs/>
          <w:caps w:val="0"/>
          <w:sz w:val="20"/>
        </w:rPr>
        <w:t>etc.</w:t>
      </w:r>
      <w:r w:rsidR="007F3B06" w:rsidRPr="00AC1C8F">
        <w:rPr>
          <w:rFonts w:ascii="Arial" w:hAnsi="Arial" w:cs="Arial"/>
          <w:b w:val="0"/>
          <w:bCs/>
          <w:caps w:val="0"/>
          <w:sz w:val="20"/>
        </w:rPr>
        <w:t xml:space="preserve">) and text-to-image </w:t>
      </w:r>
      <w:r w:rsidR="003409E4" w:rsidRPr="00AC1C8F">
        <w:rPr>
          <w:rFonts w:ascii="Arial" w:hAnsi="Arial" w:cs="Arial"/>
          <w:b w:val="0"/>
          <w:bCs/>
          <w:caps w:val="0"/>
          <w:sz w:val="20"/>
        </w:rPr>
        <w:t>generators have been used during writing</w:t>
      </w:r>
      <w:r w:rsidR="007F3B06" w:rsidRPr="00AC1C8F">
        <w:rPr>
          <w:rFonts w:ascii="Arial" w:hAnsi="Arial" w:cs="Arial"/>
          <w:b w:val="0"/>
          <w:bCs/>
          <w:caps w:val="0"/>
          <w:sz w:val="20"/>
        </w:rPr>
        <w:t xml:space="preserve"> of this manuscript.</w:t>
      </w:r>
    </w:p>
    <w:p w14:paraId="5307AE06" w14:textId="77777777" w:rsidR="00637414" w:rsidRPr="00AC1C8F" w:rsidRDefault="00637414" w:rsidP="00441B6F">
      <w:pPr>
        <w:pStyle w:val="ReferHead"/>
        <w:spacing w:after="0"/>
        <w:jc w:val="both"/>
        <w:rPr>
          <w:rFonts w:ascii="Arial" w:hAnsi="Arial" w:cs="Arial"/>
          <w:b w:val="0"/>
          <w:bCs/>
          <w:sz w:val="20"/>
        </w:rPr>
      </w:pPr>
    </w:p>
    <w:p w14:paraId="1E82C68F" w14:textId="77777777" w:rsidR="007F3B06" w:rsidRDefault="007F3B06" w:rsidP="00441B6F">
      <w:pPr>
        <w:pStyle w:val="ReferHead"/>
        <w:spacing w:after="0"/>
        <w:jc w:val="both"/>
        <w:rPr>
          <w:rFonts w:ascii="Arial" w:hAnsi="Arial" w:cs="Arial"/>
        </w:rPr>
      </w:pPr>
    </w:p>
    <w:p w14:paraId="59A4D96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435AD5F" w14:textId="77777777" w:rsidR="00790ADA" w:rsidRPr="00FB3A86" w:rsidRDefault="00790ADA" w:rsidP="00441B6F">
      <w:pPr>
        <w:pStyle w:val="ReferHead"/>
        <w:spacing w:after="0"/>
        <w:jc w:val="both"/>
        <w:rPr>
          <w:rFonts w:ascii="Arial" w:hAnsi="Arial" w:cs="Arial"/>
        </w:rPr>
      </w:pPr>
    </w:p>
    <w:p w14:paraId="0BF07517" w14:textId="3827325B" w:rsidR="003B2C2A" w:rsidRPr="0015400B" w:rsidRDefault="003B2C2A" w:rsidP="0015400B">
      <w:pPr>
        <w:spacing w:after="240" w:line="276" w:lineRule="auto"/>
        <w:rPr>
          <w:rFonts w:ascii="Arial" w:hAnsi="Arial" w:cs="Arial"/>
        </w:rPr>
      </w:pPr>
      <w:proofErr w:type="spellStart"/>
      <w:r w:rsidRPr="0015400B">
        <w:rPr>
          <w:rFonts w:ascii="Arial" w:hAnsi="Arial" w:cs="Arial"/>
        </w:rPr>
        <w:t>Avwioro</w:t>
      </w:r>
      <w:proofErr w:type="spellEnd"/>
      <w:r w:rsidRPr="0015400B">
        <w:rPr>
          <w:rFonts w:ascii="Arial" w:hAnsi="Arial" w:cs="Arial"/>
        </w:rPr>
        <w:t xml:space="preserve">, O.G. (2014). Histochemistry&amp; tissue pathology: principles &amp; technique </w:t>
      </w:r>
      <w:r w:rsidR="0015400B" w:rsidRPr="0015400B">
        <w:rPr>
          <w:rFonts w:ascii="Arial" w:hAnsi="Arial" w:cs="Arial"/>
        </w:rPr>
        <w:tab/>
      </w:r>
      <w:r w:rsidRPr="0015400B">
        <w:rPr>
          <w:rFonts w:ascii="Arial" w:hAnsi="Arial" w:cs="Arial"/>
        </w:rPr>
        <w:t xml:space="preserve">(3rd ed.). </w:t>
      </w:r>
      <w:r w:rsidR="0015400B">
        <w:rPr>
          <w:rFonts w:ascii="Arial" w:hAnsi="Arial" w:cs="Arial"/>
        </w:rPr>
        <w:tab/>
      </w:r>
      <w:proofErr w:type="spellStart"/>
      <w:r w:rsidRPr="0015400B">
        <w:rPr>
          <w:rFonts w:ascii="Arial" w:hAnsi="Arial" w:cs="Arial"/>
        </w:rPr>
        <w:t>Claverianum</w:t>
      </w:r>
      <w:proofErr w:type="spellEnd"/>
      <w:r w:rsidRPr="0015400B">
        <w:rPr>
          <w:rFonts w:ascii="Arial" w:hAnsi="Arial" w:cs="Arial"/>
        </w:rPr>
        <w:t xml:space="preserve"> Press Ltd, Nigeria.</w:t>
      </w:r>
    </w:p>
    <w:p w14:paraId="22C8AFC0" w14:textId="3FF70D70" w:rsidR="003B2C2A" w:rsidRPr="0015400B" w:rsidRDefault="003B2C2A" w:rsidP="0015400B">
      <w:pPr>
        <w:spacing w:after="240" w:line="276" w:lineRule="auto"/>
        <w:jc w:val="both"/>
        <w:rPr>
          <w:rFonts w:ascii="Arial" w:hAnsi="Arial" w:cs="Arial"/>
        </w:rPr>
      </w:pPr>
      <w:r w:rsidRPr="0015400B">
        <w:rPr>
          <w:rFonts w:ascii="Arial" w:hAnsi="Arial" w:cs="Arial"/>
        </w:rPr>
        <w:lastRenderedPageBreak/>
        <w:t xml:space="preserve">Bioassay Technology Laboratory (2024). Rat Carbohydrate Antigen CA 15-3 ELISA kits (Cat. </w:t>
      </w:r>
      <w:r w:rsidR="0015400B">
        <w:rPr>
          <w:rFonts w:ascii="Arial" w:hAnsi="Arial" w:cs="Arial"/>
        </w:rPr>
        <w:tab/>
      </w:r>
      <w:r w:rsidRPr="0015400B">
        <w:rPr>
          <w:rFonts w:ascii="Arial" w:hAnsi="Arial" w:cs="Arial"/>
        </w:rPr>
        <w:t xml:space="preserve">No E1139Ra) Retrieved from </w:t>
      </w:r>
      <w:hyperlink r:id="rId20" w:history="1">
        <w:r w:rsidRPr="0015400B">
          <w:rPr>
            <w:rStyle w:val="Hyperlink"/>
            <w:rFonts w:ascii="Arial" w:hAnsi="Arial" w:cs="Arial"/>
          </w:rPr>
          <w:t>https://www.bt-laboratory.com/</w:t>
        </w:r>
      </w:hyperlink>
      <w:r w:rsidRPr="0015400B">
        <w:rPr>
          <w:rFonts w:ascii="Arial" w:hAnsi="Arial" w:cs="Arial"/>
        </w:rPr>
        <w:t xml:space="preserve"> </w:t>
      </w:r>
    </w:p>
    <w:p w14:paraId="080B1BAA" w14:textId="23A3F3ED" w:rsidR="003B2C2A" w:rsidRDefault="003B2C2A" w:rsidP="0015400B">
      <w:pPr>
        <w:spacing w:before="240" w:after="240" w:line="276" w:lineRule="auto"/>
        <w:jc w:val="both"/>
      </w:pPr>
      <w:r w:rsidRPr="0015400B">
        <w:rPr>
          <w:rFonts w:ascii="Arial" w:hAnsi="Arial" w:cs="Arial"/>
        </w:rPr>
        <w:t xml:space="preserve">Campanale, C., Massarelli, C., Savino, I., </w:t>
      </w:r>
      <w:proofErr w:type="spellStart"/>
      <w:r w:rsidRPr="0015400B">
        <w:rPr>
          <w:rFonts w:ascii="Arial" w:hAnsi="Arial" w:cs="Arial"/>
        </w:rPr>
        <w:t>Locaputo</w:t>
      </w:r>
      <w:proofErr w:type="spellEnd"/>
      <w:r w:rsidRPr="0015400B">
        <w:rPr>
          <w:rFonts w:ascii="Arial" w:hAnsi="Arial" w:cs="Arial"/>
        </w:rPr>
        <w:t xml:space="preserve">, V. &amp; Uricchio, V. F. (2020). A Detailed </w:t>
      </w:r>
      <w:r w:rsidR="007D1970">
        <w:rPr>
          <w:rFonts w:ascii="Arial" w:hAnsi="Arial" w:cs="Arial"/>
        </w:rPr>
        <w:tab/>
      </w:r>
      <w:r w:rsidRPr="0015400B">
        <w:rPr>
          <w:rFonts w:ascii="Arial" w:hAnsi="Arial" w:cs="Arial"/>
        </w:rPr>
        <w:t xml:space="preserve">Review Study on Potential Effects of Microplastics and Additives of Concern on </w:t>
      </w:r>
      <w:r w:rsidR="007D1970">
        <w:rPr>
          <w:rFonts w:ascii="Arial" w:hAnsi="Arial" w:cs="Arial"/>
        </w:rPr>
        <w:tab/>
      </w:r>
      <w:r w:rsidRPr="0015400B">
        <w:rPr>
          <w:rFonts w:ascii="Arial" w:hAnsi="Arial" w:cs="Arial"/>
        </w:rPr>
        <w:t>Human Health. </w:t>
      </w:r>
      <w:r w:rsidRPr="0015400B">
        <w:rPr>
          <w:rFonts w:ascii="Arial" w:hAnsi="Arial" w:cs="Arial"/>
          <w:i/>
          <w:iCs/>
        </w:rPr>
        <w:t xml:space="preserve">International </w:t>
      </w:r>
      <w:r w:rsidR="00E90CBC" w:rsidRPr="0015400B">
        <w:rPr>
          <w:rFonts w:ascii="Arial" w:hAnsi="Arial" w:cs="Arial"/>
          <w:i/>
          <w:iCs/>
        </w:rPr>
        <w:t xml:space="preserve">Journal </w:t>
      </w:r>
      <w:r w:rsidRPr="0015400B">
        <w:rPr>
          <w:rFonts w:ascii="Arial" w:hAnsi="Arial" w:cs="Arial"/>
          <w:i/>
          <w:iCs/>
        </w:rPr>
        <w:t xml:space="preserve">of </w:t>
      </w:r>
      <w:r w:rsidR="00E90CBC" w:rsidRPr="0015400B">
        <w:rPr>
          <w:rFonts w:ascii="Arial" w:hAnsi="Arial" w:cs="Arial"/>
          <w:i/>
          <w:iCs/>
        </w:rPr>
        <w:t xml:space="preserve">Environmental Research </w:t>
      </w:r>
      <w:r w:rsidRPr="0015400B">
        <w:rPr>
          <w:rFonts w:ascii="Arial" w:hAnsi="Arial" w:cs="Arial"/>
          <w:i/>
          <w:iCs/>
        </w:rPr>
        <w:t xml:space="preserve">and </w:t>
      </w:r>
      <w:r w:rsidR="00E90CBC" w:rsidRPr="0015400B">
        <w:rPr>
          <w:rFonts w:ascii="Arial" w:hAnsi="Arial" w:cs="Arial"/>
          <w:i/>
          <w:iCs/>
        </w:rPr>
        <w:t xml:space="preserve">Public </w:t>
      </w:r>
      <w:r w:rsidR="007D1970">
        <w:rPr>
          <w:rFonts w:ascii="Arial" w:hAnsi="Arial" w:cs="Arial"/>
          <w:i/>
          <w:iCs/>
        </w:rPr>
        <w:tab/>
      </w:r>
      <w:r w:rsidR="00E90CBC" w:rsidRPr="0015400B">
        <w:rPr>
          <w:rFonts w:ascii="Arial" w:hAnsi="Arial" w:cs="Arial"/>
          <w:i/>
          <w:iCs/>
        </w:rPr>
        <w:t>Health</w:t>
      </w:r>
      <w:r w:rsidRPr="0015400B">
        <w:rPr>
          <w:rFonts w:ascii="Arial" w:hAnsi="Arial" w:cs="Arial"/>
        </w:rPr>
        <w:t>, </w:t>
      </w:r>
      <w:r w:rsidRPr="0015400B">
        <w:rPr>
          <w:rFonts w:ascii="Arial" w:hAnsi="Arial" w:cs="Arial"/>
          <w:i/>
          <w:iCs/>
        </w:rPr>
        <w:t>17</w:t>
      </w:r>
      <w:r w:rsidRPr="0015400B">
        <w:rPr>
          <w:rFonts w:ascii="Arial" w:hAnsi="Arial" w:cs="Arial"/>
        </w:rPr>
        <w:t xml:space="preserve">(4), 1212. </w:t>
      </w:r>
      <w:hyperlink r:id="rId21" w:history="1">
        <w:r w:rsidR="007D1970" w:rsidRPr="0022330A">
          <w:rPr>
            <w:rStyle w:val="Hyperlink"/>
            <w:rFonts w:ascii="Arial" w:hAnsi="Arial" w:cs="Arial"/>
          </w:rPr>
          <w:t>https://doi.org/10.3390/ijerph17041212</w:t>
        </w:r>
      </w:hyperlink>
    </w:p>
    <w:p w14:paraId="4DEF964F" w14:textId="77777777" w:rsidR="00207D0D" w:rsidRPr="0015400B" w:rsidRDefault="00207D0D" w:rsidP="0015400B">
      <w:pPr>
        <w:shd w:val="clear" w:color="auto" w:fill="FFFFFF"/>
        <w:spacing w:before="240" w:after="240" w:line="276" w:lineRule="auto"/>
        <w:jc w:val="both"/>
        <w:rPr>
          <w:rFonts w:ascii="Arial" w:hAnsi="Arial" w:cs="Arial"/>
        </w:rPr>
      </w:pPr>
      <w:r w:rsidRPr="0015400B">
        <w:rPr>
          <w:rFonts w:ascii="Arial" w:hAnsi="Arial" w:cs="Arial"/>
        </w:rPr>
        <w:t xml:space="preserve">De Vos, L., Van de </w:t>
      </w:r>
      <w:proofErr w:type="spellStart"/>
      <w:r w:rsidRPr="0015400B">
        <w:rPr>
          <w:rFonts w:ascii="Arial" w:hAnsi="Arial" w:cs="Arial"/>
        </w:rPr>
        <w:t>Voorde</w:t>
      </w:r>
      <w:proofErr w:type="spellEnd"/>
      <w:r w:rsidRPr="0015400B">
        <w:rPr>
          <w:rFonts w:ascii="Arial" w:hAnsi="Arial" w:cs="Arial"/>
        </w:rPr>
        <w:t xml:space="preserve">, B., Van Daele, L., </w:t>
      </w:r>
      <w:proofErr w:type="spellStart"/>
      <w:r w:rsidRPr="0015400B">
        <w:rPr>
          <w:rFonts w:ascii="Arial" w:hAnsi="Arial" w:cs="Arial"/>
        </w:rPr>
        <w:t>Dubruel</w:t>
      </w:r>
      <w:proofErr w:type="spellEnd"/>
      <w:r w:rsidRPr="0015400B">
        <w:rPr>
          <w:rFonts w:ascii="Arial" w:hAnsi="Arial" w:cs="Arial"/>
        </w:rPr>
        <w:t xml:space="preserve">, P., &amp; Van </w:t>
      </w:r>
      <w:proofErr w:type="spellStart"/>
      <w:r w:rsidRPr="0015400B">
        <w:rPr>
          <w:rFonts w:ascii="Arial" w:hAnsi="Arial" w:cs="Arial"/>
        </w:rPr>
        <w:t>Vlierberghe</w:t>
      </w:r>
      <w:proofErr w:type="spellEnd"/>
      <w:r w:rsidRPr="0015400B">
        <w:rPr>
          <w:rFonts w:ascii="Arial" w:hAnsi="Arial" w:cs="Arial"/>
        </w:rPr>
        <w:t xml:space="preserve">, S. (2021). Poly </w:t>
      </w:r>
      <w:r w:rsidRPr="0015400B">
        <w:rPr>
          <w:rFonts w:ascii="Arial" w:hAnsi="Arial" w:cs="Arial"/>
        </w:rPr>
        <w:tab/>
        <w:t xml:space="preserve">(alkylene terephthalate) s: From current developments in synthetic strategies towards </w:t>
      </w:r>
      <w:r w:rsidRPr="0015400B">
        <w:rPr>
          <w:rFonts w:ascii="Arial" w:hAnsi="Arial" w:cs="Arial"/>
        </w:rPr>
        <w:tab/>
        <w:t>applications. </w:t>
      </w:r>
      <w:r w:rsidRPr="0015400B">
        <w:rPr>
          <w:rFonts w:ascii="Arial" w:hAnsi="Arial" w:cs="Arial"/>
          <w:i/>
          <w:iCs/>
        </w:rPr>
        <w:t>European Polymer Journal</w:t>
      </w:r>
      <w:r w:rsidRPr="0015400B">
        <w:rPr>
          <w:rFonts w:ascii="Arial" w:hAnsi="Arial" w:cs="Arial"/>
        </w:rPr>
        <w:t>, </w:t>
      </w:r>
      <w:r w:rsidRPr="0015400B">
        <w:rPr>
          <w:rFonts w:ascii="Arial" w:hAnsi="Arial" w:cs="Arial"/>
          <w:i/>
          <w:iCs/>
        </w:rPr>
        <w:t>161</w:t>
      </w:r>
      <w:r w:rsidRPr="0015400B">
        <w:rPr>
          <w:rFonts w:ascii="Arial" w:hAnsi="Arial" w:cs="Arial"/>
        </w:rPr>
        <w:t xml:space="preserve">, 110840. </w:t>
      </w:r>
      <w:r w:rsidRPr="0015400B">
        <w:rPr>
          <w:rFonts w:ascii="Arial" w:hAnsi="Arial" w:cs="Arial"/>
        </w:rPr>
        <w:tab/>
      </w:r>
      <w:hyperlink r:id="rId22" w:history="1">
        <w:r w:rsidRPr="0015400B">
          <w:rPr>
            <w:rStyle w:val="Hyperlink"/>
            <w:rFonts w:ascii="Arial" w:hAnsi="Arial" w:cs="Arial"/>
          </w:rPr>
          <w:t>https://doi.org/10.1016/j.eurpolymj.2021.110840</w:t>
        </w:r>
      </w:hyperlink>
    </w:p>
    <w:p w14:paraId="7B66338E" w14:textId="77777777" w:rsidR="00207D0D" w:rsidRPr="00207D0D" w:rsidRDefault="00207D0D" w:rsidP="00207D0D">
      <w:pPr>
        <w:spacing w:after="240"/>
        <w:jc w:val="both"/>
        <w:rPr>
          <w:rFonts w:ascii="Arial" w:hAnsi="Arial" w:cs="Arial"/>
          <w:lang w:val="en-GB"/>
        </w:rPr>
      </w:pPr>
      <w:r w:rsidRPr="00207D0D">
        <w:rPr>
          <w:rFonts w:ascii="Arial" w:hAnsi="Arial" w:cs="Arial"/>
        </w:rPr>
        <w:t xml:space="preserve">Devi, H. J., Karkuzhali, P., Baskaran, P. K., &amp; Lilly, S. M. (2021). The Detailed Study of CD10: </w:t>
      </w:r>
      <w:r>
        <w:rPr>
          <w:rFonts w:ascii="Arial" w:hAnsi="Arial" w:cs="Arial"/>
        </w:rPr>
        <w:tab/>
      </w:r>
      <w:r w:rsidRPr="00207D0D">
        <w:rPr>
          <w:rFonts w:ascii="Arial" w:hAnsi="Arial" w:cs="Arial"/>
        </w:rPr>
        <w:t xml:space="preserve">A Stromal Marker in Breast Carcinoma. </w:t>
      </w:r>
      <w:r w:rsidRPr="00E90CBC">
        <w:rPr>
          <w:rFonts w:ascii="Arial" w:hAnsi="Arial" w:cs="Arial"/>
          <w:i/>
          <w:iCs/>
        </w:rPr>
        <w:t xml:space="preserve">Journal of Pharmaceutical Research </w:t>
      </w:r>
      <w:r w:rsidRPr="00E90CBC">
        <w:rPr>
          <w:rFonts w:ascii="Arial" w:hAnsi="Arial" w:cs="Arial"/>
          <w:i/>
          <w:iCs/>
        </w:rPr>
        <w:tab/>
        <w:t xml:space="preserve">International, </w:t>
      </w:r>
      <w:r w:rsidRPr="00207D0D">
        <w:rPr>
          <w:rFonts w:ascii="Arial" w:hAnsi="Arial" w:cs="Arial"/>
        </w:rPr>
        <w:t xml:space="preserve">33(22B), 62–70. </w:t>
      </w:r>
      <w:hyperlink r:id="rId23" w:history="1">
        <w:r w:rsidRPr="00207D0D">
          <w:rPr>
            <w:rStyle w:val="Hyperlink"/>
            <w:rFonts w:ascii="Arial" w:hAnsi="Arial" w:cs="Arial"/>
          </w:rPr>
          <w:t>https://doi.org/10.9734/jpri/2021/v33i22B31399</w:t>
        </w:r>
      </w:hyperlink>
    </w:p>
    <w:p w14:paraId="4C772DE4" w14:textId="2A3A7818" w:rsidR="003B2C2A" w:rsidRPr="0015400B" w:rsidRDefault="003B2C2A" w:rsidP="00207D0D">
      <w:pPr>
        <w:spacing w:after="240" w:line="276" w:lineRule="auto"/>
        <w:jc w:val="both"/>
        <w:rPr>
          <w:rFonts w:ascii="Arial" w:hAnsi="Arial" w:cs="Arial"/>
        </w:rPr>
      </w:pPr>
      <w:r w:rsidRPr="0015400B">
        <w:rPr>
          <w:rFonts w:ascii="Arial" w:hAnsi="Arial" w:cs="Arial"/>
        </w:rPr>
        <w:t xml:space="preserve">Deng, P., Tan, M., Zhou, W., Chen, C., Xi, Y., Gao, P., Ma, Q., Liang, Y., Chen, M., Tian, L., </w:t>
      </w:r>
      <w:r w:rsidR="0015400B">
        <w:rPr>
          <w:rFonts w:ascii="Arial" w:hAnsi="Arial" w:cs="Arial"/>
        </w:rPr>
        <w:tab/>
      </w:r>
      <w:r w:rsidRPr="0015400B">
        <w:rPr>
          <w:rFonts w:ascii="Arial" w:hAnsi="Arial" w:cs="Arial"/>
        </w:rPr>
        <w:t xml:space="preserve">Xie, J., Liu, M., Luo, Y., Li, Y., Zhang, L., Wang, L., Zeng, Y., Pi, H., Yu, Z., &amp; Zhou, </w:t>
      </w:r>
      <w:r w:rsidR="0015400B">
        <w:rPr>
          <w:rFonts w:ascii="Arial" w:hAnsi="Arial" w:cs="Arial"/>
        </w:rPr>
        <w:tab/>
      </w:r>
      <w:r w:rsidRPr="0015400B">
        <w:rPr>
          <w:rFonts w:ascii="Arial" w:hAnsi="Arial" w:cs="Arial"/>
        </w:rPr>
        <w:t>Z. (2021). Bisphenol A promotes breast cancer cell proliferation by driving miR-381-</w:t>
      </w:r>
      <w:r w:rsidR="0015400B">
        <w:rPr>
          <w:rFonts w:ascii="Arial" w:hAnsi="Arial" w:cs="Arial"/>
        </w:rPr>
        <w:tab/>
      </w:r>
      <w:r w:rsidRPr="0015400B">
        <w:rPr>
          <w:rFonts w:ascii="Arial" w:hAnsi="Arial" w:cs="Arial"/>
        </w:rPr>
        <w:t>3p-PTTG1-dependent cell cycle progression. </w:t>
      </w:r>
      <w:r w:rsidRPr="0015400B">
        <w:rPr>
          <w:rFonts w:ascii="Arial" w:hAnsi="Arial" w:cs="Arial"/>
          <w:i/>
          <w:iCs/>
        </w:rPr>
        <w:t>Chemosphere</w:t>
      </w:r>
      <w:r w:rsidRPr="0015400B">
        <w:rPr>
          <w:rFonts w:ascii="Arial" w:hAnsi="Arial" w:cs="Arial"/>
        </w:rPr>
        <w:t>, </w:t>
      </w:r>
      <w:r w:rsidRPr="0015400B">
        <w:rPr>
          <w:rFonts w:ascii="Arial" w:hAnsi="Arial" w:cs="Arial"/>
          <w:i/>
          <w:iCs/>
        </w:rPr>
        <w:t>268</w:t>
      </w:r>
      <w:r w:rsidRPr="0015400B">
        <w:rPr>
          <w:rFonts w:ascii="Arial" w:hAnsi="Arial" w:cs="Arial"/>
        </w:rPr>
        <w:t xml:space="preserve">, 129221. </w:t>
      </w:r>
      <w:r w:rsidRPr="0015400B">
        <w:rPr>
          <w:rFonts w:ascii="Arial" w:hAnsi="Arial" w:cs="Arial"/>
        </w:rPr>
        <w:tab/>
      </w:r>
      <w:hyperlink r:id="rId24" w:history="1">
        <w:r w:rsidRPr="0015400B">
          <w:rPr>
            <w:rStyle w:val="Hyperlink"/>
            <w:rFonts w:ascii="Arial" w:hAnsi="Arial" w:cs="Arial"/>
          </w:rPr>
          <w:t>https://doi.org/10.1016/j.chemosphere.2020.129221</w:t>
        </w:r>
      </w:hyperlink>
    </w:p>
    <w:p w14:paraId="13285282" w14:textId="75B78F8A"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Deng, Y., Zhang, Y., Lemos, B., &amp; Ren, H. (2017). Tissue accumulation of microplastics in </w:t>
      </w:r>
      <w:r w:rsidR="007D1970">
        <w:rPr>
          <w:rFonts w:ascii="Arial" w:hAnsi="Arial" w:cs="Arial"/>
        </w:rPr>
        <w:tab/>
      </w:r>
      <w:r w:rsidRPr="0015400B">
        <w:rPr>
          <w:rFonts w:ascii="Arial" w:hAnsi="Arial" w:cs="Arial"/>
        </w:rPr>
        <w:t xml:space="preserve">mice and biomarker responses suggest widespread health risks of </w:t>
      </w:r>
      <w:r w:rsidR="007D1970">
        <w:rPr>
          <w:rFonts w:ascii="Arial" w:hAnsi="Arial" w:cs="Arial"/>
        </w:rPr>
        <w:tab/>
      </w:r>
      <w:r w:rsidRPr="0015400B">
        <w:rPr>
          <w:rFonts w:ascii="Arial" w:hAnsi="Arial" w:cs="Arial"/>
        </w:rPr>
        <w:t>exposure. </w:t>
      </w:r>
      <w:r w:rsidRPr="0015400B">
        <w:rPr>
          <w:rFonts w:ascii="Arial" w:hAnsi="Arial" w:cs="Arial"/>
          <w:i/>
          <w:iCs/>
        </w:rPr>
        <w:t xml:space="preserve">Scientific </w:t>
      </w:r>
      <w:r w:rsidR="00E90CBC" w:rsidRPr="0015400B">
        <w:rPr>
          <w:rFonts w:ascii="Arial" w:hAnsi="Arial" w:cs="Arial"/>
          <w:i/>
          <w:iCs/>
        </w:rPr>
        <w:t>Reports</w:t>
      </w:r>
      <w:r w:rsidRPr="0015400B">
        <w:rPr>
          <w:rFonts w:ascii="Arial" w:hAnsi="Arial" w:cs="Arial"/>
        </w:rPr>
        <w:t>, </w:t>
      </w:r>
      <w:r w:rsidRPr="0015400B">
        <w:rPr>
          <w:rFonts w:ascii="Arial" w:hAnsi="Arial" w:cs="Arial"/>
          <w:i/>
          <w:iCs/>
        </w:rPr>
        <w:t>7</w:t>
      </w:r>
      <w:r w:rsidRPr="0015400B">
        <w:rPr>
          <w:rFonts w:ascii="Arial" w:hAnsi="Arial" w:cs="Arial"/>
        </w:rPr>
        <w:t xml:space="preserve">, 46687. </w:t>
      </w:r>
      <w:hyperlink r:id="rId25" w:history="1">
        <w:r w:rsidRPr="0015400B">
          <w:rPr>
            <w:rStyle w:val="Hyperlink"/>
            <w:rFonts w:ascii="Arial" w:hAnsi="Arial" w:cs="Arial"/>
          </w:rPr>
          <w:t>https://doi.org/10.1038/srep46687</w:t>
        </w:r>
      </w:hyperlink>
    </w:p>
    <w:p w14:paraId="0CF1EE11" w14:textId="2224E539" w:rsidR="003B2C2A" w:rsidRPr="0015400B" w:rsidRDefault="003B2C2A" w:rsidP="0015400B">
      <w:pPr>
        <w:spacing w:after="240" w:line="276" w:lineRule="auto"/>
        <w:jc w:val="both"/>
        <w:rPr>
          <w:rFonts w:ascii="Arial" w:hAnsi="Arial" w:cs="Arial"/>
        </w:rPr>
      </w:pPr>
      <w:r w:rsidRPr="0015400B">
        <w:rPr>
          <w:rFonts w:ascii="Arial" w:hAnsi="Arial" w:cs="Arial"/>
        </w:rPr>
        <w:t xml:space="preserve">Dhaka, V., Singh, S., Anil, A. G., Sunil Kumar Naik, T. S., Garg, S., Samuel, J., Kumar, M., </w:t>
      </w:r>
      <w:r w:rsidRPr="0015400B">
        <w:rPr>
          <w:rFonts w:ascii="Arial" w:hAnsi="Arial" w:cs="Arial"/>
        </w:rPr>
        <w:tab/>
        <w:t xml:space="preserve">Ramamurthy, P. C., &amp; Singh, J. (2022). Occurrence, toxicity and remediation of </w:t>
      </w:r>
      <w:r w:rsidRPr="0015400B">
        <w:rPr>
          <w:rFonts w:ascii="Arial" w:hAnsi="Arial" w:cs="Arial"/>
        </w:rPr>
        <w:tab/>
        <w:t>polyethylene terephthalate plastics. A review. </w:t>
      </w:r>
      <w:r w:rsidRPr="0015400B">
        <w:rPr>
          <w:rFonts w:ascii="Arial" w:hAnsi="Arial" w:cs="Arial"/>
          <w:i/>
          <w:iCs/>
        </w:rPr>
        <w:t xml:space="preserve">Environmental </w:t>
      </w:r>
      <w:r w:rsidR="00E90CBC" w:rsidRPr="0015400B">
        <w:rPr>
          <w:rFonts w:ascii="Arial" w:hAnsi="Arial" w:cs="Arial"/>
          <w:i/>
          <w:iCs/>
        </w:rPr>
        <w:t xml:space="preserve">Chemistry </w:t>
      </w:r>
      <w:r w:rsidR="00E90CBC">
        <w:rPr>
          <w:rFonts w:ascii="Arial" w:hAnsi="Arial" w:cs="Arial"/>
          <w:i/>
          <w:iCs/>
        </w:rPr>
        <w:tab/>
      </w:r>
      <w:r w:rsidR="00E90CBC" w:rsidRPr="0015400B">
        <w:rPr>
          <w:rFonts w:ascii="Arial" w:hAnsi="Arial" w:cs="Arial"/>
          <w:i/>
          <w:iCs/>
        </w:rPr>
        <w:t>Letters</w:t>
      </w:r>
      <w:r w:rsidRPr="0015400B">
        <w:rPr>
          <w:rFonts w:ascii="Arial" w:hAnsi="Arial" w:cs="Arial"/>
        </w:rPr>
        <w:t>, </w:t>
      </w:r>
      <w:r w:rsidRPr="0015400B">
        <w:rPr>
          <w:rFonts w:ascii="Arial" w:hAnsi="Arial" w:cs="Arial"/>
          <w:i/>
          <w:iCs/>
        </w:rPr>
        <w:t>20</w:t>
      </w:r>
      <w:r w:rsidRPr="0015400B">
        <w:rPr>
          <w:rFonts w:ascii="Arial" w:hAnsi="Arial" w:cs="Arial"/>
        </w:rPr>
        <w:t xml:space="preserve">(3), 1777–1800. </w:t>
      </w:r>
      <w:hyperlink r:id="rId26" w:history="1">
        <w:r w:rsidRPr="0015400B">
          <w:rPr>
            <w:rStyle w:val="Hyperlink"/>
            <w:rFonts w:ascii="Arial" w:hAnsi="Arial" w:cs="Arial"/>
          </w:rPr>
          <w:t>https://doi.org/10.1007/s10311-021-01384-8</w:t>
        </w:r>
      </w:hyperlink>
    </w:p>
    <w:p w14:paraId="3846B56D" w14:textId="7F337F12" w:rsidR="003B2C2A" w:rsidRPr="0015400B" w:rsidRDefault="003B2C2A" w:rsidP="0015400B">
      <w:pPr>
        <w:spacing w:after="240" w:line="276" w:lineRule="auto"/>
        <w:jc w:val="both"/>
        <w:rPr>
          <w:rFonts w:ascii="Arial" w:hAnsi="Arial" w:cs="Arial"/>
        </w:rPr>
      </w:pPr>
      <w:r w:rsidRPr="0015400B">
        <w:rPr>
          <w:rFonts w:ascii="Arial" w:hAnsi="Arial" w:cs="Arial"/>
        </w:rPr>
        <w:t xml:space="preserve">Duffy, M. J., Evoy, D., &amp; McDermott, E. W. (2010). CA 15-3: uses and limitation as a biomarker </w:t>
      </w:r>
      <w:r w:rsidR="007D1970">
        <w:rPr>
          <w:rFonts w:ascii="Arial" w:hAnsi="Arial" w:cs="Arial"/>
        </w:rPr>
        <w:tab/>
      </w:r>
      <w:r w:rsidRPr="0015400B">
        <w:rPr>
          <w:rFonts w:ascii="Arial" w:hAnsi="Arial" w:cs="Arial"/>
        </w:rPr>
        <w:t>for breast cancer. </w:t>
      </w:r>
      <w:r w:rsidRPr="0015400B">
        <w:rPr>
          <w:rFonts w:ascii="Arial" w:hAnsi="Arial" w:cs="Arial"/>
          <w:i/>
          <w:iCs/>
        </w:rPr>
        <w:t xml:space="preserve">Clinica </w:t>
      </w:r>
      <w:r w:rsidR="00E90CBC" w:rsidRPr="0015400B">
        <w:rPr>
          <w:rFonts w:ascii="Arial" w:hAnsi="Arial" w:cs="Arial"/>
          <w:i/>
          <w:iCs/>
        </w:rPr>
        <w:t>Chimica Acta</w:t>
      </w:r>
      <w:r w:rsidRPr="0015400B">
        <w:rPr>
          <w:rFonts w:ascii="Arial" w:hAnsi="Arial" w:cs="Arial"/>
          <w:i/>
          <w:iCs/>
        </w:rPr>
        <w:t xml:space="preserve">; </w:t>
      </w:r>
      <w:r w:rsidR="00E90CBC" w:rsidRPr="0015400B">
        <w:rPr>
          <w:rFonts w:ascii="Arial" w:hAnsi="Arial" w:cs="Arial"/>
          <w:i/>
          <w:iCs/>
        </w:rPr>
        <w:t xml:space="preserve">International Journal </w:t>
      </w:r>
      <w:r w:rsidRPr="0015400B">
        <w:rPr>
          <w:rFonts w:ascii="Arial" w:hAnsi="Arial" w:cs="Arial"/>
          <w:i/>
          <w:iCs/>
        </w:rPr>
        <w:t xml:space="preserve">of </w:t>
      </w:r>
      <w:r w:rsidR="00E90CBC" w:rsidRPr="0015400B">
        <w:rPr>
          <w:rFonts w:ascii="Arial" w:hAnsi="Arial" w:cs="Arial"/>
          <w:i/>
          <w:iCs/>
        </w:rPr>
        <w:t xml:space="preserve">Clinical </w:t>
      </w:r>
      <w:r w:rsidR="007D1970">
        <w:rPr>
          <w:rFonts w:ascii="Arial" w:hAnsi="Arial" w:cs="Arial"/>
          <w:i/>
          <w:iCs/>
        </w:rPr>
        <w:tab/>
      </w:r>
      <w:r w:rsidR="00E90CBC" w:rsidRPr="0015400B">
        <w:rPr>
          <w:rFonts w:ascii="Arial" w:hAnsi="Arial" w:cs="Arial"/>
          <w:i/>
          <w:iCs/>
        </w:rPr>
        <w:t>Chemistry</w:t>
      </w:r>
      <w:r w:rsidRPr="0015400B">
        <w:rPr>
          <w:rFonts w:ascii="Arial" w:hAnsi="Arial" w:cs="Arial"/>
        </w:rPr>
        <w:t>, </w:t>
      </w:r>
      <w:r w:rsidRPr="0015400B">
        <w:rPr>
          <w:rFonts w:ascii="Arial" w:hAnsi="Arial" w:cs="Arial"/>
          <w:i/>
          <w:iCs/>
        </w:rPr>
        <w:t>411</w:t>
      </w:r>
      <w:r w:rsidRPr="0015400B">
        <w:rPr>
          <w:rFonts w:ascii="Arial" w:hAnsi="Arial" w:cs="Arial"/>
        </w:rPr>
        <w:t xml:space="preserve">(23-24), 1869–1874. </w:t>
      </w:r>
      <w:hyperlink r:id="rId27" w:history="1">
        <w:r w:rsidRPr="0015400B">
          <w:rPr>
            <w:rStyle w:val="Hyperlink"/>
            <w:rFonts w:ascii="Arial" w:hAnsi="Arial" w:cs="Arial"/>
          </w:rPr>
          <w:t>https://doi.org/10.1016/j.cca.2010.08.039</w:t>
        </w:r>
      </w:hyperlink>
    </w:p>
    <w:p w14:paraId="0BAAF9BB" w14:textId="7093B71C" w:rsidR="003B2C2A" w:rsidRDefault="003B2C2A" w:rsidP="0015400B">
      <w:pPr>
        <w:spacing w:after="240" w:line="276" w:lineRule="auto"/>
        <w:jc w:val="both"/>
      </w:pPr>
      <w:proofErr w:type="spellStart"/>
      <w:r w:rsidRPr="0015400B">
        <w:rPr>
          <w:rFonts w:ascii="Arial" w:hAnsi="Arial" w:cs="Arial"/>
        </w:rPr>
        <w:t>Elabscience</w:t>
      </w:r>
      <w:proofErr w:type="spellEnd"/>
      <w:r w:rsidRPr="0015400B">
        <w:rPr>
          <w:rFonts w:ascii="Arial" w:hAnsi="Arial" w:cs="Arial"/>
        </w:rPr>
        <w:t xml:space="preserve"> </w:t>
      </w:r>
      <w:proofErr w:type="spellStart"/>
      <w:r w:rsidRPr="0015400B">
        <w:rPr>
          <w:rFonts w:ascii="Arial" w:hAnsi="Arial" w:cs="Arial"/>
        </w:rPr>
        <w:t>Bioinovation</w:t>
      </w:r>
      <w:proofErr w:type="spellEnd"/>
      <w:r w:rsidRPr="0015400B">
        <w:rPr>
          <w:rFonts w:ascii="Arial" w:hAnsi="Arial" w:cs="Arial"/>
        </w:rPr>
        <w:t xml:space="preserve"> Inc. (2024). Rat TNF-α(Tumor Necrosis Factor Alpha) ELISA Kit (E-</w:t>
      </w:r>
      <w:r w:rsidR="007D1970">
        <w:rPr>
          <w:rFonts w:ascii="Arial" w:hAnsi="Arial" w:cs="Arial"/>
        </w:rPr>
        <w:tab/>
      </w:r>
      <w:r w:rsidRPr="0015400B">
        <w:rPr>
          <w:rFonts w:ascii="Arial" w:hAnsi="Arial" w:cs="Arial"/>
        </w:rPr>
        <w:t xml:space="preserve">EL-R2856) Retrieved from </w:t>
      </w:r>
      <w:hyperlink r:id="rId28" w:history="1">
        <w:r w:rsidR="007D1970" w:rsidRPr="0022330A">
          <w:rPr>
            <w:rStyle w:val="Hyperlink"/>
            <w:rFonts w:ascii="Arial" w:hAnsi="Arial" w:cs="Arial"/>
          </w:rPr>
          <w:t>https://www.elabscience.com/p/rat-tnf-tumor-necrosis-</w:t>
        </w:r>
        <w:r w:rsidR="007D1970" w:rsidRPr="0022330A">
          <w:rPr>
            <w:rStyle w:val="Hyperlink"/>
            <w:rFonts w:ascii="Arial" w:hAnsi="Arial" w:cs="Arial"/>
          </w:rPr>
          <w:tab/>
          <w:t>factor-alpha-</w:t>
        </w:r>
        <w:proofErr w:type="spellStart"/>
        <w:r w:rsidR="007D1970" w:rsidRPr="0022330A">
          <w:rPr>
            <w:rStyle w:val="Hyperlink"/>
            <w:rFonts w:ascii="Arial" w:hAnsi="Arial" w:cs="Arial"/>
          </w:rPr>
          <w:t>elisa</w:t>
        </w:r>
        <w:proofErr w:type="spellEnd"/>
        <w:r w:rsidR="007D1970" w:rsidRPr="0022330A">
          <w:rPr>
            <w:rStyle w:val="Hyperlink"/>
            <w:rFonts w:ascii="Arial" w:hAnsi="Arial" w:cs="Arial"/>
          </w:rPr>
          <w:t>-kit--e-el-r2856</w:t>
        </w:r>
      </w:hyperlink>
    </w:p>
    <w:p w14:paraId="40F8DD4F" w14:textId="6610D315" w:rsidR="000A3EC4" w:rsidRPr="00A4674A" w:rsidRDefault="000A3EC4" w:rsidP="000A3EC4">
      <w:pPr>
        <w:jc w:val="both"/>
        <w:rPr>
          <w:rFonts w:ascii="Arial" w:hAnsi="Arial" w:cs="Arial"/>
        </w:rPr>
      </w:pPr>
      <w:r w:rsidRPr="00A4674A">
        <w:rPr>
          <w:rFonts w:ascii="Arial" w:hAnsi="Arial" w:cs="Arial"/>
        </w:rPr>
        <w:t xml:space="preserve">Eom, Y. W., Hong, J. E., Jung, P. Y., Yoon, Y., Yoo, S. H., Hong, J., Rhee, K. J., Regmi, B., </w:t>
      </w:r>
      <w:r>
        <w:rPr>
          <w:rFonts w:ascii="Arial" w:hAnsi="Arial" w:cs="Arial"/>
        </w:rPr>
        <w:tab/>
      </w:r>
      <w:r w:rsidRPr="00A4674A">
        <w:rPr>
          <w:rFonts w:ascii="Arial" w:hAnsi="Arial" w:cs="Arial"/>
        </w:rPr>
        <w:t xml:space="preserve">Fatima, S., Kim, M. Y., Baik, S. K., Ryu, H., &amp; Kwon, H. Y. (2025). </w:t>
      </w:r>
      <w:proofErr w:type="spellStart"/>
      <w:r w:rsidRPr="00A4674A">
        <w:rPr>
          <w:rFonts w:ascii="Arial" w:hAnsi="Arial" w:cs="Arial"/>
        </w:rPr>
        <w:t>TGF</w:t>
      </w:r>
      <w:proofErr w:type="spellEnd"/>
      <w:r w:rsidRPr="00A4674A">
        <w:rPr>
          <w:rFonts w:ascii="Arial" w:hAnsi="Arial" w:cs="Arial"/>
        </w:rPr>
        <w:t xml:space="preserve">-β expressed </w:t>
      </w:r>
      <w:r>
        <w:rPr>
          <w:rFonts w:ascii="Arial" w:hAnsi="Arial" w:cs="Arial"/>
        </w:rPr>
        <w:tab/>
      </w:r>
      <w:r w:rsidRPr="00A4674A">
        <w:rPr>
          <w:rFonts w:ascii="Arial" w:hAnsi="Arial" w:cs="Arial"/>
        </w:rPr>
        <w:t xml:space="preserve">by M2 macrophages promotes wound healing by inhibiting TSG-6 expression by </w:t>
      </w:r>
      <w:r>
        <w:rPr>
          <w:rFonts w:ascii="Arial" w:hAnsi="Arial" w:cs="Arial"/>
        </w:rPr>
        <w:tab/>
      </w:r>
      <w:r w:rsidRPr="00A4674A">
        <w:rPr>
          <w:rFonts w:ascii="Arial" w:hAnsi="Arial" w:cs="Arial"/>
        </w:rPr>
        <w:t>mesenchymal stem cells. </w:t>
      </w:r>
      <w:proofErr w:type="spellStart"/>
      <w:r w:rsidRPr="00A4674A">
        <w:rPr>
          <w:rFonts w:ascii="Arial" w:hAnsi="Arial" w:cs="Arial"/>
          <w:i/>
          <w:iCs/>
        </w:rPr>
        <w:t>PloS</w:t>
      </w:r>
      <w:proofErr w:type="spellEnd"/>
      <w:r w:rsidRPr="00A4674A">
        <w:rPr>
          <w:rFonts w:ascii="Arial" w:hAnsi="Arial" w:cs="Arial"/>
          <w:i/>
          <w:iCs/>
        </w:rPr>
        <w:t xml:space="preserve"> </w:t>
      </w:r>
      <w:r w:rsidR="00E90CBC" w:rsidRPr="00A4674A">
        <w:rPr>
          <w:rFonts w:ascii="Arial" w:hAnsi="Arial" w:cs="Arial"/>
          <w:i/>
          <w:iCs/>
        </w:rPr>
        <w:t>One</w:t>
      </w:r>
      <w:r w:rsidRPr="00A4674A">
        <w:rPr>
          <w:rFonts w:ascii="Arial" w:hAnsi="Arial" w:cs="Arial"/>
        </w:rPr>
        <w:t>, </w:t>
      </w:r>
      <w:r w:rsidRPr="00A4674A">
        <w:rPr>
          <w:rFonts w:ascii="Arial" w:hAnsi="Arial" w:cs="Arial"/>
          <w:i/>
          <w:iCs/>
        </w:rPr>
        <w:t>20</w:t>
      </w:r>
      <w:r w:rsidRPr="00A4674A">
        <w:rPr>
          <w:rFonts w:ascii="Arial" w:hAnsi="Arial" w:cs="Arial"/>
        </w:rPr>
        <w:t xml:space="preserve">(4), e0316692. </w:t>
      </w:r>
      <w:r>
        <w:rPr>
          <w:rFonts w:ascii="Arial" w:hAnsi="Arial" w:cs="Arial"/>
        </w:rPr>
        <w:tab/>
      </w:r>
      <w:hyperlink r:id="rId29" w:history="1">
        <w:r w:rsidRPr="009524BD">
          <w:rPr>
            <w:rStyle w:val="Hyperlink"/>
            <w:rFonts w:ascii="Arial" w:hAnsi="Arial" w:cs="Arial"/>
          </w:rPr>
          <w:t>https://doi.org/10.1371/journal.pone.0316692</w:t>
        </w:r>
      </w:hyperlink>
    </w:p>
    <w:p w14:paraId="01E2F2D5" w14:textId="0F3B03EE" w:rsidR="000A3EC4" w:rsidRDefault="003B2C2A" w:rsidP="0015400B">
      <w:pPr>
        <w:spacing w:before="240" w:after="240" w:line="276" w:lineRule="auto"/>
        <w:jc w:val="both"/>
      </w:pPr>
      <w:bookmarkStart w:id="1" w:name="_Hlk165544812"/>
      <w:r w:rsidRPr="0015400B">
        <w:rPr>
          <w:rFonts w:ascii="Arial" w:hAnsi="Arial" w:cs="Arial"/>
          <w:bCs/>
        </w:rPr>
        <w:t>Hanahan, D., &amp; Weinberg, R. A. (2011). Hallmarks of cancer: the next generation. </w:t>
      </w:r>
      <w:r w:rsidRPr="0015400B">
        <w:rPr>
          <w:rFonts w:ascii="Arial" w:hAnsi="Arial" w:cs="Arial"/>
          <w:bCs/>
          <w:i/>
          <w:iCs/>
        </w:rPr>
        <w:t>Cell</w:t>
      </w:r>
      <w:r w:rsidRPr="0015400B">
        <w:rPr>
          <w:rFonts w:ascii="Arial" w:hAnsi="Arial" w:cs="Arial"/>
          <w:bCs/>
        </w:rPr>
        <w:t>, </w:t>
      </w:r>
      <w:r w:rsidRPr="0015400B">
        <w:rPr>
          <w:rFonts w:ascii="Arial" w:hAnsi="Arial" w:cs="Arial"/>
          <w:bCs/>
          <w:i/>
          <w:iCs/>
        </w:rPr>
        <w:t>144</w:t>
      </w:r>
      <w:r w:rsidRPr="0015400B">
        <w:rPr>
          <w:rFonts w:ascii="Arial" w:hAnsi="Arial" w:cs="Arial"/>
          <w:bCs/>
        </w:rPr>
        <w:t xml:space="preserve">(5), </w:t>
      </w:r>
      <w:r w:rsidRPr="0015400B">
        <w:rPr>
          <w:rFonts w:ascii="Arial" w:hAnsi="Arial" w:cs="Arial"/>
          <w:bCs/>
        </w:rPr>
        <w:tab/>
        <w:t xml:space="preserve">646–674. </w:t>
      </w:r>
      <w:hyperlink r:id="rId30" w:history="1">
        <w:r w:rsidRPr="0015400B">
          <w:rPr>
            <w:rStyle w:val="Hyperlink"/>
            <w:rFonts w:ascii="Arial" w:hAnsi="Arial" w:cs="Arial"/>
            <w:bCs/>
          </w:rPr>
          <w:t>https://doi.org/10.1016/j.cell.2011.02.013</w:t>
        </w:r>
      </w:hyperlink>
    </w:p>
    <w:p w14:paraId="39C32F31" w14:textId="5087E46E" w:rsidR="000A3EC4" w:rsidRPr="000A3EC4" w:rsidRDefault="000A3EC4" w:rsidP="000A3EC4">
      <w:pPr>
        <w:spacing w:after="240"/>
        <w:jc w:val="both"/>
        <w:rPr>
          <w:rFonts w:ascii="Arial" w:hAnsi="Arial" w:cs="Arial"/>
        </w:rPr>
      </w:pPr>
      <w:r w:rsidRPr="00A4674A">
        <w:rPr>
          <w:rFonts w:ascii="Arial" w:hAnsi="Arial" w:cs="Arial"/>
        </w:rPr>
        <w:lastRenderedPageBreak/>
        <w:t xml:space="preserve">Hu, M., &amp; </w:t>
      </w:r>
      <w:proofErr w:type="spellStart"/>
      <w:r w:rsidRPr="00A4674A">
        <w:rPr>
          <w:rFonts w:ascii="Arial" w:hAnsi="Arial" w:cs="Arial"/>
        </w:rPr>
        <w:t>Palić</w:t>
      </w:r>
      <w:proofErr w:type="spellEnd"/>
      <w:r w:rsidRPr="00A4674A">
        <w:rPr>
          <w:rFonts w:ascii="Arial" w:hAnsi="Arial" w:cs="Arial"/>
        </w:rPr>
        <w:t xml:space="preserve">, D. (2020). Micro- and nano-plastics activation of oxidative and inflammatory </w:t>
      </w:r>
      <w:r>
        <w:rPr>
          <w:rFonts w:ascii="Arial" w:hAnsi="Arial" w:cs="Arial"/>
        </w:rPr>
        <w:tab/>
      </w:r>
      <w:r w:rsidRPr="00A4674A">
        <w:rPr>
          <w:rFonts w:ascii="Arial" w:hAnsi="Arial" w:cs="Arial"/>
        </w:rPr>
        <w:t>adverse outcome pathways. </w:t>
      </w:r>
      <w:r w:rsidRPr="00A4674A">
        <w:rPr>
          <w:rFonts w:ascii="Arial" w:hAnsi="Arial" w:cs="Arial"/>
          <w:i/>
          <w:iCs/>
        </w:rPr>
        <w:t xml:space="preserve">Redox </w:t>
      </w:r>
      <w:r w:rsidR="00E90CBC" w:rsidRPr="00A4674A">
        <w:rPr>
          <w:rFonts w:ascii="Arial" w:hAnsi="Arial" w:cs="Arial"/>
          <w:i/>
          <w:iCs/>
        </w:rPr>
        <w:t>Biology</w:t>
      </w:r>
      <w:r w:rsidRPr="00A4674A">
        <w:rPr>
          <w:rFonts w:ascii="Arial" w:hAnsi="Arial" w:cs="Arial"/>
        </w:rPr>
        <w:t>, </w:t>
      </w:r>
      <w:r w:rsidRPr="00A4674A">
        <w:rPr>
          <w:rFonts w:ascii="Arial" w:hAnsi="Arial" w:cs="Arial"/>
          <w:i/>
          <w:iCs/>
        </w:rPr>
        <w:t>37</w:t>
      </w:r>
      <w:r w:rsidRPr="00A4674A">
        <w:rPr>
          <w:rFonts w:ascii="Arial" w:hAnsi="Arial" w:cs="Arial"/>
        </w:rPr>
        <w:t xml:space="preserve">, 101620. </w:t>
      </w:r>
      <w:r>
        <w:rPr>
          <w:rFonts w:ascii="Arial" w:hAnsi="Arial" w:cs="Arial"/>
        </w:rPr>
        <w:tab/>
      </w:r>
      <w:hyperlink r:id="rId31" w:history="1">
        <w:r w:rsidRPr="009524BD">
          <w:rPr>
            <w:rStyle w:val="Hyperlink"/>
            <w:rFonts w:ascii="Arial" w:hAnsi="Arial" w:cs="Arial"/>
          </w:rPr>
          <w:t>https://doi.org/10.1016/j.redox.2020.101620</w:t>
        </w:r>
      </w:hyperlink>
    </w:p>
    <w:bookmarkEnd w:id="1"/>
    <w:p w14:paraId="30394F41" w14:textId="7C0111EA" w:rsidR="003B2C2A" w:rsidRPr="0015400B" w:rsidRDefault="003B2C2A" w:rsidP="000A3EC4">
      <w:pPr>
        <w:spacing w:before="240" w:after="240" w:line="276" w:lineRule="auto"/>
        <w:jc w:val="both"/>
        <w:rPr>
          <w:rFonts w:ascii="Arial" w:hAnsi="Arial" w:cs="Arial"/>
        </w:rPr>
      </w:pPr>
      <w:r w:rsidRPr="0015400B">
        <w:rPr>
          <w:rFonts w:ascii="Arial" w:hAnsi="Arial" w:cs="Arial"/>
        </w:rPr>
        <w:t xml:space="preserve">Kannan, K., &amp; Vimalkumar, K. (2021). A Review of Human Exposure to Microplastics and </w:t>
      </w:r>
      <w:r w:rsidRPr="0015400B">
        <w:rPr>
          <w:rFonts w:ascii="Arial" w:hAnsi="Arial" w:cs="Arial"/>
        </w:rPr>
        <w:tab/>
        <w:t xml:space="preserve">Insights </w:t>
      </w:r>
      <w:proofErr w:type="gramStart"/>
      <w:r w:rsidRPr="0015400B">
        <w:rPr>
          <w:rFonts w:ascii="Arial" w:hAnsi="Arial" w:cs="Arial"/>
        </w:rPr>
        <w:t>Into</w:t>
      </w:r>
      <w:proofErr w:type="gramEnd"/>
      <w:r w:rsidRPr="0015400B">
        <w:rPr>
          <w:rFonts w:ascii="Arial" w:hAnsi="Arial" w:cs="Arial"/>
        </w:rPr>
        <w:t xml:space="preserve"> Microplastics as </w:t>
      </w:r>
      <w:proofErr w:type="spellStart"/>
      <w:r w:rsidRPr="0015400B">
        <w:rPr>
          <w:rFonts w:ascii="Arial" w:hAnsi="Arial" w:cs="Arial"/>
        </w:rPr>
        <w:t>Obesogens</w:t>
      </w:r>
      <w:proofErr w:type="spellEnd"/>
      <w:r w:rsidRPr="0015400B">
        <w:rPr>
          <w:rFonts w:ascii="Arial" w:hAnsi="Arial" w:cs="Arial"/>
        </w:rPr>
        <w:t>. </w:t>
      </w:r>
      <w:r w:rsidRPr="0015400B">
        <w:rPr>
          <w:rFonts w:ascii="Arial" w:hAnsi="Arial" w:cs="Arial"/>
          <w:i/>
          <w:iCs/>
        </w:rPr>
        <w:t xml:space="preserve">Frontiers in </w:t>
      </w:r>
      <w:r w:rsidR="00E90CBC" w:rsidRPr="0015400B">
        <w:rPr>
          <w:rFonts w:ascii="Arial" w:hAnsi="Arial" w:cs="Arial"/>
          <w:i/>
          <w:iCs/>
        </w:rPr>
        <w:t>Endocrinology</w:t>
      </w:r>
      <w:r w:rsidRPr="0015400B">
        <w:rPr>
          <w:rFonts w:ascii="Arial" w:hAnsi="Arial" w:cs="Arial"/>
        </w:rPr>
        <w:t>, </w:t>
      </w:r>
      <w:r w:rsidRPr="0015400B">
        <w:rPr>
          <w:rFonts w:ascii="Arial" w:hAnsi="Arial" w:cs="Arial"/>
          <w:i/>
          <w:iCs/>
        </w:rPr>
        <w:t>12</w:t>
      </w:r>
      <w:r w:rsidRPr="0015400B">
        <w:rPr>
          <w:rFonts w:ascii="Arial" w:hAnsi="Arial" w:cs="Arial"/>
        </w:rPr>
        <w:t xml:space="preserve">, 724989. </w:t>
      </w:r>
      <w:r w:rsidRPr="0015400B">
        <w:rPr>
          <w:rFonts w:ascii="Arial" w:hAnsi="Arial" w:cs="Arial"/>
        </w:rPr>
        <w:tab/>
      </w:r>
      <w:hyperlink r:id="rId32" w:history="1">
        <w:r w:rsidRPr="0015400B">
          <w:rPr>
            <w:rStyle w:val="Hyperlink"/>
            <w:rFonts w:ascii="Arial" w:hAnsi="Arial" w:cs="Arial"/>
          </w:rPr>
          <w:t>https://doi.org/10.3389/fendo.2021.724989</w:t>
        </w:r>
      </w:hyperlink>
    </w:p>
    <w:p w14:paraId="21A246EF" w14:textId="77777777" w:rsidR="003B2C2A" w:rsidRDefault="003B2C2A" w:rsidP="0015400B">
      <w:pPr>
        <w:spacing w:before="240" w:after="240" w:line="276" w:lineRule="auto"/>
        <w:jc w:val="both"/>
        <w:rPr>
          <w:rFonts w:ascii="Arial" w:hAnsi="Arial" w:cs="Arial"/>
        </w:rPr>
      </w:pPr>
      <w:r w:rsidRPr="0015400B">
        <w:rPr>
          <w:rFonts w:ascii="Arial" w:hAnsi="Arial" w:cs="Arial"/>
        </w:rPr>
        <w:t xml:space="preserve">Kiernan, J. A. (2001). Histological &amp; histological methods: theory &amp; practice. Butter-worth, </w:t>
      </w:r>
      <w:r w:rsidRPr="0015400B">
        <w:rPr>
          <w:rFonts w:ascii="Arial" w:hAnsi="Arial" w:cs="Arial"/>
        </w:rPr>
        <w:tab/>
        <w:t>oxford.</w:t>
      </w:r>
    </w:p>
    <w:p w14:paraId="3B6C1F7A" w14:textId="73EFAEAF" w:rsidR="00F513CD" w:rsidRPr="0015400B" w:rsidRDefault="00F513CD" w:rsidP="00F513CD">
      <w:pPr>
        <w:spacing w:before="240"/>
        <w:jc w:val="both"/>
        <w:rPr>
          <w:rFonts w:ascii="Arial" w:hAnsi="Arial" w:cs="Arial"/>
        </w:rPr>
      </w:pPr>
      <w:r w:rsidRPr="00A4674A">
        <w:rPr>
          <w:rFonts w:ascii="Arial" w:hAnsi="Arial" w:cs="Arial"/>
        </w:rPr>
        <w:t xml:space="preserve">Kumar, N., Lamba, M., Pachar, A. K., Yadav, S., &amp; Acharya, A. (2024). Microplastics - A </w:t>
      </w:r>
      <w:r>
        <w:rPr>
          <w:rFonts w:ascii="Arial" w:hAnsi="Arial" w:cs="Arial"/>
        </w:rPr>
        <w:tab/>
      </w:r>
      <w:r w:rsidRPr="00A4674A">
        <w:rPr>
          <w:rFonts w:ascii="Arial" w:hAnsi="Arial" w:cs="Arial"/>
        </w:rPr>
        <w:t xml:space="preserve">Growing Concern as Carcinogens in Cancer Etiology: Emphasis on Biochemical and </w:t>
      </w:r>
      <w:r>
        <w:rPr>
          <w:rFonts w:ascii="Arial" w:hAnsi="Arial" w:cs="Arial"/>
        </w:rPr>
        <w:tab/>
      </w:r>
      <w:r w:rsidRPr="00A4674A">
        <w:rPr>
          <w:rFonts w:ascii="Arial" w:hAnsi="Arial" w:cs="Arial"/>
        </w:rPr>
        <w:t>Molecular Mechanisms. </w:t>
      </w:r>
      <w:r w:rsidRPr="00A4674A">
        <w:rPr>
          <w:rFonts w:ascii="Arial" w:hAnsi="Arial" w:cs="Arial"/>
          <w:i/>
          <w:iCs/>
        </w:rPr>
        <w:t xml:space="preserve">Cell </w:t>
      </w:r>
      <w:r w:rsidR="00E90CBC" w:rsidRPr="00A4674A">
        <w:rPr>
          <w:rFonts w:ascii="Arial" w:hAnsi="Arial" w:cs="Arial"/>
          <w:i/>
          <w:iCs/>
        </w:rPr>
        <w:t xml:space="preserve">Biochemistry </w:t>
      </w:r>
      <w:r w:rsidRPr="00A4674A">
        <w:rPr>
          <w:rFonts w:ascii="Arial" w:hAnsi="Arial" w:cs="Arial"/>
          <w:i/>
          <w:iCs/>
        </w:rPr>
        <w:t xml:space="preserve">and </w:t>
      </w:r>
      <w:r w:rsidR="00E90CBC" w:rsidRPr="00A4674A">
        <w:rPr>
          <w:rFonts w:ascii="Arial" w:hAnsi="Arial" w:cs="Arial"/>
          <w:i/>
          <w:iCs/>
        </w:rPr>
        <w:t>Biophysics</w:t>
      </w:r>
      <w:r w:rsidRPr="00A4674A">
        <w:rPr>
          <w:rFonts w:ascii="Arial" w:hAnsi="Arial" w:cs="Arial"/>
        </w:rPr>
        <w:t>, </w:t>
      </w:r>
      <w:r w:rsidRPr="00A4674A">
        <w:rPr>
          <w:rFonts w:ascii="Arial" w:hAnsi="Arial" w:cs="Arial"/>
          <w:i/>
          <w:iCs/>
        </w:rPr>
        <w:t>82</w:t>
      </w:r>
      <w:r w:rsidRPr="00A4674A">
        <w:rPr>
          <w:rFonts w:ascii="Arial" w:hAnsi="Arial" w:cs="Arial"/>
        </w:rPr>
        <w:t xml:space="preserve">(4), 3109–3121. </w:t>
      </w:r>
      <w:r>
        <w:rPr>
          <w:rFonts w:ascii="Arial" w:hAnsi="Arial" w:cs="Arial"/>
        </w:rPr>
        <w:tab/>
      </w:r>
      <w:hyperlink r:id="rId33" w:history="1">
        <w:r w:rsidRPr="009524BD">
          <w:rPr>
            <w:rStyle w:val="Hyperlink"/>
            <w:rFonts w:ascii="Arial" w:hAnsi="Arial" w:cs="Arial"/>
          </w:rPr>
          <w:t>https://doi.org/10.1007/s12013-024-01436-0</w:t>
        </w:r>
      </w:hyperlink>
    </w:p>
    <w:p w14:paraId="3E005E6B" w14:textId="77777777" w:rsidR="00F513CD" w:rsidRDefault="00F513CD" w:rsidP="00F513CD">
      <w:pPr>
        <w:spacing w:before="240" w:after="240"/>
        <w:jc w:val="both"/>
      </w:pPr>
      <w:r w:rsidRPr="00E078E3">
        <w:rPr>
          <w:rFonts w:ascii="Arial" w:hAnsi="Arial" w:cs="Arial"/>
        </w:rPr>
        <w:t xml:space="preserve">Kumar, U., Singh, A., Chandra, K., Atreya, K., Singh, R., &amp; Kumar, M. (2022). Molecular </w:t>
      </w:r>
      <w:r>
        <w:rPr>
          <w:rFonts w:ascii="Arial" w:hAnsi="Arial" w:cs="Arial"/>
        </w:rPr>
        <w:tab/>
      </w:r>
      <w:r w:rsidRPr="00E078E3">
        <w:rPr>
          <w:rFonts w:ascii="Arial" w:hAnsi="Arial" w:cs="Arial"/>
        </w:rPr>
        <w:t xml:space="preserve">Classification of Breast Carcinoma Based on the Prognostic Marker: A </w:t>
      </w:r>
      <w:proofErr w:type="spellStart"/>
      <w:r w:rsidRPr="00E078E3">
        <w:rPr>
          <w:rFonts w:ascii="Arial" w:hAnsi="Arial" w:cs="Arial"/>
        </w:rPr>
        <w:t>Clinico</w:t>
      </w:r>
      <w:proofErr w:type="spellEnd"/>
      <w:r w:rsidRPr="00E078E3">
        <w:rPr>
          <w:rFonts w:ascii="Arial" w:hAnsi="Arial" w:cs="Arial"/>
        </w:rPr>
        <w:t>-</w:t>
      </w:r>
      <w:r>
        <w:rPr>
          <w:rFonts w:ascii="Arial" w:hAnsi="Arial" w:cs="Arial"/>
        </w:rPr>
        <w:tab/>
      </w:r>
      <w:r w:rsidRPr="00E078E3">
        <w:rPr>
          <w:rFonts w:ascii="Arial" w:hAnsi="Arial" w:cs="Arial"/>
        </w:rPr>
        <w:t xml:space="preserve">pathological Correlation. </w:t>
      </w:r>
      <w:r w:rsidRPr="00E90CBC">
        <w:rPr>
          <w:rFonts w:ascii="Arial" w:hAnsi="Arial" w:cs="Arial"/>
          <w:i/>
          <w:iCs/>
        </w:rPr>
        <w:t>Journal of Advances in Medicine and Medical Research,</w:t>
      </w:r>
      <w:r w:rsidRPr="00E078E3">
        <w:rPr>
          <w:rFonts w:ascii="Arial" w:hAnsi="Arial" w:cs="Arial"/>
        </w:rPr>
        <w:t xml:space="preserve"> </w:t>
      </w:r>
      <w:r>
        <w:rPr>
          <w:rFonts w:ascii="Arial" w:hAnsi="Arial" w:cs="Arial"/>
        </w:rPr>
        <w:tab/>
      </w:r>
      <w:r w:rsidRPr="00E078E3">
        <w:rPr>
          <w:rFonts w:ascii="Arial" w:hAnsi="Arial" w:cs="Arial"/>
        </w:rPr>
        <w:t xml:space="preserve">34(23), 237–247. </w:t>
      </w:r>
      <w:hyperlink r:id="rId34" w:history="1">
        <w:r w:rsidRPr="00E078E3">
          <w:rPr>
            <w:rStyle w:val="Hyperlink"/>
            <w:rFonts w:ascii="Arial" w:hAnsi="Arial" w:cs="Arial"/>
          </w:rPr>
          <w:t>https://doi.org/10.9734/jammr/2022/v34i234859</w:t>
        </w:r>
      </w:hyperlink>
    </w:p>
    <w:p w14:paraId="56762560" w14:textId="152D3226" w:rsidR="00F513CD" w:rsidRDefault="00F513CD" w:rsidP="00F513CD">
      <w:pPr>
        <w:spacing w:before="240"/>
        <w:jc w:val="both"/>
        <w:rPr>
          <w:rFonts w:ascii="Arial" w:hAnsi="Arial" w:cs="Arial"/>
        </w:rPr>
      </w:pPr>
      <w:r w:rsidRPr="00A4674A">
        <w:rPr>
          <w:rFonts w:ascii="Arial" w:hAnsi="Arial" w:cs="Arial"/>
        </w:rPr>
        <w:t xml:space="preserve">Lee, S. A., Cho, G. J., Kim, D., &amp; Kim, D. H. (2024). Biophysical interplay between extracellular </w:t>
      </w:r>
      <w:r>
        <w:rPr>
          <w:rFonts w:ascii="Arial" w:hAnsi="Arial" w:cs="Arial"/>
        </w:rPr>
        <w:tab/>
      </w:r>
      <w:r w:rsidRPr="00A4674A">
        <w:rPr>
          <w:rFonts w:ascii="Arial" w:hAnsi="Arial" w:cs="Arial"/>
        </w:rPr>
        <w:t>matrix remodeling and hypoxia signaling in regulating cancer metastasis. </w:t>
      </w:r>
      <w:r w:rsidRPr="00A4674A">
        <w:rPr>
          <w:rFonts w:ascii="Arial" w:hAnsi="Arial" w:cs="Arial"/>
          <w:i/>
          <w:iCs/>
        </w:rPr>
        <w:t xml:space="preserve">Frontiers in </w:t>
      </w:r>
      <w:r>
        <w:rPr>
          <w:rFonts w:ascii="Arial" w:hAnsi="Arial" w:cs="Arial"/>
          <w:i/>
          <w:iCs/>
        </w:rPr>
        <w:tab/>
      </w:r>
      <w:r w:rsidR="00E90CBC" w:rsidRPr="00A4674A">
        <w:rPr>
          <w:rFonts w:ascii="Arial" w:hAnsi="Arial" w:cs="Arial"/>
          <w:i/>
          <w:iCs/>
        </w:rPr>
        <w:t xml:space="preserve">Cell </w:t>
      </w:r>
      <w:r w:rsidRPr="00A4674A">
        <w:rPr>
          <w:rFonts w:ascii="Arial" w:hAnsi="Arial" w:cs="Arial"/>
          <w:i/>
          <w:iCs/>
        </w:rPr>
        <w:t xml:space="preserve">and </w:t>
      </w:r>
      <w:r w:rsidR="00E90CBC" w:rsidRPr="00A4674A">
        <w:rPr>
          <w:rFonts w:ascii="Arial" w:hAnsi="Arial" w:cs="Arial"/>
          <w:i/>
          <w:iCs/>
        </w:rPr>
        <w:t>Developmental Biology</w:t>
      </w:r>
      <w:r w:rsidRPr="00A4674A">
        <w:rPr>
          <w:rFonts w:ascii="Arial" w:hAnsi="Arial" w:cs="Arial"/>
        </w:rPr>
        <w:t>, </w:t>
      </w:r>
      <w:r w:rsidRPr="00A4674A">
        <w:rPr>
          <w:rFonts w:ascii="Arial" w:hAnsi="Arial" w:cs="Arial"/>
          <w:i/>
          <w:iCs/>
        </w:rPr>
        <w:t>12</w:t>
      </w:r>
      <w:r w:rsidRPr="00A4674A">
        <w:rPr>
          <w:rFonts w:ascii="Arial" w:hAnsi="Arial" w:cs="Arial"/>
        </w:rPr>
        <w:t xml:space="preserve">, 1335636. </w:t>
      </w:r>
      <w:r>
        <w:rPr>
          <w:rFonts w:ascii="Arial" w:hAnsi="Arial" w:cs="Arial"/>
        </w:rPr>
        <w:tab/>
      </w:r>
      <w:hyperlink r:id="rId35" w:history="1">
        <w:r w:rsidRPr="009524BD">
          <w:rPr>
            <w:rStyle w:val="Hyperlink"/>
            <w:rFonts w:ascii="Arial" w:hAnsi="Arial" w:cs="Arial"/>
          </w:rPr>
          <w:t>https://doi.org/10.3389/fcell.2024.1335636</w:t>
        </w:r>
      </w:hyperlink>
    </w:p>
    <w:p w14:paraId="2A21E7BB" w14:textId="3C6F7702" w:rsidR="00F513CD" w:rsidRPr="00A4674A" w:rsidRDefault="00F513CD" w:rsidP="00F513CD">
      <w:pPr>
        <w:spacing w:before="240"/>
        <w:jc w:val="both"/>
        <w:rPr>
          <w:rFonts w:ascii="Arial" w:hAnsi="Arial" w:cs="Arial"/>
        </w:rPr>
      </w:pPr>
      <w:r w:rsidRPr="00A4674A">
        <w:rPr>
          <w:rFonts w:ascii="Arial" w:hAnsi="Arial" w:cs="Arial"/>
        </w:rPr>
        <w:t xml:space="preserve">Li, M., Hou, Q., Zhong, L., Zhao, Y., &amp; Fu, X. (2021). Macrophage Related Chronic </w:t>
      </w:r>
      <w:r>
        <w:rPr>
          <w:rFonts w:ascii="Arial" w:hAnsi="Arial" w:cs="Arial"/>
        </w:rPr>
        <w:tab/>
      </w:r>
      <w:r w:rsidRPr="00A4674A">
        <w:rPr>
          <w:rFonts w:ascii="Arial" w:hAnsi="Arial" w:cs="Arial"/>
        </w:rPr>
        <w:t>Inflammation in Non-Healing Wounds. </w:t>
      </w:r>
      <w:r w:rsidRPr="00A4674A">
        <w:rPr>
          <w:rFonts w:ascii="Arial" w:hAnsi="Arial" w:cs="Arial"/>
          <w:i/>
          <w:iCs/>
        </w:rPr>
        <w:t xml:space="preserve">Frontiers in </w:t>
      </w:r>
      <w:r w:rsidR="00E90CBC" w:rsidRPr="00A4674A">
        <w:rPr>
          <w:rFonts w:ascii="Arial" w:hAnsi="Arial" w:cs="Arial"/>
          <w:i/>
          <w:iCs/>
        </w:rPr>
        <w:t>Immunology</w:t>
      </w:r>
      <w:r w:rsidRPr="00A4674A">
        <w:rPr>
          <w:rFonts w:ascii="Arial" w:hAnsi="Arial" w:cs="Arial"/>
        </w:rPr>
        <w:t>, </w:t>
      </w:r>
      <w:r w:rsidRPr="00A4674A">
        <w:rPr>
          <w:rFonts w:ascii="Arial" w:hAnsi="Arial" w:cs="Arial"/>
          <w:i/>
          <w:iCs/>
        </w:rPr>
        <w:t>12</w:t>
      </w:r>
      <w:r w:rsidRPr="00A4674A">
        <w:rPr>
          <w:rFonts w:ascii="Arial" w:hAnsi="Arial" w:cs="Arial"/>
        </w:rPr>
        <w:t xml:space="preserve">, 681710. </w:t>
      </w:r>
      <w:r>
        <w:rPr>
          <w:rFonts w:ascii="Arial" w:hAnsi="Arial" w:cs="Arial"/>
        </w:rPr>
        <w:tab/>
      </w:r>
      <w:hyperlink r:id="rId36" w:history="1">
        <w:r w:rsidRPr="009524BD">
          <w:rPr>
            <w:rStyle w:val="Hyperlink"/>
            <w:rFonts w:ascii="Arial" w:hAnsi="Arial" w:cs="Arial"/>
          </w:rPr>
          <w:t>https://doi.org/10.3389/fimmu.2021.681710</w:t>
        </w:r>
      </w:hyperlink>
    </w:p>
    <w:p w14:paraId="6987FBE3" w14:textId="6C3F108B" w:rsidR="003B2C2A" w:rsidRPr="0015400B" w:rsidRDefault="003B2C2A" w:rsidP="00F513CD">
      <w:pPr>
        <w:spacing w:before="240" w:after="240"/>
        <w:jc w:val="both"/>
        <w:rPr>
          <w:rFonts w:ascii="Arial" w:hAnsi="Arial" w:cs="Arial"/>
        </w:rPr>
      </w:pPr>
      <w:r w:rsidRPr="0015400B">
        <w:rPr>
          <w:rFonts w:ascii="Arial" w:hAnsi="Arial" w:cs="Arial"/>
        </w:rPr>
        <w:t xml:space="preserve">Li, T., Bian, B., Ji, R., Zhu, X., Wo, X., Song, Q., Li, Z., Wang, F., &amp; Jia, Y. (2024). Polyethylene </w:t>
      </w:r>
      <w:r w:rsidR="007D1970">
        <w:rPr>
          <w:rFonts w:ascii="Arial" w:hAnsi="Arial" w:cs="Arial"/>
        </w:rPr>
        <w:tab/>
      </w:r>
      <w:r w:rsidRPr="0015400B">
        <w:rPr>
          <w:rFonts w:ascii="Arial" w:hAnsi="Arial" w:cs="Arial"/>
        </w:rPr>
        <w:t xml:space="preserve">Terephthalate Microplastic Exposure Induced Reproductive Toxicity Through </w:t>
      </w:r>
      <w:r w:rsidR="007D1970">
        <w:rPr>
          <w:rFonts w:ascii="Arial" w:hAnsi="Arial" w:cs="Arial"/>
        </w:rPr>
        <w:tab/>
      </w:r>
      <w:r w:rsidRPr="0015400B">
        <w:rPr>
          <w:rFonts w:ascii="Arial" w:hAnsi="Arial" w:cs="Arial"/>
        </w:rPr>
        <w:t>Oxidative Stress and p38 Signaling Pathway Activation in Male Mice. </w:t>
      </w:r>
      <w:r w:rsidRPr="0015400B">
        <w:rPr>
          <w:rFonts w:ascii="Arial" w:hAnsi="Arial" w:cs="Arial"/>
          <w:i/>
          <w:iCs/>
        </w:rPr>
        <w:t>Toxics</w:t>
      </w:r>
      <w:r w:rsidRPr="0015400B">
        <w:rPr>
          <w:rFonts w:ascii="Arial" w:hAnsi="Arial" w:cs="Arial"/>
        </w:rPr>
        <w:t>, </w:t>
      </w:r>
      <w:r w:rsidRPr="0015400B">
        <w:rPr>
          <w:rFonts w:ascii="Arial" w:hAnsi="Arial" w:cs="Arial"/>
          <w:i/>
          <w:iCs/>
        </w:rPr>
        <w:t>12</w:t>
      </w:r>
      <w:r w:rsidRPr="0015400B">
        <w:rPr>
          <w:rFonts w:ascii="Arial" w:hAnsi="Arial" w:cs="Arial"/>
        </w:rPr>
        <w:t xml:space="preserve">(11), </w:t>
      </w:r>
      <w:r w:rsidR="007D1970">
        <w:rPr>
          <w:rFonts w:ascii="Arial" w:hAnsi="Arial" w:cs="Arial"/>
        </w:rPr>
        <w:tab/>
      </w:r>
      <w:r w:rsidRPr="0015400B">
        <w:rPr>
          <w:rFonts w:ascii="Arial" w:hAnsi="Arial" w:cs="Arial"/>
        </w:rPr>
        <w:t xml:space="preserve">779. </w:t>
      </w:r>
      <w:hyperlink r:id="rId37" w:history="1">
        <w:r w:rsidR="007D1970" w:rsidRPr="0022330A">
          <w:rPr>
            <w:rStyle w:val="Hyperlink"/>
            <w:rFonts w:ascii="Arial" w:hAnsi="Arial" w:cs="Arial"/>
          </w:rPr>
          <w:t>https://doi.org/10.3390/toxics12110779</w:t>
        </w:r>
      </w:hyperlink>
    </w:p>
    <w:p w14:paraId="20D73518" w14:textId="02E9BA9C" w:rsidR="003B2C2A" w:rsidRPr="0015400B" w:rsidRDefault="003B2C2A" w:rsidP="00F513CD">
      <w:pPr>
        <w:spacing w:after="240"/>
        <w:jc w:val="both"/>
        <w:rPr>
          <w:rFonts w:ascii="Arial" w:hAnsi="Arial" w:cs="Arial"/>
        </w:rPr>
      </w:pPr>
      <w:r w:rsidRPr="0015400B">
        <w:rPr>
          <w:rFonts w:ascii="Arial" w:hAnsi="Arial" w:cs="Arial"/>
        </w:rPr>
        <w:t xml:space="preserve">Li, Y., Chen, L., Zhou, N., Chen, Y., Ling, Z. &amp; Xiang, P. (2024). Microplastics in the human </w:t>
      </w:r>
      <w:r w:rsidR="007D1970">
        <w:rPr>
          <w:rFonts w:ascii="Arial" w:hAnsi="Arial" w:cs="Arial"/>
        </w:rPr>
        <w:tab/>
      </w:r>
      <w:r w:rsidRPr="0015400B">
        <w:rPr>
          <w:rFonts w:ascii="Arial" w:hAnsi="Arial" w:cs="Arial"/>
        </w:rPr>
        <w:t xml:space="preserve">body: A comprehensive review of exposure, distribution, migration mechanisms, and </w:t>
      </w:r>
      <w:r w:rsidR="007D1970">
        <w:rPr>
          <w:rFonts w:ascii="Arial" w:hAnsi="Arial" w:cs="Arial"/>
        </w:rPr>
        <w:tab/>
      </w:r>
      <w:r w:rsidRPr="0015400B">
        <w:rPr>
          <w:rFonts w:ascii="Arial" w:hAnsi="Arial" w:cs="Arial"/>
        </w:rPr>
        <w:t>toxicity. </w:t>
      </w:r>
      <w:r w:rsidRPr="0015400B">
        <w:rPr>
          <w:rFonts w:ascii="Arial" w:hAnsi="Arial" w:cs="Arial"/>
          <w:i/>
          <w:iCs/>
        </w:rPr>
        <w:t xml:space="preserve">The Science of the </w:t>
      </w:r>
      <w:r w:rsidR="00E90CBC" w:rsidRPr="0015400B">
        <w:rPr>
          <w:rFonts w:ascii="Arial" w:hAnsi="Arial" w:cs="Arial"/>
          <w:i/>
          <w:iCs/>
        </w:rPr>
        <w:t>Total Environment</w:t>
      </w:r>
      <w:r w:rsidRPr="0015400B">
        <w:rPr>
          <w:rFonts w:ascii="Arial" w:hAnsi="Arial" w:cs="Arial"/>
        </w:rPr>
        <w:t>, </w:t>
      </w:r>
      <w:r w:rsidRPr="0015400B">
        <w:rPr>
          <w:rFonts w:ascii="Arial" w:hAnsi="Arial" w:cs="Arial"/>
          <w:i/>
          <w:iCs/>
        </w:rPr>
        <w:t>946</w:t>
      </w:r>
      <w:r w:rsidRPr="0015400B">
        <w:rPr>
          <w:rFonts w:ascii="Arial" w:hAnsi="Arial" w:cs="Arial"/>
        </w:rPr>
        <w:t xml:space="preserve">, 174215. </w:t>
      </w:r>
      <w:r w:rsidR="007D1970">
        <w:rPr>
          <w:rFonts w:ascii="Arial" w:hAnsi="Arial" w:cs="Arial"/>
        </w:rPr>
        <w:tab/>
      </w:r>
      <w:hyperlink r:id="rId38" w:history="1">
        <w:r w:rsidR="007D1970" w:rsidRPr="0022330A">
          <w:rPr>
            <w:rStyle w:val="Hyperlink"/>
            <w:rFonts w:ascii="Arial" w:hAnsi="Arial" w:cs="Arial"/>
          </w:rPr>
          <w:t>https://doi.org/10.1016/j.scitotenv.2024.174215</w:t>
        </w:r>
      </w:hyperlink>
    </w:p>
    <w:p w14:paraId="7B1C9655" w14:textId="349B1132" w:rsidR="003B2C2A" w:rsidRPr="0015400B" w:rsidRDefault="003B2C2A" w:rsidP="0015400B">
      <w:pPr>
        <w:spacing w:after="240" w:line="276" w:lineRule="auto"/>
        <w:jc w:val="both"/>
        <w:rPr>
          <w:rFonts w:ascii="Arial" w:hAnsi="Arial" w:cs="Arial"/>
        </w:rPr>
      </w:pPr>
      <w:r w:rsidRPr="0015400B">
        <w:rPr>
          <w:rFonts w:ascii="Arial" w:hAnsi="Arial" w:cs="Arial"/>
        </w:rPr>
        <w:t xml:space="preserve">Li, Y., Tao, L., Wang, Q., Wang, F., Li, G., &amp; Song, M. (2023). Potential Health Impact of </w:t>
      </w:r>
      <w:r w:rsidRPr="0015400B">
        <w:rPr>
          <w:rFonts w:ascii="Arial" w:hAnsi="Arial" w:cs="Arial"/>
        </w:rPr>
        <w:tab/>
        <w:t xml:space="preserve">Microplastics: A Review of Environmental Distribution, Human Exposure, and Toxic </w:t>
      </w:r>
      <w:r w:rsidRPr="0015400B">
        <w:rPr>
          <w:rFonts w:ascii="Arial" w:hAnsi="Arial" w:cs="Arial"/>
        </w:rPr>
        <w:tab/>
        <w:t>Effects. </w:t>
      </w:r>
      <w:r w:rsidRPr="0015400B">
        <w:rPr>
          <w:rFonts w:ascii="Arial" w:hAnsi="Arial" w:cs="Arial"/>
          <w:i/>
          <w:iCs/>
        </w:rPr>
        <w:t xml:space="preserve">Environment &amp; </w:t>
      </w:r>
      <w:r w:rsidR="00F513CD" w:rsidRPr="0015400B">
        <w:rPr>
          <w:rFonts w:ascii="Arial" w:hAnsi="Arial" w:cs="Arial"/>
          <w:i/>
          <w:iCs/>
        </w:rPr>
        <w:t xml:space="preserve">Health </w:t>
      </w:r>
      <w:r w:rsidRPr="0015400B">
        <w:rPr>
          <w:rFonts w:ascii="Arial" w:hAnsi="Arial" w:cs="Arial"/>
          <w:i/>
          <w:iCs/>
        </w:rPr>
        <w:t>(Washington, D.C.)</w:t>
      </w:r>
      <w:r w:rsidRPr="0015400B">
        <w:rPr>
          <w:rFonts w:ascii="Arial" w:hAnsi="Arial" w:cs="Arial"/>
        </w:rPr>
        <w:t>, </w:t>
      </w:r>
      <w:r w:rsidRPr="0015400B">
        <w:rPr>
          <w:rFonts w:ascii="Arial" w:hAnsi="Arial" w:cs="Arial"/>
          <w:i/>
          <w:iCs/>
        </w:rPr>
        <w:t>1</w:t>
      </w:r>
      <w:r w:rsidRPr="0015400B">
        <w:rPr>
          <w:rFonts w:ascii="Arial" w:hAnsi="Arial" w:cs="Arial"/>
        </w:rPr>
        <w:t xml:space="preserve">(4), 249–257. </w:t>
      </w:r>
      <w:r w:rsidRPr="0015400B">
        <w:rPr>
          <w:rFonts w:ascii="Arial" w:hAnsi="Arial" w:cs="Arial"/>
        </w:rPr>
        <w:tab/>
      </w:r>
      <w:hyperlink r:id="rId39" w:history="1">
        <w:r w:rsidRPr="0015400B">
          <w:rPr>
            <w:rStyle w:val="Hyperlink"/>
            <w:rFonts w:ascii="Arial" w:hAnsi="Arial" w:cs="Arial"/>
          </w:rPr>
          <w:t>https://doi.org/10.1021/envhealth.3c00052</w:t>
        </w:r>
      </w:hyperlink>
    </w:p>
    <w:p w14:paraId="12C03910" w14:textId="15363268" w:rsidR="003B2C2A" w:rsidRDefault="003B2C2A" w:rsidP="0015400B">
      <w:pPr>
        <w:spacing w:before="240" w:after="240" w:line="276" w:lineRule="auto"/>
        <w:jc w:val="both"/>
        <w:rPr>
          <w:rFonts w:ascii="Arial" w:hAnsi="Arial" w:cs="Arial"/>
        </w:rPr>
      </w:pPr>
      <w:r w:rsidRPr="0015400B">
        <w:rPr>
          <w:rFonts w:ascii="Arial" w:hAnsi="Arial" w:cs="Arial"/>
        </w:rPr>
        <w:t>Malherbe, K., Khan, M., &amp; Fatima, S. (2023). Fibrocystic Breast Disease. In </w:t>
      </w:r>
      <w:proofErr w:type="spellStart"/>
      <w:r w:rsidRPr="0015400B">
        <w:rPr>
          <w:rFonts w:ascii="Arial" w:hAnsi="Arial" w:cs="Arial"/>
          <w:i/>
          <w:iCs/>
        </w:rPr>
        <w:t>StatPearls</w:t>
      </w:r>
      <w:proofErr w:type="spellEnd"/>
      <w:r w:rsidRPr="0015400B">
        <w:rPr>
          <w:rFonts w:ascii="Arial" w:hAnsi="Arial" w:cs="Arial"/>
        </w:rPr>
        <w:t xml:space="preserve">. </w:t>
      </w:r>
      <w:r w:rsidR="007D1970">
        <w:rPr>
          <w:rFonts w:ascii="Arial" w:hAnsi="Arial" w:cs="Arial"/>
        </w:rPr>
        <w:tab/>
      </w:r>
      <w:proofErr w:type="spellStart"/>
      <w:r w:rsidRPr="0015400B">
        <w:rPr>
          <w:rFonts w:ascii="Arial" w:hAnsi="Arial" w:cs="Arial"/>
        </w:rPr>
        <w:t>StatPearls</w:t>
      </w:r>
      <w:proofErr w:type="spellEnd"/>
      <w:r w:rsidRPr="0015400B">
        <w:rPr>
          <w:rFonts w:ascii="Arial" w:hAnsi="Arial" w:cs="Arial"/>
        </w:rPr>
        <w:t xml:space="preserve"> Publishing. </w:t>
      </w:r>
    </w:p>
    <w:p w14:paraId="4777FD12" w14:textId="30F8ECA0" w:rsidR="00F513CD" w:rsidRPr="00A4674A" w:rsidRDefault="00F513CD" w:rsidP="00F513CD">
      <w:pPr>
        <w:jc w:val="both"/>
        <w:rPr>
          <w:rFonts w:ascii="Arial" w:hAnsi="Arial" w:cs="Arial"/>
        </w:rPr>
      </w:pPr>
      <w:r w:rsidRPr="00A4674A">
        <w:rPr>
          <w:rFonts w:ascii="Arial" w:hAnsi="Arial" w:cs="Arial"/>
        </w:rPr>
        <w:t xml:space="preserve">Marozzi, M., </w:t>
      </w:r>
      <w:proofErr w:type="spellStart"/>
      <w:r w:rsidRPr="00A4674A">
        <w:rPr>
          <w:rFonts w:ascii="Arial" w:hAnsi="Arial" w:cs="Arial"/>
        </w:rPr>
        <w:t>Parnigoni</w:t>
      </w:r>
      <w:proofErr w:type="spellEnd"/>
      <w:r w:rsidRPr="00A4674A">
        <w:rPr>
          <w:rFonts w:ascii="Arial" w:hAnsi="Arial" w:cs="Arial"/>
        </w:rPr>
        <w:t xml:space="preserve">, A., Negri, A., Viola, M., </w:t>
      </w:r>
      <w:proofErr w:type="spellStart"/>
      <w:r w:rsidRPr="00A4674A">
        <w:rPr>
          <w:rFonts w:ascii="Arial" w:hAnsi="Arial" w:cs="Arial"/>
        </w:rPr>
        <w:t>Vigetti</w:t>
      </w:r>
      <w:proofErr w:type="spellEnd"/>
      <w:r w:rsidRPr="00A4674A">
        <w:rPr>
          <w:rFonts w:ascii="Arial" w:hAnsi="Arial" w:cs="Arial"/>
        </w:rPr>
        <w:t xml:space="preserve">, D., Passi, A., </w:t>
      </w:r>
      <w:proofErr w:type="spellStart"/>
      <w:r w:rsidRPr="00A4674A">
        <w:rPr>
          <w:rFonts w:ascii="Arial" w:hAnsi="Arial" w:cs="Arial"/>
        </w:rPr>
        <w:t>Karousou</w:t>
      </w:r>
      <w:proofErr w:type="spellEnd"/>
      <w:r w:rsidRPr="00A4674A">
        <w:rPr>
          <w:rFonts w:ascii="Arial" w:hAnsi="Arial" w:cs="Arial"/>
        </w:rPr>
        <w:t xml:space="preserve">, E., &amp; Rizzi, F. </w:t>
      </w:r>
      <w:r>
        <w:rPr>
          <w:rFonts w:ascii="Arial" w:hAnsi="Arial" w:cs="Arial"/>
        </w:rPr>
        <w:tab/>
      </w:r>
      <w:r w:rsidRPr="00A4674A">
        <w:rPr>
          <w:rFonts w:ascii="Arial" w:hAnsi="Arial" w:cs="Arial"/>
        </w:rPr>
        <w:t xml:space="preserve">(2021). Inflammation, Extracellular Matrix Remodeling, and </w:t>
      </w:r>
      <w:proofErr w:type="spellStart"/>
      <w:r w:rsidRPr="00A4674A">
        <w:rPr>
          <w:rFonts w:ascii="Arial" w:hAnsi="Arial" w:cs="Arial"/>
        </w:rPr>
        <w:t>Proteostasis</w:t>
      </w:r>
      <w:proofErr w:type="spellEnd"/>
      <w:r w:rsidRPr="00A4674A">
        <w:rPr>
          <w:rFonts w:ascii="Arial" w:hAnsi="Arial" w:cs="Arial"/>
        </w:rPr>
        <w:t xml:space="preserve"> in Tumor </w:t>
      </w:r>
      <w:r w:rsidR="00E90CBC">
        <w:rPr>
          <w:rFonts w:ascii="Arial" w:hAnsi="Arial" w:cs="Arial"/>
        </w:rPr>
        <w:lastRenderedPageBreak/>
        <w:tab/>
      </w:r>
      <w:r w:rsidR="00E90CBC" w:rsidRPr="00A4674A">
        <w:rPr>
          <w:rFonts w:ascii="Arial" w:hAnsi="Arial" w:cs="Arial"/>
        </w:rPr>
        <w:t>Microenvironment</w:t>
      </w:r>
      <w:r w:rsidRPr="00A4674A">
        <w:rPr>
          <w:rFonts w:ascii="Arial" w:hAnsi="Arial" w:cs="Arial"/>
        </w:rPr>
        <w:t>. </w:t>
      </w:r>
      <w:r w:rsidRPr="00A4674A">
        <w:rPr>
          <w:rFonts w:ascii="Arial" w:hAnsi="Arial" w:cs="Arial"/>
          <w:i/>
          <w:iCs/>
        </w:rPr>
        <w:t>International Journal of Molecular Sciences</w:t>
      </w:r>
      <w:r w:rsidRPr="00A4674A">
        <w:rPr>
          <w:rFonts w:ascii="Arial" w:hAnsi="Arial" w:cs="Arial"/>
        </w:rPr>
        <w:t>, </w:t>
      </w:r>
      <w:r w:rsidRPr="00A4674A">
        <w:rPr>
          <w:rFonts w:ascii="Arial" w:hAnsi="Arial" w:cs="Arial"/>
          <w:i/>
          <w:iCs/>
        </w:rPr>
        <w:t>22</w:t>
      </w:r>
      <w:r w:rsidRPr="00A4674A">
        <w:rPr>
          <w:rFonts w:ascii="Arial" w:hAnsi="Arial" w:cs="Arial"/>
        </w:rPr>
        <w:t xml:space="preserve">(15), 8102. </w:t>
      </w:r>
      <w:r>
        <w:rPr>
          <w:rFonts w:ascii="Arial" w:hAnsi="Arial" w:cs="Arial"/>
        </w:rPr>
        <w:tab/>
      </w:r>
      <w:hyperlink r:id="rId40" w:history="1">
        <w:r w:rsidRPr="009524BD">
          <w:rPr>
            <w:rStyle w:val="Hyperlink"/>
            <w:rFonts w:ascii="Arial" w:hAnsi="Arial" w:cs="Arial"/>
          </w:rPr>
          <w:t>https://doi.org/10.3390/ijms22158102</w:t>
        </w:r>
      </w:hyperlink>
    </w:p>
    <w:p w14:paraId="7359C9CA" w14:textId="7A59F0FB" w:rsidR="003B2C2A" w:rsidRPr="0015400B" w:rsidRDefault="003B2C2A" w:rsidP="0015400B">
      <w:pPr>
        <w:spacing w:before="240" w:after="240" w:line="276" w:lineRule="auto"/>
        <w:jc w:val="both"/>
        <w:rPr>
          <w:rFonts w:ascii="Arial" w:hAnsi="Arial" w:cs="Arial"/>
        </w:rPr>
      </w:pPr>
      <w:r w:rsidRPr="0015400B">
        <w:rPr>
          <w:rFonts w:ascii="Arial" w:hAnsi="Arial" w:cs="Arial"/>
        </w:rPr>
        <w:t>National Research Council. (2011). </w:t>
      </w:r>
      <w:r w:rsidRPr="0015400B">
        <w:rPr>
          <w:rFonts w:ascii="Arial" w:hAnsi="Arial" w:cs="Arial"/>
          <w:i/>
          <w:iCs/>
        </w:rPr>
        <w:t xml:space="preserve">Guide for the Care and Use of Laboratory Animals: Eighth </w:t>
      </w:r>
      <w:r w:rsidRPr="0015400B">
        <w:rPr>
          <w:rFonts w:ascii="Arial" w:hAnsi="Arial" w:cs="Arial"/>
          <w:i/>
          <w:iCs/>
        </w:rPr>
        <w:tab/>
        <w:t>Edition</w:t>
      </w:r>
      <w:r w:rsidRPr="0015400B">
        <w:rPr>
          <w:rFonts w:ascii="Arial" w:hAnsi="Arial" w:cs="Arial"/>
        </w:rPr>
        <w:t>.</w:t>
      </w:r>
      <w:r w:rsidR="007D1970">
        <w:rPr>
          <w:rFonts w:ascii="Arial" w:hAnsi="Arial" w:cs="Arial"/>
        </w:rPr>
        <w:t xml:space="preserve"> </w:t>
      </w:r>
      <w:r w:rsidRPr="0015400B">
        <w:rPr>
          <w:rFonts w:ascii="Arial" w:hAnsi="Arial" w:cs="Arial"/>
        </w:rPr>
        <w:t xml:space="preserve">Washington, DC: The National Academies Press. </w:t>
      </w:r>
      <w:r w:rsidR="007D1970">
        <w:rPr>
          <w:rFonts w:ascii="Arial" w:hAnsi="Arial" w:cs="Arial"/>
        </w:rPr>
        <w:tab/>
      </w:r>
      <w:hyperlink r:id="rId41" w:history="1">
        <w:r w:rsidR="007D1970" w:rsidRPr="0022330A">
          <w:rPr>
            <w:rStyle w:val="Hyperlink"/>
            <w:rFonts w:ascii="Arial" w:hAnsi="Arial" w:cs="Arial"/>
          </w:rPr>
          <w:t>https://doi.org/10.17226/12910</w:t>
        </w:r>
      </w:hyperlink>
      <w:r w:rsidRPr="0015400B">
        <w:rPr>
          <w:rFonts w:ascii="Arial" w:hAnsi="Arial" w:cs="Arial"/>
        </w:rPr>
        <w:t>.</w:t>
      </w:r>
    </w:p>
    <w:p w14:paraId="569F4650" w14:textId="391F501B" w:rsidR="003B2C2A" w:rsidRPr="0015400B" w:rsidRDefault="003B2C2A" w:rsidP="0015400B">
      <w:pPr>
        <w:spacing w:after="240"/>
        <w:jc w:val="both"/>
        <w:rPr>
          <w:rFonts w:ascii="Arial" w:hAnsi="Arial" w:cs="Arial"/>
        </w:rPr>
      </w:pPr>
      <w:bookmarkStart w:id="2" w:name="_Hlk199404745"/>
      <w:r w:rsidRPr="0015400B">
        <w:rPr>
          <w:rFonts w:ascii="Arial" w:hAnsi="Arial" w:cs="Arial"/>
        </w:rPr>
        <w:t xml:space="preserve">Park, J. H., Hong, S., Kim, O. H., Kim, C. H., Kim, J., Kim, J. W., Hong, S., &amp; Lee, H. J. (2023). </w:t>
      </w:r>
      <w:r w:rsidRPr="0015400B">
        <w:rPr>
          <w:rFonts w:ascii="Arial" w:hAnsi="Arial" w:cs="Arial"/>
        </w:rPr>
        <w:tab/>
        <w:t xml:space="preserve">Polypropylene microplastics promote metastatic features in human breast </w:t>
      </w:r>
      <w:r w:rsidR="007D1970">
        <w:rPr>
          <w:rFonts w:ascii="Arial" w:hAnsi="Arial" w:cs="Arial"/>
        </w:rPr>
        <w:tab/>
      </w:r>
      <w:r w:rsidRPr="0015400B">
        <w:rPr>
          <w:rFonts w:ascii="Arial" w:hAnsi="Arial" w:cs="Arial"/>
        </w:rPr>
        <w:t>cancer. </w:t>
      </w:r>
      <w:r w:rsidRPr="0015400B">
        <w:rPr>
          <w:rFonts w:ascii="Arial" w:hAnsi="Arial" w:cs="Arial"/>
          <w:i/>
          <w:iCs/>
        </w:rPr>
        <w:t xml:space="preserve">Scientific </w:t>
      </w:r>
      <w:r w:rsidR="00E90CBC" w:rsidRPr="0015400B">
        <w:rPr>
          <w:rFonts w:ascii="Arial" w:hAnsi="Arial" w:cs="Arial"/>
          <w:i/>
          <w:iCs/>
        </w:rPr>
        <w:t>Reports</w:t>
      </w:r>
      <w:r w:rsidRPr="0015400B">
        <w:rPr>
          <w:rFonts w:ascii="Arial" w:hAnsi="Arial" w:cs="Arial"/>
        </w:rPr>
        <w:t>, </w:t>
      </w:r>
      <w:r w:rsidRPr="0015400B">
        <w:rPr>
          <w:rFonts w:ascii="Arial" w:hAnsi="Arial" w:cs="Arial"/>
          <w:i/>
          <w:iCs/>
        </w:rPr>
        <w:t>13</w:t>
      </w:r>
      <w:r w:rsidRPr="0015400B">
        <w:rPr>
          <w:rFonts w:ascii="Arial" w:hAnsi="Arial" w:cs="Arial"/>
        </w:rPr>
        <w:t xml:space="preserve">(1), 6252. </w:t>
      </w:r>
      <w:hyperlink r:id="rId42" w:history="1">
        <w:r w:rsidRPr="0015400B">
          <w:rPr>
            <w:rStyle w:val="Hyperlink"/>
            <w:rFonts w:ascii="Arial" w:hAnsi="Arial" w:cs="Arial"/>
          </w:rPr>
          <w:t>https://doi.org/10.1038/s41598-023-33393-8</w:t>
        </w:r>
      </w:hyperlink>
    </w:p>
    <w:p w14:paraId="375955B0" w14:textId="77777777" w:rsidR="003B2C2A" w:rsidRPr="0015400B" w:rsidRDefault="003B2C2A" w:rsidP="0015400B">
      <w:pPr>
        <w:spacing w:after="240"/>
        <w:jc w:val="both"/>
        <w:rPr>
          <w:rFonts w:ascii="Arial" w:hAnsi="Arial" w:cs="Arial"/>
        </w:rPr>
      </w:pPr>
      <w:r w:rsidRPr="0015400B">
        <w:rPr>
          <w:rFonts w:ascii="Arial" w:hAnsi="Arial" w:cs="Arial"/>
        </w:rPr>
        <w:t xml:space="preserve">Percie du </w:t>
      </w:r>
      <w:proofErr w:type="spellStart"/>
      <w:r w:rsidRPr="0015400B">
        <w:rPr>
          <w:rFonts w:ascii="Arial" w:hAnsi="Arial" w:cs="Arial"/>
        </w:rPr>
        <w:t>Sert</w:t>
      </w:r>
      <w:bookmarkEnd w:id="2"/>
      <w:proofErr w:type="spellEnd"/>
      <w:r w:rsidRPr="0015400B">
        <w:rPr>
          <w:rFonts w:ascii="Arial" w:hAnsi="Arial" w:cs="Arial"/>
        </w:rPr>
        <w:t xml:space="preserve">, N., Hurst, V., Ahluwalia, A., Alam, S., Avey, M. T., Baker, M., ... &amp; </w:t>
      </w:r>
      <w:proofErr w:type="spellStart"/>
      <w:r w:rsidRPr="0015400B">
        <w:rPr>
          <w:rFonts w:ascii="Arial" w:hAnsi="Arial" w:cs="Arial"/>
        </w:rPr>
        <w:t>Würbel</w:t>
      </w:r>
      <w:proofErr w:type="spellEnd"/>
      <w:r w:rsidRPr="0015400B">
        <w:rPr>
          <w:rFonts w:ascii="Arial" w:hAnsi="Arial" w:cs="Arial"/>
        </w:rPr>
        <w:t xml:space="preserve">, </w:t>
      </w:r>
      <w:r w:rsidRPr="0015400B">
        <w:rPr>
          <w:rFonts w:ascii="Arial" w:hAnsi="Arial" w:cs="Arial"/>
        </w:rPr>
        <w:tab/>
        <w:t xml:space="preserve">H. (2020). The ARRIVE guidelines 2.0: Updated guidelines for reporting animal </w:t>
      </w:r>
      <w:r w:rsidRPr="0015400B">
        <w:rPr>
          <w:rFonts w:ascii="Arial" w:hAnsi="Arial" w:cs="Arial"/>
        </w:rPr>
        <w:tab/>
        <w:t>research. </w:t>
      </w:r>
      <w:r w:rsidRPr="0015400B">
        <w:rPr>
          <w:rFonts w:ascii="Arial" w:hAnsi="Arial" w:cs="Arial"/>
          <w:i/>
          <w:iCs/>
        </w:rPr>
        <w:t>Journal of Cerebral Blood Flow &amp; Metabolism</w:t>
      </w:r>
      <w:r w:rsidRPr="0015400B">
        <w:rPr>
          <w:rFonts w:ascii="Arial" w:hAnsi="Arial" w:cs="Arial"/>
        </w:rPr>
        <w:t>, </w:t>
      </w:r>
      <w:r w:rsidRPr="0015400B">
        <w:rPr>
          <w:rFonts w:ascii="Arial" w:hAnsi="Arial" w:cs="Arial"/>
          <w:i/>
          <w:iCs/>
        </w:rPr>
        <w:t>40</w:t>
      </w:r>
      <w:r w:rsidRPr="0015400B">
        <w:rPr>
          <w:rFonts w:ascii="Arial" w:hAnsi="Arial" w:cs="Arial"/>
        </w:rPr>
        <w:t xml:space="preserve">(9), 1769-1777. </w:t>
      </w:r>
      <w:r w:rsidRPr="0015400B">
        <w:rPr>
          <w:rFonts w:ascii="Arial" w:hAnsi="Arial" w:cs="Arial"/>
        </w:rPr>
        <w:tab/>
      </w:r>
      <w:hyperlink r:id="rId43" w:history="1">
        <w:r w:rsidRPr="0015400B">
          <w:rPr>
            <w:rStyle w:val="Hyperlink"/>
            <w:rFonts w:ascii="Arial" w:hAnsi="Arial" w:cs="Arial"/>
          </w:rPr>
          <w:t>https://doi.org/10.1111/bph.15193</w:t>
        </w:r>
      </w:hyperlink>
    </w:p>
    <w:p w14:paraId="7939069E" w14:textId="19BBD52D" w:rsidR="003B2C2A" w:rsidRPr="0015400B" w:rsidRDefault="003B2C2A" w:rsidP="0015400B">
      <w:pPr>
        <w:spacing w:after="240" w:line="276" w:lineRule="auto"/>
        <w:jc w:val="both"/>
        <w:rPr>
          <w:rFonts w:ascii="Arial" w:hAnsi="Arial" w:cs="Arial"/>
        </w:rPr>
      </w:pPr>
      <w:r w:rsidRPr="0015400B">
        <w:rPr>
          <w:rFonts w:ascii="Arial" w:hAnsi="Arial" w:cs="Arial"/>
        </w:rPr>
        <w:t>Prata J. C. (2018). Airborne microplastics: Consequences to human health? </w:t>
      </w:r>
      <w:r w:rsidRPr="0015400B">
        <w:rPr>
          <w:rFonts w:ascii="Arial" w:hAnsi="Arial" w:cs="Arial"/>
          <w:i/>
          <w:iCs/>
        </w:rPr>
        <w:t xml:space="preserve">Environmental </w:t>
      </w:r>
      <w:r w:rsidRPr="0015400B">
        <w:rPr>
          <w:rFonts w:ascii="Arial" w:hAnsi="Arial" w:cs="Arial"/>
          <w:i/>
          <w:iCs/>
        </w:rPr>
        <w:tab/>
      </w:r>
      <w:r w:rsidR="00E90CBC" w:rsidRPr="0015400B">
        <w:rPr>
          <w:rFonts w:ascii="Arial" w:hAnsi="Arial" w:cs="Arial"/>
          <w:i/>
          <w:iCs/>
        </w:rPr>
        <w:t xml:space="preserve">Pollution </w:t>
      </w:r>
      <w:r w:rsidRPr="0015400B">
        <w:rPr>
          <w:rFonts w:ascii="Arial" w:hAnsi="Arial" w:cs="Arial"/>
          <w:i/>
          <w:iCs/>
        </w:rPr>
        <w:t>(Barking, Essex: 1987)</w:t>
      </w:r>
      <w:r w:rsidRPr="0015400B">
        <w:rPr>
          <w:rFonts w:ascii="Arial" w:hAnsi="Arial" w:cs="Arial"/>
        </w:rPr>
        <w:t>, </w:t>
      </w:r>
      <w:r w:rsidRPr="0015400B">
        <w:rPr>
          <w:rFonts w:ascii="Arial" w:hAnsi="Arial" w:cs="Arial"/>
          <w:i/>
          <w:iCs/>
        </w:rPr>
        <w:t>234</w:t>
      </w:r>
      <w:r w:rsidRPr="0015400B">
        <w:rPr>
          <w:rFonts w:ascii="Arial" w:hAnsi="Arial" w:cs="Arial"/>
        </w:rPr>
        <w:t xml:space="preserve">, 115–126. </w:t>
      </w:r>
      <w:r w:rsidRPr="0015400B">
        <w:rPr>
          <w:rFonts w:ascii="Arial" w:hAnsi="Arial" w:cs="Arial"/>
        </w:rPr>
        <w:tab/>
      </w:r>
      <w:hyperlink r:id="rId44" w:history="1">
        <w:r w:rsidRPr="0015400B">
          <w:rPr>
            <w:rStyle w:val="Hyperlink"/>
            <w:rFonts w:ascii="Arial" w:hAnsi="Arial" w:cs="Arial"/>
          </w:rPr>
          <w:t>https://doi.org/10.1016/j.envpol.2017.11.043</w:t>
        </w:r>
      </w:hyperlink>
    </w:p>
    <w:p w14:paraId="1BBFD8C2" w14:textId="77777777" w:rsidR="003B2C2A" w:rsidRPr="0015400B" w:rsidRDefault="003B2C2A" w:rsidP="0015400B">
      <w:pPr>
        <w:shd w:val="clear" w:color="auto" w:fill="FFFFFF"/>
        <w:spacing w:before="240" w:after="240" w:line="276" w:lineRule="auto"/>
        <w:jc w:val="both"/>
        <w:rPr>
          <w:rFonts w:ascii="Arial" w:hAnsi="Arial" w:cs="Arial"/>
        </w:rPr>
      </w:pPr>
      <w:r w:rsidRPr="0015400B">
        <w:rPr>
          <w:rFonts w:ascii="Arial" w:hAnsi="Arial" w:cs="Arial"/>
        </w:rPr>
        <w:t xml:space="preserve">Priya, A. K., Jalil, A. A., Dutta, K., Rajendran, S., </w:t>
      </w:r>
      <w:proofErr w:type="spellStart"/>
      <w:r w:rsidRPr="0015400B">
        <w:rPr>
          <w:rFonts w:ascii="Arial" w:hAnsi="Arial" w:cs="Arial"/>
        </w:rPr>
        <w:t>Vasseghian</w:t>
      </w:r>
      <w:proofErr w:type="spellEnd"/>
      <w:r w:rsidRPr="0015400B">
        <w:rPr>
          <w:rFonts w:ascii="Arial" w:hAnsi="Arial" w:cs="Arial"/>
        </w:rPr>
        <w:t xml:space="preserve">, Y., Qin, J., &amp; Soto-Moscoso, M. </w:t>
      </w:r>
      <w:r w:rsidRPr="0015400B">
        <w:rPr>
          <w:rFonts w:ascii="Arial" w:hAnsi="Arial" w:cs="Arial"/>
        </w:rPr>
        <w:tab/>
        <w:t xml:space="preserve">(2022). Microplastics in the environment: Recent developments in characteristic, </w:t>
      </w:r>
      <w:r w:rsidRPr="0015400B">
        <w:rPr>
          <w:rFonts w:ascii="Arial" w:hAnsi="Arial" w:cs="Arial"/>
        </w:rPr>
        <w:tab/>
        <w:t>occurrence, identification and ecological risk. </w:t>
      </w:r>
      <w:r w:rsidRPr="0015400B">
        <w:rPr>
          <w:rFonts w:ascii="Arial" w:hAnsi="Arial" w:cs="Arial"/>
          <w:i/>
          <w:iCs/>
        </w:rPr>
        <w:t>Chemosphere</w:t>
      </w:r>
      <w:r w:rsidRPr="0015400B">
        <w:rPr>
          <w:rFonts w:ascii="Arial" w:hAnsi="Arial" w:cs="Arial"/>
        </w:rPr>
        <w:t>, </w:t>
      </w:r>
      <w:r w:rsidRPr="0015400B">
        <w:rPr>
          <w:rFonts w:ascii="Arial" w:hAnsi="Arial" w:cs="Arial"/>
          <w:i/>
          <w:iCs/>
        </w:rPr>
        <w:t>298</w:t>
      </w:r>
      <w:r w:rsidRPr="0015400B">
        <w:rPr>
          <w:rFonts w:ascii="Arial" w:hAnsi="Arial" w:cs="Arial"/>
        </w:rPr>
        <w:t xml:space="preserve">, 134161. </w:t>
      </w:r>
      <w:r w:rsidRPr="0015400B">
        <w:rPr>
          <w:rFonts w:ascii="Arial" w:hAnsi="Arial" w:cs="Arial"/>
        </w:rPr>
        <w:tab/>
      </w:r>
      <w:hyperlink r:id="rId45" w:history="1">
        <w:r w:rsidRPr="0015400B">
          <w:rPr>
            <w:rStyle w:val="Hyperlink"/>
            <w:rFonts w:ascii="Arial" w:hAnsi="Arial" w:cs="Arial"/>
          </w:rPr>
          <w:t>https://doi.org/10.1016/j.chemosphere.2022.134161</w:t>
        </w:r>
      </w:hyperlink>
    </w:p>
    <w:p w14:paraId="29EB399C" w14:textId="76F8C46D" w:rsidR="003B2C2A" w:rsidRPr="0015400B" w:rsidRDefault="003B2C2A" w:rsidP="0015400B">
      <w:pPr>
        <w:spacing w:before="240" w:after="240" w:line="276" w:lineRule="auto"/>
        <w:jc w:val="both"/>
        <w:rPr>
          <w:rFonts w:ascii="Arial" w:hAnsi="Arial" w:cs="Arial"/>
        </w:rPr>
      </w:pPr>
      <w:proofErr w:type="spellStart"/>
      <w:r w:rsidRPr="0015400B">
        <w:rPr>
          <w:rFonts w:ascii="Arial" w:hAnsi="Arial" w:cs="Arial"/>
        </w:rPr>
        <w:t>Prüst</w:t>
      </w:r>
      <w:proofErr w:type="spellEnd"/>
      <w:r w:rsidRPr="0015400B">
        <w:rPr>
          <w:rFonts w:ascii="Arial" w:hAnsi="Arial" w:cs="Arial"/>
        </w:rPr>
        <w:t xml:space="preserve">, M., Meijer, J., &amp; </w:t>
      </w:r>
      <w:proofErr w:type="spellStart"/>
      <w:r w:rsidRPr="0015400B">
        <w:rPr>
          <w:rFonts w:ascii="Arial" w:hAnsi="Arial" w:cs="Arial"/>
        </w:rPr>
        <w:t>Westerink</w:t>
      </w:r>
      <w:proofErr w:type="spellEnd"/>
      <w:r w:rsidRPr="0015400B">
        <w:rPr>
          <w:rFonts w:ascii="Arial" w:hAnsi="Arial" w:cs="Arial"/>
        </w:rPr>
        <w:t xml:space="preserve">, R. H. S. (2020). The plastic brain: neurotoxicity of micro- </w:t>
      </w:r>
      <w:r w:rsidR="007D1970">
        <w:rPr>
          <w:rFonts w:ascii="Arial" w:hAnsi="Arial" w:cs="Arial"/>
        </w:rPr>
        <w:tab/>
      </w:r>
      <w:r w:rsidRPr="0015400B">
        <w:rPr>
          <w:rFonts w:ascii="Arial" w:hAnsi="Arial" w:cs="Arial"/>
        </w:rPr>
        <w:t xml:space="preserve">and </w:t>
      </w:r>
      <w:proofErr w:type="spellStart"/>
      <w:r w:rsidRPr="0015400B">
        <w:rPr>
          <w:rFonts w:ascii="Arial" w:hAnsi="Arial" w:cs="Arial"/>
        </w:rPr>
        <w:t>nanoplastics</w:t>
      </w:r>
      <w:proofErr w:type="spellEnd"/>
      <w:r w:rsidRPr="0015400B">
        <w:rPr>
          <w:rFonts w:ascii="Arial" w:hAnsi="Arial" w:cs="Arial"/>
        </w:rPr>
        <w:t>. </w:t>
      </w:r>
      <w:r w:rsidRPr="0015400B">
        <w:rPr>
          <w:rFonts w:ascii="Arial" w:hAnsi="Arial" w:cs="Arial"/>
          <w:i/>
          <w:iCs/>
        </w:rPr>
        <w:t xml:space="preserve">Particle and </w:t>
      </w:r>
      <w:proofErr w:type="spellStart"/>
      <w:r w:rsidR="00E90CBC" w:rsidRPr="0015400B">
        <w:rPr>
          <w:rFonts w:ascii="Arial" w:hAnsi="Arial" w:cs="Arial"/>
          <w:i/>
          <w:iCs/>
        </w:rPr>
        <w:t>Fibre</w:t>
      </w:r>
      <w:proofErr w:type="spellEnd"/>
      <w:r w:rsidR="00E90CBC" w:rsidRPr="0015400B">
        <w:rPr>
          <w:rFonts w:ascii="Arial" w:hAnsi="Arial" w:cs="Arial"/>
          <w:i/>
          <w:iCs/>
        </w:rPr>
        <w:t xml:space="preserve"> Toxicology</w:t>
      </w:r>
      <w:r w:rsidRPr="0015400B">
        <w:rPr>
          <w:rFonts w:ascii="Arial" w:hAnsi="Arial" w:cs="Arial"/>
        </w:rPr>
        <w:t>, </w:t>
      </w:r>
      <w:r w:rsidRPr="0015400B">
        <w:rPr>
          <w:rFonts w:ascii="Arial" w:hAnsi="Arial" w:cs="Arial"/>
          <w:i/>
          <w:iCs/>
        </w:rPr>
        <w:t>17</w:t>
      </w:r>
      <w:r w:rsidRPr="0015400B">
        <w:rPr>
          <w:rFonts w:ascii="Arial" w:hAnsi="Arial" w:cs="Arial"/>
        </w:rPr>
        <w:t xml:space="preserve">(1), 24. </w:t>
      </w:r>
      <w:r w:rsidR="007D1970">
        <w:rPr>
          <w:rFonts w:ascii="Arial" w:hAnsi="Arial" w:cs="Arial"/>
        </w:rPr>
        <w:tab/>
      </w:r>
      <w:hyperlink r:id="rId46" w:history="1">
        <w:r w:rsidR="007D1970" w:rsidRPr="0022330A">
          <w:rPr>
            <w:rStyle w:val="Hyperlink"/>
            <w:rFonts w:ascii="Arial" w:hAnsi="Arial" w:cs="Arial"/>
          </w:rPr>
          <w:t>https://doi.org/10.1186/s12989-020-00358-y</w:t>
        </w:r>
      </w:hyperlink>
    </w:p>
    <w:p w14:paraId="400DD2D0" w14:textId="264155E8"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Rahman, A., Sarkar, A., Yadav, O. P., Achari, G., &amp; Slobodnik, J. (2021). Potential human </w:t>
      </w:r>
      <w:r w:rsidR="007D1970">
        <w:rPr>
          <w:rFonts w:ascii="Arial" w:hAnsi="Arial" w:cs="Arial"/>
        </w:rPr>
        <w:tab/>
      </w:r>
      <w:r w:rsidRPr="0015400B">
        <w:rPr>
          <w:rFonts w:ascii="Arial" w:hAnsi="Arial" w:cs="Arial"/>
        </w:rPr>
        <w:t xml:space="preserve">health </w:t>
      </w:r>
      <w:r w:rsidRPr="0015400B">
        <w:rPr>
          <w:rFonts w:ascii="Arial" w:hAnsi="Arial" w:cs="Arial"/>
        </w:rPr>
        <w:tab/>
        <w:t xml:space="preserve">risks due to environmental exposure to nano- and microplastics and </w:t>
      </w:r>
      <w:r w:rsidR="007D1970">
        <w:rPr>
          <w:rFonts w:ascii="Arial" w:hAnsi="Arial" w:cs="Arial"/>
        </w:rPr>
        <w:tab/>
      </w:r>
      <w:r w:rsidRPr="0015400B">
        <w:rPr>
          <w:rFonts w:ascii="Arial" w:hAnsi="Arial" w:cs="Arial"/>
        </w:rPr>
        <w:t>knowledge gaps: A scoping review. </w:t>
      </w:r>
      <w:r w:rsidRPr="0015400B">
        <w:rPr>
          <w:rFonts w:ascii="Arial" w:hAnsi="Arial" w:cs="Arial"/>
          <w:i/>
          <w:iCs/>
        </w:rPr>
        <w:t xml:space="preserve">The Science of the </w:t>
      </w:r>
      <w:r w:rsidR="00E90CBC" w:rsidRPr="0015400B">
        <w:rPr>
          <w:rFonts w:ascii="Arial" w:hAnsi="Arial" w:cs="Arial"/>
          <w:i/>
          <w:iCs/>
        </w:rPr>
        <w:t>Total Environment</w:t>
      </w:r>
      <w:r w:rsidRPr="0015400B">
        <w:rPr>
          <w:rFonts w:ascii="Arial" w:hAnsi="Arial" w:cs="Arial"/>
        </w:rPr>
        <w:t>, </w:t>
      </w:r>
      <w:r w:rsidRPr="0015400B">
        <w:rPr>
          <w:rFonts w:ascii="Arial" w:hAnsi="Arial" w:cs="Arial"/>
          <w:i/>
          <w:iCs/>
        </w:rPr>
        <w:t>757</w:t>
      </w:r>
      <w:r w:rsidRPr="0015400B">
        <w:rPr>
          <w:rFonts w:ascii="Arial" w:hAnsi="Arial" w:cs="Arial"/>
        </w:rPr>
        <w:t xml:space="preserve">, </w:t>
      </w:r>
      <w:r w:rsidR="007D1970">
        <w:rPr>
          <w:rFonts w:ascii="Arial" w:hAnsi="Arial" w:cs="Arial"/>
        </w:rPr>
        <w:tab/>
      </w:r>
      <w:r w:rsidRPr="0015400B">
        <w:rPr>
          <w:rFonts w:ascii="Arial" w:hAnsi="Arial" w:cs="Arial"/>
        </w:rPr>
        <w:t xml:space="preserve">143872. </w:t>
      </w:r>
      <w:hyperlink r:id="rId47" w:history="1">
        <w:r w:rsidR="007D1970" w:rsidRPr="0022330A">
          <w:rPr>
            <w:rStyle w:val="Hyperlink"/>
            <w:rFonts w:ascii="Arial" w:hAnsi="Arial" w:cs="Arial"/>
          </w:rPr>
          <w:t>https://doi.org/10.1016/j.scitotenv.2020.143872</w:t>
        </w:r>
      </w:hyperlink>
    </w:p>
    <w:p w14:paraId="6D5D57CB" w14:textId="3A075AA7" w:rsidR="003B2C2A" w:rsidRPr="0015400B" w:rsidRDefault="003B2C2A" w:rsidP="0015400B">
      <w:pPr>
        <w:spacing w:after="240" w:line="276" w:lineRule="auto"/>
        <w:jc w:val="both"/>
        <w:rPr>
          <w:rFonts w:ascii="Arial" w:hAnsi="Arial" w:cs="Arial"/>
        </w:rPr>
      </w:pPr>
      <w:r w:rsidRPr="0015400B">
        <w:rPr>
          <w:rFonts w:ascii="Arial" w:hAnsi="Arial" w:cs="Arial"/>
        </w:rPr>
        <w:t xml:space="preserve">Rodgers, K. M., </w:t>
      </w:r>
      <w:proofErr w:type="spellStart"/>
      <w:r w:rsidRPr="0015400B">
        <w:rPr>
          <w:rFonts w:ascii="Arial" w:hAnsi="Arial" w:cs="Arial"/>
        </w:rPr>
        <w:t>Udesky</w:t>
      </w:r>
      <w:proofErr w:type="spellEnd"/>
      <w:r w:rsidRPr="0015400B">
        <w:rPr>
          <w:rFonts w:ascii="Arial" w:hAnsi="Arial" w:cs="Arial"/>
        </w:rPr>
        <w:t xml:space="preserve">, J. O., Rudel, R. A., &amp; Brody, J. G. (2018). Environmental chemicals </w:t>
      </w:r>
      <w:r w:rsidR="007D1970">
        <w:rPr>
          <w:rFonts w:ascii="Arial" w:hAnsi="Arial" w:cs="Arial"/>
        </w:rPr>
        <w:tab/>
      </w:r>
      <w:r w:rsidRPr="0015400B">
        <w:rPr>
          <w:rFonts w:ascii="Arial" w:hAnsi="Arial" w:cs="Arial"/>
        </w:rPr>
        <w:t xml:space="preserve">and breast cancer: An updated review of epidemiological literature informed by </w:t>
      </w:r>
      <w:r w:rsidR="007D1970">
        <w:rPr>
          <w:rFonts w:ascii="Arial" w:hAnsi="Arial" w:cs="Arial"/>
        </w:rPr>
        <w:tab/>
      </w:r>
      <w:r w:rsidRPr="0015400B">
        <w:rPr>
          <w:rFonts w:ascii="Arial" w:hAnsi="Arial" w:cs="Arial"/>
        </w:rPr>
        <w:t>biological</w:t>
      </w:r>
      <w:r w:rsidR="007D1970">
        <w:rPr>
          <w:rFonts w:ascii="Arial" w:hAnsi="Arial" w:cs="Arial"/>
        </w:rPr>
        <w:t xml:space="preserve"> </w:t>
      </w:r>
      <w:r w:rsidRPr="0015400B">
        <w:rPr>
          <w:rFonts w:ascii="Arial" w:hAnsi="Arial" w:cs="Arial"/>
        </w:rPr>
        <w:t>mechanisms. </w:t>
      </w:r>
      <w:r w:rsidRPr="0015400B">
        <w:rPr>
          <w:rFonts w:ascii="Arial" w:hAnsi="Arial" w:cs="Arial"/>
          <w:i/>
          <w:iCs/>
        </w:rPr>
        <w:t xml:space="preserve">Environmental </w:t>
      </w:r>
      <w:r w:rsidR="00E90CBC" w:rsidRPr="0015400B">
        <w:rPr>
          <w:rFonts w:ascii="Arial" w:hAnsi="Arial" w:cs="Arial"/>
          <w:i/>
          <w:iCs/>
        </w:rPr>
        <w:t>Research</w:t>
      </w:r>
      <w:r w:rsidRPr="0015400B">
        <w:rPr>
          <w:rFonts w:ascii="Arial" w:hAnsi="Arial" w:cs="Arial"/>
        </w:rPr>
        <w:t>, </w:t>
      </w:r>
      <w:r w:rsidRPr="0015400B">
        <w:rPr>
          <w:rFonts w:ascii="Arial" w:hAnsi="Arial" w:cs="Arial"/>
          <w:i/>
          <w:iCs/>
        </w:rPr>
        <w:t>160</w:t>
      </w:r>
      <w:r w:rsidRPr="0015400B">
        <w:rPr>
          <w:rFonts w:ascii="Arial" w:hAnsi="Arial" w:cs="Arial"/>
        </w:rPr>
        <w:t xml:space="preserve">, 152–182. </w:t>
      </w:r>
      <w:r w:rsidR="007D1970">
        <w:rPr>
          <w:rFonts w:ascii="Arial" w:hAnsi="Arial" w:cs="Arial"/>
        </w:rPr>
        <w:tab/>
      </w:r>
      <w:hyperlink r:id="rId48" w:history="1">
        <w:r w:rsidR="007D1970" w:rsidRPr="0022330A">
          <w:rPr>
            <w:rStyle w:val="Hyperlink"/>
            <w:rFonts w:ascii="Arial" w:hAnsi="Arial" w:cs="Arial"/>
          </w:rPr>
          <w:t>https://doi.org/10.1016/j.envres.2017.08.045</w:t>
        </w:r>
      </w:hyperlink>
    </w:p>
    <w:p w14:paraId="30FDE59B" w14:textId="77777777" w:rsidR="003B2C2A" w:rsidRPr="0015400B" w:rsidRDefault="003B2C2A" w:rsidP="0015400B">
      <w:pPr>
        <w:spacing w:after="240" w:line="276" w:lineRule="auto"/>
        <w:jc w:val="both"/>
        <w:rPr>
          <w:rFonts w:ascii="Arial" w:hAnsi="Arial" w:cs="Arial"/>
        </w:rPr>
      </w:pPr>
      <w:r w:rsidRPr="0015400B">
        <w:rPr>
          <w:rFonts w:ascii="Arial" w:hAnsi="Arial" w:cs="Arial"/>
        </w:rPr>
        <w:t xml:space="preserve">Schnee, M., Sieler, M., </w:t>
      </w:r>
      <w:proofErr w:type="spellStart"/>
      <w:r w:rsidRPr="0015400B">
        <w:rPr>
          <w:rFonts w:ascii="Arial" w:hAnsi="Arial" w:cs="Arial"/>
        </w:rPr>
        <w:t>Dörnen</w:t>
      </w:r>
      <w:proofErr w:type="spellEnd"/>
      <w:r w:rsidRPr="0015400B">
        <w:rPr>
          <w:rFonts w:ascii="Arial" w:hAnsi="Arial" w:cs="Arial"/>
        </w:rPr>
        <w:t xml:space="preserve">, J., &amp; Dittmar, T. (2024). Effects of polystyrene nano- and </w:t>
      </w:r>
      <w:r w:rsidRPr="0015400B">
        <w:rPr>
          <w:rFonts w:ascii="Arial" w:hAnsi="Arial" w:cs="Arial"/>
        </w:rPr>
        <w:tab/>
        <w:t xml:space="preserve">microplastics on human breast epithelial cells and human breast cancer </w:t>
      </w:r>
      <w:r w:rsidRPr="0015400B">
        <w:rPr>
          <w:rFonts w:ascii="Arial" w:hAnsi="Arial" w:cs="Arial"/>
        </w:rPr>
        <w:tab/>
        <w:t>cells. </w:t>
      </w:r>
      <w:proofErr w:type="spellStart"/>
      <w:r w:rsidRPr="0015400B">
        <w:rPr>
          <w:rFonts w:ascii="Arial" w:hAnsi="Arial" w:cs="Arial"/>
          <w:i/>
          <w:iCs/>
        </w:rPr>
        <w:t>Heliyon</w:t>
      </w:r>
      <w:proofErr w:type="spellEnd"/>
      <w:r w:rsidRPr="0015400B">
        <w:rPr>
          <w:rFonts w:ascii="Arial" w:hAnsi="Arial" w:cs="Arial"/>
        </w:rPr>
        <w:t>, </w:t>
      </w:r>
      <w:r w:rsidRPr="0015400B">
        <w:rPr>
          <w:rFonts w:ascii="Arial" w:hAnsi="Arial" w:cs="Arial"/>
          <w:i/>
          <w:iCs/>
        </w:rPr>
        <w:t>10</w:t>
      </w:r>
      <w:r w:rsidRPr="0015400B">
        <w:rPr>
          <w:rFonts w:ascii="Arial" w:hAnsi="Arial" w:cs="Arial"/>
        </w:rPr>
        <w:t xml:space="preserve">(20), e38686. </w:t>
      </w:r>
      <w:hyperlink r:id="rId49" w:history="1">
        <w:r w:rsidRPr="0015400B">
          <w:rPr>
            <w:rStyle w:val="Hyperlink"/>
            <w:rFonts w:ascii="Arial" w:hAnsi="Arial" w:cs="Arial"/>
          </w:rPr>
          <w:t>https://doi.org/10.1016/j.heliyon.2024.e38686</w:t>
        </w:r>
      </w:hyperlink>
    </w:p>
    <w:p w14:paraId="175E43A7" w14:textId="46034960"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Schwabl, P., </w:t>
      </w:r>
      <w:proofErr w:type="spellStart"/>
      <w:r w:rsidRPr="0015400B">
        <w:rPr>
          <w:rFonts w:ascii="Arial" w:hAnsi="Arial" w:cs="Arial"/>
        </w:rPr>
        <w:t>Köppel</w:t>
      </w:r>
      <w:proofErr w:type="spellEnd"/>
      <w:r w:rsidRPr="0015400B">
        <w:rPr>
          <w:rFonts w:ascii="Arial" w:hAnsi="Arial" w:cs="Arial"/>
        </w:rPr>
        <w:t xml:space="preserve">, S., </w:t>
      </w:r>
      <w:proofErr w:type="spellStart"/>
      <w:r w:rsidRPr="0015400B">
        <w:rPr>
          <w:rFonts w:ascii="Arial" w:hAnsi="Arial" w:cs="Arial"/>
        </w:rPr>
        <w:t>Königshofer</w:t>
      </w:r>
      <w:proofErr w:type="spellEnd"/>
      <w:r w:rsidRPr="0015400B">
        <w:rPr>
          <w:rFonts w:ascii="Arial" w:hAnsi="Arial" w:cs="Arial"/>
        </w:rPr>
        <w:t xml:space="preserve">, P., </w:t>
      </w:r>
      <w:proofErr w:type="spellStart"/>
      <w:r w:rsidRPr="0015400B">
        <w:rPr>
          <w:rFonts w:ascii="Arial" w:hAnsi="Arial" w:cs="Arial"/>
        </w:rPr>
        <w:t>Bucsics</w:t>
      </w:r>
      <w:proofErr w:type="spellEnd"/>
      <w:r w:rsidRPr="0015400B">
        <w:rPr>
          <w:rFonts w:ascii="Arial" w:hAnsi="Arial" w:cs="Arial"/>
        </w:rPr>
        <w:t xml:space="preserve">, T., Trauner, M., </w:t>
      </w:r>
      <w:proofErr w:type="spellStart"/>
      <w:r w:rsidRPr="0015400B">
        <w:rPr>
          <w:rFonts w:ascii="Arial" w:hAnsi="Arial" w:cs="Arial"/>
        </w:rPr>
        <w:t>Reiberger</w:t>
      </w:r>
      <w:proofErr w:type="spellEnd"/>
      <w:r w:rsidRPr="0015400B">
        <w:rPr>
          <w:rFonts w:ascii="Arial" w:hAnsi="Arial" w:cs="Arial"/>
        </w:rPr>
        <w:t xml:space="preserve">, T., &amp; Liebmann, </w:t>
      </w:r>
      <w:r w:rsidR="007D1970">
        <w:rPr>
          <w:rFonts w:ascii="Arial" w:hAnsi="Arial" w:cs="Arial"/>
        </w:rPr>
        <w:tab/>
      </w:r>
      <w:r w:rsidRPr="0015400B">
        <w:rPr>
          <w:rFonts w:ascii="Arial" w:hAnsi="Arial" w:cs="Arial"/>
        </w:rPr>
        <w:t xml:space="preserve">B. (2019). Detection of Various Microplastics in Human Stool: A Prospective Case </w:t>
      </w:r>
      <w:r w:rsidR="007D1970">
        <w:rPr>
          <w:rFonts w:ascii="Arial" w:hAnsi="Arial" w:cs="Arial"/>
        </w:rPr>
        <w:tab/>
      </w:r>
      <w:r w:rsidRPr="0015400B">
        <w:rPr>
          <w:rFonts w:ascii="Arial" w:hAnsi="Arial" w:cs="Arial"/>
        </w:rPr>
        <w:t>Series. </w:t>
      </w:r>
      <w:r w:rsidRPr="0015400B">
        <w:rPr>
          <w:rFonts w:ascii="Arial" w:hAnsi="Arial" w:cs="Arial"/>
          <w:i/>
          <w:iCs/>
        </w:rPr>
        <w:t xml:space="preserve">Annals of </w:t>
      </w:r>
      <w:r w:rsidR="00E90CBC" w:rsidRPr="0015400B">
        <w:rPr>
          <w:rFonts w:ascii="Arial" w:hAnsi="Arial" w:cs="Arial"/>
          <w:i/>
          <w:iCs/>
        </w:rPr>
        <w:t>Internal Medicine</w:t>
      </w:r>
      <w:r w:rsidRPr="0015400B">
        <w:rPr>
          <w:rFonts w:ascii="Arial" w:hAnsi="Arial" w:cs="Arial"/>
        </w:rPr>
        <w:t>, </w:t>
      </w:r>
      <w:r w:rsidRPr="0015400B">
        <w:rPr>
          <w:rFonts w:ascii="Arial" w:hAnsi="Arial" w:cs="Arial"/>
          <w:i/>
          <w:iCs/>
        </w:rPr>
        <w:t>171</w:t>
      </w:r>
      <w:r w:rsidRPr="0015400B">
        <w:rPr>
          <w:rFonts w:ascii="Arial" w:hAnsi="Arial" w:cs="Arial"/>
        </w:rPr>
        <w:t xml:space="preserve">(7), 453–457. </w:t>
      </w:r>
      <w:hyperlink r:id="rId50" w:history="1">
        <w:r w:rsidR="007D1970" w:rsidRPr="0022330A">
          <w:rPr>
            <w:rStyle w:val="Hyperlink"/>
            <w:rFonts w:ascii="Arial" w:hAnsi="Arial" w:cs="Arial"/>
          </w:rPr>
          <w:t>https://doi.org/10.7326/M19-</w:t>
        </w:r>
        <w:r w:rsidR="007D1970" w:rsidRPr="0022330A">
          <w:rPr>
            <w:rStyle w:val="Hyperlink"/>
            <w:rFonts w:ascii="Arial" w:hAnsi="Arial" w:cs="Arial"/>
          </w:rPr>
          <w:tab/>
          <w:t>0618</w:t>
        </w:r>
      </w:hyperlink>
    </w:p>
    <w:p w14:paraId="16561711" w14:textId="5A744667" w:rsidR="003B2C2A" w:rsidRPr="0015400B" w:rsidRDefault="003B2C2A" w:rsidP="0015400B">
      <w:pPr>
        <w:spacing w:after="240" w:line="276" w:lineRule="auto"/>
        <w:jc w:val="both"/>
        <w:rPr>
          <w:rFonts w:ascii="Arial" w:hAnsi="Arial" w:cs="Arial"/>
        </w:rPr>
      </w:pPr>
      <w:r w:rsidRPr="0015400B">
        <w:rPr>
          <w:rFonts w:ascii="Arial" w:hAnsi="Arial" w:cs="Arial"/>
        </w:rPr>
        <w:lastRenderedPageBreak/>
        <w:t xml:space="preserve">Schymanski, D., Goldbeck, C., </w:t>
      </w:r>
      <w:proofErr w:type="spellStart"/>
      <w:r w:rsidRPr="0015400B">
        <w:rPr>
          <w:rFonts w:ascii="Arial" w:hAnsi="Arial" w:cs="Arial"/>
        </w:rPr>
        <w:t>Humpf</w:t>
      </w:r>
      <w:proofErr w:type="spellEnd"/>
      <w:r w:rsidRPr="0015400B">
        <w:rPr>
          <w:rFonts w:ascii="Arial" w:hAnsi="Arial" w:cs="Arial"/>
        </w:rPr>
        <w:t xml:space="preserve">, H. U., &amp; Fürst, P. (2018). Analysis of microplastics in </w:t>
      </w:r>
      <w:r w:rsidRPr="0015400B">
        <w:rPr>
          <w:rFonts w:ascii="Arial" w:hAnsi="Arial" w:cs="Arial"/>
        </w:rPr>
        <w:tab/>
        <w:t xml:space="preserve">water by micro-Raman spectroscopy: Release of plastic particles from different </w:t>
      </w:r>
      <w:r w:rsidR="00F24C99">
        <w:rPr>
          <w:rFonts w:ascii="Arial" w:hAnsi="Arial" w:cs="Arial"/>
        </w:rPr>
        <w:tab/>
      </w:r>
      <w:r w:rsidRPr="0015400B">
        <w:rPr>
          <w:rFonts w:ascii="Arial" w:hAnsi="Arial" w:cs="Arial"/>
        </w:rPr>
        <w:t>packaging into mineral water. </w:t>
      </w:r>
      <w:r w:rsidRPr="0015400B">
        <w:rPr>
          <w:rFonts w:ascii="Arial" w:hAnsi="Arial" w:cs="Arial"/>
          <w:i/>
          <w:iCs/>
        </w:rPr>
        <w:t xml:space="preserve">Water </w:t>
      </w:r>
      <w:r w:rsidR="00E90CBC" w:rsidRPr="0015400B">
        <w:rPr>
          <w:rFonts w:ascii="Arial" w:hAnsi="Arial" w:cs="Arial"/>
          <w:i/>
          <w:iCs/>
        </w:rPr>
        <w:t>Research</w:t>
      </w:r>
      <w:r w:rsidRPr="0015400B">
        <w:rPr>
          <w:rFonts w:ascii="Arial" w:hAnsi="Arial" w:cs="Arial"/>
        </w:rPr>
        <w:t>, </w:t>
      </w:r>
      <w:r w:rsidRPr="0015400B">
        <w:rPr>
          <w:rFonts w:ascii="Arial" w:hAnsi="Arial" w:cs="Arial"/>
          <w:i/>
          <w:iCs/>
        </w:rPr>
        <w:t>129</w:t>
      </w:r>
      <w:r w:rsidRPr="0015400B">
        <w:rPr>
          <w:rFonts w:ascii="Arial" w:hAnsi="Arial" w:cs="Arial"/>
        </w:rPr>
        <w:t xml:space="preserve">, 154–162. </w:t>
      </w:r>
      <w:r w:rsidRPr="0015400B">
        <w:rPr>
          <w:rFonts w:ascii="Arial" w:hAnsi="Arial" w:cs="Arial"/>
        </w:rPr>
        <w:tab/>
      </w:r>
      <w:hyperlink r:id="rId51" w:history="1">
        <w:r w:rsidRPr="0015400B">
          <w:rPr>
            <w:rStyle w:val="Hyperlink"/>
            <w:rFonts w:ascii="Arial" w:hAnsi="Arial" w:cs="Arial"/>
          </w:rPr>
          <w:t>https://doi.org/10.1016/j.watres.2017.11.011</w:t>
        </w:r>
      </w:hyperlink>
    </w:p>
    <w:p w14:paraId="7FBF9FE5" w14:textId="056CF291"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Sharma, S., Sharma, V., &amp; Chatterjee, S. (2023). Contribution of plastic and microplastic to </w:t>
      </w:r>
      <w:r w:rsidR="00F24C99">
        <w:rPr>
          <w:rFonts w:ascii="Arial" w:hAnsi="Arial" w:cs="Arial"/>
        </w:rPr>
        <w:tab/>
      </w:r>
      <w:r w:rsidRPr="0015400B">
        <w:rPr>
          <w:rFonts w:ascii="Arial" w:hAnsi="Arial" w:cs="Arial"/>
        </w:rPr>
        <w:t xml:space="preserve">global </w:t>
      </w:r>
      <w:r w:rsidRPr="0015400B">
        <w:rPr>
          <w:rFonts w:ascii="Arial" w:hAnsi="Arial" w:cs="Arial"/>
        </w:rPr>
        <w:tab/>
        <w:t xml:space="preserve">climate change and their conjoining impacts on the environment - A </w:t>
      </w:r>
      <w:r w:rsidR="00F24C99">
        <w:rPr>
          <w:rFonts w:ascii="Arial" w:hAnsi="Arial" w:cs="Arial"/>
        </w:rPr>
        <w:tab/>
      </w:r>
      <w:r w:rsidRPr="0015400B">
        <w:rPr>
          <w:rFonts w:ascii="Arial" w:hAnsi="Arial" w:cs="Arial"/>
        </w:rPr>
        <w:t>review. </w:t>
      </w:r>
      <w:r w:rsidRPr="0015400B">
        <w:rPr>
          <w:rFonts w:ascii="Arial" w:hAnsi="Arial" w:cs="Arial"/>
          <w:i/>
          <w:iCs/>
        </w:rPr>
        <w:t xml:space="preserve">The Science </w:t>
      </w:r>
      <w:r w:rsidRPr="0015400B">
        <w:rPr>
          <w:rFonts w:ascii="Arial" w:hAnsi="Arial" w:cs="Arial"/>
          <w:i/>
          <w:iCs/>
        </w:rPr>
        <w:tab/>
        <w:t xml:space="preserve">of the </w:t>
      </w:r>
      <w:r w:rsidR="00E90CBC" w:rsidRPr="0015400B">
        <w:rPr>
          <w:rFonts w:ascii="Arial" w:hAnsi="Arial" w:cs="Arial"/>
          <w:i/>
          <w:iCs/>
        </w:rPr>
        <w:t>Total Environment</w:t>
      </w:r>
      <w:r w:rsidRPr="0015400B">
        <w:rPr>
          <w:rFonts w:ascii="Arial" w:hAnsi="Arial" w:cs="Arial"/>
        </w:rPr>
        <w:t>, </w:t>
      </w:r>
      <w:r w:rsidRPr="0015400B">
        <w:rPr>
          <w:rFonts w:ascii="Arial" w:hAnsi="Arial" w:cs="Arial"/>
          <w:i/>
          <w:iCs/>
        </w:rPr>
        <w:t>875</w:t>
      </w:r>
      <w:r w:rsidRPr="0015400B">
        <w:rPr>
          <w:rFonts w:ascii="Arial" w:hAnsi="Arial" w:cs="Arial"/>
        </w:rPr>
        <w:t xml:space="preserve">, 162627. </w:t>
      </w:r>
      <w:r w:rsidR="00F24C99">
        <w:rPr>
          <w:rFonts w:ascii="Arial" w:hAnsi="Arial" w:cs="Arial"/>
        </w:rPr>
        <w:tab/>
      </w:r>
      <w:hyperlink r:id="rId52" w:history="1">
        <w:r w:rsidR="00F24C99" w:rsidRPr="0022330A">
          <w:rPr>
            <w:rStyle w:val="Hyperlink"/>
            <w:rFonts w:ascii="Arial" w:hAnsi="Arial" w:cs="Arial"/>
          </w:rPr>
          <w:t>https://doi.org/10.1016/j.scitotenv.2023.162627</w:t>
        </w:r>
      </w:hyperlink>
    </w:p>
    <w:p w14:paraId="75660149" w14:textId="51BDC61B" w:rsidR="003B2C2A" w:rsidRPr="0015400B" w:rsidRDefault="003B2C2A" w:rsidP="0015400B">
      <w:pPr>
        <w:spacing w:before="240" w:after="240" w:line="276" w:lineRule="auto"/>
        <w:jc w:val="both"/>
        <w:rPr>
          <w:rFonts w:ascii="Arial" w:hAnsi="Arial" w:cs="Arial"/>
        </w:rPr>
      </w:pPr>
      <w:bookmarkStart w:id="3" w:name="_Hlk165544787"/>
      <w:r w:rsidRPr="0015400B">
        <w:rPr>
          <w:rFonts w:ascii="Arial" w:hAnsi="Arial" w:cs="Arial"/>
        </w:rPr>
        <w:t>Sun, H., Dai, J., Chen, M., Chen, Q., Xie, Q., Zhang, W., Li, G., &amp; Yan, M. (2022). miR-139-</w:t>
      </w:r>
      <w:r w:rsidR="00F24C99">
        <w:rPr>
          <w:rFonts w:ascii="Arial" w:hAnsi="Arial" w:cs="Arial"/>
        </w:rPr>
        <w:tab/>
      </w:r>
      <w:r w:rsidRPr="0015400B">
        <w:rPr>
          <w:rFonts w:ascii="Arial" w:hAnsi="Arial" w:cs="Arial"/>
        </w:rPr>
        <w:t xml:space="preserve">5p Was Identified as Biomarker of Different Molecular Subtypes of Breast </w:t>
      </w:r>
      <w:r w:rsidR="00F24C99">
        <w:rPr>
          <w:rFonts w:ascii="Arial" w:hAnsi="Arial" w:cs="Arial"/>
        </w:rPr>
        <w:tab/>
      </w:r>
      <w:r w:rsidRPr="0015400B">
        <w:rPr>
          <w:rFonts w:ascii="Arial" w:hAnsi="Arial" w:cs="Arial"/>
        </w:rPr>
        <w:t>Carcinoma. </w:t>
      </w:r>
      <w:r w:rsidRPr="0015400B">
        <w:rPr>
          <w:rFonts w:ascii="Arial" w:hAnsi="Arial" w:cs="Arial"/>
          <w:i/>
          <w:iCs/>
        </w:rPr>
        <w:t>Frontiers</w:t>
      </w:r>
      <w:r w:rsidR="00F24C99">
        <w:rPr>
          <w:rFonts w:ascii="Arial" w:hAnsi="Arial" w:cs="Arial"/>
          <w:i/>
          <w:iCs/>
        </w:rPr>
        <w:t xml:space="preserve"> </w:t>
      </w:r>
      <w:r w:rsidRPr="0015400B">
        <w:rPr>
          <w:rFonts w:ascii="Arial" w:hAnsi="Arial" w:cs="Arial"/>
          <w:i/>
          <w:iCs/>
        </w:rPr>
        <w:t xml:space="preserve">in </w:t>
      </w:r>
      <w:r w:rsidR="00E90CBC" w:rsidRPr="0015400B">
        <w:rPr>
          <w:rFonts w:ascii="Arial" w:hAnsi="Arial" w:cs="Arial"/>
          <w:i/>
          <w:iCs/>
        </w:rPr>
        <w:t>Oncology</w:t>
      </w:r>
      <w:r w:rsidRPr="0015400B">
        <w:rPr>
          <w:rFonts w:ascii="Arial" w:hAnsi="Arial" w:cs="Arial"/>
        </w:rPr>
        <w:t>, </w:t>
      </w:r>
      <w:r w:rsidRPr="0015400B">
        <w:rPr>
          <w:rFonts w:ascii="Arial" w:hAnsi="Arial" w:cs="Arial"/>
          <w:i/>
          <w:iCs/>
        </w:rPr>
        <w:t>12</w:t>
      </w:r>
      <w:r w:rsidRPr="0015400B">
        <w:rPr>
          <w:rFonts w:ascii="Arial" w:hAnsi="Arial" w:cs="Arial"/>
        </w:rPr>
        <w:t xml:space="preserve">, 857714. </w:t>
      </w:r>
      <w:r w:rsidR="00F24C99">
        <w:rPr>
          <w:rFonts w:ascii="Arial" w:hAnsi="Arial" w:cs="Arial"/>
        </w:rPr>
        <w:tab/>
      </w:r>
      <w:hyperlink r:id="rId53" w:history="1">
        <w:r w:rsidR="00F24C99" w:rsidRPr="0022330A">
          <w:rPr>
            <w:rStyle w:val="Hyperlink"/>
            <w:rFonts w:ascii="Arial" w:hAnsi="Arial" w:cs="Arial"/>
          </w:rPr>
          <w:t>https://doi.org/10.3389/fonc.2022.857714</w:t>
        </w:r>
      </w:hyperlink>
    </w:p>
    <w:bookmarkEnd w:id="3"/>
    <w:p w14:paraId="654C3957" w14:textId="46E61A16"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Sung, H., </w:t>
      </w:r>
      <w:proofErr w:type="spellStart"/>
      <w:r w:rsidRPr="0015400B">
        <w:rPr>
          <w:rFonts w:ascii="Arial" w:hAnsi="Arial" w:cs="Arial"/>
        </w:rPr>
        <w:t>Ferlay</w:t>
      </w:r>
      <w:proofErr w:type="spellEnd"/>
      <w:r w:rsidRPr="0015400B">
        <w:rPr>
          <w:rFonts w:ascii="Arial" w:hAnsi="Arial" w:cs="Arial"/>
        </w:rPr>
        <w:t xml:space="preserve">, J., Siegel, R. L., </w:t>
      </w:r>
      <w:proofErr w:type="spellStart"/>
      <w:r w:rsidRPr="0015400B">
        <w:rPr>
          <w:rFonts w:ascii="Arial" w:hAnsi="Arial" w:cs="Arial"/>
        </w:rPr>
        <w:t>Laversanne</w:t>
      </w:r>
      <w:proofErr w:type="spellEnd"/>
      <w:r w:rsidRPr="0015400B">
        <w:rPr>
          <w:rFonts w:ascii="Arial" w:hAnsi="Arial" w:cs="Arial"/>
        </w:rPr>
        <w:t xml:space="preserve">, M., </w:t>
      </w:r>
      <w:proofErr w:type="spellStart"/>
      <w:r w:rsidRPr="0015400B">
        <w:rPr>
          <w:rFonts w:ascii="Arial" w:hAnsi="Arial" w:cs="Arial"/>
        </w:rPr>
        <w:t>Soerjomataram</w:t>
      </w:r>
      <w:proofErr w:type="spellEnd"/>
      <w:r w:rsidRPr="0015400B">
        <w:rPr>
          <w:rFonts w:ascii="Arial" w:hAnsi="Arial" w:cs="Arial"/>
        </w:rPr>
        <w:t xml:space="preserve">, I., Jemal, A., &amp; Bray, F. </w:t>
      </w:r>
      <w:r w:rsidR="00F24C99">
        <w:rPr>
          <w:rFonts w:ascii="Arial" w:hAnsi="Arial" w:cs="Arial"/>
        </w:rPr>
        <w:tab/>
      </w:r>
      <w:r w:rsidRPr="0015400B">
        <w:rPr>
          <w:rFonts w:ascii="Arial" w:hAnsi="Arial" w:cs="Arial"/>
        </w:rPr>
        <w:t xml:space="preserve">(2021). </w:t>
      </w:r>
      <w:r w:rsidRPr="0015400B">
        <w:rPr>
          <w:rFonts w:ascii="Arial" w:hAnsi="Arial" w:cs="Arial"/>
        </w:rPr>
        <w:tab/>
        <w:t xml:space="preserve">Global Cancer Statistics 2020: GLOBOCAN Estimates of Incidence and </w:t>
      </w:r>
      <w:r w:rsidR="00F24C99">
        <w:rPr>
          <w:rFonts w:ascii="Arial" w:hAnsi="Arial" w:cs="Arial"/>
        </w:rPr>
        <w:tab/>
      </w:r>
      <w:r w:rsidRPr="0015400B">
        <w:rPr>
          <w:rFonts w:ascii="Arial" w:hAnsi="Arial" w:cs="Arial"/>
        </w:rPr>
        <w:t>Mortality Worldwide for 36 Cancers in 185 Countries. </w:t>
      </w:r>
      <w:r w:rsidRPr="0015400B">
        <w:rPr>
          <w:rFonts w:ascii="Arial" w:hAnsi="Arial" w:cs="Arial"/>
          <w:i/>
          <w:iCs/>
        </w:rPr>
        <w:t xml:space="preserve">CA: </w:t>
      </w:r>
      <w:r w:rsidR="00E90CBC" w:rsidRPr="0015400B">
        <w:rPr>
          <w:rFonts w:ascii="Arial" w:hAnsi="Arial" w:cs="Arial"/>
          <w:i/>
          <w:iCs/>
        </w:rPr>
        <w:t xml:space="preserve">A Cancer Journal </w:t>
      </w:r>
      <w:r w:rsidRPr="0015400B">
        <w:rPr>
          <w:rFonts w:ascii="Arial" w:hAnsi="Arial" w:cs="Arial"/>
          <w:i/>
          <w:iCs/>
        </w:rPr>
        <w:t xml:space="preserve">for </w:t>
      </w:r>
      <w:r w:rsidR="00F24C99">
        <w:rPr>
          <w:rFonts w:ascii="Arial" w:hAnsi="Arial" w:cs="Arial"/>
          <w:i/>
          <w:iCs/>
        </w:rPr>
        <w:tab/>
      </w:r>
      <w:r w:rsidR="00E90CBC" w:rsidRPr="0015400B">
        <w:rPr>
          <w:rFonts w:ascii="Arial" w:hAnsi="Arial" w:cs="Arial"/>
          <w:i/>
          <w:iCs/>
        </w:rPr>
        <w:t>Clinicians</w:t>
      </w:r>
      <w:r w:rsidRPr="0015400B">
        <w:rPr>
          <w:rFonts w:ascii="Arial" w:hAnsi="Arial" w:cs="Arial"/>
        </w:rPr>
        <w:t>, </w:t>
      </w:r>
      <w:r w:rsidRPr="0015400B">
        <w:rPr>
          <w:rFonts w:ascii="Arial" w:hAnsi="Arial" w:cs="Arial"/>
          <w:i/>
          <w:iCs/>
        </w:rPr>
        <w:t>71</w:t>
      </w:r>
      <w:r w:rsidRPr="0015400B">
        <w:rPr>
          <w:rFonts w:ascii="Arial" w:hAnsi="Arial" w:cs="Arial"/>
        </w:rPr>
        <w:t xml:space="preserve">(3), 209–249. </w:t>
      </w:r>
      <w:hyperlink r:id="rId54" w:history="1">
        <w:r w:rsidRPr="0015400B">
          <w:rPr>
            <w:rStyle w:val="Hyperlink"/>
            <w:rFonts w:ascii="Arial" w:hAnsi="Arial" w:cs="Arial"/>
          </w:rPr>
          <w:t>https://doi.org/10.3322/caac.21660</w:t>
        </w:r>
      </w:hyperlink>
    </w:p>
    <w:p w14:paraId="3840A722" w14:textId="36C723EE"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The Danish Environmental Protection Agency (Danish EPA) (2013). Phthalates Strategy. </w:t>
      </w:r>
      <w:r w:rsidR="00F24C99">
        <w:rPr>
          <w:rFonts w:ascii="Arial" w:hAnsi="Arial" w:cs="Arial"/>
        </w:rPr>
        <w:tab/>
      </w:r>
      <w:r w:rsidRPr="0015400B">
        <w:rPr>
          <w:rFonts w:ascii="Arial" w:hAnsi="Arial" w:cs="Arial"/>
        </w:rPr>
        <w:t xml:space="preserve">Copenhagen, Denmark: The Danish EPA. Retrieved from </w:t>
      </w:r>
      <w:r w:rsidR="00F24C99">
        <w:rPr>
          <w:rFonts w:ascii="Arial" w:hAnsi="Arial" w:cs="Arial"/>
        </w:rPr>
        <w:tab/>
      </w:r>
      <w:hyperlink r:id="rId55" w:history="1">
        <w:r w:rsidR="00F24C99" w:rsidRPr="0022330A">
          <w:rPr>
            <w:rStyle w:val="Hyperlink"/>
            <w:rFonts w:ascii="Arial" w:hAnsi="Arial" w:cs="Arial"/>
          </w:rPr>
          <w:t>https://www2.mst.dk/Udgiv/publications/2013/06/978-87-93026-22-3.pdf</w:t>
        </w:r>
      </w:hyperlink>
      <w:r w:rsidRPr="0015400B">
        <w:rPr>
          <w:rFonts w:ascii="Arial" w:hAnsi="Arial" w:cs="Arial"/>
        </w:rPr>
        <w:t xml:space="preserve"> Retrieved </w:t>
      </w:r>
      <w:r w:rsidR="00F24C99">
        <w:rPr>
          <w:rFonts w:ascii="Arial" w:hAnsi="Arial" w:cs="Arial"/>
        </w:rPr>
        <w:tab/>
      </w:r>
      <w:r w:rsidRPr="0015400B">
        <w:rPr>
          <w:rFonts w:ascii="Arial" w:hAnsi="Arial" w:cs="Arial"/>
        </w:rPr>
        <w:t>January, 2025.</w:t>
      </w:r>
    </w:p>
    <w:p w14:paraId="235885BD"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The REACH Regulation (Regulation (EC) No 1907/2006) on Registration (2006). Evaluation </w:t>
      </w:r>
      <w:r w:rsidRPr="0015400B">
        <w:rPr>
          <w:rFonts w:ascii="Arial" w:hAnsi="Arial" w:cs="Arial"/>
        </w:rPr>
        <w:tab/>
        <w:t xml:space="preserve">and </w:t>
      </w:r>
      <w:r w:rsidRPr="0015400B">
        <w:rPr>
          <w:rFonts w:ascii="Arial" w:hAnsi="Arial" w:cs="Arial"/>
        </w:rPr>
        <w:tab/>
      </w:r>
      <w:proofErr w:type="spellStart"/>
      <w:r w:rsidRPr="0015400B">
        <w:rPr>
          <w:rFonts w:ascii="Arial" w:hAnsi="Arial" w:cs="Arial"/>
        </w:rPr>
        <w:t>Authorisation</w:t>
      </w:r>
      <w:proofErr w:type="spellEnd"/>
      <w:r w:rsidRPr="0015400B">
        <w:rPr>
          <w:rFonts w:ascii="Arial" w:hAnsi="Arial" w:cs="Arial"/>
        </w:rPr>
        <w:t xml:space="preserve"> and Restriction of Chemicals. Retrieved from </w:t>
      </w:r>
      <w:r w:rsidRPr="0015400B">
        <w:rPr>
          <w:rFonts w:ascii="Arial" w:hAnsi="Arial" w:cs="Arial"/>
        </w:rPr>
        <w:tab/>
      </w:r>
      <w:hyperlink r:id="rId56" w:history="1">
        <w:r w:rsidRPr="0015400B">
          <w:rPr>
            <w:rStyle w:val="Hyperlink"/>
            <w:rFonts w:ascii="Arial" w:hAnsi="Arial" w:cs="Arial"/>
          </w:rPr>
          <w:t>https://osha.europa.eu/it/legislation/directives/regulation-ec-no-1907-2006-of-the-</w:t>
        </w:r>
      </w:hyperlink>
      <w:r w:rsidRPr="0015400B">
        <w:rPr>
          <w:rFonts w:ascii="Arial" w:hAnsi="Arial" w:cs="Arial"/>
        </w:rPr>
        <w:tab/>
      </w:r>
      <w:proofErr w:type="spellStart"/>
      <w:r w:rsidRPr="0015400B">
        <w:rPr>
          <w:rFonts w:ascii="Arial" w:hAnsi="Arial" w:cs="Arial"/>
        </w:rPr>
        <w:t>european</w:t>
      </w:r>
      <w:proofErr w:type="spellEnd"/>
      <w:r w:rsidRPr="0015400B">
        <w:rPr>
          <w:rFonts w:ascii="Arial" w:hAnsi="Arial" w:cs="Arial"/>
        </w:rPr>
        <w:t>-parliament-and-of-the-council</w:t>
      </w:r>
    </w:p>
    <w:p w14:paraId="160F7AF4"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World Health Organization. (2024). </w:t>
      </w:r>
      <w:r w:rsidRPr="0015400B">
        <w:rPr>
          <w:rFonts w:ascii="Arial" w:hAnsi="Arial" w:cs="Arial"/>
          <w:i/>
          <w:iCs/>
        </w:rPr>
        <w:t>Breast cancer</w:t>
      </w:r>
      <w:r w:rsidRPr="0015400B">
        <w:rPr>
          <w:rFonts w:ascii="Arial" w:hAnsi="Arial" w:cs="Arial"/>
        </w:rPr>
        <w:t xml:space="preserve">. Retrieved from </w:t>
      </w:r>
      <w:hyperlink r:id="rId57" w:history="1">
        <w:r w:rsidRPr="0015400B">
          <w:rPr>
            <w:rStyle w:val="Hyperlink"/>
            <w:rFonts w:ascii="Arial" w:hAnsi="Arial" w:cs="Arial"/>
          </w:rPr>
          <w:t>https://www.who.int/news-</w:t>
        </w:r>
        <w:r w:rsidRPr="0015400B">
          <w:rPr>
            <w:rStyle w:val="Hyperlink"/>
            <w:rFonts w:ascii="Arial" w:hAnsi="Arial" w:cs="Arial"/>
          </w:rPr>
          <w:tab/>
          <w:t>room/fact-sheets/detail/breast-cancer</w:t>
        </w:r>
      </w:hyperlink>
      <w:r w:rsidRPr="0015400B">
        <w:rPr>
          <w:rFonts w:ascii="Arial" w:hAnsi="Arial" w:cs="Arial"/>
        </w:rPr>
        <w:t xml:space="preserve"> Retrieved January, 2025.</w:t>
      </w:r>
    </w:p>
    <w:p w14:paraId="6AECAD91" w14:textId="42F32B65" w:rsidR="003B2C2A" w:rsidRPr="0015400B" w:rsidRDefault="003B2C2A" w:rsidP="0015400B">
      <w:pPr>
        <w:spacing w:after="240"/>
        <w:jc w:val="both"/>
        <w:rPr>
          <w:rFonts w:ascii="Arial" w:hAnsi="Arial" w:cs="Arial"/>
        </w:rPr>
      </w:pPr>
      <w:r w:rsidRPr="0015400B">
        <w:rPr>
          <w:rFonts w:ascii="Arial" w:hAnsi="Arial" w:cs="Arial"/>
        </w:rPr>
        <w:t xml:space="preserve">Yee, M. S., Hii, L. W., Looi, C. K., Lim, W. M., Wong, S. F., Kok, Y. Y., Tan, B. K., Wong, C. </w:t>
      </w:r>
      <w:r w:rsidR="00F24C99">
        <w:rPr>
          <w:rFonts w:ascii="Arial" w:hAnsi="Arial" w:cs="Arial"/>
        </w:rPr>
        <w:tab/>
      </w:r>
      <w:r w:rsidRPr="0015400B">
        <w:rPr>
          <w:rFonts w:ascii="Arial" w:hAnsi="Arial" w:cs="Arial"/>
        </w:rPr>
        <w:t xml:space="preserve">Y., &amp; Leong, C. O. (2021). Impact of Microplastics and </w:t>
      </w:r>
      <w:proofErr w:type="spellStart"/>
      <w:r w:rsidRPr="0015400B">
        <w:rPr>
          <w:rFonts w:ascii="Arial" w:hAnsi="Arial" w:cs="Arial"/>
        </w:rPr>
        <w:t>Nanoplastics</w:t>
      </w:r>
      <w:proofErr w:type="spellEnd"/>
      <w:r w:rsidRPr="0015400B">
        <w:rPr>
          <w:rFonts w:ascii="Arial" w:hAnsi="Arial" w:cs="Arial"/>
        </w:rPr>
        <w:t xml:space="preserve"> on Human </w:t>
      </w:r>
      <w:r w:rsidR="00F24C99">
        <w:rPr>
          <w:rFonts w:ascii="Arial" w:hAnsi="Arial" w:cs="Arial"/>
        </w:rPr>
        <w:tab/>
      </w:r>
      <w:r w:rsidRPr="0015400B">
        <w:rPr>
          <w:rFonts w:ascii="Arial" w:hAnsi="Arial" w:cs="Arial"/>
        </w:rPr>
        <w:t>Health. </w:t>
      </w:r>
      <w:r w:rsidRPr="0015400B">
        <w:rPr>
          <w:rFonts w:ascii="Arial" w:hAnsi="Arial" w:cs="Arial"/>
          <w:i/>
          <w:iCs/>
        </w:rPr>
        <w:t>Nanomaterials (Basel, Switzerland)</w:t>
      </w:r>
      <w:r w:rsidRPr="0015400B">
        <w:rPr>
          <w:rFonts w:ascii="Arial" w:hAnsi="Arial" w:cs="Arial"/>
        </w:rPr>
        <w:t>, </w:t>
      </w:r>
      <w:r w:rsidRPr="0015400B">
        <w:rPr>
          <w:rFonts w:ascii="Arial" w:hAnsi="Arial" w:cs="Arial"/>
          <w:i/>
          <w:iCs/>
        </w:rPr>
        <w:t>11</w:t>
      </w:r>
      <w:r w:rsidRPr="0015400B">
        <w:rPr>
          <w:rFonts w:ascii="Arial" w:hAnsi="Arial" w:cs="Arial"/>
        </w:rPr>
        <w:t xml:space="preserve">(2), 496. </w:t>
      </w:r>
      <w:r w:rsidRPr="0015400B">
        <w:rPr>
          <w:rFonts w:ascii="Arial" w:hAnsi="Arial" w:cs="Arial"/>
        </w:rPr>
        <w:tab/>
      </w:r>
      <w:hyperlink r:id="rId58" w:history="1">
        <w:r w:rsidRPr="0015400B">
          <w:rPr>
            <w:rStyle w:val="Hyperlink"/>
            <w:rFonts w:ascii="Arial" w:hAnsi="Arial" w:cs="Arial"/>
          </w:rPr>
          <w:t>https://doi.org/10.3390/nano11020496</w:t>
        </w:r>
      </w:hyperlink>
    </w:p>
    <w:p w14:paraId="14CB8618" w14:textId="77777777" w:rsidR="003B2C2A" w:rsidRPr="0015400B" w:rsidRDefault="003B2C2A" w:rsidP="0015400B">
      <w:pPr>
        <w:spacing w:after="240" w:line="276" w:lineRule="auto"/>
        <w:jc w:val="both"/>
        <w:rPr>
          <w:rFonts w:ascii="Arial" w:hAnsi="Arial" w:cs="Arial"/>
        </w:rPr>
      </w:pPr>
      <w:r w:rsidRPr="0015400B">
        <w:rPr>
          <w:rFonts w:ascii="Arial" w:hAnsi="Arial" w:cs="Arial"/>
        </w:rPr>
        <w:t>Ziani, K., Ioniță-</w:t>
      </w:r>
      <w:proofErr w:type="spellStart"/>
      <w:r w:rsidRPr="0015400B">
        <w:rPr>
          <w:rFonts w:ascii="Arial" w:hAnsi="Arial" w:cs="Arial"/>
        </w:rPr>
        <w:t>Mîndrican</w:t>
      </w:r>
      <w:proofErr w:type="spellEnd"/>
      <w:r w:rsidRPr="0015400B">
        <w:rPr>
          <w:rFonts w:ascii="Arial" w:hAnsi="Arial" w:cs="Arial"/>
        </w:rPr>
        <w:t xml:space="preserve">, C. B., Mititelu, M., Neacșu, S. M., </w:t>
      </w:r>
      <w:proofErr w:type="spellStart"/>
      <w:r w:rsidRPr="0015400B">
        <w:rPr>
          <w:rFonts w:ascii="Arial" w:hAnsi="Arial" w:cs="Arial"/>
        </w:rPr>
        <w:t>Negrei</w:t>
      </w:r>
      <w:proofErr w:type="spellEnd"/>
      <w:r w:rsidRPr="0015400B">
        <w:rPr>
          <w:rFonts w:ascii="Arial" w:hAnsi="Arial" w:cs="Arial"/>
        </w:rPr>
        <w:t xml:space="preserve">, C., </w:t>
      </w:r>
      <w:proofErr w:type="spellStart"/>
      <w:r w:rsidRPr="0015400B">
        <w:rPr>
          <w:rFonts w:ascii="Arial" w:hAnsi="Arial" w:cs="Arial"/>
        </w:rPr>
        <w:t>Moroșan</w:t>
      </w:r>
      <w:proofErr w:type="spellEnd"/>
      <w:r w:rsidRPr="0015400B">
        <w:rPr>
          <w:rFonts w:ascii="Arial" w:hAnsi="Arial" w:cs="Arial"/>
        </w:rPr>
        <w:t xml:space="preserve">, E., </w:t>
      </w:r>
      <w:r w:rsidRPr="0015400B">
        <w:rPr>
          <w:rFonts w:ascii="Arial" w:hAnsi="Arial" w:cs="Arial"/>
        </w:rPr>
        <w:tab/>
        <w:t xml:space="preserve">Drăgănescu, D., &amp; </w:t>
      </w:r>
      <w:proofErr w:type="spellStart"/>
      <w:r w:rsidRPr="0015400B">
        <w:rPr>
          <w:rFonts w:ascii="Arial" w:hAnsi="Arial" w:cs="Arial"/>
        </w:rPr>
        <w:t>Preda</w:t>
      </w:r>
      <w:proofErr w:type="spellEnd"/>
      <w:r w:rsidRPr="0015400B">
        <w:rPr>
          <w:rFonts w:ascii="Arial" w:hAnsi="Arial" w:cs="Arial"/>
        </w:rPr>
        <w:t xml:space="preserve">, O. T. (2023). Microplastics: A Real Global Threat for </w:t>
      </w:r>
      <w:r w:rsidRPr="0015400B">
        <w:rPr>
          <w:rFonts w:ascii="Arial" w:hAnsi="Arial" w:cs="Arial"/>
        </w:rPr>
        <w:tab/>
        <w:t xml:space="preserve">Environment and Food Safety: A </w:t>
      </w:r>
      <w:proofErr w:type="gramStart"/>
      <w:r w:rsidRPr="0015400B">
        <w:rPr>
          <w:rFonts w:ascii="Arial" w:hAnsi="Arial" w:cs="Arial"/>
        </w:rPr>
        <w:t>State of the Art</w:t>
      </w:r>
      <w:proofErr w:type="gramEnd"/>
      <w:r w:rsidRPr="0015400B">
        <w:rPr>
          <w:rFonts w:ascii="Arial" w:hAnsi="Arial" w:cs="Arial"/>
        </w:rPr>
        <w:t xml:space="preserve"> Review. </w:t>
      </w:r>
      <w:r w:rsidRPr="0015400B">
        <w:rPr>
          <w:rFonts w:ascii="Arial" w:hAnsi="Arial" w:cs="Arial"/>
          <w:i/>
          <w:iCs/>
        </w:rPr>
        <w:t>Nutrients</w:t>
      </w:r>
      <w:r w:rsidRPr="0015400B">
        <w:rPr>
          <w:rFonts w:ascii="Arial" w:hAnsi="Arial" w:cs="Arial"/>
        </w:rPr>
        <w:t>, </w:t>
      </w:r>
      <w:r w:rsidRPr="0015400B">
        <w:rPr>
          <w:rFonts w:ascii="Arial" w:hAnsi="Arial" w:cs="Arial"/>
          <w:i/>
          <w:iCs/>
        </w:rPr>
        <w:t>15</w:t>
      </w:r>
      <w:r w:rsidRPr="0015400B">
        <w:rPr>
          <w:rFonts w:ascii="Arial" w:hAnsi="Arial" w:cs="Arial"/>
        </w:rPr>
        <w:t xml:space="preserve">(3), 617. </w:t>
      </w:r>
      <w:r w:rsidRPr="0015400B">
        <w:rPr>
          <w:rFonts w:ascii="Arial" w:hAnsi="Arial" w:cs="Arial"/>
        </w:rPr>
        <w:tab/>
      </w:r>
      <w:hyperlink r:id="rId59" w:history="1">
        <w:r w:rsidRPr="0015400B">
          <w:rPr>
            <w:rStyle w:val="Hyperlink"/>
            <w:rFonts w:ascii="Arial" w:hAnsi="Arial" w:cs="Arial"/>
          </w:rPr>
          <w:t>https://doi.org/10.3390/nu15030617</w:t>
        </w:r>
      </w:hyperlink>
    </w:p>
    <w:p w14:paraId="4A65D144" w14:textId="2A40B309" w:rsidR="00E90CBC" w:rsidRPr="00A4674A" w:rsidRDefault="00E90CBC" w:rsidP="00E90CBC">
      <w:pPr>
        <w:spacing w:after="240"/>
        <w:jc w:val="both"/>
        <w:rPr>
          <w:rFonts w:ascii="Arial" w:hAnsi="Arial" w:cs="Arial"/>
        </w:rPr>
      </w:pPr>
      <w:r w:rsidRPr="00A4674A">
        <w:rPr>
          <w:rFonts w:ascii="Arial" w:hAnsi="Arial" w:cs="Arial"/>
        </w:rPr>
        <w:t xml:space="preserve">Zhao, H., Wu, L., Yan, G., Chen, Y., Zhou, M., Wu, Y., &amp; Li, Y. (2021). Inflammation and tumor </w:t>
      </w:r>
      <w:r>
        <w:rPr>
          <w:rFonts w:ascii="Arial" w:hAnsi="Arial" w:cs="Arial"/>
        </w:rPr>
        <w:tab/>
      </w:r>
      <w:r w:rsidRPr="00A4674A">
        <w:rPr>
          <w:rFonts w:ascii="Arial" w:hAnsi="Arial" w:cs="Arial"/>
        </w:rPr>
        <w:t>progression: signaling pathways and targeted intervention. </w:t>
      </w:r>
      <w:r w:rsidRPr="00A4674A">
        <w:rPr>
          <w:rFonts w:ascii="Arial" w:hAnsi="Arial" w:cs="Arial"/>
          <w:i/>
          <w:iCs/>
        </w:rPr>
        <w:t xml:space="preserve">Signal </w:t>
      </w:r>
      <w:r w:rsidR="009102AC" w:rsidRPr="00A4674A">
        <w:rPr>
          <w:rFonts w:ascii="Arial" w:hAnsi="Arial" w:cs="Arial"/>
          <w:i/>
          <w:iCs/>
        </w:rPr>
        <w:t xml:space="preserve">Transduction </w:t>
      </w:r>
      <w:r w:rsidRPr="00A4674A">
        <w:rPr>
          <w:rFonts w:ascii="Arial" w:hAnsi="Arial" w:cs="Arial"/>
          <w:i/>
          <w:iCs/>
        </w:rPr>
        <w:t xml:space="preserve">and </w:t>
      </w:r>
      <w:r>
        <w:rPr>
          <w:rFonts w:ascii="Arial" w:hAnsi="Arial" w:cs="Arial"/>
          <w:i/>
          <w:iCs/>
        </w:rPr>
        <w:tab/>
      </w:r>
      <w:r w:rsidR="009102AC" w:rsidRPr="00A4674A">
        <w:rPr>
          <w:rFonts w:ascii="Arial" w:hAnsi="Arial" w:cs="Arial"/>
          <w:i/>
          <w:iCs/>
        </w:rPr>
        <w:t>Targeted Therapy</w:t>
      </w:r>
      <w:r w:rsidRPr="00A4674A">
        <w:rPr>
          <w:rFonts w:ascii="Arial" w:hAnsi="Arial" w:cs="Arial"/>
        </w:rPr>
        <w:t>, </w:t>
      </w:r>
      <w:r w:rsidRPr="00A4674A">
        <w:rPr>
          <w:rFonts w:ascii="Arial" w:hAnsi="Arial" w:cs="Arial"/>
          <w:i/>
          <w:iCs/>
        </w:rPr>
        <w:t>6</w:t>
      </w:r>
      <w:r w:rsidRPr="00A4674A">
        <w:rPr>
          <w:rFonts w:ascii="Arial" w:hAnsi="Arial" w:cs="Arial"/>
        </w:rPr>
        <w:t xml:space="preserve">(1), 263. </w:t>
      </w:r>
      <w:hyperlink r:id="rId60" w:history="1">
        <w:r w:rsidRPr="00A4674A">
          <w:rPr>
            <w:rStyle w:val="Hyperlink"/>
            <w:rFonts w:ascii="Arial" w:hAnsi="Arial" w:cs="Arial"/>
          </w:rPr>
          <w:t>https://doi.org/10.1038/s41392-021-00658-5</w:t>
        </w:r>
      </w:hyperlink>
    </w:p>
    <w:p w14:paraId="3F19F059" w14:textId="051E9F9F" w:rsidR="00E90CBC" w:rsidRPr="00A4674A" w:rsidRDefault="00E90CBC" w:rsidP="00E90CBC">
      <w:pPr>
        <w:spacing w:after="240"/>
        <w:jc w:val="both"/>
        <w:rPr>
          <w:rFonts w:ascii="Arial" w:hAnsi="Arial" w:cs="Arial"/>
        </w:rPr>
      </w:pPr>
      <w:r w:rsidRPr="00A4674A">
        <w:rPr>
          <w:rFonts w:ascii="Arial" w:hAnsi="Arial" w:cs="Arial"/>
        </w:rPr>
        <w:lastRenderedPageBreak/>
        <w:t xml:space="preserve">Zhao, X., Chen, J., Sun, H., Zhang, Y., &amp; Zou, D. (2022). New insights into fibrosis from the </w:t>
      </w:r>
      <w:r>
        <w:rPr>
          <w:rFonts w:ascii="Arial" w:hAnsi="Arial" w:cs="Arial"/>
        </w:rPr>
        <w:tab/>
      </w:r>
      <w:r w:rsidRPr="00A4674A">
        <w:rPr>
          <w:rFonts w:ascii="Arial" w:hAnsi="Arial" w:cs="Arial"/>
        </w:rPr>
        <w:t>ECM degradation perspective: the macrophage-</w:t>
      </w:r>
      <w:proofErr w:type="spellStart"/>
      <w:r w:rsidRPr="00A4674A">
        <w:rPr>
          <w:rFonts w:ascii="Arial" w:hAnsi="Arial" w:cs="Arial"/>
        </w:rPr>
        <w:t>MMP</w:t>
      </w:r>
      <w:proofErr w:type="spellEnd"/>
      <w:r w:rsidRPr="00A4674A">
        <w:rPr>
          <w:rFonts w:ascii="Arial" w:hAnsi="Arial" w:cs="Arial"/>
        </w:rPr>
        <w:t>-ECM interaction. </w:t>
      </w:r>
      <w:r w:rsidRPr="00A4674A">
        <w:rPr>
          <w:rFonts w:ascii="Arial" w:hAnsi="Arial" w:cs="Arial"/>
          <w:i/>
          <w:iCs/>
        </w:rPr>
        <w:t xml:space="preserve">Cell &amp; </w:t>
      </w:r>
      <w:r>
        <w:rPr>
          <w:rFonts w:ascii="Arial" w:hAnsi="Arial" w:cs="Arial"/>
          <w:i/>
          <w:iCs/>
        </w:rPr>
        <w:tab/>
      </w:r>
      <w:r w:rsidR="009102AC" w:rsidRPr="00A4674A">
        <w:rPr>
          <w:rFonts w:ascii="Arial" w:hAnsi="Arial" w:cs="Arial"/>
          <w:i/>
          <w:iCs/>
        </w:rPr>
        <w:t>Bioscience</w:t>
      </w:r>
      <w:r w:rsidRPr="00A4674A">
        <w:rPr>
          <w:rFonts w:ascii="Arial" w:hAnsi="Arial" w:cs="Arial"/>
        </w:rPr>
        <w:t>, </w:t>
      </w:r>
      <w:r w:rsidRPr="00A4674A">
        <w:rPr>
          <w:rFonts w:ascii="Arial" w:hAnsi="Arial" w:cs="Arial"/>
          <w:i/>
          <w:iCs/>
        </w:rPr>
        <w:t>12</w:t>
      </w:r>
      <w:r w:rsidRPr="00A4674A">
        <w:rPr>
          <w:rFonts w:ascii="Arial" w:hAnsi="Arial" w:cs="Arial"/>
        </w:rPr>
        <w:t xml:space="preserve">(1), 117. </w:t>
      </w:r>
      <w:hyperlink r:id="rId61" w:history="1">
        <w:r w:rsidRPr="00A4674A">
          <w:rPr>
            <w:rStyle w:val="Hyperlink"/>
            <w:rFonts w:ascii="Arial" w:hAnsi="Arial" w:cs="Arial"/>
          </w:rPr>
          <w:t>https://doi.org/10.1186/s13578-022-00856-w</w:t>
        </w:r>
      </w:hyperlink>
    </w:p>
    <w:p w14:paraId="5ABF42F2" w14:textId="77777777" w:rsidR="00441B6F" w:rsidRPr="0015400B" w:rsidRDefault="00441B6F" w:rsidP="0015400B">
      <w:pPr>
        <w:pStyle w:val="Body"/>
        <w:jc w:val="left"/>
        <w:rPr>
          <w:rFonts w:ascii="Arial" w:hAnsi="Arial" w:cs="Arial"/>
        </w:rPr>
      </w:pPr>
    </w:p>
    <w:p w14:paraId="76783665" w14:textId="77777777" w:rsidR="00441B6F" w:rsidRDefault="00441B6F" w:rsidP="0015400B">
      <w:pPr>
        <w:pStyle w:val="Body"/>
        <w:jc w:val="left"/>
        <w:rPr>
          <w:rFonts w:ascii="Arial" w:hAnsi="Arial" w:cs="Arial"/>
        </w:rPr>
      </w:pPr>
    </w:p>
    <w:p w14:paraId="223350D7" w14:textId="2A042804" w:rsidR="004D4277" w:rsidRPr="00FB3A86" w:rsidRDefault="004D4277" w:rsidP="00441B6F">
      <w:pPr>
        <w:pStyle w:val="Appendix"/>
        <w:spacing w:after="0"/>
        <w:jc w:val="both"/>
        <w:rPr>
          <w:rFonts w:ascii="Arial" w:hAnsi="Arial" w:cs="Arial"/>
          <w:b w:val="0"/>
        </w:rPr>
        <w:sectPr w:rsidR="004D4277" w:rsidRPr="00FB3A86" w:rsidSect="00CE7646">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25B10F11" w14:textId="7FE6B8EF" w:rsidR="00B01FCD" w:rsidRPr="00FB3A86" w:rsidRDefault="00B01FCD" w:rsidP="00441B6F">
      <w:pPr>
        <w:pStyle w:val="Appendix"/>
        <w:spacing w:after="0"/>
        <w:jc w:val="both"/>
        <w:rPr>
          <w:rFonts w:ascii="Arial" w:hAnsi="Arial" w:cs="Arial"/>
          <w:b w:val="0"/>
        </w:rPr>
      </w:pPr>
    </w:p>
    <w:sectPr w:rsidR="00B01FCD" w:rsidRPr="00FB3A86" w:rsidSect="00CE76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69A24" w14:textId="77777777" w:rsidR="00191F2A" w:rsidRDefault="00191F2A" w:rsidP="00C37E61">
      <w:r>
        <w:separator/>
      </w:r>
    </w:p>
  </w:endnote>
  <w:endnote w:type="continuationSeparator" w:id="0">
    <w:p w14:paraId="66BD0944" w14:textId="77777777" w:rsidR="00191F2A" w:rsidRDefault="00191F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212A" w14:textId="77777777" w:rsidR="00CE7646" w:rsidRDefault="00CE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92B3" w14:textId="77777777" w:rsidR="00CE7646" w:rsidRDefault="00CE7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1E80" w14:textId="607EC242" w:rsidR="00754C9A" w:rsidRPr="00E23CA2" w:rsidRDefault="00754C9A" w:rsidP="00E23C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D1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B4A24" w14:textId="77777777" w:rsidR="00191F2A" w:rsidRDefault="00191F2A" w:rsidP="00C37E61">
      <w:r>
        <w:separator/>
      </w:r>
    </w:p>
  </w:footnote>
  <w:footnote w:type="continuationSeparator" w:id="0">
    <w:p w14:paraId="41A4109E" w14:textId="77777777" w:rsidR="00191F2A" w:rsidRDefault="00191F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6484" w14:textId="441848FA" w:rsidR="00CE7646" w:rsidRDefault="00000000">
    <w:pPr>
      <w:pStyle w:val="Header"/>
    </w:pPr>
    <w:r>
      <w:rPr>
        <w:noProof/>
      </w:rPr>
      <w:pict w14:anchorId="049AD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3002" w14:textId="2759905C" w:rsidR="00CE7646" w:rsidRDefault="00000000">
    <w:pPr>
      <w:pStyle w:val="Header"/>
    </w:pPr>
    <w:r>
      <w:rPr>
        <w:noProof/>
      </w:rPr>
      <w:pict w14:anchorId="7982B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B969" w14:textId="406B5E78" w:rsidR="00296529" w:rsidRPr="00296529" w:rsidRDefault="00000000" w:rsidP="00296529">
    <w:pPr>
      <w:ind w:left="2160"/>
      <w:jc w:val="center"/>
      <w:rPr>
        <w:rFonts w:ascii="Times New Roman" w:eastAsia="Calibri" w:hAnsi="Times New Roman"/>
        <w:i/>
        <w:sz w:val="18"/>
        <w:szCs w:val="22"/>
      </w:rPr>
    </w:pPr>
    <w:r>
      <w:rPr>
        <w:noProof/>
      </w:rPr>
      <w:pict w14:anchorId="43878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23B9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7FF62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121CF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ED11E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D5C32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ABD7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6C63" w14:textId="21CC56FA" w:rsidR="00CE7646" w:rsidRDefault="00000000">
    <w:pPr>
      <w:pStyle w:val="Header"/>
    </w:pPr>
    <w:r>
      <w:rPr>
        <w:noProof/>
      </w:rPr>
      <w:pict w14:anchorId="02D0D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315" w14:textId="56F2F71B" w:rsidR="00CE7646" w:rsidRDefault="00000000">
    <w:pPr>
      <w:pStyle w:val="Header"/>
    </w:pPr>
    <w:r>
      <w:rPr>
        <w:noProof/>
      </w:rPr>
      <w:pict w14:anchorId="47A9C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FEB0" w14:textId="30064301" w:rsidR="00CE7646" w:rsidRDefault="00000000">
    <w:pPr>
      <w:pStyle w:val="Header"/>
    </w:pPr>
    <w:r>
      <w:rPr>
        <w:noProof/>
      </w:rPr>
      <w:pict w14:anchorId="49DFF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C7F9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4pt;height:13.5pt;visibility:visible;mso-wrap-style:square">
            <v:imagedata r:id="rId1" o:title=""/>
          </v:shape>
        </w:pict>
      </mc:Choice>
      <mc:Fallback>
        <w:drawing>
          <wp:inline distT="0" distB="0" distL="0" distR="0" wp14:anchorId="71465A67" wp14:editId="33072358">
            <wp:extent cx="304800" cy="171450"/>
            <wp:effectExtent l="0" t="0" r="0" b="0"/>
            <wp:docPr id="1876813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0D473E"/>
    <w:multiLevelType w:val="hybridMultilevel"/>
    <w:tmpl w:val="7C7894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B055D8"/>
    <w:multiLevelType w:val="hybridMultilevel"/>
    <w:tmpl w:val="0F1295BC"/>
    <w:lvl w:ilvl="0" w:tplc="D4C8A832">
      <w:start w:val="1"/>
      <w:numFmt w:val="bullet"/>
      <w:lvlText w:val=""/>
      <w:lvlPicBulletId w:val="0"/>
      <w:lvlJc w:val="left"/>
      <w:pPr>
        <w:tabs>
          <w:tab w:val="num" w:pos="720"/>
        </w:tabs>
        <w:ind w:left="720" w:hanging="360"/>
      </w:pPr>
      <w:rPr>
        <w:rFonts w:ascii="Symbol" w:hAnsi="Symbol" w:hint="default"/>
      </w:rPr>
    </w:lvl>
    <w:lvl w:ilvl="1" w:tplc="14B496EA" w:tentative="1">
      <w:start w:val="1"/>
      <w:numFmt w:val="bullet"/>
      <w:lvlText w:val=""/>
      <w:lvlJc w:val="left"/>
      <w:pPr>
        <w:tabs>
          <w:tab w:val="num" w:pos="1440"/>
        </w:tabs>
        <w:ind w:left="1440" w:hanging="360"/>
      </w:pPr>
      <w:rPr>
        <w:rFonts w:ascii="Symbol" w:hAnsi="Symbol" w:hint="default"/>
      </w:rPr>
    </w:lvl>
    <w:lvl w:ilvl="2" w:tplc="1F2C44CC" w:tentative="1">
      <w:start w:val="1"/>
      <w:numFmt w:val="bullet"/>
      <w:lvlText w:val=""/>
      <w:lvlJc w:val="left"/>
      <w:pPr>
        <w:tabs>
          <w:tab w:val="num" w:pos="2160"/>
        </w:tabs>
        <w:ind w:left="2160" w:hanging="360"/>
      </w:pPr>
      <w:rPr>
        <w:rFonts w:ascii="Symbol" w:hAnsi="Symbol" w:hint="default"/>
      </w:rPr>
    </w:lvl>
    <w:lvl w:ilvl="3" w:tplc="A672D6DC" w:tentative="1">
      <w:start w:val="1"/>
      <w:numFmt w:val="bullet"/>
      <w:lvlText w:val=""/>
      <w:lvlJc w:val="left"/>
      <w:pPr>
        <w:tabs>
          <w:tab w:val="num" w:pos="2880"/>
        </w:tabs>
        <w:ind w:left="2880" w:hanging="360"/>
      </w:pPr>
      <w:rPr>
        <w:rFonts w:ascii="Symbol" w:hAnsi="Symbol" w:hint="default"/>
      </w:rPr>
    </w:lvl>
    <w:lvl w:ilvl="4" w:tplc="68DAD2AE" w:tentative="1">
      <w:start w:val="1"/>
      <w:numFmt w:val="bullet"/>
      <w:lvlText w:val=""/>
      <w:lvlJc w:val="left"/>
      <w:pPr>
        <w:tabs>
          <w:tab w:val="num" w:pos="3600"/>
        </w:tabs>
        <w:ind w:left="3600" w:hanging="360"/>
      </w:pPr>
      <w:rPr>
        <w:rFonts w:ascii="Symbol" w:hAnsi="Symbol" w:hint="default"/>
      </w:rPr>
    </w:lvl>
    <w:lvl w:ilvl="5" w:tplc="0E588F18" w:tentative="1">
      <w:start w:val="1"/>
      <w:numFmt w:val="bullet"/>
      <w:lvlText w:val=""/>
      <w:lvlJc w:val="left"/>
      <w:pPr>
        <w:tabs>
          <w:tab w:val="num" w:pos="4320"/>
        </w:tabs>
        <w:ind w:left="4320" w:hanging="360"/>
      </w:pPr>
      <w:rPr>
        <w:rFonts w:ascii="Symbol" w:hAnsi="Symbol" w:hint="default"/>
      </w:rPr>
    </w:lvl>
    <w:lvl w:ilvl="6" w:tplc="01EE46EC" w:tentative="1">
      <w:start w:val="1"/>
      <w:numFmt w:val="bullet"/>
      <w:lvlText w:val=""/>
      <w:lvlJc w:val="left"/>
      <w:pPr>
        <w:tabs>
          <w:tab w:val="num" w:pos="5040"/>
        </w:tabs>
        <w:ind w:left="5040" w:hanging="360"/>
      </w:pPr>
      <w:rPr>
        <w:rFonts w:ascii="Symbol" w:hAnsi="Symbol" w:hint="default"/>
      </w:rPr>
    </w:lvl>
    <w:lvl w:ilvl="7" w:tplc="6278277E" w:tentative="1">
      <w:start w:val="1"/>
      <w:numFmt w:val="bullet"/>
      <w:lvlText w:val=""/>
      <w:lvlJc w:val="left"/>
      <w:pPr>
        <w:tabs>
          <w:tab w:val="num" w:pos="5760"/>
        </w:tabs>
        <w:ind w:left="5760" w:hanging="360"/>
      </w:pPr>
      <w:rPr>
        <w:rFonts w:ascii="Symbol" w:hAnsi="Symbol" w:hint="default"/>
      </w:rPr>
    </w:lvl>
    <w:lvl w:ilvl="8" w:tplc="8682BC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6E94629"/>
    <w:multiLevelType w:val="multilevel"/>
    <w:tmpl w:val="3B56D8A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711523"/>
    <w:multiLevelType w:val="hybridMultilevel"/>
    <w:tmpl w:val="55A4F8A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413476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6865465">
    <w:abstractNumId w:val="16"/>
  </w:num>
  <w:num w:numId="3" w16cid:durableId="1770471170">
    <w:abstractNumId w:val="26"/>
  </w:num>
  <w:num w:numId="4" w16cid:durableId="109598149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029594">
    <w:abstractNumId w:val="7"/>
  </w:num>
  <w:num w:numId="6" w16cid:durableId="370880592">
    <w:abstractNumId w:val="6"/>
  </w:num>
  <w:num w:numId="7" w16cid:durableId="1184325007">
    <w:abstractNumId w:val="1"/>
  </w:num>
  <w:num w:numId="8" w16cid:durableId="1523670248">
    <w:abstractNumId w:val="12"/>
  </w:num>
  <w:num w:numId="9" w16cid:durableId="730424994">
    <w:abstractNumId w:val="28"/>
  </w:num>
  <w:num w:numId="10" w16cid:durableId="1759057430">
    <w:abstractNumId w:val="2"/>
  </w:num>
  <w:num w:numId="11" w16cid:durableId="1113939725">
    <w:abstractNumId w:val="21"/>
  </w:num>
  <w:num w:numId="12" w16cid:durableId="1904103129">
    <w:abstractNumId w:val="3"/>
  </w:num>
  <w:num w:numId="13" w16cid:durableId="188303519">
    <w:abstractNumId w:val="19"/>
  </w:num>
  <w:num w:numId="14" w16cid:durableId="410271018">
    <w:abstractNumId w:val="8"/>
  </w:num>
  <w:num w:numId="15" w16cid:durableId="1061172136">
    <w:abstractNumId w:val="24"/>
  </w:num>
  <w:num w:numId="16" w16cid:durableId="1806042112">
    <w:abstractNumId w:val="5"/>
  </w:num>
  <w:num w:numId="17" w16cid:durableId="1431051581">
    <w:abstractNumId w:val="25"/>
  </w:num>
  <w:num w:numId="18" w16cid:durableId="294527029">
    <w:abstractNumId w:val="14"/>
  </w:num>
  <w:num w:numId="19" w16cid:durableId="1147941185">
    <w:abstractNumId w:val="32"/>
  </w:num>
  <w:num w:numId="20" w16cid:durableId="731931568">
    <w:abstractNumId w:val="11"/>
  </w:num>
  <w:num w:numId="21" w16cid:durableId="552422945">
    <w:abstractNumId w:val="9"/>
  </w:num>
  <w:num w:numId="22" w16cid:durableId="159930375">
    <w:abstractNumId w:val="13"/>
  </w:num>
  <w:num w:numId="23" w16cid:durableId="406192798">
    <w:abstractNumId w:val="22"/>
  </w:num>
  <w:num w:numId="24" w16cid:durableId="1034769343">
    <w:abstractNumId w:val="30"/>
  </w:num>
  <w:num w:numId="25" w16cid:durableId="2028208801">
    <w:abstractNumId w:val="4"/>
  </w:num>
  <w:num w:numId="26" w16cid:durableId="346103289">
    <w:abstractNumId w:val="18"/>
  </w:num>
  <w:num w:numId="27" w16cid:durableId="83113389">
    <w:abstractNumId w:val="23"/>
  </w:num>
  <w:num w:numId="28" w16cid:durableId="1324502762">
    <w:abstractNumId w:val="31"/>
  </w:num>
  <w:num w:numId="29" w16cid:durableId="1789545724">
    <w:abstractNumId w:val="27"/>
  </w:num>
  <w:num w:numId="30" w16cid:durableId="1662731969">
    <w:abstractNumId w:val="10"/>
  </w:num>
  <w:num w:numId="31" w16cid:durableId="1378123384">
    <w:abstractNumId w:val="20"/>
  </w:num>
  <w:num w:numId="32" w16cid:durableId="313145215">
    <w:abstractNumId w:val="15"/>
  </w:num>
  <w:num w:numId="33" w16cid:durableId="777875492">
    <w:abstractNumId w:val="17"/>
  </w:num>
  <w:num w:numId="34" w16cid:durableId="6246522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A97"/>
    <w:rsid w:val="00015382"/>
    <w:rsid w:val="00030174"/>
    <w:rsid w:val="000311D5"/>
    <w:rsid w:val="0004579C"/>
    <w:rsid w:val="00085712"/>
    <w:rsid w:val="00087418"/>
    <w:rsid w:val="000A3322"/>
    <w:rsid w:val="000A3EC4"/>
    <w:rsid w:val="000A47FA"/>
    <w:rsid w:val="000A65D3"/>
    <w:rsid w:val="000B1E33"/>
    <w:rsid w:val="000D4B90"/>
    <w:rsid w:val="000D5BA3"/>
    <w:rsid w:val="000D689F"/>
    <w:rsid w:val="000E170F"/>
    <w:rsid w:val="000E6E8D"/>
    <w:rsid w:val="000E7B7B"/>
    <w:rsid w:val="000E7D62"/>
    <w:rsid w:val="000F1DF6"/>
    <w:rsid w:val="000F5D6E"/>
    <w:rsid w:val="00103357"/>
    <w:rsid w:val="00123C9F"/>
    <w:rsid w:val="00126190"/>
    <w:rsid w:val="00130F17"/>
    <w:rsid w:val="001320BF"/>
    <w:rsid w:val="00134C1B"/>
    <w:rsid w:val="001360C0"/>
    <w:rsid w:val="0015400B"/>
    <w:rsid w:val="00163BC4"/>
    <w:rsid w:val="00177BBC"/>
    <w:rsid w:val="00191062"/>
    <w:rsid w:val="00191F2A"/>
    <w:rsid w:val="00192B72"/>
    <w:rsid w:val="001A29D8"/>
    <w:rsid w:val="001A5CAA"/>
    <w:rsid w:val="001A6D70"/>
    <w:rsid w:val="001B0427"/>
    <w:rsid w:val="001B5801"/>
    <w:rsid w:val="001C4719"/>
    <w:rsid w:val="001D3A51"/>
    <w:rsid w:val="001E10D2"/>
    <w:rsid w:val="001E25B4"/>
    <w:rsid w:val="001E44FE"/>
    <w:rsid w:val="001F3E28"/>
    <w:rsid w:val="001F780C"/>
    <w:rsid w:val="00200595"/>
    <w:rsid w:val="00204835"/>
    <w:rsid w:val="00207D0D"/>
    <w:rsid w:val="0021110F"/>
    <w:rsid w:val="00231920"/>
    <w:rsid w:val="0023195C"/>
    <w:rsid w:val="0024282C"/>
    <w:rsid w:val="002460DC"/>
    <w:rsid w:val="00250985"/>
    <w:rsid w:val="002556F6"/>
    <w:rsid w:val="00264095"/>
    <w:rsid w:val="00283105"/>
    <w:rsid w:val="00284C4C"/>
    <w:rsid w:val="00287E68"/>
    <w:rsid w:val="00295BEE"/>
    <w:rsid w:val="00296529"/>
    <w:rsid w:val="002A6B92"/>
    <w:rsid w:val="002B27FB"/>
    <w:rsid w:val="002B685A"/>
    <w:rsid w:val="002C57D2"/>
    <w:rsid w:val="002D338C"/>
    <w:rsid w:val="002D3CD9"/>
    <w:rsid w:val="002E0D56"/>
    <w:rsid w:val="002F3A5B"/>
    <w:rsid w:val="00307177"/>
    <w:rsid w:val="00311D53"/>
    <w:rsid w:val="00315186"/>
    <w:rsid w:val="00326E0C"/>
    <w:rsid w:val="0033343E"/>
    <w:rsid w:val="003409E4"/>
    <w:rsid w:val="003512C2"/>
    <w:rsid w:val="0037172C"/>
    <w:rsid w:val="00371FB6"/>
    <w:rsid w:val="003763C1"/>
    <w:rsid w:val="00376BBE"/>
    <w:rsid w:val="003825E7"/>
    <w:rsid w:val="0039224F"/>
    <w:rsid w:val="003A088B"/>
    <w:rsid w:val="003A1AC0"/>
    <w:rsid w:val="003A43A4"/>
    <w:rsid w:val="003A4643"/>
    <w:rsid w:val="003A7E18"/>
    <w:rsid w:val="003B0042"/>
    <w:rsid w:val="003B2C2A"/>
    <w:rsid w:val="003C4C86"/>
    <w:rsid w:val="003C6258"/>
    <w:rsid w:val="003E2904"/>
    <w:rsid w:val="00401927"/>
    <w:rsid w:val="0041027F"/>
    <w:rsid w:val="00412475"/>
    <w:rsid w:val="00423789"/>
    <w:rsid w:val="00427893"/>
    <w:rsid w:val="00440F43"/>
    <w:rsid w:val="00441B6F"/>
    <w:rsid w:val="00442830"/>
    <w:rsid w:val="00446221"/>
    <w:rsid w:val="00447BD2"/>
    <w:rsid w:val="00450E62"/>
    <w:rsid w:val="004512EF"/>
    <w:rsid w:val="004539DB"/>
    <w:rsid w:val="00460C55"/>
    <w:rsid w:val="00461A96"/>
    <w:rsid w:val="00471A80"/>
    <w:rsid w:val="004B5FEA"/>
    <w:rsid w:val="004C13C4"/>
    <w:rsid w:val="004C3B57"/>
    <w:rsid w:val="004D029A"/>
    <w:rsid w:val="004D305E"/>
    <w:rsid w:val="004D3136"/>
    <w:rsid w:val="004D330D"/>
    <w:rsid w:val="004D4277"/>
    <w:rsid w:val="004D6E99"/>
    <w:rsid w:val="00502516"/>
    <w:rsid w:val="00505F06"/>
    <w:rsid w:val="00506828"/>
    <w:rsid w:val="0053056E"/>
    <w:rsid w:val="00533ECF"/>
    <w:rsid w:val="00536675"/>
    <w:rsid w:val="00552257"/>
    <w:rsid w:val="00554FDA"/>
    <w:rsid w:val="005A0F61"/>
    <w:rsid w:val="005C492B"/>
    <w:rsid w:val="005C784C"/>
    <w:rsid w:val="005D17F6"/>
    <w:rsid w:val="005E5539"/>
    <w:rsid w:val="00602BF5"/>
    <w:rsid w:val="00617FDD"/>
    <w:rsid w:val="00633614"/>
    <w:rsid w:val="00633F68"/>
    <w:rsid w:val="00636EB2"/>
    <w:rsid w:val="00637414"/>
    <w:rsid w:val="006375B8"/>
    <w:rsid w:val="00664BB4"/>
    <w:rsid w:val="0066510A"/>
    <w:rsid w:val="00665ADA"/>
    <w:rsid w:val="00673F9F"/>
    <w:rsid w:val="006857FE"/>
    <w:rsid w:val="00686953"/>
    <w:rsid w:val="0068716E"/>
    <w:rsid w:val="00687DEA"/>
    <w:rsid w:val="00687E67"/>
    <w:rsid w:val="006967F7"/>
    <w:rsid w:val="006A14A4"/>
    <w:rsid w:val="006A250C"/>
    <w:rsid w:val="006B21D3"/>
    <w:rsid w:val="006B57D0"/>
    <w:rsid w:val="006D30FF"/>
    <w:rsid w:val="006D6940"/>
    <w:rsid w:val="006D71A0"/>
    <w:rsid w:val="006F11EC"/>
    <w:rsid w:val="006F1CC6"/>
    <w:rsid w:val="006F3A9B"/>
    <w:rsid w:val="006F4DAC"/>
    <w:rsid w:val="0070082C"/>
    <w:rsid w:val="007056A7"/>
    <w:rsid w:val="007369E6"/>
    <w:rsid w:val="0074029D"/>
    <w:rsid w:val="00746507"/>
    <w:rsid w:val="00746E59"/>
    <w:rsid w:val="00754C9A"/>
    <w:rsid w:val="0075599A"/>
    <w:rsid w:val="00761D52"/>
    <w:rsid w:val="0077171D"/>
    <w:rsid w:val="0077222E"/>
    <w:rsid w:val="0077749E"/>
    <w:rsid w:val="0078168D"/>
    <w:rsid w:val="00790ADA"/>
    <w:rsid w:val="007A69E3"/>
    <w:rsid w:val="007C3744"/>
    <w:rsid w:val="007D1970"/>
    <w:rsid w:val="007D2288"/>
    <w:rsid w:val="007D3E51"/>
    <w:rsid w:val="007E088F"/>
    <w:rsid w:val="007E0CF6"/>
    <w:rsid w:val="007E7EDF"/>
    <w:rsid w:val="007F3B06"/>
    <w:rsid w:val="007F7B32"/>
    <w:rsid w:val="00804826"/>
    <w:rsid w:val="00804BC2"/>
    <w:rsid w:val="00813E72"/>
    <w:rsid w:val="0081431A"/>
    <w:rsid w:val="00821365"/>
    <w:rsid w:val="00831D08"/>
    <w:rsid w:val="0083216F"/>
    <w:rsid w:val="00860000"/>
    <w:rsid w:val="00863BD3"/>
    <w:rsid w:val="008641ED"/>
    <w:rsid w:val="00866D66"/>
    <w:rsid w:val="008671C6"/>
    <w:rsid w:val="00875803"/>
    <w:rsid w:val="008826D6"/>
    <w:rsid w:val="00887826"/>
    <w:rsid w:val="008B1C1B"/>
    <w:rsid w:val="008B2732"/>
    <w:rsid w:val="008B459E"/>
    <w:rsid w:val="008E13AE"/>
    <w:rsid w:val="008E1506"/>
    <w:rsid w:val="008E710C"/>
    <w:rsid w:val="008F4866"/>
    <w:rsid w:val="008F69D6"/>
    <w:rsid w:val="008F7737"/>
    <w:rsid w:val="00901805"/>
    <w:rsid w:val="00902823"/>
    <w:rsid w:val="009102AC"/>
    <w:rsid w:val="00913469"/>
    <w:rsid w:val="00915CA6"/>
    <w:rsid w:val="00921AF8"/>
    <w:rsid w:val="00927834"/>
    <w:rsid w:val="00936402"/>
    <w:rsid w:val="009500A6"/>
    <w:rsid w:val="00957C18"/>
    <w:rsid w:val="009608BB"/>
    <w:rsid w:val="009659BA"/>
    <w:rsid w:val="00983040"/>
    <w:rsid w:val="009B0FC5"/>
    <w:rsid w:val="009B3FB9"/>
    <w:rsid w:val="009C2465"/>
    <w:rsid w:val="009C583B"/>
    <w:rsid w:val="009C720E"/>
    <w:rsid w:val="009D35A0"/>
    <w:rsid w:val="009D7EB7"/>
    <w:rsid w:val="009E048A"/>
    <w:rsid w:val="009E08E9"/>
    <w:rsid w:val="009E3DB9"/>
    <w:rsid w:val="009E6E35"/>
    <w:rsid w:val="009F0EDA"/>
    <w:rsid w:val="00A03B96"/>
    <w:rsid w:val="00A05B19"/>
    <w:rsid w:val="00A061EB"/>
    <w:rsid w:val="00A1134E"/>
    <w:rsid w:val="00A14D06"/>
    <w:rsid w:val="00A16B32"/>
    <w:rsid w:val="00A24E7E"/>
    <w:rsid w:val="00A258C3"/>
    <w:rsid w:val="00A347C0"/>
    <w:rsid w:val="00A51431"/>
    <w:rsid w:val="00A539AD"/>
    <w:rsid w:val="00A64602"/>
    <w:rsid w:val="00A676A4"/>
    <w:rsid w:val="00A8174A"/>
    <w:rsid w:val="00A94063"/>
    <w:rsid w:val="00A94E4C"/>
    <w:rsid w:val="00A95C75"/>
    <w:rsid w:val="00AA6219"/>
    <w:rsid w:val="00AA74E0"/>
    <w:rsid w:val="00AB55A9"/>
    <w:rsid w:val="00AB703F"/>
    <w:rsid w:val="00AC1C8F"/>
    <w:rsid w:val="00AC5B06"/>
    <w:rsid w:val="00AC6BB8"/>
    <w:rsid w:val="00AD0441"/>
    <w:rsid w:val="00AE008F"/>
    <w:rsid w:val="00B01FCD"/>
    <w:rsid w:val="00B1111B"/>
    <w:rsid w:val="00B11A24"/>
    <w:rsid w:val="00B1776C"/>
    <w:rsid w:val="00B253CF"/>
    <w:rsid w:val="00B4595E"/>
    <w:rsid w:val="00B52583"/>
    <w:rsid w:val="00B52896"/>
    <w:rsid w:val="00B7682F"/>
    <w:rsid w:val="00B926BF"/>
    <w:rsid w:val="00B95236"/>
    <w:rsid w:val="00B96BD9"/>
    <w:rsid w:val="00BA1B01"/>
    <w:rsid w:val="00BA2641"/>
    <w:rsid w:val="00BB37AA"/>
    <w:rsid w:val="00BC53A0"/>
    <w:rsid w:val="00BE62AD"/>
    <w:rsid w:val="00BF121F"/>
    <w:rsid w:val="00BF1F80"/>
    <w:rsid w:val="00C14C3A"/>
    <w:rsid w:val="00C166EF"/>
    <w:rsid w:val="00C17EB0"/>
    <w:rsid w:val="00C27F5F"/>
    <w:rsid w:val="00C30A0F"/>
    <w:rsid w:val="00C37E61"/>
    <w:rsid w:val="00C465EA"/>
    <w:rsid w:val="00C50D4A"/>
    <w:rsid w:val="00C70F1B"/>
    <w:rsid w:val="00C71A47"/>
    <w:rsid w:val="00C7464C"/>
    <w:rsid w:val="00C85588"/>
    <w:rsid w:val="00CB7980"/>
    <w:rsid w:val="00CC4D9B"/>
    <w:rsid w:val="00CD6755"/>
    <w:rsid w:val="00CD6856"/>
    <w:rsid w:val="00CE0089"/>
    <w:rsid w:val="00CE6D64"/>
    <w:rsid w:val="00CE7646"/>
    <w:rsid w:val="00CE793C"/>
    <w:rsid w:val="00CF193C"/>
    <w:rsid w:val="00CF4181"/>
    <w:rsid w:val="00D173F1"/>
    <w:rsid w:val="00D52C9A"/>
    <w:rsid w:val="00D56E70"/>
    <w:rsid w:val="00D66616"/>
    <w:rsid w:val="00D74CB0"/>
    <w:rsid w:val="00D8295D"/>
    <w:rsid w:val="00DB1C35"/>
    <w:rsid w:val="00DB235D"/>
    <w:rsid w:val="00DB65FE"/>
    <w:rsid w:val="00DC2A65"/>
    <w:rsid w:val="00DE15F0"/>
    <w:rsid w:val="00DE5663"/>
    <w:rsid w:val="00DE78AA"/>
    <w:rsid w:val="00E053D0"/>
    <w:rsid w:val="00E078E3"/>
    <w:rsid w:val="00E15994"/>
    <w:rsid w:val="00E1697D"/>
    <w:rsid w:val="00E23CA2"/>
    <w:rsid w:val="00E3114E"/>
    <w:rsid w:val="00E31A70"/>
    <w:rsid w:val="00E35B02"/>
    <w:rsid w:val="00E44E96"/>
    <w:rsid w:val="00E66496"/>
    <w:rsid w:val="00E66B35"/>
    <w:rsid w:val="00E66E10"/>
    <w:rsid w:val="00E672F9"/>
    <w:rsid w:val="00E769F6"/>
    <w:rsid w:val="00E8407C"/>
    <w:rsid w:val="00E84F3C"/>
    <w:rsid w:val="00E90CBC"/>
    <w:rsid w:val="00E92A44"/>
    <w:rsid w:val="00E97552"/>
    <w:rsid w:val="00EA012C"/>
    <w:rsid w:val="00EA0B3B"/>
    <w:rsid w:val="00EB219B"/>
    <w:rsid w:val="00EB512E"/>
    <w:rsid w:val="00EB6B31"/>
    <w:rsid w:val="00EC2EA3"/>
    <w:rsid w:val="00EC33F5"/>
    <w:rsid w:val="00EC4665"/>
    <w:rsid w:val="00EC6A55"/>
    <w:rsid w:val="00EC70C9"/>
    <w:rsid w:val="00ED0288"/>
    <w:rsid w:val="00ED7F3B"/>
    <w:rsid w:val="00EE30D2"/>
    <w:rsid w:val="00EE52CB"/>
    <w:rsid w:val="00EF06BC"/>
    <w:rsid w:val="00EF581D"/>
    <w:rsid w:val="00EF7FD8"/>
    <w:rsid w:val="00F00B8D"/>
    <w:rsid w:val="00F03707"/>
    <w:rsid w:val="00F06F59"/>
    <w:rsid w:val="00F17988"/>
    <w:rsid w:val="00F207B0"/>
    <w:rsid w:val="00F24C99"/>
    <w:rsid w:val="00F3127C"/>
    <w:rsid w:val="00F40231"/>
    <w:rsid w:val="00F4035E"/>
    <w:rsid w:val="00F469F0"/>
    <w:rsid w:val="00F513CD"/>
    <w:rsid w:val="00F53273"/>
    <w:rsid w:val="00F53D97"/>
    <w:rsid w:val="00F755E4"/>
    <w:rsid w:val="00F77D02"/>
    <w:rsid w:val="00F82C21"/>
    <w:rsid w:val="00FB3A86"/>
    <w:rsid w:val="00FD00D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BE6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ED7F3B"/>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ListParagraphChar">
    <w:name w:val="List Paragraph Char"/>
    <w:basedOn w:val="DefaultParagraphFont"/>
    <w:link w:val="ListParagraph"/>
    <w:uiPriority w:val="34"/>
    <w:rsid w:val="00ED7F3B"/>
    <w:rPr>
      <w:rFonts w:ascii="Calibri" w:eastAsia="Calibri" w:hAnsi="Calibri" w:cs="SimSun"/>
      <w:kern w:val="2"/>
      <w:sz w:val="22"/>
      <w:szCs w:val="22"/>
      <w14:ligatures w14:val="standardContextual"/>
    </w:rPr>
  </w:style>
  <w:style w:type="paragraph" w:styleId="NormalWeb">
    <w:name w:val="Normal (Web)"/>
    <w:basedOn w:val="Normal"/>
    <w:uiPriority w:val="99"/>
    <w:rsid w:val="00264095"/>
    <w:pPr>
      <w:spacing w:before="100" w:beforeAutospacing="1" w:after="100" w:afterAutospacing="1"/>
    </w:pPr>
    <w:rPr>
      <w:rFonts w:ascii="Times New Roman" w:eastAsia="SimSun" w:hAnsi="Times New Roman"/>
      <w:sz w:val="24"/>
      <w:szCs w:val="24"/>
    </w:rPr>
  </w:style>
  <w:style w:type="table" w:customStyle="1" w:styleId="ListTable6Colourful1">
    <w:name w:val="List Table 6 Colourful1"/>
    <w:basedOn w:val="TableNormal"/>
    <w:uiPriority w:val="51"/>
    <w:rsid w:val="00264095"/>
    <w:rPr>
      <w:rFonts w:ascii="Calibri" w:eastAsia="Calibri" w:hAnsi="Calibri" w:cs="SimSun"/>
      <w:color w:val="000000"/>
      <w:kern w:val="2"/>
      <w:sz w:val="22"/>
      <w:szCs w:val="22"/>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1">
    <w:name w:val="Table Grid Light1"/>
    <w:basedOn w:val="TableNormal"/>
    <w:uiPriority w:val="40"/>
    <w:rsid w:val="00B11A24"/>
    <w:rPr>
      <w:rFonts w:ascii="Calibri" w:eastAsia="Calibri" w:hAnsi="Calibri" w:cs="SimSu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BodyTextChar"/>
    <w:unhideWhenUsed/>
    <w:rsid w:val="00E078E3"/>
    <w:pPr>
      <w:spacing w:after="120"/>
    </w:pPr>
  </w:style>
  <w:style w:type="character" w:customStyle="1" w:styleId="BodyTextChar">
    <w:name w:val="Body Text Char"/>
    <w:basedOn w:val="DefaultParagraphFont"/>
    <w:link w:val="BodyText"/>
    <w:rsid w:val="00E078E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9616619">
      <w:bodyDiv w:val="1"/>
      <w:marLeft w:val="0"/>
      <w:marRight w:val="0"/>
      <w:marTop w:val="0"/>
      <w:marBottom w:val="0"/>
      <w:divBdr>
        <w:top w:val="none" w:sz="0" w:space="0" w:color="auto"/>
        <w:left w:val="none" w:sz="0" w:space="0" w:color="auto"/>
        <w:bottom w:val="none" w:sz="0" w:space="0" w:color="auto"/>
        <w:right w:val="none" w:sz="0" w:space="0" w:color="auto"/>
      </w:divBdr>
    </w:div>
    <w:div w:id="10854971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4616537">
      <w:bodyDiv w:val="1"/>
      <w:marLeft w:val="0"/>
      <w:marRight w:val="0"/>
      <w:marTop w:val="0"/>
      <w:marBottom w:val="0"/>
      <w:divBdr>
        <w:top w:val="none" w:sz="0" w:space="0" w:color="auto"/>
        <w:left w:val="none" w:sz="0" w:space="0" w:color="auto"/>
        <w:bottom w:val="none" w:sz="0" w:space="0" w:color="auto"/>
        <w:right w:val="none" w:sz="0" w:space="0" w:color="auto"/>
      </w:divBdr>
    </w:div>
    <w:div w:id="183179587">
      <w:bodyDiv w:val="1"/>
      <w:marLeft w:val="0"/>
      <w:marRight w:val="0"/>
      <w:marTop w:val="0"/>
      <w:marBottom w:val="0"/>
      <w:divBdr>
        <w:top w:val="none" w:sz="0" w:space="0" w:color="auto"/>
        <w:left w:val="none" w:sz="0" w:space="0" w:color="auto"/>
        <w:bottom w:val="none" w:sz="0" w:space="0" w:color="auto"/>
        <w:right w:val="none" w:sz="0" w:space="0" w:color="auto"/>
      </w:divBdr>
    </w:div>
    <w:div w:id="21574648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2001781">
      <w:bodyDiv w:val="1"/>
      <w:marLeft w:val="0"/>
      <w:marRight w:val="0"/>
      <w:marTop w:val="0"/>
      <w:marBottom w:val="0"/>
      <w:divBdr>
        <w:top w:val="none" w:sz="0" w:space="0" w:color="auto"/>
        <w:left w:val="none" w:sz="0" w:space="0" w:color="auto"/>
        <w:bottom w:val="none" w:sz="0" w:space="0" w:color="auto"/>
        <w:right w:val="none" w:sz="0" w:space="0" w:color="auto"/>
      </w:divBdr>
    </w:div>
    <w:div w:id="305166452">
      <w:bodyDiv w:val="1"/>
      <w:marLeft w:val="0"/>
      <w:marRight w:val="0"/>
      <w:marTop w:val="0"/>
      <w:marBottom w:val="0"/>
      <w:divBdr>
        <w:top w:val="none" w:sz="0" w:space="0" w:color="auto"/>
        <w:left w:val="none" w:sz="0" w:space="0" w:color="auto"/>
        <w:bottom w:val="none" w:sz="0" w:space="0" w:color="auto"/>
        <w:right w:val="none" w:sz="0" w:space="0" w:color="auto"/>
      </w:divBdr>
    </w:div>
    <w:div w:id="389884138">
      <w:bodyDiv w:val="1"/>
      <w:marLeft w:val="0"/>
      <w:marRight w:val="0"/>
      <w:marTop w:val="0"/>
      <w:marBottom w:val="0"/>
      <w:divBdr>
        <w:top w:val="none" w:sz="0" w:space="0" w:color="auto"/>
        <w:left w:val="none" w:sz="0" w:space="0" w:color="auto"/>
        <w:bottom w:val="none" w:sz="0" w:space="0" w:color="auto"/>
        <w:right w:val="none" w:sz="0" w:space="0" w:color="auto"/>
      </w:divBdr>
    </w:div>
    <w:div w:id="403651678">
      <w:bodyDiv w:val="1"/>
      <w:marLeft w:val="0"/>
      <w:marRight w:val="0"/>
      <w:marTop w:val="0"/>
      <w:marBottom w:val="0"/>
      <w:divBdr>
        <w:top w:val="none" w:sz="0" w:space="0" w:color="auto"/>
        <w:left w:val="none" w:sz="0" w:space="0" w:color="auto"/>
        <w:bottom w:val="none" w:sz="0" w:space="0" w:color="auto"/>
        <w:right w:val="none" w:sz="0" w:space="0" w:color="auto"/>
      </w:divBdr>
    </w:div>
    <w:div w:id="411972090">
      <w:bodyDiv w:val="1"/>
      <w:marLeft w:val="0"/>
      <w:marRight w:val="0"/>
      <w:marTop w:val="0"/>
      <w:marBottom w:val="0"/>
      <w:divBdr>
        <w:top w:val="none" w:sz="0" w:space="0" w:color="auto"/>
        <w:left w:val="none" w:sz="0" w:space="0" w:color="auto"/>
        <w:bottom w:val="none" w:sz="0" w:space="0" w:color="auto"/>
        <w:right w:val="none" w:sz="0" w:space="0" w:color="auto"/>
      </w:divBdr>
    </w:div>
    <w:div w:id="431899897">
      <w:bodyDiv w:val="1"/>
      <w:marLeft w:val="0"/>
      <w:marRight w:val="0"/>
      <w:marTop w:val="0"/>
      <w:marBottom w:val="0"/>
      <w:divBdr>
        <w:top w:val="none" w:sz="0" w:space="0" w:color="auto"/>
        <w:left w:val="none" w:sz="0" w:space="0" w:color="auto"/>
        <w:bottom w:val="none" w:sz="0" w:space="0" w:color="auto"/>
        <w:right w:val="none" w:sz="0" w:space="0" w:color="auto"/>
      </w:divBdr>
    </w:div>
    <w:div w:id="454831588">
      <w:bodyDiv w:val="1"/>
      <w:marLeft w:val="0"/>
      <w:marRight w:val="0"/>
      <w:marTop w:val="0"/>
      <w:marBottom w:val="0"/>
      <w:divBdr>
        <w:top w:val="none" w:sz="0" w:space="0" w:color="auto"/>
        <w:left w:val="none" w:sz="0" w:space="0" w:color="auto"/>
        <w:bottom w:val="none" w:sz="0" w:space="0" w:color="auto"/>
        <w:right w:val="none" w:sz="0" w:space="0" w:color="auto"/>
      </w:divBdr>
    </w:div>
    <w:div w:id="468403632">
      <w:bodyDiv w:val="1"/>
      <w:marLeft w:val="0"/>
      <w:marRight w:val="0"/>
      <w:marTop w:val="0"/>
      <w:marBottom w:val="0"/>
      <w:divBdr>
        <w:top w:val="none" w:sz="0" w:space="0" w:color="auto"/>
        <w:left w:val="none" w:sz="0" w:space="0" w:color="auto"/>
        <w:bottom w:val="none" w:sz="0" w:space="0" w:color="auto"/>
        <w:right w:val="none" w:sz="0" w:space="0" w:color="auto"/>
      </w:divBdr>
    </w:div>
    <w:div w:id="543374310">
      <w:bodyDiv w:val="1"/>
      <w:marLeft w:val="0"/>
      <w:marRight w:val="0"/>
      <w:marTop w:val="0"/>
      <w:marBottom w:val="0"/>
      <w:divBdr>
        <w:top w:val="none" w:sz="0" w:space="0" w:color="auto"/>
        <w:left w:val="none" w:sz="0" w:space="0" w:color="auto"/>
        <w:bottom w:val="none" w:sz="0" w:space="0" w:color="auto"/>
        <w:right w:val="none" w:sz="0" w:space="0" w:color="auto"/>
      </w:divBdr>
    </w:div>
    <w:div w:id="583300062">
      <w:bodyDiv w:val="1"/>
      <w:marLeft w:val="0"/>
      <w:marRight w:val="0"/>
      <w:marTop w:val="0"/>
      <w:marBottom w:val="0"/>
      <w:divBdr>
        <w:top w:val="none" w:sz="0" w:space="0" w:color="auto"/>
        <w:left w:val="none" w:sz="0" w:space="0" w:color="auto"/>
        <w:bottom w:val="none" w:sz="0" w:space="0" w:color="auto"/>
        <w:right w:val="none" w:sz="0" w:space="0" w:color="auto"/>
      </w:divBdr>
    </w:div>
    <w:div w:id="598638544">
      <w:bodyDiv w:val="1"/>
      <w:marLeft w:val="0"/>
      <w:marRight w:val="0"/>
      <w:marTop w:val="0"/>
      <w:marBottom w:val="0"/>
      <w:divBdr>
        <w:top w:val="none" w:sz="0" w:space="0" w:color="auto"/>
        <w:left w:val="none" w:sz="0" w:space="0" w:color="auto"/>
        <w:bottom w:val="none" w:sz="0" w:space="0" w:color="auto"/>
        <w:right w:val="none" w:sz="0" w:space="0" w:color="auto"/>
      </w:divBdr>
    </w:div>
    <w:div w:id="598879165">
      <w:bodyDiv w:val="1"/>
      <w:marLeft w:val="0"/>
      <w:marRight w:val="0"/>
      <w:marTop w:val="0"/>
      <w:marBottom w:val="0"/>
      <w:divBdr>
        <w:top w:val="none" w:sz="0" w:space="0" w:color="auto"/>
        <w:left w:val="none" w:sz="0" w:space="0" w:color="auto"/>
        <w:bottom w:val="none" w:sz="0" w:space="0" w:color="auto"/>
        <w:right w:val="none" w:sz="0" w:space="0" w:color="auto"/>
      </w:divBdr>
    </w:div>
    <w:div w:id="61324573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1298350">
      <w:bodyDiv w:val="1"/>
      <w:marLeft w:val="0"/>
      <w:marRight w:val="0"/>
      <w:marTop w:val="0"/>
      <w:marBottom w:val="0"/>
      <w:divBdr>
        <w:top w:val="none" w:sz="0" w:space="0" w:color="auto"/>
        <w:left w:val="none" w:sz="0" w:space="0" w:color="auto"/>
        <w:bottom w:val="none" w:sz="0" w:space="0" w:color="auto"/>
        <w:right w:val="none" w:sz="0" w:space="0" w:color="auto"/>
      </w:divBdr>
    </w:div>
    <w:div w:id="673728723">
      <w:bodyDiv w:val="1"/>
      <w:marLeft w:val="0"/>
      <w:marRight w:val="0"/>
      <w:marTop w:val="0"/>
      <w:marBottom w:val="0"/>
      <w:divBdr>
        <w:top w:val="none" w:sz="0" w:space="0" w:color="auto"/>
        <w:left w:val="none" w:sz="0" w:space="0" w:color="auto"/>
        <w:bottom w:val="none" w:sz="0" w:space="0" w:color="auto"/>
        <w:right w:val="none" w:sz="0" w:space="0" w:color="auto"/>
      </w:divBdr>
    </w:div>
    <w:div w:id="694233190">
      <w:bodyDiv w:val="1"/>
      <w:marLeft w:val="0"/>
      <w:marRight w:val="0"/>
      <w:marTop w:val="0"/>
      <w:marBottom w:val="0"/>
      <w:divBdr>
        <w:top w:val="none" w:sz="0" w:space="0" w:color="auto"/>
        <w:left w:val="none" w:sz="0" w:space="0" w:color="auto"/>
        <w:bottom w:val="none" w:sz="0" w:space="0" w:color="auto"/>
        <w:right w:val="none" w:sz="0" w:space="0" w:color="auto"/>
      </w:divBdr>
    </w:div>
    <w:div w:id="702680365">
      <w:bodyDiv w:val="1"/>
      <w:marLeft w:val="0"/>
      <w:marRight w:val="0"/>
      <w:marTop w:val="0"/>
      <w:marBottom w:val="0"/>
      <w:divBdr>
        <w:top w:val="none" w:sz="0" w:space="0" w:color="auto"/>
        <w:left w:val="none" w:sz="0" w:space="0" w:color="auto"/>
        <w:bottom w:val="none" w:sz="0" w:space="0" w:color="auto"/>
        <w:right w:val="none" w:sz="0" w:space="0" w:color="auto"/>
      </w:divBdr>
    </w:div>
    <w:div w:id="710375515">
      <w:bodyDiv w:val="1"/>
      <w:marLeft w:val="0"/>
      <w:marRight w:val="0"/>
      <w:marTop w:val="0"/>
      <w:marBottom w:val="0"/>
      <w:divBdr>
        <w:top w:val="none" w:sz="0" w:space="0" w:color="auto"/>
        <w:left w:val="none" w:sz="0" w:space="0" w:color="auto"/>
        <w:bottom w:val="none" w:sz="0" w:space="0" w:color="auto"/>
        <w:right w:val="none" w:sz="0" w:space="0" w:color="auto"/>
      </w:divBdr>
    </w:div>
    <w:div w:id="726104045">
      <w:bodyDiv w:val="1"/>
      <w:marLeft w:val="0"/>
      <w:marRight w:val="0"/>
      <w:marTop w:val="0"/>
      <w:marBottom w:val="0"/>
      <w:divBdr>
        <w:top w:val="none" w:sz="0" w:space="0" w:color="auto"/>
        <w:left w:val="none" w:sz="0" w:space="0" w:color="auto"/>
        <w:bottom w:val="none" w:sz="0" w:space="0" w:color="auto"/>
        <w:right w:val="none" w:sz="0" w:space="0" w:color="auto"/>
      </w:divBdr>
    </w:div>
    <w:div w:id="729547203">
      <w:bodyDiv w:val="1"/>
      <w:marLeft w:val="0"/>
      <w:marRight w:val="0"/>
      <w:marTop w:val="0"/>
      <w:marBottom w:val="0"/>
      <w:divBdr>
        <w:top w:val="none" w:sz="0" w:space="0" w:color="auto"/>
        <w:left w:val="none" w:sz="0" w:space="0" w:color="auto"/>
        <w:bottom w:val="none" w:sz="0" w:space="0" w:color="auto"/>
        <w:right w:val="none" w:sz="0" w:space="0" w:color="auto"/>
      </w:divBdr>
    </w:div>
    <w:div w:id="822040945">
      <w:bodyDiv w:val="1"/>
      <w:marLeft w:val="0"/>
      <w:marRight w:val="0"/>
      <w:marTop w:val="0"/>
      <w:marBottom w:val="0"/>
      <w:divBdr>
        <w:top w:val="none" w:sz="0" w:space="0" w:color="auto"/>
        <w:left w:val="none" w:sz="0" w:space="0" w:color="auto"/>
        <w:bottom w:val="none" w:sz="0" w:space="0" w:color="auto"/>
        <w:right w:val="none" w:sz="0" w:space="0" w:color="auto"/>
      </w:divBdr>
    </w:div>
    <w:div w:id="827012903">
      <w:bodyDiv w:val="1"/>
      <w:marLeft w:val="0"/>
      <w:marRight w:val="0"/>
      <w:marTop w:val="0"/>
      <w:marBottom w:val="0"/>
      <w:divBdr>
        <w:top w:val="none" w:sz="0" w:space="0" w:color="auto"/>
        <w:left w:val="none" w:sz="0" w:space="0" w:color="auto"/>
        <w:bottom w:val="none" w:sz="0" w:space="0" w:color="auto"/>
        <w:right w:val="none" w:sz="0" w:space="0" w:color="auto"/>
      </w:divBdr>
    </w:div>
    <w:div w:id="835148070">
      <w:bodyDiv w:val="1"/>
      <w:marLeft w:val="0"/>
      <w:marRight w:val="0"/>
      <w:marTop w:val="0"/>
      <w:marBottom w:val="0"/>
      <w:divBdr>
        <w:top w:val="none" w:sz="0" w:space="0" w:color="auto"/>
        <w:left w:val="none" w:sz="0" w:space="0" w:color="auto"/>
        <w:bottom w:val="none" w:sz="0" w:space="0" w:color="auto"/>
        <w:right w:val="none" w:sz="0" w:space="0" w:color="auto"/>
      </w:divBdr>
    </w:div>
    <w:div w:id="888302646">
      <w:bodyDiv w:val="1"/>
      <w:marLeft w:val="0"/>
      <w:marRight w:val="0"/>
      <w:marTop w:val="0"/>
      <w:marBottom w:val="0"/>
      <w:divBdr>
        <w:top w:val="none" w:sz="0" w:space="0" w:color="auto"/>
        <w:left w:val="none" w:sz="0" w:space="0" w:color="auto"/>
        <w:bottom w:val="none" w:sz="0" w:space="0" w:color="auto"/>
        <w:right w:val="none" w:sz="0" w:space="0" w:color="auto"/>
      </w:divBdr>
    </w:div>
    <w:div w:id="892930855">
      <w:bodyDiv w:val="1"/>
      <w:marLeft w:val="0"/>
      <w:marRight w:val="0"/>
      <w:marTop w:val="0"/>
      <w:marBottom w:val="0"/>
      <w:divBdr>
        <w:top w:val="none" w:sz="0" w:space="0" w:color="auto"/>
        <w:left w:val="none" w:sz="0" w:space="0" w:color="auto"/>
        <w:bottom w:val="none" w:sz="0" w:space="0" w:color="auto"/>
        <w:right w:val="none" w:sz="0" w:space="0" w:color="auto"/>
      </w:divBdr>
    </w:div>
    <w:div w:id="943222254">
      <w:bodyDiv w:val="1"/>
      <w:marLeft w:val="0"/>
      <w:marRight w:val="0"/>
      <w:marTop w:val="0"/>
      <w:marBottom w:val="0"/>
      <w:divBdr>
        <w:top w:val="none" w:sz="0" w:space="0" w:color="auto"/>
        <w:left w:val="none" w:sz="0" w:space="0" w:color="auto"/>
        <w:bottom w:val="none" w:sz="0" w:space="0" w:color="auto"/>
        <w:right w:val="none" w:sz="0" w:space="0" w:color="auto"/>
      </w:divBdr>
    </w:div>
    <w:div w:id="9786536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13299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21182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9108195">
      <w:bodyDiv w:val="1"/>
      <w:marLeft w:val="0"/>
      <w:marRight w:val="0"/>
      <w:marTop w:val="0"/>
      <w:marBottom w:val="0"/>
      <w:divBdr>
        <w:top w:val="none" w:sz="0" w:space="0" w:color="auto"/>
        <w:left w:val="none" w:sz="0" w:space="0" w:color="auto"/>
        <w:bottom w:val="none" w:sz="0" w:space="0" w:color="auto"/>
        <w:right w:val="none" w:sz="0" w:space="0" w:color="auto"/>
      </w:divBdr>
    </w:div>
    <w:div w:id="106838452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049143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7993690">
      <w:bodyDiv w:val="1"/>
      <w:marLeft w:val="0"/>
      <w:marRight w:val="0"/>
      <w:marTop w:val="0"/>
      <w:marBottom w:val="0"/>
      <w:divBdr>
        <w:top w:val="none" w:sz="0" w:space="0" w:color="auto"/>
        <w:left w:val="none" w:sz="0" w:space="0" w:color="auto"/>
        <w:bottom w:val="none" w:sz="0" w:space="0" w:color="auto"/>
        <w:right w:val="none" w:sz="0" w:space="0" w:color="auto"/>
      </w:divBdr>
    </w:div>
    <w:div w:id="1220938771">
      <w:bodyDiv w:val="1"/>
      <w:marLeft w:val="0"/>
      <w:marRight w:val="0"/>
      <w:marTop w:val="0"/>
      <w:marBottom w:val="0"/>
      <w:divBdr>
        <w:top w:val="none" w:sz="0" w:space="0" w:color="auto"/>
        <w:left w:val="none" w:sz="0" w:space="0" w:color="auto"/>
        <w:bottom w:val="none" w:sz="0" w:space="0" w:color="auto"/>
        <w:right w:val="none" w:sz="0" w:space="0" w:color="auto"/>
      </w:divBdr>
    </w:div>
    <w:div w:id="1258446633">
      <w:bodyDiv w:val="1"/>
      <w:marLeft w:val="0"/>
      <w:marRight w:val="0"/>
      <w:marTop w:val="0"/>
      <w:marBottom w:val="0"/>
      <w:divBdr>
        <w:top w:val="none" w:sz="0" w:space="0" w:color="auto"/>
        <w:left w:val="none" w:sz="0" w:space="0" w:color="auto"/>
        <w:bottom w:val="none" w:sz="0" w:space="0" w:color="auto"/>
        <w:right w:val="none" w:sz="0" w:space="0" w:color="auto"/>
      </w:divBdr>
    </w:div>
    <w:div w:id="1278411931">
      <w:bodyDiv w:val="1"/>
      <w:marLeft w:val="0"/>
      <w:marRight w:val="0"/>
      <w:marTop w:val="0"/>
      <w:marBottom w:val="0"/>
      <w:divBdr>
        <w:top w:val="none" w:sz="0" w:space="0" w:color="auto"/>
        <w:left w:val="none" w:sz="0" w:space="0" w:color="auto"/>
        <w:bottom w:val="none" w:sz="0" w:space="0" w:color="auto"/>
        <w:right w:val="none" w:sz="0" w:space="0" w:color="auto"/>
      </w:divBdr>
    </w:div>
    <w:div w:id="1298490092">
      <w:bodyDiv w:val="1"/>
      <w:marLeft w:val="0"/>
      <w:marRight w:val="0"/>
      <w:marTop w:val="0"/>
      <w:marBottom w:val="0"/>
      <w:divBdr>
        <w:top w:val="none" w:sz="0" w:space="0" w:color="auto"/>
        <w:left w:val="none" w:sz="0" w:space="0" w:color="auto"/>
        <w:bottom w:val="none" w:sz="0" w:space="0" w:color="auto"/>
        <w:right w:val="none" w:sz="0" w:space="0" w:color="auto"/>
      </w:divBdr>
    </w:div>
    <w:div w:id="1348408631">
      <w:bodyDiv w:val="1"/>
      <w:marLeft w:val="0"/>
      <w:marRight w:val="0"/>
      <w:marTop w:val="0"/>
      <w:marBottom w:val="0"/>
      <w:divBdr>
        <w:top w:val="none" w:sz="0" w:space="0" w:color="auto"/>
        <w:left w:val="none" w:sz="0" w:space="0" w:color="auto"/>
        <w:bottom w:val="none" w:sz="0" w:space="0" w:color="auto"/>
        <w:right w:val="none" w:sz="0" w:space="0" w:color="auto"/>
      </w:divBdr>
    </w:div>
    <w:div w:id="1386415529">
      <w:bodyDiv w:val="1"/>
      <w:marLeft w:val="0"/>
      <w:marRight w:val="0"/>
      <w:marTop w:val="0"/>
      <w:marBottom w:val="0"/>
      <w:divBdr>
        <w:top w:val="none" w:sz="0" w:space="0" w:color="auto"/>
        <w:left w:val="none" w:sz="0" w:space="0" w:color="auto"/>
        <w:bottom w:val="none" w:sz="0" w:space="0" w:color="auto"/>
        <w:right w:val="none" w:sz="0" w:space="0" w:color="auto"/>
      </w:divBdr>
    </w:div>
    <w:div w:id="1386564531">
      <w:bodyDiv w:val="1"/>
      <w:marLeft w:val="0"/>
      <w:marRight w:val="0"/>
      <w:marTop w:val="0"/>
      <w:marBottom w:val="0"/>
      <w:divBdr>
        <w:top w:val="none" w:sz="0" w:space="0" w:color="auto"/>
        <w:left w:val="none" w:sz="0" w:space="0" w:color="auto"/>
        <w:bottom w:val="none" w:sz="0" w:space="0" w:color="auto"/>
        <w:right w:val="none" w:sz="0" w:space="0" w:color="auto"/>
      </w:divBdr>
    </w:div>
    <w:div w:id="1416437385">
      <w:bodyDiv w:val="1"/>
      <w:marLeft w:val="0"/>
      <w:marRight w:val="0"/>
      <w:marTop w:val="0"/>
      <w:marBottom w:val="0"/>
      <w:divBdr>
        <w:top w:val="none" w:sz="0" w:space="0" w:color="auto"/>
        <w:left w:val="none" w:sz="0" w:space="0" w:color="auto"/>
        <w:bottom w:val="none" w:sz="0" w:space="0" w:color="auto"/>
        <w:right w:val="none" w:sz="0" w:space="0" w:color="auto"/>
      </w:divBdr>
    </w:div>
    <w:div w:id="1471439482">
      <w:bodyDiv w:val="1"/>
      <w:marLeft w:val="0"/>
      <w:marRight w:val="0"/>
      <w:marTop w:val="0"/>
      <w:marBottom w:val="0"/>
      <w:divBdr>
        <w:top w:val="none" w:sz="0" w:space="0" w:color="auto"/>
        <w:left w:val="none" w:sz="0" w:space="0" w:color="auto"/>
        <w:bottom w:val="none" w:sz="0" w:space="0" w:color="auto"/>
        <w:right w:val="none" w:sz="0" w:space="0" w:color="auto"/>
      </w:divBdr>
    </w:div>
    <w:div w:id="1480027802">
      <w:bodyDiv w:val="1"/>
      <w:marLeft w:val="0"/>
      <w:marRight w:val="0"/>
      <w:marTop w:val="0"/>
      <w:marBottom w:val="0"/>
      <w:divBdr>
        <w:top w:val="none" w:sz="0" w:space="0" w:color="auto"/>
        <w:left w:val="none" w:sz="0" w:space="0" w:color="auto"/>
        <w:bottom w:val="none" w:sz="0" w:space="0" w:color="auto"/>
        <w:right w:val="none" w:sz="0" w:space="0" w:color="auto"/>
      </w:divBdr>
    </w:div>
    <w:div w:id="1492865634">
      <w:bodyDiv w:val="1"/>
      <w:marLeft w:val="0"/>
      <w:marRight w:val="0"/>
      <w:marTop w:val="0"/>
      <w:marBottom w:val="0"/>
      <w:divBdr>
        <w:top w:val="none" w:sz="0" w:space="0" w:color="auto"/>
        <w:left w:val="none" w:sz="0" w:space="0" w:color="auto"/>
        <w:bottom w:val="none" w:sz="0" w:space="0" w:color="auto"/>
        <w:right w:val="none" w:sz="0" w:space="0" w:color="auto"/>
      </w:divBdr>
    </w:div>
    <w:div w:id="1493134142">
      <w:bodyDiv w:val="1"/>
      <w:marLeft w:val="0"/>
      <w:marRight w:val="0"/>
      <w:marTop w:val="0"/>
      <w:marBottom w:val="0"/>
      <w:divBdr>
        <w:top w:val="none" w:sz="0" w:space="0" w:color="auto"/>
        <w:left w:val="none" w:sz="0" w:space="0" w:color="auto"/>
        <w:bottom w:val="none" w:sz="0" w:space="0" w:color="auto"/>
        <w:right w:val="none" w:sz="0" w:space="0" w:color="auto"/>
      </w:divBdr>
    </w:div>
    <w:div w:id="1578590961">
      <w:bodyDiv w:val="1"/>
      <w:marLeft w:val="0"/>
      <w:marRight w:val="0"/>
      <w:marTop w:val="0"/>
      <w:marBottom w:val="0"/>
      <w:divBdr>
        <w:top w:val="none" w:sz="0" w:space="0" w:color="auto"/>
        <w:left w:val="none" w:sz="0" w:space="0" w:color="auto"/>
        <w:bottom w:val="none" w:sz="0" w:space="0" w:color="auto"/>
        <w:right w:val="none" w:sz="0" w:space="0" w:color="auto"/>
      </w:divBdr>
    </w:div>
    <w:div w:id="1608082608">
      <w:bodyDiv w:val="1"/>
      <w:marLeft w:val="0"/>
      <w:marRight w:val="0"/>
      <w:marTop w:val="0"/>
      <w:marBottom w:val="0"/>
      <w:divBdr>
        <w:top w:val="none" w:sz="0" w:space="0" w:color="auto"/>
        <w:left w:val="none" w:sz="0" w:space="0" w:color="auto"/>
        <w:bottom w:val="none" w:sz="0" w:space="0" w:color="auto"/>
        <w:right w:val="none" w:sz="0" w:space="0" w:color="auto"/>
      </w:divBdr>
    </w:div>
    <w:div w:id="1628663290">
      <w:bodyDiv w:val="1"/>
      <w:marLeft w:val="0"/>
      <w:marRight w:val="0"/>
      <w:marTop w:val="0"/>
      <w:marBottom w:val="0"/>
      <w:divBdr>
        <w:top w:val="none" w:sz="0" w:space="0" w:color="auto"/>
        <w:left w:val="none" w:sz="0" w:space="0" w:color="auto"/>
        <w:bottom w:val="none" w:sz="0" w:space="0" w:color="auto"/>
        <w:right w:val="none" w:sz="0" w:space="0" w:color="auto"/>
      </w:divBdr>
    </w:div>
    <w:div w:id="1629358444">
      <w:bodyDiv w:val="1"/>
      <w:marLeft w:val="0"/>
      <w:marRight w:val="0"/>
      <w:marTop w:val="0"/>
      <w:marBottom w:val="0"/>
      <w:divBdr>
        <w:top w:val="none" w:sz="0" w:space="0" w:color="auto"/>
        <w:left w:val="none" w:sz="0" w:space="0" w:color="auto"/>
        <w:bottom w:val="none" w:sz="0" w:space="0" w:color="auto"/>
        <w:right w:val="none" w:sz="0" w:space="0" w:color="auto"/>
      </w:divBdr>
    </w:div>
    <w:div w:id="1632394615">
      <w:bodyDiv w:val="1"/>
      <w:marLeft w:val="0"/>
      <w:marRight w:val="0"/>
      <w:marTop w:val="0"/>
      <w:marBottom w:val="0"/>
      <w:divBdr>
        <w:top w:val="none" w:sz="0" w:space="0" w:color="auto"/>
        <w:left w:val="none" w:sz="0" w:space="0" w:color="auto"/>
        <w:bottom w:val="none" w:sz="0" w:space="0" w:color="auto"/>
        <w:right w:val="none" w:sz="0" w:space="0" w:color="auto"/>
      </w:divBdr>
    </w:div>
    <w:div w:id="1681157098">
      <w:bodyDiv w:val="1"/>
      <w:marLeft w:val="0"/>
      <w:marRight w:val="0"/>
      <w:marTop w:val="0"/>
      <w:marBottom w:val="0"/>
      <w:divBdr>
        <w:top w:val="none" w:sz="0" w:space="0" w:color="auto"/>
        <w:left w:val="none" w:sz="0" w:space="0" w:color="auto"/>
        <w:bottom w:val="none" w:sz="0" w:space="0" w:color="auto"/>
        <w:right w:val="none" w:sz="0" w:space="0" w:color="auto"/>
      </w:divBdr>
    </w:div>
    <w:div w:id="1687630416">
      <w:bodyDiv w:val="1"/>
      <w:marLeft w:val="0"/>
      <w:marRight w:val="0"/>
      <w:marTop w:val="0"/>
      <w:marBottom w:val="0"/>
      <w:divBdr>
        <w:top w:val="none" w:sz="0" w:space="0" w:color="auto"/>
        <w:left w:val="none" w:sz="0" w:space="0" w:color="auto"/>
        <w:bottom w:val="none" w:sz="0" w:space="0" w:color="auto"/>
        <w:right w:val="none" w:sz="0" w:space="0" w:color="auto"/>
      </w:divBdr>
    </w:div>
    <w:div w:id="1701053489">
      <w:bodyDiv w:val="1"/>
      <w:marLeft w:val="0"/>
      <w:marRight w:val="0"/>
      <w:marTop w:val="0"/>
      <w:marBottom w:val="0"/>
      <w:divBdr>
        <w:top w:val="none" w:sz="0" w:space="0" w:color="auto"/>
        <w:left w:val="none" w:sz="0" w:space="0" w:color="auto"/>
        <w:bottom w:val="none" w:sz="0" w:space="0" w:color="auto"/>
        <w:right w:val="none" w:sz="0" w:space="0" w:color="auto"/>
      </w:divBdr>
    </w:div>
    <w:div w:id="1704595232">
      <w:bodyDiv w:val="1"/>
      <w:marLeft w:val="0"/>
      <w:marRight w:val="0"/>
      <w:marTop w:val="0"/>
      <w:marBottom w:val="0"/>
      <w:divBdr>
        <w:top w:val="none" w:sz="0" w:space="0" w:color="auto"/>
        <w:left w:val="none" w:sz="0" w:space="0" w:color="auto"/>
        <w:bottom w:val="none" w:sz="0" w:space="0" w:color="auto"/>
        <w:right w:val="none" w:sz="0" w:space="0" w:color="auto"/>
      </w:divBdr>
    </w:div>
    <w:div w:id="1714232760">
      <w:bodyDiv w:val="1"/>
      <w:marLeft w:val="0"/>
      <w:marRight w:val="0"/>
      <w:marTop w:val="0"/>
      <w:marBottom w:val="0"/>
      <w:divBdr>
        <w:top w:val="none" w:sz="0" w:space="0" w:color="auto"/>
        <w:left w:val="none" w:sz="0" w:space="0" w:color="auto"/>
        <w:bottom w:val="none" w:sz="0" w:space="0" w:color="auto"/>
        <w:right w:val="none" w:sz="0" w:space="0" w:color="auto"/>
      </w:divBdr>
    </w:div>
    <w:div w:id="1729570060">
      <w:bodyDiv w:val="1"/>
      <w:marLeft w:val="0"/>
      <w:marRight w:val="0"/>
      <w:marTop w:val="0"/>
      <w:marBottom w:val="0"/>
      <w:divBdr>
        <w:top w:val="none" w:sz="0" w:space="0" w:color="auto"/>
        <w:left w:val="none" w:sz="0" w:space="0" w:color="auto"/>
        <w:bottom w:val="none" w:sz="0" w:space="0" w:color="auto"/>
        <w:right w:val="none" w:sz="0" w:space="0" w:color="auto"/>
      </w:divBdr>
    </w:div>
    <w:div w:id="17329216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897109">
      <w:bodyDiv w:val="1"/>
      <w:marLeft w:val="0"/>
      <w:marRight w:val="0"/>
      <w:marTop w:val="0"/>
      <w:marBottom w:val="0"/>
      <w:divBdr>
        <w:top w:val="none" w:sz="0" w:space="0" w:color="auto"/>
        <w:left w:val="none" w:sz="0" w:space="0" w:color="auto"/>
        <w:bottom w:val="none" w:sz="0" w:space="0" w:color="auto"/>
        <w:right w:val="none" w:sz="0" w:space="0" w:color="auto"/>
      </w:divBdr>
    </w:div>
    <w:div w:id="1808427835">
      <w:bodyDiv w:val="1"/>
      <w:marLeft w:val="0"/>
      <w:marRight w:val="0"/>
      <w:marTop w:val="0"/>
      <w:marBottom w:val="0"/>
      <w:divBdr>
        <w:top w:val="none" w:sz="0" w:space="0" w:color="auto"/>
        <w:left w:val="none" w:sz="0" w:space="0" w:color="auto"/>
        <w:bottom w:val="none" w:sz="0" w:space="0" w:color="auto"/>
        <w:right w:val="none" w:sz="0" w:space="0" w:color="auto"/>
      </w:divBdr>
    </w:div>
    <w:div w:id="1836414389">
      <w:bodyDiv w:val="1"/>
      <w:marLeft w:val="0"/>
      <w:marRight w:val="0"/>
      <w:marTop w:val="0"/>
      <w:marBottom w:val="0"/>
      <w:divBdr>
        <w:top w:val="none" w:sz="0" w:space="0" w:color="auto"/>
        <w:left w:val="none" w:sz="0" w:space="0" w:color="auto"/>
        <w:bottom w:val="none" w:sz="0" w:space="0" w:color="auto"/>
        <w:right w:val="none" w:sz="0" w:space="0" w:color="auto"/>
      </w:divBdr>
    </w:div>
    <w:div w:id="1865553476">
      <w:bodyDiv w:val="1"/>
      <w:marLeft w:val="0"/>
      <w:marRight w:val="0"/>
      <w:marTop w:val="0"/>
      <w:marBottom w:val="0"/>
      <w:divBdr>
        <w:top w:val="none" w:sz="0" w:space="0" w:color="auto"/>
        <w:left w:val="none" w:sz="0" w:space="0" w:color="auto"/>
        <w:bottom w:val="none" w:sz="0" w:space="0" w:color="auto"/>
        <w:right w:val="none" w:sz="0" w:space="0" w:color="auto"/>
      </w:divBdr>
    </w:div>
    <w:div w:id="1869174567">
      <w:bodyDiv w:val="1"/>
      <w:marLeft w:val="0"/>
      <w:marRight w:val="0"/>
      <w:marTop w:val="0"/>
      <w:marBottom w:val="0"/>
      <w:divBdr>
        <w:top w:val="none" w:sz="0" w:space="0" w:color="auto"/>
        <w:left w:val="none" w:sz="0" w:space="0" w:color="auto"/>
        <w:bottom w:val="none" w:sz="0" w:space="0" w:color="auto"/>
        <w:right w:val="none" w:sz="0" w:space="0" w:color="auto"/>
      </w:divBdr>
    </w:div>
    <w:div w:id="1902137719">
      <w:bodyDiv w:val="1"/>
      <w:marLeft w:val="0"/>
      <w:marRight w:val="0"/>
      <w:marTop w:val="0"/>
      <w:marBottom w:val="0"/>
      <w:divBdr>
        <w:top w:val="none" w:sz="0" w:space="0" w:color="auto"/>
        <w:left w:val="none" w:sz="0" w:space="0" w:color="auto"/>
        <w:bottom w:val="none" w:sz="0" w:space="0" w:color="auto"/>
        <w:right w:val="none" w:sz="0" w:space="0" w:color="auto"/>
      </w:divBdr>
    </w:div>
    <w:div w:id="1904097568">
      <w:bodyDiv w:val="1"/>
      <w:marLeft w:val="0"/>
      <w:marRight w:val="0"/>
      <w:marTop w:val="0"/>
      <w:marBottom w:val="0"/>
      <w:divBdr>
        <w:top w:val="none" w:sz="0" w:space="0" w:color="auto"/>
        <w:left w:val="none" w:sz="0" w:space="0" w:color="auto"/>
        <w:bottom w:val="none" w:sz="0" w:space="0" w:color="auto"/>
        <w:right w:val="none" w:sz="0" w:space="0" w:color="auto"/>
      </w:divBdr>
    </w:div>
    <w:div w:id="1909458613">
      <w:bodyDiv w:val="1"/>
      <w:marLeft w:val="0"/>
      <w:marRight w:val="0"/>
      <w:marTop w:val="0"/>
      <w:marBottom w:val="0"/>
      <w:divBdr>
        <w:top w:val="none" w:sz="0" w:space="0" w:color="auto"/>
        <w:left w:val="none" w:sz="0" w:space="0" w:color="auto"/>
        <w:bottom w:val="none" w:sz="0" w:space="0" w:color="auto"/>
        <w:right w:val="none" w:sz="0" w:space="0" w:color="auto"/>
      </w:divBdr>
    </w:div>
    <w:div w:id="1918663557">
      <w:bodyDiv w:val="1"/>
      <w:marLeft w:val="0"/>
      <w:marRight w:val="0"/>
      <w:marTop w:val="0"/>
      <w:marBottom w:val="0"/>
      <w:divBdr>
        <w:top w:val="none" w:sz="0" w:space="0" w:color="auto"/>
        <w:left w:val="none" w:sz="0" w:space="0" w:color="auto"/>
        <w:bottom w:val="none" w:sz="0" w:space="0" w:color="auto"/>
        <w:right w:val="none" w:sz="0" w:space="0" w:color="auto"/>
      </w:divBdr>
    </w:div>
    <w:div w:id="1958565950">
      <w:bodyDiv w:val="1"/>
      <w:marLeft w:val="0"/>
      <w:marRight w:val="0"/>
      <w:marTop w:val="0"/>
      <w:marBottom w:val="0"/>
      <w:divBdr>
        <w:top w:val="none" w:sz="0" w:space="0" w:color="auto"/>
        <w:left w:val="none" w:sz="0" w:space="0" w:color="auto"/>
        <w:bottom w:val="none" w:sz="0" w:space="0" w:color="auto"/>
        <w:right w:val="none" w:sz="0" w:space="0" w:color="auto"/>
      </w:divBdr>
    </w:div>
    <w:div w:id="1961063515">
      <w:bodyDiv w:val="1"/>
      <w:marLeft w:val="0"/>
      <w:marRight w:val="0"/>
      <w:marTop w:val="0"/>
      <w:marBottom w:val="0"/>
      <w:divBdr>
        <w:top w:val="none" w:sz="0" w:space="0" w:color="auto"/>
        <w:left w:val="none" w:sz="0" w:space="0" w:color="auto"/>
        <w:bottom w:val="none" w:sz="0" w:space="0" w:color="auto"/>
        <w:right w:val="none" w:sz="0" w:space="0" w:color="auto"/>
      </w:divBdr>
    </w:div>
    <w:div w:id="1966039887">
      <w:bodyDiv w:val="1"/>
      <w:marLeft w:val="0"/>
      <w:marRight w:val="0"/>
      <w:marTop w:val="0"/>
      <w:marBottom w:val="0"/>
      <w:divBdr>
        <w:top w:val="none" w:sz="0" w:space="0" w:color="auto"/>
        <w:left w:val="none" w:sz="0" w:space="0" w:color="auto"/>
        <w:bottom w:val="none" w:sz="0" w:space="0" w:color="auto"/>
        <w:right w:val="none" w:sz="0" w:space="0" w:color="auto"/>
      </w:divBdr>
    </w:div>
    <w:div w:id="197094113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6320916">
      <w:bodyDiv w:val="1"/>
      <w:marLeft w:val="0"/>
      <w:marRight w:val="0"/>
      <w:marTop w:val="0"/>
      <w:marBottom w:val="0"/>
      <w:divBdr>
        <w:top w:val="none" w:sz="0" w:space="0" w:color="auto"/>
        <w:left w:val="none" w:sz="0" w:space="0" w:color="auto"/>
        <w:bottom w:val="none" w:sz="0" w:space="0" w:color="auto"/>
        <w:right w:val="none" w:sz="0" w:space="0" w:color="auto"/>
      </w:divBdr>
    </w:div>
    <w:div w:id="2017271831">
      <w:bodyDiv w:val="1"/>
      <w:marLeft w:val="0"/>
      <w:marRight w:val="0"/>
      <w:marTop w:val="0"/>
      <w:marBottom w:val="0"/>
      <w:divBdr>
        <w:top w:val="none" w:sz="0" w:space="0" w:color="auto"/>
        <w:left w:val="none" w:sz="0" w:space="0" w:color="auto"/>
        <w:bottom w:val="none" w:sz="0" w:space="0" w:color="auto"/>
        <w:right w:val="none" w:sz="0" w:space="0" w:color="auto"/>
      </w:divBdr>
    </w:div>
    <w:div w:id="2017414425">
      <w:bodyDiv w:val="1"/>
      <w:marLeft w:val="0"/>
      <w:marRight w:val="0"/>
      <w:marTop w:val="0"/>
      <w:marBottom w:val="0"/>
      <w:divBdr>
        <w:top w:val="none" w:sz="0" w:space="0" w:color="auto"/>
        <w:left w:val="none" w:sz="0" w:space="0" w:color="auto"/>
        <w:bottom w:val="none" w:sz="0" w:space="0" w:color="auto"/>
        <w:right w:val="none" w:sz="0" w:space="0" w:color="auto"/>
      </w:divBdr>
    </w:div>
    <w:div w:id="2024937044">
      <w:bodyDiv w:val="1"/>
      <w:marLeft w:val="0"/>
      <w:marRight w:val="0"/>
      <w:marTop w:val="0"/>
      <w:marBottom w:val="0"/>
      <w:divBdr>
        <w:top w:val="none" w:sz="0" w:space="0" w:color="auto"/>
        <w:left w:val="none" w:sz="0" w:space="0" w:color="auto"/>
        <w:bottom w:val="none" w:sz="0" w:space="0" w:color="auto"/>
        <w:right w:val="none" w:sz="0" w:space="0" w:color="auto"/>
      </w:divBdr>
    </w:div>
    <w:div w:id="2036147904">
      <w:bodyDiv w:val="1"/>
      <w:marLeft w:val="0"/>
      <w:marRight w:val="0"/>
      <w:marTop w:val="0"/>
      <w:marBottom w:val="0"/>
      <w:divBdr>
        <w:top w:val="none" w:sz="0" w:space="0" w:color="auto"/>
        <w:left w:val="none" w:sz="0" w:space="0" w:color="auto"/>
        <w:bottom w:val="none" w:sz="0" w:space="0" w:color="auto"/>
        <w:right w:val="none" w:sz="0" w:space="0" w:color="auto"/>
      </w:divBdr>
    </w:div>
    <w:div w:id="2082949771">
      <w:bodyDiv w:val="1"/>
      <w:marLeft w:val="0"/>
      <w:marRight w:val="0"/>
      <w:marTop w:val="0"/>
      <w:marBottom w:val="0"/>
      <w:divBdr>
        <w:top w:val="none" w:sz="0" w:space="0" w:color="auto"/>
        <w:left w:val="none" w:sz="0" w:space="0" w:color="auto"/>
        <w:bottom w:val="none" w:sz="0" w:space="0" w:color="auto"/>
        <w:right w:val="none" w:sz="0" w:space="0" w:color="auto"/>
      </w:divBdr>
    </w:div>
    <w:div w:id="2087916903">
      <w:bodyDiv w:val="1"/>
      <w:marLeft w:val="0"/>
      <w:marRight w:val="0"/>
      <w:marTop w:val="0"/>
      <w:marBottom w:val="0"/>
      <w:divBdr>
        <w:top w:val="none" w:sz="0" w:space="0" w:color="auto"/>
        <w:left w:val="none" w:sz="0" w:space="0" w:color="auto"/>
        <w:bottom w:val="none" w:sz="0" w:space="0" w:color="auto"/>
        <w:right w:val="none" w:sz="0" w:space="0" w:color="auto"/>
      </w:divBdr>
    </w:div>
    <w:div w:id="2089232348">
      <w:bodyDiv w:val="1"/>
      <w:marLeft w:val="0"/>
      <w:marRight w:val="0"/>
      <w:marTop w:val="0"/>
      <w:marBottom w:val="0"/>
      <w:divBdr>
        <w:top w:val="none" w:sz="0" w:space="0" w:color="auto"/>
        <w:left w:val="none" w:sz="0" w:space="0" w:color="auto"/>
        <w:bottom w:val="none" w:sz="0" w:space="0" w:color="auto"/>
        <w:right w:val="none" w:sz="0" w:space="0" w:color="auto"/>
      </w:divBdr>
    </w:div>
    <w:div w:id="209586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doi.org/10.1007/s10311-021-01384-8" TargetMode="External"/><Relationship Id="rId39" Type="http://schemas.openxmlformats.org/officeDocument/2006/relationships/hyperlink" Target="https://doi.org/10.1021/envhealth.3c00052" TargetMode="External"/><Relationship Id="rId21" Type="http://schemas.openxmlformats.org/officeDocument/2006/relationships/hyperlink" Target="https://doi.org/10.3390/ijerph17041212" TargetMode="External"/><Relationship Id="rId34" Type="http://schemas.openxmlformats.org/officeDocument/2006/relationships/hyperlink" Target="https://doi.org/10.9734/jammr/2022/v34i234859" TargetMode="External"/><Relationship Id="rId42" Type="http://schemas.openxmlformats.org/officeDocument/2006/relationships/hyperlink" Target="https://doi.org/10.1038/s41598-023-33393-8" TargetMode="External"/><Relationship Id="rId47" Type="http://schemas.openxmlformats.org/officeDocument/2006/relationships/hyperlink" Target="https://doi.org/10.1016/j.scitotenv.2020.143872" TargetMode="External"/><Relationship Id="rId50" Type="http://schemas.openxmlformats.org/officeDocument/2006/relationships/hyperlink" Target="https://doi.org/10.7326/M19-%090618" TargetMode="External"/><Relationship Id="rId55" Type="http://schemas.openxmlformats.org/officeDocument/2006/relationships/hyperlink" Target="https://www2.mst.dk/Udgiv/publications/2013/06/978-87-93026-22-3.pdf"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doi.org/10.1371/journal.pone.03166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hemosphere.2020.129221" TargetMode="External"/><Relationship Id="rId32" Type="http://schemas.openxmlformats.org/officeDocument/2006/relationships/hyperlink" Target="https://doi.org/10.3389/fendo.2021.724989" TargetMode="External"/><Relationship Id="rId37" Type="http://schemas.openxmlformats.org/officeDocument/2006/relationships/hyperlink" Target="https://doi.org/10.3390/toxics12110779" TargetMode="External"/><Relationship Id="rId40" Type="http://schemas.openxmlformats.org/officeDocument/2006/relationships/hyperlink" Target="https://doi.org/10.3390/ijms22158102" TargetMode="External"/><Relationship Id="rId45" Type="http://schemas.openxmlformats.org/officeDocument/2006/relationships/hyperlink" Target="https://doi.org/10.1016/j.chemosphere.2022.134161" TargetMode="External"/><Relationship Id="rId53" Type="http://schemas.openxmlformats.org/officeDocument/2006/relationships/hyperlink" Target="https://doi.org/10.3389/fonc.2022.857714" TargetMode="External"/><Relationship Id="rId58" Type="http://schemas.openxmlformats.org/officeDocument/2006/relationships/hyperlink" Target="https://doi.org/10.3390/nano11020496"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9734/jpri/2021/v33i22B31399" TargetMode="External"/><Relationship Id="rId28" Type="http://schemas.openxmlformats.org/officeDocument/2006/relationships/hyperlink" Target="https://www.elabscience.com/p/rat-tnf-tumor-necrosis-%09factor-alpha-elisa-kit--e-el-r2856" TargetMode="External"/><Relationship Id="rId36" Type="http://schemas.openxmlformats.org/officeDocument/2006/relationships/hyperlink" Target="https://doi.org/10.3389/fimmu.2021.681710" TargetMode="External"/><Relationship Id="rId49" Type="http://schemas.openxmlformats.org/officeDocument/2006/relationships/hyperlink" Target="https://doi.org/10.1016/j.heliyon.2024.e38686" TargetMode="External"/><Relationship Id="rId57" Type="http://schemas.openxmlformats.org/officeDocument/2006/relationships/hyperlink" Target="https://www.who.int/news-%09room/fact-sheets/detail/breast-cancer" TargetMode="External"/><Relationship Id="rId61" Type="http://schemas.openxmlformats.org/officeDocument/2006/relationships/hyperlink" Target="https://doi.org/10.1186/s13578-022-00856-w"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doi.org/10.1016/j.redox.2020.101620" TargetMode="External"/><Relationship Id="rId44" Type="http://schemas.openxmlformats.org/officeDocument/2006/relationships/hyperlink" Target="https://doi.org/10.1016/j.envpol.2017.11.043" TargetMode="External"/><Relationship Id="rId52" Type="http://schemas.openxmlformats.org/officeDocument/2006/relationships/hyperlink" Target="https://doi.org/10.1016/j.scitotenv.2023.162627" TargetMode="External"/><Relationship Id="rId60" Type="http://schemas.openxmlformats.org/officeDocument/2006/relationships/hyperlink" Target="https://doi.org/10.1038/s41392-021-00658-5"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016/j.eurpolymj.2021.110840" TargetMode="External"/><Relationship Id="rId27" Type="http://schemas.openxmlformats.org/officeDocument/2006/relationships/hyperlink" Target="https://doi.org/10.1016/j.cca.2010.08.039" TargetMode="External"/><Relationship Id="rId30" Type="http://schemas.openxmlformats.org/officeDocument/2006/relationships/hyperlink" Target="https://doi.org/10.1016/j.cell.2011.02.013" TargetMode="External"/><Relationship Id="rId35" Type="http://schemas.openxmlformats.org/officeDocument/2006/relationships/hyperlink" Target="https://doi.org/10.3389/fcell.2024.1335636" TargetMode="External"/><Relationship Id="rId43" Type="http://schemas.openxmlformats.org/officeDocument/2006/relationships/hyperlink" Target="https://doi.org/10.1111/bph.15193" TargetMode="External"/><Relationship Id="rId48" Type="http://schemas.openxmlformats.org/officeDocument/2006/relationships/hyperlink" Target="https://doi.org/10.1016/j.envres.2017.08.045" TargetMode="External"/><Relationship Id="rId56" Type="http://schemas.openxmlformats.org/officeDocument/2006/relationships/hyperlink" Target="https://osha.europa.eu/it/legislation/directives/regulation-ec-no-1907-2006-of-the-"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16/j.watres.2017.11.01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doi.org/10.1038/srep46687" TargetMode="External"/><Relationship Id="rId33" Type="http://schemas.openxmlformats.org/officeDocument/2006/relationships/hyperlink" Target="https://doi.org/10.1007/s12013-024-01436-0" TargetMode="External"/><Relationship Id="rId38" Type="http://schemas.openxmlformats.org/officeDocument/2006/relationships/hyperlink" Target="https://doi.org/10.1016/j.scitotenv.2024.174215" TargetMode="External"/><Relationship Id="rId46" Type="http://schemas.openxmlformats.org/officeDocument/2006/relationships/hyperlink" Target="https://doi.org/10.1186/s12989-020-00358-y" TargetMode="External"/><Relationship Id="rId59" Type="http://schemas.openxmlformats.org/officeDocument/2006/relationships/hyperlink" Target="https://doi.org/10.3390/nu15030617" TargetMode="External"/><Relationship Id="rId67" Type="http://schemas.openxmlformats.org/officeDocument/2006/relationships/theme" Target="theme/theme1.xml"/><Relationship Id="rId20" Type="http://schemas.openxmlformats.org/officeDocument/2006/relationships/hyperlink" Target="https://www.bt-laboratory.com/" TargetMode="External"/><Relationship Id="rId41" Type="http://schemas.openxmlformats.org/officeDocument/2006/relationships/hyperlink" Target="https://doi.org/10.17226/12910" TargetMode="External"/><Relationship Id="rId54" Type="http://schemas.openxmlformats.org/officeDocument/2006/relationships/hyperlink" Target="https://doi.org/10.3322/caac.21660" TargetMode="External"/><Relationship Id="rId62" Type="http://schemas.openxmlformats.org/officeDocument/2006/relationships/header" Target="header4.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855</TotalTime>
  <Pages>19</Pages>
  <Words>6357</Words>
  <Characters>36239</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Beega Godae</cp:lastModifiedBy>
  <cp:revision>46</cp:revision>
  <cp:lastPrinted>1999-07-06T11:00:00Z</cp:lastPrinted>
  <dcterms:created xsi:type="dcterms:W3CDTF">2025-05-28T19:45:00Z</dcterms:created>
  <dcterms:modified xsi:type="dcterms:W3CDTF">2025-06-02T11:51:00Z</dcterms:modified>
</cp:coreProperties>
</file>