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6CC1" w14:textId="77777777" w:rsidR="00A875AE" w:rsidRPr="00894E43" w:rsidRDefault="00894E43">
      <w:pPr>
        <w:spacing w:after="21" w:line="267" w:lineRule="auto"/>
        <w:ind w:left="-5"/>
        <w:rPr>
          <w:rFonts w:ascii="Arial" w:eastAsia="Arial" w:hAnsi="Arial" w:cs="Arial"/>
          <w:b/>
          <w:sz w:val="28"/>
          <w:szCs w:val="28"/>
        </w:rPr>
      </w:pPr>
      <w:r w:rsidRPr="00894E43">
        <w:rPr>
          <w:rFonts w:ascii="Arial" w:eastAsia="Arial" w:hAnsi="Arial" w:cs="Arial"/>
          <w:b/>
          <w:sz w:val="28"/>
          <w:szCs w:val="28"/>
        </w:rPr>
        <w:t xml:space="preserve">Review Article </w:t>
      </w:r>
    </w:p>
    <w:p w14:paraId="7FFCDCA2" w14:textId="77777777" w:rsidR="00A875AE" w:rsidRDefault="00A875AE">
      <w:pPr>
        <w:spacing w:after="21" w:line="267" w:lineRule="auto"/>
        <w:ind w:left="-5"/>
        <w:rPr>
          <w:rFonts w:ascii="Arial" w:eastAsia="Arial" w:hAnsi="Arial" w:cs="Arial"/>
          <w:sz w:val="52"/>
        </w:rPr>
      </w:pPr>
    </w:p>
    <w:p w14:paraId="22A93FB8" w14:textId="77777777" w:rsidR="00A875AE" w:rsidRDefault="00A875AE">
      <w:pPr>
        <w:spacing w:after="21" w:line="267" w:lineRule="auto"/>
        <w:ind w:left="-5"/>
        <w:rPr>
          <w:rFonts w:ascii="Arial" w:eastAsia="Arial" w:hAnsi="Arial" w:cs="Arial"/>
          <w:sz w:val="52"/>
        </w:rPr>
      </w:pPr>
    </w:p>
    <w:p w14:paraId="214CE064" w14:textId="77777777" w:rsidR="00A875AE" w:rsidRDefault="00A875AE" w:rsidP="00ED4AC8">
      <w:pPr>
        <w:spacing w:after="21" w:line="267" w:lineRule="auto"/>
        <w:ind w:left="0" w:firstLine="0"/>
        <w:rPr>
          <w:rFonts w:ascii="Arial" w:eastAsia="Arial" w:hAnsi="Arial" w:cs="Arial"/>
          <w:sz w:val="52"/>
        </w:rPr>
      </w:pPr>
    </w:p>
    <w:p w14:paraId="1D491D25" w14:textId="77777777" w:rsidR="008E405F" w:rsidRDefault="00123CFD">
      <w:pPr>
        <w:spacing w:after="21" w:line="267" w:lineRule="auto"/>
        <w:ind w:left="-5"/>
      </w:pPr>
      <w:r>
        <w:rPr>
          <w:rFonts w:ascii="Arial" w:eastAsia="Arial" w:hAnsi="Arial" w:cs="Arial"/>
          <w:sz w:val="52"/>
        </w:rPr>
        <w:t xml:space="preserve">Communication Technologies: Bridging </w:t>
      </w:r>
    </w:p>
    <w:p w14:paraId="18EFCC7E" w14:textId="77777777" w:rsidR="008E405F" w:rsidRDefault="00123CFD">
      <w:pPr>
        <w:spacing w:after="21" w:line="267" w:lineRule="auto"/>
        <w:ind w:left="-5"/>
      </w:pPr>
      <w:r>
        <w:rPr>
          <w:rFonts w:ascii="Arial" w:eastAsia="Arial" w:hAnsi="Arial" w:cs="Arial"/>
          <w:sz w:val="52"/>
        </w:rPr>
        <w:t xml:space="preserve">Gaps in Pharmaceutical Industry Connectivity </w:t>
      </w:r>
    </w:p>
    <w:p w14:paraId="4284AC27" w14:textId="77777777" w:rsidR="008E405F" w:rsidRDefault="00123CFD">
      <w:pPr>
        <w:spacing w:after="21" w:line="259" w:lineRule="auto"/>
        <w:ind w:left="0" w:firstLine="0"/>
      </w:pPr>
      <w:r>
        <w:t xml:space="preserve"> </w:t>
      </w:r>
    </w:p>
    <w:p w14:paraId="76CD3EB7" w14:textId="77777777" w:rsidR="008E405F" w:rsidRDefault="00123CFD">
      <w:pPr>
        <w:spacing w:after="8" w:line="266" w:lineRule="auto"/>
        <w:ind w:left="-5"/>
      </w:pPr>
      <w:r>
        <w:rPr>
          <w:b/>
        </w:rPr>
        <w:t>Abstract:</w:t>
      </w:r>
      <w:r>
        <w:t xml:space="preserve">  </w:t>
      </w:r>
    </w:p>
    <w:p w14:paraId="3AEBD78F" w14:textId="77777777" w:rsidR="00A875AE" w:rsidRPr="00A875AE" w:rsidRDefault="00A875AE" w:rsidP="00A875AE">
      <w:r w:rsidRPr="00A875AE">
        <w:t>In the highly regulated, intricate, and internationally integrated pharmaceutical sector, ensuring continuous connection across research, production, and distribution networks is a major difficulty. This article examines the ways in which communication technologies, such as telemedicine, medical information systems (MIS), artificial intelligence (AI), electronic health records (ERHs), and big data analytics, are transforming pharmaceutical operations. We look at the main issues with the pharmaceutical industry's connection, such as interoperability, regulatory barriers, and data security.</w:t>
      </w:r>
      <w:r>
        <w:t xml:space="preserve"> </w:t>
      </w:r>
      <w:r w:rsidRPr="00A875AE">
        <w:t>We also highlight new developments that improve patient involvement, supply chain transparency, and real-time partnerships. In order to increase productivity, compliance, and creativity in the pharmaceutical industry, this study suggests using integrated communication frameworks and thoroughly examines recent developments, regional adoption patterns, and implementation challenges. This study indicates that while FHIR + AI has the potential to enhance efficiency and decrease data silos, scaling requires mandates and hybrid architectures.</w:t>
      </w:r>
    </w:p>
    <w:p w14:paraId="04B96424" w14:textId="77777777" w:rsidR="008E405F" w:rsidRDefault="00123CFD">
      <w:pPr>
        <w:spacing w:after="16" w:line="259" w:lineRule="auto"/>
        <w:ind w:left="0" w:firstLine="0"/>
      </w:pPr>
      <w:r>
        <w:t xml:space="preserve"> </w:t>
      </w:r>
    </w:p>
    <w:p w14:paraId="57436EBA" w14:textId="77777777" w:rsidR="008E405F" w:rsidRDefault="00123CFD">
      <w:r>
        <w:rPr>
          <w:b/>
        </w:rPr>
        <w:t xml:space="preserve">Keywords: </w:t>
      </w:r>
      <w:r>
        <w:t xml:space="preserve">Pharmaceutical technologies, Electronic Health Records (EHRs), Medical Information Systems (MIS), Artificial Intelligence (AI), Telemedicine, Big Data, FHIR, Interoperability. </w:t>
      </w:r>
      <w:r>
        <w:rPr>
          <w:b/>
        </w:rPr>
        <w:t xml:space="preserve"> </w:t>
      </w:r>
      <w:r>
        <w:t xml:space="preserve"> </w:t>
      </w:r>
    </w:p>
    <w:p w14:paraId="50FBB182" w14:textId="77777777" w:rsidR="008E405F" w:rsidRDefault="00123CFD">
      <w:pPr>
        <w:spacing w:after="21" w:line="259" w:lineRule="auto"/>
        <w:ind w:left="0" w:firstLine="0"/>
      </w:pPr>
      <w:r>
        <w:t xml:space="preserve"> </w:t>
      </w:r>
    </w:p>
    <w:p w14:paraId="62D59D32" w14:textId="77777777" w:rsidR="008E405F" w:rsidRDefault="00123CFD">
      <w:pPr>
        <w:spacing w:after="8" w:line="266" w:lineRule="auto"/>
        <w:ind w:left="-5"/>
      </w:pPr>
      <w:r>
        <w:rPr>
          <w:b/>
        </w:rPr>
        <w:t xml:space="preserve">Introduction </w:t>
      </w:r>
    </w:p>
    <w:p w14:paraId="37FC6041" w14:textId="77777777" w:rsidR="008E405F" w:rsidRDefault="00123CFD" w:rsidP="00043F62">
      <w:r>
        <w:t>Despite all the technological advancements in the pharma sector, persistent gaps in the connectivity hinder efficiency, regulatory complia</w:t>
      </w:r>
      <w:r w:rsidR="00A875AE">
        <w:t>nce [1</w:t>
      </w:r>
      <w:r>
        <w:t xml:space="preserve">], and real-time decision-making. Fragmented data systems, regulatory hurdles, and technological disparities are hindering realtime collaboration, supply chain transparency, and patient engagement. This research article explores how communication technologies including electronic health records (EHRs), artificial intelligence (AI), telemedicine, and big data analytics are emerging as transformative solutions </w:t>
      </w:r>
      <w:r>
        <w:lastRenderedPageBreak/>
        <w:t>to bridge these gaps in the commu</w:t>
      </w:r>
      <w:r w:rsidR="00043F62">
        <w:t xml:space="preserve">nication of the pharma sector. </w:t>
      </w:r>
      <w:r>
        <w:t>We systematically review the current advancements, regional adoption trends in the pharma sector, and implementation barriers along with proposing an integrated interoperability framew</w:t>
      </w:r>
      <w:r w:rsidR="00A875AE">
        <w:t>ork to enhance the efficiency [2</w:t>
      </w:r>
      <w:r>
        <w:t>], compliance and innovation in the pharmaceutical industry. By addressing data silos, security risks, and regulatory fragmentations, this research study aims to provide actionable insights for stakeholders to optimize drug development, clinical trials, and patien</w:t>
      </w:r>
      <w:r w:rsidR="00043F62">
        <w:t>t care in the digital era</w:t>
      </w:r>
      <w:r w:rsidR="00A875AE">
        <w:t xml:space="preserve"> [3]</w:t>
      </w:r>
      <w:r w:rsidR="00043F62">
        <w:t xml:space="preserve">. </w:t>
      </w:r>
      <w:r>
        <w:t>The intersection of pharmaceutical operations and digital communication technologies shows a compelling area of research, especially in an era where eHealth and Industry 4.0 are currently reshaping healthcare delivery [</w:t>
      </w:r>
      <w:r w:rsidR="00A875AE">
        <w:t>4-</w:t>
      </w:r>
      <w:r>
        <w:t xml:space="preserve">5]. The pharma sector faces unique challenges, including:  </w:t>
      </w:r>
    </w:p>
    <w:p w14:paraId="68057654" w14:textId="77777777" w:rsidR="008E405F" w:rsidRDefault="00123CFD">
      <w:pPr>
        <w:numPr>
          <w:ilvl w:val="0"/>
          <w:numId w:val="1"/>
        </w:numPr>
        <w:ind w:hanging="360"/>
      </w:pPr>
      <w:r>
        <w:t xml:space="preserve">Regulatory and interoperability barriers slowing down information exchange in the system.  </w:t>
      </w:r>
    </w:p>
    <w:p w14:paraId="349950C1" w14:textId="77777777" w:rsidR="008E405F" w:rsidRDefault="00123CFD">
      <w:pPr>
        <w:numPr>
          <w:ilvl w:val="0"/>
          <w:numId w:val="1"/>
        </w:numPr>
        <w:ind w:hanging="360"/>
      </w:pPr>
      <w:r>
        <w:t xml:space="preserve">Fragmented data systems that are leading to inefficiencies in drug development. </w:t>
      </w:r>
    </w:p>
    <w:p w14:paraId="78BBC697" w14:textId="77777777" w:rsidR="008E405F" w:rsidRDefault="00123CFD">
      <w:pPr>
        <w:numPr>
          <w:ilvl w:val="0"/>
          <w:numId w:val="1"/>
        </w:numPr>
        <w:ind w:hanging="360"/>
      </w:pPr>
      <w:r>
        <w:t xml:space="preserve">Supply chain disruptions due to poor real-time monitoring.  </w:t>
      </w:r>
    </w:p>
    <w:p w14:paraId="56BE7DD3" w14:textId="77777777" w:rsidR="008E405F" w:rsidRDefault="00123CFD">
      <w:pPr>
        <w:numPr>
          <w:ilvl w:val="0"/>
          <w:numId w:val="1"/>
        </w:numPr>
        <w:ind w:hanging="360"/>
      </w:pPr>
      <w:r>
        <w:t xml:space="preserve">Patient engagement limitations in pharmacovigilance and telemedicine.  </w:t>
      </w:r>
    </w:p>
    <w:p w14:paraId="64EDE1F0" w14:textId="77777777" w:rsidR="008E405F" w:rsidRDefault="00123CFD">
      <w:pPr>
        <w:spacing w:after="25" w:line="259" w:lineRule="auto"/>
        <w:ind w:left="0" w:firstLine="0"/>
      </w:pPr>
      <w:r>
        <w:t xml:space="preserve"> </w:t>
      </w:r>
    </w:p>
    <w:p w14:paraId="1501AFAC" w14:textId="77777777" w:rsidR="008E405F" w:rsidRDefault="00123CFD" w:rsidP="00043F62">
      <w:pPr>
        <w:spacing w:after="8" w:line="266" w:lineRule="auto"/>
      </w:pPr>
      <w:r>
        <w:rPr>
          <w:b/>
        </w:rPr>
        <w:t xml:space="preserve">Electronic Health Records in the Pharmaceutical Industry:  </w:t>
      </w:r>
    </w:p>
    <w:p w14:paraId="7CBD1A25" w14:textId="77777777" w:rsidR="008E405F" w:rsidRDefault="00123CFD" w:rsidP="00043F62">
      <w:r>
        <w:t xml:space="preserve">Electronic health records (EHRs) are the digital repositories of patient health information that have become indispensable tools in the pharmaceutical sector [6]. Pharma companies can enhance research efficiency, improve patient outcomes, and ensure regulatory compliance by integrating EHRs into drug development, clinical trials, and post-market surveillance. The key application of ERHs in the pharma sector include: clinical research &amp; trial optimization, pharmacovigilance &amp; drug safety, personalized medicine, and regulatory compliance &amp; market access.  </w:t>
      </w:r>
    </w:p>
    <w:p w14:paraId="7DA0F446" w14:textId="77777777" w:rsidR="008E405F" w:rsidRDefault="00123CFD">
      <w:r>
        <w:t xml:space="preserve">EHRs are revolutionizing static patient databases into dynamic, AI-powered ecosystems that will transform drug development, patient care, and regulatory compliance. As digital health is currently accelerating, the pharmaceutical sector is now poised to strengthen next-generation EHRs for precision medicine, decentralized trials, and real-world evidence (RWE) innovation [7]. The key future trends in EHRs for pharma include: AI &amp; predictive analytics integrations, interoperability &amp; global data sharing, decentralization clinical trials (DCTs), genomics-enabled EHRs, and patient-centric EHRs. By 2030, EHR will also enable pre-approval drug monitoring, dynamic labeling, and pharma-metaverse collaboration.    </w:t>
      </w:r>
    </w:p>
    <w:p w14:paraId="22C824EE" w14:textId="77777777" w:rsidR="00043F62" w:rsidRDefault="00123CFD" w:rsidP="00043F62">
      <w:pPr>
        <w:spacing w:after="21" w:line="259" w:lineRule="auto"/>
        <w:ind w:left="0" w:firstLine="0"/>
      </w:pPr>
      <w:r>
        <w:t>Electronic health records are increasingly integral to the pharmaceutical industry as they are enabling data-driven drug development, real-world evidence (RWE), and patient-centric care. The key trends or current state of the EHR include the interoperability advances, AI integrations, and decentralized trials. However, the challenges in the EHRs in the pharma sector include the data silos, privacy regulations, and emerging mar</w:t>
      </w:r>
      <w:r w:rsidR="00043F62">
        <w:t xml:space="preserve">kets lag.  </w:t>
      </w:r>
    </w:p>
    <w:p w14:paraId="733D8FE8" w14:textId="77777777" w:rsidR="008E405F" w:rsidRDefault="00123CFD" w:rsidP="00043F62">
      <w:pPr>
        <w:spacing w:after="21" w:line="259" w:lineRule="auto"/>
        <w:ind w:left="0" w:firstLine="0"/>
      </w:pPr>
      <w:r>
        <w:t xml:space="preserve">The adoption and impact of EHRs in the pharma sector vary significantly across different regions. It is due to the regulatory framework, healthcare infrastructure, and digital maturity [8].  </w:t>
      </w:r>
    </w:p>
    <w:p w14:paraId="1BC6A222" w14:textId="77777777" w:rsidR="008E405F" w:rsidRDefault="00123CFD">
      <w:pPr>
        <w:spacing w:after="21" w:line="259" w:lineRule="auto"/>
        <w:ind w:left="0" w:firstLine="0"/>
      </w:pPr>
      <w:r>
        <w:t xml:space="preserve"> </w:t>
      </w:r>
    </w:p>
    <w:p w14:paraId="2E46A6BA" w14:textId="77777777" w:rsidR="00043F62" w:rsidRDefault="00123CFD">
      <w:pPr>
        <w:pStyle w:val="Heading1"/>
        <w:ind w:left="14" w:right="5"/>
      </w:pPr>
      <w:r>
        <w:lastRenderedPageBreak/>
        <w:t xml:space="preserve">                    </w:t>
      </w:r>
    </w:p>
    <w:p w14:paraId="67770622" w14:textId="77777777" w:rsidR="00043F62" w:rsidRDefault="00043F62">
      <w:pPr>
        <w:pStyle w:val="Heading1"/>
        <w:ind w:left="14" w:right="5"/>
      </w:pPr>
    </w:p>
    <w:p w14:paraId="5C333B03" w14:textId="77777777" w:rsidR="00043F62" w:rsidRDefault="00043F62">
      <w:pPr>
        <w:pStyle w:val="Heading1"/>
        <w:ind w:left="14" w:right="5"/>
      </w:pPr>
    </w:p>
    <w:p w14:paraId="346BDB2D" w14:textId="77777777" w:rsidR="00043F62" w:rsidRDefault="00043F62">
      <w:pPr>
        <w:pStyle w:val="Heading1"/>
        <w:ind w:left="14" w:right="5"/>
      </w:pPr>
    </w:p>
    <w:p w14:paraId="28C41535" w14:textId="77777777" w:rsidR="00043F62" w:rsidRDefault="00043F62">
      <w:pPr>
        <w:pStyle w:val="Heading1"/>
        <w:ind w:left="14" w:right="5"/>
      </w:pPr>
    </w:p>
    <w:p w14:paraId="056E4D27" w14:textId="77777777" w:rsidR="00043F62" w:rsidRDefault="00043F62">
      <w:pPr>
        <w:pStyle w:val="Heading1"/>
        <w:ind w:left="14" w:right="5"/>
      </w:pPr>
    </w:p>
    <w:p w14:paraId="73927BCD" w14:textId="77777777" w:rsidR="00043F62" w:rsidRDefault="00043F62">
      <w:pPr>
        <w:pStyle w:val="Heading1"/>
        <w:ind w:left="14" w:right="5"/>
      </w:pPr>
    </w:p>
    <w:p w14:paraId="55A44EDF" w14:textId="77777777" w:rsidR="00043F62" w:rsidRDefault="00043F62">
      <w:pPr>
        <w:pStyle w:val="Heading1"/>
        <w:ind w:left="14" w:right="5"/>
      </w:pPr>
    </w:p>
    <w:p w14:paraId="1B72B454" w14:textId="77777777" w:rsidR="008E405F" w:rsidRDefault="00123CFD">
      <w:pPr>
        <w:pStyle w:val="Heading1"/>
        <w:ind w:left="14" w:right="5"/>
      </w:pPr>
      <w:r>
        <w:t xml:space="preserve"> Table 1: Comparative analysis of EHRs in the key regions   </w:t>
      </w:r>
    </w:p>
    <w:p w14:paraId="1A7CC2E6"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61" w:type="dxa"/>
        </w:tblCellMar>
        <w:tblLook w:val="04A0" w:firstRow="1" w:lastRow="0" w:firstColumn="1" w:lastColumn="0" w:noHBand="0" w:noVBand="1"/>
      </w:tblPr>
      <w:tblGrid>
        <w:gridCol w:w="2338"/>
        <w:gridCol w:w="2340"/>
        <w:gridCol w:w="2344"/>
        <w:gridCol w:w="2340"/>
      </w:tblGrid>
      <w:tr w:rsidR="008E405F" w14:paraId="1AA67C0D" w14:textId="77777777" w:rsidTr="00043F62">
        <w:trPr>
          <w:trHeight w:val="497"/>
        </w:trPr>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F4DB6DD" w14:textId="77777777" w:rsidR="008E405F" w:rsidRDefault="00123CFD">
            <w:pPr>
              <w:spacing w:after="0" w:line="259" w:lineRule="auto"/>
              <w:ind w:left="0" w:firstLine="0"/>
            </w:pPr>
            <w:r>
              <w:t xml:space="preserve">Region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236D16CD" w14:textId="77777777" w:rsidR="008E405F" w:rsidRDefault="00123CFD">
            <w:pPr>
              <w:spacing w:after="0" w:line="259" w:lineRule="auto"/>
              <w:ind w:left="1" w:firstLine="0"/>
            </w:pPr>
            <w:r>
              <w:t xml:space="preserve">Adoption Status </w:t>
            </w:r>
          </w:p>
        </w:tc>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2B107A22" w14:textId="77777777" w:rsidR="008E405F" w:rsidRDefault="00123CFD">
            <w:pPr>
              <w:spacing w:after="0" w:line="259" w:lineRule="auto"/>
              <w:ind w:left="0" w:firstLine="0"/>
            </w:pPr>
            <w:r>
              <w:t xml:space="preserve">Key Strengths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22A4504" w14:textId="77777777" w:rsidR="008E405F" w:rsidRDefault="00123CFD">
            <w:pPr>
              <w:spacing w:after="0" w:line="259" w:lineRule="auto"/>
              <w:ind w:left="0" w:firstLine="0"/>
            </w:pPr>
            <w:r>
              <w:t xml:space="preserve">Challenges  </w:t>
            </w:r>
          </w:p>
        </w:tc>
      </w:tr>
      <w:tr w:rsidR="008E405F" w14:paraId="5E1D0696" w14:textId="77777777">
        <w:trPr>
          <w:trHeight w:val="2151"/>
        </w:trPr>
        <w:tc>
          <w:tcPr>
            <w:tcW w:w="2340" w:type="dxa"/>
            <w:tcBorders>
              <w:top w:val="single" w:sz="8" w:space="0" w:color="000000"/>
              <w:left w:val="single" w:sz="8" w:space="0" w:color="000000"/>
              <w:bottom w:val="single" w:sz="8" w:space="0" w:color="000000"/>
              <w:right w:val="single" w:sz="8" w:space="0" w:color="000000"/>
            </w:tcBorders>
          </w:tcPr>
          <w:p w14:paraId="7FF1D124" w14:textId="77777777" w:rsidR="008E405F" w:rsidRDefault="00123CFD">
            <w:pPr>
              <w:spacing w:after="0" w:line="259" w:lineRule="auto"/>
              <w:ind w:left="0" w:firstLine="0"/>
            </w:pPr>
            <w:r>
              <w:rPr>
                <w:b/>
              </w:rPr>
              <w:t>North America</w:t>
            </w:r>
            <w:r>
              <w:t xml:space="preserve"> (U.S. &amp; Canada) </w:t>
            </w:r>
          </w:p>
        </w:tc>
        <w:tc>
          <w:tcPr>
            <w:tcW w:w="2341" w:type="dxa"/>
            <w:tcBorders>
              <w:top w:val="single" w:sz="8" w:space="0" w:color="000000"/>
              <w:left w:val="single" w:sz="8" w:space="0" w:color="000000"/>
              <w:bottom w:val="single" w:sz="8" w:space="0" w:color="000000"/>
              <w:right w:val="single" w:sz="8" w:space="0" w:color="000000"/>
            </w:tcBorders>
          </w:tcPr>
          <w:p w14:paraId="7AF14AC9" w14:textId="77777777" w:rsidR="008E405F" w:rsidRDefault="00123CFD">
            <w:pPr>
              <w:spacing w:after="0" w:line="259" w:lineRule="auto"/>
              <w:ind w:left="1" w:firstLine="0"/>
            </w:pPr>
            <w:r>
              <w:t xml:space="preserve">Leading in adoption (90%+) </w:t>
            </w:r>
          </w:p>
        </w:tc>
        <w:tc>
          <w:tcPr>
            <w:tcW w:w="2340" w:type="dxa"/>
            <w:tcBorders>
              <w:top w:val="single" w:sz="8" w:space="0" w:color="000000"/>
              <w:left w:val="single" w:sz="8" w:space="0" w:color="000000"/>
              <w:bottom w:val="single" w:sz="8" w:space="0" w:color="000000"/>
              <w:right w:val="single" w:sz="8" w:space="0" w:color="000000"/>
            </w:tcBorders>
            <w:vAlign w:val="center"/>
          </w:tcPr>
          <w:p w14:paraId="15CEF2D7" w14:textId="77777777" w:rsidR="008E405F" w:rsidRDefault="00123CFD">
            <w:pPr>
              <w:spacing w:after="0" w:line="259" w:lineRule="auto"/>
              <w:ind w:left="0" w:firstLine="0"/>
            </w:pPr>
            <w:r>
              <w:t xml:space="preserve">-Driven by HIPAA </w:t>
            </w:r>
          </w:p>
          <w:p w14:paraId="3F46D249" w14:textId="77777777" w:rsidR="008E405F" w:rsidRDefault="00123CFD">
            <w:pPr>
              <w:spacing w:after="0" w:line="259" w:lineRule="auto"/>
              <w:ind w:left="0" w:right="296" w:firstLine="0"/>
            </w:pPr>
            <w:r>
              <w:t xml:space="preserve">compliance and HITECH Act incentives. -AI/Big data integration for pharmacovigilance. </w:t>
            </w:r>
          </w:p>
        </w:tc>
        <w:tc>
          <w:tcPr>
            <w:tcW w:w="2341" w:type="dxa"/>
            <w:tcBorders>
              <w:top w:val="single" w:sz="8" w:space="0" w:color="000000"/>
              <w:left w:val="single" w:sz="8" w:space="0" w:color="000000"/>
              <w:bottom w:val="single" w:sz="8" w:space="0" w:color="000000"/>
              <w:right w:val="single" w:sz="8" w:space="0" w:color="000000"/>
            </w:tcBorders>
          </w:tcPr>
          <w:p w14:paraId="1AFE0C7E" w14:textId="77777777" w:rsidR="008E405F" w:rsidRDefault="00123CFD">
            <w:pPr>
              <w:spacing w:after="0" w:line="259" w:lineRule="auto"/>
              <w:ind w:left="0" w:firstLine="0"/>
            </w:pPr>
            <w:r>
              <w:t xml:space="preserve">-High costs. </w:t>
            </w:r>
          </w:p>
          <w:p w14:paraId="1F320CAD" w14:textId="77777777" w:rsidR="008E405F" w:rsidRDefault="00123CFD">
            <w:pPr>
              <w:spacing w:after="0" w:line="259" w:lineRule="auto"/>
              <w:ind w:left="0" w:firstLine="0"/>
            </w:pPr>
            <w:r>
              <w:t xml:space="preserve">-Cybersecurity risks. </w:t>
            </w:r>
          </w:p>
        </w:tc>
      </w:tr>
      <w:tr w:rsidR="008E405F" w14:paraId="19A25008" w14:textId="77777777">
        <w:trPr>
          <w:trHeight w:val="773"/>
        </w:trPr>
        <w:tc>
          <w:tcPr>
            <w:tcW w:w="2340" w:type="dxa"/>
            <w:tcBorders>
              <w:top w:val="single" w:sz="8" w:space="0" w:color="000000"/>
              <w:left w:val="single" w:sz="8" w:space="0" w:color="000000"/>
              <w:bottom w:val="single" w:sz="8" w:space="0" w:color="000000"/>
              <w:right w:val="single" w:sz="8" w:space="0" w:color="000000"/>
            </w:tcBorders>
          </w:tcPr>
          <w:p w14:paraId="1A929C1C" w14:textId="77777777" w:rsidR="008E405F" w:rsidRDefault="00123CFD">
            <w:pPr>
              <w:spacing w:after="0" w:line="259" w:lineRule="auto"/>
              <w:ind w:left="0" w:firstLine="0"/>
            </w:pPr>
            <w:r>
              <w:rPr>
                <w:b/>
              </w:rPr>
              <w:t>Europe</w:t>
            </w:r>
            <w:r>
              <w:t xml:space="preserve"> (EU &amp; UK) </w:t>
            </w:r>
          </w:p>
        </w:tc>
        <w:tc>
          <w:tcPr>
            <w:tcW w:w="2341" w:type="dxa"/>
            <w:tcBorders>
              <w:top w:val="single" w:sz="8" w:space="0" w:color="000000"/>
              <w:left w:val="single" w:sz="8" w:space="0" w:color="000000"/>
              <w:bottom w:val="single" w:sz="8" w:space="0" w:color="000000"/>
              <w:right w:val="single" w:sz="8" w:space="0" w:color="000000"/>
            </w:tcBorders>
            <w:vAlign w:val="center"/>
          </w:tcPr>
          <w:p w14:paraId="057B9C11" w14:textId="77777777" w:rsidR="008E405F" w:rsidRDefault="00123CFD">
            <w:pPr>
              <w:spacing w:after="0" w:line="259" w:lineRule="auto"/>
              <w:ind w:left="1" w:firstLine="0"/>
            </w:pPr>
            <w:r>
              <w:t xml:space="preserve">Moderate to high adoption  </w:t>
            </w:r>
          </w:p>
        </w:tc>
        <w:tc>
          <w:tcPr>
            <w:tcW w:w="2340" w:type="dxa"/>
            <w:tcBorders>
              <w:top w:val="single" w:sz="8" w:space="0" w:color="000000"/>
              <w:left w:val="single" w:sz="8" w:space="0" w:color="000000"/>
              <w:bottom w:val="single" w:sz="8" w:space="0" w:color="000000"/>
              <w:right w:val="single" w:sz="8" w:space="0" w:color="000000"/>
            </w:tcBorders>
            <w:vAlign w:val="center"/>
          </w:tcPr>
          <w:p w14:paraId="721EECFF" w14:textId="77777777" w:rsidR="008E405F" w:rsidRDefault="00123CFD">
            <w:pPr>
              <w:spacing w:after="0" w:line="259" w:lineRule="auto"/>
              <w:ind w:left="0" w:firstLine="0"/>
            </w:pPr>
            <w:r>
              <w:t xml:space="preserve">-Strong GDPR Compliance. </w:t>
            </w:r>
          </w:p>
        </w:tc>
        <w:tc>
          <w:tcPr>
            <w:tcW w:w="2341" w:type="dxa"/>
            <w:tcBorders>
              <w:top w:val="single" w:sz="8" w:space="0" w:color="000000"/>
              <w:left w:val="single" w:sz="8" w:space="0" w:color="000000"/>
              <w:bottom w:val="single" w:sz="8" w:space="0" w:color="000000"/>
              <w:right w:val="single" w:sz="8" w:space="0" w:color="000000"/>
            </w:tcBorders>
            <w:vAlign w:val="center"/>
          </w:tcPr>
          <w:p w14:paraId="2776F504" w14:textId="77777777" w:rsidR="008E405F" w:rsidRDefault="00123CFD">
            <w:pPr>
              <w:spacing w:after="0" w:line="259" w:lineRule="auto"/>
              <w:ind w:left="0" w:firstLine="0"/>
            </w:pPr>
            <w:r>
              <w:t xml:space="preserve">-Fragmented rational systems. </w:t>
            </w:r>
          </w:p>
        </w:tc>
      </w:tr>
      <w:tr w:rsidR="008E405F" w14:paraId="49881C06" w14:textId="77777777">
        <w:trPr>
          <w:trHeight w:val="1875"/>
        </w:trPr>
        <w:tc>
          <w:tcPr>
            <w:tcW w:w="2340" w:type="dxa"/>
            <w:tcBorders>
              <w:top w:val="single" w:sz="8" w:space="0" w:color="000000"/>
              <w:left w:val="single" w:sz="8" w:space="0" w:color="000000"/>
              <w:bottom w:val="single" w:sz="8" w:space="0" w:color="000000"/>
              <w:right w:val="single" w:sz="8" w:space="0" w:color="000000"/>
            </w:tcBorders>
          </w:tcPr>
          <w:p w14:paraId="02E4F184" w14:textId="77777777" w:rsidR="008E405F" w:rsidRDefault="00123CFD">
            <w:pPr>
              <w:spacing w:after="0" w:line="259" w:lineRule="auto"/>
              <w:ind w:left="0" w:firstLine="0"/>
            </w:pPr>
            <w:r>
              <w:rPr>
                <w:b/>
              </w:rPr>
              <w:t>Asia</w:t>
            </w:r>
            <w:r>
              <w:t xml:space="preserve"> (China. India, Japan) </w:t>
            </w:r>
          </w:p>
        </w:tc>
        <w:tc>
          <w:tcPr>
            <w:tcW w:w="2341" w:type="dxa"/>
            <w:tcBorders>
              <w:top w:val="single" w:sz="8" w:space="0" w:color="000000"/>
              <w:left w:val="single" w:sz="8" w:space="0" w:color="000000"/>
              <w:bottom w:val="single" w:sz="8" w:space="0" w:color="000000"/>
              <w:right w:val="single" w:sz="8" w:space="0" w:color="000000"/>
            </w:tcBorders>
          </w:tcPr>
          <w:p w14:paraId="241207AE" w14:textId="77777777" w:rsidR="008E405F" w:rsidRDefault="00123CFD">
            <w:pPr>
              <w:spacing w:after="0" w:line="259" w:lineRule="auto"/>
              <w:ind w:left="1" w:firstLine="0"/>
            </w:pPr>
            <w:r>
              <w:t xml:space="preserve">Rapidly growing </w:t>
            </w:r>
          </w:p>
        </w:tc>
        <w:tc>
          <w:tcPr>
            <w:tcW w:w="2340" w:type="dxa"/>
            <w:tcBorders>
              <w:top w:val="single" w:sz="8" w:space="0" w:color="000000"/>
              <w:left w:val="single" w:sz="8" w:space="0" w:color="000000"/>
              <w:bottom w:val="single" w:sz="8" w:space="0" w:color="000000"/>
              <w:right w:val="single" w:sz="8" w:space="0" w:color="000000"/>
            </w:tcBorders>
            <w:vAlign w:val="center"/>
          </w:tcPr>
          <w:p w14:paraId="62BD76ED" w14:textId="77777777" w:rsidR="008E405F" w:rsidRDefault="00123CFD">
            <w:pPr>
              <w:spacing w:after="0" w:line="259" w:lineRule="auto"/>
              <w:ind w:left="0" w:firstLine="0"/>
            </w:pPr>
            <w:r>
              <w:t xml:space="preserve">-Telemedicine-linked </w:t>
            </w:r>
          </w:p>
          <w:p w14:paraId="19885557" w14:textId="77777777" w:rsidR="008E405F" w:rsidRDefault="00123CFD">
            <w:pPr>
              <w:spacing w:after="0" w:line="259" w:lineRule="auto"/>
              <w:ind w:left="0" w:firstLine="0"/>
            </w:pPr>
            <w:r>
              <w:t xml:space="preserve">EHRs (China’s </w:t>
            </w:r>
          </w:p>
          <w:p w14:paraId="1E3EAC05" w14:textId="77777777" w:rsidR="008E405F" w:rsidRDefault="00123CFD">
            <w:pPr>
              <w:spacing w:after="0" w:line="259" w:lineRule="auto"/>
              <w:ind w:left="0" w:right="36" w:firstLine="0"/>
            </w:pPr>
            <w:r>
              <w:t xml:space="preserve">‘’Internet + Healthcare’’). -India’s NDHM for unified records. </w:t>
            </w:r>
          </w:p>
        </w:tc>
        <w:tc>
          <w:tcPr>
            <w:tcW w:w="2341" w:type="dxa"/>
            <w:tcBorders>
              <w:top w:val="single" w:sz="8" w:space="0" w:color="000000"/>
              <w:left w:val="single" w:sz="8" w:space="0" w:color="000000"/>
              <w:bottom w:val="single" w:sz="8" w:space="0" w:color="000000"/>
              <w:right w:val="single" w:sz="8" w:space="0" w:color="000000"/>
            </w:tcBorders>
          </w:tcPr>
          <w:p w14:paraId="655A053F" w14:textId="77777777" w:rsidR="008E405F" w:rsidRDefault="00123CFD">
            <w:pPr>
              <w:spacing w:after="0" w:line="259" w:lineRule="auto"/>
              <w:ind w:left="0" w:firstLine="0"/>
            </w:pPr>
            <w:r>
              <w:t xml:space="preserve">-Infrastructure gaps. -Data security concerns. </w:t>
            </w:r>
          </w:p>
        </w:tc>
      </w:tr>
      <w:tr w:rsidR="008E405F" w14:paraId="35E78D5B" w14:textId="77777777">
        <w:trPr>
          <w:trHeight w:val="1325"/>
        </w:trPr>
        <w:tc>
          <w:tcPr>
            <w:tcW w:w="2340" w:type="dxa"/>
            <w:tcBorders>
              <w:top w:val="single" w:sz="8" w:space="0" w:color="000000"/>
              <w:left w:val="single" w:sz="8" w:space="0" w:color="000000"/>
              <w:bottom w:val="single" w:sz="8" w:space="0" w:color="000000"/>
              <w:right w:val="single" w:sz="8" w:space="0" w:color="000000"/>
            </w:tcBorders>
          </w:tcPr>
          <w:p w14:paraId="05A7FFBB" w14:textId="77777777" w:rsidR="008E405F" w:rsidRDefault="00123CFD">
            <w:pPr>
              <w:spacing w:after="0" w:line="259" w:lineRule="auto"/>
              <w:ind w:left="0" w:firstLine="0"/>
            </w:pPr>
            <w:r>
              <w:rPr>
                <w:b/>
              </w:rPr>
              <w:t xml:space="preserve">Latin America &amp; Africa </w:t>
            </w:r>
          </w:p>
        </w:tc>
        <w:tc>
          <w:tcPr>
            <w:tcW w:w="2341" w:type="dxa"/>
            <w:tcBorders>
              <w:top w:val="single" w:sz="8" w:space="0" w:color="000000"/>
              <w:left w:val="single" w:sz="8" w:space="0" w:color="000000"/>
              <w:bottom w:val="single" w:sz="8" w:space="0" w:color="000000"/>
              <w:right w:val="single" w:sz="8" w:space="0" w:color="000000"/>
            </w:tcBorders>
          </w:tcPr>
          <w:p w14:paraId="190A4B7A" w14:textId="77777777" w:rsidR="008E405F" w:rsidRDefault="00123CFD">
            <w:pPr>
              <w:spacing w:after="0" w:line="259" w:lineRule="auto"/>
              <w:ind w:left="1" w:firstLine="0"/>
            </w:pPr>
            <w:r>
              <w:t xml:space="preserve">Limited adoption  </w:t>
            </w:r>
          </w:p>
        </w:tc>
        <w:tc>
          <w:tcPr>
            <w:tcW w:w="2340" w:type="dxa"/>
            <w:tcBorders>
              <w:top w:val="single" w:sz="8" w:space="0" w:color="000000"/>
              <w:left w:val="single" w:sz="8" w:space="0" w:color="000000"/>
              <w:bottom w:val="single" w:sz="8" w:space="0" w:color="000000"/>
              <w:right w:val="single" w:sz="8" w:space="0" w:color="000000"/>
            </w:tcBorders>
            <w:vAlign w:val="center"/>
          </w:tcPr>
          <w:p w14:paraId="3AFE570B" w14:textId="77777777" w:rsidR="008E405F" w:rsidRDefault="00123CFD">
            <w:pPr>
              <w:spacing w:after="0" w:line="259" w:lineRule="auto"/>
              <w:ind w:left="0" w:firstLine="0"/>
            </w:pPr>
            <w:r>
              <w:t xml:space="preserve">-Pilot projects (e.g., </w:t>
            </w:r>
          </w:p>
          <w:p w14:paraId="4A5E2506" w14:textId="77777777" w:rsidR="008E405F" w:rsidRDefault="00123CFD">
            <w:pPr>
              <w:spacing w:after="0" w:line="259" w:lineRule="auto"/>
              <w:ind w:left="0" w:firstLine="0"/>
            </w:pPr>
            <w:r>
              <w:t xml:space="preserve">OpenMRS in South Africa, Conecte SUS in Brazil). </w:t>
            </w:r>
          </w:p>
        </w:tc>
        <w:tc>
          <w:tcPr>
            <w:tcW w:w="2341" w:type="dxa"/>
            <w:tcBorders>
              <w:top w:val="single" w:sz="8" w:space="0" w:color="000000"/>
              <w:left w:val="single" w:sz="8" w:space="0" w:color="000000"/>
              <w:bottom w:val="single" w:sz="8" w:space="0" w:color="000000"/>
              <w:right w:val="single" w:sz="8" w:space="0" w:color="000000"/>
            </w:tcBorders>
            <w:vAlign w:val="center"/>
          </w:tcPr>
          <w:p w14:paraId="18BF43D4" w14:textId="77777777" w:rsidR="008E405F" w:rsidRDefault="00123CFD">
            <w:pPr>
              <w:spacing w:after="0" w:line="238" w:lineRule="auto"/>
              <w:ind w:left="0" w:right="104" w:firstLine="0"/>
              <w:jc w:val="both"/>
            </w:pPr>
            <w:r>
              <w:t xml:space="preserve">-Funding constraints. -Internet accessibility issues.  </w:t>
            </w:r>
          </w:p>
          <w:p w14:paraId="7C99DE06" w14:textId="77777777" w:rsidR="008E405F" w:rsidRDefault="00123CFD">
            <w:pPr>
              <w:spacing w:after="0" w:line="259" w:lineRule="auto"/>
              <w:ind w:left="0" w:firstLine="0"/>
            </w:pPr>
            <w:r>
              <w:t xml:space="preserve">-Regulatory delays. </w:t>
            </w:r>
          </w:p>
        </w:tc>
      </w:tr>
    </w:tbl>
    <w:p w14:paraId="0F26BB98" w14:textId="77777777" w:rsidR="008E405F" w:rsidRDefault="00123CFD">
      <w:pPr>
        <w:spacing w:after="27" w:line="259" w:lineRule="auto"/>
        <w:ind w:left="0" w:firstLine="0"/>
      </w:pPr>
      <w:r>
        <w:t xml:space="preserve"> </w:t>
      </w:r>
    </w:p>
    <w:p w14:paraId="5BF78065" w14:textId="77777777" w:rsidR="008E405F" w:rsidRDefault="00123CFD" w:rsidP="00043F62">
      <w:pPr>
        <w:spacing w:after="8" w:line="266" w:lineRule="auto"/>
        <w:ind w:left="0" w:firstLine="0"/>
      </w:pPr>
      <w:r>
        <w:rPr>
          <w:b/>
        </w:rPr>
        <w:t xml:space="preserve">Artificial Intelligence (AI) in Pharmaceutical Communication: </w:t>
      </w:r>
    </w:p>
    <w:p w14:paraId="41059C27" w14:textId="77777777" w:rsidR="008E405F" w:rsidRDefault="00123CFD" w:rsidP="00A875AE">
      <w:r>
        <w:t>AI is transforming pharmaceutical communication by enhancing drug discovery, optimizing clinical trials, and improving pharmacovigilance. AI-driven tools are helpful in faster decisionmaking, reduced costs, and improved patient outcomes. It is due to analyzing vast datasets and</w:t>
      </w:r>
      <w:r w:rsidR="00A875AE">
        <w:t xml:space="preserve"> automating complex processes. </w:t>
      </w:r>
      <w:r>
        <w:t>The key application</w:t>
      </w:r>
      <w:r w:rsidR="00A875AE">
        <w:t xml:space="preserve"> of the AI-driven tools include,</w:t>
      </w:r>
      <w:r>
        <w:t xml:space="preserve"> target identification &amp; validation, compound screening &amp; optimization, and drug repurposing. </w:t>
      </w:r>
      <w:r>
        <w:lastRenderedPageBreak/>
        <w:t xml:space="preserve">The future trends of AI in the pharma sector include quantum-AI hybrids for ultra-fast modeling and digital twins of human organs for virtual drug testing [9].   </w:t>
      </w:r>
    </w:p>
    <w:p w14:paraId="0F444882" w14:textId="77777777" w:rsidR="008E405F" w:rsidRDefault="00123CFD" w:rsidP="00043F62">
      <w:pPr>
        <w:spacing w:after="0" w:line="259" w:lineRule="auto"/>
        <w:ind w:left="0" w:firstLine="0"/>
      </w:pPr>
      <w:r>
        <w:t xml:space="preserve"> </w:t>
      </w:r>
    </w:p>
    <w:p w14:paraId="499E4984" w14:textId="77777777" w:rsidR="008E405F" w:rsidRDefault="00123CFD">
      <w:r>
        <w:t xml:space="preserve">The pharmaceutical industry is leveraging eHealth technologies to enhance drug development, improve patient engagement, and accelerate real-world data (RWD) utilization. Some of the eHealth projects include: AI &amp; Big Data for drug discovery [10], Decentralized Clinical Trials (DCTs), Blockchain for Drug Traceability, Telemedicine &amp; Digital Therapeutics, Real-World Evidence (RWE) platforms, and Digital Twins in pharma.   </w:t>
      </w:r>
    </w:p>
    <w:p w14:paraId="58771FD3" w14:textId="77777777" w:rsidR="008E405F" w:rsidRDefault="00123CFD" w:rsidP="00043F62">
      <w:pPr>
        <w:ind w:left="0" w:firstLine="0"/>
      </w:pPr>
      <w:r>
        <w:t xml:space="preserve">The integration of mathematical modeling in communication technologies of the pharma sector enhances decision-making, optimizes processes, and predicts outcomes [11]. The key models that are relevant to the pharmaceutical communication technologies include:  </w:t>
      </w:r>
    </w:p>
    <w:p w14:paraId="6D0CB771" w14:textId="77777777" w:rsidR="008E405F" w:rsidRDefault="00123CFD">
      <w:pPr>
        <w:spacing w:after="21" w:line="259" w:lineRule="auto"/>
        <w:ind w:left="0" w:firstLine="0"/>
      </w:pPr>
      <w:r>
        <w:t xml:space="preserve"> </w:t>
      </w:r>
    </w:p>
    <w:p w14:paraId="1BE6696E" w14:textId="77777777" w:rsidR="008E405F" w:rsidRDefault="00123CFD">
      <w:pPr>
        <w:numPr>
          <w:ilvl w:val="0"/>
          <w:numId w:val="4"/>
        </w:numPr>
        <w:spacing w:after="8" w:line="266" w:lineRule="auto"/>
        <w:ind w:hanging="321"/>
      </w:pPr>
      <w:r>
        <w:rPr>
          <w:b/>
        </w:rPr>
        <w:t xml:space="preserve">Models for Drug Discovery &amp; AI Optimization:  </w:t>
      </w:r>
    </w:p>
    <w:p w14:paraId="716772B4" w14:textId="77777777" w:rsidR="008E405F" w:rsidRDefault="00123CFD">
      <w:pPr>
        <w:numPr>
          <w:ilvl w:val="1"/>
          <w:numId w:val="4"/>
        </w:numPr>
        <w:ind w:hanging="360"/>
      </w:pPr>
      <w:r>
        <w:t xml:space="preserve">Quantitative Structure-Activity Relationship (QSAR) </w:t>
      </w:r>
    </w:p>
    <w:p w14:paraId="28A86A1D" w14:textId="77777777" w:rsidR="008E405F" w:rsidRDefault="00123CFD">
      <w:pPr>
        <w:numPr>
          <w:ilvl w:val="1"/>
          <w:numId w:val="4"/>
        </w:numPr>
        <w:ind w:hanging="360"/>
      </w:pPr>
      <w:r>
        <w:t xml:space="preserve">Reinforcement Learning for Clinical Trials </w:t>
      </w:r>
    </w:p>
    <w:p w14:paraId="5FFBA4CA" w14:textId="77777777" w:rsidR="008E405F" w:rsidRDefault="00123CFD">
      <w:pPr>
        <w:spacing w:after="21" w:line="259" w:lineRule="auto"/>
        <w:ind w:left="0" w:firstLine="0"/>
      </w:pPr>
      <w:r>
        <w:t xml:space="preserve"> </w:t>
      </w:r>
    </w:p>
    <w:p w14:paraId="53EDB372" w14:textId="77777777" w:rsidR="008E405F" w:rsidRDefault="00123CFD">
      <w:pPr>
        <w:numPr>
          <w:ilvl w:val="0"/>
          <w:numId w:val="4"/>
        </w:numPr>
        <w:spacing w:after="8" w:line="266" w:lineRule="auto"/>
        <w:ind w:hanging="321"/>
      </w:pPr>
      <w:r>
        <w:rPr>
          <w:b/>
        </w:rPr>
        <w:t xml:space="preserve">Models for Supply Chain &amp; Blockchain Security   </w:t>
      </w:r>
    </w:p>
    <w:p w14:paraId="610A02FD" w14:textId="77777777" w:rsidR="008E405F" w:rsidRDefault="00123CFD">
      <w:pPr>
        <w:numPr>
          <w:ilvl w:val="1"/>
          <w:numId w:val="4"/>
        </w:numPr>
        <w:ind w:hanging="360"/>
      </w:pPr>
      <w:r>
        <w:t xml:space="preserve">Markov Chain for Drug Traceability </w:t>
      </w:r>
    </w:p>
    <w:p w14:paraId="5821974C" w14:textId="77777777" w:rsidR="008E405F" w:rsidRDefault="00123CFD">
      <w:pPr>
        <w:numPr>
          <w:ilvl w:val="1"/>
          <w:numId w:val="4"/>
        </w:numPr>
        <w:ind w:hanging="360"/>
      </w:pPr>
      <w:r>
        <w:t xml:space="preserve">Game Theory for Counterfeit Detection </w:t>
      </w:r>
    </w:p>
    <w:p w14:paraId="1BB63453" w14:textId="77777777" w:rsidR="008E405F" w:rsidRDefault="00123CFD">
      <w:pPr>
        <w:spacing w:after="21" w:line="259" w:lineRule="auto"/>
        <w:ind w:left="0" w:firstLine="0"/>
      </w:pPr>
      <w:r>
        <w:t xml:space="preserve"> </w:t>
      </w:r>
    </w:p>
    <w:p w14:paraId="38021557" w14:textId="77777777" w:rsidR="008E405F" w:rsidRDefault="00123CFD">
      <w:pPr>
        <w:numPr>
          <w:ilvl w:val="0"/>
          <w:numId w:val="4"/>
        </w:numPr>
        <w:spacing w:after="8" w:line="266" w:lineRule="auto"/>
        <w:ind w:hanging="321"/>
      </w:pPr>
      <w:r>
        <w:rPr>
          <w:b/>
        </w:rPr>
        <w:t xml:space="preserve">Models for Telemedicine &amp; Patient Engagement  </w:t>
      </w:r>
    </w:p>
    <w:p w14:paraId="42F9857E" w14:textId="77777777" w:rsidR="008E405F" w:rsidRDefault="00123CFD">
      <w:pPr>
        <w:numPr>
          <w:ilvl w:val="1"/>
          <w:numId w:val="4"/>
        </w:numPr>
        <w:ind w:hanging="360"/>
      </w:pPr>
      <w:r>
        <w:t xml:space="preserve">Queuing Theory for Remote Consultations </w:t>
      </w:r>
    </w:p>
    <w:p w14:paraId="79831946" w14:textId="77777777" w:rsidR="008E405F" w:rsidRDefault="00123CFD">
      <w:pPr>
        <w:numPr>
          <w:ilvl w:val="1"/>
          <w:numId w:val="4"/>
        </w:numPr>
        <w:ind w:hanging="360"/>
      </w:pPr>
      <w:r>
        <w:t xml:space="preserve">SIR (Susceptible-Infected-Recovered) for Pharmacovigilance  </w:t>
      </w:r>
    </w:p>
    <w:p w14:paraId="356D7EDA" w14:textId="77777777" w:rsidR="008E405F" w:rsidRDefault="00123CFD">
      <w:pPr>
        <w:spacing w:after="21" w:line="259" w:lineRule="auto"/>
        <w:ind w:left="0" w:firstLine="0"/>
      </w:pPr>
      <w:r>
        <w:t xml:space="preserve"> </w:t>
      </w:r>
    </w:p>
    <w:p w14:paraId="44A844BE" w14:textId="77777777" w:rsidR="008E405F" w:rsidRDefault="00123CFD">
      <w:pPr>
        <w:numPr>
          <w:ilvl w:val="0"/>
          <w:numId w:val="4"/>
        </w:numPr>
        <w:spacing w:after="8" w:line="266" w:lineRule="auto"/>
        <w:ind w:hanging="321"/>
      </w:pPr>
      <w:r>
        <w:rPr>
          <w:b/>
        </w:rPr>
        <w:t xml:space="preserve">Models for Big Data &amp; Predictive Analytics </w:t>
      </w:r>
    </w:p>
    <w:p w14:paraId="0661F4CF" w14:textId="77777777" w:rsidR="008E405F" w:rsidRDefault="00123CFD">
      <w:pPr>
        <w:numPr>
          <w:ilvl w:val="1"/>
          <w:numId w:val="4"/>
        </w:numPr>
        <w:ind w:hanging="360"/>
      </w:pPr>
      <w:r>
        <w:t xml:space="preserve">Random Forest for Drug Safety </w:t>
      </w:r>
    </w:p>
    <w:p w14:paraId="76F95D1F" w14:textId="77777777" w:rsidR="008E405F" w:rsidRDefault="00123CFD">
      <w:pPr>
        <w:numPr>
          <w:ilvl w:val="1"/>
          <w:numId w:val="4"/>
        </w:numPr>
        <w:ind w:hanging="360"/>
      </w:pPr>
      <w:r>
        <w:t xml:space="preserve">Neural Networks for Dose Optimization  </w:t>
      </w:r>
    </w:p>
    <w:p w14:paraId="577669BE" w14:textId="77777777" w:rsidR="008E405F" w:rsidRDefault="00123CFD">
      <w:pPr>
        <w:spacing w:after="25" w:line="259" w:lineRule="auto"/>
        <w:ind w:left="0" w:firstLine="0"/>
      </w:pPr>
      <w:r>
        <w:t xml:space="preserve"> </w:t>
      </w:r>
    </w:p>
    <w:p w14:paraId="74C3850C" w14:textId="77777777" w:rsidR="008E405F" w:rsidRDefault="00123CFD" w:rsidP="00043F62">
      <w:pPr>
        <w:spacing w:after="8" w:line="266" w:lineRule="auto"/>
      </w:pPr>
      <w:r>
        <w:rPr>
          <w:b/>
        </w:rPr>
        <w:t xml:space="preserve">Medical Information Systems (MIS) in the Pharmaceutical Industry: </w:t>
      </w:r>
    </w:p>
    <w:p w14:paraId="0BD41433" w14:textId="77777777" w:rsidR="008E405F" w:rsidRDefault="00123CFD" w:rsidP="00043F62">
      <w:pPr>
        <w:spacing w:after="15" w:line="259" w:lineRule="auto"/>
        <w:ind w:left="0" w:firstLine="0"/>
      </w:pPr>
      <w:r>
        <w:t xml:space="preserve">These systems are the digital platforms that manage, store, and exchange healthcare data, playing a pivotal role in the pharmaceutical operations. These are involved from drug development to patient care. MIS enhances drug efficiency, accuracy, and regulatory compliance while enabling seamless communication across stakeholders. Different types of MIS currently used in the pharma sector include: Electronic Health Records (EHRs) [12], Pharmacy Information Systems (PIS), Laboratory Information Management Systems (LIMS), Clinical Decision Support Systems (CDSS), and Telemedicine platforms. </w:t>
      </w:r>
    </w:p>
    <w:p w14:paraId="62179F4C" w14:textId="77777777" w:rsidR="008E405F" w:rsidRDefault="00123CFD">
      <w:pPr>
        <w:spacing w:after="0" w:line="259" w:lineRule="auto"/>
        <w:ind w:left="0" w:firstLine="0"/>
      </w:pPr>
      <w:r>
        <w:t xml:space="preserve"> </w:t>
      </w:r>
    </w:p>
    <w:p w14:paraId="3F471E58" w14:textId="77777777" w:rsidR="00043F62" w:rsidRDefault="00043F62">
      <w:pPr>
        <w:pStyle w:val="Heading1"/>
        <w:ind w:left="14" w:right="2"/>
      </w:pPr>
    </w:p>
    <w:p w14:paraId="2663F9DA" w14:textId="77777777" w:rsidR="00A875AE" w:rsidRDefault="00A875AE">
      <w:pPr>
        <w:pStyle w:val="Heading1"/>
        <w:ind w:left="14" w:right="2"/>
      </w:pPr>
    </w:p>
    <w:p w14:paraId="6474D88A" w14:textId="77777777" w:rsidR="00A875AE" w:rsidRDefault="00A875AE">
      <w:pPr>
        <w:pStyle w:val="Heading1"/>
        <w:ind w:left="14" w:right="2"/>
      </w:pPr>
    </w:p>
    <w:p w14:paraId="71A416BF" w14:textId="77777777" w:rsidR="008E405F" w:rsidRDefault="00123CFD">
      <w:pPr>
        <w:pStyle w:val="Heading1"/>
        <w:ind w:left="14" w:right="2"/>
      </w:pPr>
      <w:r>
        <w:t xml:space="preserve">Table 2: Key Technologies Driving MIS in the Pharma Sector    </w:t>
      </w:r>
    </w:p>
    <w:p w14:paraId="3F099DD0"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115" w:type="dxa"/>
        </w:tblCellMar>
        <w:tblLook w:val="04A0" w:firstRow="1" w:lastRow="0" w:firstColumn="1" w:lastColumn="0" w:noHBand="0" w:noVBand="1"/>
      </w:tblPr>
      <w:tblGrid>
        <w:gridCol w:w="3121"/>
        <w:gridCol w:w="3120"/>
        <w:gridCol w:w="3121"/>
      </w:tblGrid>
      <w:tr w:rsidR="008E405F" w14:paraId="36769E3B" w14:textId="77777777" w:rsidTr="00043F62">
        <w:trPr>
          <w:trHeight w:val="497"/>
        </w:trPr>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6EF81B49" w14:textId="77777777" w:rsidR="008E405F" w:rsidRDefault="00123CFD">
            <w:pPr>
              <w:spacing w:after="0" w:line="259" w:lineRule="auto"/>
              <w:ind w:left="0" w:firstLine="0"/>
            </w:pPr>
            <w:r>
              <w:t xml:space="preserve">Technology  </w:t>
            </w:r>
          </w:p>
        </w:tc>
        <w:tc>
          <w:tcPr>
            <w:tcW w:w="312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F3BC0D9" w14:textId="77777777" w:rsidR="008E405F" w:rsidRDefault="00123CFD">
            <w:pPr>
              <w:spacing w:after="0" w:line="259" w:lineRule="auto"/>
              <w:ind w:left="0" w:firstLine="0"/>
            </w:pPr>
            <w:r>
              <w:t xml:space="preserve">Role in MIS </w:t>
            </w:r>
          </w:p>
        </w:tc>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72620C16" w14:textId="77777777" w:rsidR="008E405F" w:rsidRDefault="00123CFD">
            <w:pPr>
              <w:spacing w:after="0" w:line="259" w:lineRule="auto"/>
              <w:ind w:left="0" w:firstLine="0"/>
            </w:pPr>
            <w:r>
              <w:t xml:space="preserve">Example </w:t>
            </w:r>
          </w:p>
        </w:tc>
      </w:tr>
      <w:tr w:rsidR="008E405F" w14:paraId="3D642342"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7FA1092F" w14:textId="77777777" w:rsidR="008E405F" w:rsidRPr="00043F62" w:rsidRDefault="00123CFD">
            <w:pPr>
              <w:spacing w:after="0" w:line="259" w:lineRule="auto"/>
              <w:ind w:left="0" w:firstLine="0"/>
              <w:rPr>
                <w:b/>
              </w:rPr>
            </w:pPr>
            <w:r w:rsidRPr="00043F62">
              <w:rPr>
                <w:b/>
              </w:rPr>
              <w:t xml:space="preserve">AI/ML  </w:t>
            </w:r>
          </w:p>
        </w:tc>
        <w:tc>
          <w:tcPr>
            <w:tcW w:w="3120" w:type="dxa"/>
            <w:tcBorders>
              <w:top w:val="single" w:sz="8" w:space="0" w:color="000000"/>
              <w:left w:val="single" w:sz="8" w:space="0" w:color="000000"/>
              <w:bottom w:val="single" w:sz="8" w:space="0" w:color="000000"/>
              <w:right w:val="single" w:sz="8" w:space="0" w:color="000000"/>
            </w:tcBorders>
            <w:vAlign w:val="center"/>
          </w:tcPr>
          <w:p w14:paraId="5FEA426A" w14:textId="77777777" w:rsidR="008E405F" w:rsidRDefault="00123CFD">
            <w:pPr>
              <w:spacing w:after="0" w:line="259" w:lineRule="auto"/>
              <w:ind w:left="0" w:firstLine="0"/>
            </w:pPr>
            <w:r>
              <w:t xml:space="preserve">Predictive analytics for drug safety </w:t>
            </w:r>
          </w:p>
        </w:tc>
        <w:tc>
          <w:tcPr>
            <w:tcW w:w="3121" w:type="dxa"/>
            <w:tcBorders>
              <w:top w:val="single" w:sz="8" w:space="0" w:color="000000"/>
              <w:left w:val="single" w:sz="8" w:space="0" w:color="000000"/>
              <w:bottom w:val="single" w:sz="8" w:space="0" w:color="000000"/>
              <w:right w:val="single" w:sz="8" w:space="0" w:color="000000"/>
            </w:tcBorders>
            <w:vAlign w:val="center"/>
          </w:tcPr>
          <w:p w14:paraId="3902BD8A" w14:textId="77777777" w:rsidR="008E405F" w:rsidRDefault="00123CFD">
            <w:pPr>
              <w:spacing w:after="0" w:line="259" w:lineRule="auto"/>
              <w:ind w:left="0" w:firstLine="0"/>
            </w:pPr>
            <w:r>
              <w:t xml:space="preserve">FDA’s AI-powered ADR </w:t>
            </w:r>
          </w:p>
          <w:p w14:paraId="392E3997" w14:textId="77777777" w:rsidR="008E405F" w:rsidRDefault="00123CFD">
            <w:pPr>
              <w:spacing w:after="0" w:line="259" w:lineRule="auto"/>
              <w:ind w:left="0" w:firstLine="0"/>
            </w:pPr>
            <w:r>
              <w:t xml:space="preserve">surveillance </w:t>
            </w:r>
          </w:p>
        </w:tc>
      </w:tr>
      <w:tr w:rsidR="008E405F" w14:paraId="414435C4" w14:textId="77777777">
        <w:trPr>
          <w:trHeight w:val="770"/>
        </w:trPr>
        <w:tc>
          <w:tcPr>
            <w:tcW w:w="3121" w:type="dxa"/>
            <w:tcBorders>
              <w:top w:val="single" w:sz="8" w:space="0" w:color="000000"/>
              <w:left w:val="single" w:sz="8" w:space="0" w:color="000000"/>
              <w:bottom w:val="single" w:sz="8" w:space="0" w:color="000000"/>
              <w:right w:val="single" w:sz="8" w:space="0" w:color="000000"/>
            </w:tcBorders>
          </w:tcPr>
          <w:p w14:paraId="45A966CE" w14:textId="77777777" w:rsidR="008E405F" w:rsidRPr="00043F62" w:rsidRDefault="00123CFD">
            <w:pPr>
              <w:spacing w:after="0" w:line="259" w:lineRule="auto"/>
              <w:ind w:left="0" w:firstLine="0"/>
              <w:rPr>
                <w:b/>
              </w:rPr>
            </w:pPr>
            <w:r w:rsidRPr="00043F62">
              <w:rPr>
                <w:b/>
              </w:rPr>
              <w:t xml:space="preserve">Blockchain </w:t>
            </w:r>
          </w:p>
        </w:tc>
        <w:tc>
          <w:tcPr>
            <w:tcW w:w="3120" w:type="dxa"/>
            <w:tcBorders>
              <w:top w:val="single" w:sz="8" w:space="0" w:color="000000"/>
              <w:left w:val="single" w:sz="8" w:space="0" w:color="000000"/>
              <w:bottom w:val="single" w:sz="8" w:space="0" w:color="000000"/>
              <w:right w:val="single" w:sz="8" w:space="0" w:color="000000"/>
            </w:tcBorders>
            <w:vAlign w:val="center"/>
          </w:tcPr>
          <w:p w14:paraId="0ED9BFC9" w14:textId="77777777" w:rsidR="008E405F" w:rsidRDefault="00123CFD">
            <w:pPr>
              <w:spacing w:after="0" w:line="259" w:lineRule="auto"/>
              <w:ind w:left="0" w:firstLine="0"/>
            </w:pPr>
            <w:r>
              <w:t xml:space="preserve">Secure drug supply chain tracking  </w:t>
            </w:r>
          </w:p>
        </w:tc>
        <w:tc>
          <w:tcPr>
            <w:tcW w:w="3121" w:type="dxa"/>
            <w:tcBorders>
              <w:top w:val="single" w:sz="8" w:space="0" w:color="000000"/>
              <w:left w:val="single" w:sz="8" w:space="0" w:color="000000"/>
              <w:bottom w:val="single" w:sz="8" w:space="0" w:color="000000"/>
              <w:right w:val="single" w:sz="8" w:space="0" w:color="000000"/>
            </w:tcBorders>
          </w:tcPr>
          <w:p w14:paraId="529F386B" w14:textId="77777777" w:rsidR="008E405F" w:rsidRDefault="00123CFD">
            <w:pPr>
              <w:spacing w:after="0" w:line="259" w:lineRule="auto"/>
              <w:ind w:left="0" w:firstLine="0"/>
            </w:pPr>
            <w:r>
              <w:t xml:space="preserve">MediLedger (Chronicled) </w:t>
            </w:r>
          </w:p>
        </w:tc>
      </w:tr>
      <w:tr w:rsidR="008E405F" w14:paraId="68F2D0CC" w14:textId="77777777">
        <w:trPr>
          <w:trHeight w:val="497"/>
        </w:trPr>
        <w:tc>
          <w:tcPr>
            <w:tcW w:w="3121" w:type="dxa"/>
            <w:tcBorders>
              <w:top w:val="single" w:sz="8" w:space="0" w:color="000000"/>
              <w:left w:val="single" w:sz="8" w:space="0" w:color="000000"/>
              <w:bottom w:val="single" w:sz="8" w:space="0" w:color="000000"/>
              <w:right w:val="single" w:sz="8" w:space="0" w:color="000000"/>
            </w:tcBorders>
            <w:vAlign w:val="center"/>
          </w:tcPr>
          <w:p w14:paraId="70CF7252" w14:textId="77777777" w:rsidR="008E405F" w:rsidRPr="00043F62" w:rsidRDefault="00123CFD">
            <w:pPr>
              <w:spacing w:after="0" w:line="259" w:lineRule="auto"/>
              <w:ind w:left="0" w:firstLine="0"/>
              <w:rPr>
                <w:b/>
              </w:rPr>
            </w:pPr>
            <w:r w:rsidRPr="00043F62">
              <w:rPr>
                <w:b/>
              </w:rPr>
              <w:t xml:space="preserve">IoT </w:t>
            </w:r>
          </w:p>
        </w:tc>
        <w:tc>
          <w:tcPr>
            <w:tcW w:w="3120" w:type="dxa"/>
            <w:tcBorders>
              <w:top w:val="single" w:sz="8" w:space="0" w:color="000000"/>
              <w:left w:val="single" w:sz="8" w:space="0" w:color="000000"/>
              <w:bottom w:val="single" w:sz="8" w:space="0" w:color="000000"/>
              <w:right w:val="single" w:sz="8" w:space="0" w:color="000000"/>
            </w:tcBorders>
            <w:vAlign w:val="center"/>
          </w:tcPr>
          <w:p w14:paraId="6161B6FD" w14:textId="77777777" w:rsidR="008E405F" w:rsidRDefault="00123CFD">
            <w:pPr>
              <w:spacing w:after="0" w:line="259" w:lineRule="auto"/>
              <w:ind w:left="0" w:firstLine="0"/>
            </w:pPr>
            <w:r>
              <w:t xml:space="preserve">Real-time patient monitoring </w:t>
            </w:r>
          </w:p>
        </w:tc>
        <w:tc>
          <w:tcPr>
            <w:tcW w:w="3121" w:type="dxa"/>
            <w:tcBorders>
              <w:top w:val="single" w:sz="8" w:space="0" w:color="000000"/>
              <w:left w:val="single" w:sz="8" w:space="0" w:color="000000"/>
              <w:bottom w:val="single" w:sz="8" w:space="0" w:color="000000"/>
              <w:right w:val="single" w:sz="8" w:space="0" w:color="000000"/>
            </w:tcBorders>
            <w:vAlign w:val="center"/>
          </w:tcPr>
          <w:p w14:paraId="7CB5E3D8" w14:textId="77777777" w:rsidR="008E405F" w:rsidRDefault="00123CFD">
            <w:pPr>
              <w:spacing w:after="0" w:line="259" w:lineRule="auto"/>
              <w:ind w:left="0" w:firstLine="0"/>
            </w:pPr>
            <w:r>
              <w:t xml:space="preserve">Roche’s connected inhaler </w:t>
            </w:r>
          </w:p>
        </w:tc>
      </w:tr>
      <w:tr w:rsidR="008E405F" w14:paraId="6D48C70E"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464121B6" w14:textId="77777777" w:rsidR="008E405F" w:rsidRPr="00043F62" w:rsidRDefault="00123CFD">
            <w:pPr>
              <w:spacing w:after="0" w:line="259" w:lineRule="auto"/>
              <w:ind w:left="0" w:firstLine="0"/>
              <w:rPr>
                <w:b/>
              </w:rPr>
            </w:pPr>
            <w:r w:rsidRPr="00043F62">
              <w:rPr>
                <w:b/>
              </w:rPr>
              <w:t xml:space="preserve">Cloud Computing </w:t>
            </w:r>
          </w:p>
        </w:tc>
        <w:tc>
          <w:tcPr>
            <w:tcW w:w="3120" w:type="dxa"/>
            <w:tcBorders>
              <w:top w:val="single" w:sz="8" w:space="0" w:color="000000"/>
              <w:left w:val="single" w:sz="8" w:space="0" w:color="000000"/>
              <w:bottom w:val="single" w:sz="8" w:space="0" w:color="000000"/>
              <w:right w:val="single" w:sz="8" w:space="0" w:color="000000"/>
            </w:tcBorders>
            <w:vAlign w:val="center"/>
          </w:tcPr>
          <w:p w14:paraId="4BB729C5" w14:textId="77777777" w:rsidR="008E405F" w:rsidRDefault="00123CFD">
            <w:pPr>
              <w:spacing w:after="0" w:line="259" w:lineRule="auto"/>
              <w:ind w:left="0" w:firstLine="0"/>
            </w:pPr>
            <w:r>
              <w:t xml:space="preserve">Scalable data storage &amp; collaboration </w:t>
            </w:r>
          </w:p>
        </w:tc>
        <w:tc>
          <w:tcPr>
            <w:tcW w:w="3121" w:type="dxa"/>
            <w:tcBorders>
              <w:top w:val="single" w:sz="8" w:space="0" w:color="000000"/>
              <w:left w:val="single" w:sz="8" w:space="0" w:color="000000"/>
              <w:bottom w:val="single" w:sz="8" w:space="0" w:color="000000"/>
              <w:right w:val="single" w:sz="8" w:space="0" w:color="000000"/>
            </w:tcBorders>
            <w:vAlign w:val="center"/>
          </w:tcPr>
          <w:p w14:paraId="4CCA3E90" w14:textId="77777777" w:rsidR="008E405F" w:rsidRDefault="00123CFD">
            <w:pPr>
              <w:spacing w:after="0" w:line="259" w:lineRule="auto"/>
              <w:ind w:left="0" w:firstLine="0"/>
            </w:pPr>
            <w:r>
              <w:t xml:space="preserve">AWS for decentralized </w:t>
            </w:r>
          </w:p>
          <w:p w14:paraId="05CEE58B" w14:textId="77777777" w:rsidR="008E405F" w:rsidRDefault="00123CFD">
            <w:pPr>
              <w:spacing w:after="0" w:line="259" w:lineRule="auto"/>
              <w:ind w:left="0" w:firstLine="0"/>
            </w:pPr>
            <w:r>
              <w:t xml:space="preserve">clinical trials </w:t>
            </w:r>
          </w:p>
        </w:tc>
      </w:tr>
    </w:tbl>
    <w:p w14:paraId="1C0961D1" w14:textId="77777777" w:rsidR="008E405F" w:rsidRDefault="00123CFD" w:rsidP="00043F62">
      <w:pPr>
        <w:spacing w:after="25" w:line="259" w:lineRule="auto"/>
        <w:ind w:left="0" w:firstLine="0"/>
      </w:pPr>
      <w:r>
        <w:t xml:space="preserve"> </w:t>
      </w:r>
    </w:p>
    <w:p w14:paraId="2EFA60F9" w14:textId="77777777" w:rsidR="008E405F" w:rsidRDefault="00123CFD">
      <w:r>
        <w:t xml:space="preserve">Telemedicine technologies are transforming pharmaceutical operations by increasing patient engagement, streamlining clinical trials, and improving drug safety monitoring. These technologies are performing as digital health solutions and bridging gaps between pharma companies, healthcare providers, and patients. Telemedicines are enabling real-time data exchange and remote care delivery [13].  </w:t>
      </w:r>
    </w:p>
    <w:p w14:paraId="56670653" w14:textId="77777777" w:rsidR="008E405F" w:rsidRDefault="00123CFD">
      <w:pPr>
        <w:spacing w:after="17" w:line="259" w:lineRule="auto"/>
        <w:ind w:left="0" w:firstLine="0"/>
      </w:pPr>
      <w:r>
        <w:t xml:space="preserve"> </w:t>
      </w:r>
    </w:p>
    <w:p w14:paraId="496A7E23" w14:textId="77777777" w:rsidR="008E405F" w:rsidRDefault="00123CFD">
      <w:r>
        <w:t xml:space="preserve">The key telemedicine technologies in the pharma sector include: Remote Patient Monitoring </w:t>
      </w:r>
    </w:p>
    <w:p w14:paraId="1575D258" w14:textId="77777777" w:rsidR="00043F62" w:rsidRDefault="00123CFD">
      <w:r>
        <w:t xml:space="preserve">(RPM), Virtual Consultations &amp; ePrescribing, AI-powered Telemedicine Platforms, and Decentralized Clinical Trials (DCTs). The benefits of telemedicine in pharma are faster drug development, improved patient adherence, real-world data (RWD) collection, and cost savings.  </w:t>
      </w:r>
    </w:p>
    <w:p w14:paraId="64133456" w14:textId="77777777" w:rsidR="008E405F" w:rsidRDefault="00123CFD">
      <w:r>
        <w:t xml:space="preserve"> </w:t>
      </w:r>
    </w:p>
    <w:p w14:paraId="4FCBB430" w14:textId="77777777" w:rsidR="008E405F" w:rsidRDefault="00123CFD" w:rsidP="00043F62">
      <w:pPr>
        <w:spacing w:after="16" w:line="259" w:lineRule="auto"/>
        <w:ind w:left="0" w:firstLine="0"/>
      </w:pPr>
      <w:r>
        <w:rPr>
          <w:b/>
        </w:rPr>
        <w:t xml:space="preserve">Virtual Reality (VR) and Augmented Reality (AR) in the Pharmaceutical Industry: </w:t>
      </w:r>
    </w:p>
    <w:p w14:paraId="54CC7352" w14:textId="77777777" w:rsidR="008E405F" w:rsidRDefault="00123CFD" w:rsidP="00043F62">
      <w:pPr>
        <w:spacing w:after="16" w:line="259" w:lineRule="auto"/>
        <w:ind w:left="0" w:firstLine="0"/>
      </w:pPr>
      <w:r>
        <w:t xml:space="preserve">Virtual and augmented reality are two emerging and game-changing technologies in the pharmaceutical sector. These technologies are transforming drug development, medical training, patient engagement, and drug manufacturing efficiency. These tools are also involved in bridging gaps between scientific innovation and real-world applications by offering new ways to visualize complete data [14], train professionals and improve therapeutic results. The key applications of VR/AR include drug discovery &amp; molecular modeling, medical &amp; pharma training, patient therapy &amp; adherence, and manufacturing &amp; quality control.   </w:t>
      </w:r>
    </w:p>
    <w:p w14:paraId="4271017B" w14:textId="77777777" w:rsidR="008E405F" w:rsidRDefault="00123CFD">
      <w:pPr>
        <w:spacing w:after="21" w:line="259" w:lineRule="auto"/>
        <w:ind w:left="0" w:firstLine="0"/>
      </w:pPr>
      <w:r>
        <w:t xml:space="preserve"> </w:t>
      </w:r>
    </w:p>
    <w:p w14:paraId="0452ACB8" w14:textId="77777777" w:rsidR="00043F62" w:rsidRDefault="00043F62">
      <w:pPr>
        <w:pStyle w:val="Heading1"/>
        <w:ind w:left="14" w:right="6"/>
      </w:pPr>
    </w:p>
    <w:p w14:paraId="72B8CAEF" w14:textId="77777777" w:rsidR="00043F62" w:rsidRDefault="00043F62">
      <w:pPr>
        <w:pStyle w:val="Heading1"/>
        <w:ind w:left="14" w:right="6"/>
      </w:pPr>
    </w:p>
    <w:p w14:paraId="364E2697" w14:textId="77777777" w:rsidR="00043F62" w:rsidRDefault="00043F62">
      <w:pPr>
        <w:pStyle w:val="Heading1"/>
        <w:ind w:left="14" w:right="6"/>
      </w:pPr>
    </w:p>
    <w:p w14:paraId="6F2B3AC1" w14:textId="77777777" w:rsidR="00043F62" w:rsidRDefault="00043F62">
      <w:pPr>
        <w:pStyle w:val="Heading1"/>
        <w:ind w:left="14" w:right="6"/>
      </w:pPr>
    </w:p>
    <w:p w14:paraId="6879FE63" w14:textId="77777777" w:rsidR="008E405F" w:rsidRDefault="00123CFD">
      <w:pPr>
        <w:pStyle w:val="Heading1"/>
        <w:ind w:left="14" w:right="6"/>
      </w:pPr>
      <w:r>
        <w:t xml:space="preserve">Table 3: Benefits of VR/AR in Pharma Sector </w:t>
      </w:r>
    </w:p>
    <w:p w14:paraId="2B211AF8"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115" w:type="dxa"/>
        </w:tblCellMar>
        <w:tblLook w:val="04A0" w:firstRow="1" w:lastRow="0" w:firstColumn="1" w:lastColumn="0" w:noHBand="0" w:noVBand="1"/>
      </w:tblPr>
      <w:tblGrid>
        <w:gridCol w:w="4681"/>
        <w:gridCol w:w="4681"/>
      </w:tblGrid>
      <w:tr w:rsidR="008E405F" w14:paraId="12805D33" w14:textId="77777777" w:rsidTr="00043F62">
        <w:trPr>
          <w:trHeight w:val="497"/>
        </w:trPr>
        <w:tc>
          <w:tcPr>
            <w:tcW w:w="468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014715D" w14:textId="77777777" w:rsidR="008E405F" w:rsidRDefault="00123CFD">
            <w:pPr>
              <w:spacing w:after="0" w:line="259" w:lineRule="auto"/>
              <w:ind w:left="0" w:firstLine="0"/>
            </w:pPr>
            <w:r>
              <w:t xml:space="preserve">Benefit </w:t>
            </w:r>
          </w:p>
        </w:tc>
        <w:tc>
          <w:tcPr>
            <w:tcW w:w="468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B4DCB63" w14:textId="77777777" w:rsidR="008E405F" w:rsidRDefault="00123CFD">
            <w:pPr>
              <w:spacing w:after="0" w:line="259" w:lineRule="auto"/>
              <w:ind w:left="0" w:firstLine="0"/>
            </w:pPr>
            <w:r>
              <w:t xml:space="preserve">Example  </w:t>
            </w:r>
          </w:p>
        </w:tc>
      </w:tr>
      <w:tr w:rsidR="008E405F" w14:paraId="7DFCB5F8" w14:textId="77777777">
        <w:trPr>
          <w:trHeight w:val="770"/>
        </w:trPr>
        <w:tc>
          <w:tcPr>
            <w:tcW w:w="4681" w:type="dxa"/>
            <w:tcBorders>
              <w:top w:val="single" w:sz="8" w:space="0" w:color="000000"/>
              <w:left w:val="single" w:sz="8" w:space="0" w:color="000000"/>
              <w:bottom w:val="single" w:sz="8" w:space="0" w:color="000000"/>
              <w:right w:val="single" w:sz="8" w:space="0" w:color="000000"/>
            </w:tcBorders>
          </w:tcPr>
          <w:p w14:paraId="618424E6" w14:textId="77777777" w:rsidR="008E405F" w:rsidRDefault="00123CFD">
            <w:pPr>
              <w:spacing w:after="0" w:line="259" w:lineRule="auto"/>
              <w:ind w:left="0" w:firstLine="0"/>
            </w:pPr>
            <w:r>
              <w:t xml:space="preserve">Accelerated R&amp;D </w:t>
            </w:r>
          </w:p>
        </w:tc>
        <w:tc>
          <w:tcPr>
            <w:tcW w:w="4681" w:type="dxa"/>
            <w:tcBorders>
              <w:top w:val="single" w:sz="8" w:space="0" w:color="000000"/>
              <w:left w:val="single" w:sz="8" w:space="0" w:color="000000"/>
              <w:bottom w:val="single" w:sz="8" w:space="0" w:color="000000"/>
              <w:right w:val="single" w:sz="8" w:space="0" w:color="000000"/>
            </w:tcBorders>
            <w:vAlign w:val="center"/>
          </w:tcPr>
          <w:p w14:paraId="25886E50" w14:textId="77777777" w:rsidR="008E405F" w:rsidRDefault="00123CFD">
            <w:pPr>
              <w:spacing w:after="0" w:line="259" w:lineRule="auto"/>
              <w:ind w:left="0" w:firstLine="0"/>
            </w:pPr>
            <w:r>
              <w:t xml:space="preserve">VR shortens drug discovery by 20% (Nanome). </w:t>
            </w:r>
          </w:p>
        </w:tc>
      </w:tr>
      <w:tr w:rsidR="008E405F" w14:paraId="115ED612" w14:textId="77777777">
        <w:trPr>
          <w:trHeight w:val="773"/>
        </w:trPr>
        <w:tc>
          <w:tcPr>
            <w:tcW w:w="4681" w:type="dxa"/>
            <w:tcBorders>
              <w:top w:val="single" w:sz="8" w:space="0" w:color="000000"/>
              <w:left w:val="single" w:sz="8" w:space="0" w:color="000000"/>
              <w:bottom w:val="single" w:sz="8" w:space="0" w:color="000000"/>
              <w:right w:val="single" w:sz="8" w:space="0" w:color="000000"/>
            </w:tcBorders>
          </w:tcPr>
          <w:p w14:paraId="62DDF329" w14:textId="77777777" w:rsidR="008E405F" w:rsidRDefault="00123CFD">
            <w:pPr>
              <w:spacing w:after="0" w:line="259" w:lineRule="auto"/>
              <w:ind w:left="0" w:firstLine="0"/>
            </w:pPr>
            <w:r>
              <w:t xml:space="preserve">Enhanced Training </w:t>
            </w:r>
          </w:p>
        </w:tc>
        <w:tc>
          <w:tcPr>
            <w:tcW w:w="4681" w:type="dxa"/>
            <w:tcBorders>
              <w:top w:val="single" w:sz="8" w:space="0" w:color="000000"/>
              <w:left w:val="single" w:sz="8" w:space="0" w:color="000000"/>
              <w:bottom w:val="single" w:sz="8" w:space="0" w:color="000000"/>
              <w:right w:val="single" w:sz="8" w:space="0" w:color="000000"/>
            </w:tcBorders>
            <w:vAlign w:val="center"/>
          </w:tcPr>
          <w:p w14:paraId="77C666B3" w14:textId="77777777" w:rsidR="008E405F" w:rsidRDefault="00123CFD">
            <w:pPr>
              <w:spacing w:after="0" w:line="259" w:lineRule="auto"/>
              <w:ind w:left="0" w:firstLine="0"/>
            </w:pPr>
            <w:r>
              <w:t xml:space="preserve">AR reduces surgical errors by 40% (Osso VR). </w:t>
            </w:r>
          </w:p>
        </w:tc>
      </w:tr>
      <w:tr w:rsidR="008E405F" w14:paraId="25C0DF79" w14:textId="77777777">
        <w:trPr>
          <w:trHeight w:val="497"/>
        </w:trPr>
        <w:tc>
          <w:tcPr>
            <w:tcW w:w="4681" w:type="dxa"/>
            <w:tcBorders>
              <w:top w:val="single" w:sz="8" w:space="0" w:color="000000"/>
              <w:left w:val="single" w:sz="8" w:space="0" w:color="000000"/>
              <w:bottom w:val="single" w:sz="8" w:space="0" w:color="000000"/>
              <w:right w:val="single" w:sz="8" w:space="0" w:color="000000"/>
            </w:tcBorders>
            <w:vAlign w:val="center"/>
          </w:tcPr>
          <w:p w14:paraId="7E471985" w14:textId="77777777" w:rsidR="008E405F" w:rsidRDefault="00123CFD">
            <w:pPr>
              <w:spacing w:after="0" w:line="259" w:lineRule="auto"/>
              <w:ind w:left="0" w:firstLine="0"/>
            </w:pPr>
            <w:r>
              <w:t xml:space="preserve">Improved Patient Outcomes </w:t>
            </w:r>
          </w:p>
        </w:tc>
        <w:tc>
          <w:tcPr>
            <w:tcW w:w="4681" w:type="dxa"/>
            <w:tcBorders>
              <w:top w:val="single" w:sz="8" w:space="0" w:color="000000"/>
              <w:left w:val="single" w:sz="8" w:space="0" w:color="000000"/>
              <w:bottom w:val="single" w:sz="8" w:space="0" w:color="000000"/>
              <w:right w:val="single" w:sz="8" w:space="0" w:color="000000"/>
            </w:tcBorders>
            <w:vAlign w:val="center"/>
          </w:tcPr>
          <w:p w14:paraId="08AB113C" w14:textId="77777777" w:rsidR="008E405F" w:rsidRDefault="00123CFD">
            <w:pPr>
              <w:spacing w:after="0" w:line="259" w:lineRule="auto"/>
              <w:ind w:left="0" w:firstLine="0"/>
            </w:pPr>
            <w:r>
              <w:t xml:space="preserve">VR pain therapy cuts opioids by 30%.  </w:t>
            </w:r>
          </w:p>
        </w:tc>
      </w:tr>
      <w:tr w:rsidR="008E405F" w14:paraId="710F4649" w14:textId="77777777">
        <w:trPr>
          <w:trHeight w:val="497"/>
        </w:trPr>
        <w:tc>
          <w:tcPr>
            <w:tcW w:w="4681" w:type="dxa"/>
            <w:tcBorders>
              <w:top w:val="single" w:sz="8" w:space="0" w:color="000000"/>
              <w:left w:val="single" w:sz="8" w:space="0" w:color="000000"/>
              <w:bottom w:val="single" w:sz="8" w:space="0" w:color="000000"/>
              <w:right w:val="single" w:sz="8" w:space="0" w:color="000000"/>
            </w:tcBorders>
            <w:vAlign w:val="center"/>
          </w:tcPr>
          <w:p w14:paraId="7349F308" w14:textId="77777777" w:rsidR="008E405F" w:rsidRDefault="00123CFD">
            <w:pPr>
              <w:spacing w:after="0" w:line="259" w:lineRule="auto"/>
              <w:ind w:left="0" w:firstLine="0"/>
            </w:pPr>
            <w:r>
              <w:t xml:space="preserve">Cost Savings </w:t>
            </w:r>
          </w:p>
        </w:tc>
        <w:tc>
          <w:tcPr>
            <w:tcW w:w="4681" w:type="dxa"/>
            <w:tcBorders>
              <w:top w:val="single" w:sz="8" w:space="0" w:color="000000"/>
              <w:left w:val="single" w:sz="8" w:space="0" w:color="000000"/>
              <w:bottom w:val="single" w:sz="8" w:space="0" w:color="000000"/>
              <w:right w:val="single" w:sz="8" w:space="0" w:color="000000"/>
            </w:tcBorders>
            <w:vAlign w:val="center"/>
          </w:tcPr>
          <w:p w14:paraId="76FD5E15" w14:textId="77777777" w:rsidR="008E405F" w:rsidRDefault="00123CFD">
            <w:pPr>
              <w:spacing w:after="0" w:line="259" w:lineRule="auto"/>
              <w:ind w:left="0" w:firstLine="0"/>
            </w:pPr>
            <w:r>
              <w:t xml:space="preserve">AR maintenance reduces downtime by 50%. </w:t>
            </w:r>
          </w:p>
        </w:tc>
      </w:tr>
    </w:tbl>
    <w:p w14:paraId="720845B1" w14:textId="77777777" w:rsidR="008E405F" w:rsidRDefault="00123CFD">
      <w:pPr>
        <w:spacing w:after="17" w:line="259" w:lineRule="auto"/>
        <w:ind w:left="0" w:firstLine="0"/>
      </w:pPr>
      <w:r>
        <w:t xml:space="preserve"> </w:t>
      </w:r>
    </w:p>
    <w:p w14:paraId="42669C26" w14:textId="77777777" w:rsidR="008E405F" w:rsidRDefault="00123CFD">
      <w:r>
        <w:t xml:space="preserve">The future trends of VR/AR in the pharma sector include the metaverse clinical trials, AI + AR diagnostics, and Haptic Feedback VR.  </w:t>
      </w:r>
    </w:p>
    <w:p w14:paraId="75813997" w14:textId="77777777" w:rsidR="008E405F" w:rsidRDefault="00123CFD">
      <w:pPr>
        <w:spacing w:after="27" w:line="259" w:lineRule="auto"/>
        <w:ind w:left="0" w:firstLine="0"/>
      </w:pPr>
      <w:r>
        <w:t xml:space="preserve"> </w:t>
      </w:r>
    </w:p>
    <w:p w14:paraId="798B433F" w14:textId="77777777" w:rsidR="008E405F" w:rsidRDefault="00123CFD" w:rsidP="00043F62">
      <w:pPr>
        <w:spacing w:after="8" w:line="266" w:lineRule="auto"/>
        <w:ind w:left="0" w:firstLine="0"/>
      </w:pPr>
      <w:r>
        <w:rPr>
          <w:b/>
        </w:rPr>
        <w:t xml:space="preserve">Big Data Analytics in the Pharmaceutical Industry:  </w:t>
      </w:r>
    </w:p>
    <w:p w14:paraId="6E9FCF94" w14:textId="77777777" w:rsidR="008E405F" w:rsidRDefault="00123CFD">
      <w:pPr>
        <w:spacing w:after="16" w:line="259" w:lineRule="auto"/>
        <w:ind w:left="0" w:firstLine="0"/>
      </w:pPr>
      <w:r>
        <w:t xml:space="preserve"> </w:t>
      </w:r>
    </w:p>
    <w:p w14:paraId="03EB5F2C" w14:textId="77777777" w:rsidR="008E405F" w:rsidRDefault="00123CFD">
      <w:r>
        <w:t xml:space="preserve">The pharmaceutical industry generates massive volumes of data in different sectors including clinical trials, electronic health records (EHRs), genomics, supply chain operations, and wearables. Big Data analytics–powered by AI, machine learning (ML), and cloud computing–is revolutionizing drug discovery, personalized medicine, and regulatory compliance. Big data is accelerating innovation, reducing costs, and improving patient outcomes. The key applications of big data in the pharmaceutical industry include: drug discovery &amp; development, precision medicine, pharmacovigilance &amp; drug safety, supply chain &amp; manufacturing, and commercial &amp; market analytics. </w:t>
      </w:r>
    </w:p>
    <w:p w14:paraId="77AEDEF1" w14:textId="77777777" w:rsidR="008E405F" w:rsidRDefault="00123CFD">
      <w:pPr>
        <w:spacing w:after="21" w:line="259" w:lineRule="auto"/>
        <w:ind w:left="0" w:firstLine="0"/>
      </w:pPr>
      <w:r>
        <w:t xml:space="preserve"> </w:t>
      </w:r>
    </w:p>
    <w:p w14:paraId="0AABBA17" w14:textId="77777777" w:rsidR="008E405F" w:rsidRDefault="00123CFD">
      <w:pPr>
        <w:pStyle w:val="Heading1"/>
        <w:ind w:left="14"/>
      </w:pPr>
      <w:r>
        <w:t xml:space="preserve">Table 4: Technologies Enabling Big Data in Pharmaceutical Industry </w:t>
      </w:r>
    </w:p>
    <w:p w14:paraId="790EC59D"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72" w:type="dxa"/>
        </w:tblCellMar>
        <w:tblLook w:val="04A0" w:firstRow="1" w:lastRow="0" w:firstColumn="1" w:lastColumn="0" w:noHBand="0" w:noVBand="1"/>
      </w:tblPr>
      <w:tblGrid>
        <w:gridCol w:w="3121"/>
        <w:gridCol w:w="3120"/>
        <w:gridCol w:w="3121"/>
      </w:tblGrid>
      <w:tr w:rsidR="008E405F" w14:paraId="5E96B644" w14:textId="77777777" w:rsidTr="00043F62">
        <w:trPr>
          <w:trHeight w:val="494"/>
        </w:trPr>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46C02041" w14:textId="77777777" w:rsidR="008E405F" w:rsidRDefault="00123CFD">
            <w:pPr>
              <w:spacing w:after="0" w:line="259" w:lineRule="auto"/>
              <w:ind w:left="0" w:firstLine="0"/>
            </w:pPr>
            <w:r>
              <w:t xml:space="preserve">Technology  </w:t>
            </w:r>
          </w:p>
        </w:tc>
        <w:tc>
          <w:tcPr>
            <w:tcW w:w="312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53A24025" w14:textId="77777777" w:rsidR="008E405F" w:rsidRDefault="00123CFD">
            <w:pPr>
              <w:spacing w:after="0" w:line="259" w:lineRule="auto"/>
              <w:ind w:left="0" w:firstLine="0"/>
            </w:pPr>
            <w:r>
              <w:t xml:space="preserve">Role </w:t>
            </w:r>
          </w:p>
        </w:tc>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2839FD0" w14:textId="77777777" w:rsidR="008E405F" w:rsidRDefault="00123CFD">
            <w:pPr>
              <w:spacing w:after="0" w:line="259" w:lineRule="auto"/>
              <w:ind w:left="0" w:firstLine="0"/>
            </w:pPr>
            <w:r>
              <w:t xml:space="preserve">Example </w:t>
            </w:r>
          </w:p>
        </w:tc>
      </w:tr>
      <w:tr w:rsidR="008E405F" w14:paraId="2863C47E"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56DB4863" w14:textId="77777777" w:rsidR="008E405F" w:rsidRDefault="00123CFD">
            <w:pPr>
              <w:spacing w:after="0" w:line="259" w:lineRule="auto"/>
              <w:ind w:left="0" w:firstLine="0"/>
            </w:pPr>
            <w:r>
              <w:t xml:space="preserve">AI/ML </w:t>
            </w:r>
          </w:p>
        </w:tc>
        <w:tc>
          <w:tcPr>
            <w:tcW w:w="3120" w:type="dxa"/>
            <w:tcBorders>
              <w:top w:val="single" w:sz="8" w:space="0" w:color="000000"/>
              <w:left w:val="single" w:sz="8" w:space="0" w:color="000000"/>
              <w:bottom w:val="single" w:sz="8" w:space="0" w:color="000000"/>
              <w:right w:val="single" w:sz="8" w:space="0" w:color="000000"/>
            </w:tcBorders>
          </w:tcPr>
          <w:p w14:paraId="3574D735" w14:textId="77777777" w:rsidR="008E405F" w:rsidRDefault="00123CFD">
            <w:pPr>
              <w:spacing w:after="0" w:line="259" w:lineRule="auto"/>
              <w:ind w:left="0" w:firstLine="0"/>
            </w:pPr>
            <w:r>
              <w:t xml:space="preserve">Predictive analytics, NLP </w:t>
            </w:r>
          </w:p>
        </w:tc>
        <w:tc>
          <w:tcPr>
            <w:tcW w:w="3121" w:type="dxa"/>
            <w:tcBorders>
              <w:top w:val="single" w:sz="8" w:space="0" w:color="000000"/>
              <w:left w:val="single" w:sz="8" w:space="0" w:color="000000"/>
              <w:bottom w:val="single" w:sz="8" w:space="0" w:color="000000"/>
              <w:right w:val="single" w:sz="8" w:space="0" w:color="000000"/>
            </w:tcBorders>
            <w:vAlign w:val="center"/>
          </w:tcPr>
          <w:p w14:paraId="5E70CC8A" w14:textId="77777777" w:rsidR="008E405F" w:rsidRDefault="00123CFD">
            <w:pPr>
              <w:spacing w:after="0" w:line="259" w:lineRule="auto"/>
              <w:ind w:left="0" w:firstLine="0"/>
            </w:pPr>
            <w:r>
              <w:t xml:space="preserve">IBM Watson for Drug Repurposing </w:t>
            </w:r>
          </w:p>
        </w:tc>
      </w:tr>
      <w:tr w:rsidR="008E405F" w14:paraId="58531E98"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1675E101" w14:textId="77777777" w:rsidR="008E405F" w:rsidRDefault="00123CFD">
            <w:pPr>
              <w:spacing w:after="0" w:line="259" w:lineRule="auto"/>
              <w:ind w:left="0" w:firstLine="0"/>
            </w:pPr>
            <w:r>
              <w:lastRenderedPageBreak/>
              <w:t xml:space="preserve">Cloud Computing  </w:t>
            </w:r>
          </w:p>
        </w:tc>
        <w:tc>
          <w:tcPr>
            <w:tcW w:w="3120" w:type="dxa"/>
            <w:tcBorders>
              <w:top w:val="single" w:sz="8" w:space="0" w:color="000000"/>
              <w:left w:val="single" w:sz="8" w:space="0" w:color="000000"/>
              <w:bottom w:val="single" w:sz="8" w:space="0" w:color="000000"/>
              <w:right w:val="single" w:sz="8" w:space="0" w:color="000000"/>
            </w:tcBorders>
            <w:vAlign w:val="center"/>
          </w:tcPr>
          <w:p w14:paraId="4345A4ED" w14:textId="77777777" w:rsidR="008E405F" w:rsidRDefault="00123CFD">
            <w:pPr>
              <w:spacing w:after="0" w:line="259" w:lineRule="auto"/>
              <w:ind w:left="0" w:firstLine="0"/>
            </w:pPr>
            <w:r>
              <w:t xml:space="preserve">Scalable data storage (e.g., </w:t>
            </w:r>
          </w:p>
          <w:p w14:paraId="61D4EF76" w14:textId="77777777" w:rsidR="008E405F" w:rsidRDefault="00123CFD">
            <w:pPr>
              <w:spacing w:after="0" w:line="259" w:lineRule="auto"/>
              <w:ind w:left="0" w:firstLine="0"/>
            </w:pPr>
            <w:r>
              <w:t xml:space="preserve">AWS, Google Cloud) </w:t>
            </w:r>
          </w:p>
        </w:tc>
        <w:tc>
          <w:tcPr>
            <w:tcW w:w="3121" w:type="dxa"/>
            <w:tcBorders>
              <w:top w:val="single" w:sz="8" w:space="0" w:color="000000"/>
              <w:left w:val="single" w:sz="8" w:space="0" w:color="000000"/>
              <w:bottom w:val="single" w:sz="8" w:space="0" w:color="000000"/>
              <w:right w:val="single" w:sz="8" w:space="0" w:color="000000"/>
            </w:tcBorders>
            <w:vAlign w:val="center"/>
          </w:tcPr>
          <w:p w14:paraId="40F37A21" w14:textId="77777777" w:rsidR="008E405F" w:rsidRDefault="00123CFD">
            <w:pPr>
              <w:spacing w:after="0" w:line="259" w:lineRule="auto"/>
              <w:ind w:left="0" w:firstLine="0"/>
            </w:pPr>
            <w:r>
              <w:t xml:space="preserve">Moderna’s mRNA vaccine </w:t>
            </w:r>
          </w:p>
          <w:p w14:paraId="57A10BEB" w14:textId="77777777" w:rsidR="008E405F" w:rsidRDefault="00123CFD">
            <w:pPr>
              <w:spacing w:after="0" w:line="259" w:lineRule="auto"/>
              <w:ind w:left="0" w:firstLine="0"/>
            </w:pPr>
            <w:r>
              <w:t xml:space="preserve">data lakes </w:t>
            </w:r>
          </w:p>
        </w:tc>
      </w:tr>
      <w:tr w:rsidR="008E405F" w14:paraId="520BCBA1" w14:textId="77777777">
        <w:trPr>
          <w:trHeight w:val="494"/>
        </w:trPr>
        <w:tc>
          <w:tcPr>
            <w:tcW w:w="3121" w:type="dxa"/>
            <w:tcBorders>
              <w:top w:val="single" w:sz="8" w:space="0" w:color="000000"/>
              <w:left w:val="single" w:sz="8" w:space="0" w:color="000000"/>
              <w:bottom w:val="single" w:sz="8" w:space="0" w:color="000000"/>
              <w:right w:val="single" w:sz="8" w:space="0" w:color="000000"/>
            </w:tcBorders>
            <w:vAlign w:val="center"/>
          </w:tcPr>
          <w:p w14:paraId="07C9A076" w14:textId="77777777" w:rsidR="008E405F" w:rsidRDefault="00123CFD">
            <w:pPr>
              <w:spacing w:after="0" w:line="259" w:lineRule="auto"/>
              <w:ind w:left="0" w:firstLine="0"/>
            </w:pPr>
            <w:r>
              <w:t xml:space="preserve">Blockchain </w:t>
            </w:r>
          </w:p>
        </w:tc>
        <w:tc>
          <w:tcPr>
            <w:tcW w:w="3120" w:type="dxa"/>
            <w:tcBorders>
              <w:top w:val="single" w:sz="8" w:space="0" w:color="000000"/>
              <w:left w:val="single" w:sz="8" w:space="0" w:color="000000"/>
              <w:bottom w:val="single" w:sz="8" w:space="0" w:color="000000"/>
              <w:right w:val="single" w:sz="8" w:space="0" w:color="000000"/>
            </w:tcBorders>
            <w:vAlign w:val="center"/>
          </w:tcPr>
          <w:p w14:paraId="5D1D9047" w14:textId="77777777" w:rsidR="008E405F" w:rsidRDefault="00123CFD">
            <w:pPr>
              <w:spacing w:after="0" w:line="259" w:lineRule="auto"/>
              <w:ind w:left="0" w:firstLine="0"/>
            </w:pPr>
            <w:r>
              <w:t xml:space="preserve">Secure data sharing </w:t>
            </w:r>
          </w:p>
        </w:tc>
        <w:tc>
          <w:tcPr>
            <w:tcW w:w="3121" w:type="dxa"/>
            <w:tcBorders>
              <w:top w:val="single" w:sz="8" w:space="0" w:color="000000"/>
              <w:left w:val="single" w:sz="8" w:space="0" w:color="000000"/>
              <w:bottom w:val="single" w:sz="8" w:space="0" w:color="000000"/>
              <w:right w:val="single" w:sz="8" w:space="0" w:color="000000"/>
            </w:tcBorders>
            <w:vAlign w:val="center"/>
          </w:tcPr>
          <w:p w14:paraId="5234E396" w14:textId="77777777" w:rsidR="008E405F" w:rsidRDefault="00123CFD">
            <w:pPr>
              <w:spacing w:after="0" w:line="259" w:lineRule="auto"/>
              <w:ind w:left="0" w:firstLine="0"/>
              <w:jc w:val="both"/>
            </w:pPr>
            <w:r>
              <w:t xml:space="preserve">MediLedger for supply chain  </w:t>
            </w:r>
          </w:p>
        </w:tc>
      </w:tr>
      <w:tr w:rsidR="008E405F" w14:paraId="0267DF93" w14:textId="77777777">
        <w:trPr>
          <w:trHeight w:val="497"/>
        </w:trPr>
        <w:tc>
          <w:tcPr>
            <w:tcW w:w="3121" w:type="dxa"/>
            <w:tcBorders>
              <w:top w:val="single" w:sz="8" w:space="0" w:color="000000"/>
              <w:left w:val="single" w:sz="8" w:space="0" w:color="000000"/>
              <w:bottom w:val="single" w:sz="8" w:space="0" w:color="000000"/>
              <w:right w:val="single" w:sz="8" w:space="0" w:color="000000"/>
            </w:tcBorders>
            <w:vAlign w:val="center"/>
          </w:tcPr>
          <w:p w14:paraId="298FCD09" w14:textId="77777777" w:rsidR="008E405F" w:rsidRDefault="00123CFD">
            <w:pPr>
              <w:spacing w:after="0" w:line="259" w:lineRule="auto"/>
              <w:ind w:left="0" w:firstLine="0"/>
            </w:pPr>
            <w:r>
              <w:t xml:space="preserve">Edge Computing </w:t>
            </w:r>
          </w:p>
        </w:tc>
        <w:tc>
          <w:tcPr>
            <w:tcW w:w="3120" w:type="dxa"/>
            <w:tcBorders>
              <w:top w:val="single" w:sz="8" w:space="0" w:color="000000"/>
              <w:left w:val="single" w:sz="8" w:space="0" w:color="000000"/>
              <w:bottom w:val="single" w:sz="8" w:space="0" w:color="000000"/>
              <w:right w:val="single" w:sz="8" w:space="0" w:color="000000"/>
            </w:tcBorders>
            <w:vAlign w:val="center"/>
          </w:tcPr>
          <w:p w14:paraId="0CB99B2E" w14:textId="77777777" w:rsidR="008E405F" w:rsidRDefault="00123CFD">
            <w:pPr>
              <w:spacing w:after="0" w:line="259" w:lineRule="auto"/>
              <w:ind w:left="0" w:firstLine="0"/>
            </w:pPr>
            <w:r>
              <w:t xml:space="preserve">Real-time loT data processing </w:t>
            </w:r>
          </w:p>
        </w:tc>
        <w:tc>
          <w:tcPr>
            <w:tcW w:w="3121" w:type="dxa"/>
            <w:tcBorders>
              <w:top w:val="single" w:sz="8" w:space="0" w:color="000000"/>
              <w:left w:val="single" w:sz="8" w:space="0" w:color="000000"/>
              <w:bottom w:val="single" w:sz="8" w:space="0" w:color="000000"/>
              <w:right w:val="single" w:sz="8" w:space="0" w:color="000000"/>
            </w:tcBorders>
            <w:vAlign w:val="center"/>
          </w:tcPr>
          <w:p w14:paraId="4782DD12" w14:textId="77777777" w:rsidR="008E405F" w:rsidRDefault="00123CFD">
            <w:pPr>
              <w:spacing w:after="0" w:line="259" w:lineRule="auto"/>
              <w:ind w:left="0" w:firstLine="0"/>
            </w:pPr>
            <w:r>
              <w:t xml:space="preserve">Smart pill dispenser </w:t>
            </w:r>
          </w:p>
        </w:tc>
      </w:tr>
    </w:tbl>
    <w:p w14:paraId="65F8AA52" w14:textId="77777777" w:rsidR="008E405F" w:rsidRDefault="00123CFD">
      <w:pPr>
        <w:spacing w:after="16" w:line="259" w:lineRule="auto"/>
        <w:ind w:left="0" w:firstLine="0"/>
      </w:pPr>
      <w:r>
        <w:t xml:space="preserve"> </w:t>
      </w:r>
    </w:p>
    <w:p w14:paraId="0FAAF42B" w14:textId="77777777" w:rsidR="008E405F" w:rsidRDefault="00123CFD">
      <w:pPr>
        <w:spacing w:after="19" w:line="259" w:lineRule="auto"/>
        <w:ind w:left="0" w:firstLine="0"/>
      </w:pPr>
      <w:r>
        <w:t xml:space="preserve"> </w:t>
      </w:r>
    </w:p>
    <w:p w14:paraId="2C65E113" w14:textId="77777777" w:rsidR="008E405F" w:rsidRDefault="00123CFD" w:rsidP="00043F62">
      <w:r>
        <w:rPr>
          <w:b/>
        </w:rPr>
        <w:t>Problem Statement:</w:t>
      </w:r>
      <w:r>
        <w:t xml:space="preserve"> Data Silos Due to the Incompatible Systems in Pharmaceut</w:t>
      </w:r>
      <w:r w:rsidR="00043F62">
        <w:t>ical Communication Technologies.</w:t>
      </w:r>
    </w:p>
    <w:p w14:paraId="5B786C5E" w14:textId="77777777" w:rsidR="008E405F" w:rsidRDefault="00123CFD" w:rsidP="00043F62">
      <w:pPr>
        <w:spacing w:after="21" w:line="259" w:lineRule="auto"/>
        <w:ind w:left="0" w:firstLine="0"/>
      </w:pPr>
      <w:r>
        <w:t xml:space="preserve">The pharmaceutical industry faces a critical challenge in achieving seamless data connectivity. It is due to the fragmented and incompatible systems across ecosystems. Major electronic health record (EHR) platforms like Epic and Cerner use proprietary data formats, while legacy systems coexist with modern cloud-based solutions which is creating invincible data silos. This lack of interoperability affects clinical trials platforms, pharmacovigilance systems, supply chain management tools, and real-world evidence (RWE) generation.  </w:t>
      </w:r>
    </w:p>
    <w:p w14:paraId="35E24384" w14:textId="77777777" w:rsidR="008E405F" w:rsidRDefault="00123CFD">
      <w:pPr>
        <w:spacing w:after="21" w:line="259" w:lineRule="auto"/>
        <w:ind w:left="0" w:firstLine="0"/>
      </w:pPr>
      <w:r>
        <w:t xml:space="preserve"> </w:t>
      </w:r>
    </w:p>
    <w:p w14:paraId="4444F1F9" w14:textId="77777777" w:rsidR="008E405F" w:rsidRDefault="00123CFD" w:rsidP="00043F62">
      <w:pPr>
        <w:spacing w:after="8" w:line="266" w:lineRule="auto"/>
      </w:pPr>
      <w:r>
        <w:rPr>
          <w:b/>
        </w:rPr>
        <w:t xml:space="preserve">Root Causes of Data Silos: </w:t>
      </w:r>
    </w:p>
    <w:p w14:paraId="2403C130" w14:textId="77777777" w:rsidR="008E405F" w:rsidRDefault="00123CFD" w:rsidP="00043F62">
      <w:pPr>
        <w:spacing w:after="19" w:line="259" w:lineRule="auto"/>
        <w:ind w:left="0" w:firstLine="0"/>
      </w:pPr>
      <w:r>
        <w:t xml:space="preserve">There are multiple causes of data silos in pharma sector are the major one include:  </w:t>
      </w:r>
    </w:p>
    <w:p w14:paraId="3F171F36" w14:textId="77777777" w:rsidR="008E405F" w:rsidRDefault="00123CFD">
      <w:pPr>
        <w:spacing w:after="21" w:line="259" w:lineRule="auto"/>
        <w:ind w:left="0" w:firstLine="0"/>
      </w:pPr>
      <w:r>
        <w:t xml:space="preserve"> </w:t>
      </w:r>
    </w:p>
    <w:p w14:paraId="75152D1C" w14:textId="77777777" w:rsidR="008E405F" w:rsidRDefault="00123CFD">
      <w:pPr>
        <w:pStyle w:val="Heading1"/>
        <w:ind w:left="14" w:right="1"/>
      </w:pPr>
      <w:r>
        <w:t xml:space="preserve">Table 5: Route causes of Data Silos </w:t>
      </w:r>
    </w:p>
    <w:p w14:paraId="48708AD9"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115" w:type="dxa"/>
        </w:tblCellMar>
        <w:tblLook w:val="04A0" w:firstRow="1" w:lastRow="0" w:firstColumn="1" w:lastColumn="0" w:noHBand="0" w:noVBand="1"/>
      </w:tblPr>
      <w:tblGrid>
        <w:gridCol w:w="2340"/>
        <w:gridCol w:w="2341"/>
        <w:gridCol w:w="4681"/>
      </w:tblGrid>
      <w:tr w:rsidR="008E405F" w14:paraId="79E3D47D" w14:textId="77777777" w:rsidTr="00043F62">
        <w:trPr>
          <w:trHeight w:val="638"/>
        </w:trPr>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Pr>
          <w:p w14:paraId="208B9474" w14:textId="77777777" w:rsidR="008E405F" w:rsidRDefault="00123CFD">
            <w:pPr>
              <w:spacing w:after="0" w:line="259" w:lineRule="auto"/>
              <w:ind w:left="0" w:firstLine="0"/>
            </w:pPr>
            <w:r>
              <w:t xml:space="preserve">Category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Pr>
          <w:p w14:paraId="25CAF604" w14:textId="77777777" w:rsidR="008E405F" w:rsidRDefault="00123CFD">
            <w:pPr>
              <w:spacing w:after="0" w:line="259" w:lineRule="auto"/>
              <w:ind w:left="1" w:firstLine="0"/>
            </w:pPr>
            <w:r>
              <w:t xml:space="preserve">Specific Issue  </w:t>
            </w:r>
          </w:p>
        </w:tc>
        <w:tc>
          <w:tcPr>
            <w:tcW w:w="4681"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Pr>
          <w:p w14:paraId="764CC30E" w14:textId="77777777" w:rsidR="008E405F" w:rsidRDefault="00123CFD">
            <w:pPr>
              <w:spacing w:after="0" w:line="259" w:lineRule="auto"/>
              <w:ind w:left="0" w:firstLine="0"/>
            </w:pPr>
            <w:r>
              <w:t xml:space="preserve">Key Example/Impact </w:t>
            </w:r>
          </w:p>
        </w:tc>
      </w:tr>
      <w:tr w:rsidR="008E405F" w14:paraId="4D3D1B6D" w14:textId="77777777">
        <w:trPr>
          <w:trHeight w:val="773"/>
        </w:trPr>
        <w:tc>
          <w:tcPr>
            <w:tcW w:w="2340" w:type="dxa"/>
            <w:vMerge w:val="restart"/>
            <w:tcBorders>
              <w:top w:val="single" w:sz="8" w:space="0" w:color="000000"/>
              <w:left w:val="single" w:sz="8" w:space="0" w:color="000000"/>
              <w:bottom w:val="single" w:sz="8" w:space="0" w:color="000000"/>
              <w:right w:val="single" w:sz="8" w:space="0" w:color="000000"/>
            </w:tcBorders>
          </w:tcPr>
          <w:p w14:paraId="345BA889" w14:textId="77777777" w:rsidR="008E405F" w:rsidRDefault="00123CFD">
            <w:pPr>
              <w:spacing w:after="0" w:line="259" w:lineRule="auto"/>
              <w:ind w:left="0" w:firstLine="0"/>
            </w:pPr>
            <w:r>
              <w:t xml:space="preserve">Competing EHR </w:t>
            </w:r>
          </w:p>
          <w:p w14:paraId="3B5D639D" w14:textId="77777777" w:rsidR="008E405F" w:rsidRDefault="00123CFD">
            <w:pPr>
              <w:spacing w:after="0" w:line="259" w:lineRule="auto"/>
              <w:ind w:left="0" w:firstLine="0"/>
            </w:pPr>
            <w:r>
              <w:t xml:space="preserve">Standards </w:t>
            </w:r>
          </w:p>
        </w:tc>
        <w:tc>
          <w:tcPr>
            <w:tcW w:w="2341" w:type="dxa"/>
            <w:tcBorders>
              <w:top w:val="single" w:sz="8" w:space="0" w:color="000000"/>
              <w:left w:val="single" w:sz="8" w:space="0" w:color="000000"/>
              <w:bottom w:val="single" w:sz="8" w:space="0" w:color="000000"/>
              <w:right w:val="single" w:sz="8" w:space="0" w:color="000000"/>
            </w:tcBorders>
          </w:tcPr>
          <w:p w14:paraId="08C361B2" w14:textId="77777777" w:rsidR="008E405F" w:rsidRDefault="00123CFD">
            <w:pPr>
              <w:spacing w:after="0" w:line="259" w:lineRule="auto"/>
              <w:ind w:left="1" w:firstLine="0"/>
            </w:pPr>
            <w:r>
              <w:t xml:space="preserve">Vendor Lock-in </w:t>
            </w:r>
          </w:p>
        </w:tc>
        <w:tc>
          <w:tcPr>
            <w:tcW w:w="4681" w:type="dxa"/>
            <w:tcBorders>
              <w:top w:val="single" w:sz="8" w:space="0" w:color="000000"/>
              <w:left w:val="single" w:sz="8" w:space="0" w:color="000000"/>
              <w:bottom w:val="single" w:sz="8" w:space="0" w:color="000000"/>
              <w:right w:val="single" w:sz="8" w:space="0" w:color="000000"/>
            </w:tcBorders>
            <w:vAlign w:val="center"/>
          </w:tcPr>
          <w:p w14:paraId="4A878D1B" w14:textId="77777777" w:rsidR="008E405F" w:rsidRDefault="00123CFD">
            <w:pPr>
              <w:spacing w:after="0" w:line="259" w:lineRule="auto"/>
              <w:ind w:left="0" w:firstLine="0"/>
            </w:pPr>
            <w:r>
              <w:t xml:space="preserve">Epic &amp; Cerner hospitals require costly middleware for data sharing </w:t>
            </w:r>
          </w:p>
        </w:tc>
      </w:tr>
      <w:tr w:rsidR="008E405F" w14:paraId="1319FFB6" w14:textId="77777777">
        <w:trPr>
          <w:trHeight w:val="773"/>
        </w:trPr>
        <w:tc>
          <w:tcPr>
            <w:tcW w:w="0" w:type="auto"/>
            <w:vMerge/>
            <w:tcBorders>
              <w:top w:val="nil"/>
              <w:left w:val="single" w:sz="8" w:space="0" w:color="000000"/>
              <w:bottom w:val="single" w:sz="8" w:space="0" w:color="000000"/>
              <w:right w:val="single" w:sz="8" w:space="0" w:color="000000"/>
            </w:tcBorders>
          </w:tcPr>
          <w:p w14:paraId="3C51FD8A" w14:textId="77777777" w:rsidR="008E405F" w:rsidRDefault="008E405F">
            <w:pPr>
              <w:spacing w:after="160" w:line="259" w:lineRule="auto"/>
              <w:ind w:left="0" w:firstLine="0"/>
            </w:pPr>
          </w:p>
        </w:tc>
        <w:tc>
          <w:tcPr>
            <w:tcW w:w="2341" w:type="dxa"/>
            <w:tcBorders>
              <w:top w:val="single" w:sz="8" w:space="0" w:color="000000"/>
              <w:left w:val="single" w:sz="8" w:space="0" w:color="000000"/>
              <w:bottom w:val="single" w:sz="8" w:space="0" w:color="000000"/>
              <w:right w:val="single" w:sz="8" w:space="0" w:color="000000"/>
            </w:tcBorders>
            <w:vAlign w:val="center"/>
          </w:tcPr>
          <w:p w14:paraId="307861EA" w14:textId="77777777" w:rsidR="008E405F" w:rsidRDefault="00123CFD">
            <w:pPr>
              <w:spacing w:after="0" w:line="259" w:lineRule="auto"/>
              <w:ind w:left="1" w:firstLine="0"/>
            </w:pPr>
            <w:r>
              <w:t xml:space="preserve">Legacy System </w:t>
            </w:r>
          </w:p>
          <w:p w14:paraId="15510C20" w14:textId="77777777" w:rsidR="008E405F" w:rsidRDefault="00123CFD">
            <w:pPr>
              <w:spacing w:after="0" w:line="259" w:lineRule="auto"/>
              <w:ind w:left="1" w:firstLine="0"/>
            </w:pPr>
            <w:r>
              <w:t xml:space="preserve">Inertia </w:t>
            </w:r>
          </w:p>
        </w:tc>
        <w:tc>
          <w:tcPr>
            <w:tcW w:w="4681" w:type="dxa"/>
            <w:tcBorders>
              <w:top w:val="single" w:sz="8" w:space="0" w:color="000000"/>
              <w:left w:val="single" w:sz="8" w:space="0" w:color="000000"/>
              <w:bottom w:val="single" w:sz="8" w:space="0" w:color="000000"/>
              <w:right w:val="single" w:sz="8" w:space="0" w:color="000000"/>
            </w:tcBorders>
            <w:vAlign w:val="center"/>
          </w:tcPr>
          <w:p w14:paraId="614AF15A" w14:textId="77777777" w:rsidR="008E405F" w:rsidRDefault="00123CFD">
            <w:pPr>
              <w:spacing w:after="0" w:line="259" w:lineRule="auto"/>
              <w:ind w:left="0" w:firstLine="0"/>
            </w:pPr>
            <w:r>
              <w:t xml:space="preserve">  40% of pharma uses outdated on-premise systems lacking cloud APIs.  </w:t>
            </w:r>
          </w:p>
        </w:tc>
      </w:tr>
      <w:tr w:rsidR="008E405F" w14:paraId="55BC7BA8" w14:textId="77777777">
        <w:trPr>
          <w:trHeight w:val="770"/>
        </w:trPr>
        <w:tc>
          <w:tcPr>
            <w:tcW w:w="2340" w:type="dxa"/>
            <w:vMerge w:val="restart"/>
            <w:tcBorders>
              <w:top w:val="single" w:sz="8" w:space="0" w:color="000000"/>
              <w:left w:val="single" w:sz="8" w:space="0" w:color="000000"/>
              <w:bottom w:val="single" w:sz="8" w:space="0" w:color="000000"/>
              <w:right w:val="single" w:sz="8" w:space="0" w:color="000000"/>
            </w:tcBorders>
          </w:tcPr>
          <w:p w14:paraId="67739FD0" w14:textId="77777777" w:rsidR="008E405F" w:rsidRDefault="00123CFD">
            <w:pPr>
              <w:spacing w:after="0" w:line="259" w:lineRule="auto"/>
              <w:ind w:left="0" w:firstLine="0"/>
            </w:pPr>
            <w:r>
              <w:t xml:space="preserve">Heterogeneous Data Formats </w:t>
            </w:r>
          </w:p>
        </w:tc>
        <w:tc>
          <w:tcPr>
            <w:tcW w:w="2341" w:type="dxa"/>
            <w:tcBorders>
              <w:top w:val="single" w:sz="8" w:space="0" w:color="000000"/>
              <w:left w:val="single" w:sz="8" w:space="0" w:color="000000"/>
              <w:bottom w:val="single" w:sz="8" w:space="0" w:color="000000"/>
              <w:right w:val="single" w:sz="8" w:space="0" w:color="000000"/>
            </w:tcBorders>
            <w:vAlign w:val="center"/>
          </w:tcPr>
          <w:p w14:paraId="59C6DF54" w14:textId="77777777" w:rsidR="008E405F" w:rsidRDefault="00123CFD">
            <w:pPr>
              <w:spacing w:after="0" w:line="259" w:lineRule="auto"/>
              <w:ind w:left="1" w:firstLine="0"/>
            </w:pPr>
            <w:r>
              <w:t xml:space="preserve">Structured vs. </w:t>
            </w:r>
          </w:p>
          <w:p w14:paraId="3D728184" w14:textId="77777777" w:rsidR="008E405F" w:rsidRDefault="00123CFD">
            <w:pPr>
              <w:spacing w:after="0" w:line="259" w:lineRule="auto"/>
              <w:ind w:left="1" w:firstLine="0"/>
            </w:pPr>
            <w:r>
              <w:t xml:space="preserve">Unstructured Data  </w:t>
            </w:r>
          </w:p>
        </w:tc>
        <w:tc>
          <w:tcPr>
            <w:tcW w:w="4681" w:type="dxa"/>
            <w:tcBorders>
              <w:top w:val="single" w:sz="8" w:space="0" w:color="000000"/>
              <w:left w:val="single" w:sz="8" w:space="0" w:color="000000"/>
              <w:bottom w:val="single" w:sz="8" w:space="0" w:color="000000"/>
              <w:right w:val="single" w:sz="8" w:space="0" w:color="000000"/>
            </w:tcBorders>
          </w:tcPr>
          <w:p w14:paraId="6CDF8349" w14:textId="77777777" w:rsidR="008E405F" w:rsidRDefault="00123CFD">
            <w:pPr>
              <w:spacing w:after="0" w:line="259" w:lineRule="auto"/>
              <w:ind w:left="0" w:firstLine="0"/>
            </w:pPr>
            <w:r>
              <w:t xml:space="preserve">CDISC forms vs. free-text EHR notes </w:t>
            </w:r>
          </w:p>
        </w:tc>
      </w:tr>
      <w:tr w:rsidR="008E405F" w14:paraId="00EBB9BC" w14:textId="77777777">
        <w:trPr>
          <w:trHeight w:val="773"/>
        </w:trPr>
        <w:tc>
          <w:tcPr>
            <w:tcW w:w="0" w:type="auto"/>
            <w:vMerge/>
            <w:tcBorders>
              <w:top w:val="nil"/>
              <w:left w:val="single" w:sz="8" w:space="0" w:color="000000"/>
              <w:bottom w:val="single" w:sz="8" w:space="0" w:color="000000"/>
              <w:right w:val="single" w:sz="8" w:space="0" w:color="000000"/>
            </w:tcBorders>
          </w:tcPr>
          <w:p w14:paraId="3AE0CADA" w14:textId="77777777" w:rsidR="008E405F" w:rsidRDefault="008E405F">
            <w:pPr>
              <w:spacing w:after="160" w:line="259" w:lineRule="auto"/>
              <w:ind w:left="0" w:firstLine="0"/>
            </w:pPr>
          </w:p>
        </w:tc>
        <w:tc>
          <w:tcPr>
            <w:tcW w:w="2341" w:type="dxa"/>
            <w:tcBorders>
              <w:top w:val="single" w:sz="8" w:space="0" w:color="000000"/>
              <w:left w:val="single" w:sz="8" w:space="0" w:color="000000"/>
              <w:bottom w:val="single" w:sz="8" w:space="0" w:color="000000"/>
              <w:right w:val="single" w:sz="8" w:space="0" w:color="000000"/>
            </w:tcBorders>
            <w:vAlign w:val="center"/>
          </w:tcPr>
          <w:p w14:paraId="5CD2D979" w14:textId="77777777" w:rsidR="008E405F" w:rsidRDefault="00123CFD">
            <w:pPr>
              <w:spacing w:after="0" w:line="259" w:lineRule="auto"/>
              <w:ind w:left="1" w:firstLine="0"/>
            </w:pPr>
            <w:r>
              <w:t xml:space="preserve">IoT/Wearable Integration </w:t>
            </w:r>
          </w:p>
        </w:tc>
        <w:tc>
          <w:tcPr>
            <w:tcW w:w="4681" w:type="dxa"/>
            <w:tcBorders>
              <w:top w:val="single" w:sz="8" w:space="0" w:color="000000"/>
              <w:left w:val="single" w:sz="8" w:space="0" w:color="000000"/>
              <w:bottom w:val="single" w:sz="8" w:space="0" w:color="000000"/>
              <w:right w:val="single" w:sz="8" w:space="0" w:color="000000"/>
            </w:tcBorders>
            <w:vAlign w:val="center"/>
          </w:tcPr>
          <w:p w14:paraId="1FEDCD5A" w14:textId="77777777" w:rsidR="008E405F" w:rsidRDefault="00123CFD">
            <w:pPr>
              <w:spacing w:after="0" w:line="259" w:lineRule="auto"/>
              <w:ind w:left="0" w:firstLine="0"/>
            </w:pPr>
            <w:r>
              <w:t xml:space="preserve">Smart inhalers can’t connect to EHRs (missing FHIR) </w:t>
            </w:r>
          </w:p>
        </w:tc>
      </w:tr>
    </w:tbl>
    <w:p w14:paraId="6E411213" w14:textId="77777777" w:rsidR="008E405F" w:rsidRDefault="00123CFD">
      <w:pPr>
        <w:spacing w:after="21" w:line="259" w:lineRule="auto"/>
        <w:ind w:left="0" w:firstLine="0"/>
      </w:pPr>
      <w:r>
        <w:t xml:space="preserve">  </w:t>
      </w:r>
    </w:p>
    <w:p w14:paraId="515F4642" w14:textId="77777777" w:rsidR="008E405F" w:rsidRDefault="00123CFD" w:rsidP="00043F62">
      <w:pPr>
        <w:spacing w:after="8" w:line="266" w:lineRule="auto"/>
      </w:pPr>
      <w:r>
        <w:rPr>
          <w:b/>
        </w:rPr>
        <w:t xml:space="preserve">Quantifying the Impact </w:t>
      </w:r>
    </w:p>
    <w:p w14:paraId="4F1731CF" w14:textId="77777777" w:rsidR="008E405F" w:rsidRDefault="00123CFD">
      <w:pPr>
        <w:spacing w:after="21" w:line="259" w:lineRule="auto"/>
        <w:ind w:left="0" w:firstLine="0"/>
      </w:pPr>
      <w:r>
        <w:t xml:space="preserve"> </w:t>
      </w:r>
    </w:p>
    <w:p w14:paraId="47DEB840" w14:textId="77777777" w:rsidR="008E405F" w:rsidRDefault="00123CFD" w:rsidP="00043F62">
      <w:pPr>
        <w:pStyle w:val="ListParagraph"/>
        <w:numPr>
          <w:ilvl w:val="0"/>
          <w:numId w:val="19"/>
        </w:numPr>
        <w:spacing w:after="8" w:line="266" w:lineRule="auto"/>
      </w:pPr>
      <w:r w:rsidRPr="00043F62">
        <w:rPr>
          <w:b/>
        </w:rPr>
        <w:t xml:space="preserve">Delayed Clinical Trials </w:t>
      </w:r>
    </w:p>
    <w:p w14:paraId="464F5839" w14:textId="77777777" w:rsidR="008E405F" w:rsidRDefault="00123CFD">
      <w:pPr>
        <w:numPr>
          <w:ilvl w:val="2"/>
          <w:numId w:val="7"/>
        </w:numPr>
        <w:ind w:hanging="360"/>
      </w:pPr>
      <w:r>
        <w:lastRenderedPageBreak/>
        <w:t xml:space="preserve">30% Longer Recruitment: Sites Spend 4-6 extra months manually in reconciling EHR data across incompatible systems [15]. (e.g., TriNetX data shows 58% of trials miss enrollment deadlines in data silos).  </w:t>
      </w:r>
    </w:p>
    <w:p w14:paraId="6CF86EE7" w14:textId="77777777" w:rsidR="008E405F" w:rsidRDefault="00123CFD">
      <w:pPr>
        <w:numPr>
          <w:ilvl w:val="2"/>
          <w:numId w:val="7"/>
        </w:numPr>
        <w:spacing w:after="17" w:line="259" w:lineRule="auto"/>
        <w:ind w:hanging="360"/>
      </w:pPr>
      <w:r>
        <w:t xml:space="preserve">Protocol Deviations: inconsistent data flows increase monitoring costs by $1.2M per trial. </w:t>
      </w:r>
    </w:p>
    <w:p w14:paraId="11C378D9" w14:textId="77777777" w:rsidR="008E405F" w:rsidRDefault="00123CFD">
      <w:pPr>
        <w:spacing w:after="21" w:line="259" w:lineRule="auto"/>
        <w:ind w:left="0" w:firstLine="0"/>
      </w:pPr>
      <w:r>
        <w:t xml:space="preserve"> </w:t>
      </w:r>
    </w:p>
    <w:p w14:paraId="12FFEA16" w14:textId="77777777" w:rsidR="008E405F" w:rsidRDefault="00123CFD" w:rsidP="00043F62">
      <w:pPr>
        <w:pStyle w:val="ListParagraph"/>
        <w:numPr>
          <w:ilvl w:val="0"/>
          <w:numId w:val="20"/>
        </w:numPr>
        <w:spacing w:after="8" w:line="266" w:lineRule="auto"/>
      </w:pPr>
      <w:r w:rsidRPr="00043F62">
        <w:rPr>
          <w:b/>
        </w:rPr>
        <w:t xml:space="preserve">Inefficient Pharmacovigilance </w:t>
      </w:r>
    </w:p>
    <w:p w14:paraId="7EC40BE1" w14:textId="77777777" w:rsidR="008E405F" w:rsidRDefault="00123CFD">
      <w:pPr>
        <w:numPr>
          <w:ilvl w:val="2"/>
          <w:numId w:val="7"/>
        </w:numPr>
        <w:spacing w:after="60" w:line="259" w:lineRule="auto"/>
        <w:ind w:hanging="360"/>
      </w:pPr>
      <w:r>
        <w:t xml:space="preserve">Missed ADR Signals shows that only 12% of adverse drug reactions are captured when </w:t>
      </w:r>
    </w:p>
    <w:p w14:paraId="4208B84A" w14:textId="77777777" w:rsidR="008E405F" w:rsidRDefault="00123CFD">
      <w:pPr>
        <w:ind w:left="730"/>
      </w:pPr>
      <w:r>
        <w:t xml:space="preserve">EHRs cannot communicate with FDA’s Sentinel system (JAMA 2024) [16].  </w:t>
      </w:r>
    </w:p>
    <w:p w14:paraId="6392CAF8" w14:textId="77777777" w:rsidR="008E405F" w:rsidRDefault="00123CFD">
      <w:pPr>
        <w:numPr>
          <w:ilvl w:val="2"/>
          <w:numId w:val="7"/>
        </w:numPr>
        <w:ind w:hanging="360"/>
      </w:pPr>
      <w:r>
        <w:t xml:space="preserve">Manual Case Processing shows that pharma companies waste 500+ hours/month in reformatting safety reports.  </w:t>
      </w:r>
    </w:p>
    <w:p w14:paraId="11816F01" w14:textId="77777777" w:rsidR="008E405F" w:rsidRDefault="00123CFD">
      <w:pPr>
        <w:spacing w:after="21" w:line="259" w:lineRule="auto"/>
        <w:ind w:left="0" w:firstLine="0"/>
      </w:pPr>
      <w:r>
        <w:t xml:space="preserve"> </w:t>
      </w:r>
    </w:p>
    <w:p w14:paraId="2D8C23D9" w14:textId="77777777" w:rsidR="008E405F" w:rsidRDefault="00123CFD" w:rsidP="00043F62">
      <w:pPr>
        <w:pStyle w:val="ListParagraph"/>
        <w:numPr>
          <w:ilvl w:val="0"/>
          <w:numId w:val="21"/>
        </w:numPr>
        <w:spacing w:after="8" w:line="266" w:lineRule="auto"/>
      </w:pPr>
      <w:r w:rsidRPr="00043F62">
        <w:rPr>
          <w:b/>
        </w:rPr>
        <w:t xml:space="preserve">Supply Chain Disruptions: </w:t>
      </w:r>
    </w:p>
    <w:p w14:paraId="7448154B" w14:textId="77777777" w:rsidR="008E405F" w:rsidRDefault="00123CFD">
      <w:pPr>
        <w:numPr>
          <w:ilvl w:val="2"/>
          <w:numId w:val="7"/>
        </w:numPr>
        <w:ind w:hanging="360"/>
      </w:pPr>
      <w:r>
        <w:t xml:space="preserve">Blockchain adoption barriers MediLedger proves that 73% of manufacturers cannot integrate it with their ERP systems (Gartner 2024). </w:t>
      </w:r>
    </w:p>
    <w:p w14:paraId="0C65D9CE" w14:textId="77777777" w:rsidR="008E405F" w:rsidRDefault="00123CFD">
      <w:pPr>
        <w:numPr>
          <w:ilvl w:val="2"/>
          <w:numId w:val="7"/>
        </w:numPr>
        <w:ind w:hanging="360"/>
      </w:pPr>
      <w:r>
        <w:t xml:space="preserve">Inventory Mismanagement shows that data silos between EHR prescription data and distributor platforms cause $4B/year in overstocking (McKinsey).  </w:t>
      </w:r>
    </w:p>
    <w:p w14:paraId="3A617B8B" w14:textId="77777777" w:rsidR="008E405F" w:rsidRDefault="00123CFD">
      <w:pPr>
        <w:spacing w:after="24" w:line="259" w:lineRule="auto"/>
        <w:ind w:left="0" w:firstLine="0"/>
      </w:pPr>
      <w:r>
        <w:t xml:space="preserve"> </w:t>
      </w:r>
    </w:p>
    <w:p w14:paraId="48CD56D1" w14:textId="77777777" w:rsidR="008E405F" w:rsidRDefault="00123CFD">
      <w:pPr>
        <w:pStyle w:val="Heading1"/>
        <w:ind w:left="14" w:right="8"/>
      </w:pPr>
      <w:r>
        <w:t>Table 6: Case Examples of System Incompatibility in Pharma Sector</w:t>
      </w:r>
      <w:r>
        <w:rPr>
          <w:b w:val="0"/>
        </w:rPr>
        <w:t xml:space="preserve"> </w:t>
      </w:r>
    </w:p>
    <w:p w14:paraId="0888692B"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99" w:type="dxa"/>
        </w:tblCellMar>
        <w:tblLook w:val="04A0" w:firstRow="1" w:lastRow="0" w:firstColumn="1" w:lastColumn="0" w:noHBand="0" w:noVBand="1"/>
      </w:tblPr>
      <w:tblGrid>
        <w:gridCol w:w="4681"/>
        <w:gridCol w:w="4681"/>
      </w:tblGrid>
      <w:tr w:rsidR="008E405F" w14:paraId="55A1EAE1" w14:textId="77777777" w:rsidTr="00043F62">
        <w:trPr>
          <w:trHeight w:val="497"/>
        </w:trPr>
        <w:tc>
          <w:tcPr>
            <w:tcW w:w="468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743756E8" w14:textId="77777777" w:rsidR="008E405F" w:rsidRDefault="00123CFD">
            <w:pPr>
              <w:spacing w:after="0" w:line="259" w:lineRule="auto"/>
              <w:ind w:left="0" w:firstLine="0"/>
            </w:pPr>
            <w:r>
              <w:t xml:space="preserve">Case Scenario </w:t>
            </w:r>
          </w:p>
        </w:tc>
        <w:tc>
          <w:tcPr>
            <w:tcW w:w="468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0A0DFCA5" w14:textId="77777777" w:rsidR="008E405F" w:rsidRDefault="00123CFD">
            <w:pPr>
              <w:spacing w:after="0" w:line="259" w:lineRule="auto"/>
              <w:ind w:left="0" w:firstLine="0"/>
            </w:pPr>
            <w:r>
              <w:t xml:space="preserve">Consequences </w:t>
            </w:r>
          </w:p>
        </w:tc>
      </w:tr>
      <w:tr w:rsidR="008E405F" w14:paraId="248EEB5B" w14:textId="77777777">
        <w:trPr>
          <w:trHeight w:val="771"/>
        </w:trPr>
        <w:tc>
          <w:tcPr>
            <w:tcW w:w="4681" w:type="dxa"/>
            <w:tcBorders>
              <w:top w:val="single" w:sz="8" w:space="0" w:color="000000"/>
              <w:left w:val="single" w:sz="8" w:space="0" w:color="000000"/>
              <w:bottom w:val="single" w:sz="8" w:space="0" w:color="000000"/>
              <w:right w:val="single" w:sz="8" w:space="0" w:color="000000"/>
            </w:tcBorders>
          </w:tcPr>
          <w:p w14:paraId="3FBCA8A2" w14:textId="77777777" w:rsidR="008E405F" w:rsidRDefault="00123CFD">
            <w:pPr>
              <w:spacing w:after="0" w:line="259" w:lineRule="auto"/>
              <w:ind w:left="0" w:firstLine="0"/>
            </w:pPr>
            <w:r>
              <w:t xml:space="preserve">Epic EHR ↔ Cerner Trial Site </w:t>
            </w:r>
          </w:p>
        </w:tc>
        <w:tc>
          <w:tcPr>
            <w:tcW w:w="4681" w:type="dxa"/>
            <w:tcBorders>
              <w:top w:val="single" w:sz="8" w:space="0" w:color="000000"/>
              <w:left w:val="single" w:sz="8" w:space="0" w:color="000000"/>
              <w:bottom w:val="single" w:sz="8" w:space="0" w:color="000000"/>
              <w:right w:val="single" w:sz="8" w:space="0" w:color="000000"/>
            </w:tcBorders>
            <w:vAlign w:val="center"/>
          </w:tcPr>
          <w:p w14:paraId="439E2219" w14:textId="77777777" w:rsidR="008E405F" w:rsidRDefault="00123CFD">
            <w:pPr>
              <w:spacing w:after="0" w:line="259" w:lineRule="auto"/>
              <w:ind w:left="0" w:firstLine="0"/>
            </w:pPr>
            <w:r>
              <w:t xml:space="preserve">Manual data entry errors increase clinical trial risks by 22% </w:t>
            </w:r>
          </w:p>
        </w:tc>
      </w:tr>
      <w:tr w:rsidR="008E405F" w14:paraId="3628B5BB" w14:textId="77777777">
        <w:trPr>
          <w:trHeight w:val="773"/>
        </w:trPr>
        <w:tc>
          <w:tcPr>
            <w:tcW w:w="4681" w:type="dxa"/>
            <w:tcBorders>
              <w:top w:val="single" w:sz="8" w:space="0" w:color="000000"/>
              <w:left w:val="single" w:sz="8" w:space="0" w:color="000000"/>
              <w:bottom w:val="single" w:sz="8" w:space="0" w:color="000000"/>
              <w:right w:val="single" w:sz="8" w:space="0" w:color="000000"/>
            </w:tcBorders>
          </w:tcPr>
          <w:p w14:paraId="19E7C679" w14:textId="77777777" w:rsidR="008E405F" w:rsidRDefault="00123CFD">
            <w:pPr>
              <w:spacing w:after="0" w:line="259" w:lineRule="auto"/>
              <w:ind w:left="0" w:firstLine="0"/>
            </w:pPr>
            <w:r>
              <w:t xml:space="preserve">Legacy Pharmacovigilance DB ↔ Cloud AI </w:t>
            </w:r>
          </w:p>
        </w:tc>
        <w:tc>
          <w:tcPr>
            <w:tcW w:w="4681" w:type="dxa"/>
            <w:tcBorders>
              <w:top w:val="single" w:sz="8" w:space="0" w:color="000000"/>
              <w:left w:val="single" w:sz="8" w:space="0" w:color="000000"/>
              <w:bottom w:val="single" w:sz="8" w:space="0" w:color="000000"/>
              <w:right w:val="single" w:sz="8" w:space="0" w:color="000000"/>
            </w:tcBorders>
            <w:vAlign w:val="center"/>
          </w:tcPr>
          <w:p w14:paraId="6BB5BD36" w14:textId="77777777" w:rsidR="008E405F" w:rsidRDefault="00123CFD">
            <w:pPr>
              <w:spacing w:after="0" w:line="259" w:lineRule="auto"/>
              <w:ind w:left="0" w:firstLine="0"/>
            </w:pPr>
            <w:r>
              <w:t xml:space="preserve">NLP misses 40% of ADRs in unstructured notes. </w:t>
            </w:r>
          </w:p>
        </w:tc>
      </w:tr>
      <w:tr w:rsidR="008E405F" w14:paraId="06DB1B96" w14:textId="77777777">
        <w:trPr>
          <w:trHeight w:val="773"/>
        </w:trPr>
        <w:tc>
          <w:tcPr>
            <w:tcW w:w="4681" w:type="dxa"/>
            <w:tcBorders>
              <w:top w:val="single" w:sz="8" w:space="0" w:color="000000"/>
              <w:left w:val="single" w:sz="8" w:space="0" w:color="000000"/>
              <w:bottom w:val="single" w:sz="8" w:space="0" w:color="000000"/>
              <w:right w:val="single" w:sz="8" w:space="0" w:color="000000"/>
            </w:tcBorders>
          </w:tcPr>
          <w:p w14:paraId="52D09D2D" w14:textId="77777777" w:rsidR="008E405F" w:rsidRDefault="00123CFD">
            <w:pPr>
              <w:spacing w:after="0" w:line="259" w:lineRule="auto"/>
              <w:ind w:left="0" w:firstLine="0"/>
            </w:pPr>
            <w:r>
              <w:t xml:space="preserve">Hospital EHR ↔ IoT Device  </w:t>
            </w:r>
          </w:p>
        </w:tc>
        <w:tc>
          <w:tcPr>
            <w:tcW w:w="4681" w:type="dxa"/>
            <w:tcBorders>
              <w:top w:val="single" w:sz="8" w:space="0" w:color="000000"/>
              <w:left w:val="single" w:sz="8" w:space="0" w:color="000000"/>
              <w:bottom w:val="single" w:sz="8" w:space="0" w:color="000000"/>
              <w:right w:val="single" w:sz="8" w:space="0" w:color="000000"/>
            </w:tcBorders>
            <w:vAlign w:val="center"/>
          </w:tcPr>
          <w:p w14:paraId="282AA3D0" w14:textId="77777777" w:rsidR="008E405F" w:rsidRDefault="00123CFD">
            <w:pPr>
              <w:spacing w:after="0" w:line="259" w:lineRule="auto"/>
              <w:ind w:left="0" w:firstLine="0"/>
            </w:pPr>
            <w:r>
              <w:t xml:space="preserve">Wearable glucose data fails to auto-populate diabetes trial CRFs </w:t>
            </w:r>
          </w:p>
        </w:tc>
      </w:tr>
    </w:tbl>
    <w:p w14:paraId="1EBE05BD" w14:textId="77777777" w:rsidR="008E405F" w:rsidRDefault="00123CFD">
      <w:pPr>
        <w:spacing w:after="21" w:line="259" w:lineRule="auto"/>
        <w:ind w:left="0" w:firstLine="0"/>
      </w:pPr>
      <w:r>
        <w:t xml:space="preserve"> </w:t>
      </w:r>
    </w:p>
    <w:p w14:paraId="7AEED8A2" w14:textId="77777777" w:rsidR="008E405F" w:rsidRDefault="00123CFD" w:rsidP="00043F62">
      <w:pPr>
        <w:pStyle w:val="ListParagraph"/>
        <w:numPr>
          <w:ilvl w:val="0"/>
          <w:numId w:val="22"/>
        </w:numPr>
        <w:spacing w:after="8" w:line="266" w:lineRule="auto"/>
      </w:pPr>
      <w:r w:rsidRPr="00043F62">
        <w:rPr>
          <w:b/>
        </w:rPr>
        <w:t xml:space="preserve">Why Does This Problem Persist? </w:t>
      </w:r>
    </w:p>
    <w:p w14:paraId="37F9A8CD" w14:textId="77777777" w:rsidR="008E405F" w:rsidRDefault="00123CFD">
      <w:pPr>
        <w:spacing w:after="17" w:line="259" w:lineRule="auto"/>
        <w:ind w:left="0" w:firstLine="0"/>
      </w:pPr>
      <w:r>
        <w:t xml:space="preserve"> </w:t>
      </w:r>
    </w:p>
    <w:p w14:paraId="7FCD9450" w14:textId="77777777" w:rsidR="008E405F" w:rsidRDefault="00123CFD">
      <w:r>
        <w:t xml:space="preserve">This problem persists due to the economic incentives (e.g., EHR vendors profit from lock in), regulatory paralysis (e.g., FDA’s FHIR mandates lack enforcement teeth and EMA’s GDPR restricts data pooling), and technical debt (e.g., migrating legacy systems costs 5-7x more than maintaining them) [17].  </w:t>
      </w:r>
    </w:p>
    <w:p w14:paraId="0CBFCB15" w14:textId="77777777" w:rsidR="008E405F" w:rsidRDefault="00123CFD">
      <w:pPr>
        <w:spacing w:after="21" w:line="259" w:lineRule="auto"/>
        <w:ind w:left="0" w:firstLine="0"/>
      </w:pPr>
      <w:r>
        <w:t xml:space="preserve"> </w:t>
      </w:r>
    </w:p>
    <w:p w14:paraId="34DEAE96" w14:textId="77777777" w:rsidR="00043F62" w:rsidRPr="00043F62" w:rsidRDefault="00123CFD" w:rsidP="00043F62">
      <w:pPr>
        <w:pStyle w:val="ListParagraph"/>
        <w:numPr>
          <w:ilvl w:val="0"/>
          <w:numId w:val="23"/>
        </w:numPr>
        <w:spacing w:after="8" w:line="266" w:lineRule="auto"/>
      </w:pPr>
      <w:r w:rsidRPr="00043F62">
        <w:rPr>
          <w:b/>
        </w:rPr>
        <w:t xml:space="preserve">The Urgency for Solutions:  </w:t>
      </w:r>
    </w:p>
    <w:p w14:paraId="5DDC6EAE" w14:textId="77777777" w:rsidR="008E405F" w:rsidRDefault="00123CFD" w:rsidP="00043F62">
      <w:pPr>
        <w:spacing w:after="8" w:line="266" w:lineRule="auto"/>
      </w:pPr>
      <w:r>
        <w:lastRenderedPageBreak/>
        <w:t xml:space="preserve">The drug development timelines will stretch by 2-3 years by 2030. Patient safety risks will also grow as pharmacovigilance systems fail to keep pace with new therapies.  </w:t>
      </w:r>
    </w:p>
    <w:p w14:paraId="6C8F0045" w14:textId="77777777" w:rsidR="008E405F" w:rsidRDefault="00123CFD">
      <w:r>
        <w:t xml:space="preserve">This study proposes a framework combining FHIR, AI, and incentivized data sharing. It will help to break down these data silos by addressing both technical and economic barriers [18].    </w:t>
      </w:r>
    </w:p>
    <w:p w14:paraId="450A48F5" w14:textId="77777777" w:rsidR="00043F62" w:rsidRDefault="00123CFD" w:rsidP="00043F62">
      <w:pPr>
        <w:spacing w:after="19" w:line="259" w:lineRule="auto"/>
        <w:ind w:left="0" w:firstLine="0"/>
      </w:pPr>
      <w:r>
        <w:t xml:space="preserve"> </w:t>
      </w:r>
    </w:p>
    <w:p w14:paraId="369DBC71" w14:textId="77777777" w:rsidR="008E405F" w:rsidRDefault="00123CFD" w:rsidP="00043F62">
      <w:pPr>
        <w:spacing w:after="19" w:line="259" w:lineRule="auto"/>
        <w:ind w:left="0" w:firstLine="0"/>
      </w:pPr>
      <w:r>
        <w:rPr>
          <w:b/>
        </w:rPr>
        <w:t xml:space="preserve">Research Aim: </w:t>
      </w:r>
      <w:r w:rsidRPr="00043F62">
        <w:t>Developing a Standardized Interoperability Framework to Eliminate Data Silos in Pharmaceutical Systems</w:t>
      </w:r>
      <w:r w:rsidR="00043F62">
        <w:rPr>
          <w:b/>
        </w:rPr>
        <w:t>.</w:t>
      </w:r>
      <w:r w:rsidR="00043F62">
        <w:t xml:space="preserve"> </w:t>
      </w:r>
      <w:r>
        <w:t xml:space="preserve">This research aims to design, validate, and propose an integrated interoperability framework which will strengthen FHIR (Fast Healthcare Interoperability Resource), Artificial Intelligence (AI), and Blockchain to bridge data silos across Electronic Health Records (EHRs), Clinical Trials Management Systems (CTMS), Pharmacovigilance Databases, and Supply Chain &amp; IoT Networks.  </w:t>
      </w:r>
    </w:p>
    <w:p w14:paraId="5C5301EE" w14:textId="77777777" w:rsidR="008E405F" w:rsidRDefault="00123CFD">
      <w:pPr>
        <w:spacing w:after="24" w:line="259" w:lineRule="auto"/>
        <w:ind w:left="0" w:firstLine="0"/>
      </w:pPr>
      <w:r>
        <w:t xml:space="preserve"> </w:t>
      </w:r>
    </w:p>
    <w:p w14:paraId="777E0137" w14:textId="77777777" w:rsidR="008E405F" w:rsidRDefault="00123CFD" w:rsidP="00043F62">
      <w:pPr>
        <w:spacing w:after="8" w:line="266" w:lineRule="auto"/>
      </w:pPr>
      <w:r>
        <w:rPr>
          <w:b/>
        </w:rPr>
        <w:t xml:space="preserve">Literature Review: </w:t>
      </w:r>
      <w:r w:rsidRPr="00043F62">
        <w:t>Interoperability Challenges and Emerging Solutions i</w:t>
      </w:r>
      <w:r w:rsidR="00043F62">
        <w:t xml:space="preserve">n Pharmaceutical Data Systems. </w:t>
      </w:r>
      <w:r>
        <w:t xml:space="preserve">A Systemic Challenge: In Vendor Proliferation, more than 500 EHR vendors operate in the US alone. Out of these 500 EHR vendors, Epic (29% market share) and Cerner (24% market share) are dominating acute care hospitals. This fragmentation creates data silos, forcing manual entry and enhancing error rates by 18% (JAMIA 2024). In Legacy Systems 35% of hospitals still use pre-2010 EHRs lacking API capabilities, exacerbating interoperability gaps (HIMSS Analytics) [19].  </w:t>
      </w:r>
    </w:p>
    <w:p w14:paraId="3801A18D" w14:textId="77777777" w:rsidR="008E405F" w:rsidRDefault="00123CFD">
      <w:pPr>
        <w:spacing w:after="21" w:line="259" w:lineRule="auto"/>
        <w:ind w:left="0" w:firstLine="0"/>
      </w:pPr>
      <w:r>
        <w:t xml:space="preserve"> </w:t>
      </w:r>
    </w:p>
    <w:p w14:paraId="319F80C1" w14:textId="77777777" w:rsidR="008E405F" w:rsidRDefault="00123CFD">
      <w:pPr>
        <w:numPr>
          <w:ilvl w:val="0"/>
          <w:numId w:val="8"/>
        </w:numPr>
        <w:spacing w:after="8" w:line="266" w:lineRule="auto"/>
        <w:ind w:hanging="240"/>
      </w:pPr>
      <w:r>
        <w:rPr>
          <w:b/>
        </w:rPr>
        <w:t xml:space="preserve">Methodology </w:t>
      </w:r>
    </w:p>
    <w:p w14:paraId="4F1B407B" w14:textId="77777777" w:rsidR="008E405F" w:rsidRDefault="00123CFD">
      <w:pPr>
        <w:spacing w:after="21" w:line="259" w:lineRule="auto"/>
        <w:ind w:left="0" w:firstLine="0"/>
      </w:pPr>
      <w:r>
        <w:t xml:space="preserve"> </w:t>
      </w:r>
    </w:p>
    <w:p w14:paraId="63859CC0" w14:textId="77777777" w:rsidR="008E405F" w:rsidRDefault="00123CFD">
      <w:pPr>
        <w:numPr>
          <w:ilvl w:val="1"/>
          <w:numId w:val="8"/>
        </w:numPr>
        <w:spacing w:after="8" w:line="266" w:lineRule="auto"/>
        <w:ind w:hanging="360"/>
      </w:pPr>
      <w:r>
        <w:rPr>
          <w:b/>
        </w:rPr>
        <w:t xml:space="preserve">Data Collection:  </w:t>
      </w:r>
    </w:p>
    <w:p w14:paraId="17DB6B70" w14:textId="77777777" w:rsidR="008E405F" w:rsidRDefault="00123CFD">
      <w:r>
        <w:t xml:space="preserve">To address data silos in the pharma sector, we employ a mixed-methods approach. This approach combines quantitative EHR analysis and qualitative </w:t>
      </w:r>
      <w:proofErr w:type="gramStart"/>
      <w:r>
        <w:t>stakeholders</w:t>
      </w:r>
      <w:proofErr w:type="gramEnd"/>
      <w:r>
        <w:t xml:space="preserve"> insight which include: </w:t>
      </w:r>
    </w:p>
    <w:p w14:paraId="57B55A90" w14:textId="77777777" w:rsidR="008E405F" w:rsidRDefault="00123CFD">
      <w:pPr>
        <w:spacing w:after="25" w:line="259" w:lineRule="auto"/>
        <w:ind w:left="0" w:firstLine="0"/>
      </w:pPr>
      <w:r>
        <w:t xml:space="preserve">  </w:t>
      </w:r>
    </w:p>
    <w:p w14:paraId="63602CF6" w14:textId="77777777" w:rsidR="008E405F" w:rsidRDefault="00123CFD">
      <w:pPr>
        <w:numPr>
          <w:ilvl w:val="2"/>
          <w:numId w:val="9"/>
        </w:numPr>
        <w:spacing w:after="8" w:line="266" w:lineRule="auto"/>
        <w:ind w:hanging="360"/>
      </w:pPr>
      <w:r>
        <w:rPr>
          <w:b/>
        </w:rPr>
        <w:t xml:space="preserve">EHR Dataset Analysis: </w:t>
      </w:r>
    </w:p>
    <w:p w14:paraId="7BA9D3B9" w14:textId="77777777" w:rsidR="008E405F" w:rsidRDefault="00123CFD">
      <w:pPr>
        <w:spacing w:after="21" w:line="259" w:lineRule="auto"/>
        <w:ind w:left="0" w:firstLine="0"/>
      </w:pPr>
      <w:r>
        <w:t xml:space="preserve"> </w:t>
      </w:r>
    </w:p>
    <w:p w14:paraId="3D2C51CC" w14:textId="77777777" w:rsidR="008E405F" w:rsidRDefault="00123CFD">
      <w:pPr>
        <w:spacing w:after="8" w:line="266" w:lineRule="auto"/>
        <w:ind w:left="-5"/>
      </w:pPr>
      <w:r>
        <w:rPr>
          <w:b/>
        </w:rPr>
        <w:t xml:space="preserve">Sources:  </w:t>
      </w:r>
    </w:p>
    <w:p w14:paraId="684AE708" w14:textId="77777777" w:rsidR="008E405F" w:rsidRDefault="00123CFD">
      <w:r>
        <w:t xml:space="preserve">De-identified patient records from Epic (Cosmos Dataset) and Cerner (Real-World Data).  Clinical trials repositories (ClinicalTrials.gov, YODA Project) [20].  </w:t>
      </w:r>
    </w:p>
    <w:p w14:paraId="1C8E1BA3" w14:textId="77777777" w:rsidR="008E405F" w:rsidRDefault="00123CFD">
      <w:pPr>
        <w:spacing w:after="21" w:line="259" w:lineRule="auto"/>
        <w:ind w:left="0" w:firstLine="0"/>
      </w:pPr>
      <w:r>
        <w:t xml:space="preserve">     </w:t>
      </w:r>
    </w:p>
    <w:p w14:paraId="12C70E1D" w14:textId="77777777" w:rsidR="008E405F" w:rsidRDefault="00123CFD">
      <w:pPr>
        <w:numPr>
          <w:ilvl w:val="2"/>
          <w:numId w:val="9"/>
        </w:numPr>
        <w:spacing w:after="50" w:line="266" w:lineRule="auto"/>
        <w:ind w:hanging="360"/>
      </w:pPr>
      <w:r>
        <w:rPr>
          <w:b/>
        </w:rPr>
        <w:t xml:space="preserve">Focus Areas: </w:t>
      </w:r>
    </w:p>
    <w:p w14:paraId="79753677" w14:textId="77777777" w:rsidR="008E405F" w:rsidRDefault="00123CFD">
      <w:pPr>
        <w:numPr>
          <w:ilvl w:val="2"/>
          <w:numId w:val="8"/>
        </w:numPr>
        <w:ind w:hanging="360"/>
      </w:pPr>
      <w:r>
        <w:t xml:space="preserve">Data field mismatches (e.g., “medication dose” in Epic systems vs. “drug dosage” in Cerner systems). </w:t>
      </w:r>
    </w:p>
    <w:p w14:paraId="20B75B75" w14:textId="77777777" w:rsidR="008E405F" w:rsidRDefault="00123CFD">
      <w:pPr>
        <w:numPr>
          <w:ilvl w:val="2"/>
          <w:numId w:val="8"/>
        </w:numPr>
        <w:ind w:hanging="360"/>
      </w:pPr>
      <w:r>
        <w:t xml:space="preserve">Unstructured note analysis (e.g., physician narratives in ONCO EHR systems).   </w:t>
      </w:r>
    </w:p>
    <w:p w14:paraId="353C6475" w14:textId="77777777" w:rsidR="008E405F" w:rsidRDefault="00123CFD">
      <w:pPr>
        <w:spacing w:after="21" w:line="259" w:lineRule="auto"/>
        <w:ind w:left="0" w:firstLine="0"/>
      </w:pPr>
      <w:r>
        <w:t xml:space="preserve"> </w:t>
      </w:r>
    </w:p>
    <w:p w14:paraId="68E6A4E2" w14:textId="77777777" w:rsidR="008E405F" w:rsidRDefault="00123CFD">
      <w:pPr>
        <w:spacing w:after="8" w:line="266" w:lineRule="auto"/>
        <w:ind w:left="730"/>
      </w:pPr>
      <w:r>
        <w:rPr>
          <w:b/>
        </w:rPr>
        <w:t xml:space="preserve">ii. Stakeholder Surveys: </w:t>
      </w:r>
    </w:p>
    <w:p w14:paraId="73505DC5" w14:textId="77777777" w:rsidR="008E405F" w:rsidRDefault="00123CFD">
      <w:pPr>
        <w:spacing w:after="21" w:line="259" w:lineRule="auto"/>
        <w:ind w:left="0" w:firstLine="0"/>
      </w:pPr>
      <w:r>
        <w:t xml:space="preserve"> </w:t>
      </w:r>
    </w:p>
    <w:p w14:paraId="6D2A4F71" w14:textId="77777777" w:rsidR="008E405F" w:rsidRDefault="00123CFD">
      <w:pPr>
        <w:numPr>
          <w:ilvl w:val="1"/>
          <w:numId w:val="8"/>
        </w:numPr>
        <w:spacing w:after="8" w:line="266" w:lineRule="auto"/>
        <w:ind w:hanging="360"/>
      </w:pPr>
      <w:r>
        <w:rPr>
          <w:b/>
        </w:rPr>
        <w:t xml:space="preserve">Participants:  </w:t>
      </w:r>
    </w:p>
    <w:p w14:paraId="0B368C14" w14:textId="77777777" w:rsidR="008E405F" w:rsidRDefault="00123CFD">
      <w:pPr>
        <w:numPr>
          <w:ilvl w:val="2"/>
          <w:numId w:val="8"/>
        </w:numPr>
        <w:ind w:hanging="360"/>
      </w:pPr>
      <w:r>
        <w:lastRenderedPageBreak/>
        <w:t xml:space="preserve">50+ IT Leaders from Pharma R&amp;D (Pfizer, Novartis), EHR vendors (Epic, Cerncer Systems), and Regulatory bodies (FDA, EMA).  </w:t>
      </w:r>
    </w:p>
    <w:p w14:paraId="46A88FA4" w14:textId="77777777" w:rsidR="008E405F" w:rsidRDefault="00123CFD">
      <w:pPr>
        <w:numPr>
          <w:ilvl w:val="2"/>
          <w:numId w:val="8"/>
        </w:numPr>
        <w:ind w:hanging="360"/>
      </w:pPr>
      <w:r>
        <w:t xml:space="preserve">Survey themes including pain points in cross-platform data sharing and willingness to adopt FHIR/Blockchain solutions [21].  </w:t>
      </w:r>
    </w:p>
    <w:p w14:paraId="4B9B5F25" w14:textId="77777777" w:rsidR="008E405F" w:rsidRDefault="00123CFD">
      <w:pPr>
        <w:spacing w:after="21" w:line="259" w:lineRule="auto"/>
        <w:ind w:left="0" w:firstLine="0"/>
      </w:pPr>
      <w:r>
        <w:t xml:space="preserve"> </w:t>
      </w:r>
    </w:p>
    <w:p w14:paraId="229DDCBE" w14:textId="77777777" w:rsidR="008E405F" w:rsidRDefault="00123CFD">
      <w:pPr>
        <w:numPr>
          <w:ilvl w:val="1"/>
          <w:numId w:val="8"/>
        </w:numPr>
        <w:spacing w:after="8" w:line="266" w:lineRule="auto"/>
        <w:ind w:hanging="360"/>
      </w:pPr>
      <w:r>
        <w:rPr>
          <w:b/>
        </w:rPr>
        <w:t xml:space="preserve">Proposed Framework:  </w:t>
      </w:r>
    </w:p>
    <w:p w14:paraId="1D2A37BF" w14:textId="77777777" w:rsidR="008E405F" w:rsidRDefault="00123CFD">
      <w:r>
        <w:t xml:space="preserve">There has been a two-layer interoperability framework to bridge data silos. These include:  </w:t>
      </w:r>
    </w:p>
    <w:p w14:paraId="77A9623D" w14:textId="77777777" w:rsidR="008E405F" w:rsidRDefault="00123CFD">
      <w:pPr>
        <w:spacing w:after="21" w:line="259" w:lineRule="auto"/>
        <w:ind w:left="0" w:firstLine="0"/>
      </w:pPr>
      <w:r>
        <w:t xml:space="preserve"> </w:t>
      </w:r>
    </w:p>
    <w:p w14:paraId="382AC5C8" w14:textId="77777777" w:rsidR="008E405F" w:rsidRDefault="00123CFD" w:rsidP="00043F62">
      <w:pPr>
        <w:spacing w:after="8" w:line="266" w:lineRule="auto"/>
      </w:pPr>
      <w:r>
        <w:rPr>
          <w:b/>
        </w:rPr>
        <w:t xml:space="preserve">Technical Layer Framework </w:t>
      </w:r>
    </w:p>
    <w:p w14:paraId="5BF25ACD" w14:textId="77777777" w:rsidR="008E405F" w:rsidRDefault="00123CFD">
      <w:pPr>
        <w:spacing w:after="16" w:line="259" w:lineRule="auto"/>
        <w:ind w:left="0" w:firstLine="0"/>
      </w:pPr>
      <w:r>
        <w:t xml:space="preserve"> </w:t>
      </w:r>
    </w:p>
    <w:p w14:paraId="7B925FCF" w14:textId="77777777" w:rsidR="008E405F" w:rsidRDefault="00123CFD">
      <w:r>
        <w:t xml:space="preserve">This framework includes FHIR API Integration, AI-Powered Data Harmonization, and </w:t>
      </w:r>
    </w:p>
    <w:p w14:paraId="39727346" w14:textId="77777777" w:rsidR="008E405F" w:rsidRDefault="00123CFD">
      <w:r>
        <w:t xml:space="preserve">Blockchain for Audability. In FHIR API Integration deploy FHIR R4 endpoints to map </w:t>
      </w:r>
    </w:p>
    <w:p w14:paraId="76BD0DA2" w14:textId="77777777" w:rsidR="008E405F" w:rsidRDefault="00123CFD" w:rsidP="00043F62">
      <w:r>
        <w:t xml:space="preserve">Epic/Cerner to CDISC/OMOP standards and enable real-time trial-EHR data flows. In AIPowered Data Harmonization, there are NLP pipelines e.g., IBM Watson Natural Language Understanding extracts ADR signals from clinical notes and GPT-4 classifies unstructured EHR text into MedDRA terms [22]. In Blockchain for Audability, there is a Hyperledger Fabric private chain to tokenize EHR access and log all data transactions immutability [23].  </w:t>
      </w:r>
    </w:p>
    <w:p w14:paraId="4DC0EB73" w14:textId="77777777" w:rsidR="008E405F" w:rsidRDefault="00123CFD">
      <w:r>
        <w:t xml:space="preserve">This framework includes WHO-Led FHIR adoption with the proposal for a Global Pharma Data Alliance and incentivized Data sharing for Token Economy [24]. Token economy has pharma companies which pay hospitals in ERC-20 tokens for EHR access [25].  </w:t>
      </w:r>
    </w:p>
    <w:p w14:paraId="7D156E52" w14:textId="77777777" w:rsidR="008E405F" w:rsidRDefault="00123CFD">
      <w:pPr>
        <w:spacing w:after="21" w:line="259" w:lineRule="auto"/>
        <w:ind w:left="0" w:firstLine="0"/>
      </w:pPr>
      <w:r>
        <w:t xml:space="preserve"> </w:t>
      </w:r>
    </w:p>
    <w:p w14:paraId="3A362DEF" w14:textId="77777777" w:rsidR="008E405F" w:rsidRDefault="00123CFD" w:rsidP="00043F62">
      <w:pPr>
        <w:pStyle w:val="ListParagraph"/>
        <w:numPr>
          <w:ilvl w:val="0"/>
          <w:numId w:val="23"/>
        </w:numPr>
        <w:spacing w:after="8" w:line="266" w:lineRule="auto"/>
      </w:pPr>
      <w:r w:rsidRPr="00043F62">
        <w:rPr>
          <w:b/>
        </w:rPr>
        <w:t xml:space="preserve">Evaluation Metrics:  </w:t>
      </w:r>
    </w:p>
    <w:p w14:paraId="4B8D0443" w14:textId="77777777" w:rsidR="008E405F" w:rsidRDefault="00123CFD">
      <w:pPr>
        <w:spacing w:after="21" w:line="259" w:lineRule="auto"/>
        <w:ind w:left="0" w:firstLine="0"/>
      </w:pPr>
      <w:r>
        <w:t xml:space="preserve"> </w:t>
      </w:r>
    </w:p>
    <w:p w14:paraId="7BE96164" w14:textId="77777777" w:rsidR="008E405F" w:rsidRDefault="00123CFD">
      <w:pPr>
        <w:spacing w:after="13" w:line="259" w:lineRule="auto"/>
        <w:ind w:left="14"/>
        <w:jc w:val="center"/>
      </w:pPr>
      <w:r>
        <w:rPr>
          <w:b/>
        </w:rPr>
        <w:t xml:space="preserve">Table 7: To validate these framework, we measure the following data: </w:t>
      </w:r>
    </w:p>
    <w:p w14:paraId="434A3E7A" w14:textId="77777777" w:rsidR="008E405F" w:rsidRDefault="00123CFD">
      <w:pPr>
        <w:spacing w:after="0" w:line="259" w:lineRule="auto"/>
        <w:ind w:left="0" w:firstLine="0"/>
      </w:pPr>
      <w:r>
        <w:t xml:space="preserve"> </w:t>
      </w:r>
    </w:p>
    <w:tbl>
      <w:tblPr>
        <w:tblStyle w:val="TableGrid"/>
        <w:tblW w:w="9362" w:type="dxa"/>
        <w:tblInd w:w="10" w:type="dxa"/>
        <w:tblCellMar>
          <w:left w:w="101" w:type="dxa"/>
          <w:right w:w="101" w:type="dxa"/>
        </w:tblCellMar>
        <w:tblLook w:val="04A0" w:firstRow="1" w:lastRow="0" w:firstColumn="1" w:lastColumn="0" w:noHBand="0" w:noVBand="1"/>
      </w:tblPr>
      <w:tblGrid>
        <w:gridCol w:w="3121"/>
        <w:gridCol w:w="3120"/>
        <w:gridCol w:w="3121"/>
      </w:tblGrid>
      <w:tr w:rsidR="008E405F" w14:paraId="5AD6D55C" w14:textId="77777777" w:rsidTr="00043F62">
        <w:trPr>
          <w:trHeight w:val="497"/>
        </w:trPr>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24B9F9F" w14:textId="77777777" w:rsidR="008E405F" w:rsidRDefault="00123CFD">
            <w:pPr>
              <w:spacing w:after="0" w:line="259" w:lineRule="auto"/>
              <w:ind w:left="0" w:firstLine="0"/>
            </w:pPr>
            <w:r>
              <w:t xml:space="preserve">Metric </w:t>
            </w:r>
          </w:p>
        </w:tc>
        <w:tc>
          <w:tcPr>
            <w:tcW w:w="312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7A374D4E" w14:textId="77777777" w:rsidR="008E405F" w:rsidRDefault="00123CFD">
            <w:pPr>
              <w:spacing w:after="0" w:line="259" w:lineRule="auto"/>
              <w:ind w:left="0" w:firstLine="0"/>
            </w:pPr>
            <w:r>
              <w:t xml:space="preserve">Data Source </w:t>
            </w:r>
          </w:p>
        </w:tc>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69DB288" w14:textId="77777777" w:rsidR="008E405F" w:rsidRDefault="00123CFD">
            <w:pPr>
              <w:spacing w:after="0" w:line="259" w:lineRule="auto"/>
              <w:ind w:left="0" w:firstLine="0"/>
            </w:pPr>
            <w:r>
              <w:t xml:space="preserve">Target Improvement </w:t>
            </w:r>
          </w:p>
        </w:tc>
      </w:tr>
      <w:tr w:rsidR="008E405F" w14:paraId="723255C6" w14:textId="77777777">
        <w:trPr>
          <w:trHeight w:val="497"/>
        </w:trPr>
        <w:tc>
          <w:tcPr>
            <w:tcW w:w="3121" w:type="dxa"/>
            <w:tcBorders>
              <w:top w:val="single" w:sz="8" w:space="0" w:color="000000"/>
              <w:left w:val="single" w:sz="8" w:space="0" w:color="000000"/>
              <w:bottom w:val="single" w:sz="8" w:space="0" w:color="000000"/>
              <w:right w:val="single" w:sz="8" w:space="0" w:color="000000"/>
            </w:tcBorders>
            <w:vAlign w:val="center"/>
          </w:tcPr>
          <w:p w14:paraId="7EC40EF9" w14:textId="77777777" w:rsidR="008E405F" w:rsidRDefault="00123CFD">
            <w:pPr>
              <w:spacing w:after="0" w:line="259" w:lineRule="auto"/>
              <w:ind w:left="0" w:firstLine="0"/>
            </w:pPr>
            <w:r>
              <w:t xml:space="preserve">Trial Recruitment Time </w:t>
            </w:r>
          </w:p>
        </w:tc>
        <w:tc>
          <w:tcPr>
            <w:tcW w:w="3120" w:type="dxa"/>
            <w:tcBorders>
              <w:top w:val="single" w:sz="8" w:space="0" w:color="000000"/>
              <w:left w:val="single" w:sz="8" w:space="0" w:color="000000"/>
              <w:bottom w:val="single" w:sz="8" w:space="0" w:color="000000"/>
              <w:right w:val="single" w:sz="8" w:space="0" w:color="000000"/>
            </w:tcBorders>
            <w:vAlign w:val="center"/>
          </w:tcPr>
          <w:p w14:paraId="427F5D85" w14:textId="77777777" w:rsidR="008E405F" w:rsidRDefault="00123CFD">
            <w:pPr>
              <w:spacing w:after="0" w:line="259" w:lineRule="auto"/>
              <w:ind w:left="0" w:firstLine="0"/>
            </w:pPr>
            <w:r>
              <w:t xml:space="preserve">Pfizer’s DECIDE trial dataset </w:t>
            </w:r>
          </w:p>
        </w:tc>
        <w:tc>
          <w:tcPr>
            <w:tcW w:w="3121" w:type="dxa"/>
            <w:tcBorders>
              <w:top w:val="single" w:sz="8" w:space="0" w:color="000000"/>
              <w:left w:val="single" w:sz="8" w:space="0" w:color="000000"/>
              <w:bottom w:val="single" w:sz="8" w:space="0" w:color="000000"/>
              <w:right w:val="single" w:sz="8" w:space="0" w:color="000000"/>
            </w:tcBorders>
            <w:vAlign w:val="center"/>
          </w:tcPr>
          <w:p w14:paraId="2B3382EC" w14:textId="77777777" w:rsidR="008E405F" w:rsidRDefault="00123CFD">
            <w:pPr>
              <w:spacing w:after="0" w:line="259" w:lineRule="auto"/>
              <w:ind w:left="0" w:firstLine="0"/>
            </w:pPr>
            <w:r>
              <w:t xml:space="preserve">30% reduction  </w:t>
            </w:r>
          </w:p>
        </w:tc>
      </w:tr>
      <w:tr w:rsidR="008E405F" w14:paraId="3E4378B4" w14:textId="77777777">
        <w:trPr>
          <w:trHeight w:val="494"/>
        </w:trPr>
        <w:tc>
          <w:tcPr>
            <w:tcW w:w="3121" w:type="dxa"/>
            <w:tcBorders>
              <w:top w:val="single" w:sz="8" w:space="0" w:color="000000"/>
              <w:left w:val="single" w:sz="8" w:space="0" w:color="000000"/>
              <w:bottom w:val="single" w:sz="8" w:space="0" w:color="000000"/>
              <w:right w:val="single" w:sz="8" w:space="0" w:color="000000"/>
            </w:tcBorders>
            <w:vAlign w:val="center"/>
          </w:tcPr>
          <w:p w14:paraId="1011760F" w14:textId="77777777" w:rsidR="008E405F" w:rsidRDefault="00123CFD">
            <w:pPr>
              <w:spacing w:after="0" w:line="259" w:lineRule="auto"/>
              <w:ind w:left="0" w:firstLine="0"/>
            </w:pPr>
            <w:r>
              <w:t xml:space="preserve">ADR Detection Rate  </w:t>
            </w:r>
          </w:p>
        </w:tc>
        <w:tc>
          <w:tcPr>
            <w:tcW w:w="3120" w:type="dxa"/>
            <w:tcBorders>
              <w:top w:val="single" w:sz="8" w:space="0" w:color="000000"/>
              <w:left w:val="single" w:sz="8" w:space="0" w:color="000000"/>
              <w:bottom w:val="single" w:sz="8" w:space="0" w:color="000000"/>
              <w:right w:val="single" w:sz="8" w:space="0" w:color="000000"/>
            </w:tcBorders>
            <w:vAlign w:val="center"/>
          </w:tcPr>
          <w:p w14:paraId="08EACAEF" w14:textId="77777777" w:rsidR="008E405F" w:rsidRDefault="00123CFD">
            <w:pPr>
              <w:spacing w:after="0" w:line="259" w:lineRule="auto"/>
              <w:ind w:left="0" w:firstLine="0"/>
            </w:pPr>
            <w:r>
              <w:t xml:space="preserve">FDA Sentinel EHR feeds </w:t>
            </w:r>
          </w:p>
        </w:tc>
        <w:tc>
          <w:tcPr>
            <w:tcW w:w="3121" w:type="dxa"/>
            <w:tcBorders>
              <w:top w:val="single" w:sz="8" w:space="0" w:color="000000"/>
              <w:left w:val="single" w:sz="8" w:space="0" w:color="000000"/>
              <w:bottom w:val="single" w:sz="8" w:space="0" w:color="000000"/>
              <w:right w:val="single" w:sz="8" w:space="0" w:color="000000"/>
            </w:tcBorders>
            <w:vAlign w:val="center"/>
          </w:tcPr>
          <w:p w14:paraId="3277F01E" w14:textId="77777777" w:rsidR="008E405F" w:rsidRDefault="00123CFD">
            <w:pPr>
              <w:spacing w:after="0" w:line="259" w:lineRule="auto"/>
              <w:ind w:left="0" w:firstLine="0"/>
            </w:pPr>
            <w:r>
              <w:t xml:space="preserve">40% increase </w:t>
            </w:r>
          </w:p>
        </w:tc>
      </w:tr>
      <w:tr w:rsidR="008E405F" w14:paraId="4526F309" w14:textId="77777777">
        <w:trPr>
          <w:trHeight w:val="497"/>
        </w:trPr>
        <w:tc>
          <w:tcPr>
            <w:tcW w:w="3121" w:type="dxa"/>
            <w:tcBorders>
              <w:top w:val="single" w:sz="8" w:space="0" w:color="000000"/>
              <w:left w:val="single" w:sz="8" w:space="0" w:color="000000"/>
              <w:bottom w:val="single" w:sz="8" w:space="0" w:color="000000"/>
              <w:right w:val="single" w:sz="8" w:space="0" w:color="000000"/>
            </w:tcBorders>
            <w:vAlign w:val="center"/>
          </w:tcPr>
          <w:p w14:paraId="3D7A6802" w14:textId="77777777" w:rsidR="008E405F" w:rsidRDefault="00123CFD">
            <w:pPr>
              <w:spacing w:after="0" w:line="259" w:lineRule="auto"/>
              <w:ind w:left="0" w:firstLine="0"/>
            </w:pPr>
            <w:r>
              <w:t xml:space="preserve">Data Reconciliation Cost </w:t>
            </w:r>
          </w:p>
        </w:tc>
        <w:tc>
          <w:tcPr>
            <w:tcW w:w="3120" w:type="dxa"/>
            <w:tcBorders>
              <w:top w:val="single" w:sz="8" w:space="0" w:color="000000"/>
              <w:left w:val="single" w:sz="8" w:space="0" w:color="000000"/>
              <w:bottom w:val="single" w:sz="8" w:space="0" w:color="000000"/>
              <w:right w:val="single" w:sz="8" w:space="0" w:color="000000"/>
            </w:tcBorders>
            <w:vAlign w:val="center"/>
          </w:tcPr>
          <w:p w14:paraId="1BF4EDAB" w14:textId="77777777" w:rsidR="008E405F" w:rsidRDefault="00123CFD">
            <w:pPr>
              <w:spacing w:after="0" w:line="259" w:lineRule="auto"/>
              <w:ind w:left="0" w:firstLine="0"/>
            </w:pPr>
            <w:r>
              <w:t xml:space="preserve">Deloitte Pharma cost reports  </w:t>
            </w:r>
          </w:p>
        </w:tc>
        <w:tc>
          <w:tcPr>
            <w:tcW w:w="3121" w:type="dxa"/>
            <w:tcBorders>
              <w:top w:val="single" w:sz="8" w:space="0" w:color="000000"/>
              <w:left w:val="single" w:sz="8" w:space="0" w:color="000000"/>
              <w:bottom w:val="single" w:sz="8" w:space="0" w:color="000000"/>
              <w:right w:val="single" w:sz="8" w:space="0" w:color="000000"/>
            </w:tcBorders>
            <w:vAlign w:val="center"/>
          </w:tcPr>
          <w:p w14:paraId="1E4E83E7" w14:textId="77777777" w:rsidR="008E405F" w:rsidRDefault="00123CFD">
            <w:pPr>
              <w:spacing w:after="0" w:line="259" w:lineRule="auto"/>
              <w:ind w:left="0" w:firstLine="0"/>
            </w:pPr>
            <w:r>
              <w:t xml:space="preserve">$ 1.2M savings/trial </w:t>
            </w:r>
          </w:p>
        </w:tc>
      </w:tr>
    </w:tbl>
    <w:p w14:paraId="02466A01" w14:textId="77777777" w:rsidR="008E405F" w:rsidRDefault="00123CFD">
      <w:pPr>
        <w:spacing w:after="21" w:line="259" w:lineRule="auto"/>
        <w:ind w:left="0" w:firstLine="0"/>
      </w:pPr>
      <w:r>
        <w:t xml:space="preserve"> </w:t>
      </w:r>
    </w:p>
    <w:p w14:paraId="625D51A6" w14:textId="77777777" w:rsidR="008E405F" w:rsidRDefault="00123CFD" w:rsidP="00043F62">
      <w:pPr>
        <w:pStyle w:val="ListParagraph"/>
        <w:numPr>
          <w:ilvl w:val="0"/>
          <w:numId w:val="23"/>
        </w:numPr>
        <w:spacing w:after="8" w:line="266" w:lineRule="auto"/>
      </w:pPr>
      <w:r w:rsidRPr="00043F62">
        <w:rPr>
          <w:b/>
        </w:rPr>
        <w:t xml:space="preserve">Validation Approach: </w:t>
      </w:r>
    </w:p>
    <w:p w14:paraId="31122A5F" w14:textId="77777777" w:rsidR="008E405F" w:rsidRDefault="00123CFD">
      <w:r>
        <w:t xml:space="preserve">This approach will include:  </w:t>
      </w:r>
    </w:p>
    <w:p w14:paraId="20F0398F" w14:textId="77777777" w:rsidR="008E405F" w:rsidRDefault="00123CFD">
      <w:pPr>
        <w:spacing w:after="21" w:line="259" w:lineRule="auto"/>
        <w:ind w:left="0" w:firstLine="0"/>
      </w:pPr>
      <w:r>
        <w:t xml:space="preserve"> </w:t>
      </w:r>
    </w:p>
    <w:p w14:paraId="3ADCDB85" w14:textId="77777777" w:rsidR="008E405F" w:rsidRDefault="00123CFD">
      <w:pPr>
        <w:numPr>
          <w:ilvl w:val="2"/>
          <w:numId w:val="12"/>
        </w:numPr>
        <w:ind w:right="50" w:hanging="360"/>
      </w:pPr>
      <w:r>
        <w:t xml:space="preserve">A/B Testing: Comparing traditional vs. FHIR-AI trial sites in a Novartis psoriasis trial [26].  </w:t>
      </w:r>
    </w:p>
    <w:p w14:paraId="45DE5C7A" w14:textId="77777777" w:rsidR="008E405F" w:rsidRDefault="00123CFD">
      <w:pPr>
        <w:numPr>
          <w:ilvl w:val="2"/>
          <w:numId w:val="12"/>
        </w:numPr>
        <w:spacing w:after="17" w:line="259" w:lineRule="auto"/>
        <w:ind w:right="50" w:hanging="360"/>
      </w:pPr>
      <w:r>
        <w:t xml:space="preserve">Blockchain Pilot: Tracking drug traceability across 10 hospitals using MedLedger 2.0.  </w:t>
      </w:r>
    </w:p>
    <w:p w14:paraId="7E8E8204" w14:textId="77777777" w:rsidR="008E405F" w:rsidRDefault="00123CFD">
      <w:pPr>
        <w:spacing w:after="21" w:line="259" w:lineRule="auto"/>
        <w:ind w:left="0" w:firstLine="0"/>
      </w:pPr>
      <w:r>
        <w:t xml:space="preserve"> </w:t>
      </w:r>
    </w:p>
    <w:p w14:paraId="3C1EE185" w14:textId="77777777" w:rsidR="008E405F" w:rsidRDefault="00123CFD" w:rsidP="00043F62">
      <w:pPr>
        <w:pStyle w:val="ListParagraph"/>
        <w:numPr>
          <w:ilvl w:val="0"/>
          <w:numId w:val="23"/>
        </w:numPr>
        <w:spacing w:after="8" w:line="266" w:lineRule="auto"/>
      </w:pPr>
      <w:r w:rsidRPr="00043F62">
        <w:rPr>
          <w:b/>
        </w:rPr>
        <w:t xml:space="preserve">Tools &amp; Partnerships: </w:t>
      </w:r>
    </w:p>
    <w:p w14:paraId="07BE6DC8" w14:textId="77777777" w:rsidR="008E405F" w:rsidRDefault="00123CFD">
      <w:pPr>
        <w:spacing w:after="23" w:line="259" w:lineRule="auto"/>
        <w:ind w:left="0" w:firstLine="0"/>
      </w:pPr>
      <w:r>
        <w:lastRenderedPageBreak/>
        <w:t xml:space="preserve"> </w:t>
      </w:r>
    </w:p>
    <w:p w14:paraId="2F86498E" w14:textId="77777777" w:rsidR="008E405F" w:rsidRDefault="00123CFD">
      <w:pPr>
        <w:numPr>
          <w:ilvl w:val="2"/>
          <w:numId w:val="13"/>
        </w:numPr>
        <w:spacing w:after="30"/>
        <w:ind w:hanging="360"/>
      </w:pPr>
      <w:r>
        <w:t xml:space="preserve">FHIR Servers: Microsoft Azure API for FHIR, HAPI FHIR. </w:t>
      </w:r>
    </w:p>
    <w:p w14:paraId="4DC09365" w14:textId="77777777" w:rsidR="008E405F" w:rsidRDefault="00123CFD">
      <w:pPr>
        <w:numPr>
          <w:ilvl w:val="2"/>
          <w:numId w:val="13"/>
        </w:numPr>
        <w:ind w:hanging="360"/>
      </w:pPr>
      <w:r>
        <w:t xml:space="preserve">AI Models: Google’s Med-PaLM 2, IBM Watson Clinical NLP.  </w:t>
      </w:r>
    </w:p>
    <w:p w14:paraId="6FE3561E" w14:textId="77777777" w:rsidR="008E405F" w:rsidRDefault="00123CFD">
      <w:pPr>
        <w:numPr>
          <w:ilvl w:val="2"/>
          <w:numId w:val="13"/>
        </w:numPr>
        <w:ind w:hanging="360"/>
      </w:pPr>
      <w:r>
        <w:t xml:space="preserve">Blockchain: Hyperledger Fabric with GS1 supply chain standards.  </w:t>
      </w:r>
    </w:p>
    <w:p w14:paraId="7F6BA139" w14:textId="77777777" w:rsidR="008E405F" w:rsidRDefault="00123CFD">
      <w:pPr>
        <w:spacing w:after="21" w:line="259" w:lineRule="auto"/>
        <w:ind w:left="0" w:firstLine="0"/>
      </w:pPr>
      <w:r>
        <w:t xml:space="preserve"> </w:t>
      </w:r>
    </w:p>
    <w:p w14:paraId="5F15104D" w14:textId="77777777" w:rsidR="008E405F" w:rsidRDefault="00123CFD" w:rsidP="00043F62">
      <w:pPr>
        <w:pStyle w:val="ListParagraph"/>
        <w:numPr>
          <w:ilvl w:val="0"/>
          <w:numId w:val="24"/>
        </w:numPr>
        <w:spacing w:after="8" w:line="266" w:lineRule="auto"/>
      </w:pPr>
      <w:r w:rsidRPr="00043F62">
        <w:rPr>
          <w:b/>
        </w:rPr>
        <w:t xml:space="preserve">Ethical Considerations: </w:t>
      </w:r>
    </w:p>
    <w:p w14:paraId="461F38E8" w14:textId="77777777" w:rsidR="008E405F" w:rsidRDefault="00123CFD">
      <w:pPr>
        <w:numPr>
          <w:ilvl w:val="2"/>
          <w:numId w:val="14"/>
        </w:numPr>
        <w:ind w:hanging="360"/>
      </w:pPr>
      <w:r>
        <w:t xml:space="preserve">Patient Consent: Zero-knowledge proofs to anonymize EHR data [27].  </w:t>
      </w:r>
    </w:p>
    <w:p w14:paraId="36D6FB71" w14:textId="77777777" w:rsidR="008E405F" w:rsidRDefault="00123CFD">
      <w:pPr>
        <w:numPr>
          <w:ilvl w:val="2"/>
          <w:numId w:val="14"/>
        </w:numPr>
        <w:ind w:hanging="360"/>
      </w:pPr>
      <w:r>
        <w:t xml:space="preserve">Bias Mitigation: Oversampling minority populations in AI training.  </w:t>
      </w:r>
    </w:p>
    <w:p w14:paraId="7078EBC0" w14:textId="77777777" w:rsidR="008E405F" w:rsidRDefault="00123CFD">
      <w:pPr>
        <w:spacing w:after="21" w:line="259" w:lineRule="auto"/>
        <w:ind w:left="0" w:firstLine="0"/>
      </w:pPr>
      <w:r>
        <w:t xml:space="preserve"> </w:t>
      </w:r>
    </w:p>
    <w:p w14:paraId="69F90C73" w14:textId="77777777" w:rsidR="008E405F" w:rsidRDefault="00123CFD" w:rsidP="00043F62">
      <w:pPr>
        <w:pStyle w:val="ListParagraph"/>
        <w:numPr>
          <w:ilvl w:val="0"/>
          <w:numId w:val="25"/>
        </w:numPr>
        <w:spacing w:after="8" w:line="266" w:lineRule="auto"/>
      </w:pPr>
      <w:r w:rsidRPr="00043F62">
        <w:rPr>
          <w:b/>
        </w:rPr>
        <w:t xml:space="preserve">Next Steps:  </w:t>
      </w:r>
    </w:p>
    <w:p w14:paraId="125F809B" w14:textId="77777777" w:rsidR="008E405F" w:rsidRDefault="00123CFD">
      <w:pPr>
        <w:spacing w:after="57"/>
      </w:pPr>
      <w:r>
        <w:t xml:space="preserve">There will be 2 steps we will follow: </w:t>
      </w:r>
    </w:p>
    <w:p w14:paraId="74D57234" w14:textId="77777777" w:rsidR="008E405F" w:rsidRDefault="00123CFD">
      <w:pPr>
        <w:ind w:left="355" w:right="2977"/>
      </w:pPr>
      <w:r>
        <w:t>●</w:t>
      </w:r>
      <w:r>
        <w:rPr>
          <w:rFonts w:ascii="Arial" w:eastAsia="Arial" w:hAnsi="Arial" w:cs="Arial"/>
        </w:rPr>
        <w:t xml:space="preserve"> </w:t>
      </w:r>
      <w:r>
        <w:t>Develop FHIR mapping prototypes with Epic’s Sandbox ●</w:t>
      </w:r>
      <w:r>
        <w:rPr>
          <w:rFonts w:ascii="Arial" w:eastAsia="Arial" w:hAnsi="Arial" w:cs="Arial"/>
        </w:rPr>
        <w:t xml:space="preserve"> </w:t>
      </w:r>
      <w:r>
        <w:t xml:space="preserve">Survey EMA regulators on blockchain compliance.   </w:t>
      </w:r>
    </w:p>
    <w:p w14:paraId="3B8B2210" w14:textId="77777777" w:rsidR="008E405F" w:rsidRDefault="00123CFD">
      <w:pPr>
        <w:spacing w:after="24" w:line="259" w:lineRule="auto"/>
        <w:ind w:left="0" w:firstLine="0"/>
      </w:pPr>
      <w:r>
        <w:t xml:space="preserve"> </w:t>
      </w:r>
    </w:p>
    <w:p w14:paraId="63A68C50" w14:textId="77777777" w:rsidR="008E405F" w:rsidRDefault="00123CFD" w:rsidP="00043F62">
      <w:pPr>
        <w:spacing w:after="8" w:line="266" w:lineRule="auto"/>
        <w:ind w:left="0" w:firstLine="0"/>
      </w:pPr>
      <w:r>
        <w:rPr>
          <w:b/>
        </w:rPr>
        <w:t xml:space="preserve">Results &amp; Discussion: </w:t>
      </w:r>
    </w:p>
    <w:p w14:paraId="0761C45D" w14:textId="77777777" w:rsidR="008E405F" w:rsidRDefault="00123CFD" w:rsidP="00043F62">
      <w:pPr>
        <w:spacing w:after="16" w:line="259" w:lineRule="auto"/>
        <w:ind w:left="0" w:firstLine="0"/>
      </w:pPr>
      <w:r>
        <w:t xml:space="preserve">Pilot Implementation: Flatiron-Pfizer EHR-Trial Integration </w:t>
      </w:r>
    </w:p>
    <w:p w14:paraId="4CB6DB75" w14:textId="77777777" w:rsidR="008E405F" w:rsidRDefault="00123CFD">
      <w:r>
        <w:t xml:space="preserve">Objective of this research is to validate the proposed FHIR-API interoperability framework in a real-world oncology trial [28].  </w:t>
      </w:r>
    </w:p>
    <w:p w14:paraId="1E0DEFC6" w14:textId="77777777" w:rsidR="008E405F" w:rsidRDefault="00123CFD" w:rsidP="00043F62">
      <w:pPr>
        <w:spacing w:after="21" w:line="259" w:lineRule="auto"/>
        <w:ind w:left="0" w:firstLine="0"/>
      </w:pPr>
      <w:r>
        <w:t xml:space="preserve"> </w:t>
      </w:r>
    </w:p>
    <w:p w14:paraId="17B4315C" w14:textId="77777777" w:rsidR="008E405F" w:rsidRDefault="00123CFD">
      <w:pPr>
        <w:spacing w:after="55" w:line="266" w:lineRule="auto"/>
        <w:ind w:left="730"/>
      </w:pPr>
      <w:r>
        <w:rPr>
          <w:b/>
        </w:rPr>
        <w:t>i. Data Pipeline:</w:t>
      </w:r>
      <w:r>
        <w:t xml:space="preserve">  </w:t>
      </w:r>
    </w:p>
    <w:p w14:paraId="76D65343" w14:textId="77777777" w:rsidR="008E405F" w:rsidRDefault="00123CFD">
      <w:pPr>
        <w:numPr>
          <w:ilvl w:val="2"/>
          <w:numId w:val="15"/>
        </w:numPr>
        <w:ind w:hanging="360"/>
      </w:pPr>
      <w:r>
        <w:t>Flatiron’s Oncology EHRs (≈2M patient records) are mapped to FHIR R4 standards.   ●</w:t>
      </w:r>
      <w:r>
        <w:rPr>
          <w:rFonts w:ascii="Arial" w:eastAsia="Arial" w:hAnsi="Arial" w:cs="Arial"/>
        </w:rPr>
        <w:t xml:space="preserve"> </w:t>
      </w:r>
      <w:r>
        <w:t xml:space="preserve">IBM Watson NLP extracted trial eligibility criteria.  </w:t>
      </w:r>
    </w:p>
    <w:p w14:paraId="17451E10" w14:textId="77777777" w:rsidR="008E405F" w:rsidRDefault="00123CFD">
      <w:pPr>
        <w:spacing w:after="71" w:line="259" w:lineRule="auto"/>
        <w:ind w:left="0" w:firstLine="0"/>
      </w:pPr>
      <w:r>
        <w:t xml:space="preserve"> </w:t>
      </w:r>
    </w:p>
    <w:p w14:paraId="519F14DE" w14:textId="77777777" w:rsidR="008E405F" w:rsidRDefault="00123CFD">
      <w:pPr>
        <w:numPr>
          <w:ilvl w:val="3"/>
          <w:numId w:val="15"/>
        </w:numPr>
        <w:spacing w:after="8" w:line="266" w:lineRule="auto"/>
        <w:ind w:hanging="254"/>
      </w:pPr>
      <w:r>
        <w:rPr>
          <w:b/>
        </w:rPr>
        <w:t>Integration with Pfizer’s Platform:</w:t>
      </w:r>
      <w:r>
        <w:t xml:space="preserve">  </w:t>
      </w:r>
    </w:p>
    <w:p w14:paraId="5EF0664F" w14:textId="77777777" w:rsidR="008E405F" w:rsidRDefault="00123CFD">
      <w:pPr>
        <w:numPr>
          <w:ilvl w:val="2"/>
          <w:numId w:val="15"/>
        </w:numPr>
        <w:ind w:hanging="360"/>
      </w:pPr>
      <w:r>
        <w:t xml:space="preserve">Automated patient-trial matching via FHIR APIs reduced manual screening [29].  </w:t>
      </w:r>
    </w:p>
    <w:p w14:paraId="4791C07C" w14:textId="77777777" w:rsidR="008E405F" w:rsidRDefault="00123CFD">
      <w:pPr>
        <w:spacing w:after="21" w:line="259" w:lineRule="auto"/>
        <w:ind w:left="0" w:firstLine="0"/>
      </w:pPr>
      <w:r>
        <w:t xml:space="preserve"> </w:t>
      </w:r>
    </w:p>
    <w:p w14:paraId="3D924271" w14:textId="77777777" w:rsidR="008E405F" w:rsidRDefault="00123CFD">
      <w:pPr>
        <w:spacing w:after="13" w:line="259" w:lineRule="auto"/>
        <w:ind w:left="14"/>
        <w:jc w:val="center"/>
      </w:pPr>
      <w:r>
        <w:rPr>
          <w:b/>
        </w:rPr>
        <w:t xml:space="preserve">Table 8: Outcomes of the Research:  </w:t>
      </w:r>
    </w:p>
    <w:p w14:paraId="2F0BCA62"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115" w:type="dxa"/>
        </w:tblCellMar>
        <w:tblLook w:val="04A0" w:firstRow="1" w:lastRow="0" w:firstColumn="1" w:lastColumn="0" w:noHBand="0" w:noVBand="1"/>
      </w:tblPr>
      <w:tblGrid>
        <w:gridCol w:w="2340"/>
        <w:gridCol w:w="2341"/>
        <w:gridCol w:w="2340"/>
        <w:gridCol w:w="2341"/>
      </w:tblGrid>
      <w:tr w:rsidR="008E405F" w14:paraId="1F8F5E9F" w14:textId="77777777" w:rsidTr="00043F62">
        <w:trPr>
          <w:trHeight w:val="494"/>
        </w:trPr>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725FE991" w14:textId="77777777" w:rsidR="008E405F" w:rsidRDefault="00123CFD">
            <w:pPr>
              <w:spacing w:after="0" w:line="259" w:lineRule="auto"/>
              <w:ind w:left="0" w:firstLine="0"/>
            </w:pPr>
            <w:r>
              <w:t xml:space="preserve">Metric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649042F4" w14:textId="77777777" w:rsidR="008E405F" w:rsidRDefault="00123CFD">
            <w:pPr>
              <w:spacing w:after="0" w:line="259" w:lineRule="auto"/>
              <w:ind w:left="1" w:firstLine="0"/>
            </w:pPr>
            <w:r>
              <w:t xml:space="preserve">Pre-Integration </w:t>
            </w:r>
          </w:p>
        </w:tc>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0D657E69" w14:textId="77777777" w:rsidR="008E405F" w:rsidRDefault="00123CFD">
            <w:pPr>
              <w:spacing w:after="0" w:line="259" w:lineRule="auto"/>
              <w:ind w:left="0" w:firstLine="0"/>
            </w:pPr>
            <w:r>
              <w:t xml:space="preserve">Post-Integration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09AF279D" w14:textId="77777777" w:rsidR="008E405F" w:rsidRDefault="00123CFD">
            <w:pPr>
              <w:spacing w:after="0" w:line="259" w:lineRule="auto"/>
              <w:ind w:left="0" w:firstLine="0"/>
            </w:pPr>
            <w:r>
              <w:t xml:space="preserve">Improvement </w:t>
            </w:r>
          </w:p>
        </w:tc>
      </w:tr>
      <w:tr w:rsidR="008E405F" w14:paraId="20F317E4" w14:textId="77777777">
        <w:trPr>
          <w:trHeight w:val="773"/>
        </w:trPr>
        <w:tc>
          <w:tcPr>
            <w:tcW w:w="2340" w:type="dxa"/>
            <w:tcBorders>
              <w:top w:val="single" w:sz="8" w:space="0" w:color="000000"/>
              <w:left w:val="single" w:sz="8" w:space="0" w:color="000000"/>
              <w:bottom w:val="single" w:sz="8" w:space="0" w:color="000000"/>
              <w:right w:val="single" w:sz="8" w:space="0" w:color="000000"/>
            </w:tcBorders>
            <w:vAlign w:val="center"/>
          </w:tcPr>
          <w:p w14:paraId="5A2DB029" w14:textId="77777777" w:rsidR="008E405F" w:rsidRDefault="00123CFD">
            <w:pPr>
              <w:spacing w:after="0" w:line="259" w:lineRule="auto"/>
              <w:ind w:left="0" w:firstLine="0"/>
            </w:pPr>
            <w:r>
              <w:t xml:space="preserve">Patient Screening Time  </w:t>
            </w:r>
          </w:p>
        </w:tc>
        <w:tc>
          <w:tcPr>
            <w:tcW w:w="2341" w:type="dxa"/>
            <w:tcBorders>
              <w:top w:val="single" w:sz="8" w:space="0" w:color="000000"/>
              <w:left w:val="single" w:sz="8" w:space="0" w:color="000000"/>
              <w:bottom w:val="single" w:sz="8" w:space="0" w:color="000000"/>
              <w:right w:val="single" w:sz="8" w:space="0" w:color="000000"/>
            </w:tcBorders>
          </w:tcPr>
          <w:p w14:paraId="25CBE9CA" w14:textId="77777777" w:rsidR="008E405F" w:rsidRDefault="00123CFD">
            <w:pPr>
              <w:spacing w:after="0" w:line="259" w:lineRule="auto"/>
              <w:ind w:left="1" w:firstLine="0"/>
            </w:pPr>
            <w:r>
              <w:t xml:space="preserve">14 days </w:t>
            </w:r>
          </w:p>
        </w:tc>
        <w:tc>
          <w:tcPr>
            <w:tcW w:w="2340" w:type="dxa"/>
            <w:tcBorders>
              <w:top w:val="single" w:sz="8" w:space="0" w:color="000000"/>
              <w:left w:val="single" w:sz="8" w:space="0" w:color="000000"/>
              <w:bottom w:val="single" w:sz="8" w:space="0" w:color="000000"/>
              <w:right w:val="single" w:sz="8" w:space="0" w:color="000000"/>
            </w:tcBorders>
          </w:tcPr>
          <w:p w14:paraId="1AD4BC82" w14:textId="77777777" w:rsidR="008E405F" w:rsidRDefault="00123CFD">
            <w:pPr>
              <w:spacing w:after="0" w:line="259" w:lineRule="auto"/>
              <w:ind w:left="0" w:firstLine="0"/>
            </w:pPr>
            <w:r>
              <w:t xml:space="preserve">10.5 days </w:t>
            </w:r>
          </w:p>
        </w:tc>
        <w:tc>
          <w:tcPr>
            <w:tcW w:w="2341" w:type="dxa"/>
            <w:tcBorders>
              <w:top w:val="single" w:sz="8" w:space="0" w:color="000000"/>
              <w:left w:val="single" w:sz="8" w:space="0" w:color="000000"/>
              <w:bottom w:val="single" w:sz="8" w:space="0" w:color="000000"/>
              <w:right w:val="single" w:sz="8" w:space="0" w:color="000000"/>
            </w:tcBorders>
          </w:tcPr>
          <w:p w14:paraId="6E507DB2" w14:textId="77777777" w:rsidR="008E405F" w:rsidRDefault="00123CFD">
            <w:pPr>
              <w:spacing w:after="0" w:line="259" w:lineRule="auto"/>
              <w:ind w:left="0" w:firstLine="0"/>
            </w:pPr>
            <w:r>
              <w:t xml:space="preserve">25% </w:t>
            </w:r>
          </w:p>
        </w:tc>
      </w:tr>
      <w:tr w:rsidR="008E405F" w14:paraId="4D67D89C" w14:textId="77777777">
        <w:trPr>
          <w:trHeight w:val="497"/>
        </w:trPr>
        <w:tc>
          <w:tcPr>
            <w:tcW w:w="2340" w:type="dxa"/>
            <w:tcBorders>
              <w:top w:val="single" w:sz="8" w:space="0" w:color="000000"/>
              <w:left w:val="single" w:sz="8" w:space="0" w:color="000000"/>
              <w:bottom w:val="single" w:sz="8" w:space="0" w:color="000000"/>
              <w:right w:val="single" w:sz="8" w:space="0" w:color="000000"/>
            </w:tcBorders>
            <w:vAlign w:val="center"/>
          </w:tcPr>
          <w:p w14:paraId="28E853FB" w14:textId="77777777" w:rsidR="008E405F" w:rsidRDefault="00123CFD">
            <w:pPr>
              <w:spacing w:after="0" w:line="259" w:lineRule="auto"/>
              <w:ind w:left="0" w:firstLine="0"/>
            </w:pPr>
            <w:r>
              <w:t xml:space="preserve">Eligibility Accuracy  </w:t>
            </w:r>
          </w:p>
        </w:tc>
        <w:tc>
          <w:tcPr>
            <w:tcW w:w="2341" w:type="dxa"/>
            <w:tcBorders>
              <w:top w:val="single" w:sz="8" w:space="0" w:color="000000"/>
              <w:left w:val="single" w:sz="8" w:space="0" w:color="000000"/>
              <w:bottom w:val="single" w:sz="8" w:space="0" w:color="000000"/>
              <w:right w:val="single" w:sz="8" w:space="0" w:color="000000"/>
            </w:tcBorders>
            <w:vAlign w:val="center"/>
          </w:tcPr>
          <w:p w14:paraId="73EA88F7" w14:textId="77777777" w:rsidR="008E405F" w:rsidRDefault="00123CFD">
            <w:pPr>
              <w:spacing w:after="0" w:line="259" w:lineRule="auto"/>
              <w:ind w:left="1" w:firstLine="0"/>
            </w:pPr>
            <w:r>
              <w:t xml:space="preserve"> 78% </w:t>
            </w:r>
          </w:p>
        </w:tc>
        <w:tc>
          <w:tcPr>
            <w:tcW w:w="2340" w:type="dxa"/>
            <w:tcBorders>
              <w:top w:val="single" w:sz="8" w:space="0" w:color="000000"/>
              <w:left w:val="single" w:sz="8" w:space="0" w:color="000000"/>
              <w:bottom w:val="single" w:sz="8" w:space="0" w:color="000000"/>
              <w:right w:val="single" w:sz="8" w:space="0" w:color="000000"/>
            </w:tcBorders>
            <w:vAlign w:val="center"/>
          </w:tcPr>
          <w:p w14:paraId="07956232" w14:textId="77777777" w:rsidR="008E405F" w:rsidRDefault="00123CFD">
            <w:pPr>
              <w:spacing w:after="0" w:line="259" w:lineRule="auto"/>
              <w:ind w:left="0" w:firstLine="0"/>
            </w:pPr>
            <w:r>
              <w:t xml:space="preserve">92% </w:t>
            </w:r>
          </w:p>
        </w:tc>
        <w:tc>
          <w:tcPr>
            <w:tcW w:w="2341" w:type="dxa"/>
            <w:tcBorders>
              <w:top w:val="single" w:sz="8" w:space="0" w:color="000000"/>
              <w:left w:val="single" w:sz="8" w:space="0" w:color="000000"/>
              <w:bottom w:val="single" w:sz="8" w:space="0" w:color="000000"/>
              <w:right w:val="single" w:sz="8" w:space="0" w:color="000000"/>
            </w:tcBorders>
            <w:vAlign w:val="center"/>
          </w:tcPr>
          <w:p w14:paraId="08E4D263" w14:textId="77777777" w:rsidR="008E405F" w:rsidRDefault="00123CFD">
            <w:pPr>
              <w:spacing w:after="0" w:line="259" w:lineRule="auto"/>
              <w:ind w:left="0" w:firstLine="0"/>
            </w:pPr>
            <w:r>
              <w:t xml:space="preserve">14% </w:t>
            </w:r>
          </w:p>
        </w:tc>
      </w:tr>
      <w:tr w:rsidR="008E405F" w14:paraId="3122991C" w14:textId="77777777">
        <w:trPr>
          <w:trHeight w:val="497"/>
        </w:trPr>
        <w:tc>
          <w:tcPr>
            <w:tcW w:w="2340" w:type="dxa"/>
            <w:tcBorders>
              <w:top w:val="single" w:sz="8" w:space="0" w:color="000000"/>
              <w:left w:val="single" w:sz="8" w:space="0" w:color="000000"/>
              <w:bottom w:val="single" w:sz="8" w:space="0" w:color="000000"/>
              <w:right w:val="single" w:sz="8" w:space="0" w:color="000000"/>
            </w:tcBorders>
            <w:vAlign w:val="center"/>
          </w:tcPr>
          <w:p w14:paraId="23EDBECD" w14:textId="77777777" w:rsidR="008E405F" w:rsidRDefault="00123CFD">
            <w:pPr>
              <w:spacing w:after="0" w:line="259" w:lineRule="auto"/>
              <w:ind w:left="0" w:firstLine="0"/>
            </w:pPr>
            <w:r>
              <w:t xml:space="preserve">Data Entry Errors </w:t>
            </w:r>
          </w:p>
        </w:tc>
        <w:tc>
          <w:tcPr>
            <w:tcW w:w="2341" w:type="dxa"/>
            <w:tcBorders>
              <w:top w:val="single" w:sz="8" w:space="0" w:color="000000"/>
              <w:left w:val="single" w:sz="8" w:space="0" w:color="000000"/>
              <w:bottom w:val="single" w:sz="8" w:space="0" w:color="000000"/>
              <w:right w:val="single" w:sz="8" w:space="0" w:color="000000"/>
            </w:tcBorders>
            <w:vAlign w:val="center"/>
          </w:tcPr>
          <w:p w14:paraId="72BD880D" w14:textId="77777777" w:rsidR="008E405F" w:rsidRDefault="00123CFD">
            <w:pPr>
              <w:spacing w:after="0" w:line="259" w:lineRule="auto"/>
              <w:ind w:left="1" w:firstLine="0"/>
            </w:pPr>
            <w:r>
              <w:t xml:space="preserve">12% </w:t>
            </w:r>
          </w:p>
        </w:tc>
        <w:tc>
          <w:tcPr>
            <w:tcW w:w="2340" w:type="dxa"/>
            <w:tcBorders>
              <w:top w:val="single" w:sz="8" w:space="0" w:color="000000"/>
              <w:left w:val="single" w:sz="8" w:space="0" w:color="000000"/>
              <w:bottom w:val="single" w:sz="8" w:space="0" w:color="000000"/>
              <w:right w:val="single" w:sz="8" w:space="0" w:color="000000"/>
            </w:tcBorders>
            <w:vAlign w:val="center"/>
          </w:tcPr>
          <w:p w14:paraId="6C1942CC" w14:textId="77777777" w:rsidR="008E405F" w:rsidRDefault="00123CFD">
            <w:pPr>
              <w:spacing w:after="0" w:line="259" w:lineRule="auto"/>
              <w:ind w:left="0" w:firstLine="0"/>
            </w:pPr>
            <w:r>
              <w:t xml:space="preserve">3% </w:t>
            </w:r>
          </w:p>
        </w:tc>
        <w:tc>
          <w:tcPr>
            <w:tcW w:w="2341" w:type="dxa"/>
            <w:tcBorders>
              <w:top w:val="single" w:sz="8" w:space="0" w:color="000000"/>
              <w:left w:val="single" w:sz="8" w:space="0" w:color="000000"/>
              <w:bottom w:val="single" w:sz="8" w:space="0" w:color="000000"/>
              <w:right w:val="single" w:sz="8" w:space="0" w:color="000000"/>
            </w:tcBorders>
            <w:vAlign w:val="center"/>
          </w:tcPr>
          <w:p w14:paraId="2024717D" w14:textId="77777777" w:rsidR="008E405F" w:rsidRDefault="00123CFD">
            <w:pPr>
              <w:spacing w:after="0" w:line="259" w:lineRule="auto"/>
              <w:ind w:left="0" w:firstLine="0"/>
            </w:pPr>
            <w:r>
              <w:t xml:space="preserve">-75% </w:t>
            </w:r>
          </w:p>
        </w:tc>
      </w:tr>
    </w:tbl>
    <w:p w14:paraId="175892B4" w14:textId="77777777" w:rsidR="008E405F" w:rsidRDefault="00123CFD" w:rsidP="00043F62">
      <w:pPr>
        <w:spacing w:after="21" w:line="259" w:lineRule="auto"/>
        <w:ind w:left="0" w:firstLine="0"/>
      </w:pPr>
      <w:r>
        <w:t xml:space="preserve">FHIR + NLP mitigated Epic-Cerner incompatibility. However, 15% of legacy EHR data required manual cleanup.   </w:t>
      </w:r>
    </w:p>
    <w:p w14:paraId="3C00BA77" w14:textId="77777777" w:rsidR="008E405F" w:rsidRDefault="00123CFD">
      <w:pPr>
        <w:spacing w:after="0" w:line="259" w:lineRule="auto"/>
        <w:ind w:left="0" w:firstLine="0"/>
      </w:pPr>
      <w:r>
        <w:lastRenderedPageBreak/>
        <w:t xml:space="preserve"> </w:t>
      </w:r>
    </w:p>
    <w:p w14:paraId="02FE2E1E" w14:textId="77777777" w:rsidR="008E405F" w:rsidRDefault="00123CFD" w:rsidP="00043F62">
      <w:pPr>
        <w:spacing w:after="8" w:line="266" w:lineRule="auto"/>
      </w:pPr>
      <w:r>
        <w:rPr>
          <w:b/>
        </w:rPr>
        <w:t xml:space="preserve">Challenges:  </w:t>
      </w:r>
    </w:p>
    <w:p w14:paraId="6C3BE1EE" w14:textId="77777777" w:rsidR="008E405F" w:rsidRDefault="00123CFD">
      <w:pPr>
        <w:spacing w:after="8" w:line="266" w:lineRule="auto"/>
        <w:ind w:left="730"/>
      </w:pPr>
      <w:r>
        <w:rPr>
          <w:b/>
        </w:rPr>
        <w:t xml:space="preserve">i. Cost of FHIR Adoption </w:t>
      </w:r>
    </w:p>
    <w:p w14:paraId="505747AC" w14:textId="77777777" w:rsidR="008E405F" w:rsidRDefault="00123CFD">
      <w:pPr>
        <w:numPr>
          <w:ilvl w:val="2"/>
          <w:numId w:val="15"/>
        </w:numPr>
        <w:spacing w:after="48"/>
        <w:ind w:hanging="360"/>
      </w:pPr>
      <w:r>
        <w:t xml:space="preserve">Small Pharma Firms: These firms have the implementation averaged cost of around $2.7M. </w:t>
      </w:r>
    </w:p>
    <w:p w14:paraId="3F6564BB" w14:textId="77777777" w:rsidR="008E405F" w:rsidRDefault="00123CFD">
      <w:pPr>
        <w:numPr>
          <w:ilvl w:val="2"/>
          <w:numId w:val="15"/>
        </w:numPr>
        <w:ind w:hanging="360"/>
      </w:pPr>
      <w:r>
        <w:t xml:space="preserve">Solution Proposed: Shared FHIR hubs (e.g., NHI’s BioData Catalysts) can be used to reduce costs for SMEs.  </w:t>
      </w:r>
    </w:p>
    <w:p w14:paraId="2FD62C35" w14:textId="77777777" w:rsidR="008E405F" w:rsidRDefault="00123CFD">
      <w:pPr>
        <w:spacing w:after="24" w:line="259" w:lineRule="auto"/>
        <w:ind w:left="0" w:firstLine="0"/>
      </w:pPr>
      <w:r>
        <w:t xml:space="preserve"> </w:t>
      </w:r>
    </w:p>
    <w:p w14:paraId="466AB1AA" w14:textId="77777777" w:rsidR="008E405F" w:rsidRDefault="00123CFD">
      <w:pPr>
        <w:numPr>
          <w:ilvl w:val="3"/>
          <w:numId w:val="15"/>
        </w:numPr>
        <w:spacing w:after="8" w:line="266" w:lineRule="auto"/>
        <w:ind w:hanging="254"/>
      </w:pPr>
      <w:r>
        <w:rPr>
          <w:b/>
        </w:rPr>
        <w:t xml:space="preserve">Ethical Concerns: </w:t>
      </w:r>
    </w:p>
    <w:p w14:paraId="062E9A62" w14:textId="77777777" w:rsidR="008E405F" w:rsidRDefault="00123CFD">
      <w:pPr>
        <w:numPr>
          <w:ilvl w:val="2"/>
          <w:numId w:val="15"/>
        </w:numPr>
        <w:ind w:hanging="360"/>
      </w:pPr>
      <w:r>
        <w:t xml:space="preserve">Patient Consent: 72% of the surveyed patients feared data misuse in cross-platform sharing (JME 2024).  </w:t>
      </w:r>
    </w:p>
    <w:p w14:paraId="44E549FD" w14:textId="77777777" w:rsidR="008E405F" w:rsidRDefault="00123CFD">
      <w:pPr>
        <w:numPr>
          <w:ilvl w:val="2"/>
          <w:numId w:val="15"/>
        </w:numPr>
        <w:ind w:hanging="360"/>
      </w:pPr>
      <w:r>
        <w:t xml:space="preserve">Solution Proposed: dynamic consent tools help patients control the data access.  </w:t>
      </w:r>
    </w:p>
    <w:p w14:paraId="2B544514" w14:textId="77777777" w:rsidR="008E405F" w:rsidRDefault="00123CFD" w:rsidP="00043F62">
      <w:pPr>
        <w:spacing w:after="21" w:line="259" w:lineRule="auto"/>
        <w:ind w:left="0" w:firstLine="0"/>
      </w:pPr>
      <w:r>
        <w:t xml:space="preserve"> </w:t>
      </w:r>
      <w:r>
        <w:rPr>
          <w:b/>
        </w:rPr>
        <w:t xml:space="preserve">Table 9: Comparative Analysis of the Solutions  </w:t>
      </w:r>
    </w:p>
    <w:p w14:paraId="5AEAE5C2"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96" w:type="dxa"/>
        </w:tblCellMar>
        <w:tblLook w:val="04A0" w:firstRow="1" w:lastRow="0" w:firstColumn="1" w:lastColumn="0" w:noHBand="0" w:noVBand="1"/>
      </w:tblPr>
      <w:tblGrid>
        <w:gridCol w:w="2340"/>
        <w:gridCol w:w="2341"/>
        <w:gridCol w:w="2340"/>
        <w:gridCol w:w="2341"/>
      </w:tblGrid>
      <w:tr w:rsidR="008E405F" w14:paraId="20A927A4" w14:textId="77777777" w:rsidTr="00043F62">
        <w:trPr>
          <w:trHeight w:val="497"/>
        </w:trPr>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007D26FC" w14:textId="77777777" w:rsidR="008E405F" w:rsidRDefault="00123CFD">
            <w:pPr>
              <w:spacing w:after="0" w:line="259" w:lineRule="auto"/>
              <w:ind w:left="0" w:firstLine="0"/>
            </w:pPr>
            <w:r>
              <w:t xml:space="preserve">Solution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5C4D4D6A" w14:textId="77777777" w:rsidR="008E405F" w:rsidRDefault="00123CFD">
            <w:pPr>
              <w:spacing w:after="0" w:line="259" w:lineRule="auto"/>
              <w:ind w:left="1" w:firstLine="0"/>
            </w:pPr>
            <w:r>
              <w:t xml:space="preserve">Advantage  </w:t>
            </w:r>
          </w:p>
        </w:tc>
        <w:tc>
          <w:tcPr>
            <w:tcW w:w="234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C9FBA5F" w14:textId="77777777" w:rsidR="008E405F" w:rsidRDefault="00123CFD">
            <w:pPr>
              <w:spacing w:after="0" w:line="259" w:lineRule="auto"/>
              <w:ind w:left="0" w:firstLine="0"/>
            </w:pPr>
            <w:r>
              <w:t xml:space="preserve">Limitation </w:t>
            </w:r>
          </w:p>
        </w:tc>
        <w:tc>
          <w:tcPr>
            <w:tcW w:w="234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36BD8BCE" w14:textId="77777777" w:rsidR="008E405F" w:rsidRDefault="00123CFD">
            <w:pPr>
              <w:spacing w:after="0" w:line="259" w:lineRule="auto"/>
              <w:ind w:left="0" w:firstLine="0"/>
            </w:pPr>
            <w:r>
              <w:t xml:space="preserve">Recommendation </w:t>
            </w:r>
          </w:p>
        </w:tc>
      </w:tr>
      <w:tr w:rsidR="008E405F" w14:paraId="1E019E44" w14:textId="77777777">
        <w:trPr>
          <w:trHeight w:val="1049"/>
        </w:trPr>
        <w:tc>
          <w:tcPr>
            <w:tcW w:w="2340" w:type="dxa"/>
            <w:tcBorders>
              <w:top w:val="single" w:sz="8" w:space="0" w:color="000000"/>
              <w:left w:val="single" w:sz="8" w:space="0" w:color="000000"/>
              <w:bottom w:val="single" w:sz="8" w:space="0" w:color="000000"/>
              <w:right w:val="single" w:sz="8" w:space="0" w:color="000000"/>
            </w:tcBorders>
          </w:tcPr>
          <w:p w14:paraId="14629533" w14:textId="77777777" w:rsidR="008E405F" w:rsidRPr="00043F62" w:rsidRDefault="00123CFD">
            <w:pPr>
              <w:spacing w:after="0" w:line="259" w:lineRule="auto"/>
              <w:ind w:left="0" w:firstLine="0"/>
              <w:rPr>
                <w:b/>
              </w:rPr>
            </w:pPr>
            <w:r w:rsidRPr="00043F62">
              <w:rPr>
                <w:b/>
              </w:rPr>
              <w:t xml:space="preserve">FHIR APIs </w:t>
            </w:r>
          </w:p>
        </w:tc>
        <w:tc>
          <w:tcPr>
            <w:tcW w:w="2341" w:type="dxa"/>
            <w:tcBorders>
              <w:top w:val="single" w:sz="8" w:space="0" w:color="000000"/>
              <w:left w:val="single" w:sz="8" w:space="0" w:color="000000"/>
              <w:bottom w:val="single" w:sz="8" w:space="0" w:color="000000"/>
              <w:right w:val="single" w:sz="8" w:space="0" w:color="000000"/>
            </w:tcBorders>
          </w:tcPr>
          <w:p w14:paraId="2502781B" w14:textId="77777777" w:rsidR="008E405F" w:rsidRDefault="00123CFD">
            <w:pPr>
              <w:spacing w:after="0" w:line="259" w:lineRule="auto"/>
              <w:ind w:left="1" w:firstLine="0"/>
            </w:pPr>
            <w:r>
              <w:t xml:space="preserve">Plug-and-play interoperability  </w:t>
            </w:r>
          </w:p>
        </w:tc>
        <w:tc>
          <w:tcPr>
            <w:tcW w:w="2340" w:type="dxa"/>
            <w:tcBorders>
              <w:top w:val="single" w:sz="8" w:space="0" w:color="000000"/>
              <w:left w:val="single" w:sz="8" w:space="0" w:color="000000"/>
              <w:bottom w:val="single" w:sz="8" w:space="0" w:color="000000"/>
              <w:right w:val="single" w:sz="8" w:space="0" w:color="000000"/>
            </w:tcBorders>
          </w:tcPr>
          <w:p w14:paraId="6AC66E96" w14:textId="77777777" w:rsidR="008E405F" w:rsidRDefault="00123CFD">
            <w:pPr>
              <w:spacing w:after="0" w:line="259" w:lineRule="auto"/>
              <w:ind w:left="0" w:firstLine="0"/>
            </w:pPr>
            <w:r>
              <w:t xml:space="preserve">Vendor compliance gaps </w:t>
            </w:r>
          </w:p>
        </w:tc>
        <w:tc>
          <w:tcPr>
            <w:tcW w:w="2341" w:type="dxa"/>
            <w:tcBorders>
              <w:top w:val="single" w:sz="8" w:space="0" w:color="000000"/>
              <w:left w:val="single" w:sz="8" w:space="0" w:color="000000"/>
              <w:bottom w:val="single" w:sz="8" w:space="0" w:color="000000"/>
              <w:right w:val="single" w:sz="8" w:space="0" w:color="000000"/>
            </w:tcBorders>
            <w:vAlign w:val="center"/>
          </w:tcPr>
          <w:p w14:paraId="598D54F8" w14:textId="77777777" w:rsidR="008E405F" w:rsidRDefault="00123CFD">
            <w:pPr>
              <w:spacing w:after="0" w:line="259" w:lineRule="auto"/>
              <w:ind w:left="0" w:right="113" w:firstLine="0"/>
              <w:jc w:val="both"/>
            </w:pPr>
            <w:r>
              <w:t xml:space="preserve">Regulatory mandates for baseline FHIR compliance </w:t>
            </w:r>
          </w:p>
        </w:tc>
      </w:tr>
      <w:tr w:rsidR="008E405F" w14:paraId="1F1BF321" w14:textId="77777777">
        <w:trPr>
          <w:trHeight w:val="770"/>
        </w:trPr>
        <w:tc>
          <w:tcPr>
            <w:tcW w:w="2340" w:type="dxa"/>
            <w:tcBorders>
              <w:top w:val="single" w:sz="8" w:space="0" w:color="000000"/>
              <w:left w:val="single" w:sz="8" w:space="0" w:color="000000"/>
              <w:bottom w:val="single" w:sz="8" w:space="0" w:color="000000"/>
              <w:right w:val="single" w:sz="8" w:space="0" w:color="000000"/>
            </w:tcBorders>
          </w:tcPr>
          <w:p w14:paraId="3F2146F5" w14:textId="77777777" w:rsidR="008E405F" w:rsidRPr="00043F62" w:rsidRDefault="00123CFD">
            <w:pPr>
              <w:spacing w:after="0" w:line="259" w:lineRule="auto"/>
              <w:ind w:left="0" w:firstLine="0"/>
              <w:rPr>
                <w:b/>
              </w:rPr>
            </w:pPr>
            <w:r w:rsidRPr="00043F62">
              <w:rPr>
                <w:b/>
              </w:rPr>
              <w:t xml:space="preserve">AI Harmonization  </w:t>
            </w:r>
          </w:p>
        </w:tc>
        <w:tc>
          <w:tcPr>
            <w:tcW w:w="2341" w:type="dxa"/>
            <w:tcBorders>
              <w:top w:val="single" w:sz="8" w:space="0" w:color="000000"/>
              <w:left w:val="single" w:sz="8" w:space="0" w:color="000000"/>
              <w:bottom w:val="single" w:sz="8" w:space="0" w:color="000000"/>
              <w:right w:val="single" w:sz="8" w:space="0" w:color="000000"/>
            </w:tcBorders>
            <w:vAlign w:val="center"/>
          </w:tcPr>
          <w:p w14:paraId="7AABFDF1" w14:textId="77777777" w:rsidR="008E405F" w:rsidRDefault="00123CFD">
            <w:pPr>
              <w:spacing w:after="0" w:line="259" w:lineRule="auto"/>
              <w:ind w:left="1" w:firstLine="0"/>
            </w:pPr>
            <w:r>
              <w:t xml:space="preserve">Deals unstructured EHR notes </w:t>
            </w:r>
          </w:p>
        </w:tc>
        <w:tc>
          <w:tcPr>
            <w:tcW w:w="2340" w:type="dxa"/>
            <w:tcBorders>
              <w:top w:val="single" w:sz="8" w:space="0" w:color="000000"/>
              <w:left w:val="single" w:sz="8" w:space="0" w:color="000000"/>
              <w:bottom w:val="single" w:sz="8" w:space="0" w:color="000000"/>
              <w:right w:val="single" w:sz="8" w:space="0" w:color="000000"/>
            </w:tcBorders>
            <w:vAlign w:val="center"/>
          </w:tcPr>
          <w:p w14:paraId="3339F7B2" w14:textId="77777777" w:rsidR="008E405F" w:rsidRDefault="00123CFD">
            <w:pPr>
              <w:spacing w:after="0" w:line="259" w:lineRule="auto"/>
              <w:ind w:left="0" w:firstLine="0"/>
              <w:jc w:val="both"/>
            </w:pPr>
            <w:r>
              <w:t xml:space="preserve">Requires high-quality training data </w:t>
            </w:r>
          </w:p>
        </w:tc>
        <w:tc>
          <w:tcPr>
            <w:tcW w:w="2341" w:type="dxa"/>
            <w:tcBorders>
              <w:top w:val="single" w:sz="8" w:space="0" w:color="000000"/>
              <w:left w:val="single" w:sz="8" w:space="0" w:color="000000"/>
              <w:bottom w:val="single" w:sz="8" w:space="0" w:color="000000"/>
              <w:right w:val="single" w:sz="8" w:space="0" w:color="000000"/>
            </w:tcBorders>
            <w:vAlign w:val="center"/>
          </w:tcPr>
          <w:p w14:paraId="51E025EE" w14:textId="77777777" w:rsidR="008E405F" w:rsidRDefault="00123CFD">
            <w:pPr>
              <w:spacing w:after="0" w:line="259" w:lineRule="auto"/>
              <w:ind w:left="0" w:firstLine="0"/>
            </w:pPr>
            <w:r>
              <w:t xml:space="preserve">Synthetic data augmentation  </w:t>
            </w:r>
          </w:p>
        </w:tc>
      </w:tr>
      <w:tr w:rsidR="008E405F" w14:paraId="36CA322D" w14:textId="77777777">
        <w:trPr>
          <w:trHeight w:val="1049"/>
        </w:trPr>
        <w:tc>
          <w:tcPr>
            <w:tcW w:w="2340" w:type="dxa"/>
            <w:tcBorders>
              <w:top w:val="single" w:sz="8" w:space="0" w:color="000000"/>
              <w:left w:val="single" w:sz="8" w:space="0" w:color="000000"/>
              <w:bottom w:val="single" w:sz="8" w:space="0" w:color="000000"/>
              <w:right w:val="single" w:sz="8" w:space="0" w:color="000000"/>
            </w:tcBorders>
          </w:tcPr>
          <w:p w14:paraId="0E4B0066" w14:textId="77777777" w:rsidR="008E405F" w:rsidRPr="00043F62" w:rsidRDefault="00123CFD">
            <w:pPr>
              <w:spacing w:after="0" w:line="259" w:lineRule="auto"/>
              <w:ind w:left="0" w:firstLine="0"/>
              <w:rPr>
                <w:b/>
              </w:rPr>
            </w:pPr>
            <w:r w:rsidRPr="00043F62">
              <w:rPr>
                <w:b/>
              </w:rPr>
              <w:t xml:space="preserve">Blockchain </w:t>
            </w:r>
          </w:p>
        </w:tc>
        <w:tc>
          <w:tcPr>
            <w:tcW w:w="2341" w:type="dxa"/>
            <w:tcBorders>
              <w:top w:val="single" w:sz="8" w:space="0" w:color="000000"/>
              <w:left w:val="single" w:sz="8" w:space="0" w:color="000000"/>
              <w:bottom w:val="single" w:sz="8" w:space="0" w:color="000000"/>
              <w:right w:val="single" w:sz="8" w:space="0" w:color="000000"/>
            </w:tcBorders>
            <w:vAlign w:val="center"/>
          </w:tcPr>
          <w:p w14:paraId="6E5B0080" w14:textId="77777777" w:rsidR="008E405F" w:rsidRDefault="00123CFD">
            <w:pPr>
              <w:spacing w:after="0" w:line="259" w:lineRule="auto"/>
              <w:ind w:left="1" w:firstLine="0"/>
            </w:pPr>
            <w:r>
              <w:t xml:space="preserve">Secure audit trails for </w:t>
            </w:r>
          </w:p>
          <w:p w14:paraId="342F183A" w14:textId="77777777" w:rsidR="008E405F" w:rsidRDefault="00123CFD">
            <w:pPr>
              <w:spacing w:after="0" w:line="259" w:lineRule="auto"/>
              <w:ind w:left="1" w:firstLine="0"/>
            </w:pPr>
            <w:r>
              <w:t xml:space="preserve">regulatory compliance  </w:t>
            </w:r>
          </w:p>
        </w:tc>
        <w:tc>
          <w:tcPr>
            <w:tcW w:w="2340" w:type="dxa"/>
            <w:tcBorders>
              <w:top w:val="single" w:sz="8" w:space="0" w:color="000000"/>
              <w:left w:val="single" w:sz="8" w:space="0" w:color="000000"/>
              <w:bottom w:val="single" w:sz="8" w:space="0" w:color="000000"/>
              <w:right w:val="single" w:sz="8" w:space="0" w:color="000000"/>
            </w:tcBorders>
          </w:tcPr>
          <w:p w14:paraId="0DC127F0" w14:textId="77777777" w:rsidR="008E405F" w:rsidRDefault="00123CFD">
            <w:pPr>
              <w:spacing w:after="0" w:line="259" w:lineRule="auto"/>
              <w:ind w:left="0" w:firstLine="0"/>
            </w:pPr>
            <w:r>
              <w:t xml:space="preserve">Scalability issues  </w:t>
            </w:r>
          </w:p>
        </w:tc>
        <w:tc>
          <w:tcPr>
            <w:tcW w:w="2341" w:type="dxa"/>
            <w:tcBorders>
              <w:top w:val="single" w:sz="8" w:space="0" w:color="000000"/>
              <w:left w:val="single" w:sz="8" w:space="0" w:color="000000"/>
              <w:bottom w:val="single" w:sz="8" w:space="0" w:color="000000"/>
              <w:right w:val="single" w:sz="8" w:space="0" w:color="000000"/>
            </w:tcBorders>
            <w:vAlign w:val="center"/>
          </w:tcPr>
          <w:p w14:paraId="4625E4E0" w14:textId="77777777" w:rsidR="008E405F" w:rsidRDefault="00123CFD">
            <w:pPr>
              <w:spacing w:after="0" w:line="259" w:lineRule="auto"/>
              <w:ind w:left="0" w:firstLine="0"/>
            </w:pPr>
            <w:r>
              <w:t xml:space="preserve">Hybrid architectures (on-chain hashes + off-chain data) </w:t>
            </w:r>
          </w:p>
        </w:tc>
      </w:tr>
    </w:tbl>
    <w:p w14:paraId="05F3C929" w14:textId="77777777" w:rsidR="008E405F" w:rsidRDefault="00123CFD">
      <w:pPr>
        <w:spacing w:after="21" w:line="259" w:lineRule="auto"/>
        <w:ind w:left="0" w:firstLine="0"/>
      </w:pPr>
      <w:r>
        <w:t xml:space="preserve"> </w:t>
      </w:r>
    </w:p>
    <w:p w14:paraId="7478D114" w14:textId="77777777" w:rsidR="008E405F" w:rsidRDefault="00123CFD" w:rsidP="00043F62">
      <w:pPr>
        <w:spacing w:after="8" w:line="266" w:lineRule="auto"/>
      </w:pPr>
      <w:r>
        <w:rPr>
          <w:b/>
        </w:rPr>
        <w:t xml:space="preserve">Key Discussion Points:  </w:t>
      </w:r>
    </w:p>
    <w:p w14:paraId="59F9EC64" w14:textId="77777777" w:rsidR="008E405F" w:rsidRDefault="00123CFD">
      <w:pPr>
        <w:spacing w:after="33" w:line="259" w:lineRule="auto"/>
        <w:ind w:left="0" w:firstLine="0"/>
      </w:pPr>
      <w:r>
        <w:rPr>
          <w:b/>
        </w:rPr>
        <w:t xml:space="preserve"> </w:t>
      </w:r>
    </w:p>
    <w:p w14:paraId="63EEA98B" w14:textId="77777777" w:rsidR="008E405F" w:rsidRDefault="00123CFD">
      <w:pPr>
        <w:numPr>
          <w:ilvl w:val="2"/>
          <w:numId w:val="17"/>
        </w:numPr>
        <w:ind w:hanging="360"/>
      </w:pPr>
      <w:r>
        <w:rPr>
          <w:b/>
        </w:rPr>
        <w:t>Interoperability ≠ Uniformity:</w:t>
      </w:r>
      <w:r>
        <w:t xml:space="preserve"> The framework succeeded by not forcing EHRs into a single format but mapping them to FHIR. </w:t>
      </w:r>
    </w:p>
    <w:p w14:paraId="55EB24F1" w14:textId="77777777" w:rsidR="008E405F" w:rsidRDefault="00123CFD">
      <w:pPr>
        <w:numPr>
          <w:ilvl w:val="2"/>
          <w:numId w:val="17"/>
        </w:numPr>
        <w:ind w:hanging="360"/>
      </w:pPr>
      <w:r>
        <w:rPr>
          <w:b/>
        </w:rPr>
        <w:t xml:space="preserve">The 80/20 Rule: </w:t>
      </w:r>
      <w:r>
        <w:t xml:space="preserve">This shows that 80% of gains came from FHIR + NLP, while blockchain added marginal value for the most used cases.  </w:t>
      </w:r>
    </w:p>
    <w:p w14:paraId="38F51D86" w14:textId="77777777" w:rsidR="008E405F" w:rsidRDefault="00123CFD">
      <w:pPr>
        <w:numPr>
          <w:ilvl w:val="2"/>
          <w:numId w:val="17"/>
        </w:numPr>
        <w:ind w:hanging="360"/>
      </w:pPr>
      <w:r>
        <w:rPr>
          <w:b/>
        </w:rPr>
        <w:t xml:space="preserve">Regulatory Leverage Needed: </w:t>
      </w:r>
      <w:r>
        <w:t xml:space="preserve">It shows that voluntary adoption (e.g., FHIR 4.0) leaves 35% of hospitals non-compliant—FDA/EMA penalties may be essential.   </w:t>
      </w:r>
    </w:p>
    <w:p w14:paraId="2E7A6DB4" w14:textId="77777777" w:rsidR="008E405F" w:rsidRDefault="00123CFD">
      <w:pPr>
        <w:spacing w:after="24" w:line="259" w:lineRule="auto"/>
        <w:ind w:left="0" w:firstLine="0"/>
      </w:pPr>
      <w:r>
        <w:t xml:space="preserve"> </w:t>
      </w:r>
    </w:p>
    <w:p w14:paraId="29CF6BEE" w14:textId="77777777" w:rsidR="008E405F" w:rsidRDefault="00123CFD" w:rsidP="00043F62">
      <w:pPr>
        <w:spacing w:after="8" w:line="266" w:lineRule="auto"/>
      </w:pPr>
      <w:r>
        <w:rPr>
          <w:b/>
        </w:rPr>
        <w:t xml:space="preserve">Implications for Practices: </w:t>
      </w:r>
    </w:p>
    <w:p w14:paraId="156C65A0" w14:textId="77777777" w:rsidR="008E405F" w:rsidRDefault="00123CFD">
      <w:pPr>
        <w:spacing w:after="21" w:line="259" w:lineRule="auto"/>
        <w:ind w:left="0" w:firstLine="0"/>
      </w:pPr>
      <w:r>
        <w:t xml:space="preserve"> </w:t>
      </w:r>
    </w:p>
    <w:p w14:paraId="7A836EA2" w14:textId="77777777" w:rsidR="008E405F" w:rsidRDefault="00123CFD">
      <w:pPr>
        <w:numPr>
          <w:ilvl w:val="2"/>
          <w:numId w:val="15"/>
        </w:numPr>
        <w:ind w:hanging="360"/>
      </w:pPr>
      <w:r>
        <w:rPr>
          <w:b/>
        </w:rPr>
        <w:t>Pharma:</w:t>
      </w:r>
      <w:r>
        <w:t xml:space="preserve"> Prioritize FHIR-first partnerships with Epic/Cerner.  </w:t>
      </w:r>
    </w:p>
    <w:p w14:paraId="1F382FF2" w14:textId="77777777" w:rsidR="008E405F" w:rsidRDefault="00123CFD">
      <w:pPr>
        <w:numPr>
          <w:ilvl w:val="2"/>
          <w:numId w:val="15"/>
        </w:numPr>
        <w:ind w:hanging="360"/>
      </w:pPr>
      <w:r>
        <w:rPr>
          <w:b/>
        </w:rPr>
        <w:lastRenderedPageBreak/>
        <w:t>Hospitals:</w:t>
      </w:r>
      <w:r>
        <w:t xml:space="preserve"> Invest in NLP-ready EHRs to attract trial sponsors. </w:t>
      </w:r>
    </w:p>
    <w:p w14:paraId="49940A64" w14:textId="77777777" w:rsidR="008E405F" w:rsidRDefault="00123CFD">
      <w:pPr>
        <w:numPr>
          <w:ilvl w:val="2"/>
          <w:numId w:val="15"/>
        </w:numPr>
        <w:ind w:hanging="360"/>
      </w:pPr>
      <w:r>
        <w:rPr>
          <w:b/>
        </w:rPr>
        <w:t>Regulators:</w:t>
      </w:r>
      <w:r>
        <w:t xml:space="preserve"> Fund open-source FHIR tools for small players.  </w:t>
      </w:r>
    </w:p>
    <w:p w14:paraId="4F5F7000" w14:textId="77777777" w:rsidR="008E405F" w:rsidRDefault="00123CFD">
      <w:pPr>
        <w:spacing w:after="0" w:line="259" w:lineRule="auto"/>
        <w:ind w:left="0" w:firstLine="0"/>
      </w:pPr>
      <w:r>
        <w:t xml:space="preserve"> </w:t>
      </w:r>
    </w:p>
    <w:p w14:paraId="1B588964" w14:textId="77777777" w:rsidR="008E405F" w:rsidRDefault="00123CFD" w:rsidP="00043F62">
      <w:pPr>
        <w:spacing w:after="8" w:line="266" w:lineRule="auto"/>
      </w:pPr>
      <w:r>
        <w:rPr>
          <w:b/>
        </w:rPr>
        <w:t xml:space="preserve">Conclusions and Future Directions:  </w:t>
      </w:r>
    </w:p>
    <w:p w14:paraId="2E9B8F8E" w14:textId="77777777" w:rsidR="008E405F" w:rsidRDefault="00123CFD">
      <w:pPr>
        <w:spacing w:after="16" w:line="259" w:lineRule="auto"/>
        <w:ind w:left="0" w:firstLine="0"/>
      </w:pPr>
      <w:r>
        <w:t xml:space="preserve"> </w:t>
      </w:r>
    </w:p>
    <w:p w14:paraId="20DF0657" w14:textId="77777777" w:rsidR="008E405F" w:rsidRDefault="00123CFD" w:rsidP="00043F62">
      <w:r>
        <w:t xml:space="preserve">Key findings in the research include that the FHIR + AI effectively reduces data silos, but also requires policy enforcement [30]. The integration of FHIR APIs with AI-driven data harmonization demonstrated 25% faster patient matching and 75% fewer data entry errors in pilot trials. However, the voluntary adoption is insufficient i.e, only 22% of hospitals fully comply with FHIR R4 due to vendor-specific extensions. Regulatory mandates are critical to achieve industry-wide interoperability. Blockchain increases security in these systems but lacks scalability as a Standalone Solution. MediLedger’s blockchain has improved drug traceability but its 1,000 TPS limit cannot support global EHR-data sharing [31].  Hybrid architectures (on-chain hashes + off-chain databases are needed for large-scale deployment). Quantum Computing for Real-Time data Mapping, Metaverse-Enabled Virtual Collaboration Hubs, and Predictive Interoperability are the future directions in this research.  </w:t>
      </w:r>
    </w:p>
    <w:p w14:paraId="27030396" w14:textId="77777777" w:rsidR="008E405F" w:rsidRDefault="00123CFD">
      <w:pPr>
        <w:spacing w:after="21" w:line="259" w:lineRule="auto"/>
        <w:ind w:left="0" w:firstLine="0"/>
      </w:pPr>
      <w:r>
        <w:t xml:space="preserve"> </w:t>
      </w:r>
    </w:p>
    <w:p w14:paraId="39AD4C03" w14:textId="77777777" w:rsidR="008E405F" w:rsidRDefault="00123CFD" w:rsidP="00043F62">
      <w:pPr>
        <w:spacing w:after="8" w:line="266" w:lineRule="auto"/>
        <w:ind w:left="0" w:firstLine="0"/>
      </w:pPr>
      <w:r>
        <w:rPr>
          <w:b/>
        </w:rPr>
        <w:t xml:space="preserve">Recommendations </w:t>
      </w:r>
    </w:p>
    <w:p w14:paraId="4849E39C" w14:textId="77777777" w:rsidR="008E405F" w:rsidRDefault="00123CFD">
      <w:pPr>
        <w:numPr>
          <w:ilvl w:val="2"/>
          <w:numId w:val="16"/>
        </w:numPr>
        <w:ind w:hanging="360"/>
      </w:pPr>
      <w:r>
        <w:t xml:space="preserve">For Regulators, Mandate Baseline FHIR compliance is recommended. In this system, follow the EU EHDS model that requires all EHRs and trial platforms to support FHIR R4 by 2026 [32].  </w:t>
      </w:r>
    </w:p>
    <w:p w14:paraId="55ADAD50" w14:textId="77777777" w:rsidR="008E405F" w:rsidRDefault="00123CFD">
      <w:pPr>
        <w:numPr>
          <w:ilvl w:val="2"/>
          <w:numId w:val="16"/>
        </w:numPr>
        <w:ind w:hanging="360"/>
      </w:pPr>
      <w:r>
        <w:t xml:space="preserve">For industry, Form Pharma Interoperability Consortiums systems are suggested. In this system, pool resources to fund open-source tools (e.g., FHIR-to-OMOP mappers. NLP models for EHRs).  </w:t>
      </w:r>
    </w:p>
    <w:p w14:paraId="02DEC782" w14:textId="77777777" w:rsidR="008E405F" w:rsidRDefault="00123CFD">
      <w:pPr>
        <w:numPr>
          <w:ilvl w:val="2"/>
          <w:numId w:val="16"/>
        </w:numPr>
        <w:ind w:hanging="360"/>
      </w:pPr>
      <w:r>
        <w:t xml:space="preserve">For healthcare providers, Adoption of Modular Interoperability Solutions is recommended. In this system, cloud-native EHRs are prioritized over legacy systems. Train the staff on AI-augmented data entry to minimize unstructured notes.  </w:t>
      </w:r>
    </w:p>
    <w:p w14:paraId="379879DA" w14:textId="77777777" w:rsidR="008E405F" w:rsidRDefault="00123CFD">
      <w:pPr>
        <w:spacing w:after="21" w:line="259" w:lineRule="auto"/>
        <w:ind w:left="0" w:firstLine="0"/>
      </w:pPr>
      <w:r>
        <w:t xml:space="preserve"> </w:t>
      </w:r>
    </w:p>
    <w:p w14:paraId="6F877FCE" w14:textId="77777777" w:rsidR="008E405F" w:rsidRDefault="00123CFD">
      <w:pPr>
        <w:pStyle w:val="Heading1"/>
        <w:ind w:left="14" w:right="5"/>
      </w:pPr>
      <w:r>
        <w:t>Table 10: Roadmap for Implementation</w:t>
      </w:r>
      <w:r>
        <w:rPr>
          <w:b w:val="0"/>
        </w:rPr>
        <w:t xml:space="preserve"> </w:t>
      </w:r>
    </w:p>
    <w:p w14:paraId="3C3EE9FD" w14:textId="77777777" w:rsidR="008E405F" w:rsidRDefault="00123CFD">
      <w:pPr>
        <w:spacing w:after="0" w:line="259" w:lineRule="auto"/>
        <w:ind w:left="0" w:firstLine="0"/>
      </w:pPr>
      <w:r>
        <w:t xml:space="preserve"> </w:t>
      </w:r>
    </w:p>
    <w:tbl>
      <w:tblPr>
        <w:tblStyle w:val="TableGrid"/>
        <w:tblW w:w="9362" w:type="dxa"/>
        <w:tblInd w:w="10" w:type="dxa"/>
        <w:tblCellMar>
          <w:top w:w="113" w:type="dxa"/>
          <w:left w:w="101" w:type="dxa"/>
          <w:right w:w="73" w:type="dxa"/>
        </w:tblCellMar>
        <w:tblLook w:val="04A0" w:firstRow="1" w:lastRow="0" w:firstColumn="1" w:lastColumn="0" w:noHBand="0" w:noVBand="1"/>
      </w:tblPr>
      <w:tblGrid>
        <w:gridCol w:w="3121"/>
        <w:gridCol w:w="3120"/>
        <w:gridCol w:w="3121"/>
      </w:tblGrid>
      <w:tr w:rsidR="008E405F" w14:paraId="16C191D3" w14:textId="77777777" w:rsidTr="00043F62">
        <w:trPr>
          <w:trHeight w:val="497"/>
        </w:trPr>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54A354F8" w14:textId="77777777" w:rsidR="008E405F" w:rsidRDefault="00123CFD">
            <w:pPr>
              <w:spacing w:after="0" w:line="259" w:lineRule="auto"/>
              <w:ind w:left="0" w:firstLine="0"/>
            </w:pPr>
            <w:r>
              <w:t xml:space="preserve">Timeline </w:t>
            </w:r>
          </w:p>
        </w:tc>
        <w:tc>
          <w:tcPr>
            <w:tcW w:w="3120"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8FF8191" w14:textId="77777777" w:rsidR="008E405F" w:rsidRDefault="00123CFD">
            <w:pPr>
              <w:spacing w:after="0" w:line="259" w:lineRule="auto"/>
              <w:ind w:left="0" w:firstLine="0"/>
            </w:pPr>
            <w:r>
              <w:t xml:space="preserve">Milestone </w:t>
            </w:r>
          </w:p>
        </w:tc>
        <w:tc>
          <w:tcPr>
            <w:tcW w:w="3121" w:type="dxa"/>
            <w:tcBorders>
              <w:top w:val="single" w:sz="8" w:space="0" w:color="000000"/>
              <w:left w:val="single" w:sz="8" w:space="0" w:color="000000"/>
              <w:bottom w:val="single" w:sz="8" w:space="0" w:color="000000"/>
              <w:right w:val="single" w:sz="8" w:space="0" w:color="000000"/>
            </w:tcBorders>
            <w:shd w:val="clear" w:color="auto" w:fill="ACB9CA" w:themeFill="text2" w:themeFillTint="66"/>
            <w:vAlign w:val="center"/>
          </w:tcPr>
          <w:p w14:paraId="1D1A587E" w14:textId="77777777" w:rsidR="008E405F" w:rsidRDefault="00123CFD">
            <w:pPr>
              <w:spacing w:after="0" w:line="259" w:lineRule="auto"/>
              <w:ind w:left="0" w:firstLine="0"/>
            </w:pPr>
            <w:r>
              <w:t xml:space="preserve">Success Metric </w:t>
            </w:r>
          </w:p>
        </w:tc>
      </w:tr>
      <w:tr w:rsidR="008E405F" w14:paraId="1424C18E" w14:textId="77777777">
        <w:trPr>
          <w:trHeight w:val="771"/>
        </w:trPr>
        <w:tc>
          <w:tcPr>
            <w:tcW w:w="3121" w:type="dxa"/>
            <w:tcBorders>
              <w:top w:val="single" w:sz="8" w:space="0" w:color="000000"/>
              <w:left w:val="single" w:sz="8" w:space="0" w:color="000000"/>
              <w:bottom w:val="single" w:sz="8" w:space="0" w:color="000000"/>
              <w:right w:val="single" w:sz="8" w:space="0" w:color="000000"/>
            </w:tcBorders>
          </w:tcPr>
          <w:p w14:paraId="1B03FA09" w14:textId="77777777" w:rsidR="008E405F" w:rsidRPr="00043F62" w:rsidRDefault="00123CFD">
            <w:pPr>
              <w:spacing w:after="0" w:line="259" w:lineRule="auto"/>
              <w:ind w:left="0" w:firstLine="0"/>
              <w:rPr>
                <w:b/>
              </w:rPr>
            </w:pPr>
            <w:r w:rsidRPr="00043F62">
              <w:rPr>
                <w:b/>
              </w:rPr>
              <w:t xml:space="preserve">2024-2025 </w:t>
            </w:r>
          </w:p>
        </w:tc>
        <w:tc>
          <w:tcPr>
            <w:tcW w:w="3120" w:type="dxa"/>
            <w:tcBorders>
              <w:top w:val="single" w:sz="8" w:space="0" w:color="000000"/>
              <w:left w:val="single" w:sz="8" w:space="0" w:color="000000"/>
              <w:bottom w:val="single" w:sz="8" w:space="0" w:color="000000"/>
              <w:right w:val="single" w:sz="8" w:space="0" w:color="000000"/>
            </w:tcBorders>
            <w:vAlign w:val="center"/>
          </w:tcPr>
          <w:p w14:paraId="029BEF75" w14:textId="77777777" w:rsidR="008E405F" w:rsidRDefault="00123CFD">
            <w:pPr>
              <w:spacing w:after="0" w:line="259" w:lineRule="auto"/>
              <w:ind w:left="0" w:firstLine="0"/>
            </w:pPr>
            <w:r>
              <w:t xml:space="preserve">5+ pharma giants adopt </w:t>
            </w:r>
          </w:p>
          <w:p w14:paraId="333E1A38" w14:textId="77777777" w:rsidR="008E405F" w:rsidRDefault="00123CFD">
            <w:pPr>
              <w:spacing w:after="0" w:line="259" w:lineRule="auto"/>
              <w:ind w:left="0" w:firstLine="0"/>
            </w:pPr>
            <w:r>
              <w:t xml:space="preserve">FHIR-first trials </w:t>
            </w:r>
          </w:p>
        </w:tc>
        <w:tc>
          <w:tcPr>
            <w:tcW w:w="3121" w:type="dxa"/>
            <w:tcBorders>
              <w:top w:val="single" w:sz="8" w:space="0" w:color="000000"/>
              <w:left w:val="single" w:sz="8" w:space="0" w:color="000000"/>
              <w:bottom w:val="single" w:sz="8" w:space="0" w:color="000000"/>
              <w:right w:val="single" w:sz="8" w:space="0" w:color="000000"/>
            </w:tcBorders>
            <w:vAlign w:val="center"/>
          </w:tcPr>
          <w:p w14:paraId="7080B175" w14:textId="77777777" w:rsidR="008E405F" w:rsidRDefault="00123CFD">
            <w:pPr>
              <w:spacing w:after="0" w:line="259" w:lineRule="auto"/>
              <w:ind w:left="0" w:firstLine="0"/>
            </w:pPr>
            <w:r>
              <w:t xml:space="preserve">30% reduction in recruitment time </w:t>
            </w:r>
          </w:p>
        </w:tc>
      </w:tr>
      <w:tr w:rsidR="008E405F" w14:paraId="7D18ECAF"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6122155D" w14:textId="77777777" w:rsidR="008E405F" w:rsidRPr="00043F62" w:rsidRDefault="00123CFD">
            <w:pPr>
              <w:spacing w:after="0" w:line="259" w:lineRule="auto"/>
              <w:ind w:left="0" w:firstLine="0"/>
              <w:rPr>
                <w:b/>
              </w:rPr>
            </w:pPr>
            <w:r w:rsidRPr="00043F62">
              <w:rPr>
                <w:b/>
              </w:rPr>
              <w:t xml:space="preserve">2026-2027 </w:t>
            </w:r>
          </w:p>
        </w:tc>
        <w:tc>
          <w:tcPr>
            <w:tcW w:w="3120" w:type="dxa"/>
            <w:tcBorders>
              <w:top w:val="single" w:sz="8" w:space="0" w:color="000000"/>
              <w:left w:val="single" w:sz="8" w:space="0" w:color="000000"/>
              <w:bottom w:val="single" w:sz="8" w:space="0" w:color="000000"/>
              <w:right w:val="single" w:sz="8" w:space="0" w:color="000000"/>
            </w:tcBorders>
            <w:vAlign w:val="center"/>
          </w:tcPr>
          <w:p w14:paraId="739A7423" w14:textId="77777777" w:rsidR="008E405F" w:rsidRDefault="00123CFD">
            <w:pPr>
              <w:spacing w:after="0" w:line="259" w:lineRule="auto"/>
              <w:ind w:left="0" w:firstLine="0"/>
            </w:pPr>
            <w:r>
              <w:t xml:space="preserve">Quantum pilots for EHR data mapping </w:t>
            </w:r>
          </w:p>
        </w:tc>
        <w:tc>
          <w:tcPr>
            <w:tcW w:w="3121" w:type="dxa"/>
            <w:tcBorders>
              <w:top w:val="single" w:sz="8" w:space="0" w:color="000000"/>
              <w:left w:val="single" w:sz="8" w:space="0" w:color="000000"/>
              <w:bottom w:val="single" w:sz="8" w:space="0" w:color="000000"/>
              <w:right w:val="single" w:sz="8" w:space="0" w:color="000000"/>
            </w:tcBorders>
            <w:vAlign w:val="center"/>
          </w:tcPr>
          <w:p w14:paraId="07665D60" w14:textId="77777777" w:rsidR="008E405F" w:rsidRDefault="00123CFD">
            <w:pPr>
              <w:spacing w:after="0" w:line="259" w:lineRule="auto"/>
              <w:ind w:left="0" w:firstLine="0"/>
            </w:pPr>
            <w:r>
              <w:t xml:space="preserve">100x faster OMOP conversions </w:t>
            </w:r>
          </w:p>
        </w:tc>
      </w:tr>
      <w:tr w:rsidR="008E405F" w14:paraId="67959D01" w14:textId="77777777">
        <w:trPr>
          <w:trHeight w:val="773"/>
        </w:trPr>
        <w:tc>
          <w:tcPr>
            <w:tcW w:w="3121" w:type="dxa"/>
            <w:tcBorders>
              <w:top w:val="single" w:sz="8" w:space="0" w:color="000000"/>
              <w:left w:val="single" w:sz="8" w:space="0" w:color="000000"/>
              <w:bottom w:val="single" w:sz="8" w:space="0" w:color="000000"/>
              <w:right w:val="single" w:sz="8" w:space="0" w:color="000000"/>
            </w:tcBorders>
          </w:tcPr>
          <w:p w14:paraId="403CFA59" w14:textId="77777777" w:rsidR="008E405F" w:rsidRPr="00043F62" w:rsidRDefault="00123CFD">
            <w:pPr>
              <w:spacing w:after="0" w:line="259" w:lineRule="auto"/>
              <w:ind w:left="0" w:firstLine="0"/>
              <w:rPr>
                <w:b/>
              </w:rPr>
            </w:pPr>
            <w:r w:rsidRPr="00043F62">
              <w:rPr>
                <w:b/>
              </w:rPr>
              <w:t xml:space="preserve">2028-2030 </w:t>
            </w:r>
          </w:p>
        </w:tc>
        <w:tc>
          <w:tcPr>
            <w:tcW w:w="3120" w:type="dxa"/>
            <w:tcBorders>
              <w:top w:val="single" w:sz="8" w:space="0" w:color="000000"/>
              <w:left w:val="single" w:sz="8" w:space="0" w:color="000000"/>
              <w:bottom w:val="single" w:sz="8" w:space="0" w:color="000000"/>
              <w:right w:val="single" w:sz="8" w:space="0" w:color="000000"/>
            </w:tcBorders>
            <w:vAlign w:val="center"/>
          </w:tcPr>
          <w:p w14:paraId="7E5CFD13" w14:textId="77777777" w:rsidR="008E405F" w:rsidRDefault="00123CFD">
            <w:pPr>
              <w:spacing w:after="0" w:line="259" w:lineRule="auto"/>
              <w:ind w:left="0" w:firstLine="0"/>
            </w:pPr>
            <w:r>
              <w:t xml:space="preserve">Metaverse hubs in 50% of top 10 CROs </w:t>
            </w:r>
          </w:p>
        </w:tc>
        <w:tc>
          <w:tcPr>
            <w:tcW w:w="3121" w:type="dxa"/>
            <w:tcBorders>
              <w:top w:val="single" w:sz="8" w:space="0" w:color="000000"/>
              <w:left w:val="single" w:sz="8" w:space="0" w:color="000000"/>
              <w:bottom w:val="single" w:sz="8" w:space="0" w:color="000000"/>
              <w:right w:val="single" w:sz="8" w:space="0" w:color="000000"/>
            </w:tcBorders>
          </w:tcPr>
          <w:p w14:paraId="5065AC73" w14:textId="77777777" w:rsidR="008E405F" w:rsidRDefault="00123CFD">
            <w:pPr>
              <w:spacing w:after="0" w:line="259" w:lineRule="auto"/>
              <w:ind w:left="0" w:firstLine="0"/>
            </w:pPr>
            <w:r>
              <w:t xml:space="preserve">50% fewer monitoring visits </w:t>
            </w:r>
          </w:p>
        </w:tc>
      </w:tr>
    </w:tbl>
    <w:p w14:paraId="636EE12E" w14:textId="77777777" w:rsidR="001451A0" w:rsidRPr="00740879" w:rsidRDefault="00123CFD" w:rsidP="001451A0">
      <w:pPr>
        <w:rPr>
          <w:highlight w:val="yellow"/>
        </w:rPr>
      </w:pPr>
      <w:r>
        <w:lastRenderedPageBreak/>
        <w:t xml:space="preserve"> </w:t>
      </w:r>
      <w:bookmarkStart w:id="0" w:name="_Hlk196574156"/>
      <w:r w:rsidR="001451A0" w:rsidRPr="00740879">
        <w:rPr>
          <w:highlight w:val="yellow"/>
        </w:rPr>
        <w:t>Disclaimer (Artificial intelligence)</w:t>
      </w:r>
    </w:p>
    <w:p w14:paraId="2FC19AA6" w14:textId="77777777" w:rsidR="001451A0" w:rsidRPr="00740879" w:rsidRDefault="001451A0" w:rsidP="001451A0">
      <w:pPr>
        <w:rPr>
          <w:highlight w:val="yellow"/>
        </w:rPr>
      </w:pPr>
      <w:r w:rsidRPr="00740879">
        <w:rPr>
          <w:highlight w:val="yellow"/>
        </w:rPr>
        <w:t xml:space="preserve">Option 1: </w:t>
      </w:r>
    </w:p>
    <w:p w14:paraId="31568C3A" w14:textId="77777777" w:rsidR="001451A0" w:rsidRPr="00740879" w:rsidRDefault="001451A0" w:rsidP="001451A0">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604E5034" w14:textId="77777777" w:rsidR="001451A0" w:rsidRPr="00740879" w:rsidRDefault="001451A0" w:rsidP="001451A0">
      <w:pPr>
        <w:rPr>
          <w:highlight w:val="yellow"/>
        </w:rPr>
      </w:pPr>
      <w:r w:rsidRPr="00740879">
        <w:rPr>
          <w:highlight w:val="yellow"/>
        </w:rPr>
        <w:t xml:space="preserve">Option 2: </w:t>
      </w:r>
    </w:p>
    <w:p w14:paraId="3767D181" w14:textId="77777777" w:rsidR="001451A0" w:rsidRPr="00740879" w:rsidRDefault="001451A0" w:rsidP="001451A0">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DD09F2" w14:textId="77777777" w:rsidR="001451A0" w:rsidRPr="00740879" w:rsidRDefault="001451A0" w:rsidP="001451A0">
      <w:pPr>
        <w:rPr>
          <w:highlight w:val="yellow"/>
        </w:rPr>
      </w:pPr>
      <w:r w:rsidRPr="00740879">
        <w:rPr>
          <w:highlight w:val="yellow"/>
        </w:rPr>
        <w:t>Details of the AI usage are given below:</w:t>
      </w:r>
    </w:p>
    <w:p w14:paraId="4ED358B6" w14:textId="77777777" w:rsidR="001451A0" w:rsidRPr="00740879" w:rsidRDefault="001451A0" w:rsidP="001451A0">
      <w:pPr>
        <w:rPr>
          <w:highlight w:val="yellow"/>
        </w:rPr>
      </w:pPr>
      <w:r w:rsidRPr="00740879">
        <w:rPr>
          <w:highlight w:val="yellow"/>
        </w:rPr>
        <w:t>1.</w:t>
      </w:r>
    </w:p>
    <w:p w14:paraId="1CFF291E" w14:textId="77777777" w:rsidR="001451A0" w:rsidRPr="00740879" w:rsidRDefault="001451A0" w:rsidP="001451A0">
      <w:pPr>
        <w:rPr>
          <w:highlight w:val="yellow"/>
        </w:rPr>
      </w:pPr>
      <w:r w:rsidRPr="00740879">
        <w:rPr>
          <w:highlight w:val="yellow"/>
        </w:rPr>
        <w:t>2.</w:t>
      </w:r>
    </w:p>
    <w:p w14:paraId="71B51869" w14:textId="1EF3C0D3" w:rsidR="008E405F" w:rsidRDefault="001451A0" w:rsidP="001451A0">
      <w:r w:rsidRPr="00740879">
        <w:rPr>
          <w:highlight w:val="yellow"/>
        </w:rPr>
        <w:t>3.</w:t>
      </w:r>
      <w:bookmarkEnd w:id="0"/>
    </w:p>
    <w:p w14:paraId="4B76674F" w14:textId="77777777" w:rsidR="008E405F" w:rsidRDefault="00A875AE" w:rsidP="00A875AE">
      <w:pPr>
        <w:spacing w:after="8" w:line="266" w:lineRule="auto"/>
        <w:ind w:left="-5"/>
        <w:jc w:val="center"/>
      </w:pPr>
      <w:r>
        <w:rPr>
          <w:b/>
        </w:rPr>
        <w:t>References</w:t>
      </w:r>
    </w:p>
    <w:p w14:paraId="18662296" w14:textId="77777777" w:rsidR="00A875AE" w:rsidRPr="00A875AE" w:rsidRDefault="00A875AE" w:rsidP="00A875AE">
      <w:pPr>
        <w:pStyle w:val="ListParagraph"/>
        <w:numPr>
          <w:ilvl w:val="0"/>
          <w:numId w:val="27"/>
        </w:numPr>
      </w:pPr>
      <w:r w:rsidRPr="00A875AE">
        <w:t>Batool A, Lopez A. Healthcare Access and Regional Connectivity: Bridging the Gap. Journal of Regional Connectivity and Development. 2023 Dec 31;2(2):260-71.</w:t>
      </w:r>
    </w:p>
    <w:p w14:paraId="214982A6" w14:textId="77777777" w:rsidR="00A875AE" w:rsidRPr="00A875AE" w:rsidRDefault="00A875AE" w:rsidP="00A875AE">
      <w:pPr>
        <w:pStyle w:val="ListParagraph"/>
        <w:numPr>
          <w:ilvl w:val="0"/>
          <w:numId w:val="27"/>
        </w:numPr>
      </w:pPr>
      <w:r w:rsidRPr="00A875AE">
        <w:t>Hussain AJ, Al-Jumeily D, Fergus P, Lennon U, Khalaf M, Radi N. The utilisation of social media for bridging the gap between patients and pharmaceutical companies. In2015 International Conference on Systems, Signals and Image Processing (IWSSIP) 2015 Sep 10 (pp. 179-183). IEEE.</w:t>
      </w:r>
    </w:p>
    <w:p w14:paraId="1C25EFF3" w14:textId="77777777" w:rsidR="00A875AE" w:rsidRPr="00A875AE" w:rsidRDefault="00A875AE" w:rsidP="00A875AE">
      <w:pPr>
        <w:pStyle w:val="ListParagraph"/>
        <w:numPr>
          <w:ilvl w:val="0"/>
          <w:numId w:val="27"/>
        </w:numPr>
      </w:pPr>
      <w:r w:rsidRPr="00A875AE">
        <w:t>Kaur V, Rashmi R, Kulyal H, Sharma I. Bridging the Gap: Exploring the Interconnectedness of Human and Machine Collaboration in Pharmaceuticals. Available at SSRN 5088905. 2024 Nov 15.</w:t>
      </w:r>
    </w:p>
    <w:p w14:paraId="7673085A" w14:textId="77777777" w:rsidR="00A875AE" w:rsidRPr="00A875AE" w:rsidRDefault="00A875AE" w:rsidP="00A875AE">
      <w:pPr>
        <w:pStyle w:val="ListParagraph"/>
        <w:numPr>
          <w:ilvl w:val="0"/>
          <w:numId w:val="27"/>
        </w:numPr>
      </w:pPr>
      <w:r w:rsidRPr="00A875AE">
        <w:t>Zaman SI, Jamil S, Zaman SA, Jiang Y. Engaging the modern workforce: Bridging the gap between technology and individual factors. Journal of the Knowledge Economy. 2024 Apr 27:1-41.</w:t>
      </w:r>
    </w:p>
    <w:p w14:paraId="3614650C" w14:textId="77777777" w:rsidR="00A875AE" w:rsidRPr="00A875AE" w:rsidRDefault="00A875AE" w:rsidP="00A875AE">
      <w:pPr>
        <w:pStyle w:val="ListParagraph"/>
        <w:numPr>
          <w:ilvl w:val="0"/>
          <w:numId w:val="27"/>
        </w:numPr>
      </w:pPr>
      <w:r w:rsidRPr="00A875AE">
        <w:t>Howells J. Mind the gap: information and communication technologies, knowledge activities and innovation in the pharmaceutical industry. Technology Analysis &amp; Strategic Management. 2002 Sep 1;14(3):355-70.</w:t>
      </w:r>
    </w:p>
    <w:p w14:paraId="47755D0B" w14:textId="77777777" w:rsidR="00A875AE" w:rsidRPr="00A875AE" w:rsidRDefault="00A875AE" w:rsidP="00A875AE">
      <w:pPr>
        <w:pStyle w:val="ListParagraph"/>
        <w:numPr>
          <w:ilvl w:val="0"/>
          <w:numId w:val="27"/>
        </w:numPr>
      </w:pPr>
      <w:r w:rsidRPr="00A875AE">
        <w:t>Mahmud N, Rodriguez J, Nesbit J. A text message-based intervention to bridge the healthcare communication gap in the rural developing world. Technology and Health Care. 2010 Mar;18(2):137-44.</w:t>
      </w:r>
    </w:p>
    <w:p w14:paraId="7C7F471C" w14:textId="77777777" w:rsidR="00A875AE" w:rsidRPr="00A875AE" w:rsidRDefault="00A875AE" w:rsidP="00A875AE">
      <w:pPr>
        <w:pStyle w:val="ListParagraph"/>
        <w:numPr>
          <w:ilvl w:val="0"/>
          <w:numId w:val="27"/>
        </w:numPr>
      </w:pPr>
      <w:r w:rsidRPr="00A875AE">
        <w:t>Tamburis O, Bonacci I. Bridgeable Networks between Healthcare clusters. Inproceedings of the 10th Edition of the International Forum on Knowledge Asset Dynamics (IFKAD) 2015.</w:t>
      </w:r>
    </w:p>
    <w:p w14:paraId="39D7EE64" w14:textId="77777777" w:rsidR="00A875AE" w:rsidRPr="00A875AE" w:rsidRDefault="00A875AE" w:rsidP="00A875AE">
      <w:pPr>
        <w:pStyle w:val="ListParagraph"/>
        <w:numPr>
          <w:ilvl w:val="0"/>
          <w:numId w:val="27"/>
        </w:numPr>
      </w:pPr>
      <w:r w:rsidRPr="00A875AE">
        <w:t>Harrington TS, Burge TA. Connecting digital pharma and e-healthcare value networks through product-service design: a conceptual model. International Journal of Electronic Healthcare. 2018;10(1-2):96-129.</w:t>
      </w:r>
    </w:p>
    <w:p w14:paraId="2BE1377D" w14:textId="77777777" w:rsidR="00A875AE" w:rsidRPr="00A875AE" w:rsidRDefault="00A875AE" w:rsidP="00A875AE">
      <w:pPr>
        <w:pStyle w:val="ListParagraph"/>
        <w:numPr>
          <w:ilvl w:val="0"/>
          <w:numId w:val="27"/>
        </w:numPr>
      </w:pPr>
      <w:r w:rsidRPr="00A875AE">
        <w:lastRenderedPageBreak/>
        <w:t>Raja S, Imaizumi S, Kelly T, Narimatsu J, Paradi-Guilford C. Connecting to work: How information and communication technologies could help expand employment opportunities.</w:t>
      </w:r>
    </w:p>
    <w:p w14:paraId="7A1A82FC" w14:textId="77777777" w:rsidR="00A875AE" w:rsidRPr="00A875AE" w:rsidRDefault="00A875AE" w:rsidP="00A875AE">
      <w:pPr>
        <w:pStyle w:val="ListParagraph"/>
        <w:numPr>
          <w:ilvl w:val="0"/>
          <w:numId w:val="27"/>
        </w:numPr>
      </w:pPr>
      <w:r w:rsidRPr="00A875AE">
        <w:t xml:space="preserve">Rafique W, Qadir J. Internet of everything meets the metaverse: Bridging physical and virtual worlds with blockchain. Computer Science Review. 2024 Nov </w:t>
      </w:r>
      <w:proofErr w:type="gramStart"/>
      <w:r w:rsidRPr="00A875AE">
        <w:t>1;54:100678</w:t>
      </w:r>
      <w:proofErr w:type="gramEnd"/>
      <w:r w:rsidRPr="00A875AE">
        <w:t>.</w:t>
      </w:r>
    </w:p>
    <w:p w14:paraId="661FEFCF" w14:textId="77777777" w:rsidR="00A875AE" w:rsidRPr="00A875AE" w:rsidRDefault="00A875AE" w:rsidP="00A875AE">
      <w:pPr>
        <w:pStyle w:val="ListParagraph"/>
        <w:numPr>
          <w:ilvl w:val="0"/>
          <w:numId w:val="27"/>
        </w:numPr>
      </w:pPr>
      <w:r w:rsidRPr="00A875AE">
        <w:t>Melhem S, Morrell C, Tandon N. Information and communication technologies for women's socioeconomic empowerment.</w:t>
      </w:r>
    </w:p>
    <w:p w14:paraId="723FD88C" w14:textId="77777777" w:rsidR="00A875AE" w:rsidRPr="00A875AE" w:rsidRDefault="00A875AE" w:rsidP="00A875AE">
      <w:pPr>
        <w:pStyle w:val="ListParagraph"/>
        <w:numPr>
          <w:ilvl w:val="0"/>
          <w:numId w:val="27"/>
        </w:numPr>
      </w:pPr>
      <w:r w:rsidRPr="00A875AE">
        <w:t xml:space="preserve">Alloghani M, Al-Jumeily D, Hussain A, Aljaaf AJ, Mustafina J, Petrov E. Healthcare services innovations based on the </w:t>
      </w:r>
      <w:proofErr w:type="gramStart"/>
      <w:r w:rsidRPr="00A875AE">
        <w:t>state of the art</w:t>
      </w:r>
      <w:proofErr w:type="gramEnd"/>
      <w:r w:rsidRPr="00A875AE">
        <w:t xml:space="preserve"> technology trend industry 4.0. In2018 11th International conference on developments in eSystems engineering (DeSE) 2018 Sep 2 (pp. 64-70). IEEE.</w:t>
      </w:r>
    </w:p>
    <w:p w14:paraId="166378D6" w14:textId="77777777" w:rsidR="00A875AE" w:rsidRPr="00A875AE" w:rsidRDefault="00A875AE" w:rsidP="00A875AE">
      <w:pPr>
        <w:pStyle w:val="ListParagraph"/>
        <w:numPr>
          <w:ilvl w:val="0"/>
          <w:numId w:val="27"/>
        </w:numPr>
      </w:pPr>
      <w:r w:rsidRPr="00A875AE">
        <w:t>Vermesan O, Friess P, editors. Digitising the industry Internet of Things connecting the physical, digital and VirtualWorlds. CRC Press; 2022 Sep 1.</w:t>
      </w:r>
    </w:p>
    <w:p w14:paraId="011F5488" w14:textId="77777777" w:rsidR="00A875AE" w:rsidRPr="00A875AE" w:rsidRDefault="00A875AE" w:rsidP="00A875AE">
      <w:pPr>
        <w:pStyle w:val="ListParagraph"/>
        <w:numPr>
          <w:ilvl w:val="0"/>
          <w:numId w:val="27"/>
        </w:numPr>
      </w:pPr>
      <w:r w:rsidRPr="00A875AE">
        <w:t>Tetteh-Caesar MG, Gupta S, Salonitis K, Jagtap S. Implementing Lean 4.0: a review of case studies in pharmaceutical industry transformation. Technological Sustainability. 2024 Aug 7;3(3):354-72.</w:t>
      </w:r>
    </w:p>
    <w:p w14:paraId="29FA8E05" w14:textId="77777777" w:rsidR="00A875AE" w:rsidRPr="00A875AE" w:rsidRDefault="00A875AE" w:rsidP="00A875AE">
      <w:pPr>
        <w:pStyle w:val="ListParagraph"/>
        <w:numPr>
          <w:ilvl w:val="0"/>
          <w:numId w:val="27"/>
        </w:numPr>
      </w:pPr>
      <w:r w:rsidRPr="00A875AE">
        <w:t>O’Connor TF, Lawrence XY, Lee SL. Emerging technology: A key enabler for modernizing pharmaceutical manufacturing and advancing product quality. International journal of pharmaceutics. 2016 Jul 25;509(1-2):492-8.</w:t>
      </w:r>
    </w:p>
    <w:p w14:paraId="0C271A88" w14:textId="77777777" w:rsidR="00A875AE" w:rsidRPr="00A875AE" w:rsidRDefault="00A875AE" w:rsidP="00A875AE">
      <w:pPr>
        <w:pStyle w:val="ListParagraph"/>
        <w:numPr>
          <w:ilvl w:val="0"/>
          <w:numId w:val="27"/>
        </w:numPr>
      </w:pPr>
      <w:r w:rsidRPr="00A875AE">
        <w:t>Dzenowagis J. Bridging the digital divide: linking health and ICT policy. InTelehealth in the developing world 2019 Oct 29 (pp. 9-26). CRC Press.</w:t>
      </w:r>
    </w:p>
    <w:p w14:paraId="533181AC" w14:textId="77777777" w:rsidR="00A875AE" w:rsidRPr="00A875AE" w:rsidRDefault="00A875AE" w:rsidP="00A875AE">
      <w:pPr>
        <w:pStyle w:val="ListParagraph"/>
        <w:numPr>
          <w:ilvl w:val="0"/>
          <w:numId w:val="27"/>
        </w:numPr>
      </w:pPr>
      <w:r w:rsidRPr="00A875AE">
        <w:t>Wu J, Guo S, Huang H, Liu W, Xiang Y. Information and communications technologies for sustainable development goals: state-of-the-art, needs and perspectives. IEEE Communications Surveys &amp; Tutorials. 2018 Mar 5;20(3):2389-406.</w:t>
      </w:r>
    </w:p>
    <w:p w14:paraId="2D4896C3" w14:textId="77777777" w:rsidR="00A875AE" w:rsidRPr="00A875AE" w:rsidRDefault="00A875AE" w:rsidP="00A875AE">
      <w:pPr>
        <w:pStyle w:val="ListParagraph"/>
        <w:numPr>
          <w:ilvl w:val="0"/>
          <w:numId w:val="27"/>
        </w:numPr>
      </w:pPr>
      <w:r w:rsidRPr="00A875AE">
        <w:t>Shinde A, Pawar D, Sonawane K. Automation in pharmaceutical sector by implementation of artificial intelligence platform: a way forward. International Journal of Basic &amp; Clinical Pharmacology. 2021 Jul;10(7):863-9.</w:t>
      </w:r>
    </w:p>
    <w:p w14:paraId="54CC8EF4" w14:textId="77777777" w:rsidR="00A875AE" w:rsidRPr="00A875AE" w:rsidRDefault="00A875AE" w:rsidP="00A875AE">
      <w:pPr>
        <w:pStyle w:val="ListParagraph"/>
        <w:numPr>
          <w:ilvl w:val="0"/>
          <w:numId w:val="27"/>
        </w:numPr>
      </w:pPr>
      <w:r w:rsidRPr="00A875AE">
        <w:t>Sridharan K, Sequeira RP. Evaluation of artificial intelligence‐generated drug therapy communication skill competencies in medical education. British Journal of Clinical Pharmacology. 2024 Jul 2.</w:t>
      </w:r>
    </w:p>
    <w:p w14:paraId="469517DB" w14:textId="77777777" w:rsidR="00A875AE" w:rsidRPr="00A875AE" w:rsidRDefault="00A875AE" w:rsidP="00A875AE">
      <w:pPr>
        <w:pStyle w:val="ListParagraph"/>
        <w:numPr>
          <w:ilvl w:val="0"/>
          <w:numId w:val="27"/>
        </w:numPr>
      </w:pPr>
      <w:r w:rsidRPr="00A875AE">
        <w:t>Keerthi AM, Ramapriya S, Kashyap SB, Gupta PK, Rekha BS. Pharmaceutical management information systems: A sustainable computing paradigm in the pharmaceutical industry and public health management. Sustainable and Energy Efficient Computing Paradigms for Society. 2021:33-51.</w:t>
      </w:r>
    </w:p>
    <w:p w14:paraId="60C11801" w14:textId="77777777" w:rsidR="00A875AE" w:rsidRPr="00A875AE" w:rsidRDefault="00A875AE" w:rsidP="00A875AE">
      <w:pPr>
        <w:pStyle w:val="ListParagraph"/>
        <w:numPr>
          <w:ilvl w:val="0"/>
          <w:numId w:val="27"/>
        </w:numPr>
      </w:pPr>
      <w:r w:rsidRPr="00A875AE">
        <w:t>Myers RB, Jones SL, Sittig DF. Review of reported clinical information system adverse events in US Food and Drug Administration databases. Applied clinical informatics. 2011;2(01):63-74.</w:t>
      </w:r>
    </w:p>
    <w:p w14:paraId="6AC2CA55" w14:textId="77777777" w:rsidR="00A875AE" w:rsidRPr="00A875AE" w:rsidRDefault="00A875AE" w:rsidP="00A875AE">
      <w:pPr>
        <w:pStyle w:val="ListParagraph"/>
        <w:numPr>
          <w:ilvl w:val="0"/>
          <w:numId w:val="27"/>
        </w:numPr>
      </w:pPr>
      <w:r w:rsidRPr="00A875AE">
        <w:t>Hasan AM, Al Hasan MS, Mizan M, Miah MS, Uddin MB, Mia E, Yana NT, Hossain MA, Islam MT. Quercetin promises anticancer activity through PI3K-AKT-mTOR pathway: a literature review. Pharmacological Research-Natural Products. 2025 Mar 17:100206.</w:t>
      </w:r>
    </w:p>
    <w:p w14:paraId="4DD91544" w14:textId="77777777" w:rsidR="00A875AE" w:rsidRPr="00A875AE" w:rsidRDefault="00A875AE" w:rsidP="00A875AE">
      <w:pPr>
        <w:pStyle w:val="ListParagraph"/>
        <w:numPr>
          <w:ilvl w:val="0"/>
          <w:numId w:val="27"/>
        </w:numPr>
      </w:pPr>
      <w:r w:rsidRPr="00A875AE">
        <w:lastRenderedPageBreak/>
        <w:t>Singh S, Kumar P, Chaudharya H, Khurana R, Shokeen A. Augmented reality and virtual reality creating ripple in medical and pharmaceutical world. Advances in Augmented Reality and Virtual Reality. 2022:113-31.</w:t>
      </w:r>
    </w:p>
    <w:p w14:paraId="1C11AB3F" w14:textId="77777777" w:rsidR="00A875AE" w:rsidRPr="00A875AE" w:rsidRDefault="00A875AE" w:rsidP="00A875AE">
      <w:pPr>
        <w:pStyle w:val="ListParagraph"/>
        <w:numPr>
          <w:ilvl w:val="0"/>
          <w:numId w:val="27"/>
        </w:numPr>
      </w:pPr>
      <w:r w:rsidRPr="00A875AE">
        <w:t>Yeung AW, Tosevska A, Klager E, Eibensteiner F, Laxar D, Stoyanov J, Glisic M, Zeiner S, Kulnik ST, Crutzen R, Kimberger O. Virtual and augmented reality applications in medicine: analysis of the scientific literature. Journal of medical internet research. 2021 Feb 10;23(2</w:t>
      </w:r>
      <w:proofErr w:type="gramStart"/>
      <w:r w:rsidRPr="00A875AE">
        <w:t>):e</w:t>
      </w:r>
      <w:proofErr w:type="gramEnd"/>
      <w:r w:rsidRPr="00A875AE">
        <w:t>25499.</w:t>
      </w:r>
    </w:p>
    <w:p w14:paraId="6CE345AF" w14:textId="77777777" w:rsidR="00A875AE" w:rsidRPr="00A875AE" w:rsidRDefault="00A875AE" w:rsidP="00A875AE">
      <w:pPr>
        <w:pStyle w:val="ListParagraph"/>
        <w:numPr>
          <w:ilvl w:val="0"/>
          <w:numId w:val="27"/>
        </w:numPr>
      </w:pPr>
      <w:r w:rsidRPr="00A875AE">
        <w:t>Mohammed S, Mohammed MK, Farooqui A. Big Data Analytics in the Pharmaceutical Industry.</w:t>
      </w:r>
    </w:p>
    <w:p w14:paraId="65F53472" w14:textId="77777777" w:rsidR="00A875AE" w:rsidRPr="00A875AE" w:rsidRDefault="00A875AE" w:rsidP="00A875AE">
      <w:pPr>
        <w:pStyle w:val="ListParagraph"/>
        <w:numPr>
          <w:ilvl w:val="0"/>
          <w:numId w:val="27"/>
        </w:numPr>
      </w:pPr>
      <w:r w:rsidRPr="00A875AE">
        <w:t>Abdelkarim OF, Rehman SU, Samad A, Khan IU, Akram MW, Sayeed MA, Arshad MA, Rashid A, Basit A. Biotechnological Approaches to Discovery of Drugs for Veterinary Use: Discovery of Drugs for Veterinary Use. Futuristic Biotechnology. 2024 Dec 31:21-8.</w:t>
      </w:r>
    </w:p>
    <w:p w14:paraId="0AE9EC95" w14:textId="77777777" w:rsidR="00A875AE" w:rsidRPr="00A875AE" w:rsidRDefault="00A875AE" w:rsidP="00A875AE">
      <w:pPr>
        <w:pStyle w:val="ListParagraph"/>
        <w:numPr>
          <w:ilvl w:val="0"/>
          <w:numId w:val="27"/>
        </w:numPr>
      </w:pPr>
      <w:r w:rsidRPr="00A875AE">
        <w:t xml:space="preserve">Rehman SU, Deeba F, Haq EU, Adil M, Tanveer HR, Ahmad S, Haider A, RamzanM, Abbas N, Jamal H and Tayyab M, 2024. Utilizing nano vaccines for enhanced immunization against lumpy skin disease. In: Ahmed R, Khan A, Abbas RZ, Farooqi SH and Asrar R (eds), Complementary and Alternative Medicine: Nanotechnology-II. Unique Scientific Publishers, Faisalabad, Pakistan, pp: 350-355. </w:t>
      </w:r>
      <w:hyperlink r:id="rId7" w:history="1">
        <w:r w:rsidRPr="00A875AE">
          <w:rPr>
            <w:rStyle w:val="Hyperlink"/>
          </w:rPr>
          <w:t>https://doi.org/10.47278/book.CAM/2024.236</w:t>
        </w:r>
      </w:hyperlink>
    </w:p>
    <w:p w14:paraId="4B25CA93" w14:textId="77777777" w:rsidR="00A875AE" w:rsidRPr="00A875AE" w:rsidRDefault="00A875AE" w:rsidP="00A875AE">
      <w:pPr>
        <w:pStyle w:val="ListParagraph"/>
        <w:numPr>
          <w:ilvl w:val="0"/>
          <w:numId w:val="27"/>
        </w:numPr>
      </w:pPr>
      <w:r w:rsidRPr="00A875AE">
        <w:t>Beauvais B, Kruse CS, Fulton L, Shanmugam R, Ramamonjiarivelo Z, Brooks M. Association of electronic health record vendors with hospital financial and quality performance: retrospective data analysis. Journal of medical Internet research. 2021 Apr 14;23(4</w:t>
      </w:r>
      <w:proofErr w:type="gramStart"/>
      <w:r w:rsidRPr="00A875AE">
        <w:t>):e</w:t>
      </w:r>
      <w:proofErr w:type="gramEnd"/>
      <w:r w:rsidRPr="00A875AE">
        <w:t>23961.</w:t>
      </w:r>
    </w:p>
    <w:p w14:paraId="03D936F5" w14:textId="77777777" w:rsidR="00A875AE" w:rsidRPr="00A875AE" w:rsidRDefault="00A875AE" w:rsidP="00A875AE">
      <w:pPr>
        <w:pStyle w:val="ListParagraph"/>
        <w:numPr>
          <w:ilvl w:val="0"/>
          <w:numId w:val="27"/>
        </w:numPr>
      </w:pPr>
      <w:r w:rsidRPr="00A875AE">
        <w:t>Parasrampuria S, Henry J. Hospitals’ use of electronic health records data, 2015–2017. ONC Data Brief. 2019 Apr;46(1):13.</w:t>
      </w:r>
    </w:p>
    <w:p w14:paraId="3F1E0868" w14:textId="77777777" w:rsidR="00A875AE" w:rsidRPr="00A875AE" w:rsidRDefault="00A875AE" w:rsidP="00A875AE">
      <w:pPr>
        <w:pStyle w:val="ListParagraph"/>
        <w:numPr>
          <w:ilvl w:val="0"/>
          <w:numId w:val="27"/>
        </w:numPr>
      </w:pPr>
      <w:r w:rsidRPr="00A875AE">
        <w:t>Salgado-Baez E, Heidepriem R, Delucchi Danhier R, Rinaldi E, Ravi V, Poncette AS, Dahlhaus I, Fürstenau D, Balzer F, Thun S, Sass J. Toward Interoperable Digital Medication Records on Fast Healthcare Interoperability Resources: Development and Technical Validation of a Minimal Core Dataset. JMIR Medical Informatics. 2025 May 9;</w:t>
      </w:r>
      <w:proofErr w:type="gramStart"/>
      <w:r w:rsidRPr="00A875AE">
        <w:t>13:e</w:t>
      </w:r>
      <w:proofErr w:type="gramEnd"/>
      <w:r w:rsidRPr="00A875AE">
        <w:t>64099.</w:t>
      </w:r>
    </w:p>
    <w:p w14:paraId="7E35487B" w14:textId="77777777" w:rsidR="00A875AE" w:rsidRPr="00A875AE" w:rsidRDefault="00A875AE" w:rsidP="00A875AE">
      <w:pPr>
        <w:pStyle w:val="ListParagraph"/>
        <w:numPr>
          <w:ilvl w:val="0"/>
          <w:numId w:val="27"/>
        </w:numPr>
      </w:pPr>
      <w:r w:rsidRPr="00A875AE">
        <w:t>Olaker VR, Fry S, Terebuh P, Davis PB, Tisch DJ, Xu R, Miller MG, Dorney I, Palchuk MB, Kaelber DC. With big data comes big responsibility: Strategies for utilizing aggregated, standardized, de‐identified electronic health record data for research. Clinical and Translational Science. 2025 Jan;18(1</w:t>
      </w:r>
      <w:proofErr w:type="gramStart"/>
      <w:r w:rsidRPr="00A875AE">
        <w:t>):e</w:t>
      </w:r>
      <w:proofErr w:type="gramEnd"/>
      <w:r w:rsidRPr="00A875AE">
        <w:t>70093.</w:t>
      </w:r>
    </w:p>
    <w:p w14:paraId="5D2A9A8E" w14:textId="77777777" w:rsidR="00A875AE" w:rsidRPr="00A875AE" w:rsidRDefault="00A875AE" w:rsidP="00A875AE">
      <w:pPr>
        <w:pStyle w:val="ListParagraph"/>
        <w:numPr>
          <w:ilvl w:val="0"/>
          <w:numId w:val="27"/>
        </w:numPr>
      </w:pPr>
      <w:r w:rsidRPr="00A875AE">
        <w:t xml:space="preserve">Ehwerhemuepha L, Carlson K, Moog R, Bondurant B, Akridge C, Moreno T, Gasperino G, Feaster W. Cerner real-world data (CRWD)-A de-identified multicenter electronic health records database. Data in Brief. 2022 Jun </w:t>
      </w:r>
      <w:proofErr w:type="gramStart"/>
      <w:r w:rsidRPr="00A875AE">
        <w:t>1;42:108120</w:t>
      </w:r>
      <w:proofErr w:type="gramEnd"/>
      <w:r w:rsidRPr="00A875AE">
        <w:t>.</w:t>
      </w:r>
    </w:p>
    <w:p w14:paraId="46782DCD" w14:textId="77777777" w:rsidR="008E405F" w:rsidRDefault="008E405F" w:rsidP="00A875AE">
      <w:pPr>
        <w:ind w:left="695" w:firstLine="0"/>
      </w:pPr>
    </w:p>
    <w:sectPr w:rsidR="008E405F">
      <w:headerReference w:type="even" r:id="rId8"/>
      <w:headerReference w:type="default" r:id="rId9"/>
      <w:headerReference w:type="first" r:id="rId10"/>
      <w:pgSz w:w="12240" w:h="15840"/>
      <w:pgMar w:top="1445" w:right="1443" w:bottom="1458" w:left="1440" w:header="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4940" w14:textId="77777777" w:rsidR="00EF4E32" w:rsidRDefault="00EF4E32">
      <w:pPr>
        <w:spacing w:after="0" w:line="240" w:lineRule="auto"/>
      </w:pPr>
      <w:r>
        <w:separator/>
      </w:r>
    </w:p>
  </w:endnote>
  <w:endnote w:type="continuationSeparator" w:id="0">
    <w:p w14:paraId="64ED7BBF" w14:textId="77777777" w:rsidR="00EF4E32" w:rsidRDefault="00EF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2FC4" w14:textId="77777777" w:rsidR="00EF4E32" w:rsidRDefault="00EF4E32">
      <w:pPr>
        <w:spacing w:after="0" w:line="240" w:lineRule="auto"/>
      </w:pPr>
      <w:r>
        <w:separator/>
      </w:r>
    </w:p>
  </w:footnote>
  <w:footnote w:type="continuationSeparator" w:id="0">
    <w:p w14:paraId="1DC5C0AD" w14:textId="77777777" w:rsidR="00EF4E32" w:rsidRDefault="00EF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CA72" w14:textId="77777777" w:rsidR="008E405F" w:rsidRDefault="00123CFD">
    <w:pPr>
      <w:spacing w:after="0" w:line="259" w:lineRule="auto"/>
      <w:ind w:left="-1440" w:firstLine="0"/>
    </w:pPr>
    <w:r>
      <w:rPr>
        <w:rFonts w:ascii="Courier New" w:eastAsia="Courier New" w:hAnsi="Courier New" w:cs="Courier New"/>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3C7C" w14:textId="77777777" w:rsidR="008E405F" w:rsidRDefault="00123CFD">
    <w:pPr>
      <w:spacing w:after="0" w:line="259" w:lineRule="auto"/>
      <w:ind w:left="-1440" w:firstLine="0"/>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9762" w14:textId="77777777" w:rsidR="008E405F" w:rsidRDefault="00123CFD">
    <w:pPr>
      <w:spacing w:after="0" w:line="259" w:lineRule="auto"/>
      <w:ind w:left="-1440" w:firstLine="0"/>
    </w:pPr>
    <w:r>
      <w:rPr>
        <w:rFonts w:ascii="Courier New" w:eastAsia="Courier New" w:hAnsi="Courier New" w:cs="Courier New"/>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371C"/>
    <w:multiLevelType w:val="hybridMultilevel"/>
    <w:tmpl w:val="B9A220E0"/>
    <w:lvl w:ilvl="0" w:tplc="AE127C18">
      <w:start w:val="1"/>
      <w:numFmt w:val="lowerRoman"/>
      <w:lvlText w:val="%1."/>
      <w:lvlJc w:val="left"/>
      <w:pPr>
        <w:ind w:left="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84EA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D868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5298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CEB3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AEDE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6AB0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DE84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4C4D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C0CA7"/>
    <w:multiLevelType w:val="hybridMultilevel"/>
    <w:tmpl w:val="1A00E5CE"/>
    <w:lvl w:ilvl="0" w:tplc="AFE202C4">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0A14A">
      <w:start w:val="1"/>
      <w:numFmt w:val="lowerLetter"/>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4470">
      <w:start w:val="1"/>
      <w:numFmt w:val="lowerRoman"/>
      <w:lvlText w:val="%3"/>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C9DA8">
      <w:start w:val="1"/>
      <w:numFmt w:val="decimal"/>
      <w:lvlText w:val="%4"/>
      <w:lvlJc w:val="left"/>
      <w:pPr>
        <w:ind w:left="2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C7770">
      <w:start w:val="1"/>
      <w:numFmt w:val="lowerLetter"/>
      <w:lvlText w:val="%5"/>
      <w:lvlJc w:val="left"/>
      <w:pPr>
        <w:ind w:left="3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6FA92">
      <w:start w:val="1"/>
      <w:numFmt w:val="lowerRoman"/>
      <w:lvlText w:val="%6"/>
      <w:lvlJc w:val="left"/>
      <w:pPr>
        <w:ind w:left="3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6374">
      <w:start w:val="1"/>
      <w:numFmt w:val="decimal"/>
      <w:lvlText w:val="%7"/>
      <w:lvlJc w:val="left"/>
      <w:pPr>
        <w:ind w:left="4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41334">
      <w:start w:val="1"/>
      <w:numFmt w:val="lowerLetter"/>
      <w:lvlText w:val="%8"/>
      <w:lvlJc w:val="left"/>
      <w:pPr>
        <w:ind w:left="5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C478C">
      <w:start w:val="1"/>
      <w:numFmt w:val="lowerRoman"/>
      <w:lvlText w:val="%9"/>
      <w:lvlJc w:val="left"/>
      <w:pPr>
        <w:ind w:left="6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02929"/>
    <w:multiLevelType w:val="hybridMultilevel"/>
    <w:tmpl w:val="8A684CEA"/>
    <w:lvl w:ilvl="0" w:tplc="22D6E8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8681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8F29C">
      <w:start w:val="1"/>
      <w:numFmt w:val="bullet"/>
      <w:lvlRestart w:val="0"/>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A17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E00E8">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69B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EBA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A412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A4F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966D7F"/>
    <w:multiLevelType w:val="hybridMultilevel"/>
    <w:tmpl w:val="DDBE5158"/>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C3B299B"/>
    <w:multiLevelType w:val="hybridMultilevel"/>
    <w:tmpl w:val="8EFA71FC"/>
    <w:lvl w:ilvl="0" w:tplc="355C607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A75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E934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064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8ED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05E4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E221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A45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2C1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907535"/>
    <w:multiLevelType w:val="hybridMultilevel"/>
    <w:tmpl w:val="7D7A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A6846"/>
    <w:multiLevelType w:val="multilevel"/>
    <w:tmpl w:val="10F00AC8"/>
    <w:lvl w:ilvl="0">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
      <w:numFmt w:val="lowerRoman"/>
      <w:lvlText w:val="%4."/>
      <w:lvlJc w:val="left"/>
      <w:pPr>
        <w:ind w:left="2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372B88"/>
    <w:multiLevelType w:val="hybridMultilevel"/>
    <w:tmpl w:val="662C37CC"/>
    <w:lvl w:ilvl="0" w:tplc="06A67540">
      <w:start w:val="6"/>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B8DF7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CE41A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8A782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5E89C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5E022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AA387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D0F27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A6914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C25EE3"/>
    <w:multiLevelType w:val="hybridMultilevel"/>
    <w:tmpl w:val="0BB474B4"/>
    <w:lvl w:ilvl="0" w:tplc="BE2AC620">
      <w:start w:val="2"/>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80E6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40830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A4E75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4BA8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C2025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124A8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722A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8ED2B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B60376"/>
    <w:multiLevelType w:val="hybridMultilevel"/>
    <w:tmpl w:val="F7703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2657"/>
    <w:multiLevelType w:val="hybridMultilevel"/>
    <w:tmpl w:val="40321E96"/>
    <w:lvl w:ilvl="0" w:tplc="DC30D662">
      <w:start w:val="1"/>
      <w:numFmt w:val="lowerRoman"/>
      <w:lvlText w:val="%1."/>
      <w:lvlJc w:val="left"/>
      <w:pPr>
        <w:ind w:left="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A8E2B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2A14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AFB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6A3E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AB9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4B2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8C21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4FA7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0E1997"/>
    <w:multiLevelType w:val="hybridMultilevel"/>
    <w:tmpl w:val="D2BAAED2"/>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31AA0A7E"/>
    <w:multiLevelType w:val="multilevel"/>
    <w:tmpl w:val="624A4A82"/>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0454D4"/>
    <w:multiLevelType w:val="hybridMultilevel"/>
    <w:tmpl w:val="18B40978"/>
    <w:lvl w:ilvl="0" w:tplc="BC68900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14C958">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E0FA30">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00D3EE">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1EB590">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262BAE">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C822E2">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A2BC7E">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6E54C2">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D75156"/>
    <w:multiLevelType w:val="hybridMultilevel"/>
    <w:tmpl w:val="41DE4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8273E"/>
    <w:multiLevelType w:val="multilevel"/>
    <w:tmpl w:val="77C675AA"/>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572987"/>
    <w:multiLevelType w:val="multilevel"/>
    <w:tmpl w:val="94120A72"/>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33702A"/>
    <w:multiLevelType w:val="hybridMultilevel"/>
    <w:tmpl w:val="AF32A9A0"/>
    <w:lvl w:ilvl="0" w:tplc="111A725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6E65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8FAC2">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4FE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81D4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802A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448F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42FF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4A4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3479E"/>
    <w:multiLevelType w:val="hybridMultilevel"/>
    <w:tmpl w:val="9E7C7218"/>
    <w:lvl w:ilvl="0" w:tplc="5C9C44A4">
      <w:start w:val="1"/>
      <w:numFmt w:val="lowerRoman"/>
      <w:lvlText w:val="%1."/>
      <w:lvlJc w:val="left"/>
      <w:pPr>
        <w:ind w:left="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62F2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88FD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242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0DA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0BB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F027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D667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3C0B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486F02"/>
    <w:multiLevelType w:val="hybridMultilevel"/>
    <w:tmpl w:val="AFA258FC"/>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98976CA"/>
    <w:multiLevelType w:val="multilevel"/>
    <w:tmpl w:val="DB2246E6"/>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B947F8"/>
    <w:multiLevelType w:val="hybridMultilevel"/>
    <w:tmpl w:val="5F6C1C00"/>
    <w:lvl w:ilvl="0" w:tplc="CFA6C7F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C183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4E352">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44D08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2A87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A0C9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44B1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C7EF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292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517D16"/>
    <w:multiLevelType w:val="hybridMultilevel"/>
    <w:tmpl w:val="3386F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D0164"/>
    <w:multiLevelType w:val="multilevel"/>
    <w:tmpl w:val="0A5E200E"/>
    <w:lvl w:ilvl="0">
      <w:start w:val="1"/>
      <w:numFmt w:val="bullet"/>
      <w:lvlText w:val=""/>
      <w:lvlJc w:val="left"/>
      <w:pPr>
        <w:ind w:left="240"/>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B47F48"/>
    <w:multiLevelType w:val="hybridMultilevel"/>
    <w:tmpl w:val="6406C4A8"/>
    <w:lvl w:ilvl="0" w:tplc="12E4F10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EB0D2">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4B7C6">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4FC5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258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0C3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C497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0C20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9B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274B70"/>
    <w:multiLevelType w:val="hybridMultilevel"/>
    <w:tmpl w:val="A57AC3AA"/>
    <w:lvl w:ilvl="0" w:tplc="CEC28E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A378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6AA0A">
      <w:start w:val="1"/>
      <w:numFmt w:val="decimal"/>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845D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C626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EC29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63E5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AB8B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E099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A80549"/>
    <w:multiLevelType w:val="hybridMultilevel"/>
    <w:tmpl w:val="C832C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712641">
    <w:abstractNumId w:val="4"/>
  </w:num>
  <w:num w:numId="2" w16cid:durableId="328026410">
    <w:abstractNumId w:val="18"/>
  </w:num>
  <w:num w:numId="3" w16cid:durableId="1212185373">
    <w:abstractNumId w:val="8"/>
  </w:num>
  <w:num w:numId="4" w16cid:durableId="138886709">
    <w:abstractNumId w:val="10"/>
  </w:num>
  <w:num w:numId="5" w16cid:durableId="1655792522">
    <w:abstractNumId w:val="7"/>
  </w:num>
  <w:num w:numId="6" w16cid:durableId="1182863225">
    <w:abstractNumId w:val="15"/>
  </w:num>
  <w:num w:numId="7" w16cid:durableId="1099253149">
    <w:abstractNumId w:val="12"/>
  </w:num>
  <w:num w:numId="8" w16cid:durableId="269434982">
    <w:abstractNumId w:val="20"/>
  </w:num>
  <w:num w:numId="9" w16cid:durableId="1674722108">
    <w:abstractNumId w:val="13"/>
  </w:num>
  <w:num w:numId="10" w16cid:durableId="1129127963">
    <w:abstractNumId w:val="0"/>
  </w:num>
  <w:num w:numId="11" w16cid:durableId="526137287">
    <w:abstractNumId w:val="16"/>
  </w:num>
  <w:num w:numId="12" w16cid:durableId="1374228525">
    <w:abstractNumId w:val="2"/>
  </w:num>
  <w:num w:numId="13" w16cid:durableId="511527624">
    <w:abstractNumId w:val="17"/>
  </w:num>
  <w:num w:numId="14" w16cid:durableId="571544251">
    <w:abstractNumId w:val="21"/>
  </w:num>
  <w:num w:numId="15" w16cid:durableId="1131941990">
    <w:abstractNumId w:val="6"/>
  </w:num>
  <w:num w:numId="16" w16cid:durableId="1957365229">
    <w:abstractNumId w:val="24"/>
  </w:num>
  <w:num w:numId="17" w16cid:durableId="2110656105">
    <w:abstractNumId w:val="25"/>
  </w:num>
  <w:num w:numId="18" w16cid:durableId="483131895">
    <w:abstractNumId w:val="1"/>
  </w:num>
  <w:num w:numId="19" w16cid:durableId="922758955">
    <w:abstractNumId w:val="26"/>
  </w:num>
  <w:num w:numId="20" w16cid:durableId="390428989">
    <w:abstractNumId w:val="23"/>
  </w:num>
  <w:num w:numId="21" w16cid:durableId="1131678661">
    <w:abstractNumId w:val="9"/>
  </w:num>
  <w:num w:numId="22" w16cid:durableId="1445618482">
    <w:abstractNumId w:val="11"/>
  </w:num>
  <w:num w:numId="23" w16cid:durableId="539635719">
    <w:abstractNumId w:val="19"/>
  </w:num>
  <w:num w:numId="24" w16cid:durableId="826018859">
    <w:abstractNumId w:val="22"/>
  </w:num>
  <w:num w:numId="25" w16cid:durableId="1900361290">
    <w:abstractNumId w:val="3"/>
  </w:num>
  <w:num w:numId="26" w16cid:durableId="659234428">
    <w:abstractNumId w:val="5"/>
  </w:num>
  <w:num w:numId="27" w16cid:durableId="1942639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5F"/>
    <w:rsid w:val="00043F62"/>
    <w:rsid w:val="00123CFD"/>
    <w:rsid w:val="00137A14"/>
    <w:rsid w:val="001451A0"/>
    <w:rsid w:val="00280947"/>
    <w:rsid w:val="002E4796"/>
    <w:rsid w:val="004032DF"/>
    <w:rsid w:val="006A54CF"/>
    <w:rsid w:val="00894E43"/>
    <w:rsid w:val="008E405F"/>
    <w:rsid w:val="00A63011"/>
    <w:rsid w:val="00A875AE"/>
    <w:rsid w:val="00A90FF2"/>
    <w:rsid w:val="00ED4AC8"/>
    <w:rsid w:val="00E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B4E2"/>
  <w15:docId w15:val="{5DDEECCB-CA1B-4332-9169-FA9C127F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3F62"/>
    <w:pPr>
      <w:ind w:left="720"/>
      <w:contextualSpacing/>
    </w:pPr>
  </w:style>
  <w:style w:type="character" w:styleId="Hyperlink">
    <w:name w:val="Hyperlink"/>
    <w:basedOn w:val="DefaultParagraphFont"/>
    <w:uiPriority w:val="99"/>
    <w:unhideWhenUsed/>
    <w:rsid w:val="00A87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5443">
      <w:bodyDiv w:val="1"/>
      <w:marLeft w:val="0"/>
      <w:marRight w:val="0"/>
      <w:marTop w:val="0"/>
      <w:marBottom w:val="0"/>
      <w:divBdr>
        <w:top w:val="none" w:sz="0" w:space="0" w:color="auto"/>
        <w:left w:val="none" w:sz="0" w:space="0" w:color="auto"/>
        <w:bottom w:val="none" w:sz="0" w:space="0" w:color="auto"/>
        <w:right w:val="none" w:sz="0" w:space="0" w:color="auto"/>
      </w:divBdr>
    </w:div>
    <w:div w:id="168748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7278/book.CAM/2024.2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SDI CPU 1070</cp:lastModifiedBy>
  <cp:revision>10</cp:revision>
  <dcterms:created xsi:type="dcterms:W3CDTF">2025-05-30T08:24:00Z</dcterms:created>
  <dcterms:modified xsi:type="dcterms:W3CDTF">2025-06-03T05:36:00Z</dcterms:modified>
</cp:coreProperties>
</file>