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EEF1" w14:textId="03D70DFD" w:rsidR="00A3024F" w:rsidRPr="00A3024F" w:rsidRDefault="00A3024F" w:rsidP="00A3024F">
      <w:pPr>
        <w:pStyle w:val="NormalWeb"/>
        <w:spacing w:before="240" w:beforeAutospacing="0" w:after="0" w:afterAutospacing="0" w:line="360" w:lineRule="auto"/>
        <w:rPr>
          <w:rFonts w:eastAsia="Calibri"/>
          <w:b/>
          <w:bCs/>
          <w:u w:val="single"/>
        </w:rPr>
      </w:pPr>
      <w:r w:rsidRPr="00A3024F">
        <w:rPr>
          <w:rFonts w:eastAsia="Calibri"/>
          <w:b/>
          <w:bCs/>
          <w:u w:val="single"/>
        </w:rPr>
        <w:t xml:space="preserve">Original Research Article            </w:t>
      </w:r>
    </w:p>
    <w:p w14:paraId="4D639890" w14:textId="2AC2867F" w:rsidR="00827B77" w:rsidRDefault="00155329" w:rsidP="00970266">
      <w:pPr>
        <w:pStyle w:val="NormalWeb"/>
        <w:spacing w:before="240" w:beforeAutospacing="0" w:after="0" w:afterAutospacing="0" w:line="360" w:lineRule="auto"/>
        <w:jc w:val="center"/>
        <w:rPr>
          <w:b/>
          <w:color w:val="000000"/>
        </w:rPr>
      </w:pPr>
      <w:r w:rsidRPr="00AF6D9C">
        <w:rPr>
          <w:rFonts w:eastAsia="Calibri"/>
          <w:b/>
          <w:bCs/>
          <w:sz w:val="40"/>
          <w:szCs w:val="40"/>
        </w:rPr>
        <w:t xml:space="preserve">An Evaluation of Anti-hyperlipidemic Activity of </w:t>
      </w:r>
      <w:r w:rsidRPr="00AF6D9C">
        <w:rPr>
          <w:rFonts w:eastAsia="Calibri"/>
          <w:b/>
          <w:bCs/>
          <w:i/>
          <w:iCs/>
          <w:sz w:val="40"/>
          <w:szCs w:val="40"/>
        </w:rPr>
        <w:t>Bombax ceiba</w:t>
      </w:r>
      <w:r w:rsidRPr="00AF6D9C">
        <w:rPr>
          <w:rFonts w:eastAsia="Calibri"/>
          <w:b/>
          <w:bCs/>
          <w:sz w:val="40"/>
          <w:szCs w:val="40"/>
        </w:rPr>
        <w:t xml:space="preserve"> </w:t>
      </w:r>
      <w:proofErr w:type="gramStart"/>
      <w:r w:rsidRPr="00AF6D9C">
        <w:rPr>
          <w:rFonts w:eastAsia="Calibri"/>
          <w:b/>
          <w:bCs/>
          <w:sz w:val="40"/>
          <w:szCs w:val="40"/>
        </w:rPr>
        <w:t>Leaves</w:t>
      </w:r>
      <w:proofErr w:type="gramEnd"/>
      <w:r w:rsidRPr="00AF6D9C">
        <w:rPr>
          <w:rFonts w:eastAsia="Calibri"/>
          <w:b/>
          <w:bCs/>
          <w:sz w:val="40"/>
          <w:szCs w:val="40"/>
        </w:rPr>
        <w:t xml:space="preserve"> on </w:t>
      </w:r>
      <w:proofErr w:type="spellStart"/>
      <w:r w:rsidR="00FE3A49">
        <w:rPr>
          <w:rFonts w:eastAsia="Calibri"/>
          <w:b/>
          <w:bCs/>
          <w:sz w:val="40"/>
          <w:szCs w:val="40"/>
        </w:rPr>
        <w:t>Hyperlipidemic</w:t>
      </w:r>
      <w:proofErr w:type="spellEnd"/>
      <w:r w:rsidRPr="00AF6D9C">
        <w:rPr>
          <w:rFonts w:eastAsia="Calibri"/>
          <w:b/>
          <w:bCs/>
          <w:sz w:val="40"/>
          <w:szCs w:val="40"/>
        </w:rPr>
        <w:t xml:space="preserve"> Rat Model</w:t>
      </w:r>
    </w:p>
    <w:p w14:paraId="06D6CD37" w14:textId="2EC0AA32" w:rsidR="00C91CCA" w:rsidRPr="00AF6D9C" w:rsidRDefault="00FA13E7" w:rsidP="00970266">
      <w:pPr>
        <w:pStyle w:val="NormalWeb"/>
        <w:spacing w:before="240" w:beforeAutospacing="0" w:after="0" w:afterAutospacing="0" w:line="360" w:lineRule="auto"/>
        <w:jc w:val="center"/>
        <w:rPr>
          <w:b/>
          <w:color w:val="000000"/>
        </w:rPr>
      </w:pPr>
      <w:r w:rsidRPr="00AF6D9C">
        <w:rPr>
          <w:b/>
          <w:color w:val="000000"/>
        </w:rPr>
        <w:t>Abstract</w:t>
      </w:r>
    </w:p>
    <w:p w14:paraId="3804F111" w14:textId="30C38F56" w:rsidR="00984354" w:rsidRPr="00AF6D9C" w:rsidRDefault="0076532B" w:rsidP="0076532B">
      <w:pPr>
        <w:pStyle w:val="NormalWeb"/>
        <w:spacing w:before="240" w:after="0" w:line="360" w:lineRule="auto"/>
        <w:jc w:val="both"/>
        <w:rPr>
          <w:bCs/>
          <w:color w:val="000000"/>
        </w:rPr>
      </w:pPr>
      <w:r w:rsidRPr="00AF6D9C">
        <w:rPr>
          <w:bCs/>
          <w:color w:val="000000"/>
        </w:rPr>
        <w:t xml:space="preserve">Traditional medicine, as delineated by the World Health Organization, comprises the collective knowledge, skills, and practices rooted in cultural theories, beliefs, and experiences, and is extensively utilized for health maintenance and the treatment of physical and mental ailments. Hyperlipidemia, a prevalent metabolic disease frequently caused by the overconsumption of high-fat foods, presents significant health hazards. Although statins are the principal pharmaceutical intervention, their side effects and expense have stimulated the pursuit of better, natural options. </w:t>
      </w:r>
      <w:r w:rsidRPr="00AF6D9C">
        <w:rPr>
          <w:bCs/>
          <w:i/>
          <w:iCs/>
          <w:color w:val="000000"/>
        </w:rPr>
        <w:t>Bombax ceiba</w:t>
      </w:r>
      <w:r w:rsidRPr="00AF6D9C">
        <w:rPr>
          <w:bCs/>
          <w:color w:val="000000"/>
        </w:rPr>
        <w:t xml:space="preserve">, a medicinal herb historically employed in Asia for several therapeutic purposes, has recently garnered interest for its possible lipid-regulating capabilities. This study assessed the impact of an ethanolic extract of </w:t>
      </w:r>
      <w:r w:rsidR="00AF6D9C" w:rsidRPr="00AF6D9C">
        <w:rPr>
          <w:bCs/>
          <w:i/>
          <w:iCs/>
          <w:color w:val="000000"/>
        </w:rPr>
        <w:t>Bombax ceiba</w:t>
      </w:r>
      <w:r w:rsidRPr="00AF6D9C">
        <w:rPr>
          <w:bCs/>
          <w:color w:val="000000"/>
        </w:rPr>
        <w:t xml:space="preserve"> on lipid profiles in rats subjected to hyperlipidemia via a high-fat diet. The examination evaluated factors such as HDL, LDL, total cholesterol, triglycerides, SGPT, SGOT, urea, and creatinine. The results indicated that HDL and LDL levels did not produce statistically significant outcomes (p &lt; 0.05). ANOVA analysis detected no statistically significant differences in total cholesterol levels among groups. Nonetheless, urea and creatinine concentrations in groups 5 and 6, which were administered </w:t>
      </w:r>
      <w:r w:rsidR="00AF6D9C" w:rsidRPr="00AF6D9C">
        <w:rPr>
          <w:bCs/>
          <w:i/>
          <w:iCs/>
          <w:color w:val="000000"/>
        </w:rPr>
        <w:t>Bombax ceiba</w:t>
      </w:r>
      <w:r w:rsidRPr="00AF6D9C">
        <w:rPr>
          <w:bCs/>
          <w:color w:val="000000"/>
        </w:rPr>
        <w:t xml:space="preserve"> extract at 600 and 900 mg/kg, respectively, exhibited statistically significant results (p &lt; 0.05). Furthermore, the significant improvement in SGPT and SGOT levels in these groups (p &lt; 0.05) indicates a promising enhancement in liver function. The observed significant difference in triglyceride levels (p &lt; 0.05) between groups 5 and 6 further supports the dose-dependent lipid-lowering effects of the extract. These findings underscore the potential of </w:t>
      </w:r>
      <w:r w:rsidR="00AF6D9C" w:rsidRPr="00AF6D9C">
        <w:rPr>
          <w:bCs/>
          <w:i/>
          <w:iCs/>
          <w:color w:val="000000"/>
        </w:rPr>
        <w:t>Bombax ceiba</w:t>
      </w:r>
      <w:r w:rsidRPr="00AF6D9C">
        <w:rPr>
          <w:bCs/>
          <w:color w:val="000000"/>
        </w:rPr>
        <w:t xml:space="preserve"> as a natural therapeutic agent for managing hyperlipidemia. However, further research is needed to isolate active components and elucidate the underlying mechanisms to keep the audience engaged and interested.</w:t>
      </w:r>
    </w:p>
    <w:p w14:paraId="7A31A932" w14:textId="77777777" w:rsidR="00970266" w:rsidRDefault="00984354" w:rsidP="00970266">
      <w:pPr>
        <w:pStyle w:val="NormalWeb"/>
        <w:spacing w:before="240" w:beforeAutospacing="0" w:after="0" w:afterAutospacing="0" w:line="360" w:lineRule="auto"/>
        <w:jc w:val="both"/>
        <w:rPr>
          <w:bCs/>
          <w:color w:val="000000"/>
        </w:rPr>
      </w:pPr>
      <w:r w:rsidRPr="00AF6D9C">
        <w:rPr>
          <w:b/>
          <w:color w:val="000000"/>
        </w:rPr>
        <w:t>Keywords</w:t>
      </w:r>
      <w:r w:rsidRPr="00AF6D9C">
        <w:rPr>
          <w:bCs/>
          <w:color w:val="000000"/>
        </w:rPr>
        <w:t xml:space="preserve">: </w:t>
      </w:r>
      <w:r w:rsidR="00AF6D9C" w:rsidRPr="00AF6D9C">
        <w:rPr>
          <w:bCs/>
          <w:i/>
          <w:iCs/>
          <w:color w:val="000000"/>
        </w:rPr>
        <w:t>Bombax ceiba</w:t>
      </w:r>
      <w:r w:rsidRPr="00AF6D9C">
        <w:rPr>
          <w:bCs/>
          <w:color w:val="000000"/>
        </w:rPr>
        <w:t>, hyperlipidemia, lipid profile, high-fat diet, traditional medicine, liver function, statistically significant.</w:t>
      </w:r>
    </w:p>
    <w:p w14:paraId="5687B686" w14:textId="5E34CC49" w:rsidR="0047659A" w:rsidRPr="00970266" w:rsidRDefault="0047659A" w:rsidP="00970266">
      <w:pPr>
        <w:pStyle w:val="NormalWeb"/>
        <w:spacing w:before="240" w:beforeAutospacing="0" w:after="0" w:afterAutospacing="0" w:line="360" w:lineRule="auto"/>
        <w:jc w:val="both"/>
        <w:rPr>
          <w:bCs/>
          <w:color w:val="000000"/>
        </w:rPr>
      </w:pPr>
      <w:bookmarkStart w:id="0" w:name="_GoBack"/>
      <w:bookmarkEnd w:id="0"/>
      <w:r w:rsidRPr="00AF6D9C">
        <w:rPr>
          <w:b/>
          <w:color w:val="000000"/>
        </w:rPr>
        <w:lastRenderedPageBreak/>
        <w:t>Introduction</w:t>
      </w:r>
    </w:p>
    <w:p w14:paraId="6C79DF47" w14:textId="52BAB0FE" w:rsidR="003D40F6" w:rsidRPr="00AF6D9C" w:rsidRDefault="003D40F6" w:rsidP="003D40F6">
      <w:pPr>
        <w:pStyle w:val="NormalWeb"/>
        <w:spacing w:before="240" w:after="0" w:line="360" w:lineRule="auto"/>
        <w:jc w:val="both"/>
        <w:rPr>
          <w:color w:val="000000"/>
        </w:rPr>
      </w:pPr>
      <w:r w:rsidRPr="00AF6D9C">
        <w:rPr>
          <w:color w:val="000000"/>
        </w:rPr>
        <w:t xml:space="preserve">As the largest glandular organ, the liver controls most bodily physiological processes. The organ filters an individual's total blood volume multiple times daily, making it indispensable for human metabolic processes [1, 2]. The liver's significance is further underscored by the fact that excessive alcohol intake, substance dependence, exposure to hazardous substances, or infection by viruses or parasites can lead to increased levels of reactive oxygen species (ROS), such as OH, H2O2, and O2, potentially causing hepatocellular injury. This </w:t>
      </w:r>
      <w:r w:rsidR="006A6FB2">
        <w:rPr>
          <w:color w:val="000000"/>
        </w:rPr>
        <w:t>accentuates</w:t>
      </w:r>
      <w:r w:rsidRPr="00AF6D9C">
        <w:rPr>
          <w:color w:val="000000"/>
        </w:rPr>
        <w:t xml:space="preserve"> the critical need for a deeper understanding of the liver's role in metabolism and the implications of its dysfunction. The Centers for Disease Control and Prevention conducted a study involving 1,492 doctors providing ambulatory care in non-governmental facilities. The study found that hyperlipidemia is the second most common chronic ailment among these professionals, after hypertension [4]. The study found that high-fat diets promote hyperlipidemia [5]. Common anti-hyperlipidemic medications like atorvastatin, pravastatin, fluvastatin, simvastatin, lovastatin, and rosuvastatin are primarily metabolized by the liver. As a result, the bioavailability of these medications is markedly restricted [6]. The enzyme 3-hydroxy-3-methylglutaryl-coenzyme A reductase (HMG-CoAR) can temporarily inhibit the activity of Statins. This enzyme lowers cholesterol by reducing cell cholesterol synthesis. Statins can penetrate hepatocytes and inhibit HMG-CoA reductase, which underlies their pharmacological effects.</w:t>
      </w:r>
    </w:p>
    <w:p w14:paraId="74EFF721" w14:textId="10444071" w:rsidR="00530567" w:rsidRPr="00AF6D9C" w:rsidRDefault="003D40F6" w:rsidP="003D40F6">
      <w:pPr>
        <w:pStyle w:val="NormalWeb"/>
        <w:spacing w:before="240" w:beforeAutospacing="0" w:after="0" w:afterAutospacing="0" w:line="360" w:lineRule="auto"/>
        <w:jc w:val="both"/>
      </w:pPr>
      <w:r w:rsidRPr="00AF6D9C">
        <w:rPr>
          <w:color w:val="000000"/>
        </w:rPr>
        <w:t xml:space="preserve">Statins-associated muscle symptoms (SAMS), also referred to as muscular issues, are the predominant adverse effect that restricts statin usage. The emergence of diabetic mellitus (DM) and </w:t>
      </w:r>
      <w:r w:rsidR="007124B8" w:rsidRPr="00AF6D9C">
        <w:rPr>
          <w:color w:val="000000"/>
        </w:rPr>
        <w:t>CNS</w:t>
      </w:r>
      <w:r w:rsidRPr="00AF6D9C">
        <w:rPr>
          <w:color w:val="000000"/>
        </w:rPr>
        <w:t xml:space="preserve"> problems is two additional potentially harmful outcomes [8]. Patients who must take these synthetic medications for the duration of their therapy may experience financial difficulties due to their high cost and significant side effects [9]. Consequently, efficient anti-hyperlipidemic drugs with few side effects are essential [10]. However, there is hope on the horizon. Plants, with their rich array of naturally occurring compounds, are proving to be a promising source of innovative treatments. With their therapeutic potential, medicinal plant chemicals are a beacon of hope in the search for new, effective herbal cures and other plant-based medicines to treat various ailments. For centuries, many cultures have employed herbal remedies, nutritional supplements, and alternative medicine. Many people now use traditional medicine for most healthcare needs [11]. The chemical ingredients of medicinal plants allow them to have several pharmacological </w:t>
      </w:r>
      <w:r w:rsidRPr="00AF6D9C">
        <w:rPr>
          <w:color w:val="000000"/>
        </w:rPr>
        <w:lastRenderedPageBreak/>
        <w:t>and therapeutic effects. These ingredients include tannins, glycosides, alkaloids, saponins, polysaccharides, essential oils, terpenoids, resins, and plant lipids [12–14]. Genetically altered plants precisely regulate chemical concentrations, therefore aiding in achieving the desired medical effect. Reverse genetics can boost secondary metabolite synthesis, including alkaloids [15]. Global scientific progress has resulted in a heightened exploration of the medicinal properties of plant species [16]. Plants are in demand due to their safety, potency, and cost-effectiveness compared to synthetic medications.</w:t>
      </w:r>
    </w:p>
    <w:p w14:paraId="63EB0336" w14:textId="3CD6B23C" w:rsidR="00CD1ABD" w:rsidRPr="00AF6D9C" w:rsidRDefault="00AF6D9C" w:rsidP="00CD1ABD">
      <w:pPr>
        <w:spacing w:before="240" w:line="360" w:lineRule="auto"/>
        <w:jc w:val="both"/>
        <w:rPr>
          <w:rFonts w:ascii="Times New Roman" w:hAnsi="Times New Roman" w:cs="Times New Roman"/>
          <w:color w:val="000000"/>
          <w:sz w:val="24"/>
          <w:szCs w:val="24"/>
        </w:rPr>
      </w:pPr>
      <w:r w:rsidRPr="00AF6D9C">
        <w:rPr>
          <w:rFonts w:ascii="Times New Roman" w:hAnsi="Times New Roman" w:cs="Times New Roman"/>
          <w:bCs/>
          <w:i/>
          <w:iCs/>
          <w:color w:val="000000"/>
        </w:rPr>
        <w:t>Bombax ceiba</w:t>
      </w:r>
      <w:r w:rsidR="00CD1ABD" w:rsidRPr="00AF6D9C">
        <w:rPr>
          <w:rFonts w:ascii="Times New Roman" w:hAnsi="Times New Roman" w:cs="Times New Roman"/>
          <w:color w:val="000000"/>
          <w:sz w:val="24"/>
          <w:szCs w:val="24"/>
        </w:rPr>
        <w:t xml:space="preserve"> Linnaeus is a tall, deciduous tree belonging to the family Bombacaceae. Bombacaceae, encompassing Bombax, Baobab, and Kapok genera, constitutes a diminutive family of flowering plants named after Bombax. It comprises around 25 genera and 250 species of tropical plants. </w:t>
      </w:r>
      <w:r w:rsidRPr="00AF6D9C">
        <w:rPr>
          <w:rFonts w:ascii="Times New Roman" w:hAnsi="Times New Roman" w:cs="Times New Roman"/>
          <w:bCs/>
          <w:i/>
          <w:iCs/>
          <w:color w:val="000000"/>
        </w:rPr>
        <w:t>Bombax ceiba</w:t>
      </w:r>
      <w:r w:rsidR="00CD1ABD" w:rsidRPr="00AF6D9C">
        <w:rPr>
          <w:rFonts w:ascii="Times New Roman" w:hAnsi="Times New Roman" w:cs="Times New Roman"/>
          <w:color w:val="000000"/>
          <w:sz w:val="24"/>
          <w:szCs w:val="24"/>
        </w:rPr>
        <w:t xml:space="preserve"> is a prominent species among roughly 26 species and nearly 140 pantropical classifications. It is located at elevations of up to 1500 meters and can attain heights of up to 45 meters [17]. It is distributed throughout temperate and tropical regions of Asia, Africa, and Australia. Usually referred to as the silk cotton tree, its native names include </w:t>
      </w:r>
      <w:proofErr w:type="spellStart"/>
      <w:r w:rsidR="00CD1ABD" w:rsidRPr="00AF6D9C">
        <w:rPr>
          <w:rFonts w:ascii="Times New Roman" w:hAnsi="Times New Roman" w:cs="Times New Roman"/>
          <w:color w:val="000000"/>
          <w:sz w:val="24"/>
          <w:szCs w:val="24"/>
        </w:rPr>
        <w:t>shalmali</w:t>
      </w:r>
      <w:proofErr w:type="spellEnd"/>
      <w:r w:rsidR="00CD1ABD" w:rsidRPr="00AF6D9C">
        <w:rPr>
          <w:rFonts w:ascii="Times New Roman" w:hAnsi="Times New Roman" w:cs="Times New Roman"/>
          <w:color w:val="000000"/>
          <w:sz w:val="24"/>
          <w:szCs w:val="24"/>
        </w:rPr>
        <w:t xml:space="preserve"> (Sanskrit), </w:t>
      </w:r>
      <w:proofErr w:type="spellStart"/>
      <w:r w:rsidR="00CD1ABD" w:rsidRPr="00AF6D9C">
        <w:rPr>
          <w:rFonts w:ascii="Times New Roman" w:hAnsi="Times New Roman" w:cs="Times New Roman"/>
          <w:color w:val="000000"/>
          <w:sz w:val="24"/>
          <w:szCs w:val="24"/>
        </w:rPr>
        <w:t>shimul</w:t>
      </w:r>
      <w:proofErr w:type="spellEnd"/>
      <w:r w:rsidR="00CD1ABD" w:rsidRPr="00AF6D9C">
        <w:rPr>
          <w:rFonts w:ascii="Times New Roman" w:hAnsi="Times New Roman" w:cs="Times New Roman"/>
          <w:color w:val="000000"/>
          <w:sz w:val="24"/>
          <w:szCs w:val="24"/>
        </w:rPr>
        <w:t xml:space="preserve"> (Bengali), Indian kapok tree (English), and </w:t>
      </w:r>
      <w:proofErr w:type="spellStart"/>
      <w:r w:rsidR="00CD1ABD" w:rsidRPr="00AF6D9C">
        <w:rPr>
          <w:rFonts w:ascii="Times New Roman" w:hAnsi="Times New Roman" w:cs="Times New Roman"/>
          <w:color w:val="000000"/>
          <w:sz w:val="24"/>
          <w:szCs w:val="24"/>
        </w:rPr>
        <w:t>shamimin</w:t>
      </w:r>
      <w:proofErr w:type="spellEnd"/>
      <w:r w:rsidR="00CD1ABD" w:rsidRPr="00AF6D9C">
        <w:rPr>
          <w:rFonts w:ascii="Times New Roman" w:hAnsi="Times New Roman" w:cs="Times New Roman"/>
          <w:color w:val="000000"/>
          <w:sz w:val="24"/>
          <w:szCs w:val="24"/>
        </w:rPr>
        <w:t xml:space="preserve"> (Egyptian) [18].</w:t>
      </w:r>
      <w:r w:rsidR="0076532B" w:rsidRPr="00AF6D9C">
        <w:rPr>
          <w:rFonts w:ascii="Times New Roman" w:hAnsi="Times New Roman" w:cs="Times New Roman"/>
          <w:color w:val="000000"/>
          <w:sz w:val="24"/>
          <w:szCs w:val="24"/>
        </w:rPr>
        <w:t xml:space="preserve"> </w:t>
      </w:r>
      <w:r w:rsidR="00CD1ABD" w:rsidRPr="00AF6D9C">
        <w:rPr>
          <w:rFonts w:ascii="Times New Roman" w:hAnsi="Times New Roman" w:cs="Times New Roman"/>
          <w:color w:val="000000"/>
          <w:sz w:val="24"/>
          <w:szCs w:val="24"/>
        </w:rPr>
        <w:t>The plant is commonly grown as an ornamental and shade tree in China, Pakistan, India, Austria, and Egypt [19]. Its fruit's smooth white fibers and medicinal properties are economically significant in producing mattresses, pillows, and soft toys, and serving as oil absorbents for oil spill remediation [2</w:t>
      </w:r>
      <w:r w:rsidR="006A6FB2">
        <w:rPr>
          <w:rFonts w:ascii="Times New Roman" w:hAnsi="Times New Roman" w:cs="Times New Roman"/>
          <w:color w:val="000000"/>
          <w:sz w:val="24"/>
          <w:szCs w:val="24"/>
        </w:rPr>
        <w:t>0]. This dual utility underline</w:t>
      </w:r>
      <w:r w:rsidR="00CD1ABD" w:rsidRPr="00AF6D9C">
        <w:rPr>
          <w:rFonts w:ascii="Times New Roman" w:hAnsi="Times New Roman" w:cs="Times New Roman"/>
          <w:color w:val="000000"/>
          <w:sz w:val="24"/>
          <w:szCs w:val="24"/>
        </w:rPr>
        <w:t>s the plant's value and versatility. Traditional medicine recommends it for diarrhea</w:t>
      </w:r>
      <w:r w:rsidR="009447E0">
        <w:rPr>
          <w:rFonts w:ascii="Times New Roman" w:hAnsi="Times New Roman" w:cs="Times New Roman"/>
          <w:color w:val="000000"/>
          <w:sz w:val="24"/>
          <w:szCs w:val="24"/>
        </w:rPr>
        <w:t xml:space="preserve"> [21]</w:t>
      </w:r>
      <w:r w:rsidR="00CD1ABD" w:rsidRPr="00AF6D9C">
        <w:rPr>
          <w:rFonts w:ascii="Times New Roman" w:hAnsi="Times New Roman" w:cs="Times New Roman"/>
          <w:color w:val="000000"/>
          <w:sz w:val="24"/>
          <w:szCs w:val="24"/>
        </w:rPr>
        <w:t>, fever, hepatitis, impotence, a</w:t>
      </w:r>
      <w:r w:rsidR="009447E0">
        <w:rPr>
          <w:rFonts w:ascii="Times New Roman" w:hAnsi="Times New Roman" w:cs="Times New Roman"/>
          <w:color w:val="000000"/>
          <w:sz w:val="24"/>
          <w:szCs w:val="24"/>
        </w:rPr>
        <w:t>nd bladder and kidney ulcers [22</w:t>
      </w:r>
      <w:r w:rsidR="00CD1ABD" w:rsidRPr="00AF6D9C">
        <w:rPr>
          <w:rFonts w:ascii="Times New Roman" w:hAnsi="Times New Roman" w:cs="Times New Roman"/>
          <w:color w:val="000000"/>
          <w:sz w:val="24"/>
          <w:szCs w:val="24"/>
        </w:rPr>
        <w:t>]. The herb is renowned among tribal communities for its efficacy in treating numerous human and animal ailments. Reports show antioxidative, anti-inflammatory, antihyperglycemic, anti-</w:t>
      </w:r>
      <w:proofErr w:type="spellStart"/>
      <w:r w:rsidR="00CD1ABD" w:rsidRPr="00AF6D9C">
        <w:rPr>
          <w:rFonts w:ascii="Times New Roman" w:hAnsi="Times New Roman" w:cs="Times New Roman"/>
          <w:color w:val="000000"/>
          <w:sz w:val="24"/>
          <w:szCs w:val="24"/>
        </w:rPr>
        <w:t>hyperlipidemic</w:t>
      </w:r>
      <w:proofErr w:type="spellEnd"/>
      <w:r w:rsidR="00CD1ABD" w:rsidRPr="00AF6D9C">
        <w:rPr>
          <w:rFonts w:ascii="Times New Roman" w:hAnsi="Times New Roman" w:cs="Times New Roman"/>
          <w:color w:val="000000"/>
          <w:sz w:val="24"/>
          <w:szCs w:val="24"/>
        </w:rPr>
        <w:t xml:space="preserve">, </w:t>
      </w:r>
      <w:proofErr w:type="spellStart"/>
      <w:r w:rsidR="00CD1ABD" w:rsidRPr="00AF6D9C">
        <w:rPr>
          <w:rFonts w:ascii="Times New Roman" w:hAnsi="Times New Roman" w:cs="Times New Roman"/>
          <w:color w:val="000000"/>
          <w:sz w:val="24"/>
          <w:szCs w:val="24"/>
        </w:rPr>
        <w:t>immunomodulatory</w:t>
      </w:r>
      <w:proofErr w:type="spellEnd"/>
      <w:r w:rsidR="00CD1ABD" w:rsidRPr="00AF6D9C">
        <w:rPr>
          <w:rFonts w:ascii="Times New Roman" w:hAnsi="Times New Roman" w:cs="Times New Roman"/>
          <w:color w:val="000000"/>
          <w:sz w:val="24"/>
          <w:szCs w:val="24"/>
        </w:rPr>
        <w:t>, and</w:t>
      </w:r>
      <w:r w:rsidR="009447E0">
        <w:rPr>
          <w:rFonts w:ascii="Times New Roman" w:hAnsi="Times New Roman" w:cs="Times New Roman"/>
          <w:color w:val="000000"/>
          <w:sz w:val="24"/>
          <w:szCs w:val="24"/>
        </w:rPr>
        <w:t xml:space="preserve"> </w:t>
      </w:r>
      <w:proofErr w:type="spellStart"/>
      <w:r w:rsidR="009447E0">
        <w:rPr>
          <w:rFonts w:ascii="Times New Roman" w:hAnsi="Times New Roman" w:cs="Times New Roman"/>
          <w:color w:val="000000"/>
          <w:sz w:val="24"/>
          <w:szCs w:val="24"/>
        </w:rPr>
        <w:t>hepatoprotective</w:t>
      </w:r>
      <w:proofErr w:type="spellEnd"/>
      <w:r w:rsidR="009447E0">
        <w:rPr>
          <w:rFonts w:ascii="Times New Roman" w:hAnsi="Times New Roman" w:cs="Times New Roman"/>
          <w:color w:val="000000"/>
          <w:sz w:val="24"/>
          <w:szCs w:val="24"/>
        </w:rPr>
        <w:t xml:space="preserve"> properties [23</w:t>
      </w:r>
      <w:r w:rsidR="00CD1ABD" w:rsidRPr="00AF6D9C">
        <w:rPr>
          <w:rFonts w:ascii="Times New Roman" w:hAnsi="Times New Roman" w:cs="Times New Roman"/>
          <w:color w:val="000000"/>
          <w:sz w:val="24"/>
          <w:szCs w:val="24"/>
        </w:rPr>
        <w:t>].</w:t>
      </w:r>
    </w:p>
    <w:p w14:paraId="49E7157E" w14:textId="0E9EFDAC" w:rsidR="00CD1ABD" w:rsidRPr="00AF6D9C" w:rsidRDefault="00CD1ABD" w:rsidP="00CD1ABD">
      <w:pPr>
        <w:spacing w:before="240" w:line="360" w:lineRule="auto"/>
        <w:jc w:val="both"/>
        <w:rPr>
          <w:rFonts w:ascii="Times New Roman" w:hAnsi="Times New Roman" w:cs="Times New Roman"/>
          <w:color w:val="000000"/>
          <w:sz w:val="24"/>
          <w:szCs w:val="24"/>
        </w:rPr>
      </w:pPr>
      <w:r w:rsidRPr="00AF6D9C">
        <w:rPr>
          <w:rFonts w:ascii="Times New Roman" w:hAnsi="Times New Roman" w:cs="Times New Roman"/>
          <w:color w:val="000000"/>
          <w:sz w:val="24"/>
          <w:szCs w:val="24"/>
        </w:rPr>
        <w:t>Herbalists employ every aspect of this plant as medication, m</w:t>
      </w:r>
      <w:r w:rsidR="009447E0">
        <w:rPr>
          <w:rFonts w:ascii="Times New Roman" w:hAnsi="Times New Roman" w:cs="Times New Roman"/>
          <w:color w:val="000000"/>
          <w:sz w:val="24"/>
          <w:szCs w:val="24"/>
        </w:rPr>
        <w:t>aking it the "silent doctor" [24</w:t>
      </w:r>
      <w:r w:rsidRPr="00AF6D9C">
        <w:rPr>
          <w:rFonts w:ascii="Times New Roman" w:hAnsi="Times New Roman" w:cs="Times New Roman"/>
          <w:color w:val="000000"/>
          <w:sz w:val="24"/>
          <w:szCs w:val="24"/>
        </w:rPr>
        <w:t xml:space="preserve">]. Recognized as an ethnomedicinal plant, it is noted for its abundance of active constituents, including polysaccharides, </w:t>
      </w:r>
      <w:proofErr w:type="spellStart"/>
      <w:r w:rsidRPr="00AF6D9C">
        <w:rPr>
          <w:rFonts w:ascii="Times New Roman" w:hAnsi="Times New Roman" w:cs="Times New Roman"/>
          <w:color w:val="000000"/>
          <w:sz w:val="24"/>
          <w:szCs w:val="24"/>
        </w:rPr>
        <w:t>phenolics</w:t>
      </w:r>
      <w:proofErr w:type="spellEnd"/>
      <w:r w:rsidR="009447E0">
        <w:rPr>
          <w:rFonts w:ascii="Times New Roman" w:hAnsi="Times New Roman" w:cs="Times New Roman"/>
          <w:color w:val="000000"/>
          <w:sz w:val="24"/>
          <w:szCs w:val="24"/>
        </w:rPr>
        <w:t xml:space="preserve">, flavonoids, and </w:t>
      </w:r>
      <w:proofErr w:type="spellStart"/>
      <w:r w:rsidR="009447E0">
        <w:rPr>
          <w:rFonts w:ascii="Times New Roman" w:hAnsi="Times New Roman" w:cs="Times New Roman"/>
          <w:color w:val="000000"/>
          <w:sz w:val="24"/>
          <w:szCs w:val="24"/>
        </w:rPr>
        <w:t>neolignans</w:t>
      </w:r>
      <w:proofErr w:type="spellEnd"/>
      <w:r w:rsidR="009447E0">
        <w:rPr>
          <w:rFonts w:ascii="Times New Roman" w:hAnsi="Times New Roman" w:cs="Times New Roman"/>
          <w:color w:val="000000"/>
          <w:sz w:val="24"/>
          <w:szCs w:val="24"/>
        </w:rPr>
        <w:t xml:space="preserve"> [25</w:t>
      </w:r>
      <w:r w:rsidRPr="00AF6D9C">
        <w:rPr>
          <w:rFonts w:ascii="Times New Roman" w:hAnsi="Times New Roman" w:cs="Times New Roman"/>
          <w:color w:val="000000"/>
          <w:sz w:val="24"/>
          <w:szCs w:val="24"/>
        </w:rPr>
        <w:t xml:space="preserve">]. </w:t>
      </w:r>
      <w:r w:rsidR="00AF6D9C" w:rsidRPr="00AF6D9C">
        <w:rPr>
          <w:rFonts w:ascii="Times New Roman" w:hAnsi="Times New Roman" w:cs="Times New Roman"/>
          <w:bCs/>
          <w:i/>
          <w:iCs/>
          <w:color w:val="000000"/>
        </w:rPr>
        <w:t>Bombax ceiba</w:t>
      </w:r>
      <w:r w:rsidRPr="00AF6D9C">
        <w:rPr>
          <w:rFonts w:ascii="Times New Roman" w:hAnsi="Times New Roman" w:cs="Times New Roman"/>
          <w:color w:val="000000"/>
          <w:sz w:val="24"/>
          <w:szCs w:val="24"/>
        </w:rPr>
        <w:t xml:space="preserve"> leaves contain bioactive substances like C-</w:t>
      </w:r>
      <w:proofErr w:type="spellStart"/>
      <w:r w:rsidRPr="00AF6D9C">
        <w:rPr>
          <w:rFonts w:ascii="Times New Roman" w:hAnsi="Times New Roman" w:cs="Times New Roman"/>
          <w:color w:val="000000"/>
          <w:sz w:val="24"/>
          <w:szCs w:val="24"/>
        </w:rPr>
        <w:t>flavonol</w:t>
      </w:r>
      <w:proofErr w:type="spellEnd"/>
      <w:r w:rsidRPr="00AF6D9C">
        <w:rPr>
          <w:rFonts w:ascii="Times New Roman" w:hAnsi="Times New Roman" w:cs="Times New Roman"/>
          <w:color w:val="000000"/>
          <w:sz w:val="24"/>
          <w:szCs w:val="24"/>
        </w:rPr>
        <w:t xml:space="preserve"> </w:t>
      </w:r>
      <w:proofErr w:type="spellStart"/>
      <w:r w:rsidRPr="00AF6D9C">
        <w:rPr>
          <w:rFonts w:ascii="Times New Roman" w:hAnsi="Times New Roman" w:cs="Times New Roman"/>
          <w:color w:val="000000"/>
          <w:sz w:val="24"/>
          <w:szCs w:val="24"/>
        </w:rPr>
        <w:t>glucoside</w:t>
      </w:r>
      <w:proofErr w:type="spellEnd"/>
      <w:r w:rsidRPr="00AF6D9C">
        <w:rPr>
          <w:rFonts w:ascii="Times New Roman" w:hAnsi="Times New Roman" w:cs="Times New Roman"/>
          <w:color w:val="000000"/>
          <w:sz w:val="24"/>
          <w:szCs w:val="24"/>
        </w:rPr>
        <w:t xml:space="preserve"> and </w:t>
      </w:r>
      <w:proofErr w:type="spellStart"/>
      <w:r w:rsidRPr="00AF6D9C">
        <w:rPr>
          <w:rFonts w:ascii="Times New Roman" w:hAnsi="Times New Roman" w:cs="Times New Roman"/>
          <w:color w:val="000000"/>
          <w:sz w:val="24"/>
          <w:szCs w:val="24"/>
        </w:rPr>
        <w:t>triterpenoid</w:t>
      </w:r>
      <w:proofErr w:type="spellEnd"/>
      <w:r w:rsidRPr="00AF6D9C">
        <w:rPr>
          <w:rFonts w:ascii="Times New Roman" w:hAnsi="Times New Roman" w:cs="Times New Roman"/>
          <w:color w:val="000000"/>
          <w:sz w:val="24"/>
          <w:szCs w:val="24"/>
        </w:rPr>
        <w:t xml:space="preserve"> chemicals with hypoglycemic and</w:t>
      </w:r>
      <w:r w:rsidR="009447E0">
        <w:rPr>
          <w:rFonts w:ascii="Times New Roman" w:hAnsi="Times New Roman" w:cs="Times New Roman"/>
          <w:color w:val="000000"/>
          <w:sz w:val="24"/>
          <w:szCs w:val="24"/>
        </w:rPr>
        <w:t xml:space="preserve"> anti-</w:t>
      </w:r>
      <w:proofErr w:type="spellStart"/>
      <w:r w:rsidR="009447E0">
        <w:rPr>
          <w:rFonts w:ascii="Times New Roman" w:hAnsi="Times New Roman" w:cs="Times New Roman"/>
          <w:color w:val="000000"/>
          <w:sz w:val="24"/>
          <w:szCs w:val="24"/>
        </w:rPr>
        <w:t>hyperlipidemic</w:t>
      </w:r>
      <w:proofErr w:type="spellEnd"/>
      <w:r w:rsidR="009447E0">
        <w:rPr>
          <w:rFonts w:ascii="Times New Roman" w:hAnsi="Times New Roman" w:cs="Times New Roman"/>
          <w:color w:val="000000"/>
          <w:sz w:val="24"/>
          <w:szCs w:val="24"/>
        </w:rPr>
        <w:t xml:space="preserve"> actions [26</w:t>
      </w:r>
      <w:r w:rsidRPr="00AF6D9C">
        <w:rPr>
          <w:rFonts w:ascii="Times New Roman" w:hAnsi="Times New Roman" w:cs="Times New Roman"/>
          <w:color w:val="000000"/>
          <w:sz w:val="24"/>
          <w:szCs w:val="24"/>
        </w:rPr>
        <w:t xml:space="preserve">]. The ethanolic extract of </w:t>
      </w:r>
      <w:r w:rsidR="00AF6D9C" w:rsidRPr="00AF6D9C">
        <w:rPr>
          <w:rFonts w:ascii="Times New Roman" w:hAnsi="Times New Roman" w:cs="Times New Roman"/>
          <w:bCs/>
          <w:i/>
          <w:iCs/>
          <w:color w:val="000000"/>
        </w:rPr>
        <w:t>Bombax ceiba</w:t>
      </w:r>
      <w:r w:rsidRPr="00AF6D9C">
        <w:rPr>
          <w:rFonts w:ascii="Times New Roman" w:hAnsi="Times New Roman" w:cs="Times New Roman"/>
          <w:color w:val="000000"/>
          <w:sz w:val="24"/>
          <w:szCs w:val="24"/>
        </w:rPr>
        <w:t xml:space="preserve"> exhibited a high concentration of flavonoids, phe</w:t>
      </w:r>
      <w:r w:rsidR="009447E0">
        <w:rPr>
          <w:rFonts w:ascii="Times New Roman" w:hAnsi="Times New Roman" w:cs="Times New Roman"/>
          <w:color w:val="000000"/>
          <w:sz w:val="24"/>
          <w:szCs w:val="24"/>
        </w:rPr>
        <w:t>nolic compounds, and tannins [27, 28</w:t>
      </w:r>
      <w:r w:rsidRPr="00AF6D9C">
        <w:rPr>
          <w:rFonts w:ascii="Times New Roman" w:hAnsi="Times New Roman" w:cs="Times New Roman"/>
          <w:color w:val="000000"/>
          <w:sz w:val="24"/>
          <w:szCs w:val="24"/>
        </w:rPr>
        <w:t xml:space="preserve">]. These significant molecules provide BCE's robust antioxidant and anti-hyperlipidemic characteristics in hepatic </w:t>
      </w:r>
      <w:r w:rsidR="009447E0">
        <w:rPr>
          <w:rFonts w:ascii="Times New Roman" w:hAnsi="Times New Roman" w:cs="Times New Roman"/>
          <w:color w:val="000000"/>
          <w:sz w:val="24"/>
          <w:szCs w:val="24"/>
        </w:rPr>
        <w:lastRenderedPageBreak/>
        <w:t>tissues [29</w:t>
      </w:r>
      <w:r w:rsidRPr="00AF6D9C">
        <w:rPr>
          <w:rFonts w:ascii="Times New Roman" w:hAnsi="Times New Roman" w:cs="Times New Roman"/>
          <w:color w:val="000000"/>
          <w:sz w:val="24"/>
          <w:szCs w:val="24"/>
        </w:rPr>
        <w:t>]. In particular, plant-derived flavonoid and phenolic acid compounds are effective anti-hyperlipidemic medicines with vast supplies and facile collection, making them promising research hotspots. The potential for further research in this area is vast and promising, offering exciting oppo</w:t>
      </w:r>
      <w:r w:rsidR="009447E0">
        <w:rPr>
          <w:rFonts w:ascii="Times New Roman" w:hAnsi="Times New Roman" w:cs="Times New Roman"/>
          <w:color w:val="000000"/>
          <w:sz w:val="24"/>
          <w:szCs w:val="24"/>
        </w:rPr>
        <w:t>rtunities for future studies [30</w:t>
      </w:r>
      <w:r w:rsidRPr="00AF6D9C">
        <w:rPr>
          <w:rFonts w:ascii="Times New Roman" w:hAnsi="Times New Roman" w:cs="Times New Roman"/>
          <w:color w:val="000000"/>
          <w:sz w:val="24"/>
          <w:szCs w:val="24"/>
        </w:rPr>
        <w:t>].</w:t>
      </w:r>
    </w:p>
    <w:p w14:paraId="4938E99C" w14:textId="39D8D919" w:rsidR="00042C72" w:rsidRDefault="001E3FC4" w:rsidP="002D115C">
      <w:pPr>
        <w:spacing w:before="240" w:line="360" w:lineRule="auto"/>
        <w:jc w:val="both"/>
        <w:rPr>
          <w:rFonts w:ascii="Times New Roman" w:hAnsi="Times New Roman" w:cs="Times New Roman"/>
          <w:color w:val="000000"/>
          <w:sz w:val="24"/>
          <w:szCs w:val="24"/>
        </w:rPr>
      </w:pPr>
      <w:r w:rsidRPr="001E3FC4">
        <w:rPr>
          <w:rFonts w:ascii="Times New Roman" w:hAnsi="Times New Roman" w:cs="Times New Roman"/>
          <w:color w:val="000000"/>
          <w:sz w:val="24"/>
          <w:szCs w:val="24"/>
        </w:rPr>
        <w:t xml:space="preserve">To avert metabolic problems associated with obesity, we investigated the biochemical and histological anti-hyperlipidemic properties of </w:t>
      </w:r>
      <w:r w:rsidRPr="00B94AEB">
        <w:rPr>
          <w:rFonts w:ascii="Times New Roman" w:hAnsi="Times New Roman" w:cs="Times New Roman"/>
          <w:i/>
          <w:iCs/>
          <w:color w:val="000000"/>
          <w:sz w:val="24"/>
          <w:szCs w:val="24"/>
        </w:rPr>
        <w:t>Bombax ceiba</w:t>
      </w:r>
      <w:r w:rsidRPr="001E3FC4">
        <w:rPr>
          <w:rFonts w:ascii="Times New Roman" w:hAnsi="Times New Roman" w:cs="Times New Roman"/>
          <w:color w:val="000000"/>
          <w:sz w:val="24"/>
          <w:szCs w:val="24"/>
        </w:rPr>
        <w:t xml:space="preserve"> extract in obese rats. Upon finding the active compounds, a thorough examination, encompassing additional investigations into the mechanism of action, possible adverse effects, and dosage optimization, may be undertaken to comprehensively evaluate </w:t>
      </w:r>
      <w:r w:rsidRPr="00B94AEB">
        <w:rPr>
          <w:rFonts w:ascii="Times New Roman" w:hAnsi="Times New Roman" w:cs="Times New Roman"/>
          <w:i/>
          <w:iCs/>
          <w:color w:val="000000"/>
          <w:sz w:val="24"/>
          <w:szCs w:val="24"/>
        </w:rPr>
        <w:t>Bombax ceiba</w:t>
      </w:r>
      <w:r w:rsidRPr="001E3FC4">
        <w:rPr>
          <w:rFonts w:ascii="Times New Roman" w:hAnsi="Times New Roman" w:cs="Times New Roman"/>
          <w:color w:val="000000"/>
          <w:sz w:val="24"/>
          <w:szCs w:val="24"/>
        </w:rPr>
        <w:t>'s therapeutic potential.</w:t>
      </w:r>
    </w:p>
    <w:p w14:paraId="25CEEB45" w14:textId="74D01155" w:rsidR="00B7273C" w:rsidRPr="00AF6D9C" w:rsidRDefault="00B94AEB" w:rsidP="00155329">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Materials and M</w:t>
      </w:r>
      <w:r w:rsidR="00B7273C" w:rsidRPr="00AF6D9C">
        <w:rPr>
          <w:rFonts w:ascii="Times New Roman" w:hAnsi="Times New Roman" w:cs="Times New Roman"/>
          <w:b/>
          <w:sz w:val="24"/>
          <w:szCs w:val="24"/>
        </w:rPr>
        <w:t>ethods</w:t>
      </w:r>
    </w:p>
    <w:p w14:paraId="0E247649" w14:textId="77777777" w:rsidR="00B7273C" w:rsidRPr="00AF6D9C" w:rsidRDefault="00B7273C" w:rsidP="00155329">
      <w:pPr>
        <w:spacing w:line="360" w:lineRule="auto"/>
        <w:jc w:val="both"/>
        <w:rPr>
          <w:rFonts w:ascii="Times New Roman" w:hAnsi="Times New Roman" w:cs="Times New Roman"/>
          <w:b/>
          <w:sz w:val="24"/>
          <w:szCs w:val="24"/>
        </w:rPr>
      </w:pPr>
      <w:r w:rsidRPr="00AF6D9C">
        <w:rPr>
          <w:rFonts w:ascii="Times New Roman" w:hAnsi="Times New Roman" w:cs="Times New Roman"/>
          <w:b/>
          <w:sz w:val="24"/>
          <w:szCs w:val="24"/>
        </w:rPr>
        <w:t>Plant Collection and Extract Preparation</w:t>
      </w:r>
    </w:p>
    <w:p w14:paraId="26965DAA" w14:textId="126C6C20" w:rsidR="002526E3" w:rsidRPr="00AF6D9C" w:rsidRDefault="009A23C9" w:rsidP="00155329">
      <w:pPr>
        <w:spacing w:after="0" w:line="360" w:lineRule="auto"/>
        <w:jc w:val="both"/>
        <w:rPr>
          <w:rFonts w:ascii="Times New Roman" w:eastAsia="Times New Roman" w:hAnsi="Times New Roman" w:cs="Times New Roman"/>
          <w:i/>
          <w:color w:val="000000"/>
          <w:sz w:val="24"/>
          <w:szCs w:val="24"/>
        </w:rPr>
      </w:pPr>
      <w:r w:rsidRPr="00AF6D9C">
        <w:rPr>
          <w:rFonts w:ascii="Times New Roman" w:eastAsia="Times New Roman" w:hAnsi="Times New Roman" w:cs="Times New Roman"/>
          <w:color w:val="000000"/>
          <w:sz w:val="24"/>
          <w:szCs w:val="24"/>
        </w:rPr>
        <w:t xml:space="preserve">Samples of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were obtained from a local market in Dhaka. The National Herbarium of Bangladesh has verified the sample's validity. Initially,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was thoroughly rinsed with water and then allowed to air dry. Ultimately, we pulverized the desiccated leaves into a fine powder. The powder was immersed in a 70% ethanol solution for 15 days. The solution was retained for 15 days. Intermittent, forceful tremors were also observed. The solution was subsequently filtered. The obtained filtrate was dried using a rotary evaporator under reduced temperature and pressure conditions. The crude leftovers underwent the necessary pharmacological investigation.</w:t>
      </w:r>
    </w:p>
    <w:p w14:paraId="02CE5B6D" w14:textId="477D2236" w:rsidR="00B7273C" w:rsidRPr="00AF6D9C" w:rsidRDefault="00B7273C" w:rsidP="00155329">
      <w:pPr>
        <w:spacing w:before="240" w:after="0" w:line="360" w:lineRule="auto"/>
        <w:jc w:val="both"/>
        <w:rPr>
          <w:rFonts w:ascii="Times New Roman" w:eastAsia="Times New Roman" w:hAnsi="Times New Roman" w:cs="Times New Roman"/>
          <w:color w:val="000000"/>
          <w:sz w:val="24"/>
          <w:szCs w:val="24"/>
        </w:rPr>
      </w:pPr>
      <w:r w:rsidRPr="00AF6D9C">
        <w:rPr>
          <w:rFonts w:ascii="Times New Roman" w:hAnsi="Times New Roman" w:cs="Times New Roman"/>
          <w:b/>
          <w:sz w:val="24"/>
          <w:szCs w:val="24"/>
        </w:rPr>
        <w:t>Drugs and Chemicals</w:t>
      </w:r>
    </w:p>
    <w:p w14:paraId="5B64F6B2" w14:textId="340B9968" w:rsidR="002526E3" w:rsidRPr="00AF6D9C" w:rsidRDefault="009A23C9" w:rsidP="00155329">
      <w:pPr>
        <w:spacing w:line="360" w:lineRule="auto"/>
        <w:jc w:val="both"/>
        <w:rPr>
          <w:rFonts w:ascii="Times New Roman" w:hAnsi="Times New Roman" w:cs="Times New Roman"/>
          <w:sz w:val="24"/>
          <w:szCs w:val="24"/>
        </w:rPr>
      </w:pPr>
      <w:r w:rsidRPr="00AF6D9C">
        <w:rPr>
          <w:rFonts w:ascii="Times New Roman" w:hAnsi="Times New Roman" w:cs="Times New Roman"/>
          <w:sz w:val="24"/>
          <w:szCs w:val="24"/>
        </w:rPr>
        <w:t xml:space="preserve">The atorvastatin medication was acquired as a complimentary sample from </w:t>
      </w:r>
      <w:proofErr w:type="spellStart"/>
      <w:r w:rsidRPr="00AF6D9C">
        <w:rPr>
          <w:rFonts w:ascii="Times New Roman" w:hAnsi="Times New Roman" w:cs="Times New Roman"/>
          <w:sz w:val="24"/>
          <w:szCs w:val="24"/>
        </w:rPr>
        <w:t>Incepta</w:t>
      </w:r>
      <w:proofErr w:type="spellEnd"/>
      <w:r w:rsidRPr="00AF6D9C">
        <w:rPr>
          <w:rFonts w:ascii="Times New Roman" w:hAnsi="Times New Roman" w:cs="Times New Roman"/>
          <w:sz w:val="24"/>
          <w:szCs w:val="24"/>
        </w:rPr>
        <w:t xml:space="preserve"> Pharmaceuticals. Ethanol was purchased at the Taj Scientific store.</w:t>
      </w:r>
    </w:p>
    <w:p w14:paraId="38346AE9" w14:textId="580BE535" w:rsidR="00B7273C" w:rsidRPr="00AF6D9C" w:rsidRDefault="00B7273C" w:rsidP="00155329">
      <w:pPr>
        <w:spacing w:line="360" w:lineRule="auto"/>
        <w:jc w:val="both"/>
        <w:rPr>
          <w:rFonts w:ascii="Times New Roman" w:hAnsi="Times New Roman" w:cs="Times New Roman"/>
          <w:sz w:val="24"/>
          <w:szCs w:val="24"/>
        </w:rPr>
      </w:pPr>
      <w:r w:rsidRPr="00AF6D9C">
        <w:rPr>
          <w:rFonts w:ascii="Times New Roman" w:hAnsi="Times New Roman" w:cs="Times New Roman"/>
          <w:b/>
          <w:sz w:val="24"/>
          <w:szCs w:val="24"/>
        </w:rPr>
        <w:t>Experimental Animal Procurement, Nursing, and Grouping</w:t>
      </w:r>
    </w:p>
    <w:p w14:paraId="7B335486" w14:textId="6711E746" w:rsidR="002526E3" w:rsidRPr="00AF6D9C" w:rsidRDefault="009A23C9" w:rsidP="00155329">
      <w:pPr>
        <w:spacing w:before="240" w:after="0" w:line="360" w:lineRule="auto"/>
        <w:jc w:val="both"/>
        <w:rPr>
          <w:rFonts w:ascii="Times New Roman" w:eastAsia="Times New Roman" w:hAnsi="Times New Roman" w:cs="Times New Roman"/>
          <w:color w:val="000000"/>
          <w:sz w:val="24"/>
          <w:szCs w:val="24"/>
        </w:rPr>
      </w:pPr>
      <w:r w:rsidRPr="00AF6D9C">
        <w:rPr>
          <w:rFonts w:ascii="Times New Roman" w:eastAsia="Times New Roman" w:hAnsi="Times New Roman" w:cs="Times New Roman"/>
          <w:color w:val="000000"/>
          <w:sz w:val="24"/>
          <w:szCs w:val="24"/>
        </w:rPr>
        <w:t xml:space="preserve">Ninety male rats weighing 120 and 150 grams were obtained from Jahangirnagar University in Savar, Dhaka. The specimens were preserved in a regulated environment with a temperature range of 25±3°C, relative humidity of 55±5%, and a 12-hour light-dark cycle. The University of Dhaka's Institute of Nutrition and Food Science (INFS) offered this facility. The subjects received regular meals and were allowed to consume filtered water. Each animal was housed in this environment </w:t>
      </w:r>
      <w:r w:rsidRPr="00AF6D9C">
        <w:rPr>
          <w:rFonts w:ascii="Times New Roman" w:eastAsia="Times New Roman" w:hAnsi="Times New Roman" w:cs="Times New Roman"/>
          <w:color w:val="000000"/>
          <w:sz w:val="24"/>
          <w:szCs w:val="24"/>
        </w:rPr>
        <w:lastRenderedPageBreak/>
        <w:t>for at least one week before the study to observe their adaptation. The experimental protocols adhered to the guidelines the Institutional Animal Ethics Committee (IAEC) set forth. Ninety rats were randomly allocated into nine groups, each including ten rats.</w:t>
      </w:r>
    </w:p>
    <w:p w14:paraId="111DF26A" w14:textId="77777777" w:rsidR="00F770CB" w:rsidRPr="00AF6D9C" w:rsidRDefault="00F770CB" w:rsidP="00155329">
      <w:pPr>
        <w:spacing w:before="240" w:after="0" w:line="360" w:lineRule="auto"/>
        <w:jc w:val="both"/>
        <w:rPr>
          <w:rFonts w:ascii="Times New Roman" w:eastAsia="Times New Roman" w:hAnsi="Times New Roman" w:cs="Times New Roman"/>
          <w:color w:val="000000"/>
          <w:sz w:val="24"/>
          <w:szCs w:val="24"/>
        </w:rPr>
      </w:pPr>
    </w:p>
    <w:p w14:paraId="1733DDB1" w14:textId="2EBE8FD7" w:rsidR="002526E3" w:rsidRPr="00AF6D9C" w:rsidRDefault="00F37B27" w:rsidP="00155329">
      <w:pPr>
        <w:spacing w:line="360" w:lineRule="auto"/>
        <w:jc w:val="both"/>
        <w:rPr>
          <w:rFonts w:ascii="Times New Roman" w:hAnsi="Times New Roman" w:cs="Times New Roman"/>
          <w:b/>
          <w:sz w:val="24"/>
          <w:szCs w:val="24"/>
        </w:rPr>
      </w:pPr>
      <w:r>
        <w:rPr>
          <w:rFonts w:ascii="Times New Roman" w:hAnsi="Times New Roman" w:cs="Times New Roman"/>
          <w:b/>
          <w:sz w:val="24"/>
          <w:szCs w:val="24"/>
        </w:rPr>
        <w:t>Experimental D</w:t>
      </w:r>
      <w:r w:rsidR="00B7273C" w:rsidRPr="00AF6D9C">
        <w:rPr>
          <w:rFonts w:ascii="Times New Roman" w:hAnsi="Times New Roman" w:cs="Times New Roman"/>
          <w:b/>
          <w:sz w:val="24"/>
          <w:szCs w:val="24"/>
        </w:rPr>
        <w:t>esign</w:t>
      </w:r>
    </w:p>
    <w:p w14:paraId="5ED88C2B" w14:textId="53859283" w:rsidR="00B7273C" w:rsidRPr="00AF6D9C" w:rsidRDefault="002B0FF2" w:rsidP="00155329">
      <w:pPr>
        <w:spacing w:line="360" w:lineRule="auto"/>
        <w:jc w:val="both"/>
        <w:rPr>
          <w:rFonts w:ascii="Times New Roman" w:hAnsi="Times New Roman" w:cs="Times New Roman"/>
          <w:b/>
          <w:sz w:val="24"/>
          <w:szCs w:val="24"/>
        </w:rPr>
      </w:pPr>
      <w:r w:rsidRPr="00AF6D9C">
        <w:rPr>
          <w:rFonts w:ascii="Times New Roman" w:eastAsia="Times New Roman" w:hAnsi="Times New Roman" w:cs="Times New Roman"/>
          <w:color w:val="000000"/>
          <w:sz w:val="24"/>
          <w:szCs w:val="24"/>
        </w:rPr>
        <w:t xml:space="preserve">The investigation of atorvastatin's anti-hyperlipidemic efficacy is of significant importance. Rats were individually weighed and divided into nine groups, each with five rats. The allocation of the animals was based on their weight, as presented in </w:t>
      </w:r>
      <w:r w:rsidRPr="00AF6D9C">
        <w:rPr>
          <w:rFonts w:ascii="Times New Roman" w:eastAsia="Times New Roman" w:hAnsi="Times New Roman" w:cs="Times New Roman"/>
          <w:b/>
          <w:bCs/>
          <w:color w:val="000000"/>
          <w:sz w:val="24"/>
          <w:szCs w:val="24"/>
        </w:rPr>
        <w:t>Table 1</w:t>
      </w:r>
      <w:r w:rsidRPr="00AF6D9C">
        <w:rPr>
          <w:rFonts w:ascii="Times New Roman" w:eastAsia="Times New Roman" w:hAnsi="Times New Roman" w:cs="Times New Roman"/>
          <w:color w:val="000000"/>
          <w:sz w:val="24"/>
          <w:szCs w:val="24"/>
        </w:rPr>
        <w:t>. The atorvastatin control group, comprising rats administered atorvastatin alongside a high-fat diet, was designed to avoid the potential lethality of the medication if administered in isolation. The value of N/A indicates the existence or absence of a treatment in this group of rats.</w:t>
      </w:r>
    </w:p>
    <w:p w14:paraId="348634CC" w14:textId="693E30DE" w:rsidR="00B7273C" w:rsidRPr="00AF6D9C" w:rsidRDefault="00B7273C" w:rsidP="00155329">
      <w:pPr>
        <w:spacing w:after="120" w:line="360" w:lineRule="auto"/>
        <w:ind w:right="27"/>
        <w:jc w:val="both"/>
        <w:rPr>
          <w:rFonts w:ascii="Times New Roman" w:eastAsia="Times New Roman" w:hAnsi="Times New Roman" w:cs="Times New Roman"/>
          <w:b/>
          <w:sz w:val="24"/>
          <w:szCs w:val="24"/>
        </w:rPr>
      </w:pPr>
      <w:r w:rsidRPr="00AF6D9C">
        <w:rPr>
          <w:rFonts w:ascii="Times New Roman" w:eastAsia="Times New Roman" w:hAnsi="Times New Roman" w:cs="Times New Roman"/>
          <w:b/>
          <w:sz w:val="24"/>
          <w:szCs w:val="24"/>
        </w:rPr>
        <w:t xml:space="preserve">Table 1: </w:t>
      </w:r>
      <w:r w:rsidR="003C0688" w:rsidRPr="00AF6D9C">
        <w:rPr>
          <w:rFonts w:ascii="Times New Roman" w:eastAsia="Times New Roman" w:hAnsi="Times New Roman" w:cs="Times New Roman"/>
          <w:bCs/>
          <w:sz w:val="24"/>
          <w:szCs w:val="24"/>
        </w:rPr>
        <w:t>Anti-hyperlipidemic</w:t>
      </w:r>
      <w:r w:rsidRPr="00AF6D9C">
        <w:rPr>
          <w:rFonts w:ascii="Times New Roman" w:eastAsia="Times New Roman" w:hAnsi="Times New Roman" w:cs="Times New Roman"/>
          <w:bCs/>
          <w:sz w:val="24"/>
          <w:szCs w:val="24"/>
        </w:rPr>
        <w:t xml:space="preserve"> activity analysis</w:t>
      </w:r>
    </w:p>
    <w:tbl>
      <w:tblPr>
        <w:tblStyle w:val="TableGrid1"/>
        <w:tblW w:w="9360" w:type="dxa"/>
        <w:tblInd w:w="-5" w:type="dxa"/>
        <w:tblLook w:val="04A0" w:firstRow="1" w:lastRow="0" w:firstColumn="1" w:lastColumn="0" w:noHBand="0" w:noVBand="1"/>
      </w:tblPr>
      <w:tblGrid>
        <w:gridCol w:w="1193"/>
        <w:gridCol w:w="2790"/>
        <w:gridCol w:w="2953"/>
        <w:gridCol w:w="2424"/>
      </w:tblGrid>
      <w:tr w:rsidR="00B7273C" w:rsidRPr="00AF6D9C" w14:paraId="21D7AA98"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1BA45486"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Group number</w:t>
            </w:r>
          </w:p>
        </w:tc>
        <w:tc>
          <w:tcPr>
            <w:tcW w:w="2790" w:type="dxa"/>
            <w:tcBorders>
              <w:top w:val="single" w:sz="4" w:space="0" w:color="auto"/>
              <w:left w:val="single" w:sz="4" w:space="0" w:color="auto"/>
              <w:bottom w:val="single" w:sz="4" w:space="0" w:color="auto"/>
              <w:right w:val="single" w:sz="4" w:space="0" w:color="auto"/>
            </w:tcBorders>
            <w:hideMark/>
          </w:tcPr>
          <w:p w14:paraId="0A4B4710"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Group Status</w:t>
            </w:r>
          </w:p>
        </w:tc>
        <w:tc>
          <w:tcPr>
            <w:tcW w:w="2953" w:type="dxa"/>
            <w:tcBorders>
              <w:top w:val="single" w:sz="4" w:space="0" w:color="auto"/>
              <w:left w:val="single" w:sz="4" w:space="0" w:color="auto"/>
              <w:bottom w:val="single" w:sz="4" w:space="0" w:color="auto"/>
              <w:right w:val="single" w:sz="4" w:space="0" w:color="auto"/>
            </w:tcBorders>
            <w:hideMark/>
          </w:tcPr>
          <w:p w14:paraId="04F1F500"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Treatment specimen &amp; Dose</w:t>
            </w:r>
          </w:p>
        </w:tc>
        <w:tc>
          <w:tcPr>
            <w:tcW w:w="2424" w:type="dxa"/>
            <w:tcBorders>
              <w:top w:val="single" w:sz="4" w:space="0" w:color="auto"/>
              <w:left w:val="single" w:sz="4" w:space="0" w:color="auto"/>
              <w:bottom w:val="single" w:sz="4" w:space="0" w:color="auto"/>
              <w:right w:val="single" w:sz="4" w:space="0" w:color="auto"/>
            </w:tcBorders>
            <w:hideMark/>
          </w:tcPr>
          <w:p w14:paraId="5150BFB7"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Group Abbreviation</w:t>
            </w:r>
          </w:p>
        </w:tc>
      </w:tr>
      <w:tr w:rsidR="00B7273C" w:rsidRPr="00AF6D9C" w14:paraId="48E25F54"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69B85E43"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1</w:t>
            </w:r>
          </w:p>
        </w:tc>
        <w:tc>
          <w:tcPr>
            <w:tcW w:w="2790" w:type="dxa"/>
            <w:tcBorders>
              <w:top w:val="single" w:sz="4" w:space="0" w:color="auto"/>
              <w:left w:val="single" w:sz="4" w:space="0" w:color="auto"/>
              <w:bottom w:val="single" w:sz="4" w:space="0" w:color="auto"/>
              <w:right w:val="single" w:sz="4" w:space="0" w:color="auto"/>
            </w:tcBorders>
            <w:hideMark/>
          </w:tcPr>
          <w:p w14:paraId="6105106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Negative Control</w:t>
            </w:r>
          </w:p>
        </w:tc>
        <w:tc>
          <w:tcPr>
            <w:tcW w:w="2953" w:type="dxa"/>
            <w:tcBorders>
              <w:top w:val="single" w:sz="4" w:space="0" w:color="auto"/>
              <w:left w:val="single" w:sz="4" w:space="0" w:color="auto"/>
              <w:bottom w:val="single" w:sz="4" w:space="0" w:color="auto"/>
              <w:right w:val="single" w:sz="4" w:space="0" w:color="auto"/>
            </w:tcBorders>
            <w:hideMark/>
          </w:tcPr>
          <w:p w14:paraId="1A52EDA7"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Physiological Saline</w:t>
            </w:r>
          </w:p>
        </w:tc>
        <w:tc>
          <w:tcPr>
            <w:tcW w:w="2424" w:type="dxa"/>
            <w:tcBorders>
              <w:top w:val="single" w:sz="4" w:space="0" w:color="auto"/>
              <w:left w:val="single" w:sz="4" w:space="0" w:color="auto"/>
              <w:bottom w:val="single" w:sz="4" w:space="0" w:color="auto"/>
              <w:right w:val="single" w:sz="4" w:space="0" w:color="auto"/>
            </w:tcBorders>
            <w:hideMark/>
          </w:tcPr>
          <w:p w14:paraId="7A73D5EA"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N</w:t>
            </w:r>
          </w:p>
        </w:tc>
      </w:tr>
      <w:tr w:rsidR="00B7273C" w:rsidRPr="00AF6D9C" w14:paraId="3B8D33D0"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2F6FF3F5"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2</w:t>
            </w:r>
          </w:p>
        </w:tc>
        <w:tc>
          <w:tcPr>
            <w:tcW w:w="2790" w:type="dxa"/>
            <w:tcBorders>
              <w:top w:val="single" w:sz="4" w:space="0" w:color="auto"/>
              <w:left w:val="single" w:sz="4" w:space="0" w:color="auto"/>
              <w:bottom w:val="single" w:sz="4" w:space="0" w:color="auto"/>
              <w:right w:val="single" w:sz="4" w:space="0" w:color="auto"/>
            </w:tcBorders>
            <w:hideMark/>
          </w:tcPr>
          <w:p w14:paraId="74EEBAB1"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Control</w:t>
            </w:r>
          </w:p>
        </w:tc>
        <w:tc>
          <w:tcPr>
            <w:tcW w:w="2953" w:type="dxa"/>
            <w:tcBorders>
              <w:top w:val="single" w:sz="4" w:space="0" w:color="auto"/>
              <w:left w:val="single" w:sz="4" w:space="0" w:color="auto"/>
              <w:bottom w:val="single" w:sz="4" w:space="0" w:color="auto"/>
              <w:right w:val="single" w:sz="4" w:space="0" w:color="auto"/>
            </w:tcBorders>
            <w:hideMark/>
          </w:tcPr>
          <w:p w14:paraId="057D1D74"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High Fat Diet</w:t>
            </w:r>
          </w:p>
        </w:tc>
        <w:tc>
          <w:tcPr>
            <w:tcW w:w="2424" w:type="dxa"/>
            <w:tcBorders>
              <w:top w:val="single" w:sz="4" w:space="0" w:color="auto"/>
              <w:left w:val="single" w:sz="4" w:space="0" w:color="auto"/>
              <w:bottom w:val="single" w:sz="4" w:space="0" w:color="auto"/>
              <w:right w:val="single" w:sz="4" w:space="0" w:color="auto"/>
            </w:tcBorders>
            <w:hideMark/>
          </w:tcPr>
          <w:p w14:paraId="2BDF9613"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P</w:t>
            </w:r>
          </w:p>
        </w:tc>
      </w:tr>
      <w:tr w:rsidR="00B7273C" w:rsidRPr="00AF6D9C" w14:paraId="26625412"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33099565"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3</w:t>
            </w:r>
          </w:p>
        </w:tc>
        <w:tc>
          <w:tcPr>
            <w:tcW w:w="2790" w:type="dxa"/>
            <w:tcBorders>
              <w:top w:val="single" w:sz="4" w:space="0" w:color="auto"/>
              <w:left w:val="single" w:sz="4" w:space="0" w:color="auto"/>
              <w:bottom w:val="single" w:sz="4" w:space="0" w:color="auto"/>
              <w:right w:val="single" w:sz="4" w:space="0" w:color="auto"/>
            </w:tcBorders>
            <w:hideMark/>
          </w:tcPr>
          <w:p w14:paraId="11B50D93" w14:textId="2ED0B7A4" w:rsidR="00B7273C" w:rsidRPr="00AF6D9C" w:rsidRDefault="00F770CB"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High Fat Diet + A</w:t>
            </w:r>
            <w:r w:rsidR="00B7273C" w:rsidRPr="00AF6D9C">
              <w:rPr>
                <w:rFonts w:ascii="Times New Roman" w:hAnsi="Times New Roman"/>
                <w:sz w:val="24"/>
                <w:szCs w:val="24"/>
              </w:rPr>
              <w:t>V</w:t>
            </w:r>
            <w:r w:rsidR="00B7273C" w:rsidRPr="00AF6D9C">
              <w:rPr>
                <w:rFonts w:ascii="Times New Roman" w:hAnsi="Times New Roman"/>
                <w:sz w:val="24"/>
                <w:szCs w:val="24"/>
                <w:vertAlign w:val="subscript"/>
              </w:rPr>
              <w:t>10</w:t>
            </w:r>
          </w:p>
        </w:tc>
        <w:tc>
          <w:tcPr>
            <w:tcW w:w="2953" w:type="dxa"/>
            <w:tcBorders>
              <w:top w:val="single" w:sz="4" w:space="0" w:color="auto"/>
              <w:left w:val="single" w:sz="4" w:space="0" w:color="auto"/>
              <w:bottom w:val="single" w:sz="4" w:space="0" w:color="auto"/>
              <w:right w:val="single" w:sz="4" w:space="0" w:color="auto"/>
            </w:tcBorders>
            <w:hideMark/>
          </w:tcPr>
          <w:p w14:paraId="69D6779F"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High Fat Diet + </w:t>
            </w:r>
            <w:proofErr w:type="spellStart"/>
            <w:r w:rsidRPr="00AF6D9C">
              <w:rPr>
                <w:rFonts w:ascii="Times New Roman" w:hAnsi="Times New Roman"/>
                <w:sz w:val="24"/>
                <w:szCs w:val="24"/>
              </w:rPr>
              <w:t>Atrovastatin</w:t>
            </w:r>
            <w:proofErr w:type="spellEnd"/>
          </w:p>
        </w:tc>
        <w:tc>
          <w:tcPr>
            <w:tcW w:w="2424" w:type="dxa"/>
            <w:tcBorders>
              <w:top w:val="single" w:sz="4" w:space="0" w:color="auto"/>
              <w:left w:val="single" w:sz="4" w:space="0" w:color="auto"/>
              <w:bottom w:val="single" w:sz="4" w:space="0" w:color="auto"/>
              <w:right w:val="single" w:sz="4" w:space="0" w:color="auto"/>
            </w:tcBorders>
            <w:hideMark/>
          </w:tcPr>
          <w:p w14:paraId="63B809F1"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 ATV</w:t>
            </w:r>
          </w:p>
        </w:tc>
      </w:tr>
      <w:tr w:rsidR="00B7273C" w:rsidRPr="00AF6D9C" w14:paraId="58D9E404"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253FF123"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4</w:t>
            </w:r>
          </w:p>
        </w:tc>
        <w:tc>
          <w:tcPr>
            <w:tcW w:w="2790" w:type="dxa"/>
            <w:tcBorders>
              <w:top w:val="single" w:sz="4" w:space="0" w:color="auto"/>
              <w:left w:val="single" w:sz="4" w:space="0" w:color="auto"/>
              <w:bottom w:val="single" w:sz="4" w:space="0" w:color="auto"/>
              <w:right w:val="single" w:sz="4" w:space="0" w:color="auto"/>
            </w:tcBorders>
            <w:hideMark/>
          </w:tcPr>
          <w:p w14:paraId="211280D7" w14:textId="3E52C770" w:rsidR="00B7273C"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High Fat Diet </w:t>
            </w:r>
            <w:r w:rsidR="00B7273C" w:rsidRPr="00AF6D9C">
              <w:rPr>
                <w:rFonts w:ascii="Times New Roman" w:hAnsi="Times New Roman"/>
                <w:sz w:val="24"/>
                <w:szCs w:val="24"/>
              </w:rPr>
              <w:t xml:space="preserve">+ </w:t>
            </w: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hideMark/>
          </w:tcPr>
          <w:p w14:paraId="5DE589A0" w14:textId="4953D06E"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High Fat Diet</w:t>
            </w:r>
            <w:r w:rsidR="00F770CB" w:rsidRPr="00AF6D9C">
              <w:rPr>
                <w:rFonts w:ascii="Times New Roman" w:hAnsi="Times New Roman"/>
                <w:sz w:val="24"/>
                <w:szCs w:val="24"/>
              </w:rPr>
              <w:t xml:space="preserve"> + BC</w:t>
            </w:r>
            <w:r w:rsidRPr="00AF6D9C">
              <w:rPr>
                <w:rFonts w:ascii="Times New Roman" w:hAnsi="Times New Roman"/>
                <w:sz w:val="24"/>
                <w:szCs w:val="24"/>
                <w:vertAlign w:val="subscript"/>
              </w:rPr>
              <w:t>300</w:t>
            </w:r>
          </w:p>
        </w:tc>
        <w:tc>
          <w:tcPr>
            <w:tcW w:w="2424" w:type="dxa"/>
            <w:tcBorders>
              <w:top w:val="single" w:sz="4" w:space="0" w:color="auto"/>
              <w:left w:val="single" w:sz="4" w:space="0" w:color="auto"/>
              <w:bottom w:val="single" w:sz="4" w:space="0" w:color="auto"/>
              <w:right w:val="single" w:sz="4" w:space="0" w:color="auto"/>
            </w:tcBorders>
            <w:hideMark/>
          </w:tcPr>
          <w:p w14:paraId="49DDB0F1" w14:textId="1170F0F1" w:rsidR="00B7273C" w:rsidRPr="00AF6D9C" w:rsidRDefault="00B7273C" w:rsidP="00F770CB">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HFD + </w:t>
            </w:r>
            <w:r w:rsidR="00F770CB" w:rsidRPr="00AF6D9C">
              <w:rPr>
                <w:rFonts w:ascii="Times New Roman" w:hAnsi="Times New Roman"/>
                <w:sz w:val="24"/>
                <w:szCs w:val="24"/>
              </w:rPr>
              <w:t>BC</w:t>
            </w:r>
            <w:r w:rsidRPr="00AF6D9C">
              <w:rPr>
                <w:rFonts w:ascii="Times New Roman" w:hAnsi="Times New Roman"/>
                <w:sz w:val="24"/>
                <w:szCs w:val="24"/>
                <w:vertAlign w:val="subscript"/>
              </w:rPr>
              <w:t>300</w:t>
            </w:r>
          </w:p>
        </w:tc>
      </w:tr>
      <w:tr w:rsidR="00B7273C" w:rsidRPr="00AF6D9C" w14:paraId="1502D9CC"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3A0D5ED2"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5</w:t>
            </w:r>
          </w:p>
        </w:tc>
        <w:tc>
          <w:tcPr>
            <w:tcW w:w="2790" w:type="dxa"/>
            <w:tcBorders>
              <w:top w:val="single" w:sz="4" w:space="0" w:color="auto"/>
              <w:left w:val="single" w:sz="4" w:space="0" w:color="auto"/>
              <w:bottom w:val="single" w:sz="4" w:space="0" w:color="auto"/>
              <w:right w:val="single" w:sz="4" w:space="0" w:color="auto"/>
            </w:tcBorders>
            <w:hideMark/>
          </w:tcPr>
          <w:p w14:paraId="2DFB7150" w14:textId="027ECEA5" w:rsidR="00B7273C" w:rsidRPr="00AF6D9C" w:rsidRDefault="00B7273C" w:rsidP="00F770CB">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High Fat Diet + </w:t>
            </w:r>
            <w:r w:rsidR="00F770CB"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hideMark/>
          </w:tcPr>
          <w:p w14:paraId="2236C76E" w14:textId="24D2AB5C"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w:t>
            </w:r>
            <w:r w:rsidR="00F770CB" w:rsidRPr="00AF6D9C">
              <w:rPr>
                <w:rFonts w:ascii="Times New Roman" w:hAnsi="Times New Roman"/>
                <w:sz w:val="24"/>
                <w:szCs w:val="24"/>
              </w:rPr>
              <w:t>igh Fat Diet + BC</w:t>
            </w:r>
            <w:r w:rsidRPr="00AF6D9C">
              <w:rPr>
                <w:rFonts w:ascii="Times New Roman" w:hAnsi="Times New Roman"/>
                <w:sz w:val="24"/>
                <w:szCs w:val="24"/>
                <w:vertAlign w:val="subscript"/>
              </w:rPr>
              <w:t>600</w:t>
            </w:r>
          </w:p>
        </w:tc>
        <w:tc>
          <w:tcPr>
            <w:tcW w:w="2424" w:type="dxa"/>
            <w:tcBorders>
              <w:top w:val="single" w:sz="4" w:space="0" w:color="auto"/>
              <w:left w:val="single" w:sz="4" w:space="0" w:color="auto"/>
              <w:bottom w:val="single" w:sz="4" w:space="0" w:color="auto"/>
              <w:right w:val="single" w:sz="4" w:space="0" w:color="auto"/>
            </w:tcBorders>
            <w:hideMark/>
          </w:tcPr>
          <w:p w14:paraId="2A8D97BC" w14:textId="03096894" w:rsidR="00B7273C" w:rsidRPr="00AF6D9C" w:rsidRDefault="00F770CB"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 BC</w:t>
            </w:r>
            <w:r w:rsidR="00B7273C" w:rsidRPr="00AF6D9C">
              <w:rPr>
                <w:rFonts w:ascii="Times New Roman" w:hAnsi="Times New Roman"/>
                <w:sz w:val="24"/>
                <w:szCs w:val="24"/>
                <w:vertAlign w:val="subscript"/>
              </w:rPr>
              <w:t>600</w:t>
            </w:r>
          </w:p>
        </w:tc>
      </w:tr>
      <w:tr w:rsidR="00B7273C" w:rsidRPr="00AF6D9C" w14:paraId="200079A7"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296A1A10"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6</w:t>
            </w:r>
          </w:p>
        </w:tc>
        <w:tc>
          <w:tcPr>
            <w:tcW w:w="2790" w:type="dxa"/>
            <w:tcBorders>
              <w:top w:val="single" w:sz="4" w:space="0" w:color="auto"/>
              <w:left w:val="single" w:sz="4" w:space="0" w:color="auto"/>
              <w:bottom w:val="single" w:sz="4" w:space="0" w:color="auto"/>
              <w:right w:val="single" w:sz="4" w:space="0" w:color="auto"/>
            </w:tcBorders>
            <w:hideMark/>
          </w:tcPr>
          <w:p w14:paraId="66769F11" w14:textId="2C959B98" w:rsidR="00B7273C" w:rsidRPr="00AF6D9C" w:rsidRDefault="00B7273C" w:rsidP="00F770CB">
            <w:pPr>
              <w:spacing w:line="360" w:lineRule="auto"/>
              <w:ind w:right="27"/>
              <w:jc w:val="both"/>
              <w:rPr>
                <w:rFonts w:ascii="Times New Roman" w:hAnsi="Times New Roman"/>
                <w:sz w:val="24"/>
                <w:szCs w:val="24"/>
              </w:rPr>
            </w:pPr>
            <w:r w:rsidRPr="00AF6D9C">
              <w:rPr>
                <w:rFonts w:ascii="Times New Roman" w:hAnsi="Times New Roman"/>
                <w:sz w:val="24"/>
                <w:szCs w:val="24"/>
              </w:rPr>
              <w:t>High Fat Diet</w:t>
            </w:r>
            <w:r w:rsidR="00F770CB" w:rsidRPr="00AF6D9C">
              <w:rPr>
                <w:rFonts w:ascii="Times New Roman" w:hAnsi="Times New Roman"/>
                <w:sz w:val="24"/>
                <w:szCs w:val="24"/>
              </w:rPr>
              <w:t xml:space="preserve"> +</w:t>
            </w:r>
            <w:r w:rsidRPr="00AF6D9C">
              <w:rPr>
                <w:rFonts w:ascii="Times New Roman" w:hAnsi="Times New Roman"/>
                <w:sz w:val="24"/>
                <w:szCs w:val="24"/>
              </w:rPr>
              <w:t xml:space="preserve"> </w:t>
            </w:r>
            <w:r w:rsidR="00F770CB"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hideMark/>
          </w:tcPr>
          <w:p w14:paraId="6FC14569" w14:textId="5AFB2FEB"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w:t>
            </w:r>
            <w:r w:rsidR="00F770CB" w:rsidRPr="00AF6D9C">
              <w:rPr>
                <w:rFonts w:ascii="Times New Roman" w:hAnsi="Times New Roman"/>
                <w:sz w:val="24"/>
                <w:szCs w:val="24"/>
              </w:rPr>
              <w:t>igh Fat Diet + BC</w:t>
            </w:r>
            <w:r w:rsidRPr="00AF6D9C">
              <w:rPr>
                <w:rFonts w:ascii="Times New Roman" w:hAnsi="Times New Roman"/>
                <w:sz w:val="24"/>
                <w:szCs w:val="24"/>
                <w:vertAlign w:val="subscript"/>
              </w:rPr>
              <w:t>900</w:t>
            </w:r>
          </w:p>
        </w:tc>
        <w:tc>
          <w:tcPr>
            <w:tcW w:w="2424" w:type="dxa"/>
            <w:tcBorders>
              <w:top w:val="single" w:sz="4" w:space="0" w:color="auto"/>
              <w:left w:val="single" w:sz="4" w:space="0" w:color="auto"/>
              <w:bottom w:val="single" w:sz="4" w:space="0" w:color="auto"/>
              <w:right w:val="single" w:sz="4" w:space="0" w:color="auto"/>
            </w:tcBorders>
            <w:hideMark/>
          </w:tcPr>
          <w:p w14:paraId="6490BF1C" w14:textId="1455401F" w:rsidR="00B7273C" w:rsidRPr="00AF6D9C" w:rsidRDefault="00F770CB"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 BC</w:t>
            </w:r>
            <w:r w:rsidR="00B7273C" w:rsidRPr="00AF6D9C">
              <w:rPr>
                <w:rFonts w:ascii="Times New Roman" w:hAnsi="Times New Roman"/>
                <w:sz w:val="24"/>
                <w:szCs w:val="24"/>
                <w:vertAlign w:val="subscript"/>
              </w:rPr>
              <w:t>900</w:t>
            </w:r>
          </w:p>
        </w:tc>
      </w:tr>
      <w:tr w:rsidR="00F770CB" w:rsidRPr="00AF6D9C" w14:paraId="2F0C0B7F"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4D47C566" w14:textId="77777777" w:rsidR="00F770CB" w:rsidRPr="00AF6D9C" w:rsidRDefault="00F770CB"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7</w:t>
            </w:r>
          </w:p>
        </w:tc>
        <w:tc>
          <w:tcPr>
            <w:tcW w:w="2790" w:type="dxa"/>
            <w:tcBorders>
              <w:top w:val="single" w:sz="4" w:space="0" w:color="auto"/>
              <w:left w:val="single" w:sz="4" w:space="0" w:color="auto"/>
              <w:bottom w:val="single" w:sz="4" w:space="0" w:color="auto"/>
              <w:right w:val="single" w:sz="4" w:space="0" w:color="auto"/>
            </w:tcBorders>
            <w:hideMark/>
          </w:tcPr>
          <w:p w14:paraId="556CA9B4" w14:textId="183177AC" w:rsidR="00F770CB" w:rsidRPr="00AF6D9C" w:rsidRDefault="00F770CB" w:rsidP="00F770CB">
            <w:pPr>
              <w:spacing w:line="360" w:lineRule="auto"/>
              <w:jc w:val="both"/>
              <w:rPr>
                <w:rFonts w:ascii="Times New Roman" w:hAnsi="Times New Roman"/>
                <w:sz w:val="24"/>
                <w:szCs w:val="24"/>
              </w:rPr>
            </w:pP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tcPr>
          <w:p w14:paraId="44B73B74" w14:textId="6E855DA4"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300</w:t>
            </w:r>
          </w:p>
        </w:tc>
        <w:tc>
          <w:tcPr>
            <w:tcW w:w="2424" w:type="dxa"/>
            <w:tcBorders>
              <w:top w:val="single" w:sz="4" w:space="0" w:color="auto"/>
              <w:left w:val="single" w:sz="4" w:space="0" w:color="auto"/>
              <w:bottom w:val="single" w:sz="4" w:space="0" w:color="auto"/>
              <w:right w:val="single" w:sz="4" w:space="0" w:color="auto"/>
            </w:tcBorders>
            <w:hideMark/>
          </w:tcPr>
          <w:p w14:paraId="44709B8B" w14:textId="052EA7B3"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300</w:t>
            </w:r>
          </w:p>
        </w:tc>
      </w:tr>
      <w:tr w:rsidR="00F770CB" w:rsidRPr="00AF6D9C" w14:paraId="1000DEB9"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7C21E578" w14:textId="77777777" w:rsidR="00F770CB" w:rsidRPr="00AF6D9C" w:rsidRDefault="00F770CB"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8</w:t>
            </w:r>
          </w:p>
        </w:tc>
        <w:tc>
          <w:tcPr>
            <w:tcW w:w="2790" w:type="dxa"/>
            <w:tcBorders>
              <w:top w:val="single" w:sz="4" w:space="0" w:color="auto"/>
              <w:left w:val="single" w:sz="4" w:space="0" w:color="auto"/>
              <w:bottom w:val="single" w:sz="4" w:space="0" w:color="auto"/>
              <w:right w:val="single" w:sz="4" w:space="0" w:color="auto"/>
            </w:tcBorders>
            <w:hideMark/>
          </w:tcPr>
          <w:p w14:paraId="3B6D20BC" w14:textId="4B1B6DE3" w:rsidR="00F770CB" w:rsidRPr="00AF6D9C" w:rsidRDefault="00F770CB" w:rsidP="00F770CB">
            <w:pPr>
              <w:spacing w:line="360" w:lineRule="auto"/>
              <w:jc w:val="both"/>
              <w:rPr>
                <w:rFonts w:ascii="Times New Roman" w:hAnsi="Times New Roman"/>
                <w:sz w:val="24"/>
                <w:szCs w:val="24"/>
              </w:rPr>
            </w:pP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tcPr>
          <w:p w14:paraId="648D94C0" w14:textId="479F0A9B"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600</w:t>
            </w:r>
          </w:p>
        </w:tc>
        <w:tc>
          <w:tcPr>
            <w:tcW w:w="2424" w:type="dxa"/>
            <w:tcBorders>
              <w:top w:val="single" w:sz="4" w:space="0" w:color="auto"/>
              <w:left w:val="single" w:sz="4" w:space="0" w:color="auto"/>
              <w:bottom w:val="single" w:sz="4" w:space="0" w:color="auto"/>
              <w:right w:val="single" w:sz="4" w:space="0" w:color="auto"/>
            </w:tcBorders>
            <w:hideMark/>
          </w:tcPr>
          <w:p w14:paraId="26907C64" w14:textId="70212C7E"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600</w:t>
            </w:r>
          </w:p>
        </w:tc>
      </w:tr>
      <w:tr w:rsidR="00F770CB" w:rsidRPr="00AF6D9C" w14:paraId="761EE51D" w14:textId="77777777" w:rsidTr="00F770CB">
        <w:trPr>
          <w:trHeight w:val="440"/>
        </w:trPr>
        <w:tc>
          <w:tcPr>
            <w:tcW w:w="1193" w:type="dxa"/>
            <w:tcBorders>
              <w:top w:val="single" w:sz="4" w:space="0" w:color="auto"/>
              <w:left w:val="single" w:sz="4" w:space="0" w:color="auto"/>
              <w:bottom w:val="single" w:sz="4" w:space="0" w:color="auto"/>
              <w:right w:val="single" w:sz="4" w:space="0" w:color="auto"/>
            </w:tcBorders>
            <w:hideMark/>
          </w:tcPr>
          <w:p w14:paraId="0C6D233F" w14:textId="77777777" w:rsidR="00F770CB" w:rsidRPr="00AF6D9C" w:rsidRDefault="00F770CB"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9</w:t>
            </w:r>
          </w:p>
        </w:tc>
        <w:tc>
          <w:tcPr>
            <w:tcW w:w="2790" w:type="dxa"/>
            <w:tcBorders>
              <w:top w:val="single" w:sz="4" w:space="0" w:color="auto"/>
              <w:left w:val="single" w:sz="4" w:space="0" w:color="auto"/>
              <w:bottom w:val="single" w:sz="4" w:space="0" w:color="auto"/>
              <w:right w:val="single" w:sz="4" w:space="0" w:color="auto"/>
            </w:tcBorders>
            <w:hideMark/>
          </w:tcPr>
          <w:p w14:paraId="51EDD8AA" w14:textId="75310B96" w:rsidR="00F770CB" w:rsidRPr="00AF6D9C" w:rsidRDefault="00F770CB" w:rsidP="00F770CB">
            <w:pPr>
              <w:spacing w:line="360" w:lineRule="auto"/>
              <w:jc w:val="both"/>
              <w:rPr>
                <w:rFonts w:ascii="Times New Roman" w:hAnsi="Times New Roman"/>
                <w:sz w:val="24"/>
                <w:szCs w:val="24"/>
              </w:rPr>
            </w:pP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tcPr>
          <w:p w14:paraId="2C9DD51D" w14:textId="13D2BBEE"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900</w:t>
            </w:r>
          </w:p>
        </w:tc>
        <w:tc>
          <w:tcPr>
            <w:tcW w:w="2424" w:type="dxa"/>
            <w:tcBorders>
              <w:top w:val="single" w:sz="4" w:space="0" w:color="auto"/>
              <w:left w:val="single" w:sz="4" w:space="0" w:color="auto"/>
              <w:bottom w:val="single" w:sz="4" w:space="0" w:color="auto"/>
              <w:right w:val="single" w:sz="4" w:space="0" w:color="auto"/>
            </w:tcBorders>
            <w:hideMark/>
          </w:tcPr>
          <w:p w14:paraId="3E058DD4" w14:textId="0B1983FD"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900</w:t>
            </w:r>
          </w:p>
        </w:tc>
      </w:tr>
    </w:tbl>
    <w:p w14:paraId="24B4D01C" w14:textId="77777777" w:rsidR="00F770CB" w:rsidRPr="00AF6D9C" w:rsidRDefault="00F770CB" w:rsidP="00155329">
      <w:pPr>
        <w:spacing w:after="120" w:line="360" w:lineRule="auto"/>
        <w:ind w:right="27"/>
        <w:jc w:val="both"/>
        <w:rPr>
          <w:rFonts w:ascii="Times New Roman" w:eastAsia="Times New Roman" w:hAnsi="Times New Roman" w:cs="Times New Roman"/>
          <w:sz w:val="24"/>
          <w:szCs w:val="24"/>
        </w:rPr>
      </w:pPr>
    </w:p>
    <w:p w14:paraId="32B1DEA4" w14:textId="4B8E147D" w:rsidR="00B7273C" w:rsidRPr="00AF6D9C" w:rsidRDefault="00B7273C" w:rsidP="00155329">
      <w:pPr>
        <w:spacing w:after="120" w:line="360" w:lineRule="auto"/>
        <w:ind w:right="27"/>
        <w:jc w:val="both"/>
        <w:rPr>
          <w:rFonts w:ascii="Times New Roman" w:eastAsia="Times New Roman" w:hAnsi="Times New Roman" w:cs="Times New Roman"/>
          <w:sz w:val="24"/>
          <w:szCs w:val="24"/>
        </w:rPr>
      </w:pPr>
      <w:r w:rsidRPr="00AF6D9C">
        <w:rPr>
          <w:rFonts w:ascii="Times New Roman" w:eastAsia="Times New Roman" w:hAnsi="Times New Roman" w:cs="Times New Roman"/>
          <w:b/>
          <w:bCs/>
          <w:sz w:val="24"/>
          <w:szCs w:val="24"/>
        </w:rPr>
        <w:t>Table 2:</w:t>
      </w:r>
      <w:r w:rsidRPr="00AF6D9C">
        <w:rPr>
          <w:rFonts w:ascii="Times New Roman" w:eastAsia="Times New Roman" w:hAnsi="Times New Roman" w:cs="Times New Roman"/>
          <w:sz w:val="24"/>
          <w:szCs w:val="24"/>
        </w:rPr>
        <w:t xml:space="preserve"> Composition of high fat diet</w:t>
      </w:r>
    </w:p>
    <w:tbl>
      <w:tblPr>
        <w:tblStyle w:val="TableGrid1"/>
        <w:tblW w:w="9360" w:type="dxa"/>
        <w:tblInd w:w="-5" w:type="dxa"/>
        <w:tblLook w:val="04A0" w:firstRow="1" w:lastRow="0" w:firstColumn="1" w:lastColumn="0" w:noHBand="0" w:noVBand="1"/>
      </w:tblPr>
      <w:tblGrid>
        <w:gridCol w:w="4433"/>
        <w:gridCol w:w="4927"/>
      </w:tblGrid>
      <w:tr w:rsidR="00B7273C" w:rsidRPr="00AF6D9C" w14:paraId="69859345" w14:textId="77777777" w:rsidTr="00F770CB">
        <w:tc>
          <w:tcPr>
            <w:tcW w:w="4433" w:type="dxa"/>
            <w:tcBorders>
              <w:top w:val="single" w:sz="4" w:space="0" w:color="auto"/>
              <w:left w:val="single" w:sz="4" w:space="0" w:color="auto"/>
              <w:bottom w:val="single" w:sz="4" w:space="0" w:color="auto"/>
              <w:right w:val="single" w:sz="4" w:space="0" w:color="auto"/>
            </w:tcBorders>
            <w:hideMark/>
          </w:tcPr>
          <w:p w14:paraId="6CB6F7D7"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Food Ingredients</w:t>
            </w:r>
          </w:p>
        </w:tc>
        <w:tc>
          <w:tcPr>
            <w:tcW w:w="4927" w:type="dxa"/>
            <w:tcBorders>
              <w:top w:val="single" w:sz="4" w:space="0" w:color="auto"/>
              <w:left w:val="single" w:sz="4" w:space="0" w:color="auto"/>
              <w:bottom w:val="single" w:sz="4" w:space="0" w:color="auto"/>
              <w:right w:val="single" w:sz="4" w:space="0" w:color="auto"/>
            </w:tcBorders>
            <w:hideMark/>
          </w:tcPr>
          <w:p w14:paraId="424EF123"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Composition</w:t>
            </w:r>
          </w:p>
        </w:tc>
      </w:tr>
      <w:tr w:rsidR="00B7273C" w:rsidRPr="00AF6D9C" w14:paraId="169AAC10" w14:textId="77777777" w:rsidTr="00F770CB">
        <w:tc>
          <w:tcPr>
            <w:tcW w:w="4433" w:type="dxa"/>
            <w:tcBorders>
              <w:top w:val="single" w:sz="4" w:space="0" w:color="auto"/>
              <w:left w:val="single" w:sz="4" w:space="0" w:color="auto"/>
              <w:bottom w:val="single" w:sz="4" w:space="0" w:color="auto"/>
              <w:right w:val="single" w:sz="4" w:space="0" w:color="auto"/>
            </w:tcBorders>
          </w:tcPr>
          <w:p w14:paraId="446FA9D0" w14:textId="77777777" w:rsidR="00B7273C" w:rsidRPr="00AF6D9C" w:rsidRDefault="00B7273C" w:rsidP="005D6C91">
            <w:pPr>
              <w:spacing w:line="360" w:lineRule="auto"/>
              <w:ind w:right="27"/>
              <w:jc w:val="both"/>
              <w:rPr>
                <w:rFonts w:ascii="Times New Roman" w:hAnsi="Times New Roman"/>
                <w:sz w:val="24"/>
                <w:szCs w:val="24"/>
              </w:rPr>
            </w:pPr>
          </w:p>
          <w:p w14:paraId="0AD2720C" w14:textId="77777777" w:rsidR="00B7273C" w:rsidRPr="00AF6D9C" w:rsidRDefault="00B7273C" w:rsidP="005D6C91">
            <w:pPr>
              <w:spacing w:line="360" w:lineRule="auto"/>
              <w:ind w:right="27"/>
              <w:jc w:val="both"/>
              <w:rPr>
                <w:rFonts w:ascii="Times New Roman" w:hAnsi="Times New Roman"/>
                <w:sz w:val="24"/>
                <w:szCs w:val="24"/>
              </w:rPr>
            </w:pPr>
            <w:r w:rsidRPr="00AF6D9C">
              <w:rPr>
                <w:rFonts w:ascii="Times New Roman" w:hAnsi="Times New Roman"/>
                <w:sz w:val="24"/>
                <w:szCs w:val="24"/>
              </w:rPr>
              <w:t>Lipid (50%)</w:t>
            </w:r>
          </w:p>
        </w:tc>
        <w:tc>
          <w:tcPr>
            <w:tcW w:w="4927" w:type="dxa"/>
            <w:tcBorders>
              <w:top w:val="single" w:sz="4" w:space="0" w:color="auto"/>
              <w:left w:val="single" w:sz="4" w:space="0" w:color="auto"/>
              <w:bottom w:val="single" w:sz="4" w:space="0" w:color="auto"/>
              <w:right w:val="single" w:sz="4" w:space="0" w:color="auto"/>
            </w:tcBorders>
            <w:hideMark/>
          </w:tcPr>
          <w:p w14:paraId="466DF5E6"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Milk powder (10%)</w:t>
            </w:r>
          </w:p>
          <w:p w14:paraId="037F5399"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Ghee (30%)</w:t>
            </w:r>
          </w:p>
          <w:p w14:paraId="46B6BC4B"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lastRenderedPageBreak/>
              <w:t>Mutton fat (40%)</w:t>
            </w:r>
          </w:p>
          <w:p w14:paraId="6B626D6C"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Coconut oil (10%)</w:t>
            </w:r>
          </w:p>
          <w:p w14:paraId="3A0CC2D1"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Butter (10%)</w:t>
            </w:r>
          </w:p>
        </w:tc>
      </w:tr>
      <w:tr w:rsidR="00B7273C" w:rsidRPr="00AF6D9C" w14:paraId="3942654F" w14:textId="77777777" w:rsidTr="00F770CB">
        <w:tc>
          <w:tcPr>
            <w:tcW w:w="4433" w:type="dxa"/>
            <w:tcBorders>
              <w:top w:val="single" w:sz="4" w:space="0" w:color="auto"/>
              <w:left w:val="single" w:sz="4" w:space="0" w:color="auto"/>
              <w:bottom w:val="single" w:sz="4" w:space="0" w:color="auto"/>
              <w:right w:val="single" w:sz="4" w:space="0" w:color="auto"/>
            </w:tcBorders>
          </w:tcPr>
          <w:p w14:paraId="46C79703" w14:textId="77777777" w:rsidR="00B7273C" w:rsidRPr="00AF6D9C" w:rsidRDefault="00B7273C" w:rsidP="005D6C91">
            <w:pPr>
              <w:spacing w:line="360" w:lineRule="auto"/>
              <w:ind w:right="27"/>
              <w:jc w:val="both"/>
              <w:rPr>
                <w:rFonts w:ascii="Times New Roman" w:hAnsi="Times New Roman"/>
                <w:sz w:val="24"/>
                <w:szCs w:val="24"/>
              </w:rPr>
            </w:pPr>
          </w:p>
          <w:p w14:paraId="71F92694" w14:textId="77777777" w:rsidR="00B7273C" w:rsidRPr="00AF6D9C" w:rsidRDefault="00B7273C" w:rsidP="005D6C91">
            <w:pPr>
              <w:spacing w:line="360" w:lineRule="auto"/>
              <w:ind w:right="27"/>
              <w:jc w:val="both"/>
              <w:rPr>
                <w:rFonts w:ascii="Times New Roman" w:hAnsi="Times New Roman"/>
                <w:sz w:val="24"/>
                <w:szCs w:val="24"/>
              </w:rPr>
            </w:pPr>
            <w:r w:rsidRPr="00AF6D9C">
              <w:rPr>
                <w:rFonts w:ascii="Times New Roman" w:hAnsi="Times New Roman"/>
                <w:sz w:val="24"/>
                <w:szCs w:val="24"/>
              </w:rPr>
              <w:t>Carbohydrate (40%)</w:t>
            </w:r>
          </w:p>
        </w:tc>
        <w:tc>
          <w:tcPr>
            <w:tcW w:w="4927" w:type="dxa"/>
            <w:tcBorders>
              <w:top w:val="single" w:sz="4" w:space="0" w:color="auto"/>
              <w:left w:val="single" w:sz="4" w:space="0" w:color="auto"/>
              <w:bottom w:val="single" w:sz="4" w:space="0" w:color="auto"/>
              <w:right w:val="single" w:sz="4" w:space="0" w:color="auto"/>
            </w:tcBorders>
            <w:hideMark/>
          </w:tcPr>
          <w:p w14:paraId="7E49E97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Boiled rice (40%)</w:t>
            </w:r>
          </w:p>
          <w:p w14:paraId="748E2AB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Smashed potato (40%)</w:t>
            </w:r>
          </w:p>
          <w:p w14:paraId="0D094FAD"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Boiled corn (20%)</w:t>
            </w:r>
          </w:p>
        </w:tc>
      </w:tr>
      <w:tr w:rsidR="00B7273C" w:rsidRPr="00AF6D9C" w14:paraId="459027A6" w14:textId="77777777" w:rsidTr="00F770CB">
        <w:tc>
          <w:tcPr>
            <w:tcW w:w="4433" w:type="dxa"/>
            <w:tcBorders>
              <w:top w:val="single" w:sz="4" w:space="0" w:color="auto"/>
              <w:left w:val="single" w:sz="4" w:space="0" w:color="auto"/>
              <w:bottom w:val="single" w:sz="4" w:space="0" w:color="auto"/>
              <w:right w:val="single" w:sz="4" w:space="0" w:color="auto"/>
            </w:tcBorders>
          </w:tcPr>
          <w:p w14:paraId="433549C9" w14:textId="77777777" w:rsidR="00B7273C" w:rsidRPr="00AF6D9C" w:rsidRDefault="00B7273C" w:rsidP="005D6C91">
            <w:pPr>
              <w:spacing w:line="360" w:lineRule="auto"/>
              <w:ind w:right="27"/>
              <w:jc w:val="both"/>
              <w:rPr>
                <w:rFonts w:ascii="Times New Roman" w:hAnsi="Times New Roman"/>
                <w:sz w:val="24"/>
                <w:szCs w:val="24"/>
              </w:rPr>
            </w:pPr>
          </w:p>
          <w:p w14:paraId="6E5C85CC" w14:textId="77777777" w:rsidR="00B7273C" w:rsidRPr="00AF6D9C" w:rsidRDefault="00B7273C" w:rsidP="005D6C91">
            <w:pPr>
              <w:spacing w:line="360" w:lineRule="auto"/>
              <w:ind w:right="27"/>
              <w:jc w:val="both"/>
              <w:rPr>
                <w:rFonts w:ascii="Times New Roman" w:hAnsi="Times New Roman"/>
                <w:sz w:val="24"/>
                <w:szCs w:val="24"/>
              </w:rPr>
            </w:pPr>
            <w:r w:rsidRPr="00AF6D9C">
              <w:rPr>
                <w:rFonts w:ascii="Times New Roman" w:hAnsi="Times New Roman"/>
                <w:sz w:val="24"/>
                <w:szCs w:val="24"/>
              </w:rPr>
              <w:t>Protein (10%)</w:t>
            </w:r>
          </w:p>
        </w:tc>
        <w:tc>
          <w:tcPr>
            <w:tcW w:w="4927" w:type="dxa"/>
            <w:tcBorders>
              <w:top w:val="single" w:sz="4" w:space="0" w:color="auto"/>
              <w:left w:val="single" w:sz="4" w:space="0" w:color="auto"/>
              <w:bottom w:val="single" w:sz="4" w:space="0" w:color="auto"/>
              <w:right w:val="single" w:sz="4" w:space="0" w:color="auto"/>
            </w:tcBorders>
            <w:hideMark/>
          </w:tcPr>
          <w:p w14:paraId="6E85E4E2"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Dry powdered prone (40%)</w:t>
            </w:r>
          </w:p>
          <w:p w14:paraId="21AAA30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Dry boiled mutton (20%)</w:t>
            </w:r>
          </w:p>
          <w:p w14:paraId="2A3CC678"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Cheese (20%)</w:t>
            </w:r>
          </w:p>
          <w:p w14:paraId="7896A04A"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Egg (20%)</w:t>
            </w:r>
          </w:p>
        </w:tc>
      </w:tr>
    </w:tbl>
    <w:p w14:paraId="4B2125A0" w14:textId="02EE262E" w:rsidR="001121C7" w:rsidRPr="00AF6D9C" w:rsidRDefault="00B7273C" w:rsidP="00155329">
      <w:pPr>
        <w:spacing w:after="120" w:line="360" w:lineRule="auto"/>
        <w:ind w:right="27"/>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After mixing the ingredients thoroughly, the high fat diet was given to the rats to</w:t>
      </w:r>
      <w:r w:rsidR="009447E0">
        <w:rPr>
          <w:rFonts w:ascii="Times New Roman" w:eastAsia="Times New Roman" w:hAnsi="Times New Roman" w:cs="Times New Roman"/>
          <w:sz w:val="24"/>
          <w:szCs w:val="24"/>
        </w:rPr>
        <w:t xml:space="preserve"> induce obesity for 10 weeks [31</w:t>
      </w:r>
      <w:r w:rsidRPr="00AF6D9C">
        <w:rPr>
          <w:rFonts w:ascii="Times New Roman" w:eastAsia="Times New Roman" w:hAnsi="Times New Roman" w:cs="Times New Roman"/>
          <w:sz w:val="24"/>
          <w:szCs w:val="24"/>
        </w:rPr>
        <w:t>].</w:t>
      </w:r>
    </w:p>
    <w:p w14:paraId="790D9F36" w14:textId="77777777" w:rsidR="00F770CB" w:rsidRPr="00AF6D9C" w:rsidRDefault="00F770CB" w:rsidP="00155329">
      <w:pPr>
        <w:spacing w:after="120" w:line="360" w:lineRule="auto"/>
        <w:ind w:right="27"/>
        <w:jc w:val="both"/>
        <w:rPr>
          <w:rFonts w:ascii="Times New Roman" w:hAnsi="Times New Roman" w:cs="Times New Roman"/>
          <w:b/>
          <w:sz w:val="24"/>
          <w:szCs w:val="24"/>
        </w:rPr>
      </w:pPr>
    </w:p>
    <w:p w14:paraId="377EB58B" w14:textId="55DB7EB7" w:rsidR="00B7273C" w:rsidRPr="00AF6D9C" w:rsidRDefault="00F37B27" w:rsidP="00155329">
      <w:pPr>
        <w:spacing w:after="120" w:line="360" w:lineRule="auto"/>
        <w:ind w:right="27"/>
        <w:jc w:val="both"/>
        <w:rPr>
          <w:rFonts w:ascii="Times New Roman" w:hAnsi="Times New Roman" w:cs="Times New Roman"/>
          <w:b/>
          <w:sz w:val="24"/>
          <w:szCs w:val="24"/>
        </w:rPr>
      </w:pPr>
      <w:r>
        <w:rPr>
          <w:rFonts w:ascii="Times New Roman" w:hAnsi="Times New Roman" w:cs="Times New Roman"/>
          <w:b/>
          <w:sz w:val="24"/>
          <w:szCs w:val="24"/>
        </w:rPr>
        <w:t>Evaluation of A</w:t>
      </w:r>
      <w:r w:rsidR="00B7273C" w:rsidRPr="00AF6D9C">
        <w:rPr>
          <w:rFonts w:ascii="Times New Roman" w:hAnsi="Times New Roman" w:cs="Times New Roman"/>
          <w:b/>
          <w:sz w:val="24"/>
          <w:szCs w:val="24"/>
        </w:rPr>
        <w:t xml:space="preserve">nti-hyperlipidemic Activity </w:t>
      </w:r>
    </w:p>
    <w:p w14:paraId="6D658812" w14:textId="6B221ABD" w:rsidR="00CE2870" w:rsidRPr="00AF6D9C" w:rsidRDefault="00CE2870" w:rsidP="00155329">
      <w:pPr>
        <w:spacing w:after="120" w:line="360" w:lineRule="auto"/>
        <w:ind w:right="27"/>
        <w:jc w:val="both"/>
        <w:rPr>
          <w:rFonts w:ascii="Times New Roman" w:eastAsia="Times New Roman" w:hAnsi="Times New Roman" w:cs="Times New Roman"/>
          <w:sz w:val="24"/>
          <w:szCs w:val="24"/>
        </w:rPr>
      </w:pPr>
      <w:r w:rsidRPr="00AF6D9C">
        <w:rPr>
          <w:rFonts w:ascii="Times New Roman" w:hAnsi="Times New Roman" w:cs="Times New Roman"/>
          <w:b/>
          <w:sz w:val="24"/>
          <w:szCs w:val="24"/>
        </w:rPr>
        <w:t>Table 3:</w:t>
      </w:r>
      <w:r w:rsidRPr="00AF6D9C">
        <w:rPr>
          <w:rFonts w:ascii="Times New Roman" w:hAnsi="Times New Roman" w:cs="Times New Roman"/>
          <w:sz w:val="24"/>
          <w:szCs w:val="24"/>
        </w:rPr>
        <w:t xml:space="preserve"> Application of treatment efficacy</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019"/>
        <w:gridCol w:w="2216"/>
        <w:gridCol w:w="2153"/>
        <w:gridCol w:w="1897"/>
      </w:tblGrid>
      <w:tr w:rsidR="00B7273C" w:rsidRPr="00AF6D9C" w14:paraId="5D2CBBD4" w14:textId="77777777" w:rsidTr="005D6C91">
        <w:trPr>
          <w:trHeight w:val="620"/>
          <w:jc w:val="center"/>
        </w:trPr>
        <w:tc>
          <w:tcPr>
            <w:tcW w:w="1070" w:type="dxa"/>
          </w:tcPr>
          <w:p w14:paraId="13075F27"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Group Number</w:t>
            </w:r>
          </w:p>
        </w:tc>
        <w:tc>
          <w:tcPr>
            <w:tcW w:w="2019" w:type="dxa"/>
          </w:tcPr>
          <w:p w14:paraId="1CDA23DA"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Group Specification</w:t>
            </w:r>
          </w:p>
        </w:tc>
        <w:tc>
          <w:tcPr>
            <w:tcW w:w="2216" w:type="dxa"/>
          </w:tcPr>
          <w:p w14:paraId="779E1D03"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Treatment species</w:t>
            </w:r>
          </w:p>
        </w:tc>
        <w:tc>
          <w:tcPr>
            <w:tcW w:w="2153" w:type="dxa"/>
          </w:tcPr>
          <w:p w14:paraId="07CBEC7C"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Dose treatment species (mg/kg)</w:t>
            </w:r>
          </w:p>
        </w:tc>
        <w:tc>
          <w:tcPr>
            <w:tcW w:w="1897" w:type="dxa"/>
          </w:tcPr>
          <w:p w14:paraId="353C1635"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Abbreviation of Groups</w:t>
            </w:r>
          </w:p>
        </w:tc>
      </w:tr>
      <w:tr w:rsidR="00B7273C" w:rsidRPr="00AF6D9C" w14:paraId="28B55041" w14:textId="77777777" w:rsidTr="005D6C91">
        <w:trPr>
          <w:trHeight w:val="584"/>
          <w:jc w:val="center"/>
        </w:trPr>
        <w:tc>
          <w:tcPr>
            <w:tcW w:w="1070" w:type="dxa"/>
          </w:tcPr>
          <w:p w14:paraId="182EA649" w14:textId="77777777" w:rsidR="00B7273C" w:rsidRPr="00AF6D9C" w:rsidRDefault="00B7273C"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1</w:t>
            </w:r>
          </w:p>
        </w:tc>
        <w:tc>
          <w:tcPr>
            <w:tcW w:w="2019" w:type="dxa"/>
          </w:tcPr>
          <w:p w14:paraId="50ADF212" w14:textId="4FE7F1ED" w:rsidR="00B7273C" w:rsidRPr="00AF6D9C" w:rsidRDefault="00134431"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Negative C</w:t>
            </w:r>
            <w:r w:rsidR="00B7273C" w:rsidRPr="00AF6D9C">
              <w:rPr>
                <w:rFonts w:ascii="Times New Roman" w:hAnsi="Times New Roman" w:cs="Times New Roman"/>
                <w:sz w:val="24"/>
                <w:szCs w:val="24"/>
              </w:rPr>
              <w:t>ontrol</w:t>
            </w:r>
          </w:p>
        </w:tc>
        <w:tc>
          <w:tcPr>
            <w:tcW w:w="2216" w:type="dxa"/>
          </w:tcPr>
          <w:p w14:paraId="3C2C752E" w14:textId="75C7C3E2" w:rsidR="00B7273C" w:rsidRPr="00AF6D9C" w:rsidRDefault="00134431"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Physiological S</w:t>
            </w:r>
            <w:r w:rsidR="00B7273C" w:rsidRPr="00AF6D9C">
              <w:rPr>
                <w:rFonts w:ascii="Times New Roman" w:hAnsi="Times New Roman" w:cs="Times New Roman"/>
                <w:sz w:val="24"/>
                <w:szCs w:val="24"/>
              </w:rPr>
              <w:t>aline</w:t>
            </w:r>
          </w:p>
        </w:tc>
        <w:tc>
          <w:tcPr>
            <w:tcW w:w="2153" w:type="dxa"/>
          </w:tcPr>
          <w:p w14:paraId="10983AFC"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10 ml/kg</w:t>
            </w:r>
          </w:p>
        </w:tc>
        <w:tc>
          <w:tcPr>
            <w:tcW w:w="1897" w:type="dxa"/>
          </w:tcPr>
          <w:p w14:paraId="3B1B7DC9"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w:t>
            </w:r>
          </w:p>
        </w:tc>
      </w:tr>
      <w:tr w:rsidR="00B7273C" w:rsidRPr="00AF6D9C" w14:paraId="304BF26F" w14:textId="77777777" w:rsidTr="005D6C91">
        <w:trPr>
          <w:trHeight w:val="620"/>
          <w:jc w:val="center"/>
        </w:trPr>
        <w:tc>
          <w:tcPr>
            <w:tcW w:w="1070" w:type="dxa"/>
          </w:tcPr>
          <w:p w14:paraId="4ED484FC" w14:textId="77777777" w:rsidR="00B7273C" w:rsidRPr="00AF6D9C" w:rsidRDefault="00B7273C"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2</w:t>
            </w:r>
          </w:p>
        </w:tc>
        <w:tc>
          <w:tcPr>
            <w:tcW w:w="2019" w:type="dxa"/>
          </w:tcPr>
          <w:p w14:paraId="49FE9A4D"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High Fat</w:t>
            </w:r>
          </w:p>
        </w:tc>
        <w:tc>
          <w:tcPr>
            <w:tcW w:w="2216" w:type="dxa"/>
          </w:tcPr>
          <w:p w14:paraId="4772653F"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N/A</w:t>
            </w:r>
          </w:p>
        </w:tc>
        <w:tc>
          <w:tcPr>
            <w:tcW w:w="2153" w:type="dxa"/>
          </w:tcPr>
          <w:p w14:paraId="0AA30399"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N/A</w:t>
            </w:r>
          </w:p>
        </w:tc>
        <w:tc>
          <w:tcPr>
            <w:tcW w:w="1897" w:type="dxa"/>
          </w:tcPr>
          <w:p w14:paraId="2ACDB2AA"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p>
        </w:tc>
      </w:tr>
      <w:tr w:rsidR="00B7273C" w:rsidRPr="00AF6D9C" w14:paraId="2ABA04EA" w14:textId="77777777" w:rsidTr="005D6C91">
        <w:trPr>
          <w:trHeight w:val="620"/>
          <w:jc w:val="center"/>
        </w:trPr>
        <w:tc>
          <w:tcPr>
            <w:tcW w:w="1070" w:type="dxa"/>
          </w:tcPr>
          <w:p w14:paraId="6CA05B85" w14:textId="77777777" w:rsidR="00B7273C" w:rsidRPr="00AF6D9C" w:rsidRDefault="00B7273C"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3</w:t>
            </w:r>
          </w:p>
        </w:tc>
        <w:tc>
          <w:tcPr>
            <w:tcW w:w="2019" w:type="dxa"/>
          </w:tcPr>
          <w:p w14:paraId="5EE3FD4B" w14:textId="1C329A5E" w:rsidR="00B7273C" w:rsidRPr="00AF6D9C" w:rsidRDefault="00134431"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R</w:t>
            </w:r>
            <w:r w:rsidR="00B7273C" w:rsidRPr="00AF6D9C">
              <w:rPr>
                <w:rFonts w:ascii="Times New Roman" w:hAnsi="Times New Roman" w:cs="Times New Roman"/>
                <w:sz w:val="24"/>
                <w:szCs w:val="24"/>
              </w:rPr>
              <w:t>V</w:t>
            </w:r>
            <w:r w:rsidR="00B7273C" w:rsidRPr="00AF6D9C">
              <w:rPr>
                <w:rFonts w:ascii="Times New Roman" w:hAnsi="Times New Roman" w:cs="Times New Roman"/>
                <w:sz w:val="24"/>
                <w:szCs w:val="24"/>
                <w:vertAlign w:val="subscript"/>
              </w:rPr>
              <w:t>10</w:t>
            </w:r>
          </w:p>
        </w:tc>
        <w:tc>
          <w:tcPr>
            <w:tcW w:w="2216" w:type="dxa"/>
          </w:tcPr>
          <w:p w14:paraId="6B790960" w14:textId="77777777" w:rsidR="00B7273C" w:rsidRPr="00AF6D9C" w:rsidRDefault="00B7273C" w:rsidP="005D6C91">
            <w:pPr>
              <w:spacing w:after="0" w:line="360" w:lineRule="auto"/>
              <w:jc w:val="both"/>
              <w:rPr>
                <w:rFonts w:ascii="Times New Roman" w:hAnsi="Times New Roman" w:cs="Times New Roman"/>
                <w:sz w:val="24"/>
                <w:szCs w:val="24"/>
              </w:rPr>
            </w:pPr>
            <w:proofErr w:type="spellStart"/>
            <w:r w:rsidRPr="00AF6D9C">
              <w:rPr>
                <w:rFonts w:ascii="Times New Roman" w:hAnsi="Times New Roman" w:cs="Times New Roman"/>
                <w:sz w:val="24"/>
                <w:szCs w:val="24"/>
              </w:rPr>
              <w:t>Rovast</w:t>
            </w:r>
            <w:proofErr w:type="spellEnd"/>
            <w:r w:rsidRPr="00AF6D9C">
              <w:rPr>
                <w:rFonts w:ascii="Times New Roman" w:hAnsi="Times New Roman" w:cs="Times New Roman"/>
                <w:sz w:val="24"/>
                <w:szCs w:val="24"/>
              </w:rPr>
              <w:t xml:space="preserve"> 10mg/kg</w:t>
            </w:r>
          </w:p>
        </w:tc>
        <w:tc>
          <w:tcPr>
            <w:tcW w:w="2153" w:type="dxa"/>
          </w:tcPr>
          <w:p w14:paraId="1D698DA1"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10</w:t>
            </w:r>
          </w:p>
        </w:tc>
        <w:tc>
          <w:tcPr>
            <w:tcW w:w="1897" w:type="dxa"/>
          </w:tcPr>
          <w:p w14:paraId="756B26BD" w14:textId="7D102633" w:rsidR="00B7273C" w:rsidRPr="00AF6D9C" w:rsidRDefault="00134431" w:rsidP="005D6C91">
            <w:pPr>
              <w:spacing w:after="0" w:line="360" w:lineRule="auto"/>
              <w:jc w:val="both"/>
              <w:rPr>
                <w:rFonts w:ascii="Times New Roman" w:hAnsi="Times New Roman" w:cs="Times New Roman"/>
                <w:sz w:val="24"/>
                <w:szCs w:val="24"/>
                <w:vertAlign w:val="subscript"/>
              </w:rPr>
            </w:pPr>
            <w:r w:rsidRPr="00AF6D9C">
              <w:rPr>
                <w:rFonts w:ascii="Times New Roman" w:hAnsi="Times New Roman" w:cs="Times New Roman"/>
                <w:sz w:val="24"/>
                <w:szCs w:val="24"/>
              </w:rPr>
              <w:t>R</w:t>
            </w:r>
            <w:r w:rsidR="00307027" w:rsidRPr="00AF6D9C">
              <w:rPr>
                <w:rFonts w:ascii="Times New Roman" w:hAnsi="Times New Roman" w:cs="Times New Roman"/>
                <w:sz w:val="24"/>
                <w:szCs w:val="24"/>
              </w:rPr>
              <w:t>V</w:t>
            </w:r>
            <w:r w:rsidR="00B7273C" w:rsidRPr="00AF6D9C">
              <w:rPr>
                <w:rFonts w:ascii="Times New Roman" w:hAnsi="Times New Roman" w:cs="Times New Roman"/>
                <w:sz w:val="24"/>
                <w:szCs w:val="24"/>
                <w:vertAlign w:val="subscript"/>
              </w:rPr>
              <w:t>10</w:t>
            </w:r>
          </w:p>
        </w:tc>
      </w:tr>
      <w:tr w:rsidR="004D4532" w:rsidRPr="00AF6D9C" w14:paraId="6B5BC3EB" w14:textId="77777777" w:rsidTr="005D6C91">
        <w:trPr>
          <w:trHeight w:val="620"/>
          <w:jc w:val="center"/>
        </w:trPr>
        <w:tc>
          <w:tcPr>
            <w:tcW w:w="1070" w:type="dxa"/>
          </w:tcPr>
          <w:p w14:paraId="3D5B6059"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4</w:t>
            </w:r>
          </w:p>
        </w:tc>
        <w:tc>
          <w:tcPr>
            <w:tcW w:w="2019" w:type="dxa"/>
          </w:tcPr>
          <w:p w14:paraId="758BF9EA" w14:textId="2714E351"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Pr="00AF6D9C">
              <w:rPr>
                <w:rFonts w:ascii="Times New Roman" w:hAnsi="Times New Roman" w:cs="Times New Roman"/>
                <w:sz w:val="24"/>
                <w:szCs w:val="24"/>
                <w:vertAlign w:val="subscript"/>
              </w:rPr>
              <w:t xml:space="preserve"> </w:t>
            </w:r>
            <w:r w:rsidR="00F770CB"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00F770CB" w:rsidRPr="00AF6D9C">
              <w:rPr>
                <w:rFonts w:ascii="Times New Roman" w:hAnsi="Times New Roman" w:cs="Times New Roman"/>
                <w:sz w:val="24"/>
                <w:szCs w:val="24"/>
              </w:rPr>
              <w:t>BC</w:t>
            </w:r>
            <w:r w:rsidR="00A520CE" w:rsidRPr="00AF6D9C">
              <w:rPr>
                <w:rFonts w:ascii="Times New Roman" w:hAnsi="Times New Roman" w:cs="Times New Roman"/>
                <w:sz w:val="24"/>
                <w:szCs w:val="24"/>
                <w:vertAlign w:val="subscript"/>
              </w:rPr>
              <w:t>3</w:t>
            </w:r>
            <w:r w:rsidRPr="00AF6D9C">
              <w:rPr>
                <w:rFonts w:ascii="Times New Roman" w:hAnsi="Times New Roman" w:cs="Times New Roman"/>
                <w:sz w:val="24"/>
                <w:szCs w:val="24"/>
                <w:vertAlign w:val="subscript"/>
              </w:rPr>
              <w:t>00</w:t>
            </w:r>
          </w:p>
        </w:tc>
        <w:tc>
          <w:tcPr>
            <w:tcW w:w="2216" w:type="dxa"/>
          </w:tcPr>
          <w:p w14:paraId="15FF8012" w14:textId="0F9799E0" w:rsidR="004D4532" w:rsidRPr="00AF6D9C" w:rsidRDefault="00F770CB"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05E0E1F9"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300</w:t>
            </w:r>
          </w:p>
        </w:tc>
        <w:tc>
          <w:tcPr>
            <w:tcW w:w="1897" w:type="dxa"/>
          </w:tcPr>
          <w:p w14:paraId="1F49C01C" w14:textId="2A94BF13"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300</w:t>
            </w:r>
          </w:p>
        </w:tc>
      </w:tr>
      <w:tr w:rsidR="004D4532" w:rsidRPr="00AF6D9C" w14:paraId="3F9C0298" w14:textId="77777777" w:rsidTr="005D6C91">
        <w:trPr>
          <w:trHeight w:val="530"/>
          <w:jc w:val="center"/>
        </w:trPr>
        <w:tc>
          <w:tcPr>
            <w:tcW w:w="1070" w:type="dxa"/>
          </w:tcPr>
          <w:p w14:paraId="3A77EEBB"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5</w:t>
            </w:r>
          </w:p>
        </w:tc>
        <w:tc>
          <w:tcPr>
            <w:tcW w:w="2019" w:type="dxa"/>
          </w:tcPr>
          <w:p w14:paraId="260E4630" w14:textId="541FAF6A" w:rsidR="004D4532" w:rsidRPr="00AF6D9C" w:rsidRDefault="00F770CB"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800</w:t>
            </w:r>
          </w:p>
        </w:tc>
        <w:tc>
          <w:tcPr>
            <w:tcW w:w="2216" w:type="dxa"/>
          </w:tcPr>
          <w:p w14:paraId="0CA77981" w14:textId="164E0A83" w:rsidR="004D4532" w:rsidRPr="00AF6D9C" w:rsidRDefault="00F770CB"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0FED0A15"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600</w:t>
            </w:r>
          </w:p>
        </w:tc>
        <w:tc>
          <w:tcPr>
            <w:tcW w:w="1897" w:type="dxa"/>
          </w:tcPr>
          <w:p w14:paraId="13A86E4C" w14:textId="4EB262BD"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600</w:t>
            </w:r>
          </w:p>
        </w:tc>
      </w:tr>
      <w:tr w:rsidR="004D4532" w:rsidRPr="00AF6D9C" w14:paraId="31C730D9" w14:textId="77777777" w:rsidTr="005D6C91">
        <w:trPr>
          <w:trHeight w:val="620"/>
          <w:jc w:val="center"/>
        </w:trPr>
        <w:tc>
          <w:tcPr>
            <w:tcW w:w="1070" w:type="dxa"/>
          </w:tcPr>
          <w:p w14:paraId="5F1C68C5"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6</w:t>
            </w:r>
          </w:p>
        </w:tc>
        <w:tc>
          <w:tcPr>
            <w:tcW w:w="2019" w:type="dxa"/>
          </w:tcPr>
          <w:p w14:paraId="5FEC2874" w14:textId="3D997792" w:rsidR="004D4532" w:rsidRPr="00AF6D9C" w:rsidRDefault="00F770CB"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BC</w:t>
            </w:r>
            <w:r w:rsidR="00A520CE" w:rsidRPr="00AF6D9C">
              <w:rPr>
                <w:rFonts w:ascii="Times New Roman" w:hAnsi="Times New Roman" w:cs="Times New Roman"/>
                <w:sz w:val="24"/>
                <w:szCs w:val="24"/>
                <w:vertAlign w:val="subscript"/>
              </w:rPr>
              <w:t>9</w:t>
            </w:r>
            <w:r w:rsidR="004D4532" w:rsidRPr="00AF6D9C">
              <w:rPr>
                <w:rFonts w:ascii="Times New Roman" w:hAnsi="Times New Roman" w:cs="Times New Roman"/>
                <w:sz w:val="24"/>
                <w:szCs w:val="24"/>
                <w:vertAlign w:val="subscript"/>
              </w:rPr>
              <w:t>00</w:t>
            </w:r>
          </w:p>
        </w:tc>
        <w:tc>
          <w:tcPr>
            <w:tcW w:w="2216" w:type="dxa"/>
          </w:tcPr>
          <w:p w14:paraId="01D8D0A6" w14:textId="240D0BB5" w:rsidR="004D4532" w:rsidRPr="00AF6D9C" w:rsidRDefault="00F770CB"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75C90FFF"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900</w:t>
            </w:r>
          </w:p>
        </w:tc>
        <w:tc>
          <w:tcPr>
            <w:tcW w:w="1897" w:type="dxa"/>
          </w:tcPr>
          <w:p w14:paraId="3D77A379" w14:textId="373D06C5"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900</w:t>
            </w:r>
          </w:p>
        </w:tc>
      </w:tr>
      <w:tr w:rsidR="004D4532" w:rsidRPr="00AF6D9C" w14:paraId="556D3A27" w14:textId="77777777" w:rsidTr="005D6C91">
        <w:trPr>
          <w:trHeight w:val="593"/>
          <w:jc w:val="center"/>
        </w:trPr>
        <w:tc>
          <w:tcPr>
            <w:tcW w:w="1070" w:type="dxa"/>
          </w:tcPr>
          <w:p w14:paraId="41A9D125"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7</w:t>
            </w:r>
          </w:p>
        </w:tc>
        <w:tc>
          <w:tcPr>
            <w:tcW w:w="2019" w:type="dxa"/>
          </w:tcPr>
          <w:p w14:paraId="2AC949E4" w14:textId="2BE61E14"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300</w:t>
            </w:r>
          </w:p>
        </w:tc>
        <w:tc>
          <w:tcPr>
            <w:tcW w:w="2216" w:type="dxa"/>
          </w:tcPr>
          <w:p w14:paraId="07247451" w14:textId="3AC8BF8A" w:rsidR="004D4532" w:rsidRPr="00AF6D9C" w:rsidRDefault="00134431"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1C8EFBA7"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300</w:t>
            </w:r>
          </w:p>
        </w:tc>
        <w:tc>
          <w:tcPr>
            <w:tcW w:w="1897" w:type="dxa"/>
          </w:tcPr>
          <w:p w14:paraId="3459004C" w14:textId="4D373B64"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300</w:t>
            </w:r>
          </w:p>
        </w:tc>
      </w:tr>
      <w:tr w:rsidR="004D4532" w:rsidRPr="00AF6D9C" w14:paraId="2E9971AE" w14:textId="77777777" w:rsidTr="005D6C91">
        <w:trPr>
          <w:trHeight w:val="647"/>
          <w:jc w:val="center"/>
        </w:trPr>
        <w:tc>
          <w:tcPr>
            <w:tcW w:w="1070" w:type="dxa"/>
          </w:tcPr>
          <w:p w14:paraId="5A5CBC23"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8</w:t>
            </w:r>
          </w:p>
        </w:tc>
        <w:tc>
          <w:tcPr>
            <w:tcW w:w="2019" w:type="dxa"/>
          </w:tcPr>
          <w:p w14:paraId="32AA7FFB" w14:textId="0910A77C"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600</w:t>
            </w:r>
          </w:p>
        </w:tc>
        <w:tc>
          <w:tcPr>
            <w:tcW w:w="2216" w:type="dxa"/>
          </w:tcPr>
          <w:p w14:paraId="51FC7DEC" w14:textId="54DC9EB9" w:rsidR="004D4532" w:rsidRPr="00AF6D9C" w:rsidRDefault="00134431"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5E77BA59"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600</w:t>
            </w:r>
          </w:p>
        </w:tc>
        <w:tc>
          <w:tcPr>
            <w:tcW w:w="1897" w:type="dxa"/>
          </w:tcPr>
          <w:p w14:paraId="3234CC96" w14:textId="3F8AA71D"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600</w:t>
            </w:r>
          </w:p>
        </w:tc>
      </w:tr>
      <w:tr w:rsidR="004D4532" w:rsidRPr="00AF6D9C" w14:paraId="004246FC" w14:textId="77777777" w:rsidTr="005D6C91">
        <w:trPr>
          <w:trHeight w:val="593"/>
          <w:jc w:val="center"/>
        </w:trPr>
        <w:tc>
          <w:tcPr>
            <w:tcW w:w="1070" w:type="dxa"/>
          </w:tcPr>
          <w:p w14:paraId="4FAAFC39"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lastRenderedPageBreak/>
              <w:t>9</w:t>
            </w:r>
          </w:p>
        </w:tc>
        <w:tc>
          <w:tcPr>
            <w:tcW w:w="2019" w:type="dxa"/>
          </w:tcPr>
          <w:p w14:paraId="6D9AF2A4" w14:textId="2C26B05A"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900</w:t>
            </w:r>
          </w:p>
        </w:tc>
        <w:tc>
          <w:tcPr>
            <w:tcW w:w="2216" w:type="dxa"/>
          </w:tcPr>
          <w:p w14:paraId="6C5B78E8" w14:textId="280E6E09" w:rsidR="004D4532" w:rsidRPr="00AF6D9C" w:rsidRDefault="00134431"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0C3A5BE3"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900</w:t>
            </w:r>
          </w:p>
        </w:tc>
        <w:tc>
          <w:tcPr>
            <w:tcW w:w="1897" w:type="dxa"/>
          </w:tcPr>
          <w:p w14:paraId="35E3D3D4" w14:textId="08B81AC2"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900</w:t>
            </w:r>
          </w:p>
        </w:tc>
      </w:tr>
    </w:tbl>
    <w:p w14:paraId="0988C771" w14:textId="77777777" w:rsidR="00134431" w:rsidRPr="00AF6D9C" w:rsidRDefault="00B7273C" w:rsidP="00134431">
      <w:pPr>
        <w:spacing w:line="360" w:lineRule="auto"/>
        <w:jc w:val="both"/>
        <w:rPr>
          <w:rFonts w:ascii="Times New Roman" w:hAnsi="Times New Roman" w:cs="Times New Roman"/>
          <w:sz w:val="24"/>
          <w:szCs w:val="24"/>
        </w:rPr>
      </w:pPr>
      <w:r w:rsidRPr="00AF6D9C">
        <w:rPr>
          <w:rFonts w:ascii="Times New Roman" w:hAnsi="Times New Roman" w:cs="Times New Roman"/>
          <w:sz w:val="24"/>
          <w:szCs w:val="24"/>
        </w:rPr>
        <w:t xml:space="preserve"> For this experiment, 100 rats were randomly picked and equally divided into fourteen groups </w:t>
      </w:r>
      <w:r w:rsidRPr="00AF6D9C">
        <w:rPr>
          <w:rFonts w:ascii="Times New Roman" w:hAnsi="Times New Roman" w:cs="Times New Roman"/>
          <w:sz w:val="24"/>
          <w:szCs w:val="24"/>
        </w:rPr>
        <w:br/>
      </w:r>
    </w:p>
    <w:p w14:paraId="16FE9D30" w14:textId="39E1DF24" w:rsidR="00B7273C" w:rsidRPr="00AF6D9C" w:rsidRDefault="00F37B27" w:rsidP="00134431">
      <w:pPr>
        <w:spacing w:line="360" w:lineRule="auto"/>
        <w:jc w:val="both"/>
        <w:rPr>
          <w:rFonts w:ascii="Times New Roman" w:hAnsi="Times New Roman" w:cs="Times New Roman"/>
          <w:sz w:val="24"/>
          <w:szCs w:val="24"/>
        </w:rPr>
      </w:pPr>
      <w:r>
        <w:rPr>
          <w:rFonts w:ascii="Times New Roman" w:hAnsi="Times New Roman" w:cs="Times New Roman"/>
          <w:b/>
          <w:sz w:val="24"/>
          <w:szCs w:val="24"/>
        </w:rPr>
        <w:t>Statistical A</w:t>
      </w:r>
      <w:r w:rsidR="00B94AEB">
        <w:rPr>
          <w:rFonts w:ascii="Times New Roman" w:hAnsi="Times New Roman" w:cs="Times New Roman"/>
          <w:b/>
          <w:sz w:val="24"/>
          <w:szCs w:val="24"/>
        </w:rPr>
        <w:t>nalysis</w:t>
      </w:r>
    </w:p>
    <w:p w14:paraId="370FB23A" w14:textId="77777777" w:rsidR="00FA71EB" w:rsidRDefault="005D6C91" w:rsidP="00FA71EB">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The numerical parameters we collected were documented and analyzed on a spreadsheet using the widely used MS Excel application, demonstrating our practical approach to data analysis. The gathered data underwent descriptive statistical analysis, with results presented as the mean and standard deviation (SD). We utilized the 'One-way ANOVA test' function of SPSS 16 software to evaluate statistical significance in studying inter-group variability of various biological parameters. The events are deemed statistically significant as the 'p' value is below 0.05 (p &lt; 0.05).</w:t>
      </w:r>
    </w:p>
    <w:p w14:paraId="4252F64D" w14:textId="77777777" w:rsidR="00FA71EB" w:rsidRDefault="00FA71EB" w:rsidP="00FA71EB">
      <w:pPr>
        <w:spacing w:after="0" w:line="360" w:lineRule="auto"/>
        <w:jc w:val="both"/>
        <w:rPr>
          <w:rFonts w:ascii="Times New Roman" w:hAnsi="Times New Roman" w:cs="Times New Roman"/>
          <w:sz w:val="24"/>
          <w:szCs w:val="24"/>
        </w:rPr>
      </w:pPr>
    </w:p>
    <w:p w14:paraId="0F844226" w14:textId="7035282B" w:rsidR="009234BC" w:rsidRPr="00FA71EB" w:rsidRDefault="00B94AEB" w:rsidP="00FA71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Results and D</w:t>
      </w:r>
      <w:r w:rsidR="009234BC" w:rsidRPr="00AF6D9C">
        <w:rPr>
          <w:rFonts w:ascii="Times New Roman" w:hAnsi="Times New Roman" w:cs="Times New Roman"/>
          <w:b/>
          <w:sz w:val="24"/>
          <w:szCs w:val="24"/>
        </w:rPr>
        <w:t>iscussion</w:t>
      </w:r>
    </w:p>
    <w:p w14:paraId="70E08908" w14:textId="52F425D4" w:rsidR="00FF45DE" w:rsidRPr="00FA71EB" w:rsidRDefault="004919DB" w:rsidP="002B5279">
      <w:pPr>
        <w:spacing w:before="240" w:after="240" w:line="360" w:lineRule="auto"/>
        <w:jc w:val="both"/>
        <w:outlineLvl w:val="0"/>
        <w:rPr>
          <w:rFonts w:ascii="Times New Roman" w:eastAsia="Times New Roman" w:hAnsi="Times New Roman" w:cs="Times New Roman"/>
          <w:color w:val="000000"/>
          <w:kern w:val="36"/>
          <w:sz w:val="24"/>
          <w:szCs w:val="24"/>
        </w:rPr>
      </w:pPr>
      <w:r w:rsidRPr="00AF6D9C">
        <w:rPr>
          <w:rFonts w:ascii="Times New Roman" w:eastAsia="Times New Roman" w:hAnsi="Times New Roman" w:cs="Times New Roman"/>
          <w:color w:val="000000"/>
          <w:kern w:val="36"/>
          <w:sz w:val="24"/>
          <w:szCs w:val="24"/>
        </w:rPr>
        <w:t xml:space="preserve">Traditional medicine and ethnomedicine, encompassing the medicinal knowledge and practices of various ethnic communities, have been essential to human health care since antiquity. Historically, these systems have depended significantly on natural resources, especially plants and herbs, to prevent and treat several illnesses. Herbal treatments and </w:t>
      </w:r>
      <w:proofErr w:type="spellStart"/>
      <w:r w:rsidRPr="00AF6D9C">
        <w:rPr>
          <w:rFonts w:ascii="Times New Roman" w:eastAsia="Times New Roman" w:hAnsi="Times New Roman" w:cs="Times New Roman"/>
          <w:color w:val="000000"/>
          <w:kern w:val="36"/>
          <w:sz w:val="24"/>
          <w:szCs w:val="24"/>
        </w:rPr>
        <w:t>phytotherapeutic</w:t>
      </w:r>
      <w:proofErr w:type="spellEnd"/>
      <w:r w:rsidRPr="00AF6D9C">
        <w:rPr>
          <w:rFonts w:ascii="Times New Roman" w:eastAsia="Times New Roman" w:hAnsi="Times New Roman" w:cs="Times New Roman"/>
          <w:color w:val="000000"/>
          <w:kern w:val="36"/>
          <w:sz w:val="24"/>
          <w:szCs w:val="24"/>
        </w:rPr>
        <w:t xml:space="preserve"> preparations constituted the foundation of early medical techniques throughout various cultures and civilizations. Over time, botanical resources have not only endured but also played a crucial role in advancing contemporary pharmaceuticals, either via traditional formulations or by extracting bioactive chemicals. The sustained significan</w:t>
      </w:r>
      <w:r w:rsidR="006A6FB2">
        <w:rPr>
          <w:rFonts w:ascii="Times New Roman" w:eastAsia="Times New Roman" w:hAnsi="Times New Roman" w:cs="Times New Roman"/>
          <w:color w:val="000000"/>
          <w:kern w:val="36"/>
          <w:sz w:val="24"/>
          <w:szCs w:val="24"/>
        </w:rPr>
        <w:t>ce of these practices point</w:t>
      </w:r>
      <w:r w:rsidRPr="00AF6D9C">
        <w:rPr>
          <w:rFonts w:ascii="Times New Roman" w:eastAsia="Times New Roman" w:hAnsi="Times New Roman" w:cs="Times New Roman"/>
          <w:color w:val="000000"/>
          <w:kern w:val="36"/>
          <w:sz w:val="24"/>
          <w:szCs w:val="24"/>
        </w:rPr>
        <w:t>s</w:t>
      </w:r>
      <w:r w:rsidR="006A6FB2">
        <w:rPr>
          <w:rFonts w:ascii="Times New Roman" w:eastAsia="Times New Roman" w:hAnsi="Times New Roman" w:cs="Times New Roman"/>
          <w:color w:val="000000"/>
          <w:kern w:val="36"/>
          <w:sz w:val="24"/>
          <w:szCs w:val="24"/>
        </w:rPr>
        <w:t xml:space="preserve"> out</w:t>
      </w:r>
      <w:r w:rsidRPr="00AF6D9C">
        <w:rPr>
          <w:rFonts w:ascii="Times New Roman" w:eastAsia="Times New Roman" w:hAnsi="Times New Roman" w:cs="Times New Roman"/>
          <w:color w:val="000000"/>
          <w:kern w:val="36"/>
          <w:sz w:val="24"/>
          <w:szCs w:val="24"/>
        </w:rPr>
        <w:t xml:space="preserve"> the necessity for ongoing scientific investigation into plant-based medicines, which is crucial in validating their efficacy. This study assessed the impact of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kern w:val="36"/>
          <w:sz w:val="24"/>
          <w:szCs w:val="24"/>
        </w:rPr>
        <w:t xml:space="preserve"> extract on lipid profile markers in rats with diet-induced hyperlipidemia, seeking to explore its potential as a natural therapeutic agent for lipid diseases.</w:t>
      </w:r>
    </w:p>
    <w:p w14:paraId="1762FD51" w14:textId="34DF1E59" w:rsidR="009234BC" w:rsidRPr="00AF6D9C" w:rsidRDefault="00A520CE" w:rsidP="00155329">
      <w:pPr>
        <w:spacing w:line="360" w:lineRule="auto"/>
        <w:jc w:val="both"/>
        <w:rPr>
          <w:rFonts w:ascii="Times New Roman" w:eastAsia="Times New Roman" w:hAnsi="Times New Roman" w:cs="Times New Roman"/>
          <w:i/>
          <w:color w:val="000000"/>
          <w:sz w:val="24"/>
          <w:szCs w:val="24"/>
        </w:rPr>
      </w:pPr>
      <w:r w:rsidRPr="00AF6D9C">
        <w:rPr>
          <w:rFonts w:ascii="Times New Roman" w:hAnsi="Times New Roman" w:cs="Times New Roman"/>
          <w:b/>
          <w:sz w:val="24"/>
          <w:szCs w:val="24"/>
        </w:rPr>
        <w:t>Table 4:</w:t>
      </w:r>
      <w:r w:rsidRPr="00AF6D9C">
        <w:rPr>
          <w:rFonts w:ascii="Times New Roman" w:hAnsi="Times New Roman" w:cs="Times New Roman"/>
          <w:sz w:val="24"/>
          <w:szCs w:val="24"/>
        </w:rPr>
        <w:t xml:space="preserve"> </w:t>
      </w:r>
      <w:r w:rsidR="00FF45DE" w:rsidRPr="00AF6D9C">
        <w:rPr>
          <w:rFonts w:ascii="Times New Roman" w:hAnsi="Times New Roman" w:cs="Times New Roman"/>
          <w:sz w:val="24"/>
          <w:szCs w:val="24"/>
        </w:rPr>
        <w:t>Value</w:t>
      </w:r>
      <w:r w:rsidR="009F155D">
        <w:rPr>
          <w:rFonts w:ascii="Times New Roman" w:hAnsi="Times New Roman" w:cs="Times New Roman"/>
          <w:sz w:val="24"/>
          <w:szCs w:val="24"/>
        </w:rPr>
        <w:t>s of</w:t>
      </w:r>
      <w:r w:rsidR="00FF45DE" w:rsidRPr="00AF6D9C">
        <w:rPr>
          <w:rFonts w:ascii="Times New Roman" w:hAnsi="Times New Roman" w:cs="Times New Roman"/>
          <w:sz w:val="24"/>
          <w:szCs w:val="24"/>
        </w:rPr>
        <w:t xml:space="preserve"> different blood parameter</w:t>
      </w:r>
      <w:r w:rsidR="009F155D">
        <w:rPr>
          <w:rFonts w:ascii="Times New Roman" w:hAnsi="Times New Roman" w:cs="Times New Roman"/>
          <w:sz w:val="24"/>
          <w:szCs w:val="24"/>
        </w:rPr>
        <w:t>s</w:t>
      </w:r>
      <w:r w:rsidR="00FF45DE" w:rsidRPr="00AF6D9C">
        <w:rPr>
          <w:rFonts w:ascii="Times New Roman" w:hAnsi="Times New Roman" w:cs="Times New Roman"/>
          <w:sz w:val="24"/>
          <w:szCs w:val="24"/>
        </w:rPr>
        <w:t xml:space="preserve"> of Rodents belonged to different groups</w:t>
      </w:r>
    </w:p>
    <w:tbl>
      <w:tblPr>
        <w:tblStyle w:val="TableGrid"/>
        <w:tblW w:w="11700" w:type="dxa"/>
        <w:jc w:val="center"/>
        <w:tblLayout w:type="fixed"/>
        <w:tblLook w:val="04A0" w:firstRow="1" w:lastRow="0" w:firstColumn="1" w:lastColumn="0" w:noHBand="0" w:noVBand="1"/>
      </w:tblPr>
      <w:tblGrid>
        <w:gridCol w:w="1275"/>
        <w:gridCol w:w="1275"/>
        <w:gridCol w:w="1275"/>
        <w:gridCol w:w="1395"/>
        <w:gridCol w:w="1155"/>
        <w:gridCol w:w="1457"/>
        <w:gridCol w:w="1275"/>
        <w:gridCol w:w="1366"/>
        <w:gridCol w:w="1227"/>
      </w:tblGrid>
      <w:tr w:rsidR="001121C7" w:rsidRPr="00AF6D9C" w14:paraId="0109B521" w14:textId="77777777" w:rsidTr="005D6C91">
        <w:trPr>
          <w:trHeight w:val="374"/>
          <w:jc w:val="center"/>
        </w:trPr>
        <w:tc>
          <w:tcPr>
            <w:tcW w:w="1275" w:type="dxa"/>
          </w:tcPr>
          <w:p w14:paraId="4B9CDC60"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Groups</w:t>
            </w:r>
          </w:p>
        </w:tc>
        <w:tc>
          <w:tcPr>
            <w:tcW w:w="1275" w:type="dxa"/>
          </w:tcPr>
          <w:p w14:paraId="5BBF2172"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SGPT</w:t>
            </w:r>
          </w:p>
        </w:tc>
        <w:tc>
          <w:tcPr>
            <w:tcW w:w="1275" w:type="dxa"/>
          </w:tcPr>
          <w:p w14:paraId="4E72F2B2"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SGOT</w:t>
            </w:r>
          </w:p>
        </w:tc>
        <w:tc>
          <w:tcPr>
            <w:tcW w:w="1395" w:type="dxa"/>
          </w:tcPr>
          <w:p w14:paraId="2AD5802A"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Creatinine</w:t>
            </w:r>
          </w:p>
        </w:tc>
        <w:tc>
          <w:tcPr>
            <w:tcW w:w="1155" w:type="dxa"/>
          </w:tcPr>
          <w:p w14:paraId="5BA29B81"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Urea</w:t>
            </w:r>
          </w:p>
        </w:tc>
        <w:tc>
          <w:tcPr>
            <w:tcW w:w="1457" w:type="dxa"/>
          </w:tcPr>
          <w:p w14:paraId="08349250"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TC</w:t>
            </w:r>
          </w:p>
        </w:tc>
        <w:tc>
          <w:tcPr>
            <w:tcW w:w="1275" w:type="dxa"/>
          </w:tcPr>
          <w:p w14:paraId="63DDB07F"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HDL</w:t>
            </w:r>
          </w:p>
        </w:tc>
        <w:tc>
          <w:tcPr>
            <w:tcW w:w="1366" w:type="dxa"/>
          </w:tcPr>
          <w:p w14:paraId="4AC8E322"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LDL</w:t>
            </w:r>
          </w:p>
        </w:tc>
        <w:tc>
          <w:tcPr>
            <w:tcW w:w="1227" w:type="dxa"/>
          </w:tcPr>
          <w:p w14:paraId="17BE77E1"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TG</w:t>
            </w:r>
          </w:p>
        </w:tc>
      </w:tr>
      <w:tr w:rsidR="008A7D03" w:rsidRPr="00AF6D9C" w14:paraId="093DED13" w14:textId="77777777" w:rsidTr="005D6C91">
        <w:trPr>
          <w:trHeight w:val="374"/>
          <w:jc w:val="center"/>
        </w:trPr>
        <w:tc>
          <w:tcPr>
            <w:tcW w:w="1275" w:type="dxa"/>
          </w:tcPr>
          <w:p w14:paraId="6C7663EA" w14:textId="77777777"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NC</w:t>
            </w:r>
          </w:p>
        </w:tc>
        <w:tc>
          <w:tcPr>
            <w:tcW w:w="1275" w:type="dxa"/>
          </w:tcPr>
          <w:p w14:paraId="051D37D0"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33.49±3.42</w:t>
            </w:r>
          </w:p>
          <w:p w14:paraId="14E3F94E" w14:textId="39A108B1" w:rsidR="008A7D03" w:rsidRPr="00AF6D9C" w:rsidRDefault="008A7D03" w:rsidP="005D6C91">
            <w:pPr>
              <w:spacing w:line="360" w:lineRule="auto"/>
              <w:jc w:val="both"/>
              <w:rPr>
                <w:rFonts w:ascii="Times New Roman" w:hAnsi="Times New Roman" w:cs="Times New Roman"/>
                <w:sz w:val="24"/>
                <w:szCs w:val="24"/>
              </w:rPr>
            </w:pPr>
          </w:p>
        </w:tc>
        <w:tc>
          <w:tcPr>
            <w:tcW w:w="1275" w:type="dxa"/>
          </w:tcPr>
          <w:p w14:paraId="08DFD691" w14:textId="4CF2DC36"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37.52±3.51</w:t>
            </w:r>
          </w:p>
        </w:tc>
        <w:tc>
          <w:tcPr>
            <w:tcW w:w="1395" w:type="dxa"/>
          </w:tcPr>
          <w:p w14:paraId="0E37391E" w14:textId="1BF6DF8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0.63±0.19</w:t>
            </w:r>
          </w:p>
        </w:tc>
        <w:tc>
          <w:tcPr>
            <w:tcW w:w="1155" w:type="dxa"/>
          </w:tcPr>
          <w:p w14:paraId="7796EF77" w14:textId="68EB1F8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36.21±1.57</w:t>
            </w:r>
          </w:p>
        </w:tc>
        <w:tc>
          <w:tcPr>
            <w:tcW w:w="1457" w:type="dxa"/>
          </w:tcPr>
          <w:p w14:paraId="746D9194" w14:textId="1F2663A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128.29±5.04</w:t>
            </w:r>
          </w:p>
        </w:tc>
        <w:tc>
          <w:tcPr>
            <w:tcW w:w="1275" w:type="dxa"/>
          </w:tcPr>
          <w:p w14:paraId="2A76C398" w14:textId="1ECABC9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84.24±3.91</w:t>
            </w:r>
          </w:p>
        </w:tc>
        <w:tc>
          <w:tcPr>
            <w:tcW w:w="1366" w:type="dxa"/>
          </w:tcPr>
          <w:p w14:paraId="293A5631" w14:textId="62B0BC8C"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39.52±4.07</w:t>
            </w:r>
          </w:p>
        </w:tc>
        <w:tc>
          <w:tcPr>
            <w:tcW w:w="1227" w:type="dxa"/>
          </w:tcPr>
          <w:p w14:paraId="3E096394" w14:textId="313E37B4"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43.28±2.71</w:t>
            </w:r>
          </w:p>
        </w:tc>
      </w:tr>
      <w:tr w:rsidR="008A7D03" w:rsidRPr="00AF6D9C" w14:paraId="23D67DFA" w14:textId="77777777" w:rsidTr="005D6C91">
        <w:trPr>
          <w:trHeight w:val="759"/>
          <w:jc w:val="center"/>
        </w:trPr>
        <w:tc>
          <w:tcPr>
            <w:tcW w:w="1275" w:type="dxa"/>
          </w:tcPr>
          <w:p w14:paraId="27BCB03F" w14:textId="77777777"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lastRenderedPageBreak/>
              <w:t>HFD</w:t>
            </w:r>
          </w:p>
        </w:tc>
        <w:tc>
          <w:tcPr>
            <w:tcW w:w="1275" w:type="dxa"/>
          </w:tcPr>
          <w:p w14:paraId="0CC21929" w14:textId="3AEBBCF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85.35±7.83</w:t>
            </w:r>
          </w:p>
        </w:tc>
        <w:tc>
          <w:tcPr>
            <w:tcW w:w="1275" w:type="dxa"/>
          </w:tcPr>
          <w:p w14:paraId="0D4BFD2F" w14:textId="00BE5CD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88.24±8.24</w:t>
            </w:r>
          </w:p>
        </w:tc>
        <w:tc>
          <w:tcPr>
            <w:tcW w:w="1395" w:type="dxa"/>
          </w:tcPr>
          <w:p w14:paraId="373CABE6" w14:textId="21FCE55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3.02±0.82</w:t>
            </w:r>
          </w:p>
        </w:tc>
        <w:tc>
          <w:tcPr>
            <w:tcW w:w="1155" w:type="dxa"/>
          </w:tcPr>
          <w:p w14:paraId="2D9B5665" w14:textId="7DF74C1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97.08±7.93</w:t>
            </w:r>
          </w:p>
        </w:tc>
        <w:tc>
          <w:tcPr>
            <w:tcW w:w="1457" w:type="dxa"/>
          </w:tcPr>
          <w:p w14:paraId="3B4E313D" w14:textId="132FF68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229.73±9.50</w:t>
            </w:r>
          </w:p>
        </w:tc>
        <w:tc>
          <w:tcPr>
            <w:tcW w:w="1275" w:type="dxa"/>
          </w:tcPr>
          <w:p w14:paraId="41C3D51D" w14:textId="32105568"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47.53±5.04</w:t>
            </w:r>
          </w:p>
        </w:tc>
        <w:tc>
          <w:tcPr>
            <w:tcW w:w="1366" w:type="dxa"/>
          </w:tcPr>
          <w:p w14:paraId="10D39F37" w14:textId="37A9468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151.29±13.28</w:t>
            </w:r>
          </w:p>
        </w:tc>
        <w:tc>
          <w:tcPr>
            <w:tcW w:w="1227" w:type="dxa"/>
          </w:tcPr>
          <w:p w14:paraId="218FC71E" w14:textId="7402A6E4"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124.28±8.51</w:t>
            </w:r>
          </w:p>
        </w:tc>
      </w:tr>
      <w:tr w:rsidR="008A7D03" w:rsidRPr="00AF6D9C" w14:paraId="2C8FB613" w14:textId="77777777" w:rsidTr="005D6C91">
        <w:trPr>
          <w:trHeight w:val="440"/>
          <w:jc w:val="center"/>
        </w:trPr>
        <w:tc>
          <w:tcPr>
            <w:tcW w:w="1275" w:type="dxa"/>
          </w:tcPr>
          <w:p w14:paraId="76AB9C82" w14:textId="0F3227E6"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HFD+AV</w:t>
            </w:r>
            <w:r w:rsidRPr="00AF6D9C">
              <w:rPr>
                <w:rFonts w:ascii="Times New Roman" w:hAnsi="Times New Roman" w:cs="Times New Roman"/>
                <w:sz w:val="24"/>
                <w:szCs w:val="24"/>
                <w:vertAlign w:val="subscript"/>
              </w:rPr>
              <w:t>10</w:t>
            </w:r>
          </w:p>
        </w:tc>
        <w:tc>
          <w:tcPr>
            <w:tcW w:w="1275" w:type="dxa"/>
          </w:tcPr>
          <w:p w14:paraId="30A02C60" w14:textId="24C9657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52.57±6.91</w:t>
            </w:r>
          </w:p>
        </w:tc>
        <w:tc>
          <w:tcPr>
            <w:tcW w:w="1275" w:type="dxa"/>
          </w:tcPr>
          <w:p w14:paraId="0BD3302D" w14:textId="5D46BB7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57.18±5.29</w:t>
            </w:r>
          </w:p>
        </w:tc>
        <w:tc>
          <w:tcPr>
            <w:tcW w:w="1395" w:type="dxa"/>
          </w:tcPr>
          <w:p w14:paraId="3FEBE4E5" w14:textId="7D93466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1.47±0.37</w:t>
            </w:r>
          </w:p>
        </w:tc>
        <w:tc>
          <w:tcPr>
            <w:tcW w:w="1155" w:type="dxa"/>
          </w:tcPr>
          <w:p w14:paraId="57B90805" w14:textId="1601E79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62.50±6.71</w:t>
            </w:r>
          </w:p>
        </w:tc>
        <w:tc>
          <w:tcPr>
            <w:tcW w:w="1457" w:type="dxa"/>
          </w:tcPr>
          <w:p w14:paraId="621F6366"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158.25±7.91</w:t>
            </w:r>
          </w:p>
          <w:p w14:paraId="7075980E" w14:textId="706F5138" w:rsidR="008A7D03" w:rsidRPr="00AF6D9C" w:rsidRDefault="008A7D03" w:rsidP="005D6C91">
            <w:pPr>
              <w:spacing w:line="360" w:lineRule="auto"/>
              <w:jc w:val="both"/>
              <w:rPr>
                <w:rFonts w:ascii="Times New Roman" w:hAnsi="Times New Roman" w:cs="Times New Roman"/>
                <w:sz w:val="24"/>
                <w:szCs w:val="24"/>
              </w:rPr>
            </w:pPr>
          </w:p>
        </w:tc>
        <w:tc>
          <w:tcPr>
            <w:tcW w:w="1275" w:type="dxa"/>
          </w:tcPr>
          <w:p w14:paraId="6A575508" w14:textId="6935397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69.32±5.22</w:t>
            </w:r>
          </w:p>
        </w:tc>
        <w:tc>
          <w:tcPr>
            <w:tcW w:w="1366" w:type="dxa"/>
          </w:tcPr>
          <w:p w14:paraId="33660F2A" w14:textId="39E9616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127.58±10.29</w:t>
            </w:r>
          </w:p>
        </w:tc>
        <w:tc>
          <w:tcPr>
            <w:tcW w:w="1227" w:type="dxa"/>
          </w:tcPr>
          <w:p w14:paraId="6D609060" w14:textId="494B16A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65.19±6.99</w:t>
            </w:r>
          </w:p>
        </w:tc>
      </w:tr>
      <w:tr w:rsidR="008A7D03" w:rsidRPr="00AF6D9C" w14:paraId="6E516ED5" w14:textId="77777777" w:rsidTr="005D6C91">
        <w:trPr>
          <w:trHeight w:val="530"/>
          <w:jc w:val="center"/>
        </w:trPr>
        <w:tc>
          <w:tcPr>
            <w:tcW w:w="1275" w:type="dxa"/>
          </w:tcPr>
          <w:p w14:paraId="2048D2D7" w14:textId="0C8162C4"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HFD+BC</w:t>
            </w:r>
            <w:r w:rsidRPr="00AF6D9C">
              <w:rPr>
                <w:rFonts w:ascii="Times New Roman" w:hAnsi="Times New Roman" w:cs="Times New Roman"/>
                <w:sz w:val="24"/>
                <w:szCs w:val="24"/>
                <w:vertAlign w:val="subscript"/>
              </w:rPr>
              <w:t>300</w:t>
            </w:r>
          </w:p>
        </w:tc>
        <w:tc>
          <w:tcPr>
            <w:tcW w:w="1275" w:type="dxa"/>
          </w:tcPr>
          <w:p w14:paraId="24CD5713" w14:textId="60B08A7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83.27±5.89</w:t>
            </w:r>
          </w:p>
        </w:tc>
        <w:tc>
          <w:tcPr>
            <w:tcW w:w="1275" w:type="dxa"/>
          </w:tcPr>
          <w:p w14:paraId="74924CFD" w14:textId="6FBBC40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86.17±4.97</w:t>
            </w:r>
          </w:p>
        </w:tc>
        <w:tc>
          <w:tcPr>
            <w:tcW w:w="1395" w:type="dxa"/>
          </w:tcPr>
          <w:p w14:paraId="2BA084FD" w14:textId="115B21A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2.87±0.61</w:t>
            </w:r>
          </w:p>
        </w:tc>
        <w:tc>
          <w:tcPr>
            <w:tcW w:w="1155" w:type="dxa"/>
          </w:tcPr>
          <w:p w14:paraId="481ABA26" w14:textId="7025A0B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94.71±6.28</w:t>
            </w:r>
          </w:p>
        </w:tc>
        <w:tc>
          <w:tcPr>
            <w:tcW w:w="1457" w:type="dxa"/>
          </w:tcPr>
          <w:p w14:paraId="44640E49" w14:textId="6E9338B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220.54±7.25</w:t>
            </w:r>
          </w:p>
        </w:tc>
        <w:tc>
          <w:tcPr>
            <w:tcW w:w="1275" w:type="dxa"/>
          </w:tcPr>
          <w:p w14:paraId="4D84CF20" w14:textId="20F2985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48.50±6.01</w:t>
            </w:r>
          </w:p>
        </w:tc>
        <w:tc>
          <w:tcPr>
            <w:tcW w:w="1366" w:type="dxa"/>
          </w:tcPr>
          <w:p w14:paraId="7B0AD8D6" w14:textId="15CC45A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148.25±9.21</w:t>
            </w:r>
          </w:p>
        </w:tc>
        <w:tc>
          <w:tcPr>
            <w:tcW w:w="1227" w:type="dxa"/>
          </w:tcPr>
          <w:p w14:paraId="6A2D7E41" w14:textId="5899335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118.28±7.28</w:t>
            </w:r>
          </w:p>
        </w:tc>
      </w:tr>
      <w:tr w:rsidR="008A7D03" w:rsidRPr="00AF6D9C" w14:paraId="4F2F40C9" w14:textId="77777777" w:rsidTr="005D6C91">
        <w:trPr>
          <w:trHeight w:val="749"/>
          <w:jc w:val="center"/>
        </w:trPr>
        <w:tc>
          <w:tcPr>
            <w:tcW w:w="1275" w:type="dxa"/>
          </w:tcPr>
          <w:p w14:paraId="4515DECF" w14:textId="549ED2C6"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HFD+BC</w:t>
            </w:r>
            <w:r w:rsidRPr="00AF6D9C">
              <w:rPr>
                <w:rFonts w:ascii="Times New Roman" w:hAnsi="Times New Roman" w:cs="Times New Roman"/>
                <w:sz w:val="24"/>
                <w:szCs w:val="24"/>
                <w:vertAlign w:val="subscript"/>
              </w:rPr>
              <w:t>600</w:t>
            </w:r>
          </w:p>
        </w:tc>
        <w:tc>
          <w:tcPr>
            <w:tcW w:w="1275" w:type="dxa"/>
          </w:tcPr>
          <w:p w14:paraId="731187BC" w14:textId="0854883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80.62±7.01</w:t>
            </w:r>
          </w:p>
        </w:tc>
        <w:tc>
          <w:tcPr>
            <w:tcW w:w="1275" w:type="dxa"/>
          </w:tcPr>
          <w:p w14:paraId="02911DA7" w14:textId="2DFABBD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85.71±5.76</w:t>
            </w:r>
          </w:p>
        </w:tc>
        <w:tc>
          <w:tcPr>
            <w:tcW w:w="1395" w:type="dxa"/>
          </w:tcPr>
          <w:p w14:paraId="0704E560"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2.38±0.93</w:t>
            </w:r>
          </w:p>
          <w:p w14:paraId="142B47F1" w14:textId="61E0452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155" w:type="dxa"/>
          </w:tcPr>
          <w:p w14:paraId="73CABD1D"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90.27±6.41</w:t>
            </w:r>
          </w:p>
          <w:p w14:paraId="5B73ABD6" w14:textId="43C605B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457" w:type="dxa"/>
          </w:tcPr>
          <w:p w14:paraId="7F9425ED" w14:textId="1ED5DA7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221.53±9.02</w:t>
            </w:r>
          </w:p>
        </w:tc>
        <w:tc>
          <w:tcPr>
            <w:tcW w:w="1275" w:type="dxa"/>
          </w:tcPr>
          <w:p w14:paraId="717FF898" w14:textId="0D2B5F7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52.91±6.18</w:t>
            </w:r>
          </w:p>
        </w:tc>
        <w:tc>
          <w:tcPr>
            <w:tcW w:w="1366" w:type="dxa"/>
          </w:tcPr>
          <w:p w14:paraId="5570D707" w14:textId="53FA870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146.71±8.97</w:t>
            </w:r>
          </w:p>
        </w:tc>
        <w:tc>
          <w:tcPr>
            <w:tcW w:w="1227" w:type="dxa"/>
          </w:tcPr>
          <w:p w14:paraId="4D1B5B8E"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111.72±6.28</w:t>
            </w:r>
          </w:p>
          <w:p w14:paraId="64F61277" w14:textId="2D94370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r>
      <w:tr w:rsidR="008A7D03" w:rsidRPr="00AF6D9C" w14:paraId="41531EBD" w14:textId="77777777" w:rsidTr="005D6C91">
        <w:trPr>
          <w:trHeight w:val="759"/>
          <w:jc w:val="center"/>
        </w:trPr>
        <w:tc>
          <w:tcPr>
            <w:tcW w:w="1275" w:type="dxa"/>
          </w:tcPr>
          <w:p w14:paraId="62D54BE3" w14:textId="24018909"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HFD+BC</w:t>
            </w:r>
            <w:r w:rsidRPr="00AF6D9C">
              <w:rPr>
                <w:rFonts w:ascii="Times New Roman" w:hAnsi="Times New Roman" w:cs="Times New Roman"/>
                <w:sz w:val="24"/>
                <w:szCs w:val="24"/>
                <w:vertAlign w:val="subscript"/>
              </w:rPr>
              <w:t>900</w:t>
            </w:r>
          </w:p>
        </w:tc>
        <w:tc>
          <w:tcPr>
            <w:tcW w:w="1275" w:type="dxa"/>
          </w:tcPr>
          <w:p w14:paraId="2A0F8BE4"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77.82±6.21</w:t>
            </w:r>
          </w:p>
          <w:p w14:paraId="2BCD40BF" w14:textId="317671D6"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275" w:type="dxa"/>
          </w:tcPr>
          <w:p w14:paraId="27F9E793"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81.62±6.02</w:t>
            </w:r>
          </w:p>
          <w:p w14:paraId="7C39ADD5" w14:textId="3935BB2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395" w:type="dxa"/>
          </w:tcPr>
          <w:p w14:paraId="5D59D5AE"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1.96±0.87</w:t>
            </w:r>
          </w:p>
          <w:p w14:paraId="4BCECB66" w14:textId="5A67607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155" w:type="dxa"/>
          </w:tcPr>
          <w:p w14:paraId="4AED3A94"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87.47±7.04</w:t>
            </w:r>
          </w:p>
          <w:p w14:paraId="575DEE2E" w14:textId="09ED2F3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457" w:type="dxa"/>
          </w:tcPr>
          <w:p w14:paraId="49874AA7" w14:textId="6B37FBB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202.36±8.69</w:t>
            </w:r>
          </w:p>
        </w:tc>
        <w:tc>
          <w:tcPr>
            <w:tcW w:w="1275" w:type="dxa"/>
          </w:tcPr>
          <w:p w14:paraId="6647D0BE" w14:textId="5DC1371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57.91±3.30</w:t>
            </w:r>
          </w:p>
        </w:tc>
        <w:tc>
          <w:tcPr>
            <w:tcW w:w="1366" w:type="dxa"/>
          </w:tcPr>
          <w:p w14:paraId="6C1FEE53" w14:textId="586B0E1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143.95±9.91</w:t>
            </w:r>
          </w:p>
        </w:tc>
        <w:tc>
          <w:tcPr>
            <w:tcW w:w="1227" w:type="dxa"/>
          </w:tcPr>
          <w:p w14:paraId="1E08BD62"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103.41±9.02</w:t>
            </w:r>
          </w:p>
          <w:p w14:paraId="2006D62C" w14:textId="50562C72"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r>
      <w:tr w:rsidR="008A7D03" w:rsidRPr="00AF6D9C" w14:paraId="3A8CA72F" w14:textId="77777777" w:rsidTr="005D6C91">
        <w:trPr>
          <w:trHeight w:val="485"/>
          <w:jc w:val="center"/>
        </w:trPr>
        <w:tc>
          <w:tcPr>
            <w:tcW w:w="1275" w:type="dxa"/>
          </w:tcPr>
          <w:p w14:paraId="2CCF20D0" w14:textId="60CB0C60" w:rsidR="008A7D03" w:rsidRPr="00AF6D9C" w:rsidRDefault="008A7D03" w:rsidP="005D6C91">
            <w:pPr>
              <w:spacing w:after="120" w:line="360" w:lineRule="auto"/>
              <w:ind w:right="27"/>
              <w:jc w:val="center"/>
              <w:rPr>
                <w:rFonts w:ascii="Times New Roman" w:hAnsi="Times New Roman" w:cs="Times New Roman"/>
                <w:sz w:val="24"/>
                <w:szCs w:val="24"/>
              </w:rPr>
            </w:pPr>
            <w:r w:rsidRPr="00AF6D9C">
              <w:rPr>
                <w:rFonts w:ascii="Times New Roman" w:hAnsi="Times New Roman" w:cs="Times New Roman"/>
                <w:sz w:val="24"/>
                <w:szCs w:val="24"/>
              </w:rPr>
              <w:t>BC</w:t>
            </w:r>
            <w:r w:rsidRPr="00AF6D9C">
              <w:rPr>
                <w:rFonts w:ascii="Times New Roman" w:hAnsi="Times New Roman" w:cs="Times New Roman"/>
                <w:sz w:val="24"/>
                <w:szCs w:val="24"/>
                <w:vertAlign w:val="subscript"/>
              </w:rPr>
              <w:t>300</w:t>
            </w:r>
          </w:p>
        </w:tc>
        <w:tc>
          <w:tcPr>
            <w:tcW w:w="1275" w:type="dxa"/>
          </w:tcPr>
          <w:p w14:paraId="212A9179" w14:textId="14F3F512"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31.20±1.18</w:t>
            </w:r>
          </w:p>
        </w:tc>
        <w:tc>
          <w:tcPr>
            <w:tcW w:w="1275" w:type="dxa"/>
          </w:tcPr>
          <w:p w14:paraId="791B947D" w14:textId="6E0D7D5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35.25±4.62</w:t>
            </w:r>
          </w:p>
        </w:tc>
        <w:tc>
          <w:tcPr>
            <w:tcW w:w="1395" w:type="dxa"/>
          </w:tcPr>
          <w:p w14:paraId="321C6ED4" w14:textId="168E6F9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0.57±0.81</w:t>
            </w:r>
          </w:p>
        </w:tc>
        <w:tc>
          <w:tcPr>
            <w:tcW w:w="1155" w:type="dxa"/>
          </w:tcPr>
          <w:p w14:paraId="07D498C1" w14:textId="715BA66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34.34±2.08</w:t>
            </w:r>
          </w:p>
        </w:tc>
        <w:tc>
          <w:tcPr>
            <w:tcW w:w="1457" w:type="dxa"/>
          </w:tcPr>
          <w:p w14:paraId="01F4E082" w14:textId="640CBB1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125.08±4.71</w:t>
            </w:r>
          </w:p>
        </w:tc>
        <w:tc>
          <w:tcPr>
            <w:tcW w:w="1275" w:type="dxa"/>
          </w:tcPr>
          <w:p w14:paraId="2A559E24" w14:textId="5772B913"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82.70±4.05</w:t>
            </w:r>
          </w:p>
        </w:tc>
        <w:tc>
          <w:tcPr>
            <w:tcW w:w="1366" w:type="dxa"/>
          </w:tcPr>
          <w:p w14:paraId="31A0866D" w14:textId="6732E59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35.35±4.28</w:t>
            </w:r>
          </w:p>
        </w:tc>
        <w:tc>
          <w:tcPr>
            <w:tcW w:w="1227" w:type="dxa"/>
          </w:tcPr>
          <w:p w14:paraId="7651C8AE" w14:textId="269DD973"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47.50±3.21</w:t>
            </w:r>
          </w:p>
        </w:tc>
      </w:tr>
      <w:tr w:rsidR="008A7D03" w:rsidRPr="00AF6D9C" w14:paraId="4EE5B421" w14:textId="77777777" w:rsidTr="005D6C91">
        <w:trPr>
          <w:trHeight w:val="495"/>
          <w:jc w:val="center"/>
        </w:trPr>
        <w:tc>
          <w:tcPr>
            <w:tcW w:w="1275" w:type="dxa"/>
          </w:tcPr>
          <w:p w14:paraId="40F6862C" w14:textId="566261C2" w:rsidR="008A7D03" w:rsidRPr="00AF6D9C" w:rsidRDefault="008A7D03" w:rsidP="005D6C91">
            <w:pPr>
              <w:spacing w:after="120" w:line="360" w:lineRule="auto"/>
              <w:ind w:right="27"/>
              <w:jc w:val="center"/>
              <w:rPr>
                <w:rFonts w:ascii="Times New Roman" w:hAnsi="Times New Roman" w:cs="Times New Roman"/>
                <w:sz w:val="24"/>
                <w:szCs w:val="24"/>
              </w:rPr>
            </w:pPr>
            <w:r w:rsidRPr="00AF6D9C">
              <w:rPr>
                <w:rFonts w:ascii="Times New Roman" w:hAnsi="Times New Roman" w:cs="Times New Roman"/>
                <w:sz w:val="24"/>
                <w:szCs w:val="24"/>
              </w:rPr>
              <w:t>BC</w:t>
            </w:r>
            <w:r w:rsidRPr="00AF6D9C">
              <w:rPr>
                <w:rFonts w:ascii="Times New Roman" w:hAnsi="Times New Roman" w:cs="Times New Roman"/>
                <w:sz w:val="24"/>
                <w:szCs w:val="24"/>
                <w:vertAlign w:val="subscript"/>
              </w:rPr>
              <w:t>600</w:t>
            </w:r>
          </w:p>
        </w:tc>
        <w:tc>
          <w:tcPr>
            <w:tcW w:w="1275" w:type="dxa"/>
          </w:tcPr>
          <w:p w14:paraId="4C86267E" w14:textId="10ABC83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33.41±2.91</w:t>
            </w:r>
          </w:p>
        </w:tc>
        <w:tc>
          <w:tcPr>
            <w:tcW w:w="1275" w:type="dxa"/>
          </w:tcPr>
          <w:p w14:paraId="517F87D0" w14:textId="292D1C6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33.21±2.07</w:t>
            </w:r>
          </w:p>
        </w:tc>
        <w:tc>
          <w:tcPr>
            <w:tcW w:w="1395" w:type="dxa"/>
          </w:tcPr>
          <w:p w14:paraId="248A20D0" w14:textId="42A88D1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0.67±0.53</w:t>
            </w:r>
          </w:p>
        </w:tc>
        <w:tc>
          <w:tcPr>
            <w:tcW w:w="1155" w:type="dxa"/>
          </w:tcPr>
          <w:p w14:paraId="621994C4" w14:textId="573A739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37.91±3.25</w:t>
            </w:r>
          </w:p>
        </w:tc>
        <w:tc>
          <w:tcPr>
            <w:tcW w:w="1457" w:type="dxa"/>
          </w:tcPr>
          <w:p w14:paraId="0A6D0ECE" w14:textId="7872455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129.90±6.05</w:t>
            </w:r>
          </w:p>
        </w:tc>
        <w:tc>
          <w:tcPr>
            <w:tcW w:w="1275" w:type="dxa"/>
          </w:tcPr>
          <w:p w14:paraId="14DDA205" w14:textId="52DA3B3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80.80±3.81</w:t>
            </w:r>
          </w:p>
        </w:tc>
        <w:tc>
          <w:tcPr>
            <w:tcW w:w="1366" w:type="dxa"/>
          </w:tcPr>
          <w:p w14:paraId="159D619A" w14:textId="191ECAD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38.77±3.78</w:t>
            </w:r>
          </w:p>
        </w:tc>
        <w:tc>
          <w:tcPr>
            <w:tcW w:w="1227" w:type="dxa"/>
          </w:tcPr>
          <w:p w14:paraId="51B604DF" w14:textId="4D590288"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44.19±1.91</w:t>
            </w:r>
          </w:p>
        </w:tc>
      </w:tr>
      <w:tr w:rsidR="008A7D03" w:rsidRPr="00AF6D9C" w14:paraId="10C1B6CD" w14:textId="77777777" w:rsidTr="005D6C91">
        <w:trPr>
          <w:trHeight w:val="266"/>
          <w:jc w:val="center"/>
        </w:trPr>
        <w:tc>
          <w:tcPr>
            <w:tcW w:w="1275" w:type="dxa"/>
          </w:tcPr>
          <w:p w14:paraId="5D3C3D03" w14:textId="1C21D56D" w:rsidR="008A7D03" w:rsidRPr="00AF6D9C" w:rsidRDefault="008A7D03" w:rsidP="005D6C91">
            <w:pPr>
              <w:spacing w:after="120" w:line="360" w:lineRule="auto"/>
              <w:ind w:right="27"/>
              <w:jc w:val="center"/>
              <w:rPr>
                <w:rFonts w:ascii="Times New Roman" w:hAnsi="Times New Roman" w:cs="Times New Roman"/>
                <w:sz w:val="24"/>
                <w:szCs w:val="24"/>
              </w:rPr>
            </w:pPr>
            <w:r w:rsidRPr="00AF6D9C">
              <w:rPr>
                <w:rFonts w:ascii="Times New Roman" w:hAnsi="Times New Roman" w:cs="Times New Roman"/>
                <w:sz w:val="24"/>
                <w:szCs w:val="24"/>
              </w:rPr>
              <w:t>BC</w:t>
            </w:r>
            <w:r w:rsidRPr="00AF6D9C">
              <w:rPr>
                <w:rFonts w:ascii="Times New Roman" w:hAnsi="Times New Roman" w:cs="Times New Roman"/>
                <w:sz w:val="24"/>
                <w:szCs w:val="24"/>
                <w:vertAlign w:val="subscript"/>
              </w:rPr>
              <w:t>900</w:t>
            </w:r>
          </w:p>
        </w:tc>
        <w:tc>
          <w:tcPr>
            <w:tcW w:w="1275" w:type="dxa"/>
          </w:tcPr>
          <w:p w14:paraId="6AFD92EC" w14:textId="6AC3067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34.28±3.76</w:t>
            </w:r>
          </w:p>
        </w:tc>
        <w:tc>
          <w:tcPr>
            <w:tcW w:w="1275" w:type="dxa"/>
          </w:tcPr>
          <w:p w14:paraId="1CFA6B16" w14:textId="56DC65D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35.35±3.08</w:t>
            </w:r>
          </w:p>
        </w:tc>
        <w:tc>
          <w:tcPr>
            <w:tcW w:w="1395" w:type="dxa"/>
          </w:tcPr>
          <w:p w14:paraId="4DEAEE81" w14:textId="603AC13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0.66±0.48</w:t>
            </w:r>
          </w:p>
        </w:tc>
        <w:tc>
          <w:tcPr>
            <w:tcW w:w="1155" w:type="dxa"/>
          </w:tcPr>
          <w:p w14:paraId="48CC9797" w14:textId="49124C7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36.17±2.93</w:t>
            </w:r>
          </w:p>
        </w:tc>
        <w:tc>
          <w:tcPr>
            <w:tcW w:w="1457" w:type="dxa"/>
          </w:tcPr>
          <w:p w14:paraId="6BE055B1" w14:textId="5E0C5F0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132.22±5.05</w:t>
            </w:r>
          </w:p>
        </w:tc>
        <w:tc>
          <w:tcPr>
            <w:tcW w:w="1275" w:type="dxa"/>
          </w:tcPr>
          <w:p w14:paraId="18445F57" w14:textId="1BA560D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82.96±4.76</w:t>
            </w:r>
          </w:p>
        </w:tc>
        <w:tc>
          <w:tcPr>
            <w:tcW w:w="1366" w:type="dxa"/>
          </w:tcPr>
          <w:p w14:paraId="120A3FC9" w14:textId="327FCEE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34.25±4.13</w:t>
            </w:r>
          </w:p>
        </w:tc>
        <w:tc>
          <w:tcPr>
            <w:tcW w:w="1227" w:type="dxa"/>
          </w:tcPr>
          <w:p w14:paraId="2E3DB7D2" w14:textId="6C3218E3"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45.41±2.38</w:t>
            </w:r>
          </w:p>
        </w:tc>
      </w:tr>
    </w:tbl>
    <w:p w14:paraId="41720B22" w14:textId="48173245" w:rsidR="001121C7" w:rsidRPr="00AF6D9C" w:rsidRDefault="001121C7" w:rsidP="00155329">
      <w:pPr>
        <w:spacing w:line="360" w:lineRule="auto"/>
        <w:jc w:val="both"/>
        <w:rPr>
          <w:rFonts w:ascii="Times New Roman" w:hAnsi="Times New Roman" w:cs="Times New Roman"/>
          <w:color w:val="252525"/>
          <w:sz w:val="24"/>
          <w:szCs w:val="24"/>
        </w:rPr>
      </w:pPr>
    </w:p>
    <w:p w14:paraId="5727EC92" w14:textId="7280B0C3" w:rsidR="002B5279" w:rsidRPr="00AF6D9C" w:rsidRDefault="002B5279" w:rsidP="00155329">
      <w:pPr>
        <w:spacing w:line="360" w:lineRule="auto"/>
        <w:jc w:val="both"/>
        <w:rPr>
          <w:rFonts w:ascii="Times New Roman" w:eastAsia="Times New Roman" w:hAnsi="Times New Roman" w:cs="Times New Roman"/>
          <w:color w:val="000000"/>
          <w:kern w:val="36"/>
          <w:sz w:val="24"/>
          <w:szCs w:val="24"/>
        </w:rPr>
      </w:pPr>
      <w:r w:rsidRPr="00AF6D9C">
        <w:rPr>
          <w:rFonts w:ascii="Times New Roman" w:eastAsia="Times New Roman" w:hAnsi="Times New Roman" w:cs="Times New Roman"/>
          <w:color w:val="000000"/>
          <w:kern w:val="36"/>
          <w:sz w:val="24"/>
          <w:szCs w:val="24"/>
        </w:rPr>
        <w:t>When conducting the liver function test, every detail was meticulously examined. It was found that neither the high-density lipoprotein (HDL) nor the low-density lipoprotein (LDL) levels produced statistically significant results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&lt;</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 xml:space="preserve">0.05). The analysis of variance (ANOVA) test showed no statistically significant variation in total cholesterol levels. </w:t>
      </w:r>
      <w:r w:rsidR="009447E0">
        <w:rPr>
          <w:rFonts w:ascii="Times New Roman" w:eastAsia="Times New Roman" w:hAnsi="Times New Roman" w:cs="Times New Roman"/>
          <w:color w:val="000000"/>
          <w:kern w:val="36"/>
          <w:sz w:val="24"/>
          <w:szCs w:val="24"/>
        </w:rPr>
        <w:t>Two other studies [32, 33</w:t>
      </w:r>
      <w:r w:rsidR="00EF0328" w:rsidRPr="00AF6D9C">
        <w:rPr>
          <w:rFonts w:ascii="Times New Roman" w:eastAsia="Times New Roman" w:hAnsi="Times New Roman" w:cs="Times New Roman"/>
          <w:color w:val="000000"/>
          <w:kern w:val="36"/>
          <w:sz w:val="24"/>
          <w:szCs w:val="24"/>
        </w:rPr>
        <w:t xml:space="preserve">] yielded the same findings. </w:t>
      </w:r>
      <w:r w:rsidRPr="00AF6D9C">
        <w:rPr>
          <w:rFonts w:ascii="Times New Roman" w:eastAsia="Times New Roman" w:hAnsi="Times New Roman" w:cs="Times New Roman"/>
          <w:color w:val="000000"/>
          <w:kern w:val="36"/>
          <w:sz w:val="24"/>
          <w:szCs w:val="24"/>
        </w:rPr>
        <w:t>However, the Urea and Creatinine levels investigation demonstrated statistically significant outcomes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 xml:space="preserve">&lt; 0.05) in groups 5 and 6, where the dosage of high fat and extract provided was 600 and 900 mg/kg, respectively. </w:t>
      </w:r>
      <w:r w:rsidR="009447E0">
        <w:rPr>
          <w:rFonts w:ascii="Times New Roman" w:eastAsia="Times New Roman" w:hAnsi="Times New Roman" w:cs="Times New Roman"/>
          <w:color w:val="000000"/>
          <w:kern w:val="36"/>
          <w:sz w:val="24"/>
          <w:szCs w:val="24"/>
        </w:rPr>
        <w:t>Additional investigations [</w:t>
      </w:r>
      <w:r w:rsidR="00416361">
        <w:rPr>
          <w:rFonts w:ascii="Times New Roman" w:eastAsia="Times New Roman" w:hAnsi="Times New Roman" w:cs="Times New Roman"/>
          <w:color w:val="000000"/>
          <w:kern w:val="36"/>
          <w:sz w:val="24"/>
          <w:szCs w:val="24"/>
        </w:rPr>
        <w:t>34, 35</w:t>
      </w:r>
      <w:r w:rsidR="002B0FF2" w:rsidRPr="00AF6D9C">
        <w:rPr>
          <w:rFonts w:ascii="Times New Roman" w:eastAsia="Times New Roman" w:hAnsi="Times New Roman" w:cs="Times New Roman"/>
          <w:color w:val="000000"/>
          <w:kern w:val="36"/>
          <w:sz w:val="24"/>
          <w:szCs w:val="24"/>
        </w:rPr>
        <w:t>] yielded congruent conclusions about the topic.</w:t>
      </w:r>
      <w:r w:rsidR="00EF0328"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Despite both groups being administered 600 and 900 mg/kg doses, the SGPT and SGOT results were statistically significant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&lt;</w:t>
      </w:r>
      <w:r w:rsidR="00D940A9" w:rsidRPr="00AF6D9C">
        <w:rPr>
          <w:rFonts w:ascii="Times New Roman" w:eastAsia="Times New Roman" w:hAnsi="Times New Roman" w:cs="Times New Roman"/>
          <w:color w:val="000000"/>
          <w:kern w:val="36"/>
          <w:sz w:val="24"/>
          <w:szCs w:val="24"/>
        </w:rPr>
        <w:t xml:space="preserve"> </w:t>
      </w:r>
      <w:r w:rsidR="00A51A33">
        <w:rPr>
          <w:rFonts w:ascii="Times New Roman" w:eastAsia="Times New Roman" w:hAnsi="Times New Roman" w:cs="Times New Roman"/>
          <w:color w:val="000000"/>
          <w:kern w:val="36"/>
          <w:sz w:val="24"/>
          <w:szCs w:val="24"/>
        </w:rPr>
        <w:t>0.05) for Group 6 on</w:t>
      </w:r>
      <w:r w:rsidRPr="00AF6D9C">
        <w:rPr>
          <w:rFonts w:ascii="Times New Roman" w:eastAsia="Times New Roman" w:hAnsi="Times New Roman" w:cs="Times New Roman"/>
          <w:color w:val="000000"/>
          <w:kern w:val="36"/>
          <w:sz w:val="24"/>
          <w:szCs w:val="24"/>
        </w:rPr>
        <w:t xml:space="preserve">ly. </w:t>
      </w:r>
      <w:r w:rsidR="002B0FF2" w:rsidRPr="00AF6D9C">
        <w:rPr>
          <w:rFonts w:ascii="Times New Roman" w:eastAsia="Times New Roman" w:hAnsi="Times New Roman" w:cs="Times New Roman"/>
          <w:color w:val="000000"/>
          <w:kern w:val="36"/>
          <w:sz w:val="24"/>
          <w:szCs w:val="24"/>
        </w:rPr>
        <w:t>The results contrad</w:t>
      </w:r>
      <w:r w:rsidR="00416361">
        <w:rPr>
          <w:rFonts w:ascii="Times New Roman" w:eastAsia="Times New Roman" w:hAnsi="Times New Roman" w:cs="Times New Roman"/>
          <w:color w:val="000000"/>
          <w:kern w:val="36"/>
          <w:sz w:val="24"/>
          <w:szCs w:val="24"/>
        </w:rPr>
        <w:t>ict the two additional tests [36, 37</w:t>
      </w:r>
      <w:r w:rsidR="002B0FF2" w:rsidRPr="00AF6D9C">
        <w:rPr>
          <w:rFonts w:ascii="Times New Roman" w:eastAsia="Times New Roman" w:hAnsi="Times New Roman" w:cs="Times New Roman"/>
          <w:color w:val="000000"/>
          <w:kern w:val="36"/>
          <w:sz w:val="24"/>
          <w:szCs w:val="24"/>
        </w:rPr>
        <w:t>] done in this instance.</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The most important discovery, however, was that there was a statistically significant difference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&lt;</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0.05) in the levels of triglycerides between groups 5 and 6.</w:t>
      </w:r>
    </w:p>
    <w:p w14:paraId="5995A8E5" w14:textId="3D9A175E" w:rsidR="002C7BD8" w:rsidRPr="00AF6D9C" w:rsidRDefault="002C7BD8" w:rsidP="00155329">
      <w:pPr>
        <w:spacing w:line="360" w:lineRule="auto"/>
        <w:jc w:val="both"/>
        <w:rPr>
          <w:rFonts w:ascii="Times New Roman" w:hAnsi="Times New Roman" w:cs="Times New Roman"/>
          <w:color w:val="252525"/>
          <w:sz w:val="24"/>
          <w:szCs w:val="24"/>
        </w:rPr>
      </w:pPr>
      <w:r w:rsidRPr="00AF6D9C">
        <w:rPr>
          <w:rFonts w:ascii="Times New Roman" w:hAnsi="Times New Roman" w:cs="Times New Roman"/>
          <w:b/>
          <w:color w:val="252525"/>
          <w:sz w:val="24"/>
          <w:szCs w:val="24"/>
        </w:rPr>
        <w:t>Conclusion</w:t>
      </w:r>
    </w:p>
    <w:p w14:paraId="76E432C3" w14:textId="113A3441" w:rsidR="00FA13E7" w:rsidRDefault="004919DB" w:rsidP="00155329">
      <w:pPr>
        <w:spacing w:before="240" w:after="0" w:line="360" w:lineRule="auto"/>
        <w:jc w:val="both"/>
        <w:rPr>
          <w:rFonts w:ascii="Times New Roman" w:eastAsia="Times New Roman" w:hAnsi="Times New Roman" w:cs="Times New Roman"/>
          <w:color w:val="000000"/>
          <w:sz w:val="24"/>
          <w:szCs w:val="24"/>
        </w:rPr>
      </w:pPr>
      <w:r w:rsidRPr="00AF6D9C">
        <w:rPr>
          <w:rFonts w:ascii="Times New Roman" w:eastAsia="Times New Roman" w:hAnsi="Times New Roman" w:cs="Times New Roman"/>
          <w:color w:val="000000"/>
          <w:sz w:val="24"/>
          <w:szCs w:val="24"/>
        </w:rPr>
        <w:lastRenderedPageBreak/>
        <w:t xml:space="preserve">This study examined the anti-hyperlipidemic properties of an ethanolic extract of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The findings indicate that an ethanol extract of the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plant may offer protection against hypercholesterolemia, hepatic damage, and renal failure. Further research is necessary to ascertain the specific active constituents in the whole extract that may mitigate hyperlipidemia and diabetes. After identifying the active chemicals, a comprehensive analysis may be conducted.</w:t>
      </w:r>
    </w:p>
    <w:p w14:paraId="00F363A1" w14:textId="1441CBF1" w:rsidR="00896B3C" w:rsidRDefault="00896B3C" w:rsidP="00155329">
      <w:pPr>
        <w:spacing w:before="240" w:after="0" w:line="360" w:lineRule="auto"/>
        <w:jc w:val="both"/>
        <w:rPr>
          <w:rFonts w:ascii="Times New Roman" w:eastAsia="Times New Roman" w:hAnsi="Times New Roman" w:cs="Times New Roman"/>
          <w:color w:val="000000"/>
          <w:sz w:val="24"/>
          <w:szCs w:val="24"/>
        </w:rPr>
      </w:pPr>
    </w:p>
    <w:p w14:paraId="4A8487A3" w14:textId="77777777" w:rsidR="00896B3C" w:rsidRPr="009C5487" w:rsidRDefault="00896B3C" w:rsidP="00896B3C">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5954476A"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1448720"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0D009365"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A234914"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B777BA"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7791741"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B7DD5AD" w14:textId="77777777" w:rsidR="00896B3C" w:rsidRPr="009C5487" w:rsidRDefault="00896B3C" w:rsidP="00896B3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57B4F79" w14:textId="77777777" w:rsidR="00896B3C" w:rsidRPr="009C5487" w:rsidRDefault="00896B3C" w:rsidP="00896B3C">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3B3995B9" w14:textId="77777777" w:rsidR="00896B3C" w:rsidRDefault="00896B3C" w:rsidP="00155329">
      <w:pPr>
        <w:spacing w:before="240" w:after="0" w:line="360" w:lineRule="auto"/>
        <w:jc w:val="both"/>
        <w:rPr>
          <w:rFonts w:ascii="Times New Roman" w:eastAsia="Times New Roman" w:hAnsi="Times New Roman" w:cs="Times New Roman"/>
          <w:color w:val="000000"/>
          <w:sz w:val="24"/>
          <w:szCs w:val="24"/>
        </w:rPr>
      </w:pPr>
    </w:p>
    <w:p w14:paraId="1CF92A55" w14:textId="46CB6A14" w:rsidR="00FF45DE" w:rsidRPr="00AF6D9C" w:rsidRDefault="00FF45DE" w:rsidP="00155329">
      <w:pPr>
        <w:jc w:val="both"/>
        <w:rPr>
          <w:rFonts w:ascii="Times New Roman" w:hAnsi="Times New Roman" w:cs="Times New Roman"/>
          <w:b/>
          <w:sz w:val="24"/>
          <w:szCs w:val="24"/>
        </w:rPr>
      </w:pPr>
      <w:bookmarkStart w:id="5" w:name="_Hlk174118101"/>
    </w:p>
    <w:bookmarkEnd w:id="5"/>
    <w:p w14:paraId="38951278" w14:textId="7094CA64" w:rsidR="00F37B27" w:rsidRPr="00F37B27" w:rsidRDefault="00F37B27" w:rsidP="00CD1ABD">
      <w:pPr>
        <w:shd w:val="clear" w:color="auto" w:fill="FFFFFF"/>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References</w:t>
      </w:r>
    </w:p>
    <w:p w14:paraId="49EC25DD"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Himi HZ, Rahman MM, Hasan SA, Cruze LR, Zaman TS, Chowdhury MM. An Evaluation of Anti-hyperlipidemic Activity of Ethanolic Extract of Moringa oleifera on High Fat Induced Hyperlipidemic Rat Model. International Journal of Biochemistry Research &amp; Review. 2024 Mar 26;33(4):33-9.</w:t>
      </w:r>
    </w:p>
    <w:p w14:paraId="037567A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Himi HZ, Rahman MM, </w:t>
      </w:r>
      <w:proofErr w:type="spellStart"/>
      <w:r w:rsidRPr="00AF6D9C">
        <w:rPr>
          <w:rFonts w:ascii="Times New Roman" w:eastAsia="Times New Roman" w:hAnsi="Times New Roman" w:cs="Times New Roman"/>
          <w:sz w:val="24"/>
          <w:szCs w:val="24"/>
        </w:rPr>
        <w:t>Hasan</w:t>
      </w:r>
      <w:proofErr w:type="spellEnd"/>
      <w:r w:rsidRPr="00AF6D9C">
        <w:rPr>
          <w:rFonts w:ascii="Times New Roman" w:eastAsia="Times New Roman" w:hAnsi="Times New Roman" w:cs="Times New Roman"/>
          <w:sz w:val="24"/>
          <w:szCs w:val="24"/>
        </w:rPr>
        <w:t xml:space="preserve"> SA, </w:t>
      </w:r>
      <w:proofErr w:type="spellStart"/>
      <w:r w:rsidRPr="00AF6D9C">
        <w:rPr>
          <w:rFonts w:ascii="Times New Roman" w:eastAsia="Times New Roman" w:hAnsi="Times New Roman" w:cs="Times New Roman"/>
          <w:sz w:val="24"/>
          <w:szCs w:val="24"/>
        </w:rPr>
        <w:t>Cruze</w:t>
      </w:r>
      <w:proofErr w:type="spellEnd"/>
      <w:r w:rsidRPr="00AF6D9C">
        <w:rPr>
          <w:rFonts w:ascii="Times New Roman" w:eastAsia="Times New Roman" w:hAnsi="Times New Roman" w:cs="Times New Roman"/>
          <w:sz w:val="24"/>
          <w:szCs w:val="24"/>
        </w:rPr>
        <w:t xml:space="preserve"> LR, </w:t>
      </w:r>
      <w:proofErr w:type="spellStart"/>
      <w:r w:rsidRPr="00AF6D9C">
        <w:rPr>
          <w:rFonts w:ascii="Times New Roman" w:eastAsia="Times New Roman" w:hAnsi="Times New Roman" w:cs="Times New Roman"/>
          <w:sz w:val="24"/>
          <w:szCs w:val="24"/>
        </w:rPr>
        <w:t>Ishraat</w:t>
      </w:r>
      <w:proofErr w:type="spellEnd"/>
      <w:r w:rsidRPr="00AF6D9C">
        <w:rPr>
          <w:rFonts w:ascii="Times New Roman" w:eastAsia="Times New Roman" w:hAnsi="Times New Roman" w:cs="Times New Roman"/>
          <w:sz w:val="24"/>
          <w:szCs w:val="24"/>
        </w:rPr>
        <w:t xml:space="preserve"> ST, Chowdhury MM. An Evaluation of Hepato-protective Activity of Ethanolic Extract of Solanum nigrum with Varying Doses on CCL4 Induced Hepatic Injured Rat. Asian Journal of Advanced Research and Reports. 2024 Mar 16;18(4):75-80.</w:t>
      </w:r>
    </w:p>
    <w:p w14:paraId="4A1544E2"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lastRenderedPageBreak/>
        <w:t xml:space="preserve">FM SS, Juliana AB, </w:t>
      </w:r>
      <w:proofErr w:type="spellStart"/>
      <w:r w:rsidRPr="00AF6D9C">
        <w:rPr>
          <w:rFonts w:ascii="Times New Roman" w:eastAsia="Times New Roman" w:hAnsi="Times New Roman" w:cs="Times New Roman"/>
          <w:sz w:val="24"/>
          <w:szCs w:val="24"/>
        </w:rPr>
        <w:t>Bornila</w:t>
      </w:r>
      <w:proofErr w:type="spellEnd"/>
      <w:r w:rsidRPr="00AF6D9C">
        <w:rPr>
          <w:rFonts w:ascii="Times New Roman" w:eastAsia="Times New Roman" w:hAnsi="Times New Roman" w:cs="Times New Roman"/>
          <w:sz w:val="24"/>
          <w:szCs w:val="24"/>
        </w:rPr>
        <w:t xml:space="preserve"> M, Puja B, Nur-Neasha D, Rafat T. An assessment of hepato-protective activity of Psidium guajava fruit extract against hepatic injured rodent model. Asian Journal of Medical Principles and Clinical Practice. 2023 Oct 7;6(2):240-5.</w:t>
      </w:r>
    </w:p>
    <w:p w14:paraId="2D007130"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Baroi</w:t>
      </w:r>
      <w:proofErr w:type="spellEnd"/>
      <w:r w:rsidRPr="00AF6D9C">
        <w:rPr>
          <w:rFonts w:ascii="Times New Roman" w:eastAsia="Times New Roman" w:hAnsi="Times New Roman" w:cs="Times New Roman"/>
          <w:sz w:val="24"/>
          <w:szCs w:val="24"/>
        </w:rPr>
        <w:t xml:space="preserve"> JA, </w:t>
      </w:r>
      <w:proofErr w:type="spellStart"/>
      <w:r w:rsidRPr="00AF6D9C">
        <w:rPr>
          <w:rFonts w:ascii="Times New Roman" w:eastAsia="Times New Roman" w:hAnsi="Times New Roman" w:cs="Times New Roman"/>
          <w:sz w:val="24"/>
          <w:szCs w:val="24"/>
        </w:rPr>
        <w:t>Hossian</w:t>
      </w:r>
      <w:proofErr w:type="spellEnd"/>
      <w:r w:rsidRPr="00AF6D9C">
        <w:rPr>
          <w:rFonts w:ascii="Times New Roman" w:eastAsia="Times New Roman" w:hAnsi="Times New Roman" w:cs="Times New Roman"/>
          <w:sz w:val="24"/>
          <w:szCs w:val="24"/>
        </w:rPr>
        <w:t xml:space="preserve"> MR, Chowdhury MM, Dolon NN, Maliha F, Rupak MA, Lima NN, Ullah MR, Tahsin R. An assessment of anti-</w:t>
      </w:r>
      <w:proofErr w:type="spellStart"/>
      <w:r w:rsidRPr="00AF6D9C">
        <w:rPr>
          <w:rFonts w:ascii="Times New Roman" w:eastAsia="Times New Roman" w:hAnsi="Times New Roman" w:cs="Times New Roman"/>
          <w:sz w:val="24"/>
          <w:szCs w:val="24"/>
        </w:rPr>
        <w:t>hyperlipidemic</w:t>
      </w:r>
      <w:proofErr w:type="spellEnd"/>
      <w:r w:rsidRPr="00AF6D9C">
        <w:rPr>
          <w:rFonts w:ascii="Times New Roman" w:eastAsia="Times New Roman" w:hAnsi="Times New Roman" w:cs="Times New Roman"/>
          <w:sz w:val="24"/>
          <w:szCs w:val="24"/>
        </w:rPr>
        <w:t xml:space="preserve"> potentialities of </w:t>
      </w:r>
      <w:proofErr w:type="spellStart"/>
      <w:r w:rsidRPr="00AF6D9C">
        <w:rPr>
          <w:rFonts w:ascii="Times New Roman" w:eastAsia="Times New Roman" w:hAnsi="Times New Roman" w:cs="Times New Roman"/>
          <w:sz w:val="24"/>
          <w:szCs w:val="24"/>
        </w:rPr>
        <w:t>ethanolic</w:t>
      </w:r>
      <w:proofErr w:type="spellEnd"/>
      <w:r w:rsidRPr="00AF6D9C">
        <w:rPr>
          <w:rFonts w:ascii="Times New Roman" w:eastAsia="Times New Roman" w:hAnsi="Times New Roman" w:cs="Times New Roman"/>
          <w:sz w:val="24"/>
          <w:szCs w:val="24"/>
        </w:rPr>
        <w:t xml:space="preserve"> extract of </w:t>
      </w:r>
      <w:proofErr w:type="spellStart"/>
      <w:r w:rsidRPr="00AF6D9C">
        <w:rPr>
          <w:rFonts w:ascii="Times New Roman" w:eastAsia="Times New Roman" w:hAnsi="Times New Roman" w:cs="Times New Roman"/>
          <w:sz w:val="24"/>
          <w:szCs w:val="24"/>
        </w:rPr>
        <w:t>hemidesmus</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indicus</w:t>
      </w:r>
      <w:proofErr w:type="spellEnd"/>
      <w:r w:rsidRPr="00AF6D9C">
        <w:rPr>
          <w:rFonts w:ascii="Times New Roman" w:eastAsia="Times New Roman" w:hAnsi="Times New Roman" w:cs="Times New Roman"/>
          <w:sz w:val="24"/>
          <w:szCs w:val="24"/>
        </w:rPr>
        <w:t xml:space="preserve"> in high fat induced rat model. Asian Journal of Food Research and Nutrition. 2023 Jul 9;2(4):323-30.</w:t>
      </w:r>
    </w:p>
    <w:p w14:paraId="0503052C"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Zhang Y, Li X, Yang Q, Zhang C, Song X, Wang W, Jia L, Zhang J. </w:t>
      </w:r>
      <w:proofErr w:type="spellStart"/>
      <w:r w:rsidRPr="00AF6D9C">
        <w:rPr>
          <w:rFonts w:ascii="Times New Roman" w:eastAsia="Times New Roman" w:hAnsi="Times New Roman" w:cs="Times New Roman"/>
          <w:sz w:val="24"/>
          <w:szCs w:val="24"/>
        </w:rPr>
        <w:t>Antioxidation</w:t>
      </w:r>
      <w:proofErr w:type="spellEnd"/>
      <w:r w:rsidRPr="00AF6D9C">
        <w:rPr>
          <w:rFonts w:ascii="Times New Roman" w:eastAsia="Times New Roman" w:hAnsi="Times New Roman" w:cs="Times New Roman"/>
          <w:sz w:val="24"/>
          <w:szCs w:val="24"/>
        </w:rPr>
        <w:t>, anti-</w:t>
      </w:r>
      <w:proofErr w:type="spellStart"/>
      <w:r w:rsidRPr="00AF6D9C">
        <w:rPr>
          <w:rFonts w:ascii="Times New Roman" w:eastAsia="Times New Roman" w:hAnsi="Times New Roman" w:cs="Times New Roman"/>
          <w:sz w:val="24"/>
          <w:szCs w:val="24"/>
        </w:rPr>
        <w:t>hyperlipidaemia</w:t>
      </w:r>
      <w:proofErr w:type="spellEnd"/>
      <w:r w:rsidRPr="00AF6D9C">
        <w:rPr>
          <w:rFonts w:ascii="Times New Roman" w:eastAsia="Times New Roman" w:hAnsi="Times New Roman" w:cs="Times New Roman"/>
          <w:sz w:val="24"/>
          <w:szCs w:val="24"/>
        </w:rPr>
        <w:t xml:space="preserve"> and </w:t>
      </w:r>
      <w:proofErr w:type="spellStart"/>
      <w:r w:rsidRPr="00AF6D9C">
        <w:rPr>
          <w:rFonts w:ascii="Times New Roman" w:eastAsia="Times New Roman" w:hAnsi="Times New Roman" w:cs="Times New Roman"/>
          <w:sz w:val="24"/>
          <w:szCs w:val="24"/>
        </w:rPr>
        <w:t>hepatoprotection</w:t>
      </w:r>
      <w:proofErr w:type="spellEnd"/>
      <w:r w:rsidRPr="00AF6D9C">
        <w:rPr>
          <w:rFonts w:ascii="Times New Roman" w:eastAsia="Times New Roman" w:hAnsi="Times New Roman" w:cs="Times New Roman"/>
          <w:sz w:val="24"/>
          <w:szCs w:val="24"/>
        </w:rPr>
        <w:t xml:space="preserve"> of polysaccharides from Auricularia auricular residue. </w:t>
      </w:r>
      <w:proofErr w:type="spellStart"/>
      <w:r w:rsidRPr="00AF6D9C">
        <w:rPr>
          <w:rFonts w:ascii="Times New Roman" w:eastAsia="Times New Roman" w:hAnsi="Times New Roman" w:cs="Times New Roman"/>
          <w:sz w:val="24"/>
          <w:szCs w:val="24"/>
        </w:rPr>
        <w:t>Chemico</w:t>
      </w:r>
      <w:proofErr w:type="spellEnd"/>
      <w:r w:rsidRPr="00AF6D9C">
        <w:rPr>
          <w:rFonts w:ascii="Times New Roman" w:eastAsia="Times New Roman" w:hAnsi="Times New Roman" w:cs="Times New Roman"/>
          <w:sz w:val="24"/>
          <w:szCs w:val="24"/>
        </w:rPr>
        <w:t>-Biological Interactions. 2021 Jan 5</w:t>
      </w:r>
      <w:proofErr w:type="gramStart"/>
      <w:r w:rsidRPr="00AF6D9C">
        <w:rPr>
          <w:rFonts w:ascii="Times New Roman" w:eastAsia="Times New Roman" w:hAnsi="Times New Roman" w:cs="Times New Roman"/>
          <w:sz w:val="24"/>
          <w:szCs w:val="24"/>
        </w:rPr>
        <w:t>;333:109323</w:t>
      </w:r>
      <w:proofErr w:type="gramEnd"/>
      <w:r w:rsidRPr="00AF6D9C">
        <w:rPr>
          <w:rFonts w:ascii="Times New Roman" w:eastAsia="Times New Roman" w:hAnsi="Times New Roman" w:cs="Times New Roman"/>
          <w:sz w:val="24"/>
          <w:szCs w:val="24"/>
        </w:rPr>
        <w:t>.</w:t>
      </w:r>
    </w:p>
    <w:p w14:paraId="5FEA2E7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Srinivasa Rao K, Prasad T, </w:t>
      </w:r>
      <w:proofErr w:type="spellStart"/>
      <w:r w:rsidRPr="00AF6D9C">
        <w:rPr>
          <w:rFonts w:ascii="Times New Roman" w:eastAsia="Times New Roman" w:hAnsi="Times New Roman" w:cs="Times New Roman"/>
          <w:sz w:val="24"/>
          <w:szCs w:val="24"/>
        </w:rPr>
        <w:t>Mohanta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GP</w:t>
      </w:r>
      <w:proofErr w:type="gramStart"/>
      <w:r w:rsidRPr="00AF6D9C">
        <w:rPr>
          <w:rFonts w:ascii="Times New Roman" w:eastAsia="Times New Roman" w:hAnsi="Times New Roman" w:cs="Times New Roman"/>
          <w:sz w:val="24"/>
          <w:szCs w:val="24"/>
        </w:rPr>
        <w:t>,Manna</w:t>
      </w:r>
      <w:proofErr w:type="spellEnd"/>
      <w:proofErr w:type="gramEnd"/>
      <w:r w:rsidRPr="00AF6D9C">
        <w:rPr>
          <w:rFonts w:ascii="Times New Roman" w:eastAsia="Times New Roman" w:hAnsi="Times New Roman" w:cs="Times New Roman"/>
          <w:sz w:val="24"/>
          <w:szCs w:val="24"/>
        </w:rPr>
        <w:t xml:space="preserve"> PK. An Overview of Statins </w:t>
      </w:r>
      <w:proofErr w:type="spellStart"/>
      <w:r w:rsidRPr="00AF6D9C">
        <w:rPr>
          <w:rFonts w:ascii="Times New Roman" w:eastAsia="Times New Roman" w:hAnsi="Times New Roman" w:cs="Times New Roman"/>
          <w:sz w:val="24"/>
          <w:szCs w:val="24"/>
        </w:rPr>
        <w:t>asHypolipidemic</w:t>
      </w:r>
      <w:proofErr w:type="spellEnd"/>
      <w:r w:rsidRPr="00AF6D9C">
        <w:rPr>
          <w:rFonts w:ascii="Times New Roman" w:eastAsia="Times New Roman" w:hAnsi="Times New Roman" w:cs="Times New Roman"/>
          <w:sz w:val="24"/>
          <w:szCs w:val="24"/>
        </w:rPr>
        <w:t xml:space="preserve"> Drugs. International </w:t>
      </w:r>
      <w:proofErr w:type="spellStart"/>
      <w:r w:rsidRPr="00AF6D9C">
        <w:rPr>
          <w:rFonts w:ascii="Times New Roman" w:eastAsia="Times New Roman" w:hAnsi="Times New Roman" w:cs="Times New Roman"/>
          <w:sz w:val="24"/>
          <w:szCs w:val="24"/>
        </w:rPr>
        <w:t>Journalof</w:t>
      </w:r>
      <w:proofErr w:type="spellEnd"/>
      <w:r w:rsidRPr="00AF6D9C">
        <w:rPr>
          <w:rFonts w:ascii="Times New Roman" w:eastAsia="Times New Roman" w:hAnsi="Times New Roman" w:cs="Times New Roman"/>
          <w:sz w:val="24"/>
          <w:szCs w:val="24"/>
        </w:rPr>
        <w:t xml:space="preserve"> Pharmaceutical Sciences and </w:t>
      </w:r>
      <w:proofErr w:type="spellStart"/>
      <w:r w:rsidRPr="00AF6D9C">
        <w:rPr>
          <w:rFonts w:ascii="Times New Roman" w:eastAsia="Times New Roman" w:hAnsi="Times New Roman" w:cs="Times New Roman"/>
          <w:sz w:val="24"/>
          <w:szCs w:val="24"/>
        </w:rPr>
        <w:t>DrugResearch</w:t>
      </w:r>
      <w:proofErr w:type="spellEnd"/>
      <w:r w:rsidRPr="00AF6D9C">
        <w:rPr>
          <w:rFonts w:ascii="Times New Roman" w:eastAsia="Times New Roman" w:hAnsi="Times New Roman" w:cs="Times New Roman"/>
          <w:sz w:val="24"/>
          <w:szCs w:val="24"/>
        </w:rPr>
        <w:t>. 2011; 3(3):178-183.</w:t>
      </w:r>
    </w:p>
    <w:p w14:paraId="36048D80"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Schachter M. Chemical, </w:t>
      </w:r>
      <w:proofErr w:type="spellStart"/>
      <w:r w:rsidRPr="00AF6D9C">
        <w:rPr>
          <w:rFonts w:ascii="Times New Roman" w:eastAsia="Times New Roman" w:hAnsi="Times New Roman" w:cs="Times New Roman"/>
          <w:sz w:val="24"/>
          <w:szCs w:val="24"/>
        </w:rPr>
        <w:t>pharmacokineticand</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pharmacodynamic</w:t>
      </w:r>
      <w:proofErr w:type="spellEnd"/>
      <w:r w:rsidRPr="00AF6D9C">
        <w:rPr>
          <w:rFonts w:ascii="Times New Roman" w:eastAsia="Times New Roman" w:hAnsi="Times New Roman" w:cs="Times New Roman"/>
          <w:sz w:val="24"/>
          <w:szCs w:val="24"/>
        </w:rPr>
        <w:t xml:space="preserve"> properties </w:t>
      </w:r>
      <w:proofErr w:type="spellStart"/>
      <w:r w:rsidRPr="00AF6D9C">
        <w:rPr>
          <w:rFonts w:ascii="Times New Roman" w:eastAsia="Times New Roman" w:hAnsi="Times New Roman" w:cs="Times New Roman"/>
          <w:sz w:val="24"/>
          <w:szCs w:val="24"/>
        </w:rPr>
        <w:t>ofstatins</w:t>
      </w:r>
      <w:proofErr w:type="spellEnd"/>
      <w:r w:rsidRPr="00AF6D9C">
        <w:rPr>
          <w:rFonts w:ascii="Times New Roman" w:eastAsia="Times New Roman" w:hAnsi="Times New Roman" w:cs="Times New Roman"/>
          <w:sz w:val="24"/>
          <w:szCs w:val="24"/>
        </w:rPr>
        <w:t xml:space="preserve">: an update. </w:t>
      </w:r>
      <w:proofErr w:type="spellStart"/>
      <w:r w:rsidRPr="00AF6D9C">
        <w:rPr>
          <w:rFonts w:ascii="Times New Roman" w:eastAsia="Times New Roman" w:hAnsi="Times New Roman" w:cs="Times New Roman"/>
          <w:sz w:val="24"/>
          <w:szCs w:val="24"/>
        </w:rPr>
        <w:t>Fundam</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ClinPharmacol</w:t>
      </w:r>
      <w:proofErr w:type="spellEnd"/>
      <w:r w:rsidRPr="00AF6D9C">
        <w:rPr>
          <w:rFonts w:ascii="Times New Roman" w:eastAsia="Times New Roman" w:hAnsi="Times New Roman" w:cs="Times New Roman"/>
          <w:sz w:val="24"/>
          <w:szCs w:val="24"/>
        </w:rPr>
        <w:t>. 2005</w:t>
      </w:r>
      <w:proofErr w:type="gramStart"/>
      <w:r w:rsidRPr="00AF6D9C">
        <w:rPr>
          <w:rFonts w:ascii="Times New Roman" w:eastAsia="Times New Roman" w:hAnsi="Times New Roman" w:cs="Times New Roman"/>
          <w:sz w:val="24"/>
          <w:szCs w:val="24"/>
        </w:rPr>
        <w:t>;19:117</w:t>
      </w:r>
      <w:proofErr w:type="gramEnd"/>
      <w:r w:rsidRPr="00AF6D9C">
        <w:rPr>
          <w:rFonts w:ascii="Times New Roman" w:eastAsia="Times New Roman" w:hAnsi="Times New Roman" w:cs="Times New Roman"/>
          <w:sz w:val="24"/>
          <w:szCs w:val="24"/>
        </w:rPr>
        <w:t>-125.</w:t>
      </w:r>
    </w:p>
    <w:p w14:paraId="67B54948"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Thompson PD, </w:t>
      </w:r>
      <w:proofErr w:type="spellStart"/>
      <w:r w:rsidRPr="00AF6D9C">
        <w:rPr>
          <w:rFonts w:ascii="Times New Roman" w:eastAsia="Times New Roman" w:hAnsi="Times New Roman" w:cs="Times New Roman"/>
          <w:sz w:val="24"/>
          <w:szCs w:val="24"/>
        </w:rPr>
        <w:t>Panza</w:t>
      </w:r>
      <w:proofErr w:type="spellEnd"/>
      <w:r w:rsidRPr="00AF6D9C">
        <w:rPr>
          <w:rFonts w:ascii="Times New Roman" w:eastAsia="Times New Roman" w:hAnsi="Times New Roman" w:cs="Times New Roman"/>
          <w:sz w:val="24"/>
          <w:szCs w:val="24"/>
        </w:rPr>
        <w:t xml:space="preserve"> G, </w:t>
      </w:r>
      <w:proofErr w:type="spellStart"/>
      <w:r w:rsidRPr="00AF6D9C">
        <w:rPr>
          <w:rFonts w:ascii="Times New Roman" w:eastAsia="Times New Roman" w:hAnsi="Times New Roman" w:cs="Times New Roman"/>
          <w:sz w:val="24"/>
          <w:szCs w:val="24"/>
        </w:rPr>
        <w:t>Zaleski</w:t>
      </w:r>
      <w:proofErr w:type="spellEnd"/>
      <w:r w:rsidRPr="00AF6D9C">
        <w:rPr>
          <w:rFonts w:ascii="Times New Roman" w:eastAsia="Times New Roman" w:hAnsi="Times New Roman" w:cs="Times New Roman"/>
          <w:sz w:val="24"/>
          <w:szCs w:val="24"/>
        </w:rPr>
        <w:t xml:space="preserve"> A, </w:t>
      </w:r>
      <w:proofErr w:type="spellStart"/>
      <w:r w:rsidRPr="00AF6D9C">
        <w:rPr>
          <w:rFonts w:ascii="Times New Roman" w:eastAsia="Times New Roman" w:hAnsi="Times New Roman" w:cs="Times New Roman"/>
          <w:sz w:val="24"/>
          <w:szCs w:val="24"/>
        </w:rPr>
        <w:t>TaylorB</w:t>
      </w:r>
      <w:proofErr w:type="spellEnd"/>
      <w:r w:rsidRPr="00AF6D9C">
        <w:rPr>
          <w:rFonts w:ascii="Times New Roman" w:eastAsia="Times New Roman" w:hAnsi="Times New Roman" w:cs="Times New Roman"/>
          <w:sz w:val="24"/>
          <w:szCs w:val="24"/>
        </w:rPr>
        <w:t xml:space="preserve">. Statin-associated side effects. </w:t>
      </w:r>
      <w:proofErr w:type="spellStart"/>
      <w:r w:rsidRPr="00AF6D9C">
        <w:rPr>
          <w:rFonts w:ascii="Times New Roman" w:eastAsia="Times New Roman" w:hAnsi="Times New Roman" w:cs="Times New Roman"/>
          <w:sz w:val="24"/>
          <w:szCs w:val="24"/>
        </w:rPr>
        <w:t>Journalof</w:t>
      </w:r>
      <w:proofErr w:type="spellEnd"/>
      <w:r w:rsidRPr="00AF6D9C">
        <w:rPr>
          <w:rFonts w:ascii="Times New Roman" w:eastAsia="Times New Roman" w:hAnsi="Times New Roman" w:cs="Times New Roman"/>
          <w:sz w:val="24"/>
          <w:szCs w:val="24"/>
        </w:rPr>
        <w:t xml:space="preserve"> the American College of Cardiology.2016;67(20):2395-410.</w:t>
      </w:r>
    </w:p>
    <w:p w14:paraId="30C92A92" w14:textId="1995D496"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Rupak MA, Chowdhury MM, </w:t>
      </w:r>
      <w:proofErr w:type="spellStart"/>
      <w:r w:rsidRPr="00AF6D9C">
        <w:rPr>
          <w:rFonts w:ascii="Times New Roman" w:eastAsia="Times New Roman" w:hAnsi="Times New Roman" w:cs="Times New Roman"/>
          <w:sz w:val="24"/>
          <w:szCs w:val="24"/>
        </w:rPr>
        <w:t>Shurovi</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FS,Ferdous</w:t>
      </w:r>
      <w:proofErr w:type="spellEnd"/>
      <w:r w:rsidRPr="00AF6D9C">
        <w:rPr>
          <w:rFonts w:ascii="Times New Roman" w:eastAsia="Times New Roman" w:hAnsi="Times New Roman" w:cs="Times New Roman"/>
          <w:sz w:val="24"/>
          <w:szCs w:val="24"/>
        </w:rPr>
        <w:t xml:space="preserve"> J, </w:t>
      </w:r>
      <w:proofErr w:type="spellStart"/>
      <w:r w:rsidRPr="00AF6D9C">
        <w:rPr>
          <w:rFonts w:ascii="Times New Roman" w:eastAsia="Times New Roman" w:hAnsi="Times New Roman" w:cs="Times New Roman"/>
          <w:sz w:val="24"/>
          <w:szCs w:val="24"/>
        </w:rPr>
        <w:t>Tahsin</w:t>
      </w:r>
      <w:proofErr w:type="spellEnd"/>
      <w:r w:rsidRPr="00AF6D9C">
        <w:rPr>
          <w:rFonts w:ascii="Times New Roman" w:eastAsia="Times New Roman" w:hAnsi="Times New Roman" w:cs="Times New Roman"/>
          <w:sz w:val="24"/>
          <w:szCs w:val="24"/>
        </w:rPr>
        <w:t xml:space="preserve"> MR, Sarif S, Hasan MM,</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 xml:space="preserve">Chowdhury JA, </w:t>
      </w:r>
      <w:proofErr w:type="spellStart"/>
      <w:r w:rsidRPr="00AF6D9C">
        <w:rPr>
          <w:rFonts w:ascii="Times New Roman" w:eastAsia="Times New Roman" w:hAnsi="Times New Roman" w:cs="Times New Roman"/>
          <w:sz w:val="24"/>
          <w:szCs w:val="24"/>
        </w:rPr>
        <w:t>Kabir</w:t>
      </w:r>
      <w:proofErr w:type="spellEnd"/>
      <w:r w:rsidRPr="00AF6D9C">
        <w:rPr>
          <w:rFonts w:ascii="Times New Roman" w:eastAsia="Times New Roman" w:hAnsi="Times New Roman" w:cs="Times New Roman"/>
          <w:sz w:val="24"/>
          <w:szCs w:val="24"/>
        </w:rPr>
        <w:t xml:space="preserve"> S, Chowdhury </w:t>
      </w:r>
      <w:proofErr w:type="spellStart"/>
      <w:r w:rsidRPr="00AF6D9C">
        <w:rPr>
          <w:rFonts w:ascii="Times New Roman" w:eastAsia="Times New Roman" w:hAnsi="Times New Roman" w:cs="Times New Roman"/>
          <w:sz w:val="24"/>
          <w:szCs w:val="24"/>
        </w:rPr>
        <w:t>AA,Aktar</w:t>
      </w:r>
      <w:proofErr w:type="spellEnd"/>
      <w:r w:rsidRPr="00AF6D9C">
        <w:rPr>
          <w:rFonts w:ascii="Times New Roman" w:eastAsia="Times New Roman" w:hAnsi="Times New Roman" w:cs="Times New Roman"/>
          <w:sz w:val="24"/>
          <w:szCs w:val="24"/>
        </w:rPr>
        <w:t xml:space="preserve"> F. An Evaluation of Analgesic and</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 xml:space="preserve">Anti-Inflammatory Activity of </w:t>
      </w:r>
      <w:proofErr w:type="spellStart"/>
      <w:r w:rsidRPr="00AF6D9C">
        <w:rPr>
          <w:rFonts w:ascii="Times New Roman" w:eastAsia="Times New Roman" w:hAnsi="Times New Roman" w:cs="Times New Roman"/>
          <w:sz w:val="24"/>
          <w:szCs w:val="24"/>
        </w:rPr>
        <w:t>EthanolicExtract</w:t>
      </w:r>
      <w:proofErr w:type="spellEnd"/>
      <w:r w:rsidRPr="00AF6D9C">
        <w:rPr>
          <w:rFonts w:ascii="Times New Roman" w:eastAsia="Times New Roman" w:hAnsi="Times New Roman" w:cs="Times New Roman"/>
          <w:sz w:val="24"/>
          <w:szCs w:val="24"/>
        </w:rPr>
        <w:t xml:space="preserve"> of </w:t>
      </w:r>
      <w:proofErr w:type="spellStart"/>
      <w:r w:rsidRPr="00AF6D9C">
        <w:rPr>
          <w:rFonts w:ascii="Times New Roman" w:eastAsia="Times New Roman" w:hAnsi="Times New Roman" w:cs="Times New Roman"/>
          <w:sz w:val="24"/>
          <w:szCs w:val="24"/>
        </w:rPr>
        <w:t>Cynodon</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Dactylon</w:t>
      </w:r>
      <w:proofErr w:type="spellEnd"/>
      <w:r w:rsidRPr="00AF6D9C">
        <w:rPr>
          <w:rFonts w:ascii="Times New Roman" w:eastAsia="Times New Roman" w:hAnsi="Times New Roman" w:cs="Times New Roman"/>
          <w:sz w:val="24"/>
          <w:szCs w:val="24"/>
        </w:rPr>
        <w:t xml:space="preserve"> on Stressed</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Rodent Model. Biomedical Journal of</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Scientific &amp; Technical Research. 2022;42(3):33550-7.</w:t>
      </w:r>
    </w:p>
    <w:p w14:paraId="3072ED98"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Islam M, Rupak AH, Nasrin N, Chowdhury MM, </w:t>
      </w:r>
      <w:proofErr w:type="spellStart"/>
      <w:r w:rsidRPr="00AF6D9C">
        <w:rPr>
          <w:rFonts w:ascii="Times New Roman" w:eastAsia="Times New Roman" w:hAnsi="Times New Roman" w:cs="Times New Roman"/>
          <w:sz w:val="24"/>
          <w:szCs w:val="24"/>
        </w:rPr>
        <w:t>Sen</w:t>
      </w:r>
      <w:proofErr w:type="spellEnd"/>
      <w:r w:rsidRPr="00AF6D9C">
        <w:rPr>
          <w:rFonts w:ascii="Times New Roman" w:eastAsia="Times New Roman" w:hAnsi="Times New Roman" w:cs="Times New Roman"/>
          <w:sz w:val="24"/>
          <w:szCs w:val="24"/>
        </w:rPr>
        <w:t xml:space="preserve"> P, </w:t>
      </w:r>
      <w:proofErr w:type="spellStart"/>
      <w:r w:rsidRPr="00AF6D9C">
        <w:rPr>
          <w:rFonts w:ascii="Times New Roman" w:eastAsia="Times New Roman" w:hAnsi="Times New Roman" w:cs="Times New Roman"/>
          <w:sz w:val="24"/>
          <w:szCs w:val="24"/>
        </w:rPr>
        <w:t>Foysal</w:t>
      </w:r>
      <w:proofErr w:type="spellEnd"/>
      <w:r w:rsidRPr="00AF6D9C">
        <w:rPr>
          <w:rFonts w:ascii="Times New Roman" w:eastAsia="Times New Roman" w:hAnsi="Times New Roman" w:cs="Times New Roman"/>
          <w:sz w:val="24"/>
          <w:szCs w:val="24"/>
        </w:rPr>
        <w:t xml:space="preserve"> AU, Uddin MJ, Ferdous J, Tahsin MR, Aktar F, Kabir S. An evaluation of potential </w:t>
      </w:r>
      <w:proofErr w:type="spellStart"/>
      <w:r w:rsidRPr="00AF6D9C">
        <w:rPr>
          <w:rFonts w:ascii="Times New Roman" w:eastAsia="Times New Roman" w:hAnsi="Times New Roman" w:cs="Times New Roman"/>
          <w:sz w:val="24"/>
          <w:szCs w:val="24"/>
        </w:rPr>
        <w:t>hepato</w:t>
      </w:r>
      <w:proofErr w:type="spellEnd"/>
      <w:r w:rsidRPr="00AF6D9C">
        <w:rPr>
          <w:rFonts w:ascii="Times New Roman" w:eastAsia="Times New Roman" w:hAnsi="Times New Roman" w:cs="Times New Roman"/>
          <w:sz w:val="24"/>
          <w:szCs w:val="24"/>
        </w:rPr>
        <w:t xml:space="preserve">–protective properties of </w:t>
      </w:r>
      <w:proofErr w:type="spellStart"/>
      <w:r w:rsidRPr="00AF6D9C">
        <w:rPr>
          <w:rFonts w:ascii="Times New Roman" w:eastAsia="Times New Roman" w:hAnsi="Times New Roman" w:cs="Times New Roman"/>
          <w:sz w:val="24"/>
          <w:szCs w:val="24"/>
        </w:rPr>
        <w:t>hylocereus</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undatus</w:t>
      </w:r>
      <w:proofErr w:type="spellEnd"/>
      <w:r w:rsidRPr="00AF6D9C">
        <w:rPr>
          <w:rFonts w:ascii="Times New Roman" w:eastAsia="Times New Roman" w:hAnsi="Times New Roman" w:cs="Times New Roman"/>
          <w:sz w:val="24"/>
          <w:szCs w:val="24"/>
        </w:rPr>
        <w:t xml:space="preserve"> fruit in experimental rat model. Biomedical Journal of Scientific &amp; Technical Research. 2022;43(2):34405-16.</w:t>
      </w:r>
    </w:p>
    <w:p w14:paraId="4411AFCB"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Chowdhury MM, Sikder MI, Islam MR, Barua N, Yeasmin S, Eva TA, et al. A review of ethnomedicinal uses, phytochemistry, nutritional values, and pharmacological activities of </w:t>
      </w:r>
      <w:proofErr w:type="spellStart"/>
      <w:r w:rsidRPr="00AF6D9C">
        <w:rPr>
          <w:rFonts w:ascii="Times New Roman" w:eastAsia="Times New Roman" w:hAnsi="Times New Roman" w:cs="Times New Roman"/>
          <w:sz w:val="24"/>
          <w:szCs w:val="24"/>
        </w:rPr>
        <w:t>Hylocereus</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polyrhizus</w:t>
      </w:r>
      <w:proofErr w:type="spellEnd"/>
      <w:r w:rsidRPr="00AF6D9C">
        <w:rPr>
          <w:rFonts w:ascii="Times New Roman" w:eastAsia="Times New Roman" w:hAnsi="Times New Roman" w:cs="Times New Roman"/>
          <w:sz w:val="24"/>
          <w:szCs w:val="24"/>
        </w:rPr>
        <w:t xml:space="preserve">. J </w:t>
      </w:r>
      <w:proofErr w:type="spellStart"/>
      <w:r w:rsidRPr="00AF6D9C">
        <w:rPr>
          <w:rFonts w:ascii="Times New Roman" w:eastAsia="Times New Roman" w:hAnsi="Times New Roman" w:cs="Times New Roman"/>
          <w:sz w:val="24"/>
          <w:szCs w:val="24"/>
        </w:rPr>
        <w:t>Herbmed</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Pharmacol</w:t>
      </w:r>
      <w:proofErr w:type="spellEnd"/>
      <w:r w:rsidRPr="00AF6D9C">
        <w:rPr>
          <w:rFonts w:ascii="Times New Roman" w:eastAsia="Times New Roman" w:hAnsi="Times New Roman" w:cs="Times New Roman"/>
          <w:sz w:val="24"/>
          <w:szCs w:val="24"/>
        </w:rPr>
        <w:t xml:space="preserve">. 2024;13(3):353-365. </w:t>
      </w:r>
      <w:proofErr w:type="spellStart"/>
      <w:r w:rsidRPr="00AF6D9C">
        <w:rPr>
          <w:rFonts w:ascii="Times New Roman" w:eastAsia="Times New Roman" w:hAnsi="Times New Roman" w:cs="Times New Roman"/>
          <w:sz w:val="24"/>
          <w:szCs w:val="24"/>
        </w:rPr>
        <w:t>doi</w:t>
      </w:r>
      <w:proofErr w:type="spellEnd"/>
      <w:r w:rsidRPr="00AF6D9C">
        <w:rPr>
          <w:rFonts w:ascii="Times New Roman" w:eastAsia="Times New Roman" w:hAnsi="Times New Roman" w:cs="Times New Roman"/>
          <w:sz w:val="24"/>
          <w:szCs w:val="24"/>
        </w:rPr>
        <w:t>: 10.34172/jhp.2024.49411.</w:t>
      </w:r>
    </w:p>
    <w:p w14:paraId="7591D4D6" w14:textId="122D099E"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lastRenderedPageBreak/>
        <w:t xml:space="preserve">Lima NN, Dolon NN, Maliha F, Ullah MR, Humayra F, Chowdhury MM, </w:t>
      </w:r>
      <w:proofErr w:type="spellStart"/>
      <w:r w:rsidRPr="00AF6D9C">
        <w:rPr>
          <w:rFonts w:ascii="Times New Roman" w:eastAsia="Times New Roman" w:hAnsi="Times New Roman" w:cs="Times New Roman"/>
          <w:sz w:val="24"/>
          <w:szCs w:val="24"/>
        </w:rPr>
        <w:t>Rupak</w:t>
      </w:r>
      <w:proofErr w:type="spellEnd"/>
      <w:r w:rsidRPr="00AF6D9C">
        <w:rPr>
          <w:rFonts w:ascii="Times New Roman" w:eastAsia="Times New Roman" w:hAnsi="Times New Roman" w:cs="Times New Roman"/>
          <w:sz w:val="24"/>
          <w:szCs w:val="24"/>
        </w:rPr>
        <w:t xml:space="preserve"> MA, </w:t>
      </w:r>
      <w:proofErr w:type="spellStart"/>
      <w:r w:rsidRPr="00AF6D9C">
        <w:rPr>
          <w:rFonts w:ascii="Times New Roman" w:eastAsia="Times New Roman" w:hAnsi="Times New Roman" w:cs="Times New Roman"/>
          <w:sz w:val="24"/>
          <w:szCs w:val="24"/>
        </w:rPr>
        <w:t>Baroi</w:t>
      </w:r>
      <w:proofErr w:type="spellEnd"/>
      <w:r w:rsidRPr="00AF6D9C">
        <w:rPr>
          <w:rFonts w:ascii="Times New Roman" w:eastAsia="Times New Roman" w:hAnsi="Times New Roman" w:cs="Times New Roman"/>
          <w:sz w:val="24"/>
          <w:szCs w:val="24"/>
        </w:rPr>
        <w:t xml:space="preserve"> JA, </w:t>
      </w:r>
      <w:proofErr w:type="spellStart"/>
      <w:r w:rsidRPr="00AF6D9C">
        <w:rPr>
          <w:rFonts w:ascii="Times New Roman" w:eastAsia="Times New Roman" w:hAnsi="Times New Roman" w:cs="Times New Roman"/>
          <w:sz w:val="24"/>
          <w:szCs w:val="24"/>
        </w:rPr>
        <w:t>Shohan</w:t>
      </w:r>
      <w:proofErr w:type="spellEnd"/>
      <w:r w:rsidRPr="00AF6D9C">
        <w:rPr>
          <w:rFonts w:ascii="Times New Roman" w:eastAsia="Times New Roman" w:hAnsi="Times New Roman" w:cs="Times New Roman"/>
          <w:sz w:val="24"/>
          <w:szCs w:val="24"/>
        </w:rPr>
        <w:t xml:space="preserve"> FS, </w:t>
      </w:r>
      <w:proofErr w:type="spellStart"/>
      <w:r w:rsidRPr="00AF6D9C">
        <w:rPr>
          <w:rFonts w:ascii="Times New Roman" w:eastAsia="Times New Roman" w:hAnsi="Times New Roman" w:cs="Times New Roman"/>
          <w:sz w:val="24"/>
          <w:szCs w:val="24"/>
        </w:rPr>
        <w:t>Tashin</w:t>
      </w:r>
      <w:proofErr w:type="spellEnd"/>
      <w:r w:rsidRPr="00AF6D9C">
        <w:rPr>
          <w:rFonts w:ascii="Times New Roman" w:eastAsia="Times New Roman" w:hAnsi="Times New Roman" w:cs="Times New Roman"/>
          <w:sz w:val="24"/>
          <w:szCs w:val="24"/>
        </w:rPr>
        <w:t xml:space="preserve"> R. An Eva</w:t>
      </w:r>
      <w:r w:rsidR="00E01F1B">
        <w:rPr>
          <w:rFonts w:ascii="Times New Roman" w:eastAsia="Times New Roman" w:hAnsi="Times New Roman" w:cs="Times New Roman"/>
          <w:sz w:val="24"/>
          <w:szCs w:val="24"/>
        </w:rPr>
        <w:t>luation of Analgesic and Anti-</w:t>
      </w:r>
      <w:r w:rsidRPr="00AF6D9C">
        <w:rPr>
          <w:rFonts w:ascii="Times New Roman" w:eastAsia="Times New Roman" w:hAnsi="Times New Roman" w:cs="Times New Roman"/>
          <w:sz w:val="24"/>
          <w:szCs w:val="24"/>
        </w:rPr>
        <w:t>Inflammatory Activity of Ficus racemosa in Rat Model.</w:t>
      </w:r>
    </w:p>
    <w:p w14:paraId="769F0AA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Yang L, </w:t>
      </w:r>
      <w:proofErr w:type="spellStart"/>
      <w:r w:rsidRPr="00AF6D9C">
        <w:rPr>
          <w:rFonts w:ascii="Times New Roman" w:eastAsia="Times New Roman" w:hAnsi="Times New Roman" w:cs="Times New Roman"/>
          <w:sz w:val="24"/>
          <w:szCs w:val="24"/>
        </w:rPr>
        <w:t>Stöckigt</w:t>
      </w:r>
      <w:proofErr w:type="spellEnd"/>
      <w:r w:rsidRPr="00AF6D9C">
        <w:rPr>
          <w:rFonts w:ascii="Times New Roman" w:eastAsia="Times New Roman" w:hAnsi="Times New Roman" w:cs="Times New Roman"/>
          <w:sz w:val="24"/>
          <w:szCs w:val="24"/>
        </w:rPr>
        <w:t xml:space="preserve"> J. Trends for </w:t>
      </w:r>
      <w:proofErr w:type="spellStart"/>
      <w:r w:rsidRPr="00AF6D9C">
        <w:rPr>
          <w:rFonts w:ascii="Times New Roman" w:eastAsia="Times New Roman" w:hAnsi="Times New Roman" w:cs="Times New Roman"/>
          <w:sz w:val="24"/>
          <w:szCs w:val="24"/>
        </w:rPr>
        <w:t>diverseproduction</w:t>
      </w:r>
      <w:proofErr w:type="spellEnd"/>
      <w:r w:rsidRPr="00AF6D9C">
        <w:rPr>
          <w:rFonts w:ascii="Times New Roman" w:eastAsia="Times New Roman" w:hAnsi="Times New Roman" w:cs="Times New Roman"/>
          <w:sz w:val="24"/>
          <w:szCs w:val="24"/>
        </w:rPr>
        <w:t xml:space="preserve"> strategies of plant </w:t>
      </w:r>
      <w:proofErr w:type="spellStart"/>
      <w:r w:rsidRPr="00AF6D9C">
        <w:rPr>
          <w:rFonts w:ascii="Times New Roman" w:eastAsia="Times New Roman" w:hAnsi="Times New Roman" w:cs="Times New Roman"/>
          <w:sz w:val="24"/>
          <w:szCs w:val="24"/>
        </w:rPr>
        <w:t>medicinalalkaloids</w:t>
      </w:r>
      <w:proofErr w:type="spellEnd"/>
      <w:r w:rsidRPr="00AF6D9C">
        <w:rPr>
          <w:rFonts w:ascii="Times New Roman" w:eastAsia="Times New Roman" w:hAnsi="Times New Roman" w:cs="Times New Roman"/>
          <w:sz w:val="24"/>
          <w:szCs w:val="24"/>
        </w:rPr>
        <w:t>. Natural product reports. 2010;27(10):1469-1479.</w:t>
      </w:r>
    </w:p>
    <w:p w14:paraId="4E67AA1D" w14:textId="77777777" w:rsidR="00CD1ABD" w:rsidRPr="00E01F1B"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E01F1B">
        <w:rPr>
          <w:rFonts w:ascii="Times New Roman" w:eastAsia="Times New Roman" w:hAnsi="Times New Roman" w:cs="Times New Roman"/>
          <w:sz w:val="24"/>
          <w:szCs w:val="24"/>
        </w:rPr>
        <w:t>Saxena</w:t>
      </w:r>
      <w:proofErr w:type="spellEnd"/>
      <w:r w:rsidRPr="00E01F1B">
        <w:rPr>
          <w:rFonts w:ascii="Times New Roman" w:eastAsia="Times New Roman" w:hAnsi="Times New Roman" w:cs="Times New Roman"/>
          <w:sz w:val="24"/>
          <w:szCs w:val="24"/>
        </w:rPr>
        <w:t xml:space="preserve"> M, </w:t>
      </w:r>
      <w:proofErr w:type="spellStart"/>
      <w:r w:rsidRPr="00E01F1B">
        <w:rPr>
          <w:rFonts w:ascii="Times New Roman" w:eastAsia="Times New Roman" w:hAnsi="Times New Roman" w:cs="Times New Roman"/>
          <w:sz w:val="24"/>
          <w:szCs w:val="24"/>
        </w:rPr>
        <w:t>Saxena</w:t>
      </w:r>
      <w:proofErr w:type="spellEnd"/>
      <w:r w:rsidRPr="00E01F1B">
        <w:rPr>
          <w:rFonts w:ascii="Times New Roman" w:eastAsia="Times New Roman" w:hAnsi="Times New Roman" w:cs="Times New Roman"/>
          <w:sz w:val="24"/>
          <w:szCs w:val="24"/>
        </w:rPr>
        <w:t xml:space="preserve"> J, </w:t>
      </w:r>
      <w:proofErr w:type="spellStart"/>
      <w:r w:rsidRPr="00E01F1B">
        <w:rPr>
          <w:rFonts w:ascii="Times New Roman" w:eastAsia="Times New Roman" w:hAnsi="Times New Roman" w:cs="Times New Roman"/>
          <w:sz w:val="24"/>
          <w:szCs w:val="24"/>
        </w:rPr>
        <w:t>Nema</w:t>
      </w:r>
      <w:proofErr w:type="spellEnd"/>
      <w:r w:rsidRPr="00E01F1B">
        <w:rPr>
          <w:rFonts w:ascii="Times New Roman" w:eastAsia="Times New Roman" w:hAnsi="Times New Roman" w:cs="Times New Roman"/>
          <w:sz w:val="24"/>
          <w:szCs w:val="24"/>
        </w:rPr>
        <w:t xml:space="preserve"> R, Singh </w:t>
      </w:r>
      <w:proofErr w:type="spellStart"/>
      <w:r w:rsidRPr="00E01F1B">
        <w:rPr>
          <w:rFonts w:ascii="Times New Roman" w:eastAsia="Times New Roman" w:hAnsi="Times New Roman" w:cs="Times New Roman"/>
          <w:sz w:val="24"/>
          <w:szCs w:val="24"/>
        </w:rPr>
        <w:t>D,Gupta</w:t>
      </w:r>
      <w:proofErr w:type="spellEnd"/>
      <w:r w:rsidRPr="00E01F1B">
        <w:rPr>
          <w:rFonts w:ascii="Times New Roman" w:eastAsia="Times New Roman" w:hAnsi="Times New Roman" w:cs="Times New Roman"/>
          <w:sz w:val="24"/>
          <w:szCs w:val="24"/>
        </w:rPr>
        <w:t xml:space="preserve"> A. </w:t>
      </w:r>
      <w:proofErr w:type="spellStart"/>
      <w:r w:rsidRPr="00E01F1B">
        <w:rPr>
          <w:rFonts w:ascii="Times New Roman" w:eastAsia="Times New Roman" w:hAnsi="Times New Roman" w:cs="Times New Roman"/>
          <w:sz w:val="24"/>
          <w:szCs w:val="24"/>
        </w:rPr>
        <w:t>Phytochemistry</w:t>
      </w:r>
      <w:proofErr w:type="spellEnd"/>
      <w:r w:rsidRPr="00E01F1B">
        <w:rPr>
          <w:rFonts w:ascii="Times New Roman" w:eastAsia="Times New Roman" w:hAnsi="Times New Roman" w:cs="Times New Roman"/>
          <w:sz w:val="24"/>
          <w:szCs w:val="24"/>
        </w:rPr>
        <w:t xml:space="preserve"> of </w:t>
      </w:r>
      <w:proofErr w:type="spellStart"/>
      <w:r w:rsidRPr="00E01F1B">
        <w:rPr>
          <w:rFonts w:ascii="Times New Roman" w:eastAsia="Times New Roman" w:hAnsi="Times New Roman" w:cs="Times New Roman"/>
          <w:sz w:val="24"/>
          <w:szCs w:val="24"/>
        </w:rPr>
        <w:t>medicinalplants</w:t>
      </w:r>
      <w:proofErr w:type="spellEnd"/>
      <w:r w:rsidRPr="00E01F1B">
        <w:rPr>
          <w:rFonts w:ascii="Times New Roman" w:eastAsia="Times New Roman" w:hAnsi="Times New Roman" w:cs="Times New Roman"/>
          <w:sz w:val="24"/>
          <w:szCs w:val="24"/>
        </w:rPr>
        <w:t xml:space="preserve">. Journal of </w:t>
      </w:r>
      <w:proofErr w:type="spellStart"/>
      <w:r w:rsidRPr="00E01F1B">
        <w:rPr>
          <w:rFonts w:ascii="Times New Roman" w:eastAsia="Times New Roman" w:hAnsi="Times New Roman" w:cs="Times New Roman"/>
          <w:sz w:val="24"/>
          <w:szCs w:val="24"/>
        </w:rPr>
        <w:t>Pharmacognosy</w:t>
      </w:r>
      <w:proofErr w:type="spellEnd"/>
      <w:r w:rsidRPr="00E01F1B">
        <w:rPr>
          <w:rFonts w:ascii="Times New Roman" w:eastAsia="Times New Roman" w:hAnsi="Times New Roman" w:cs="Times New Roman"/>
          <w:sz w:val="24"/>
          <w:szCs w:val="24"/>
        </w:rPr>
        <w:t xml:space="preserve"> </w:t>
      </w:r>
      <w:proofErr w:type="spellStart"/>
      <w:r w:rsidRPr="00E01F1B">
        <w:rPr>
          <w:rFonts w:ascii="Times New Roman" w:eastAsia="Times New Roman" w:hAnsi="Times New Roman" w:cs="Times New Roman"/>
          <w:sz w:val="24"/>
          <w:szCs w:val="24"/>
        </w:rPr>
        <w:t>andPhytochemistry</w:t>
      </w:r>
      <w:proofErr w:type="spellEnd"/>
      <w:r w:rsidRPr="00E01F1B">
        <w:rPr>
          <w:rFonts w:ascii="Times New Roman" w:eastAsia="Times New Roman" w:hAnsi="Times New Roman" w:cs="Times New Roman"/>
          <w:sz w:val="24"/>
          <w:szCs w:val="24"/>
        </w:rPr>
        <w:t>. 2013; 1(6):168-18210</w:t>
      </w:r>
    </w:p>
    <w:p w14:paraId="79F5FC77" w14:textId="712A0C3C" w:rsidR="00CD1ABD" w:rsidRPr="00E01F1B" w:rsidRDefault="00E01F1B"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E01F1B">
        <w:rPr>
          <w:rFonts w:ascii="Times New Roman" w:hAnsi="Times New Roman" w:cs="Times New Roman"/>
          <w:color w:val="222222"/>
          <w:sz w:val="24"/>
          <w:szCs w:val="24"/>
          <w:shd w:val="clear" w:color="auto" w:fill="FFFFFF"/>
        </w:rPr>
        <w:t>Chowdhury, M., Chakma, B., Islam, A. </w:t>
      </w:r>
      <w:r w:rsidRPr="00E01F1B">
        <w:rPr>
          <w:rFonts w:ascii="Times New Roman" w:hAnsi="Times New Roman" w:cs="Times New Roman"/>
          <w:i/>
          <w:iCs/>
          <w:color w:val="222222"/>
          <w:sz w:val="24"/>
          <w:szCs w:val="24"/>
          <w:shd w:val="clear" w:color="auto" w:fill="FFFFFF"/>
        </w:rPr>
        <w:t>et al.</w:t>
      </w:r>
      <w:r w:rsidRPr="00E01F1B">
        <w:rPr>
          <w:rFonts w:ascii="Times New Roman" w:hAnsi="Times New Roman" w:cs="Times New Roman"/>
          <w:color w:val="222222"/>
          <w:sz w:val="24"/>
          <w:szCs w:val="24"/>
          <w:shd w:val="clear" w:color="auto" w:fill="FFFFFF"/>
        </w:rPr>
        <w:t> Phytochemical investigation and in vitro and in vivo pharmacological activities of methanol extract of whole plant </w:t>
      </w:r>
      <w:proofErr w:type="spellStart"/>
      <w:r w:rsidRPr="00E01F1B">
        <w:rPr>
          <w:rFonts w:ascii="Times New Roman" w:hAnsi="Times New Roman" w:cs="Times New Roman"/>
          <w:i/>
          <w:iCs/>
          <w:color w:val="222222"/>
          <w:sz w:val="24"/>
          <w:szCs w:val="24"/>
          <w:shd w:val="clear" w:color="auto" w:fill="FFFFFF"/>
        </w:rPr>
        <w:t>Argyreia</w:t>
      </w:r>
      <w:proofErr w:type="spellEnd"/>
      <w:r w:rsidRPr="00E01F1B">
        <w:rPr>
          <w:rFonts w:ascii="Times New Roman" w:hAnsi="Times New Roman" w:cs="Times New Roman"/>
          <w:i/>
          <w:iCs/>
          <w:color w:val="222222"/>
          <w:sz w:val="24"/>
          <w:szCs w:val="24"/>
          <w:shd w:val="clear" w:color="auto" w:fill="FFFFFF"/>
        </w:rPr>
        <w:t xml:space="preserve"> </w:t>
      </w:r>
      <w:proofErr w:type="spellStart"/>
      <w:r w:rsidRPr="00E01F1B">
        <w:rPr>
          <w:rFonts w:ascii="Times New Roman" w:hAnsi="Times New Roman" w:cs="Times New Roman"/>
          <w:i/>
          <w:iCs/>
          <w:color w:val="222222"/>
          <w:sz w:val="24"/>
          <w:szCs w:val="24"/>
          <w:shd w:val="clear" w:color="auto" w:fill="FFFFFF"/>
        </w:rPr>
        <w:t>capitiformis</w:t>
      </w:r>
      <w:proofErr w:type="spellEnd"/>
      <w:r w:rsidRPr="00E01F1B">
        <w:rPr>
          <w:rFonts w:ascii="Times New Roman" w:hAnsi="Times New Roman" w:cs="Times New Roman"/>
          <w:color w:val="222222"/>
          <w:sz w:val="24"/>
          <w:szCs w:val="24"/>
          <w:shd w:val="clear" w:color="auto" w:fill="FFFFFF"/>
        </w:rPr>
        <w:t> (</w:t>
      </w:r>
      <w:proofErr w:type="spellStart"/>
      <w:r w:rsidRPr="00E01F1B">
        <w:rPr>
          <w:rFonts w:ascii="Times New Roman" w:hAnsi="Times New Roman" w:cs="Times New Roman"/>
          <w:color w:val="222222"/>
          <w:sz w:val="24"/>
          <w:szCs w:val="24"/>
          <w:shd w:val="clear" w:color="auto" w:fill="FFFFFF"/>
        </w:rPr>
        <w:t>Poir</w:t>
      </w:r>
      <w:proofErr w:type="spellEnd"/>
      <w:r w:rsidRPr="00E01F1B">
        <w:rPr>
          <w:rFonts w:ascii="Times New Roman" w:hAnsi="Times New Roman" w:cs="Times New Roman"/>
          <w:color w:val="222222"/>
          <w:sz w:val="24"/>
          <w:szCs w:val="24"/>
          <w:shd w:val="clear" w:color="auto" w:fill="FFFFFF"/>
        </w:rPr>
        <w:t xml:space="preserve">.) </w:t>
      </w:r>
      <w:proofErr w:type="spellStart"/>
      <w:r w:rsidRPr="00E01F1B">
        <w:rPr>
          <w:rFonts w:ascii="Times New Roman" w:hAnsi="Times New Roman" w:cs="Times New Roman"/>
          <w:color w:val="222222"/>
          <w:sz w:val="24"/>
          <w:szCs w:val="24"/>
          <w:shd w:val="clear" w:color="auto" w:fill="FFFFFF"/>
        </w:rPr>
        <w:t>Ooststr</w:t>
      </w:r>
      <w:proofErr w:type="spellEnd"/>
      <w:r w:rsidRPr="00E01F1B">
        <w:rPr>
          <w:rFonts w:ascii="Times New Roman" w:hAnsi="Times New Roman" w:cs="Times New Roman"/>
          <w:color w:val="222222"/>
          <w:sz w:val="24"/>
          <w:szCs w:val="24"/>
          <w:shd w:val="clear" w:color="auto" w:fill="FFFFFF"/>
        </w:rPr>
        <w:t>. </w:t>
      </w:r>
      <w:proofErr w:type="spellStart"/>
      <w:r w:rsidRPr="00E01F1B">
        <w:rPr>
          <w:rFonts w:ascii="Times New Roman" w:hAnsi="Times New Roman" w:cs="Times New Roman"/>
          <w:i/>
          <w:iCs/>
          <w:color w:val="222222"/>
          <w:sz w:val="24"/>
          <w:szCs w:val="24"/>
          <w:shd w:val="clear" w:color="auto" w:fill="FFFFFF"/>
        </w:rPr>
        <w:t>Clin</w:t>
      </w:r>
      <w:proofErr w:type="spellEnd"/>
      <w:r w:rsidRPr="00E01F1B">
        <w:rPr>
          <w:rFonts w:ascii="Times New Roman" w:hAnsi="Times New Roman" w:cs="Times New Roman"/>
          <w:i/>
          <w:iCs/>
          <w:color w:val="222222"/>
          <w:sz w:val="24"/>
          <w:szCs w:val="24"/>
          <w:shd w:val="clear" w:color="auto" w:fill="FFFFFF"/>
        </w:rPr>
        <w:t xml:space="preserve"> </w:t>
      </w:r>
      <w:proofErr w:type="spellStart"/>
      <w:r w:rsidRPr="00E01F1B">
        <w:rPr>
          <w:rFonts w:ascii="Times New Roman" w:hAnsi="Times New Roman" w:cs="Times New Roman"/>
          <w:i/>
          <w:iCs/>
          <w:color w:val="222222"/>
          <w:sz w:val="24"/>
          <w:szCs w:val="24"/>
          <w:shd w:val="clear" w:color="auto" w:fill="FFFFFF"/>
        </w:rPr>
        <w:t>Phytosci</w:t>
      </w:r>
      <w:proofErr w:type="spellEnd"/>
      <w:r w:rsidRPr="00E01F1B">
        <w:rPr>
          <w:rFonts w:ascii="Times New Roman" w:hAnsi="Times New Roman" w:cs="Times New Roman"/>
          <w:color w:val="222222"/>
          <w:sz w:val="24"/>
          <w:szCs w:val="24"/>
          <w:shd w:val="clear" w:color="auto" w:fill="FFFFFF"/>
        </w:rPr>
        <w:t> </w:t>
      </w:r>
      <w:r w:rsidRPr="00E01F1B">
        <w:rPr>
          <w:rFonts w:ascii="Times New Roman" w:hAnsi="Times New Roman" w:cs="Times New Roman"/>
          <w:b/>
          <w:bCs/>
          <w:color w:val="222222"/>
          <w:sz w:val="24"/>
          <w:szCs w:val="24"/>
          <w:shd w:val="clear" w:color="auto" w:fill="FFFFFF"/>
        </w:rPr>
        <w:t>10</w:t>
      </w:r>
      <w:r w:rsidRPr="00E01F1B">
        <w:rPr>
          <w:rFonts w:ascii="Times New Roman" w:hAnsi="Times New Roman" w:cs="Times New Roman"/>
          <w:color w:val="222222"/>
          <w:sz w:val="24"/>
          <w:szCs w:val="24"/>
          <w:shd w:val="clear" w:color="auto" w:fill="FFFFFF"/>
        </w:rPr>
        <w:t>, 18 (2024). https://doi.org/10.1186/s40816-024-00380-z</w:t>
      </w:r>
      <w:r w:rsidR="00CD1ABD" w:rsidRPr="00E01F1B">
        <w:rPr>
          <w:rFonts w:ascii="Times New Roman" w:eastAsia="Times New Roman" w:hAnsi="Times New Roman" w:cs="Times New Roman"/>
          <w:sz w:val="24"/>
          <w:szCs w:val="24"/>
        </w:rPr>
        <w:t>.</w:t>
      </w:r>
    </w:p>
    <w:p w14:paraId="6CE34A94"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Pracheta SS, Sharma V, Paliwal R, Sharma S, Yadav S, Singh L, et al. Chemoprotective activity of hydro-ethanolic extract of Euphorbia </w:t>
      </w:r>
      <w:proofErr w:type="spellStart"/>
      <w:r w:rsidRPr="00AF6D9C">
        <w:rPr>
          <w:rFonts w:ascii="Times New Roman" w:eastAsia="Times New Roman" w:hAnsi="Times New Roman" w:cs="Times New Roman"/>
          <w:sz w:val="24"/>
          <w:szCs w:val="24"/>
        </w:rPr>
        <w:t>nerrifolia</w:t>
      </w:r>
      <w:proofErr w:type="spellEnd"/>
      <w:r w:rsidRPr="00AF6D9C">
        <w:rPr>
          <w:rFonts w:ascii="Times New Roman" w:eastAsia="Times New Roman" w:hAnsi="Times New Roman" w:cs="Times New Roman"/>
          <w:sz w:val="24"/>
          <w:szCs w:val="24"/>
        </w:rPr>
        <w:t xml:space="preserve"> Linn. Leaves against DENA-induced liver carcinogenesis in mice. Biol Med. 2011; 3(2):36–44.</w:t>
      </w:r>
    </w:p>
    <w:p w14:paraId="66B0F897"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Jaffar HM, Rizwan B, Sukhera S, Noreen S, Koser N, Islam Z, Batool SA. A comprehensive review on therapeutic properties of Bombax ceiba: therapeutic properties of Bombax ceiba. Pakistan </w:t>
      </w:r>
      <w:proofErr w:type="spellStart"/>
      <w:r w:rsidRPr="00AF6D9C">
        <w:rPr>
          <w:rFonts w:ascii="Times New Roman" w:eastAsia="Times New Roman" w:hAnsi="Times New Roman" w:cs="Times New Roman"/>
          <w:sz w:val="24"/>
          <w:szCs w:val="24"/>
        </w:rPr>
        <w:t>BioMedical</w:t>
      </w:r>
      <w:proofErr w:type="spellEnd"/>
      <w:r w:rsidRPr="00AF6D9C">
        <w:rPr>
          <w:rFonts w:ascii="Times New Roman" w:eastAsia="Times New Roman" w:hAnsi="Times New Roman" w:cs="Times New Roman"/>
          <w:sz w:val="24"/>
          <w:szCs w:val="24"/>
        </w:rPr>
        <w:t xml:space="preserve"> Journal. 2023 Apr 30:08-15.</w:t>
      </w:r>
    </w:p>
    <w:p w14:paraId="2E3D973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Meena V. Shalmali (Bombax ceiba): Versatility in its therapeutics. International Journal of Green Pharmacy (IJGP). 2017 Oct 16;11(03).</w:t>
      </w:r>
    </w:p>
    <w:p w14:paraId="0BDE0094"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Shahat</w:t>
      </w:r>
      <w:proofErr w:type="spellEnd"/>
      <w:r w:rsidRPr="00AF6D9C">
        <w:rPr>
          <w:rFonts w:ascii="Times New Roman" w:eastAsia="Times New Roman" w:hAnsi="Times New Roman" w:cs="Times New Roman"/>
          <w:sz w:val="24"/>
          <w:szCs w:val="24"/>
        </w:rPr>
        <w:t xml:space="preserve"> AA, Hassan RA, </w:t>
      </w:r>
      <w:proofErr w:type="spellStart"/>
      <w:r w:rsidRPr="00AF6D9C">
        <w:rPr>
          <w:rFonts w:ascii="Times New Roman" w:eastAsia="Times New Roman" w:hAnsi="Times New Roman" w:cs="Times New Roman"/>
          <w:sz w:val="24"/>
          <w:szCs w:val="24"/>
        </w:rPr>
        <w:t>Nazif</w:t>
      </w:r>
      <w:proofErr w:type="spellEnd"/>
      <w:r w:rsidRPr="00AF6D9C">
        <w:rPr>
          <w:rFonts w:ascii="Times New Roman" w:eastAsia="Times New Roman" w:hAnsi="Times New Roman" w:cs="Times New Roman"/>
          <w:sz w:val="24"/>
          <w:szCs w:val="24"/>
        </w:rPr>
        <w:t xml:space="preserve"> NM, Van </w:t>
      </w:r>
      <w:proofErr w:type="spellStart"/>
      <w:r w:rsidRPr="00AF6D9C">
        <w:rPr>
          <w:rFonts w:ascii="Times New Roman" w:eastAsia="Times New Roman" w:hAnsi="Times New Roman" w:cs="Times New Roman"/>
          <w:sz w:val="24"/>
          <w:szCs w:val="24"/>
        </w:rPr>
        <w:t>Miert</w:t>
      </w:r>
      <w:proofErr w:type="spellEnd"/>
      <w:r w:rsidRPr="00AF6D9C">
        <w:rPr>
          <w:rFonts w:ascii="Times New Roman" w:eastAsia="Times New Roman" w:hAnsi="Times New Roman" w:cs="Times New Roman"/>
          <w:sz w:val="24"/>
          <w:szCs w:val="24"/>
        </w:rPr>
        <w:t xml:space="preserve"> S, </w:t>
      </w:r>
      <w:proofErr w:type="spellStart"/>
      <w:r w:rsidRPr="00AF6D9C">
        <w:rPr>
          <w:rFonts w:ascii="Times New Roman" w:eastAsia="Times New Roman" w:hAnsi="Times New Roman" w:cs="Times New Roman"/>
          <w:sz w:val="24"/>
          <w:szCs w:val="24"/>
        </w:rPr>
        <w:t>Pieters</w:t>
      </w:r>
      <w:proofErr w:type="spellEnd"/>
      <w:r w:rsidRPr="00AF6D9C">
        <w:rPr>
          <w:rFonts w:ascii="Times New Roman" w:eastAsia="Times New Roman" w:hAnsi="Times New Roman" w:cs="Times New Roman"/>
          <w:sz w:val="24"/>
          <w:szCs w:val="24"/>
        </w:rPr>
        <w:t xml:space="preserve"> L, </w:t>
      </w:r>
      <w:proofErr w:type="spellStart"/>
      <w:r w:rsidRPr="00AF6D9C">
        <w:rPr>
          <w:rFonts w:ascii="Times New Roman" w:eastAsia="Times New Roman" w:hAnsi="Times New Roman" w:cs="Times New Roman"/>
          <w:sz w:val="24"/>
          <w:szCs w:val="24"/>
        </w:rPr>
        <w:t>Hammuda</w:t>
      </w:r>
      <w:proofErr w:type="spellEnd"/>
      <w:r w:rsidRPr="00AF6D9C">
        <w:rPr>
          <w:rFonts w:ascii="Times New Roman" w:eastAsia="Times New Roman" w:hAnsi="Times New Roman" w:cs="Times New Roman"/>
          <w:sz w:val="24"/>
          <w:szCs w:val="24"/>
        </w:rPr>
        <w:t xml:space="preserve"> FM, </w:t>
      </w:r>
      <w:proofErr w:type="spellStart"/>
      <w:r w:rsidRPr="00AF6D9C">
        <w:rPr>
          <w:rFonts w:ascii="Times New Roman" w:eastAsia="Times New Roman" w:hAnsi="Times New Roman" w:cs="Times New Roman"/>
          <w:sz w:val="24"/>
          <w:szCs w:val="24"/>
        </w:rPr>
        <w:t>Vlietinck</w:t>
      </w:r>
      <w:proofErr w:type="spellEnd"/>
      <w:r w:rsidRPr="00AF6D9C">
        <w:rPr>
          <w:rFonts w:ascii="Times New Roman" w:eastAsia="Times New Roman" w:hAnsi="Times New Roman" w:cs="Times New Roman"/>
          <w:sz w:val="24"/>
          <w:szCs w:val="24"/>
        </w:rPr>
        <w:t xml:space="preserve"> AJ. Isolation of </w:t>
      </w:r>
      <w:proofErr w:type="spellStart"/>
      <w:r w:rsidRPr="00AF6D9C">
        <w:rPr>
          <w:rFonts w:ascii="Times New Roman" w:eastAsia="Times New Roman" w:hAnsi="Times New Roman" w:cs="Times New Roman"/>
          <w:sz w:val="24"/>
          <w:szCs w:val="24"/>
        </w:rPr>
        <w:t>mangiferin</w:t>
      </w:r>
      <w:proofErr w:type="spellEnd"/>
      <w:r w:rsidRPr="00AF6D9C">
        <w:rPr>
          <w:rFonts w:ascii="Times New Roman" w:eastAsia="Times New Roman" w:hAnsi="Times New Roman" w:cs="Times New Roman"/>
          <w:sz w:val="24"/>
          <w:szCs w:val="24"/>
        </w:rPr>
        <w:t xml:space="preserve"> from </w:t>
      </w:r>
      <w:proofErr w:type="spellStart"/>
      <w:r w:rsidRPr="00AF6D9C">
        <w:rPr>
          <w:rFonts w:ascii="Times New Roman" w:eastAsia="Times New Roman" w:hAnsi="Times New Roman" w:cs="Times New Roman"/>
          <w:sz w:val="24"/>
          <w:szCs w:val="24"/>
        </w:rPr>
        <w:t>Bombax</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malabaricum</w:t>
      </w:r>
      <w:proofErr w:type="spellEnd"/>
      <w:r w:rsidRPr="00AF6D9C">
        <w:rPr>
          <w:rFonts w:ascii="Times New Roman" w:eastAsia="Times New Roman" w:hAnsi="Times New Roman" w:cs="Times New Roman"/>
          <w:sz w:val="24"/>
          <w:szCs w:val="24"/>
        </w:rPr>
        <w:t xml:space="preserve"> and structure revision of </w:t>
      </w:r>
      <w:proofErr w:type="spellStart"/>
      <w:r w:rsidRPr="00AF6D9C">
        <w:rPr>
          <w:rFonts w:ascii="Times New Roman" w:eastAsia="Times New Roman" w:hAnsi="Times New Roman" w:cs="Times New Roman"/>
          <w:sz w:val="24"/>
          <w:szCs w:val="24"/>
        </w:rPr>
        <w:t>shamimin</w:t>
      </w:r>
      <w:proofErr w:type="spellEnd"/>
      <w:r w:rsidRPr="00AF6D9C">
        <w:rPr>
          <w:rFonts w:ascii="Times New Roman" w:eastAsia="Times New Roman" w:hAnsi="Times New Roman" w:cs="Times New Roman"/>
          <w:sz w:val="24"/>
          <w:szCs w:val="24"/>
        </w:rPr>
        <w:t>. Planta Medica. 2003 Nov;69(11):1068-70.</w:t>
      </w:r>
    </w:p>
    <w:p w14:paraId="5EC8F612" w14:textId="4D7765B3" w:rsidR="00CD1ABD"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Abouelela</w:t>
      </w:r>
      <w:proofErr w:type="spellEnd"/>
      <w:r w:rsidRPr="00AF6D9C">
        <w:rPr>
          <w:rFonts w:ascii="Times New Roman" w:eastAsia="Times New Roman" w:hAnsi="Times New Roman" w:cs="Times New Roman"/>
          <w:sz w:val="24"/>
          <w:szCs w:val="24"/>
        </w:rPr>
        <w:t xml:space="preserve"> ME, </w:t>
      </w:r>
      <w:proofErr w:type="spellStart"/>
      <w:r w:rsidRPr="00AF6D9C">
        <w:rPr>
          <w:rFonts w:ascii="Times New Roman" w:eastAsia="Times New Roman" w:hAnsi="Times New Roman" w:cs="Times New Roman"/>
          <w:sz w:val="24"/>
          <w:szCs w:val="24"/>
        </w:rPr>
        <w:t>Abdelhamid</w:t>
      </w:r>
      <w:proofErr w:type="spellEnd"/>
      <w:r w:rsidRPr="00AF6D9C">
        <w:rPr>
          <w:rFonts w:ascii="Times New Roman" w:eastAsia="Times New Roman" w:hAnsi="Times New Roman" w:cs="Times New Roman"/>
          <w:sz w:val="24"/>
          <w:szCs w:val="24"/>
        </w:rPr>
        <w:t xml:space="preserve"> RA, Orabi MA, Darwish FM. Taxonomy, phytochemistry, and therapeutic potentials of the genus </w:t>
      </w:r>
      <w:proofErr w:type="spellStart"/>
      <w:r w:rsidRPr="00AF6D9C">
        <w:rPr>
          <w:rFonts w:ascii="Times New Roman" w:eastAsia="Times New Roman" w:hAnsi="Times New Roman" w:cs="Times New Roman"/>
          <w:sz w:val="24"/>
          <w:szCs w:val="24"/>
        </w:rPr>
        <w:t>Ceiba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bombacaceae</w:t>
      </w:r>
      <w:proofErr w:type="spellEnd"/>
      <w:r w:rsidRPr="00AF6D9C">
        <w:rPr>
          <w:rFonts w:ascii="Times New Roman" w:eastAsia="Times New Roman" w:hAnsi="Times New Roman" w:cs="Times New Roman"/>
          <w:sz w:val="24"/>
          <w:szCs w:val="24"/>
        </w:rPr>
        <w:t>): a review. Saudi. J. Med. Pharm. Sci. 2019;5(7):666-82.</w:t>
      </w:r>
    </w:p>
    <w:p w14:paraId="788563A2" w14:textId="0AE67911" w:rsidR="009447E0" w:rsidRPr="00AF6D9C" w:rsidRDefault="009447E0" w:rsidP="009447E0">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9447E0">
        <w:rPr>
          <w:rFonts w:ascii="Times New Roman" w:eastAsia="Times New Roman" w:hAnsi="Times New Roman" w:cs="Times New Roman"/>
          <w:sz w:val="24"/>
          <w:szCs w:val="24"/>
        </w:rPr>
        <w:t xml:space="preserve">Wang L, </w:t>
      </w:r>
      <w:proofErr w:type="spellStart"/>
      <w:r w:rsidRPr="009447E0">
        <w:rPr>
          <w:rFonts w:ascii="Times New Roman" w:eastAsia="Times New Roman" w:hAnsi="Times New Roman" w:cs="Times New Roman"/>
          <w:sz w:val="24"/>
          <w:szCs w:val="24"/>
        </w:rPr>
        <w:t>Xie</w:t>
      </w:r>
      <w:proofErr w:type="spellEnd"/>
      <w:r w:rsidRPr="009447E0">
        <w:rPr>
          <w:rFonts w:ascii="Times New Roman" w:eastAsia="Times New Roman" w:hAnsi="Times New Roman" w:cs="Times New Roman"/>
          <w:sz w:val="24"/>
          <w:szCs w:val="24"/>
        </w:rPr>
        <w:t xml:space="preserve"> S, Jiang X, Xu C, Wang Y, Feng J, Yang B. Therapeutic effects of </w:t>
      </w:r>
      <w:proofErr w:type="spellStart"/>
      <w:r w:rsidRPr="009447E0">
        <w:rPr>
          <w:rFonts w:ascii="Times New Roman" w:eastAsia="Times New Roman" w:hAnsi="Times New Roman" w:cs="Times New Roman"/>
          <w:sz w:val="24"/>
          <w:szCs w:val="24"/>
        </w:rPr>
        <w:t>Bombax</w:t>
      </w:r>
      <w:proofErr w:type="spellEnd"/>
      <w:r w:rsidRPr="009447E0">
        <w:rPr>
          <w:rFonts w:ascii="Times New Roman" w:eastAsia="Times New Roman" w:hAnsi="Times New Roman" w:cs="Times New Roman"/>
          <w:sz w:val="24"/>
          <w:szCs w:val="24"/>
        </w:rPr>
        <w:t xml:space="preserve"> </w:t>
      </w:r>
      <w:proofErr w:type="spellStart"/>
      <w:r w:rsidRPr="009447E0">
        <w:rPr>
          <w:rFonts w:ascii="Times New Roman" w:eastAsia="Times New Roman" w:hAnsi="Times New Roman" w:cs="Times New Roman"/>
          <w:sz w:val="24"/>
          <w:szCs w:val="24"/>
        </w:rPr>
        <w:t>ceiba</w:t>
      </w:r>
      <w:proofErr w:type="spellEnd"/>
      <w:r w:rsidRPr="009447E0">
        <w:rPr>
          <w:rFonts w:ascii="Times New Roman" w:eastAsia="Times New Roman" w:hAnsi="Times New Roman" w:cs="Times New Roman"/>
          <w:sz w:val="24"/>
          <w:szCs w:val="24"/>
        </w:rPr>
        <w:t xml:space="preserve"> flower aqueous extracts against </w:t>
      </w:r>
      <w:proofErr w:type="spellStart"/>
      <w:r w:rsidRPr="009447E0">
        <w:rPr>
          <w:rFonts w:ascii="Times New Roman" w:eastAsia="Times New Roman" w:hAnsi="Times New Roman" w:cs="Times New Roman"/>
          <w:sz w:val="24"/>
          <w:szCs w:val="24"/>
        </w:rPr>
        <w:t>loperamide</w:t>
      </w:r>
      <w:proofErr w:type="spellEnd"/>
      <w:r w:rsidRPr="009447E0">
        <w:rPr>
          <w:rFonts w:ascii="Times New Roman" w:eastAsia="Times New Roman" w:hAnsi="Times New Roman" w:cs="Times New Roman"/>
          <w:sz w:val="24"/>
          <w:szCs w:val="24"/>
        </w:rPr>
        <w:t>-induced constipation in mice. Pharmaceutical Biology. 2023 Dec 31;61(1):125-34.</w:t>
      </w:r>
    </w:p>
    <w:p w14:paraId="5E94F53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Arafa</w:t>
      </w:r>
      <w:proofErr w:type="spellEnd"/>
      <w:r w:rsidRPr="00AF6D9C">
        <w:rPr>
          <w:rFonts w:ascii="Times New Roman" w:eastAsia="Times New Roman" w:hAnsi="Times New Roman" w:cs="Times New Roman"/>
          <w:sz w:val="24"/>
          <w:szCs w:val="24"/>
        </w:rPr>
        <w:t xml:space="preserve"> AF, </w:t>
      </w:r>
      <w:proofErr w:type="spellStart"/>
      <w:r w:rsidRPr="00AF6D9C">
        <w:rPr>
          <w:rFonts w:ascii="Times New Roman" w:eastAsia="Times New Roman" w:hAnsi="Times New Roman" w:cs="Times New Roman"/>
          <w:sz w:val="24"/>
          <w:szCs w:val="24"/>
        </w:rPr>
        <w:t>Foda</w:t>
      </w:r>
      <w:proofErr w:type="spellEnd"/>
      <w:r w:rsidRPr="00AF6D9C">
        <w:rPr>
          <w:rFonts w:ascii="Times New Roman" w:eastAsia="Times New Roman" w:hAnsi="Times New Roman" w:cs="Times New Roman"/>
          <w:sz w:val="24"/>
          <w:szCs w:val="24"/>
        </w:rPr>
        <w:t xml:space="preserve"> DS, Mahmoud AH, Metwally NS, Farrag AR. Bombax ceiba flowers extract ameliorates </w:t>
      </w:r>
      <w:proofErr w:type="spellStart"/>
      <w:r w:rsidRPr="00AF6D9C">
        <w:rPr>
          <w:rFonts w:ascii="Times New Roman" w:eastAsia="Times New Roman" w:hAnsi="Times New Roman" w:cs="Times New Roman"/>
          <w:sz w:val="24"/>
          <w:szCs w:val="24"/>
        </w:rPr>
        <w:t>hepatosteatosis</w:t>
      </w:r>
      <w:proofErr w:type="spellEnd"/>
      <w:r w:rsidRPr="00AF6D9C">
        <w:rPr>
          <w:rFonts w:ascii="Times New Roman" w:eastAsia="Times New Roman" w:hAnsi="Times New Roman" w:cs="Times New Roman"/>
          <w:sz w:val="24"/>
          <w:szCs w:val="24"/>
        </w:rPr>
        <w:t xml:space="preserve"> induced by ethanol and relatively moderate fat diet in rats. Toxicology reports. 2019 Jan 1</w:t>
      </w:r>
      <w:proofErr w:type="gramStart"/>
      <w:r w:rsidRPr="00AF6D9C">
        <w:rPr>
          <w:rFonts w:ascii="Times New Roman" w:eastAsia="Times New Roman" w:hAnsi="Times New Roman" w:cs="Times New Roman"/>
          <w:sz w:val="24"/>
          <w:szCs w:val="24"/>
        </w:rPr>
        <w:t>;6:401</w:t>
      </w:r>
      <w:proofErr w:type="gramEnd"/>
      <w:r w:rsidRPr="00AF6D9C">
        <w:rPr>
          <w:rFonts w:ascii="Times New Roman" w:eastAsia="Times New Roman" w:hAnsi="Times New Roman" w:cs="Times New Roman"/>
          <w:sz w:val="24"/>
          <w:szCs w:val="24"/>
        </w:rPr>
        <w:t>-8.</w:t>
      </w:r>
    </w:p>
    <w:p w14:paraId="13912A29"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lastRenderedPageBreak/>
        <w:t xml:space="preserve">Sharma N, </w:t>
      </w:r>
      <w:proofErr w:type="spellStart"/>
      <w:r w:rsidRPr="00AF6D9C">
        <w:rPr>
          <w:rFonts w:ascii="Times New Roman" w:eastAsia="Times New Roman" w:hAnsi="Times New Roman" w:cs="Times New Roman"/>
          <w:sz w:val="24"/>
          <w:szCs w:val="24"/>
        </w:rPr>
        <w:t>Kispotta</w:t>
      </w:r>
      <w:proofErr w:type="spellEnd"/>
      <w:r w:rsidRPr="00AF6D9C">
        <w:rPr>
          <w:rFonts w:ascii="Times New Roman" w:eastAsia="Times New Roman" w:hAnsi="Times New Roman" w:cs="Times New Roman"/>
          <w:sz w:val="24"/>
          <w:szCs w:val="24"/>
        </w:rPr>
        <w:t xml:space="preserve"> S, </w:t>
      </w:r>
      <w:proofErr w:type="spellStart"/>
      <w:r w:rsidRPr="00AF6D9C">
        <w:rPr>
          <w:rFonts w:ascii="Times New Roman" w:eastAsia="Times New Roman" w:hAnsi="Times New Roman" w:cs="Times New Roman"/>
          <w:sz w:val="24"/>
          <w:szCs w:val="24"/>
        </w:rPr>
        <w:t>Mazumder</w:t>
      </w:r>
      <w:proofErr w:type="spellEnd"/>
      <w:r w:rsidRPr="00AF6D9C">
        <w:rPr>
          <w:rFonts w:ascii="Times New Roman" w:eastAsia="Times New Roman" w:hAnsi="Times New Roman" w:cs="Times New Roman"/>
          <w:sz w:val="24"/>
          <w:szCs w:val="24"/>
        </w:rPr>
        <w:t xml:space="preserve"> PM. Immunomodulatory and anticancer activity of Bombax ceiba Linn leaf extract. Asian pacific journal of tropical biomedicine. 2020 Sep 1;10(9):426-32.</w:t>
      </w:r>
    </w:p>
    <w:p w14:paraId="430B2A2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Yasien</w:t>
      </w:r>
      <w:proofErr w:type="spellEnd"/>
      <w:r w:rsidRPr="00AF6D9C">
        <w:rPr>
          <w:rFonts w:ascii="Times New Roman" w:eastAsia="Times New Roman" w:hAnsi="Times New Roman" w:cs="Times New Roman"/>
          <w:sz w:val="24"/>
          <w:szCs w:val="24"/>
        </w:rPr>
        <w:t xml:space="preserve"> S, Iqbal MM, </w:t>
      </w:r>
      <w:proofErr w:type="spellStart"/>
      <w:r w:rsidRPr="00AF6D9C">
        <w:rPr>
          <w:rFonts w:ascii="Times New Roman" w:eastAsia="Times New Roman" w:hAnsi="Times New Roman" w:cs="Times New Roman"/>
          <w:sz w:val="24"/>
          <w:szCs w:val="24"/>
        </w:rPr>
        <w:t>Javed</w:t>
      </w:r>
      <w:proofErr w:type="spellEnd"/>
      <w:r w:rsidRPr="00AF6D9C">
        <w:rPr>
          <w:rFonts w:ascii="Times New Roman" w:eastAsia="Times New Roman" w:hAnsi="Times New Roman" w:cs="Times New Roman"/>
          <w:sz w:val="24"/>
          <w:szCs w:val="24"/>
        </w:rPr>
        <w:t xml:space="preserve"> M, </w:t>
      </w:r>
      <w:proofErr w:type="spellStart"/>
      <w:r w:rsidRPr="00AF6D9C">
        <w:rPr>
          <w:rFonts w:ascii="Times New Roman" w:eastAsia="Times New Roman" w:hAnsi="Times New Roman" w:cs="Times New Roman"/>
          <w:sz w:val="24"/>
          <w:szCs w:val="24"/>
        </w:rPr>
        <w:t>Alnuwaiser</w:t>
      </w:r>
      <w:proofErr w:type="spellEnd"/>
      <w:r w:rsidRPr="00AF6D9C">
        <w:rPr>
          <w:rFonts w:ascii="Times New Roman" w:eastAsia="Times New Roman" w:hAnsi="Times New Roman" w:cs="Times New Roman"/>
          <w:sz w:val="24"/>
          <w:szCs w:val="24"/>
        </w:rPr>
        <w:t xml:space="preserve"> MA, Iqbal S, </w:t>
      </w:r>
      <w:proofErr w:type="spellStart"/>
      <w:r w:rsidRPr="00AF6D9C">
        <w:rPr>
          <w:rFonts w:ascii="Times New Roman" w:eastAsia="Times New Roman" w:hAnsi="Times New Roman" w:cs="Times New Roman"/>
          <w:sz w:val="24"/>
          <w:szCs w:val="24"/>
        </w:rPr>
        <w:t>Mahmood</w:t>
      </w:r>
      <w:proofErr w:type="spellEnd"/>
      <w:r w:rsidRPr="00AF6D9C">
        <w:rPr>
          <w:rFonts w:ascii="Times New Roman" w:eastAsia="Times New Roman" w:hAnsi="Times New Roman" w:cs="Times New Roman"/>
          <w:sz w:val="24"/>
          <w:szCs w:val="24"/>
        </w:rPr>
        <w:t xml:space="preserve"> Q, </w:t>
      </w:r>
      <w:proofErr w:type="spellStart"/>
      <w:r w:rsidRPr="00AF6D9C">
        <w:rPr>
          <w:rFonts w:ascii="Times New Roman" w:eastAsia="Times New Roman" w:hAnsi="Times New Roman" w:cs="Times New Roman"/>
          <w:sz w:val="24"/>
          <w:szCs w:val="24"/>
        </w:rPr>
        <w:t>Elkaeed</w:t>
      </w:r>
      <w:proofErr w:type="spellEnd"/>
      <w:r w:rsidRPr="00AF6D9C">
        <w:rPr>
          <w:rFonts w:ascii="Times New Roman" w:eastAsia="Times New Roman" w:hAnsi="Times New Roman" w:cs="Times New Roman"/>
          <w:sz w:val="24"/>
          <w:szCs w:val="24"/>
        </w:rPr>
        <w:t xml:space="preserve"> EB, </w:t>
      </w:r>
      <w:proofErr w:type="spellStart"/>
      <w:r w:rsidRPr="00AF6D9C">
        <w:rPr>
          <w:rFonts w:ascii="Times New Roman" w:eastAsia="Times New Roman" w:hAnsi="Times New Roman" w:cs="Times New Roman"/>
          <w:sz w:val="24"/>
          <w:szCs w:val="24"/>
        </w:rPr>
        <w:t>Dera</w:t>
      </w:r>
      <w:proofErr w:type="spellEnd"/>
      <w:r w:rsidRPr="00AF6D9C">
        <w:rPr>
          <w:rFonts w:ascii="Times New Roman" w:eastAsia="Times New Roman" w:hAnsi="Times New Roman" w:cs="Times New Roman"/>
          <w:sz w:val="24"/>
          <w:szCs w:val="24"/>
        </w:rPr>
        <w:t xml:space="preserve"> AA, </w:t>
      </w:r>
      <w:proofErr w:type="spellStart"/>
      <w:r w:rsidRPr="00AF6D9C">
        <w:rPr>
          <w:rFonts w:ascii="Times New Roman" w:eastAsia="Times New Roman" w:hAnsi="Times New Roman" w:cs="Times New Roman"/>
          <w:sz w:val="24"/>
          <w:szCs w:val="24"/>
        </w:rPr>
        <w:t>Alrbyawi</w:t>
      </w:r>
      <w:proofErr w:type="spellEnd"/>
      <w:r w:rsidRPr="00AF6D9C">
        <w:rPr>
          <w:rFonts w:ascii="Times New Roman" w:eastAsia="Times New Roman" w:hAnsi="Times New Roman" w:cs="Times New Roman"/>
          <w:sz w:val="24"/>
          <w:szCs w:val="24"/>
        </w:rPr>
        <w:t xml:space="preserve"> H, </w:t>
      </w:r>
      <w:proofErr w:type="spellStart"/>
      <w:r w:rsidRPr="00AF6D9C">
        <w:rPr>
          <w:rFonts w:ascii="Times New Roman" w:eastAsia="Times New Roman" w:hAnsi="Times New Roman" w:cs="Times New Roman"/>
          <w:sz w:val="24"/>
          <w:szCs w:val="24"/>
        </w:rPr>
        <w:t>Pashameah</w:t>
      </w:r>
      <w:proofErr w:type="spellEnd"/>
      <w:r w:rsidRPr="00AF6D9C">
        <w:rPr>
          <w:rFonts w:ascii="Times New Roman" w:eastAsia="Times New Roman" w:hAnsi="Times New Roman" w:cs="Times New Roman"/>
          <w:sz w:val="24"/>
          <w:szCs w:val="24"/>
        </w:rPr>
        <w:t xml:space="preserve"> RA, Alzahrani E. Comparative evaluation of various extraction techniques for secondary metabolites from Bombax ceiba L. flowering plants along with in vitro anti-diabetic performance. Bioengineering. 2022 Sep 20;9(10):486.</w:t>
      </w:r>
    </w:p>
    <w:p w14:paraId="1E5E04E6"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Guang-Kai, X.U., Xiao-Ying, Q.I.N., Guo-Kai, W.A.N.G., Guo-Yong, X.I.E., Xu-Sen, L.I., Chen-Yu, S.U.N., Bao-Lin, L.I.U. and Min-Jian, Q.I.N., 2017. Antihyperglycemic, antihyperlipidemic and antioxidant effects of standard ethanol extract of Bombax ceiba leaves in high-fat-diet-and streptozotocin-induced Type 2 diabetic rats. </w:t>
      </w:r>
      <w:r w:rsidRPr="00AF6D9C">
        <w:rPr>
          <w:rFonts w:ascii="Times New Roman" w:eastAsia="Times New Roman" w:hAnsi="Times New Roman" w:cs="Times New Roman"/>
          <w:i/>
          <w:iCs/>
          <w:sz w:val="24"/>
          <w:szCs w:val="24"/>
        </w:rPr>
        <w:t>Chinese Journal of Natural Medicines</w:t>
      </w:r>
      <w:r w:rsidRPr="00AF6D9C">
        <w:rPr>
          <w:rFonts w:ascii="Times New Roman" w:eastAsia="Times New Roman" w:hAnsi="Times New Roman" w:cs="Times New Roman"/>
          <w:sz w:val="24"/>
          <w:szCs w:val="24"/>
        </w:rPr>
        <w:t xml:space="preserve">, </w:t>
      </w:r>
      <w:r w:rsidRPr="00AF6D9C">
        <w:rPr>
          <w:rFonts w:ascii="Times New Roman" w:eastAsia="Times New Roman" w:hAnsi="Times New Roman" w:cs="Times New Roman"/>
          <w:i/>
          <w:iCs/>
          <w:sz w:val="24"/>
          <w:szCs w:val="24"/>
        </w:rPr>
        <w:t>15</w:t>
      </w:r>
      <w:r w:rsidRPr="00AF6D9C">
        <w:rPr>
          <w:rFonts w:ascii="Times New Roman" w:eastAsia="Times New Roman" w:hAnsi="Times New Roman" w:cs="Times New Roman"/>
          <w:sz w:val="24"/>
          <w:szCs w:val="24"/>
        </w:rPr>
        <w:t>(3), pp.168-177.</w:t>
      </w:r>
    </w:p>
    <w:p w14:paraId="17EEAB65"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Saleem R, Ahmad M, Hussain SA, Qazi AM, Ahmad SI, Qazi MH, Ali M, Faizi S, Akhtar S, Husnain SN. Hypotensive, </w:t>
      </w:r>
      <w:proofErr w:type="spellStart"/>
      <w:r w:rsidRPr="00AF6D9C">
        <w:rPr>
          <w:rFonts w:ascii="Times New Roman" w:eastAsia="Times New Roman" w:hAnsi="Times New Roman" w:cs="Times New Roman"/>
          <w:sz w:val="24"/>
          <w:szCs w:val="24"/>
        </w:rPr>
        <w:t>hypoglycaemic</w:t>
      </w:r>
      <w:proofErr w:type="spellEnd"/>
      <w:r w:rsidRPr="00AF6D9C">
        <w:rPr>
          <w:rFonts w:ascii="Times New Roman" w:eastAsia="Times New Roman" w:hAnsi="Times New Roman" w:cs="Times New Roman"/>
          <w:sz w:val="24"/>
          <w:szCs w:val="24"/>
        </w:rPr>
        <w:t xml:space="preserve"> and toxicological studies on the </w:t>
      </w:r>
      <w:proofErr w:type="spellStart"/>
      <w:r w:rsidRPr="00AF6D9C">
        <w:rPr>
          <w:rFonts w:ascii="Times New Roman" w:eastAsia="Times New Roman" w:hAnsi="Times New Roman" w:cs="Times New Roman"/>
          <w:sz w:val="24"/>
          <w:szCs w:val="24"/>
        </w:rPr>
        <w:t>flavonol</w:t>
      </w:r>
      <w:proofErr w:type="spellEnd"/>
      <w:r w:rsidRPr="00AF6D9C">
        <w:rPr>
          <w:rFonts w:ascii="Times New Roman" w:eastAsia="Times New Roman" w:hAnsi="Times New Roman" w:cs="Times New Roman"/>
          <w:sz w:val="24"/>
          <w:szCs w:val="24"/>
        </w:rPr>
        <w:t xml:space="preserve"> C-glycoside </w:t>
      </w:r>
      <w:proofErr w:type="spellStart"/>
      <w:r w:rsidRPr="00AF6D9C">
        <w:rPr>
          <w:rFonts w:ascii="Times New Roman" w:eastAsia="Times New Roman" w:hAnsi="Times New Roman" w:cs="Times New Roman"/>
          <w:sz w:val="24"/>
          <w:szCs w:val="24"/>
        </w:rPr>
        <w:t>shamimin</w:t>
      </w:r>
      <w:proofErr w:type="spellEnd"/>
      <w:r w:rsidRPr="00AF6D9C">
        <w:rPr>
          <w:rFonts w:ascii="Times New Roman" w:eastAsia="Times New Roman" w:hAnsi="Times New Roman" w:cs="Times New Roman"/>
          <w:sz w:val="24"/>
          <w:szCs w:val="24"/>
        </w:rPr>
        <w:t xml:space="preserve"> from Bombax ceiba. Planta medica. 1999 May;65(04):331-4.</w:t>
      </w:r>
    </w:p>
    <w:p w14:paraId="3A32123D"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Aly O, Elias TR, </w:t>
      </w:r>
      <w:proofErr w:type="spellStart"/>
      <w:r w:rsidRPr="00AF6D9C">
        <w:rPr>
          <w:rFonts w:ascii="Times New Roman" w:eastAsia="Times New Roman" w:hAnsi="Times New Roman" w:cs="Times New Roman"/>
          <w:sz w:val="24"/>
          <w:szCs w:val="24"/>
        </w:rPr>
        <w:t>Agaibyi</w:t>
      </w:r>
      <w:proofErr w:type="spellEnd"/>
      <w:r w:rsidRPr="00AF6D9C">
        <w:rPr>
          <w:rFonts w:ascii="Times New Roman" w:eastAsia="Times New Roman" w:hAnsi="Times New Roman" w:cs="Times New Roman"/>
          <w:sz w:val="24"/>
          <w:szCs w:val="24"/>
        </w:rPr>
        <w:t xml:space="preserve"> MN, Rasheed WI, Yassen NN, Diab Y. Antidiabetic and hepatoprotective activities of Bombax ceiba extract in obese rats with metabolic syndrome. Plant Archives. 2021;21(1):748-56.</w:t>
      </w:r>
    </w:p>
    <w:p w14:paraId="2DF2921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Chikatipalli</w:t>
      </w:r>
      <w:proofErr w:type="spellEnd"/>
      <w:r w:rsidRPr="00AF6D9C">
        <w:rPr>
          <w:rFonts w:ascii="Times New Roman" w:eastAsia="Times New Roman" w:hAnsi="Times New Roman" w:cs="Times New Roman"/>
          <w:sz w:val="24"/>
          <w:szCs w:val="24"/>
        </w:rPr>
        <w:t xml:space="preserve"> R. </w:t>
      </w:r>
      <w:proofErr w:type="spellStart"/>
      <w:r w:rsidRPr="00AF6D9C">
        <w:rPr>
          <w:rFonts w:ascii="Times New Roman" w:eastAsia="Times New Roman" w:hAnsi="Times New Roman" w:cs="Times New Roman"/>
          <w:sz w:val="24"/>
          <w:szCs w:val="24"/>
        </w:rPr>
        <w:t>Pharmacognostic</w:t>
      </w:r>
      <w:proofErr w:type="spellEnd"/>
      <w:r w:rsidRPr="00AF6D9C">
        <w:rPr>
          <w:rFonts w:ascii="Times New Roman" w:eastAsia="Times New Roman" w:hAnsi="Times New Roman" w:cs="Times New Roman"/>
          <w:sz w:val="24"/>
          <w:szCs w:val="24"/>
        </w:rPr>
        <w:t xml:space="preserve"> evaluation and free radical scavenging activity of Bombax ceiba leaf extracts. International Journal of Green Pharmacy (IJGP). 2021 Apr 9;15(1).</w:t>
      </w:r>
    </w:p>
    <w:p w14:paraId="4DDC4836"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Gupta P, Goyal R, Chauhan Y, Sharma PL. Possible modulation of FAS and PTP-1B signaling in ameliorative potential of Bombax ceiba against high fat diet induced obesity. BMC Complementary and Alternative Medicine. 2013 Dec</w:t>
      </w:r>
      <w:proofErr w:type="gramStart"/>
      <w:r w:rsidRPr="00AF6D9C">
        <w:rPr>
          <w:rFonts w:ascii="Times New Roman" w:eastAsia="Times New Roman" w:hAnsi="Times New Roman" w:cs="Times New Roman"/>
          <w:sz w:val="24"/>
          <w:szCs w:val="24"/>
        </w:rPr>
        <w:t>;13:1</w:t>
      </w:r>
      <w:proofErr w:type="gramEnd"/>
      <w:r w:rsidRPr="00AF6D9C">
        <w:rPr>
          <w:rFonts w:ascii="Times New Roman" w:eastAsia="Times New Roman" w:hAnsi="Times New Roman" w:cs="Times New Roman"/>
          <w:sz w:val="24"/>
          <w:szCs w:val="24"/>
        </w:rPr>
        <w:t>-9.</w:t>
      </w:r>
    </w:p>
    <w:p w14:paraId="16CB2C1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Yin K, Yang J, Wang F, Wang Z, Xiang P, Xie X, Sun J, He X, Zhang X. A preliminary study of the chemical composition and bioactivity of Bombax ceiba L. flower and its potential mechanism in treating type 2 diabetes mellitus using ultra-performance liquid chromatography quadrupole-time-flight mass spectrometry and network pharmacology analysis. Frontiers in Nutrition. 2022 Oct 13</w:t>
      </w:r>
      <w:proofErr w:type="gramStart"/>
      <w:r w:rsidRPr="00AF6D9C">
        <w:rPr>
          <w:rFonts w:ascii="Times New Roman" w:eastAsia="Times New Roman" w:hAnsi="Times New Roman" w:cs="Times New Roman"/>
          <w:sz w:val="24"/>
          <w:szCs w:val="24"/>
        </w:rPr>
        <w:t>;9:1018733</w:t>
      </w:r>
      <w:proofErr w:type="gramEnd"/>
      <w:r w:rsidRPr="00AF6D9C">
        <w:rPr>
          <w:rFonts w:ascii="Times New Roman" w:eastAsia="Times New Roman" w:hAnsi="Times New Roman" w:cs="Times New Roman"/>
          <w:sz w:val="24"/>
          <w:szCs w:val="24"/>
        </w:rPr>
        <w:t>.</w:t>
      </w:r>
    </w:p>
    <w:p w14:paraId="1D39F301" w14:textId="77777777" w:rsidR="00D940A9" w:rsidRPr="00AF6D9C" w:rsidRDefault="00CD1ABD"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Abdul, N. A., &amp; Rahmat, A. (2015). </w:t>
      </w:r>
      <w:proofErr w:type="spellStart"/>
      <w:r w:rsidRPr="00AF6D9C">
        <w:rPr>
          <w:rFonts w:ascii="Times New Roman" w:eastAsia="Times New Roman" w:hAnsi="Times New Roman" w:cs="Times New Roman"/>
          <w:sz w:val="24"/>
          <w:szCs w:val="24"/>
        </w:rPr>
        <w:t>jaafar</w:t>
      </w:r>
      <w:proofErr w:type="spellEnd"/>
      <w:r w:rsidRPr="00AF6D9C">
        <w:rPr>
          <w:rFonts w:ascii="Times New Roman" w:eastAsia="Times New Roman" w:hAnsi="Times New Roman" w:cs="Times New Roman"/>
          <w:sz w:val="24"/>
          <w:szCs w:val="24"/>
        </w:rPr>
        <w:t xml:space="preserve"> Hz. Protective Effects of Tamarillo.</w:t>
      </w:r>
    </w:p>
    <w:p w14:paraId="39ACF153" w14:textId="77777777" w:rsidR="00D940A9" w:rsidRPr="00AF6D9C" w:rsidRDefault="00D940A9"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lastRenderedPageBreak/>
        <w:t>Yousofvand</w:t>
      </w:r>
      <w:proofErr w:type="spellEnd"/>
      <w:r w:rsidRPr="00AF6D9C">
        <w:rPr>
          <w:rFonts w:ascii="Times New Roman" w:eastAsia="Times New Roman" w:hAnsi="Times New Roman" w:cs="Times New Roman"/>
          <w:sz w:val="24"/>
          <w:szCs w:val="24"/>
        </w:rPr>
        <w:t xml:space="preserve"> N, </w:t>
      </w:r>
      <w:proofErr w:type="spellStart"/>
      <w:r w:rsidRPr="00AF6D9C">
        <w:rPr>
          <w:rFonts w:ascii="Times New Roman" w:eastAsia="Times New Roman" w:hAnsi="Times New Roman" w:cs="Times New Roman"/>
          <w:sz w:val="24"/>
          <w:szCs w:val="24"/>
        </w:rPr>
        <w:t>Soltany</w:t>
      </w:r>
      <w:proofErr w:type="spellEnd"/>
      <w:r w:rsidRPr="00AF6D9C">
        <w:rPr>
          <w:rFonts w:ascii="Times New Roman" w:eastAsia="Times New Roman" w:hAnsi="Times New Roman" w:cs="Times New Roman"/>
          <w:sz w:val="24"/>
          <w:szCs w:val="24"/>
        </w:rPr>
        <w:t xml:space="preserve"> A. Effects of hydroalcoholic extract of dill (Anethum graveolens) on the serum levels of blood lipids cholesterol, triglycerides, LDL and HDL in male NMRI mice. J </w:t>
      </w:r>
      <w:proofErr w:type="spellStart"/>
      <w:r w:rsidRPr="00AF6D9C">
        <w:rPr>
          <w:rFonts w:ascii="Times New Roman" w:eastAsia="Times New Roman" w:hAnsi="Times New Roman" w:cs="Times New Roman"/>
          <w:sz w:val="24"/>
          <w:szCs w:val="24"/>
        </w:rPr>
        <w:t>Pharmaceut</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Chem</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Biol</w:t>
      </w:r>
      <w:proofErr w:type="spellEnd"/>
      <w:r w:rsidRPr="00AF6D9C">
        <w:rPr>
          <w:rFonts w:ascii="Times New Roman" w:eastAsia="Times New Roman" w:hAnsi="Times New Roman" w:cs="Times New Roman"/>
          <w:sz w:val="24"/>
          <w:szCs w:val="24"/>
        </w:rPr>
        <w:t xml:space="preserve"> Sci. 2015 May</w:t>
      </w:r>
      <w:proofErr w:type="gramStart"/>
      <w:r w:rsidRPr="00AF6D9C">
        <w:rPr>
          <w:rFonts w:ascii="Times New Roman" w:eastAsia="Times New Roman" w:hAnsi="Times New Roman" w:cs="Times New Roman"/>
          <w:sz w:val="24"/>
          <w:szCs w:val="24"/>
        </w:rPr>
        <w:t>;3:114</w:t>
      </w:r>
      <w:proofErr w:type="gramEnd"/>
      <w:r w:rsidRPr="00AF6D9C">
        <w:rPr>
          <w:rFonts w:ascii="Times New Roman" w:eastAsia="Times New Roman" w:hAnsi="Times New Roman" w:cs="Times New Roman"/>
          <w:sz w:val="24"/>
          <w:szCs w:val="24"/>
        </w:rPr>
        <w:t>-21.</w:t>
      </w:r>
    </w:p>
    <w:p w14:paraId="61A32B64" w14:textId="4E0A2C7D" w:rsidR="00D940A9" w:rsidRDefault="00D940A9"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Nofianti</w:t>
      </w:r>
      <w:proofErr w:type="spellEnd"/>
      <w:r w:rsidRPr="00AF6D9C">
        <w:rPr>
          <w:rFonts w:ascii="Times New Roman" w:eastAsia="Times New Roman" w:hAnsi="Times New Roman" w:cs="Times New Roman"/>
          <w:sz w:val="24"/>
          <w:szCs w:val="24"/>
        </w:rPr>
        <w:t xml:space="preserve"> T, </w:t>
      </w:r>
      <w:proofErr w:type="spellStart"/>
      <w:r w:rsidRPr="00AF6D9C">
        <w:rPr>
          <w:rFonts w:ascii="Times New Roman" w:eastAsia="Times New Roman" w:hAnsi="Times New Roman" w:cs="Times New Roman"/>
          <w:sz w:val="24"/>
          <w:szCs w:val="24"/>
        </w:rPr>
        <w:t>Nurmayasari</w:t>
      </w:r>
      <w:proofErr w:type="spellEnd"/>
      <w:r w:rsidRPr="00AF6D9C">
        <w:rPr>
          <w:rFonts w:ascii="Times New Roman" w:eastAsia="Times New Roman" w:hAnsi="Times New Roman" w:cs="Times New Roman"/>
          <w:sz w:val="24"/>
          <w:szCs w:val="24"/>
        </w:rPr>
        <w:t xml:space="preserve"> S, </w:t>
      </w:r>
      <w:proofErr w:type="spellStart"/>
      <w:r w:rsidRPr="00AF6D9C">
        <w:rPr>
          <w:rFonts w:ascii="Times New Roman" w:eastAsia="Times New Roman" w:hAnsi="Times New Roman" w:cs="Times New Roman"/>
          <w:sz w:val="24"/>
          <w:szCs w:val="24"/>
        </w:rPr>
        <w:t>Priatna</w:t>
      </w:r>
      <w:proofErr w:type="spellEnd"/>
      <w:r w:rsidRPr="00AF6D9C">
        <w:rPr>
          <w:rFonts w:ascii="Times New Roman" w:eastAsia="Times New Roman" w:hAnsi="Times New Roman" w:cs="Times New Roman"/>
          <w:sz w:val="24"/>
          <w:szCs w:val="24"/>
        </w:rPr>
        <w:t xml:space="preserve"> M, </w:t>
      </w:r>
      <w:proofErr w:type="spellStart"/>
      <w:r w:rsidRPr="00AF6D9C">
        <w:rPr>
          <w:rFonts w:ascii="Times New Roman" w:eastAsia="Times New Roman" w:hAnsi="Times New Roman" w:cs="Times New Roman"/>
          <w:sz w:val="24"/>
          <w:szCs w:val="24"/>
        </w:rPr>
        <w:t>Ruswanto</w:t>
      </w:r>
      <w:proofErr w:type="spellEnd"/>
      <w:r w:rsidRPr="00AF6D9C">
        <w:rPr>
          <w:rFonts w:ascii="Times New Roman" w:eastAsia="Times New Roman" w:hAnsi="Times New Roman" w:cs="Times New Roman"/>
          <w:sz w:val="24"/>
          <w:szCs w:val="24"/>
        </w:rPr>
        <w:t xml:space="preserve"> R, </w:t>
      </w:r>
      <w:proofErr w:type="spellStart"/>
      <w:r w:rsidRPr="00AF6D9C">
        <w:rPr>
          <w:rFonts w:ascii="Times New Roman" w:eastAsia="Times New Roman" w:hAnsi="Times New Roman" w:cs="Times New Roman"/>
          <w:sz w:val="24"/>
          <w:szCs w:val="24"/>
        </w:rPr>
        <w:t>Nurfatwa</w:t>
      </w:r>
      <w:proofErr w:type="spellEnd"/>
      <w:r w:rsidRPr="00AF6D9C">
        <w:rPr>
          <w:rFonts w:ascii="Times New Roman" w:eastAsia="Times New Roman" w:hAnsi="Times New Roman" w:cs="Times New Roman"/>
          <w:sz w:val="24"/>
          <w:szCs w:val="24"/>
        </w:rPr>
        <w:t xml:space="preserve"> M. The effect of the ethanolic extract of Asam Jawa leaf (Tamarindus Indica L.) in total cholesterol, triglyceride, LDL and HDL concentration on male </w:t>
      </w:r>
      <w:proofErr w:type="spellStart"/>
      <w:r w:rsidRPr="00AF6D9C">
        <w:rPr>
          <w:rFonts w:ascii="Times New Roman" w:eastAsia="Times New Roman" w:hAnsi="Times New Roman" w:cs="Times New Roman"/>
          <w:sz w:val="24"/>
          <w:szCs w:val="24"/>
        </w:rPr>
        <w:t>sprague</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dawley</w:t>
      </w:r>
      <w:proofErr w:type="spellEnd"/>
      <w:r w:rsidRPr="00AF6D9C">
        <w:rPr>
          <w:rFonts w:ascii="Times New Roman" w:eastAsia="Times New Roman" w:hAnsi="Times New Roman" w:cs="Times New Roman"/>
          <w:sz w:val="24"/>
          <w:szCs w:val="24"/>
        </w:rPr>
        <w:t xml:space="preserve"> rats. </w:t>
      </w:r>
      <w:proofErr w:type="spellStart"/>
      <w:r w:rsidRPr="00AF6D9C">
        <w:rPr>
          <w:rFonts w:ascii="Times New Roman" w:eastAsia="Times New Roman" w:hAnsi="Times New Roman" w:cs="Times New Roman"/>
          <w:sz w:val="24"/>
          <w:szCs w:val="24"/>
        </w:rPr>
        <w:t>InJournal</w:t>
      </w:r>
      <w:proofErr w:type="spellEnd"/>
      <w:r w:rsidRPr="00AF6D9C">
        <w:rPr>
          <w:rFonts w:ascii="Times New Roman" w:eastAsia="Times New Roman" w:hAnsi="Times New Roman" w:cs="Times New Roman"/>
          <w:sz w:val="24"/>
          <w:szCs w:val="24"/>
        </w:rPr>
        <w:t xml:space="preserve"> of Physics: Conference Series 2019 Jul 1 (Vol. 1179, No. 1, p. 012175). IOP Publishing.</w:t>
      </w:r>
    </w:p>
    <w:p w14:paraId="775996CA" w14:textId="33C2FF1B" w:rsidR="00416361" w:rsidRPr="00AF6D9C" w:rsidRDefault="00416361" w:rsidP="00416361">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416361">
        <w:rPr>
          <w:rFonts w:ascii="Times New Roman" w:eastAsia="Times New Roman" w:hAnsi="Times New Roman" w:cs="Times New Roman"/>
          <w:sz w:val="24"/>
          <w:szCs w:val="24"/>
        </w:rPr>
        <w:t>Hasan</w:t>
      </w:r>
      <w:proofErr w:type="spellEnd"/>
      <w:r w:rsidRPr="00416361">
        <w:rPr>
          <w:rFonts w:ascii="Times New Roman" w:eastAsia="Times New Roman" w:hAnsi="Times New Roman" w:cs="Times New Roman"/>
          <w:sz w:val="24"/>
          <w:szCs w:val="24"/>
        </w:rPr>
        <w:t xml:space="preserve"> SF, </w:t>
      </w:r>
      <w:proofErr w:type="spellStart"/>
      <w:r w:rsidRPr="00416361">
        <w:rPr>
          <w:rFonts w:ascii="Times New Roman" w:eastAsia="Times New Roman" w:hAnsi="Times New Roman" w:cs="Times New Roman"/>
          <w:sz w:val="24"/>
          <w:szCs w:val="24"/>
        </w:rPr>
        <w:t>Toha</w:t>
      </w:r>
      <w:proofErr w:type="spellEnd"/>
      <w:r w:rsidRPr="00416361">
        <w:rPr>
          <w:rFonts w:ascii="Times New Roman" w:eastAsia="Times New Roman" w:hAnsi="Times New Roman" w:cs="Times New Roman"/>
          <w:sz w:val="24"/>
          <w:szCs w:val="24"/>
        </w:rPr>
        <w:t xml:space="preserve"> IW, Uddin MN, </w:t>
      </w:r>
      <w:proofErr w:type="spellStart"/>
      <w:r w:rsidRPr="00416361">
        <w:rPr>
          <w:rFonts w:ascii="Times New Roman" w:eastAsia="Times New Roman" w:hAnsi="Times New Roman" w:cs="Times New Roman"/>
          <w:sz w:val="24"/>
          <w:szCs w:val="24"/>
        </w:rPr>
        <w:t>Shakil</w:t>
      </w:r>
      <w:proofErr w:type="spellEnd"/>
      <w:r w:rsidRPr="00416361">
        <w:rPr>
          <w:rFonts w:ascii="Times New Roman" w:eastAsia="Times New Roman" w:hAnsi="Times New Roman" w:cs="Times New Roman"/>
          <w:sz w:val="24"/>
          <w:szCs w:val="24"/>
        </w:rPr>
        <w:t xml:space="preserve"> FA, </w:t>
      </w:r>
      <w:proofErr w:type="spellStart"/>
      <w:r w:rsidRPr="00416361">
        <w:rPr>
          <w:rFonts w:ascii="Times New Roman" w:eastAsia="Times New Roman" w:hAnsi="Times New Roman" w:cs="Times New Roman"/>
          <w:sz w:val="24"/>
          <w:szCs w:val="24"/>
        </w:rPr>
        <w:t>Nobe</w:t>
      </w:r>
      <w:proofErr w:type="spellEnd"/>
      <w:r w:rsidRPr="00416361">
        <w:rPr>
          <w:rFonts w:ascii="Times New Roman" w:eastAsia="Times New Roman" w:hAnsi="Times New Roman" w:cs="Times New Roman"/>
          <w:sz w:val="24"/>
          <w:szCs w:val="24"/>
        </w:rPr>
        <w:t xml:space="preserve"> N, </w:t>
      </w:r>
      <w:proofErr w:type="spellStart"/>
      <w:r w:rsidRPr="00416361">
        <w:rPr>
          <w:rFonts w:ascii="Times New Roman" w:eastAsia="Times New Roman" w:hAnsi="Times New Roman" w:cs="Times New Roman"/>
          <w:sz w:val="24"/>
          <w:szCs w:val="24"/>
        </w:rPr>
        <w:t>Tasnim</w:t>
      </w:r>
      <w:proofErr w:type="spellEnd"/>
      <w:r w:rsidRPr="00416361">
        <w:rPr>
          <w:rFonts w:ascii="Times New Roman" w:eastAsia="Times New Roman" w:hAnsi="Times New Roman" w:cs="Times New Roman"/>
          <w:sz w:val="24"/>
          <w:szCs w:val="24"/>
        </w:rPr>
        <w:t xml:space="preserve"> S. Exploring the </w:t>
      </w:r>
      <w:proofErr w:type="spellStart"/>
      <w:r w:rsidRPr="00416361">
        <w:rPr>
          <w:rFonts w:ascii="Times New Roman" w:eastAsia="Times New Roman" w:hAnsi="Times New Roman" w:cs="Times New Roman"/>
          <w:sz w:val="24"/>
          <w:szCs w:val="24"/>
        </w:rPr>
        <w:t>Antihyperlipidemic</w:t>
      </w:r>
      <w:proofErr w:type="spellEnd"/>
      <w:r w:rsidRPr="00416361">
        <w:rPr>
          <w:rFonts w:ascii="Times New Roman" w:eastAsia="Times New Roman" w:hAnsi="Times New Roman" w:cs="Times New Roman"/>
          <w:sz w:val="24"/>
          <w:szCs w:val="24"/>
        </w:rPr>
        <w:t xml:space="preserve"> Properties of Piper </w:t>
      </w:r>
      <w:proofErr w:type="spellStart"/>
      <w:r w:rsidRPr="00416361">
        <w:rPr>
          <w:rFonts w:ascii="Times New Roman" w:eastAsia="Times New Roman" w:hAnsi="Times New Roman" w:cs="Times New Roman"/>
          <w:sz w:val="24"/>
          <w:szCs w:val="24"/>
        </w:rPr>
        <w:t>nigrum</w:t>
      </w:r>
      <w:proofErr w:type="spellEnd"/>
      <w:r w:rsidRPr="00416361">
        <w:rPr>
          <w:rFonts w:ascii="Times New Roman" w:eastAsia="Times New Roman" w:hAnsi="Times New Roman" w:cs="Times New Roman"/>
          <w:sz w:val="24"/>
          <w:szCs w:val="24"/>
        </w:rPr>
        <w:t>. Asian Journal of Advanced Research and Reports. 2025 Feb 11;19(2):372-8.</w:t>
      </w:r>
    </w:p>
    <w:p w14:paraId="36DEE983" w14:textId="5502A5E5" w:rsidR="00CD1ABD" w:rsidRPr="00AF6D9C" w:rsidRDefault="00CD1ABD"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Mandal SK, Rahmat S, Sakib K, Mehjabin B, Rahman T, Rasna IJ. An Assessment of Anti-diabetic Effect of </w:t>
      </w:r>
      <w:proofErr w:type="spellStart"/>
      <w:r w:rsidRPr="00AF6D9C">
        <w:rPr>
          <w:rFonts w:ascii="Times New Roman" w:eastAsia="Times New Roman" w:hAnsi="Times New Roman" w:cs="Times New Roman"/>
          <w:sz w:val="24"/>
          <w:szCs w:val="24"/>
        </w:rPr>
        <w:t>Gymnema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sylvestre</w:t>
      </w:r>
      <w:proofErr w:type="spellEnd"/>
      <w:r w:rsidRPr="00AF6D9C">
        <w:rPr>
          <w:rFonts w:ascii="Times New Roman" w:eastAsia="Times New Roman" w:hAnsi="Times New Roman" w:cs="Times New Roman"/>
          <w:sz w:val="24"/>
          <w:szCs w:val="24"/>
        </w:rPr>
        <w:t xml:space="preserve"> in </w:t>
      </w:r>
      <w:proofErr w:type="spellStart"/>
      <w:r w:rsidRPr="00AF6D9C">
        <w:rPr>
          <w:rFonts w:ascii="Times New Roman" w:eastAsia="Times New Roman" w:hAnsi="Times New Roman" w:cs="Times New Roman"/>
          <w:sz w:val="24"/>
          <w:szCs w:val="24"/>
        </w:rPr>
        <w:t>Alloxan</w:t>
      </w:r>
      <w:proofErr w:type="spellEnd"/>
      <w:r w:rsidRPr="00AF6D9C">
        <w:rPr>
          <w:rFonts w:ascii="Times New Roman" w:eastAsia="Times New Roman" w:hAnsi="Times New Roman" w:cs="Times New Roman"/>
          <w:sz w:val="24"/>
          <w:szCs w:val="24"/>
        </w:rPr>
        <w:t>-induced Rat Model. International Research Journal of Gastroenterology and Hepatology. 2024 Feb 6;7(1):29-36.</w:t>
      </w:r>
    </w:p>
    <w:p w14:paraId="20B12560"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Yuneldi</w:t>
      </w:r>
      <w:proofErr w:type="spellEnd"/>
      <w:r w:rsidRPr="00AF6D9C">
        <w:rPr>
          <w:rFonts w:ascii="Times New Roman" w:eastAsia="Times New Roman" w:hAnsi="Times New Roman" w:cs="Times New Roman"/>
          <w:sz w:val="24"/>
          <w:szCs w:val="24"/>
        </w:rPr>
        <w:t xml:space="preserve"> RF, </w:t>
      </w:r>
      <w:proofErr w:type="spellStart"/>
      <w:r w:rsidRPr="00AF6D9C">
        <w:rPr>
          <w:rFonts w:ascii="Times New Roman" w:eastAsia="Times New Roman" w:hAnsi="Times New Roman" w:cs="Times New Roman"/>
          <w:sz w:val="24"/>
          <w:szCs w:val="24"/>
        </w:rPr>
        <w:t>Saraswati</w:t>
      </w:r>
      <w:proofErr w:type="spellEnd"/>
      <w:r w:rsidRPr="00AF6D9C">
        <w:rPr>
          <w:rFonts w:ascii="Times New Roman" w:eastAsia="Times New Roman" w:hAnsi="Times New Roman" w:cs="Times New Roman"/>
          <w:sz w:val="24"/>
          <w:szCs w:val="24"/>
        </w:rPr>
        <w:t xml:space="preserve"> TR, </w:t>
      </w:r>
      <w:proofErr w:type="spellStart"/>
      <w:r w:rsidRPr="00AF6D9C">
        <w:rPr>
          <w:rFonts w:ascii="Times New Roman" w:eastAsia="Times New Roman" w:hAnsi="Times New Roman" w:cs="Times New Roman"/>
          <w:sz w:val="24"/>
          <w:szCs w:val="24"/>
        </w:rPr>
        <w:t>Yuniwarti</w:t>
      </w:r>
      <w:proofErr w:type="spellEnd"/>
      <w:r w:rsidRPr="00AF6D9C">
        <w:rPr>
          <w:rFonts w:ascii="Times New Roman" w:eastAsia="Times New Roman" w:hAnsi="Times New Roman" w:cs="Times New Roman"/>
          <w:sz w:val="24"/>
          <w:szCs w:val="24"/>
        </w:rPr>
        <w:t xml:space="preserve"> EY. Profile of SGPT and SGOT on male rats (Rattus norvegicus) hyperglycemic after giving Insulin leaf extract (</w:t>
      </w:r>
      <w:proofErr w:type="spellStart"/>
      <w:r w:rsidRPr="00AF6D9C">
        <w:rPr>
          <w:rFonts w:ascii="Times New Roman" w:eastAsia="Times New Roman" w:hAnsi="Times New Roman" w:cs="Times New Roman"/>
          <w:sz w:val="24"/>
          <w:szCs w:val="24"/>
        </w:rPr>
        <w:t>Tithonia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diversifolia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Biosaintifika</w:t>
      </w:r>
      <w:proofErr w:type="spellEnd"/>
      <w:r w:rsidRPr="00AF6D9C">
        <w:rPr>
          <w:rFonts w:ascii="Times New Roman" w:eastAsia="Times New Roman" w:hAnsi="Times New Roman" w:cs="Times New Roman"/>
          <w:sz w:val="24"/>
          <w:szCs w:val="24"/>
        </w:rPr>
        <w:t>: Journal of Biology &amp; Biology Education. 2018 Dec 19;10(3):519-25.</w:t>
      </w:r>
    </w:p>
    <w:p w14:paraId="2DF2A1F1" w14:textId="5B890827" w:rsidR="001E3FC4" w:rsidRPr="00F37B27" w:rsidRDefault="00CD1ABD" w:rsidP="00F37B27">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Bhowmik</w:t>
      </w:r>
      <w:proofErr w:type="spellEnd"/>
      <w:r w:rsidRPr="00AF6D9C">
        <w:rPr>
          <w:rFonts w:ascii="Times New Roman" w:eastAsia="Times New Roman" w:hAnsi="Times New Roman" w:cs="Times New Roman"/>
          <w:sz w:val="24"/>
          <w:szCs w:val="24"/>
        </w:rPr>
        <w:t xml:space="preserve"> P, </w:t>
      </w:r>
      <w:proofErr w:type="spellStart"/>
      <w:r w:rsidRPr="00AF6D9C">
        <w:rPr>
          <w:rFonts w:ascii="Times New Roman" w:eastAsia="Times New Roman" w:hAnsi="Times New Roman" w:cs="Times New Roman"/>
          <w:sz w:val="24"/>
          <w:szCs w:val="24"/>
        </w:rPr>
        <w:t>Shohan</w:t>
      </w:r>
      <w:proofErr w:type="spellEnd"/>
      <w:r w:rsidRPr="00AF6D9C">
        <w:rPr>
          <w:rFonts w:ascii="Times New Roman" w:eastAsia="Times New Roman" w:hAnsi="Times New Roman" w:cs="Times New Roman"/>
          <w:sz w:val="24"/>
          <w:szCs w:val="24"/>
        </w:rPr>
        <w:t xml:space="preserve"> FM, </w:t>
      </w:r>
      <w:proofErr w:type="spellStart"/>
      <w:r w:rsidRPr="00AF6D9C">
        <w:rPr>
          <w:rFonts w:ascii="Times New Roman" w:eastAsia="Times New Roman" w:hAnsi="Times New Roman" w:cs="Times New Roman"/>
          <w:sz w:val="24"/>
          <w:szCs w:val="24"/>
        </w:rPr>
        <w:t>Baroi</w:t>
      </w:r>
      <w:proofErr w:type="spellEnd"/>
      <w:r w:rsidRPr="00AF6D9C">
        <w:rPr>
          <w:rFonts w:ascii="Times New Roman" w:eastAsia="Times New Roman" w:hAnsi="Times New Roman" w:cs="Times New Roman"/>
          <w:sz w:val="24"/>
          <w:szCs w:val="24"/>
        </w:rPr>
        <w:t xml:space="preserve"> JA, </w:t>
      </w:r>
      <w:proofErr w:type="spellStart"/>
      <w:r w:rsidRPr="00AF6D9C">
        <w:rPr>
          <w:rFonts w:ascii="Times New Roman" w:eastAsia="Times New Roman" w:hAnsi="Times New Roman" w:cs="Times New Roman"/>
          <w:sz w:val="24"/>
          <w:szCs w:val="24"/>
        </w:rPr>
        <w:t>Pranto</w:t>
      </w:r>
      <w:proofErr w:type="spellEnd"/>
      <w:r w:rsidRPr="00AF6D9C">
        <w:rPr>
          <w:rFonts w:ascii="Times New Roman" w:eastAsia="Times New Roman" w:hAnsi="Times New Roman" w:cs="Times New Roman"/>
          <w:sz w:val="24"/>
          <w:szCs w:val="24"/>
        </w:rPr>
        <w:t xml:space="preserve"> TI, Ullah MR, Rupak MA, Zaman TS, Rasna IJ, Tashin R. Evaluation of the Effects of Ethanolic Extract of Ficus benghalensis on the Lipid Profile and Kidney Function in Rat Model. International Research Journal of Gastroenterology and Hepatology. 2024 Feb 3;7(1):22-8.</w:t>
      </w:r>
    </w:p>
    <w:sectPr w:rsidR="001E3FC4" w:rsidRPr="00F37B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64D3A" w14:textId="77777777" w:rsidR="00C712FE" w:rsidRDefault="00C712FE" w:rsidP="005C6903">
      <w:pPr>
        <w:spacing w:after="0" w:line="240" w:lineRule="auto"/>
      </w:pPr>
      <w:r>
        <w:separator/>
      </w:r>
    </w:p>
  </w:endnote>
  <w:endnote w:type="continuationSeparator" w:id="0">
    <w:p w14:paraId="2169DD17" w14:textId="77777777" w:rsidR="00C712FE" w:rsidRDefault="00C712FE" w:rsidP="005C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2C92" w14:textId="77777777" w:rsidR="0099636C" w:rsidRDefault="00996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F1268" w14:textId="77777777" w:rsidR="0099636C" w:rsidRDefault="00996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CA417" w14:textId="77777777" w:rsidR="0099636C" w:rsidRDefault="00996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89F4" w14:textId="77777777" w:rsidR="00C712FE" w:rsidRDefault="00C712FE" w:rsidP="005C6903">
      <w:pPr>
        <w:spacing w:after="0" w:line="240" w:lineRule="auto"/>
      </w:pPr>
      <w:r>
        <w:separator/>
      </w:r>
    </w:p>
  </w:footnote>
  <w:footnote w:type="continuationSeparator" w:id="0">
    <w:p w14:paraId="42660CF2" w14:textId="77777777" w:rsidR="00C712FE" w:rsidRDefault="00C712FE" w:rsidP="005C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E333" w14:textId="43819541" w:rsidR="0099636C" w:rsidRDefault="00C712FE">
    <w:pPr>
      <w:pStyle w:val="Header"/>
    </w:pPr>
    <w:r>
      <w:rPr>
        <w:noProof/>
      </w:rPr>
      <w:pict w14:anchorId="475FD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28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568D" w14:textId="2BE32429" w:rsidR="0099636C" w:rsidRDefault="00C712FE">
    <w:pPr>
      <w:pStyle w:val="Header"/>
    </w:pPr>
    <w:r>
      <w:rPr>
        <w:noProof/>
      </w:rPr>
      <w:pict w14:anchorId="61AFA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28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A2D1D" w14:textId="7DF26633" w:rsidR="0099636C" w:rsidRDefault="00C712FE">
    <w:pPr>
      <w:pStyle w:val="Header"/>
    </w:pPr>
    <w:r>
      <w:rPr>
        <w:noProof/>
      </w:rPr>
      <w:pict w14:anchorId="681EB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28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53A90"/>
    <w:multiLevelType w:val="multilevel"/>
    <w:tmpl w:val="B63E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811FF"/>
    <w:multiLevelType w:val="hybridMultilevel"/>
    <w:tmpl w:val="4E0EC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67"/>
    <w:rsid w:val="00042C72"/>
    <w:rsid w:val="00054BEA"/>
    <w:rsid w:val="000D3804"/>
    <w:rsid w:val="000F50F4"/>
    <w:rsid w:val="000F56F7"/>
    <w:rsid w:val="001121C7"/>
    <w:rsid w:val="00125797"/>
    <w:rsid w:val="00134431"/>
    <w:rsid w:val="00134976"/>
    <w:rsid w:val="001470BD"/>
    <w:rsid w:val="00155329"/>
    <w:rsid w:val="00167D0F"/>
    <w:rsid w:val="001B4E1D"/>
    <w:rsid w:val="001E3FC4"/>
    <w:rsid w:val="001E5BFD"/>
    <w:rsid w:val="001F5641"/>
    <w:rsid w:val="002022F5"/>
    <w:rsid w:val="002264A7"/>
    <w:rsid w:val="002526E3"/>
    <w:rsid w:val="002531AC"/>
    <w:rsid w:val="0027511A"/>
    <w:rsid w:val="00281BC2"/>
    <w:rsid w:val="00283524"/>
    <w:rsid w:val="002B0FF2"/>
    <w:rsid w:val="002B5279"/>
    <w:rsid w:val="002C7BD8"/>
    <w:rsid w:val="002D115C"/>
    <w:rsid w:val="002D1568"/>
    <w:rsid w:val="002D78A4"/>
    <w:rsid w:val="003037EC"/>
    <w:rsid w:val="00307027"/>
    <w:rsid w:val="00330FC9"/>
    <w:rsid w:val="00365DF9"/>
    <w:rsid w:val="00375467"/>
    <w:rsid w:val="00376664"/>
    <w:rsid w:val="003B7659"/>
    <w:rsid w:val="003C0688"/>
    <w:rsid w:val="003C7089"/>
    <w:rsid w:val="003D093C"/>
    <w:rsid w:val="003D1191"/>
    <w:rsid w:val="003D40F6"/>
    <w:rsid w:val="003E589D"/>
    <w:rsid w:val="003F27DB"/>
    <w:rsid w:val="00416361"/>
    <w:rsid w:val="00437ED8"/>
    <w:rsid w:val="00443013"/>
    <w:rsid w:val="00451892"/>
    <w:rsid w:val="0047659A"/>
    <w:rsid w:val="00485C37"/>
    <w:rsid w:val="004919DB"/>
    <w:rsid w:val="004C0764"/>
    <w:rsid w:val="004C1A66"/>
    <w:rsid w:val="004C39B7"/>
    <w:rsid w:val="004D4532"/>
    <w:rsid w:val="0051057C"/>
    <w:rsid w:val="005232A8"/>
    <w:rsid w:val="00530567"/>
    <w:rsid w:val="0054200C"/>
    <w:rsid w:val="00546C36"/>
    <w:rsid w:val="005626DA"/>
    <w:rsid w:val="005A058D"/>
    <w:rsid w:val="005A1680"/>
    <w:rsid w:val="005C6903"/>
    <w:rsid w:val="005D3DD5"/>
    <w:rsid w:val="005D6C91"/>
    <w:rsid w:val="00604AA3"/>
    <w:rsid w:val="00644C87"/>
    <w:rsid w:val="00661A4B"/>
    <w:rsid w:val="006A6FB2"/>
    <w:rsid w:val="006A7368"/>
    <w:rsid w:val="006B32A1"/>
    <w:rsid w:val="006B684A"/>
    <w:rsid w:val="006F7F68"/>
    <w:rsid w:val="007124B8"/>
    <w:rsid w:val="007127A0"/>
    <w:rsid w:val="007148B2"/>
    <w:rsid w:val="00716CEA"/>
    <w:rsid w:val="00746F15"/>
    <w:rsid w:val="007476FF"/>
    <w:rsid w:val="0076180D"/>
    <w:rsid w:val="0076532B"/>
    <w:rsid w:val="00765A1C"/>
    <w:rsid w:val="00766A6B"/>
    <w:rsid w:val="007B748D"/>
    <w:rsid w:val="007C091D"/>
    <w:rsid w:val="007D1A4E"/>
    <w:rsid w:val="007D664D"/>
    <w:rsid w:val="007E202B"/>
    <w:rsid w:val="007E3D8D"/>
    <w:rsid w:val="00817E7C"/>
    <w:rsid w:val="00827B77"/>
    <w:rsid w:val="00834BDD"/>
    <w:rsid w:val="00846CD2"/>
    <w:rsid w:val="008509AF"/>
    <w:rsid w:val="00862251"/>
    <w:rsid w:val="00875858"/>
    <w:rsid w:val="00896B3C"/>
    <w:rsid w:val="008A1302"/>
    <w:rsid w:val="008A7D03"/>
    <w:rsid w:val="008B5E21"/>
    <w:rsid w:val="008C2A60"/>
    <w:rsid w:val="008C4218"/>
    <w:rsid w:val="008C4E9D"/>
    <w:rsid w:val="008E22E8"/>
    <w:rsid w:val="008E3FEE"/>
    <w:rsid w:val="008F1402"/>
    <w:rsid w:val="00903C82"/>
    <w:rsid w:val="009125D8"/>
    <w:rsid w:val="009234BC"/>
    <w:rsid w:val="00931E7D"/>
    <w:rsid w:val="009447E0"/>
    <w:rsid w:val="00957E5C"/>
    <w:rsid w:val="0096267B"/>
    <w:rsid w:val="00970266"/>
    <w:rsid w:val="00984354"/>
    <w:rsid w:val="0099636C"/>
    <w:rsid w:val="009A23C9"/>
    <w:rsid w:val="009C0F15"/>
    <w:rsid w:val="009F155D"/>
    <w:rsid w:val="00A128BE"/>
    <w:rsid w:val="00A20EFE"/>
    <w:rsid w:val="00A3024F"/>
    <w:rsid w:val="00A51A33"/>
    <w:rsid w:val="00A51DE4"/>
    <w:rsid w:val="00A520CE"/>
    <w:rsid w:val="00A53E44"/>
    <w:rsid w:val="00A6484B"/>
    <w:rsid w:val="00A77161"/>
    <w:rsid w:val="00AD75FE"/>
    <w:rsid w:val="00AF13CB"/>
    <w:rsid w:val="00AF6D9C"/>
    <w:rsid w:val="00B05BBC"/>
    <w:rsid w:val="00B15BFE"/>
    <w:rsid w:val="00B23B0B"/>
    <w:rsid w:val="00B638B2"/>
    <w:rsid w:val="00B65880"/>
    <w:rsid w:val="00B7273C"/>
    <w:rsid w:val="00B84661"/>
    <w:rsid w:val="00B94AEB"/>
    <w:rsid w:val="00BD2E35"/>
    <w:rsid w:val="00BF5350"/>
    <w:rsid w:val="00C2660F"/>
    <w:rsid w:val="00C273D7"/>
    <w:rsid w:val="00C37F06"/>
    <w:rsid w:val="00C40589"/>
    <w:rsid w:val="00C470A9"/>
    <w:rsid w:val="00C712FE"/>
    <w:rsid w:val="00C91CCA"/>
    <w:rsid w:val="00CB1577"/>
    <w:rsid w:val="00CB1C3D"/>
    <w:rsid w:val="00CD0935"/>
    <w:rsid w:val="00CD103E"/>
    <w:rsid w:val="00CD1ABD"/>
    <w:rsid w:val="00CD67C1"/>
    <w:rsid w:val="00CE2870"/>
    <w:rsid w:val="00D02232"/>
    <w:rsid w:val="00D1674A"/>
    <w:rsid w:val="00D20708"/>
    <w:rsid w:val="00D50AC8"/>
    <w:rsid w:val="00D64660"/>
    <w:rsid w:val="00D940A9"/>
    <w:rsid w:val="00DC3204"/>
    <w:rsid w:val="00DE41C5"/>
    <w:rsid w:val="00E01F1B"/>
    <w:rsid w:val="00E05149"/>
    <w:rsid w:val="00E06F63"/>
    <w:rsid w:val="00E23964"/>
    <w:rsid w:val="00E77677"/>
    <w:rsid w:val="00EA7C40"/>
    <w:rsid w:val="00ED24C0"/>
    <w:rsid w:val="00ED6463"/>
    <w:rsid w:val="00ED6DEE"/>
    <w:rsid w:val="00EE2316"/>
    <w:rsid w:val="00EE6211"/>
    <w:rsid w:val="00EE7D98"/>
    <w:rsid w:val="00EF0328"/>
    <w:rsid w:val="00F10D56"/>
    <w:rsid w:val="00F114AD"/>
    <w:rsid w:val="00F177A0"/>
    <w:rsid w:val="00F27F19"/>
    <w:rsid w:val="00F37B27"/>
    <w:rsid w:val="00F53F8F"/>
    <w:rsid w:val="00F57ED1"/>
    <w:rsid w:val="00F655AA"/>
    <w:rsid w:val="00F770CB"/>
    <w:rsid w:val="00FA13E7"/>
    <w:rsid w:val="00FA71EB"/>
    <w:rsid w:val="00FC3E2D"/>
    <w:rsid w:val="00FD78B0"/>
    <w:rsid w:val="00FE3A49"/>
    <w:rsid w:val="00FE4EA1"/>
    <w:rsid w:val="00FF45D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7CE453"/>
  <w15:docId w15:val="{BB2B98AF-1152-495E-A39B-363F3DC7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1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5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273C"/>
    <w:pPr>
      <w:spacing w:after="0" w:line="240" w:lineRule="auto"/>
    </w:pPr>
    <w:rPr>
      <w:rFonts w:ascii="Calibri" w:eastAsia="Times New Roman" w:hAnsi="Calibri"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72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13E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D75FE"/>
    <w:rPr>
      <w:color w:val="0563C1" w:themeColor="hyperlink"/>
      <w:u w:val="single"/>
    </w:rPr>
  </w:style>
  <w:style w:type="character" w:customStyle="1" w:styleId="UnresolvedMention1">
    <w:name w:val="Unresolved Mention1"/>
    <w:basedOn w:val="DefaultParagraphFont"/>
    <w:uiPriority w:val="99"/>
    <w:semiHidden/>
    <w:unhideWhenUsed/>
    <w:rsid w:val="00AD75FE"/>
    <w:rPr>
      <w:color w:val="605E5C"/>
      <w:shd w:val="clear" w:color="auto" w:fill="E1DFDD"/>
    </w:rPr>
  </w:style>
  <w:style w:type="paragraph" w:styleId="Header">
    <w:name w:val="header"/>
    <w:basedOn w:val="Normal"/>
    <w:link w:val="HeaderChar"/>
    <w:uiPriority w:val="99"/>
    <w:unhideWhenUsed/>
    <w:rsid w:val="005C6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03"/>
  </w:style>
  <w:style w:type="paragraph" w:styleId="Footer">
    <w:name w:val="footer"/>
    <w:basedOn w:val="Normal"/>
    <w:link w:val="FooterChar"/>
    <w:uiPriority w:val="99"/>
    <w:unhideWhenUsed/>
    <w:rsid w:val="005C6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03"/>
  </w:style>
  <w:style w:type="character" w:customStyle="1" w:styleId="UnresolvedMention">
    <w:name w:val="Unresolved Mention"/>
    <w:basedOn w:val="DefaultParagraphFont"/>
    <w:uiPriority w:val="99"/>
    <w:semiHidden/>
    <w:unhideWhenUsed/>
    <w:rsid w:val="004C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2274">
      <w:bodyDiv w:val="1"/>
      <w:marLeft w:val="0"/>
      <w:marRight w:val="0"/>
      <w:marTop w:val="0"/>
      <w:marBottom w:val="0"/>
      <w:divBdr>
        <w:top w:val="none" w:sz="0" w:space="0" w:color="auto"/>
        <w:left w:val="none" w:sz="0" w:space="0" w:color="auto"/>
        <w:bottom w:val="none" w:sz="0" w:space="0" w:color="auto"/>
        <w:right w:val="none" w:sz="0" w:space="0" w:color="auto"/>
      </w:divBdr>
    </w:div>
    <w:div w:id="103963081">
      <w:bodyDiv w:val="1"/>
      <w:marLeft w:val="0"/>
      <w:marRight w:val="0"/>
      <w:marTop w:val="0"/>
      <w:marBottom w:val="0"/>
      <w:divBdr>
        <w:top w:val="none" w:sz="0" w:space="0" w:color="auto"/>
        <w:left w:val="none" w:sz="0" w:space="0" w:color="auto"/>
        <w:bottom w:val="none" w:sz="0" w:space="0" w:color="auto"/>
        <w:right w:val="none" w:sz="0" w:space="0" w:color="auto"/>
      </w:divBdr>
    </w:div>
    <w:div w:id="159543461">
      <w:bodyDiv w:val="1"/>
      <w:marLeft w:val="0"/>
      <w:marRight w:val="0"/>
      <w:marTop w:val="0"/>
      <w:marBottom w:val="0"/>
      <w:divBdr>
        <w:top w:val="none" w:sz="0" w:space="0" w:color="auto"/>
        <w:left w:val="none" w:sz="0" w:space="0" w:color="auto"/>
        <w:bottom w:val="none" w:sz="0" w:space="0" w:color="auto"/>
        <w:right w:val="none" w:sz="0" w:space="0" w:color="auto"/>
      </w:divBdr>
    </w:div>
    <w:div w:id="352194556">
      <w:bodyDiv w:val="1"/>
      <w:marLeft w:val="0"/>
      <w:marRight w:val="0"/>
      <w:marTop w:val="0"/>
      <w:marBottom w:val="0"/>
      <w:divBdr>
        <w:top w:val="none" w:sz="0" w:space="0" w:color="auto"/>
        <w:left w:val="none" w:sz="0" w:space="0" w:color="auto"/>
        <w:bottom w:val="none" w:sz="0" w:space="0" w:color="auto"/>
        <w:right w:val="none" w:sz="0" w:space="0" w:color="auto"/>
      </w:divBdr>
    </w:div>
    <w:div w:id="510949899">
      <w:bodyDiv w:val="1"/>
      <w:marLeft w:val="0"/>
      <w:marRight w:val="0"/>
      <w:marTop w:val="0"/>
      <w:marBottom w:val="0"/>
      <w:divBdr>
        <w:top w:val="none" w:sz="0" w:space="0" w:color="auto"/>
        <w:left w:val="none" w:sz="0" w:space="0" w:color="auto"/>
        <w:bottom w:val="none" w:sz="0" w:space="0" w:color="auto"/>
        <w:right w:val="none" w:sz="0" w:space="0" w:color="auto"/>
      </w:divBdr>
    </w:div>
    <w:div w:id="585186055">
      <w:bodyDiv w:val="1"/>
      <w:marLeft w:val="0"/>
      <w:marRight w:val="0"/>
      <w:marTop w:val="0"/>
      <w:marBottom w:val="0"/>
      <w:divBdr>
        <w:top w:val="none" w:sz="0" w:space="0" w:color="auto"/>
        <w:left w:val="none" w:sz="0" w:space="0" w:color="auto"/>
        <w:bottom w:val="none" w:sz="0" w:space="0" w:color="auto"/>
        <w:right w:val="none" w:sz="0" w:space="0" w:color="auto"/>
      </w:divBdr>
    </w:div>
    <w:div w:id="615599454">
      <w:bodyDiv w:val="1"/>
      <w:marLeft w:val="0"/>
      <w:marRight w:val="0"/>
      <w:marTop w:val="0"/>
      <w:marBottom w:val="0"/>
      <w:divBdr>
        <w:top w:val="none" w:sz="0" w:space="0" w:color="auto"/>
        <w:left w:val="none" w:sz="0" w:space="0" w:color="auto"/>
        <w:bottom w:val="none" w:sz="0" w:space="0" w:color="auto"/>
        <w:right w:val="none" w:sz="0" w:space="0" w:color="auto"/>
      </w:divBdr>
    </w:div>
    <w:div w:id="658189390">
      <w:bodyDiv w:val="1"/>
      <w:marLeft w:val="0"/>
      <w:marRight w:val="0"/>
      <w:marTop w:val="0"/>
      <w:marBottom w:val="0"/>
      <w:divBdr>
        <w:top w:val="none" w:sz="0" w:space="0" w:color="auto"/>
        <w:left w:val="none" w:sz="0" w:space="0" w:color="auto"/>
        <w:bottom w:val="none" w:sz="0" w:space="0" w:color="auto"/>
        <w:right w:val="none" w:sz="0" w:space="0" w:color="auto"/>
      </w:divBdr>
    </w:div>
    <w:div w:id="769935417">
      <w:bodyDiv w:val="1"/>
      <w:marLeft w:val="0"/>
      <w:marRight w:val="0"/>
      <w:marTop w:val="0"/>
      <w:marBottom w:val="0"/>
      <w:divBdr>
        <w:top w:val="none" w:sz="0" w:space="0" w:color="auto"/>
        <w:left w:val="none" w:sz="0" w:space="0" w:color="auto"/>
        <w:bottom w:val="none" w:sz="0" w:space="0" w:color="auto"/>
        <w:right w:val="none" w:sz="0" w:space="0" w:color="auto"/>
      </w:divBdr>
    </w:div>
    <w:div w:id="954290885">
      <w:bodyDiv w:val="1"/>
      <w:marLeft w:val="0"/>
      <w:marRight w:val="0"/>
      <w:marTop w:val="0"/>
      <w:marBottom w:val="0"/>
      <w:divBdr>
        <w:top w:val="none" w:sz="0" w:space="0" w:color="auto"/>
        <w:left w:val="none" w:sz="0" w:space="0" w:color="auto"/>
        <w:bottom w:val="none" w:sz="0" w:space="0" w:color="auto"/>
        <w:right w:val="none" w:sz="0" w:space="0" w:color="auto"/>
      </w:divBdr>
    </w:div>
    <w:div w:id="1008947931">
      <w:bodyDiv w:val="1"/>
      <w:marLeft w:val="0"/>
      <w:marRight w:val="0"/>
      <w:marTop w:val="0"/>
      <w:marBottom w:val="0"/>
      <w:divBdr>
        <w:top w:val="none" w:sz="0" w:space="0" w:color="auto"/>
        <w:left w:val="none" w:sz="0" w:space="0" w:color="auto"/>
        <w:bottom w:val="none" w:sz="0" w:space="0" w:color="auto"/>
        <w:right w:val="none" w:sz="0" w:space="0" w:color="auto"/>
      </w:divBdr>
    </w:div>
    <w:div w:id="1190988718">
      <w:bodyDiv w:val="1"/>
      <w:marLeft w:val="0"/>
      <w:marRight w:val="0"/>
      <w:marTop w:val="0"/>
      <w:marBottom w:val="0"/>
      <w:divBdr>
        <w:top w:val="none" w:sz="0" w:space="0" w:color="auto"/>
        <w:left w:val="none" w:sz="0" w:space="0" w:color="auto"/>
        <w:bottom w:val="none" w:sz="0" w:space="0" w:color="auto"/>
        <w:right w:val="none" w:sz="0" w:space="0" w:color="auto"/>
      </w:divBdr>
    </w:div>
    <w:div w:id="1215891589">
      <w:bodyDiv w:val="1"/>
      <w:marLeft w:val="0"/>
      <w:marRight w:val="0"/>
      <w:marTop w:val="0"/>
      <w:marBottom w:val="0"/>
      <w:divBdr>
        <w:top w:val="none" w:sz="0" w:space="0" w:color="auto"/>
        <w:left w:val="none" w:sz="0" w:space="0" w:color="auto"/>
        <w:bottom w:val="none" w:sz="0" w:space="0" w:color="auto"/>
        <w:right w:val="none" w:sz="0" w:space="0" w:color="auto"/>
      </w:divBdr>
    </w:div>
    <w:div w:id="1230579012">
      <w:bodyDiv w:val="1"/>
      <w:marLeft w:val="0"/>
      <w:marRight w:val="0"/>
      <w:marTop w:val="0"/>
      <w:marBottom w:val="0"/>
      <w:divBdr>
        <w:top w:val="none" w:sz="0" w:space="0" w:color="auto"/>
        <w:left w:val="none" w:sz="0" w:space="0" w:color="auto"/>
        <w:bottom w:val="none" w:sz="0" w:space="0" w:color="auto"/>
        <w:right w:val="none" w:sz="0" w:space="0" w:color="auto"/>
      </w:divBdr>
    </w:div>
    <w:div w:id="1349020589">
      <w:bodyDiv w:val="1"/>
      <w:marLeft w:val="0"/>
      <w:marRight w:val="0"/>
      <w:marTop w:val="0"/>
      <w:marBottom w:val="0"/>
      <w:divBdr>
        <w:top w:val="none" w:sz="0" w:space="0" w:color="auto"/>
        <w:left w:val="none" w:sz="0" w:space="0" w:color="auto"/>
        <w:bottom w:val="none" w:sz="0" w:space="0" w:color="auto"/>
        <w:right w:val="none" w:sz="0" w:space="0" w:color="auto"/>
      </w:divBdr>
    </w:div>
    <w:div w:id="1438863156">
      <w:bodyDiv w:val="1"/>
      <w:marLeft w:val="0"/>
      <w:marRight w:val="0"/>
      <w:marTop w:val="0"/>
      <w:marBottom w:val="0"/>
      <w:divBdr>
        <w:top w:val="none" w:sz="0" w:space="0" w:color="auto"/>
        <w:left w:val="none" w:sz="0" w:space="0" w:color="auto"/>
        <w:bottom w:val="none" w:sz="0" w:space="0" w:color="auto"/>
        <w:right w:val="none" w:sz="0" w:space="0" w:color="auto"/>
      </w:divBdr>
      <w:divsChild>
        <w:div w:id="1073041112">
          <w:marLeft w:val="0"/>
          <w:marRight w:val="0"/>
          <w:marTop w:val="0"/>
          <w:marBottom w:val="0"/>
          <w:divBdr>
            <w:top w:val="none" w:sz="0" w:space="0" w:color="auto"/>
            <w:left w:val="none" w:sz="0" w:space="0" w:color="auto"/>
            <w:bottom w:val="none" w:sz="0" w:space="0" w:color="auto"/>
            <w:right w:val="none" w:sz="0" w:space="0" w:color="auto"/>
          </w:divBdr>
          <w:divsChild>
            <w:div w:id="1429735316">
              <w:marLeft w:val="0"/>
              <w:marRight w:val="0"/>
              <w:marTop w:val="0"/>
              <w:marBottom w:val="0"/>
              <w:divBdr>
                <w:top w:val="none" w:sz="0" w:space="0" w:color="auto"/>
                <w:left w:val="none" w:sz="0" w:space="0" w:color="auto"/>
                <w:bottom w:val="none" w:sz="0" w:space="0" w:color="auto"/>
                <w:right w:val="none" w:sz="0" w:space="0" w:color="auto"/>
              </w:divBdr>
              <w:divsChild>
                <w:div w:id="1787501932">
                  <w:marLeft w:val="0"/>
                  <w:marRight w:val="0"/>
                  <w:marTop w:val="0"/>
                  <w:marBottom w:val="0"/>
                  <w:divBdr>
                    <w:top w:val="none" w:sz="0" w:space="0" w:color="auto"/>
                    <w:left w:val="none" w:sz="0" w:space="0" w:color="auto"/>
                    <w:bottom w:val="none" w:sz="0" w:space="0" w:color="auto"/>
                    <w:right w:val="none" w:sz="0" w:space="0" w:color="auto"/>
                  </w:divBdr>
                  <w:divsChild>
                    <w:div w:id="1948543293">
                      <w:marLeft w:val="0"/>
                      <w:marRight w:val="0"/>
                      <w:marTop w:val="0"/>
                      <w:marBottom w:val="0"/>
                      <w:divBdr>
                        <w:top w:val="none" w:sz="0" w:space="0" w:color="auto"/>
                        <w:left w:val="none" w:sz="0" w:space="0" w:color="auto"/>
                        <w:bottom w:val="none" w:sz="0" w:space="0" w:color="auto"/>
                        <w:right w:val="none" w:sz="0" w:space="0" w:color="auto"/>
                      </w:divBdr>
                      <w:divsChild>
                        <w:div w:id="1292635206">
                          <w:marLeft w:val="0"/>
                          <w:marRight w:val="0"/>
                          <w:marTop w:val="0"/>
                          <w:marBottom w:val="0"/>
                          <w:divBdr>
                            <w:top w:val="none" w:sz="0" w:space="0" w:color="auto"/>
                            <w:left w:val="none" w:sz="0" w:space="0" w:color="auto"/>
                            <w:bottom w:val="none" w:sz="0" w:space="0" w:color="auto"/>
                            <w:right w:val="none" w:sz="0" w:space="0" w:color="auto"/>
                          </w:divBdr>
                          <w:divsChild>
                            <w:div w:id="781344593">
                              <w:marLeft w:val="0"/>
                              <w:marRight w:val="0"/>
                              <w:marTop w:val="0"/>
                              <w:marBottom w:val="0"/>
                              <w:divBdr>
                                <w:top w:val="none" w:sz="0" w:space="0" w:color="auto"/>
                                <w:left w:val="none" w:sz="0" w:space="0" w:color="auto"/>
                                <w:bottom w:val="none" w:sz="0" w:space="0" w:color="auto"/>
                                <w:right w:val="none" w:sz="0" w:space="0" w:color="auto"/>
                              </w:divBdr>
                              <w:divsChild>
                                <w:div w:id="168833852">
                                  <w:marLeft w:val="0"/>
                                  <w:marRight w:val="0"/>
                                  <w:marTop w:val="0"/>
                                  <w:marBottom w:val="0"/>
                                  <w:divBdr>
                                    <w:top w:val="single" w:sz="2" w:space="6" w:color="auto"/>
                                    <w:left w:val="single" w:sz="2" w:space="9" w:color="auto"/>
                                    <w:bottom w:val="single" w:sz="2" w:space="6" w:color="auto"/>
                                    <w:right w:val="single" w:sz="2" w:space="9" w:color="auto"/>
                                  </w:divBdr>
                                  <w:divsChild>
                                    <w:div w:id="8536114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52657">
      <w:bodyDiv w:val="1"/>
      <w:marLeft w:val="0"/>
      <w:marRight w:val="0"/>
      <w:marTop w:val="0"/>
      <w:marBottom w:val="0"/>
      <w:divBdr>
        <w:top w:val="none" w:sz="0" w:space="0" w:color="auto"/>
        <w:left w:val="none" w:sz="0" w:space="0" w:color="auto"/>
        <w:bottom w:val="none" w:sz="0" w:space="0" w:color="auto"/>
        <w:right w:val="none" w:sz="0" w:space="0" w:color="auto"/>
      </w:divBdr>
    </w:div>
    <w:div w:id="1574659278">
      <w:bodyDiv w:val="1"/>
      <w:marLeft w:val="0"/>
      <w:marRight w:val="0"/>
      <w:marTop w:val="0"/>
      <w:marBottom w:val="0"/>
      <w:divBdr>
        <w:top w:val="none" w:sz="0" w:space="0" w:color="auto"/>
        <w:left w:val="none" w:sz="0" w:space="0" w:color="auto"/>
        <w:bottom w:val="none" w:sz="0" w:space="0" w:color="auto"/>
        <w:right w:val="none" w:sz="0" w:space="0" w:color="auto"/>
      </w:divBdr>
    </w:div>
    <w:div w:id="1580020100">
      <w:bodyDiv w:val="1"/>
      <w:marLeft w:val="0"/>
      <w:marRight w:val="0"/>
      <w:marTop w:val="0"/>
      <w:marBottom w:val="0"/>
      <w:divBdr>
        <w:top w:val="none" w:sz="0" w:space="0" w:color="auto"/>
        <w:left w:val="none" w:sz="0" w:space="0" w:color="auto"/>
        <w:bottom w:val="none" w:sz="0" w:space="0" w:color="auto"/>
        <w:right w:val="none" w:sz="0" w:space="0" w:color="auto"/>
      </w:divBdr>
    </w:div>
    <w:div w:id="1684550334">
      <w:bodyDiv w:val="1"/>
      <w:marLeft w:val="0"/>
      <w:marRight w:val="0"/>
      <w:marTop w:val="0"/>
      <w:marBottom w:val="0"/>
      <w:divBdr>
        <w:top w:val="none" w:sz="0" w:space="0" w:color="auto"/>
        <w:left w:val="none" w:sz="0" w:space="0" w:color="auto"/>
        <w:bottom w:val="none" w:sz="0" w:space="0" w:color="auto"/>
        <w:right w:val="none" w:sz="0" w:space="0" w:color="auto"/>
      </w:divBdr>
    </w:div>
    <w:div w:id="1827670870">
      <w:bodyDiv w:val="1"/>
      <w:marLeft w:val="0"/>
      <w:marRight w:val="0"/>
      <w:marTop w:val="0"/>
      <w:marBottom w:val="0"/>
      <w:divBdr>
        <w:top w:val="none" w:sz="0" w:space="0" w:color="auto"/>
        <w:left w:val="none" w:sz="0" w:space="0" w:color="auto"/>
        <w:bottom w:val="none" w:sz="0" w:space="0" w:color="auto"/>
        <w:right w:val="none" w:sz="0" w:space="0" w:color="auto"/>
      </w:divBdr>
    </w:div>
    <w:div w:id="19356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3675</Words>
  <Characters>22272</Characters>
  <Application>Microsoft Office Word</Application>
  <DocSecurity>0</DocSecurity>
  <Lines>556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2025-05-29T05:28:00Z</dcterms:created>
  <dcterms:modified xsi:type="dcterms:W3CDTF">2025-05-29T09:44:00Z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16698b1b1235185c2866d532ce8214f9c3bb0bc4a1f916199f37efd555865f88</vt:lpwstr>
  </property>
</Properties>
</file>