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D756C" w14:textId="77777777" w:rsidR="00757F7F" w:rsidRDefault="00757F7F" w:rsidP="005C67B7">
      <w:pPr>
        <w:pStyle w:val="BodyText"/>
        <w:tabs>
          <w:tab w:val="left" w:pos="3138"/>
        </w:tabs>
        <w:jc w:val="both"/>
        <w:rPr>
          <w:b/>
          <w:bCs/>
          <w:sz w:val="32"/>
          <w:szCs w:val="32"/>
        </w:rPr>
      </w:pPr>
    </w:p>
    <w:p w14:paraId="3B1B1AA8" w14:textId="5FDFC848" w:rsidR="005C67B7" w:rsidRDefault="005C67B7" w:rsidP="005C67B7">
      <w:pPr>
        <w:pStyle w:val="BodyText"/>
        <w:tabs>
          <w:tab w:val="left" w:pos="3138"/>
        </w:tabs>
        <w:jc w:val="both"/>
        <w:rPr>
          <w:b/>
          <w:bCs/>
          <w:sz w:val="32"/>
          <w:szCs w:val="32"/>
        </w:rPr>
      </w:pPr>
      <w:r w:rsidRPr="004E1E96">
        <w:rPr>
          <w:b/>
          <w:bCs/>
          <w:sz w:val="32"/>
          <w:szCs w:val="32"/>
        </w:rPr>
        <w:t>UNRAVELLING THE PAST, UNDERSTANDING THE PRESENT: A DEEP DIVE INTO INDIA'S</w:t>
      </w:r>
      <w:r>
        <w:rPr>
          <w:b/>
          <w:bCs/>
          <w:sz w:val="32"/>
          <w:szCs w:val="32"/>
        </w:rPr>
        <w:t xml:space="preserve"> </w:t>
      </w:r>
      <w:r w:rsidRPr="004E1E96">
        <w:rPr>
          <w:b/>
          <w:bCs/>
          <w:sz w:val="32"/>
          <w:szCs w:val="32"/>
        </w:rPr>
        <w:t>INFECTIOUS DISEASE TRENDS</w:t>
      </w:r>
      <w:r w:rsidR="00843CCE">
        <w:rPr>
          <w:b/>
          <w:bCs/>
          <w:sz w:val="32"/>
          <w:szCs w:val="32"/>
        </w:rPr>
        <w:t>- A REVIEW</w:t>
      </w:r>
    </w:p>
    <w:p w14:paraId="3F428B10" w14:textId="77777777" w:rsidR="00843CCE" w:rsidRDefault="00843CCE" w:rsidP="005C67B7">
      <w:pPr>
        <w:pStyle w:val="BodyText"/>
        <w:tabs>
          <w:tab w:val="left" w:pos="3138"/>
        </w:tabs>
        <w:jc w:val="both"/>
        <w:rPr>
          <w:b/>
          <w:bCs/>
          <w:sz w:val="32"/>
          <w:szCs w:val="32"/>
        </w:rPr>
      </w:pPr>
    </w:p>
    <w:p w14:paraId="4E472980" w14:textId="77777777" w:rsidR="0085227E" w:rsidRDefault="0085227E" w:rsidP="00AB7337">
      <w:pPr>
        <w:rPr>
          <w:b/>
          <w:bCs/>
          <w:sz w:val="32"/>
          <w:szCs w:val="36"/>
        </w:rPr>
      </w:pPr>
    </w:p>
    <w:p w14:paraId="4B6D4729" w14:textId="77777777" w:rsidR="0085227E" w:rsidRDefault="0085227E" w:rsidP="00AB7337">
      <w:pPr>
        <w:rPr>
          <w:b/>
          <w:bCs/>
          <w:sz w:val="32"/>
          <w:szCs w:val="36"/>
        </w:rPr>
      </w:pPr>
    </w:p>
    <w:p w14:paraId="3CE86BDE" w14:textId="1B0FE267" w:rsidR="00081726" w:rsidRDefault="00FF18BC" w:rsidP="00AB7337">
      <w:pPr>
        <w:rPr>
          <w:b/>
          <w:bCs/>
          <w:sz w:val="32"/>
          <w:szCs w:val="36"/>
        </w:rPr>
      </w:pPr>
      <w:r w:rsidRPr="00FF18BC">
        <w:rPr>
          <w:b/>
          <w:bCs/>
          <w:sz w:val="32"/>
          <w:szCs w:val="36"/>
        </w:rPr>
        <w:t>ABSTRACT</w:t>
      </w:r>
    </w:p>
    <w:p w14:paraId="7E77CD9B" w14:textId="77777777" w:rsidR="00AB7337" w:rsidRPr="00AB7337" w:rsidRDefault="00AB7337" w:rsidP="00AB7337">
      <w:pPr>
        <w:rPr>
          <w:b/>
          <w:bCs/>
          <w:sz w:val="32"/>
          <w:szCs w:val="36"/>
        </w:rPr>
      </w:pPr>
    </w:p>
    <w:p w14:paraId="4D6A2A69" w14:textId="609C82C1" w:rsidR="0019251C" w:rsidRPr="0019251C" w:rsidRDefault="0019251C" w:rsidP="0019251C">
      <w:pPr>
        <w:spacing w:line="480" w:lineRule="auto"/>
        <w:jc w:val="both"/>
        <w:rPr>
          <w:sz w:val="24"/>
          <w:szCs w:val="24"/>
          <w:lang w:val="en-IN"/>
        </w:rPr>
      </w:pPr>
      <w:r w:rsidRPr="0019251C">
        <w:rPr>
          <w:sz w:val="24"/>
          <w:szCs w:val="24"/>
          <w:lang w:val="en-IN"/>
        </w:rPr>
        <w:t xml:space="preserve">India is undergoing a complex triple transition—economic, demographic, and epidemiological—that is reshaping its public health priorities. Economic development and urbanization have improved infrastructure and access but have also contributed to lifestyle-related non-communicable diseases (NCDs). Simultaneously, demographic changes such as population aging have increased the vulnerability to chronic conditions. Despite this shift, communicable diseases (CDs) remain a major concern, especially in low Epidemiological Transition Level (ETL) </w:t>
      </w:r>
      <w:r w:rsidR="00C039CC" w:rsidRPr="0019251C">
        <w:rPr>
          <w:sz w:val="24"/>
          <w:szCs w:val="24"/>
          <w:lang w:val="en-IN"/>
        </w:rPr>
        <w:t>states</w:t>
      </w:r>
      <w:r w:rsidR="002F0927">
        <w:rPr>
          <w:sz w:val="24"/>
          <w:szCs w:val="24"/>
          <w:lang w:val="en-IN"/>
        </w:rPr>
        <w:t xml:space="preserve"> like Bihar, Jharkhand, and Uttar Pradesh.</w:t>
      </w:r>
      <w:r w:rsidR="00C039CC" w:rsidRPr="0019251C">
        <w:rPr>
          <w:sz w:val="24"/>
          <w:szCs w:val="24"/>
          <w:lang w:val="en-IN"/>
        </w:rPr>
        <w:t xml:space="preserve"> While</w:t>
      </w:r>
      <w:r w:rsidRPr="0019251C">
        <w:rPr>
          <w:sz w:val="24"/>
          <w:szCs w:val="24"/>
          <w:lang w:val="en-IN"/>
        </w:rPr>
        <w:t xml:space="preserve"> the share of CDs in the total disease burden declined from 53.6% in 1990 to 27.5% in 2016, India still contributes 26% of global tuberculosis cases and over 65% of malaria cases in the WHO South-East Asia Region. The dual burden of CDs and NCDs imposes a significant economic burden, disproportionately affecting vulnerable populations due to persistent health inequities and poor access to </w:t>
      </w:r>
      <w:r w:rsidR="00C42061" w:rsidRPr="0019251C">
        <w:rPr>
          <w:sz w:val="24"/>
          <w:szCs w:val="24"/>
          <w:lang w:val="en-IN"/>
        </w:rPr>
        <w:t>care. This</w:t>
      </w:r>
      <w:r w:rsidRPr="0019251C">
        <w:rPr>
          <w:sz w:val="24"/>
          <w:szCs w:val="24"/>
          <w:lang w:val="en-IN"/>
        </w:rPr>
        <w:t xml:space="preserve"> challenge is compounded by low public health expenditure, which stood at only 1.84% of GDP in 2019–20, and high out-of-pocket expenses (39.4%), increasing household financial strain. Addressing this requires a strengthened public health system—equitable, integrated, and adequately funded—to effectively manage the coexisting burdens of infectious and chronic diseases, and respond to the evolving needs of India’s transitioning population.</w:t>
      </w:r>
    </w:p>
    <w:p w14:paraId="3B490E10" w14:textId="1D36BB89" w:rsidR="007056FA" w:rsidRPr="00C256CD" w:rsidRDefault="007056FA" w:rsidP="008F7F0F">
      <w:pPr>
        <w:spacing w:line="480" w:lineRule="auto"/>
        <w:jc w:val="center"/>
        <w:rPr>
          <w:b/>
          <w:bCs/>
          <w:sz w:val="24"/>
          <w:szCs w:val="24"/>
        </w:rPr>
      </w:pPr>
      <w:r w:rsidRPr="00C256CD">
        <w:rPr>
          <w:b/>
          <w:bCs/>
          <w:sz w:val="24"/>
          <w:szCs w:val="24"/>
        </w:rPr>
        <w:t>Keywords</w:t>
      </w:r>
    </w:p>
    <w:p w14:paraId="2F0953CF" w14:textId="240AFA9D" w:rsidR="007056FA" w:rsidRDefault="005D05A1" w:rsidP="008F7F0F">
      <w:pPr>
        <w:spacing w:line="480" w:lineRule="auto"/>
        <w:jc w:val="center"/>
        <w:rPr>
          <w:sz w:val="24"/>
          <w:szCs w:val="24"/>
        </w:rPr>
      </w:pPr>
      <w:r>
        <w:rPr>
          <w:sz w:val="24"/>
          <w:szCs w:val="24"/>
        </w:rPr>
        <w:t xml:space="preserve">Triple transition, </w:t>
      </w:r>
      <w:r w:rsidR="00411F84">
        <w:rPr>
          <w:sz w:val="24"/>
          <w:szCs w:val="24"/>
        </w:rPr>
        <w:t xml:space="preserve">epidemiological burden, </w:t>
      </w:r>
      <w:r w:rsidR="00066C26">
        <w:rPr>
          <w:sz w:val="24"/>
          <w:szCs w:val="24"/>
        </w:rPr>
        <w:t>public</w:t>
      </w:r>
      <w:r w:rsidR="00411F84">
        <w:rPr>
          <w:sz w:val="24"/>
          <w:szCs w:val="24"/>
        </w:rPr>
        <w:t xml:space="preserve"> health </w:t>
      </w:r>
      <w:r w:rsidR="00947226">
        <w:rPr>
          <w:sz w:val="24"/>
          <w:szCs w:val="24"/>
        </w:rPr>
        <w:t xml:space="preserve">expenditure, </w:t>
      </w:r>
      <w:r w:rsidR="00066C26">
        <w:rPr>
          <w:sz w:val="24"/>
          <w:szCs w:val="24"/>
        </w:rPr>
        <w:t>non-communicable</w:t>
      </w:r>
      <w:r w:rsidR="00E168F6">
        <w:rPr>
          <w:sz w:val="24"/>
          <w:szCs w:val="24"/>
        </w:rPr>
        <w:t xml:space="preserve"> diseases, Communicable diseases</w:t>
      </w:r>
      <w:r w:rsidR="00FF4517">
        <w:rPr>
          <w:sz w:val="24"/>
          <w:szCs w:val="24"/>
        </w:rPr>
        <w:t>, Trends</w:t>
      </w:r>
    </w:p>
    <w:p w14:paraId="0EA74C31" w14:textId="77777777" w:rsidR="004571E0" w:rsidRDefault="004571E0" w:rsidP="004571E0">
      <w:pPr>
        <w:rPr>
          <w:b/>
          <w:bCs/>
          <w:sz w:val="32"/>
          <w:szCs w:val="32"/>
          <w:u w:val="single"/>
        </w:rPr>
      </w:pPr>
    </w:p>
    <w:p w14:paraId="263580E9" w14:textId="77777777" w:rsidR="004571E0" w:rsidRDefault="004571E0" w:rsidP="004571E0">
      <w:pPr>
        <w:rPr>
          <w:b/>
          <w:bCs/>
          <w:sz w:val="32"/>
          <w:szCs w:val="32"/>
          <w:u w:val="single"/>
        </w:rPr>
      </w:pPr>
    </w:p>
    <w:p w14:paraId="5088FE9B" w14:textId="77777777" w:rsidR="00A506BB" w:rsidRDefault="00A506BB" w:rsidP="004571E0">
      <w:pPr>
        <w:rPr>
          <w:b/>
          <w:bCs/>
          <w:sz w:val="32"/>
          <w:szCs w:val="32"/>
        </w:rPr>
      </w:pPr>
    </w:p>
    <w:p w14:paraId="42D93FF3" w14:textId="77777777" w:rsidR="00CD5E82" w:rsidRDefault="00CD5E82" w:rsidP="004571E0">
      <w:pPr>
        <w:rPr>
          <w:b/>
          <w:bCs/>
          <w:sz w:val="32"/>
          <w:szCs w:val="32"/>
        </w:rPr>
      </w:pPr>
    </w:p>
    <w:p w14:paraId="2CF0BDE6" w14:textId="77777777" w:rsidR="00CD5E82" w:rsidRDefault="00CD5E82" w:rsidP="004571E0">
      <w:pPr>
        <w:rPr>
          <w:b/>
          <w:bCs/>
          <w:sz w:val="32"/>
          <w:szCs w:val="32"/>
        </w:rPr>
      </w:pPr>
    </w:p>
    <w:p w14:paraId="086CCB8A" w14:textId="77777777" w:rsidR="00CD5E82" w:rsidRDefault="00CD5E82" w:rsidP="004571E0">
      <w:pPr>
        <w:rPr>
          <w:b/>
          <w:bCs/>
          <w:sz w:val="32"/>
          <w:szCs w:val="32"/>
        </w:rPr>
      </w:pPr>
    </w:p>
    <w:p w14:paraId="09DB53EE" w14:textId="77777777" w:rsidR="00AB7337" w:rsidRDefault="00AB7337" w:rsidP="004571E0">
      <w:pPr>
        <w:rPr>
          <w:b/>
          <w:bCs/>
          <w:sz w:val="32"/>
          <w:szCs w:val="32"/>
        </w:rPr>
      </w:pPr>
    </w:p>
    <w:p w14:paraId="3B3503CE" w14:textId="77777777" w:rsidR="0085227E" w:rsidRDefault="0085227E" w:rsidP="004571E0">
      <w:pPr>
        <w:rPr>
          <w:b/>
          <w:bCs/>
          <w:sz w:val="32"/>
          <w:szCs w:val="32"/>
        </w:rPr>
      </w:pPr>
    </w:p>
    <w:p w14:paraId="169F8DC3" w14:textId="77777777" w:rsidR="0085227E" w:rsidRDefault="0085227E" w:rsidP="004571E0">
      <w:pPr>
        <w:rPr>
          <w:b/>
          <w:bCs/>
          <w:sz w:val="32"/>
          <w:szCs w:val="32"/>
        </w:rPr>
      </w:pPr>
    </w:p>
    <w:p w14:paraId="76A004BB" w14:textId="77777777" w:rsidR="0085227E" w:rsidRDefault="0085227E" w:rsidP="004571E0">
      <w:pPr>
        <w:rPr>
          <w:b/>
          <w:bCs/>
          <w:sz w:val="32"/>
          <w:szCs w:val="32"/>
        </w:rPr>
      </w:pPr>
    </w:p>
    <w:p w14:paraId="7FA8F18C" w14:textId="7E949B24" w:rsidR="004571E0" w:rsidRPr="00FF18BC" w:rsidRDefault="00FF18BC" w:rsidP="004571E0">
      <w:pPr>
        <w:rPr>
          <w:b/>
          <w:bCs/>
          <w:sz w:val="32"/>
          <w:szCs w:val="32"/>
        </w:rPr>
      </w:pPr>
      <w:r w:rsidRPr="00FF18BC">
        <w:rPr>
          <w:b/>
          <w:bCs/>
          <w:sz w:val="32"/>
          <w:szCs w:val="32"/>
        </w:rPr>
        <w:t>INTRODUCTION</w:t>
      </w:r>
      <w:r w:rsidR="00115266">
        <w:rPr>
          <w:b/>
          <w:bCs/>
          <w:sz w:val="32"/>
          <w:szCs w:val="32"/>
        </w:rPr>
        <w:t>:</w:t>
      </w:r>
    </w:p>
    <w:p w14:paraId="0F479015" w14:textId="77777777" w:rsidR="004571E0" w:rsidRPr="00EA63E9" w:rsidRDefault="004571E0" w:rsidP="004571E0">
      <w:pPr>
        <w:rPr>
          <w:b/>
          <w:bCs/>
          <w:sz w:val="32"/>
          <w:szCs w:val="32"/>
        </w:rPr>
      </w:pPr>
    </w:p>
    <w:p w14:paraId="12D58ECE" w14:textId="5CEA7D38" w:rsidR="00AF5018" w:rsidRDefault="005A69CC" w:rsidP="00B44A4F">
      <w:pPr>
        <w:spacing w:line="480" w:lineRule="auto"/>
        <w:jc w:val="both"/>
        <w:rPr>
          <w:sz w:val="24"/>
          <w:szCs w:val="24"/>
        </w:rPr>
      </w:pPr>
      <w:r>
        <w:rPr>
          <w:sz w:val="24"/>
          <w:szCs w:val="24"/>
        </w:rPr>
        <w:t>The o</w:t>
      </w:r>
      <w:r w:rsidR="00757EBB" w:rsidRPr="00FE2DD3">
        <w:rPr>
          <w:sz w:val="24"/>
          <w:szCs w:val="24"/>
        </w:rPr>
        <w:t>ngoing demographic and epidemiological transitions are</w:t>
      </w:r>
      <w:r w:rsidR="00D0286B">
        <w:rPr>
          <w:sz w:val="24"/>
          <w:szCs w:val="24"/>
        </w:rPr>
        <w:t xml:space="preserve"> placing </w:t>
      </w:r>
      <w:r w:rsidR="00700103">
        <w:rPr>
          <w:sz w:val="24"/>
          <w:szCs w:val="24"/>
        </w:rPr>
        <w:t xml:space="preserve">unprecedented pressure </w:t>
      </w:r>
      <w:r w:rsidR="00757EBB" w:rsidRPr="00FE2DD3">
        <w:rPr>
          <w:sz w:val="24"/>
          <w:szCs w:val="24"/>
        </w:rPr>
        <w:t>on public health systems in low- and middle-income countries (LMICs)</w:t>
      </w:r>
      <w:r w:rsidR="00923D68">
        <w:rPr>
          <w:sz w:val="24"/>
          <w:szCs w:val="24"/>
        </w:rPr>
        <w:t>.</w:t>
      </w:r>
      <w:r w:rsidR="00F03358">
        <w:rPr>
          <w:sz w:val="24"/>
          <w:szCs w:val="24"/>
        </w:rPr>
        <w:t xml:space="preserve"> </w:t>
      </w:r>
      <w:r w:rsidR="00923D68">
        <w:rPr>
          <w:sz w:val="24"/>
          <w:szCs w:val="24"/>
        </w:rPr>
        <w:t>A</w:t>
      </w:r>
      <w:r w:rsidR="00F03358">
        <w:rPr>
          <w:sz w:val="24"/>
          <w:szCs w:val="24"/>
        </w:rPr>
        <w:t xml:space="preserve">ddressing these challenges is crucial </w:t>
      </w:r>
      <w:r w:rsidR="00E8195E">
        <w:rPr>
          <w:sz w:val="24"/>
          <w:szCs w:val="24"/>
        </w:rPr>
        <w:t>for ensuring the health and well</w:t>
      </w:r>
      <w:r w:rsidR="006A22FC">
        <w:rPr>
          <w:sz w:val="24"/>
          <w:szCs w:val="24"/>
        </w:rPr>
        <w:t>-</w:t>
      </w:r>
      <w:r w:rsidR="00E8195E">
        <w:rPr>
          <w:sz w:val="24"/>
          <w:szCs w:val="24"/>
        </w:rPr>
        <w:t>being of their population</w:t>
      </w:r>
      <w:r w:rsidR="00757EBB" w:rsidRPr="00FE2DD3">
        <w:rPr>
          <w:sz w:val="24"/>
          <w:szCs w:val="24"/>
        </w:rPr>
        <w:t xml:space="preserve">. These global health shifts are marked by a distinct transformation in disease burden, with a gradual shift from the predominance of communicable diseases (CDs) to a rising incidence of non-communicable diseases (NCDs). This epidemiological transition is deeply interlinked with concurrent social </w:t>
      </w:r>
      <w:r w:rsidR="00345C7C" w:rsidRPr="00FE2DD3">
        <w:rPr>
          <w:sz w:val="24"/>
          <w:szCs w:val="24"/>
        </w:rPr>
        <w:t>changes</w:t>
      </w:r>
      <w:r w:rsidR="00345C7C">
        <w:rPr>
          <w:sz w:val="24"/>
          <w:szCs w:val="24"/>
        </w:rPr>
        <w:t>,</w:t>
      </w:r>
      <w:r w:rsidR="00345C7C" w:rsidRPr="00FE2DD3">
        <w:rPr>
          <w:sz w:val="24"/>
          <w:szCs w:val="24"/>
        </w:rPr>
        <w:t xml:space="preserve"> such</w:t>
      </w:r>
      <w:r w:rsidR="00757EBB" w:rsidRPr="00FE2DD3">
        <w:rPr>
          <w:sz w:val="24"/>
          <w:szCs w:val="24"/>
        </w:rPr>
        <w:t xml:space="preserve"> as urbanization, lifestyle modifications, and ageing </w:t>
      </w:r>
      <w:r w:rsidR="00C147D2" w:rsidRPr="00FE2DD3">
        <w:rPr>
          <w:sz w:val="24"/>
          <w:szCs w:val="24"/>
        </w:rPr>
        <w:t>populations</w:t>
      </w:r>
      <w:r w:rsidR="00C147D2">
        <w:rPr>
          <w:sz w:val="24"/>
          <w:szCs w:val="24"/>
        </w:rPr>
        <w:t>, which</w:t>
      </w:r>
      <w:r w:rsidR="00757EBB" w:rsidRPr="00FE2DD3">
        <w:rPr>
          <w:sz w:val="24"/>
          <w:szCs w:val="24"/>
        </w:rPr>
        <w:t xml:space="preserve"> collectively contribute to new and compounded health burdens in these regions. Despite advancements, LMICs continue to grapple with a dual burden of disease, wherein persistent infectious diseases coexist with the rising tide of NCDs, thereby complicating resource allocation and public health responses. </w:t>
      </w:r>
      <w:r w:rsidR="004D00BD">
        <w:rPr>
          <w:sz w:val="24"/>
          <w:szCs w:val="24"/>
        </w:rPr>
        <w:fldChar w:fldCharType="begin"/>
      </w:r>
      <w:r w:rsidR="004D00BD">
        <w:rPr>
          <w:sz w:val="24"/>
          <w:szCs w:val="24"/>
        </w:rPr>
        <w:instrText xml:space="preserve"> ADDIN ZOTERO_ITEM CSL_CITATION {"citationID":"5Yc486PB","properties":{"formattedCitation":"(1)","plainCitation":"(1)","noteIndex":0},"citationItems":[{"id":266,"uris":["http://zotero.org/users/local/XRtc60WU/items/5JGZK6BQ"],"itemData":{"id":266,"type":"article-journal","abstract":"Running over timescales that span decades or centuries, the epidemiological transition provides the central narrative of global health. In this transition, a reduction in mortality is followed by a reduction in fertility, creating larger, older populations in which the main causes of illness and death are no longer acute infections of children but chronic diseases of adults. Since the year 2000, the Millennium Development Goals (MDGs) have provided a framework for accelerating the decline of infectious diseases, backed by a massive injection of foreign investment to low-income countries. Despite the successes of the MDGs era, the inhabitants of low-income countries still suffer an enormous burden of disease owing to diarrhoea, pneumonia, HIV/AIDS, tuberculosis, malaria and other pathogens. Adding to the predictable burden of endemic disease, the threat of pandemics is ever-present and global. With a view to the future, this review spotlights five aspects of the fight against infection beyond 2015, when the MDGs will be replaced by a new set of goals for poverty reduction and sustainable development. These aspects are: exploiting the biological links between infectious and non-infectious diseases; controlling infections among the new urban majority; enhancing the response to international health threats; expanding childhood immunization programmes to prevent acute and chronic diseases in adults; and working towards universal health coverage. By scanning the wider horizon now, infectious disease specialists have the chance to shape the post-2015 era of health and development.","container-title":"Philosophical Transactions of the Royal Society B: Biological Sciences","DOI":"10.1098/rstb.2013.0426","issue":"1645","note":"publisher: Royal Society","page":"20130426","source":"royalsocietypublishing.org (Atypon)","title":"After 2015: infectious diseases in a new era of health and development","title-short":"After 2015","volume":"369","author":[{"family":"Dye","given":"Christopher"}],"issued":{"date-parts":[["2014",6,19]]}}}],"schema":"https://github.com/citation-style-language/schema/raw/master/csl-citation.json"} </w:instrText>
      </w:r>
      <w:r w:rsidR="004D00BD">
        <w:rPr>
          <w:sz w:val="24"/>
          <w:szCs w:val="24"/>
        </w:rPr>
        <w:fldChar w:fldCharType="separate"/>
      </w:r>
      <w:r w:rsidR="004D00BD" w:rsidRPr="004D00BD">
        <w:rPr>
          <w:sz w:val="24"/>
        </w:rPr>
        <w:t>(1)</w:t>
      </w:r>
      <w:r w:rsidR="004D00BD">
        <w:rPr>
          <w:sz w:val="24"/>
          <w:szCs w:val="24"/>
        </w:rPr>
        <w:fldChar w:fldCharType="end"/>
      </w:r>
    </w:p>
    <w:p w14:paraId="19B55C0E" w14:textId="3FD04F2D" w:rsidR="00E61616" w:rsidRDefault="00757EBB" w:rsidP="00B44A4F">
      <w:pPr>
        <w:spacing w:line="480" w:lineRule="auto"/>
        <w:jc w:val="both"/>
        <w:rPr>
          <w:sz w:val="24"/>
          <w:szCs w:val="24"/>
        </w:rPr>
      </w:pPr>
      <w:r w:rsidRPr="00FE2DD3">
        <w:rPr>
          <w:sz w:val="24"/>
          <w:szCs w:val="24"/>
        </w:rPr>
        <w:t>Infectious diseases</w:t>
      </w:r>
      <w:r w:rsidR="00942C02">
        <w:rPr>
          <w:sz w:val="24"/>
          <w:szCs w:val="24"/>
        </w:rPr>
        <w:t xml:space="preserve"> (IDs)</w:t>
      </w:r>
      <w:r w:rsidRPr="00FE2DD3">
        <w:rPr>
          <w:sz w:val="24"/>
          <w:szCs w:val="24"/>
        </w:rPr>
        <w:t xml:space="preserve"> remain a significant cause of morbidity and mortality in LMICs, contributing to substantial human suffering. These nations bear a disproportionately high burden of </w:t>
      </w:r>
      <w:r w:rsidR="00942C02">
        <w:rPr>
          <w:sz w:val="24"/>
          <w:szCs w:val="24"/>
        </w:rPr>
        <w:t xml:space="preserve">IDs </w:t>
      </w:r>
      <w:r w:rsidRPr="00FE2DD3">
        <w:rPr>
          <w:sz w:val="24"/>
          <w:szCs w:val="24"/>
        </w:rPr>
        <w:t>compared to high-income countries, owing to factors such as limited access to healthcare, inadequate sanitation, and socioeconomic disparities. Over the past few decades, rapid economic growth in many LMICs has led to considerable improvements in public health infrastructure, including the widespread deployment of vaccines, enhanced diagnostics, improved therapeutics, and strengthened infection control practices. Nonetheless, these advancements have not fully mitigated the impact of</w:t>
      </w:r>
      <w:r w:rsidR="004A3FCA">
        <w:rPr>
          <w:sz w:val="24"/>
          <w:szCs w:val="24"/>
        </w:rPr>
        <w:t xml:space="preserve"> IDs</w:t>
      </w:r>
      <w:r w:rsidRPr="00FE2DD3">
        <w:rPr>
          <w:sz w:val="24"/>
          <w:szCs w:val="24"/>
        </w:rPr>
        <w:t>, which continue to hinder progress toward achieving health-related Sustainable Development Goals</w:t>
      </w:r>
      <w:r w:rsidR="00DE03D2">
        <w:rPr>
          <w:sz w:val="24"/>
          <w:szCs w:val="24"/>
        </w:rPr>
        <w:t xml:space="preserve">. </w:t>
      </w:r>
      <w:r w:rsidR="00625E9D">
        <w:rPr>
          <w:sz w:val="24"/>
          <w:szCs w:val="24"/>
        </w:rPr>
        <w:fldChar w:fldCharType="begin"/>
      </w:r>
      <w:r w:rsidR="004D00BD">
        <w:rPr>
          <w:sz w:val="24"/>
          <w:szCs w:val="24"/>
        </w:rPr>
        <w:instrText xml:space="preserve"> ADDIN ZOTERO_ITEM CSL_CITATION {"citationID":"zv8Oq9fh","properties":{"formattedCitation":"(2)","plainCitation":"(2)","noteIndex":0},"citationItems":[{"id":476,"uris":["http://zotero.org/users/local/XRtc60WU/items/C7CIGXJT"],"itemData":{"id":476,"type":"article-journal","abstract":"Infectious diseases are a major cause of death in South Asia, with children incurring a disproportionate share of the burden. This review discusses the underlying causes of some of the more common diseases and strategies to improve their detection and control","container-title":"BMJ (Clinical research ed.)","DOI":"10.1136/bmj.328.7443.811","ISSN":"1756-1833","issue":"7443","journalAbbreviation":"BMJ","language":"eng","note":"PMID: 15070639\nPMCID: PMC383379","page":"811-815","source":"PubMed","title":"Burden of infectious diseases in South Asia","volume":"328","author":[{"family":"Zaidi","given":"Anita K. M."},{"family":"Awasthi","given":"Shally"},{"family":"deSilva","given":"H. Janaka"}],"issued":{"date-parts":[["2004",4,3]]}}}],"schema":"https://github.com/citation-style-language/schema/raw/master/csl-citation.json"} </w:instrText>
      </w:r>
      <w:r w:rsidR="00625E9D">
        <w:rPr>
          <w:sz w:val="24"/>
          <w:szCs w:val="24"/>
        </w:rPr>
        <w:fldChar w:fldCharType="separate"/>
      </w:r>
      <w:r w:rsidR="004D00BD" w:rsidRPr="004D00BD">
        <w:rPr>
          <w:sz w:val="24"/>
        </w:rPr>
        <w:t>(2)</w:t>
      </w:r>
      <w:r w:rsidR="00625E9D">
        <w:rPr>
          <w:sz w:val="24"/>
          <w:szCs w:val="24"/>
        </w:rPr>
        <w:fldChar w:fldCharType="end"/>
      </w:r>
      <w:r w:rsidR="00C567C2">
        <w:rPr>
          <w:sz w:val="24"/>
          <w:szCs w:val="24"/>
        </w:rPr>
        <w:t xml:space="preserve"> </w:t>
      </w:r>
      <w:r w:rsidR="00C567C2">
        <w:rPr>
          <w:sz w:val="24"/>
          <w:szCs w:val="24"/>
        </w:rPr>
        <w:fldChar w:fldCharType="begin"/>
      </w:r>
      <w:r w:rsidR="004D00BD">
        <w:rPr>
          <w:sz w:val="24"/>
          <w:szCs w:val="24"/>
        </w:rPr>
        <w:instrText xml:space="preserve"> ADDIN ZOTERO_ITEM CSL_CITATION {"citationID":"3wDHbqb6","properties":{"formattedCitation":"(3)","plainCitation":"(3)","noteIndex":0},"citationItems":[{"id":474,"uris":["http://zotero.org/users/local/XRtc60WU/items/UFZB8ECL"],"itemData":{"id":474,"type":"webpage","abstract":"This reports looks back 15 years at the trends and positive forces during the MDG era and assesses the main challenges that will affect health in the coming 15 years.","language":"en","title":"Health in 2015: from MDGs to SDGs","title-short":"Health in 2015","URL":"https://www.who.int/publications/i/item/9789241565110","accessed":{"date-parts":[["2025",5,13]]}}}],"schema":"https://github.com/citation-style-language/schema/raw/master/csl-citation.json"} </w:instrText>
      </w:r>
      <w:r w:rsidR="00C567C2">
        <w:rPr>
          <w:sz w:val="24"/>
          <w:szCs w:val="24"/>
        </w:rPr>
        <w:fldChar w:fldCharType="separate"/>
      </w:r>
      <w:r w:rsidR="004D00BD" w:rsidRPr="004D00BD">
        <w:rPr>
          <w:sz w:val="24"/>
        </w:rPr>
        <w:t>(3)</w:t>
      </w:r>
      <w:r w:rsidR="00C567C2">
        <w:rPr>
          <w:sz w:val="24"/>
          <w:szCs w:val="24"/>
        </w:rPr>
        <w:fldChar w:fldCharType="end"/>
      </w:r>
    </w:p>
    <w:p w14:paraId="4125D52D" w14:textId="05FF776A" w:rsidR="005B2BF1" w:rsidRDefault="00757EBB" w:rsidP="00B44A4F">
      <w:pPr>
        <w:spacing w:line="480" w:lineRule="auto"/>
        <w:jc w:val="both"/>
        <w:rPr>
          <w:sz w:val="24"/>
          <w:szCs w:val="24"/>
        </w:rPr>
      </w:pPr>
      <w:r w:rsidRPr="00FE2DD3">
        <w:rPr>
          <w:sz w:val="24"/>
          <w:szCs w:val="24"/>
        </w:rPr>
        <w:t xml:space="preserve">In the Indian scenario, the burden of </w:t>
      </w:r>
      <w:r w:rsidR="00AB48EA">
        <w:rPr>
          <w:sz w:val="24"/>
          <w:szCs w:val="24"/>
        </w:rPr>
        <w:t>these</w:t>
      </w:r>
      <w:r w:rsidRPr="00FE2DD3">
        <w:rPr>
          <w:sz w:val="24"/>
          <w:szCs w:val="24"/>
        </w:rPr>
        <w:t xml:space="preserve"> diseases remains substantial despite measurable progress in health indicators resulting from economic development, expanded immunization coverage, and the availability of antimicrobials. IDs continue to constitute a significant proportion of the national disease burden. Notably, four of the top ten leading causes of death in India are of infectious origin, with COVID-19 emerging as a prominent contributor in recent years.</w:t>
      </w:r>
    </w:p>
    <w:p w14:paraId="7DE55E22" w14:textId="4EB67853" w:rsidR="0022048D" w:rsidRPr="00FE2DD3" w:rsidRDefault="00757EBB" w:rsidP="00B44A4F">
      <w:pPr>
        <w:spacing w:line="480" w:lineRule="auto"/>
        <w:jc w:val="both"/>
        <w:rPr>
          <w:sz w:val="24"/>
          <w:szCs w:val="24"/>
        </w:rPr>
      </w:pPr>
      <w:r w:rsidRPr="00FE2DD3">
        <w:rPr>
          <w:sz w:val="24"/>
          <w:szCs w:val="24"/>
        </w:rPr>
        <w:t xml:space="preserve"> </w:t>
      </w:r>
      <w:r w:rsidR="00262101" w:rsidRPr="00262101">
        <w:rPr>
          <w:sz w:val="24"/>
          <w:szCs w:val="24"/>
        </w:rPr>
        <w:t xml:space="preserve">According to the WHO, </w:t>
      </w:r>
      <w:r w:rsidR="00993D07" w:rsidRPr="00993D07">
        <w:rPr>
          <w:sz w:val="24"/>
          <w:szCs w:val="24"/>
        </w:rPr>
        <w:t>conditions related to communicable diseases, maternal health, perinatal health, and nutrition</w:t>
      </w:r>
      <w:r w:rsidR="003C337B">
        <w:rPr>
          <w:sz w:val="24"/>
          <w:szCs w:val="24"/>
        </w:rPr>
        <w:t xml:space="preserve"> </w:t>
      </w:r>
      <w:r w:rsidR="00627E71">
        <w:rPr>
          <w:sz w:val="24"/>
          <w:szCs w:val="24"/>
        </w:rPr>
        <w:t>(CMPND</w:t>
      </w:r>
      <w:r w:rsidR="00C17A0C">
        <w:rPr>
          <w:sz w:val="24"/>
          <w:szCs w:val="24"/>
        </w:rPr>
        <w:t>s)</w:t>
      </w:r>
      <w:r w:rsidR="00262101" w:rsidRPr="00262101">
        <w:rPr>
          <w:sz w:val="24"/>
          <w:szCs w:val="24"/>
        </w:rPr>
        <w:t xml:space="preserve"> collectively account for approximately 38.4% of all deaths in India, underscoring the persistent public health challenge these conditions pose, even amidst considerable progress in disease prevention and control efforts</w:t>
      </w:r>
      <w:r w:rsidR="001B7573">
        <w:rPr>
          <w:sz w:val="24"/>
          <w:szCs w:val="24"/>
        </w:rPr>
        <w:t>.</w:t>
      </w:r>
      <w:r w:rsidR="00DD539C">
        <w:rPr>
          <w:sz w:val="24"/>
          <w:szCs w:val="24"/>
        </w:rPr>
        <w:fldChar w:fldCharType="begin"/>
      </w:r>
      <w:r w:rsidR="004D00BD">
        <w:rPr>
          <w:sz w:val="24"/>
          <w:szCs w:val="24"/>
        </w:rPr>
        <w:instrText xml:space="preserve"> ADDIN ZOTERO_ITEM CSL_CITATION {"citationID":"GZHRbqsO","properties":{"formattedCitation":"(4)","plainCitation":"(4)","noteIndex":0},"citationItems":[{"id":472,"uris":["http://zotero.org/users/local/XRtc60WU/items/Z5YK7SSY"],"itemData":{"id":472,"type":"webpage","abstract":"Health data overview for India, containing the latest population, life expectancy and mortality data from WHO.","container-title":"datadot","language":"en","title":"India","URL":"https://data.who.int/countries/356","accessed":{"date-parts":[["2025",5,8]]}}}],"schema":"https://github.com/citation-style-language/schema/raw/master/csl-citation.json"} </w:instrText>
      </w:r>
      <w:r w:rsidR="00DD539C">
        <w:rPr>
          <w:sz w:val="24"/>
          <w:szCs w:val="24"/>
        </w:rPr>
        <w:fldChar w:fldCharType="separate"/>
      </w:r>
      <w:r w:rsidR="004D00BD" w:rsidRPr="004D00BD">
        <w:rPr>
          <w:sz w:val="24"/>
        </w:rPr>
        <w:t>(4)</w:t>
      </w:r>
      <w:r w:rsidR="00DD539C">
        <w:rPr>
          <w:sz w:val="24"/>
          <w:szCs w:val="24"/>
        </w:rPr>
        <w:fldChar w:fldCharType="end"/>
      </w:r>
      <w:r w:rsidRPr="00FE2DD3">
        <w:rPr>
          <w:sz w:val="24"/>
          <w:szCs w:val="24"/>
        </w:rPr>
        <w:t xml:space="preserve"> </w:t>
      </w:r>
      <w:r w:rsidR="007C558C" w:rsidRPr="007C558C">
        <w:rPr>
          <w:sz w:val="24"/>
          <w:szCs w:val="24"/>
        </w:rPr>
        <w:t xml:space="preserve">Complementing this perspective, data from the India State-Level Disease Burden Initiative </w:t>
      </w:r>
      <w:r w:rsidR="007C558C" w:rsidRPr="007C558C">
        <w:rPr>
          <w:sz w:val="24"/>
          <w:szCs w:val="24"/>
        </w:rPr>
        <w:lastRenderedPageBreak/>
        <w:t xml:space="preserve">further illustrate the shifting landscape of morbidity and mortality. In 1990, the five leading contributors to disease burden in India were predominantly infectious in origin—namely, diarrheal diseases, lower respiratory infections, neonatal preterm birth complications, tuberculosis, and measles. However, the progression of the epidemiological transition has markedly altered this profile. </w:t>
      </w:r>
      <w:r w:rsidR="006B785E" w:rsidRPr="006B785E">
        <w:rPr>
          <w:sz w:val="24"/>
          <w:szCs w:val="24"/>
        </w:rPr>
        <w:t xml:space="preserve">By 2016, three of the five leading causes of disease burden </w:t>
      </w:r>
      <w:r w:rsidR="007C558C" w:rsidRPr="007C558C">
        <w:rPr>
          <w:sz w:val="24"/>
          <w:szCs w:val="24"/>
        </w:rPr>
        <w:t xml:space="preserve">had shifted to non-communicable diseases (NCDs), specifically ischemic heart disease, chronic obstructive pulmonary disease (COPD), and cerebrovascular disease. The remaining two—lower respiratory infections and neonatal disorders—retained an infectious etiology. Not only these, significant disparities were also observed across states. To provide a standardized comparative metric, the concept of the </w:t>
      </w:r>
      <w:r w:rsidR="007C558C" w:rsidRPr="007C558C">
        <w:rPr>
          <w:i/>
          <w:iCs/>
          <w:sz w:val="24"/>
          <w:szCs w:val="24"/>
        </w:rPr>
        <w:t>Epidemiological Transition Ratio</w:t>
      </w:r>
      <w:r w:rsidR="007C558C" w:rsidRPr="007C558C">
        <w:rPr>
          <w:sz w:val="24"/>
          <w:szCs w:val="24"/>
        </w:rPr>
        <w:t xml:space="preserve"> (ETR) has been employed</w:t>
      </w:r>
      <w:r w:rsidR="004D2D95">
        <w:rPr>
          <w:sz w:val="24"/>
          <w:szCs w:val="24"/>
        </w:rPr>
        <w:t xml:space="preserve"> by </w:t>
      </w:r>
      <w:r w:rsidR="00215A3D">
        <w:rPr>
          <w:sz w:val="24"/>
          <w:szCs w:val="24"/>
        </w:rPr>
        <w:t>researchers</w:t>
      </w:r>
      <w:r w:rsidR="007C558C" w:rsidRPr="007C558C">
        <w:rPr>
          <w:sz w:val="24"/>
          <w:szCs w:val="24"/>
        </w:rPr>
        <w:t>. This ratio is defined as the proportion of disease burden attributable to non-communicable diseases and injuries relative to that from communicable, maternal, neonatal, and nutritional diseases. An ETR greater than one indicates that a region has transitioned towards a predominance of NCDs and injuries.</w:t>
      </w:r>
      <w:r w:rsidR="00215A3D" w:rsidRPr="00215A3D">
        <w:rPr>
          <w:rFonts w:ascii="Arial" w:hAnsi="Arial" w:cs="Arial"/>
          <w:color w:val="1C1C1C"/>
          <w:sz w:val="21"/>
          <w:szCs w:val="21"/>
          <w:shd w:val="clear" w:color="auto" w:fill="FFFFFF"/>
        </w:rPr>
        <w:t xml:space="preserve"> </w:t>
      </w:r>
      <w:r w:rsidR="00215A3D" w:rsidRPr="00215A3D">
        <w:rPr>
          <w:sz w:val="24"/>
          <w:szCs w:val="24"/>
        </w:rPr>
        <w:t>In 1990, only a few regions—specifically the states of Kerala and Goa, along with union territories other than Delhi—had achieved this transition. However, by 2016, this pattern had expanded to include all Indian states. Some states, such as Bihar (0.74), Jharkhand (0.69), and Uttar Pradesh (0.68), faced a more acute challenge of the double burden of disease, indicating a nationwide shift in disease prevalence</w:t>
      </w:r>
      <w:r w:rsidR="007C558C" w:rsidRPr="007C558C">
        <w:rPr>
          <w:sz w:val="24"/>
          <w:szCs w:val="24"/>
        </w:rPr>
        <w:t>.</w:t>
      </w:r>
      <w:r w:rsidR="001B7573">
        <w:rPr>
          <w:sz w:val="24"/>
          <w:szCs w:val="24"/>
        </w:rPr>
        <w:fldChar w:fldCharType="begin"/>
      </w:r>
      <w:r w:rsidR="001B7573">
        <w:rPr>
          <w:sz w:val="24"/>
          <w:szCs w:val="24"/>
        </w:rPr>
        <w:instrText xml:space="preserve"> ADDIN ZOTERO_ITEM CSL_CITATION {"citationID":"EvNhUMyV","properties":{"formattedCitation":"(5)","plainCitation":"(5)","noteIndex":0},"citationItems":[{"id":201,"uris":["http://zotero.org/users/local/XRtc60WU/items/R9JNXCS4"],"itemData":{"id":201,"type":"document","title":"2017-India-State-Level-Disease-Burden-Initiative-Full-Report.pdf","URL":"https://phfi.org/wp-content/uploads/2018/05/2017-India-State-Level-Disease-Burden-Initiative-Full-Report.pdf","accessed":{"date-parts":[["2024",9,6]]}}}],"schema":"https://github.com/citation-style-language/schema/raw/master/csl-citation.json"} </w:instrText>
      </w:r>
      <w:r w:rsidR="001B7573">
        <w:rPr>
          <w:sz w:val="24"/>
          <w:szCs w:val="24"/>
        </w:rPr>
        <w:fldChar w:fldCharType="separate"/>
      </w:r>
      <w:r w:rsidR="001B7573" w:rsidRPr="001B7573">
        <w:rPr>
          <w:sz w:val="24"/>
        </w:rPr>
        <w:t>(5)</w:t>
      </w:r>
      <w:r w:rsidR="001B7573">
        <w:rPr>
          <w:sz w:val="24"/>
          <w:szCs w:val="24"/>
        </w:rPr>
        <w:fldChar w:fldCharType="end"/>
      </w:r>
    </w:p>
    <w:p w14:paraId="35971482" w14:textId="77777777" w:rsidR="0059606E" w:rsidRPr="00FE2DD3" w:rsidRDefault="0059606E" w:rsidP="00B44A4F">
      <w:pPr>
        <w:spacing w:line="480" w:lineRule="auto"/>
        <w:jc w:val="both"/>
        <w:rPr>
          <w:sz w:val="24"/>
          <w:szCs w:val="24"/>
        </w:rPr>
      </w:pPr>
    </w:p>
    <w:p w14:paraId="7E3D13B1" w14:textId="4714ADDF" w:rsidR="004A0500" w:rsidRPr="004A0500" w:rsidRDefault="00FF18BC" w:rsidP="004A0500">
      <w:pPr>
        <w:spacing w:line="360" w:lineRule="auto"/>
        <w:rPr>
          <w:b/>
          <w:bCs/>
          <w:sz w:val="32"/>
          <w:szCs w:val="32"/>
        </w:rPr>
      </w:pPr>
      <w:r w:rsidRPr="00FF18BC">
        <w:rPr>
          <w:b/>
          <w:bCs/>
          <w:sz w:val="32"/>
          <w:szCs w:val="32"/>
        </w:rPr>
        <w:t>GLOBAL CONTEXT</w:t>
      </w:r>
      <w:r w:rsidR="00115266">
        <w:rPr>
          <w:b/>
          <w:bCs/>
          <w:sz w:val="32"/>
          <w:szCs w:val="32"/>
        </w:rPr>
        <w:t>:</w:t>
      </w:r>
    </w:p>
    <w:p w14:paraId="08D2E3EE" w14:textId="1AC121DE" w:rsidR="00717954" w:rsidRPr="00717954" w:rsidRDefault="00D26F41" w:rsidP="00717954">
      <w:pPr>
        <w:spacing w:line="480" w:lineRule="auto"/>
        <w:jc w:val="both"/>
        <w:rPr>
          <w:sz w:val="24"/>
          <w:szCs w:val="24"/>
          <w:lang w:val="en-IN" w:eastAsia="en-IN"/>
        </w:rPr>
      </w:pPr>
      <w:r>
        <w:rPr>
          <w:sz w:val="24"/>
          <w:szCs w:val="24"/>
          <w:lang w:val="en-IN" w:eastAsia="en-IN"/>
        </w:rPr>
        <w:t xml:space="preserve">IDs </w:t>
      </w:r>
      <w:r w:rsidR="00717954" w:rsidRPr="00717954">
        <w:rPr>
          <w:sz w:val="24"/>
          <w:szCs w:val="24"/>
          <w:lang w:val="en-IN" w:eastAsia="en-IN"/>
        </w:rPr>
        <w:t>continue to place a heavy strain on global health systems and economies, with the greatest impact felt by vulnerable and underserved communities. In 2013 alone, these diseases accounted for over 45 million years lived with disability and more than 9 million deaths across the world.</w:t>
      </w:r>
      <w:r w:rsidR="00474F2D">
        <w:rPr>
          <w:sz w:val="24"/>
          <w:szCs w:val="24"/>
          <w:lang w:val="en-IN" w:eastAsia="en-IN"/>
        </w:rPr>
        <w:fldChar w:fldCharType="begin"/>
      </w:r>
      <w:r w:rsidR="00474F2D">
        <w:rPr>
          <w:sz w:val="24"/>
          <w:szCs w:val="24"/>
          <w:lang w:val="en-IN" w:eastAsia="en-IN"/>
        </w:rPr>
        <w:instrText xml:space="preserve"> ADDIN ZOTERO_ITEM CSL_CITATION {"citationID":"kaiirUvN","properties":{"formattedCitation":"(6)","plainCitation":"(6)","noteIndex":0},"citationItems":[{"id":481,"uris":["http://zotero.org/users/local/XRtc60WU/items/BTSJN4GR"],"itemData":{"id":481,"type":"article-journal","abstract":"Background\nUp-to-date evidence on levels and trends for age-sex-specific all-cause and cause-specific mortality is essential for the formation of global, regional, and national health policies. In the Global Burden of Disease Study 2013 (GBD 2013) we estimated yearly deaths for 188 countries between 1990, and 2013. We used the results to assess whether there is epidemiological convergence across countries.\n\nMethods\nWe estimated age-sex-specific all-cause mortality using the GBD 2010 methods with some refinements to improve accuracy applied to an updated database of vital registration, survey, and census data. We generally estimated cause of death as in the GBD 2010. Key improvements included the addition of more recent vital registration data for 72 countries, an updated verbal autopsy literature review, two new and detailed data systems for China, and more detail for Mexico, UK, Turkey, and Russia. We improved statistical models for garbage code redistribution. We used six different modelling strategies across the 240 causes; cause of death ensemble modelling (CODEm) was the dominant strategy for causes with sufficient information. Trends for Alzheimer’s disease and other dementias were informed by meta-regression of prevalence studies. For pathogen-specific causes of diarrhoea and lower respiratory infections we used a counterfactual approach. We computed two measures of convergence (inequality) across countries: the average relative difference across all pairs of countries (Gini coefficient) and the average absolute difference across countries. To summarise broad findings, we used multiple decrement life-tables to decompose probabilities of death from birth to exact age 15 years, from exact age 15 years to exact age 50 years, and from exact age 50 years to exact age 75 years, and life expectancy at birth into major causes. For all quantities reported, we computed 95% uncertainty intervals (UIs). We constrained cause-specific fractions within each age-sex-country-year group to sum to all-cause mortality based on draws from the uncertainty distributions.\n\nFindings\nGlobal life expectancy for both sexes increased from 65·3 years (UI 65·0–65·6) in 1990, to 71·5 years (UI 71·0–71·9) in 2013, while the number of deaths increased from 47·5 million (UI 46·8–48·2) to 54·9 million (UI 53·6–56·3) over the same interval. Global progress masked variation by age and sex: for children, average absolute differences between countries decreased but relative differences increased. For women aged 25–39 years and older than 75 years and for men aged 20–49 years and 65 years and older, both absolute and relative differences increased. Decomposition of global and regional life expectancy showed the prominent role of reductions in age-standardised death rates for cardiovascular diseases and cancers in high-income regions, and reductions in child deaths from diarrhoea, lower respiratory infections, and neonatal causes in low-income regions. HIV/AIDS reduced life expectancy in southern sub-Saharan Africa. For most communicable causes of death both numbers of deaths and age-standardised death rates fell whereas for most non-communicable causes, demographic shifts have increased numbers of deaths but decreased age-standardised death rates. Global deaths from injury increased by 10·7%, from 4·3 million deaths in 1990 to 4·8 million in 2013; but age-standardised rates declined over the same period by 21%. For some causes of more than 100 000 deaths per year in 2013, age-standardised death rates increased between 1990 and 2013, including HIV/AIDS, pancreatic cancer, atrial fibrillation and flutter, drug use disorders, diabetes, chronic kidney disease, and sickle-cell anaemias. Diarrhoeal diseases, lower respiratory infections, neonatal causes, and malaria are still in the top five causes of death in children younger than 5 years. The most important pathogens are rotavirus for diarrhoea and pneumococcus for lower respiratory infections. Country-specific probabilities of death over three phases of life were substantially varied between and within regions.\n\nInterpretation\nFor most countries, the general pattern of reductions in age-sex specific mortality has been associated with a progressive shift towards a larger share of the remaining deaths caused by non-communicable disease and injuries. Assessing epidemiological convergence across countries depends on whether an absolute or relative measure of inequality is used. Nevertheless, age-standardised death rates for seven substantial causes are increasing, suggesting the potential for reversals in some countries. Important gaps exist in the empirical data for cause of death estimates for some countries; for example, no national data for India are available for the past decade.","container-title":"Lancet","DOI":"10.1016/S0140-6736(14)61682-2","ISSN":"0140-6736","issue":"9963","journalAbbreviation":"Lancet","note":"PMID: 25530442\nPMCID: PMC4340604","page":"117-171","source":"PubMed Central","title":"Global, regional, and national age-sex specific all-cause and cause-specific mortality for 240 causes of death, 1990-2013: a systematic analysis for the Global Burden of Disease Study 2013","title-short":"Global, regional, and national age-sex specific all-cause and cause-specific mortality for 240 causes of death, 1990-2013","volume":"385","issued":{"date-parts":[["2015",1,10]]}}}],"schema":"https://github.com/citation-style-language/schema/raw/master/csl-citation.json"} </w:instrText>
      </w:r>
      <w:r w:rsidR="00474F2D">
        <w:rPr>
          <w:sz w:val="24"/>
          <w:szCs w:val="24"/>
          <w:lang w:val="en-IN" w:eastAsia="en-IN"/>
        </w:rPr>
        <w:fldChar w:fldCharType="separate"/>
      </w:r>
      <w:r w:rsidR="00474F2D" w:rsidRPr="00474F2D">
        <w:rPr>
          <w:sz w:val="24"/>
        </w:rPr>
        <w:t>(6)</w:t>
      </w:r>
      <w:r w:rsidR="00474F2D">
        <w:rPr>
          <w:sz w:val="24"/>
          <w:szCs w:val="24"/>
          <w:lang w:val="en-IN" w:eastAsia="en-IN"/>
        </w:rPr>
        <w:fldChar w:fldCharType="end"/>
      </w:r>
      <w:r w:rsidR="00717954" w:rsidRPr="00717954">
        <w:rPr>
          <w:sz w:val="24"/>
          <w:szCs w:val="24"/>
          <w:lang w:val="en-IN" w:eastAsia="en-IN"/>
        </w:rPr>
        <w:t xml:space="preserve"> Some of the major contributors to this global burden include lower respiratory tract infections, diarrheal diseases, HIV/AIDS, malaria, and tuberculosis.</w:t>
      </w:r>
      <w:r w:rsidR="006B3EAA">
        <w:rPr>
          <w:sz w:val="24"/>
          <w:szCs w:val="24"/>
          <w:lang w:val="en-IN" w:eastAsia="en-IN"/>
        </w:rPr>
        <w:fldChar w:fldCharType="begin"/>
      </w:r>
      <w:r w:rsidR="006B3EAA">
        <w:rPr>
          <w:sz w:val="24"/>
          <w:szCs w:val="24"/>
          <w:lang w:val="en-IN" w:eastAsia="en-IN"/>
        </w:rPr>
        <w:instrText xml:space="preserve"> ADDIN ZOTERO_ITEM CSL_CITATION {"citationID":"LsuqbwIF","properties":{"formattedCitation":"(7)","plainCitation":"(7)","noteIndex":0},"citationItems":[{"id":484,"uris":["http://zotero.org/users/local/XRtc60WU/items/IEM7L36F"],"itemData":{"id":484,"type":"article-journal","abstract":"Background\nUp-to-date evidence about levels and trends in disease and injury incidence, prevalence, and years lived with disability (YLDs) is an essential input into global, regional, and national health policies. In the Global Burden of Disease Study 2013 (GBD 2013), we estimated these quantities for acute and chronic diseases and injuries for 188 countries between 1990 and 2013.\n\nMethods\nEstimates were calculated for disease and injury incidence, prevalence, and YLDs using GBD 2010 methods with some important refinements. Results for incidence of acute disorders and prevalence of chronic disorders are new additions to the analysis. Key improvements include expansion to the cause and sequelae list, updated systematic reviews, use of detailed injury codes, improvements to the Bayesian meta-regression method (DisMod-MR), and use of severity splits for various causes. An index of data representativeness, showing data availability, was calculated for each cause and impairment during three periods globally and at the country level for 2013. In total, 35 620 distinct sources of data were used and documented to calculated estimates for 301 diseases and injuries and 2337 sequelae. The comorbidity simulation provides estimates for the number of sequelae, concurrently, by individuals by country, year, age, and sex. Disability weights were updated with the addition of new population-based survey data from four countries.\n\nFindings\nDisease and injury were highly prevalent; only a small fraction of individuals had no sequelae. Comorbidity rose substantially with age and in absolute terms from 1990 to 2013. Incidence of acute sequelae were predominantly infectious diseases and short-term injuries, with over 2 billion cases of upper respiratory infections and diarrhoeal disease episodes in 2013, with the notable exception of tooth pain due to permanent caries with more than 200 million incident cases in 2013. Conversely, leading chronic sequelae were largely attributable to non-communicable diseases, with prevalence estimates for asymptomatic permanent caries and tension-type headache of 2·4 billion and 1·6 billion, respectively. The distribution of the number of sequelae in populations varied widely across regions, with an expected relation between age and disease prevalence. YLDs for both sexes increased from 537·6 million in 1990 to 764·8 million in 2013 due to population growth and ageing, whereas the age-standardised rate decreased little from 114·87 per 1000 people to 110·31 per 1000 people between 1990 and 2013. Leading causes of YLDs included low back pain and major depressive disorder among the top ten causes of YLDs in every country. YLD rates per person, by major cause groups, indicated the main drivers of increases were due to musculoskeletal, mental, and substance use disorders, neurological disorders, and chronic respiratory diseases; however HIV/AIDS was a notable driver of increasing YLDs in sub-Saharan Africa. Also, the proportion of disability-adjusted life years due to YLDs increased globally from 21·1% in 1990 to 31·2% in 2013.\n\nInterpretation\nAgeing of the world’s population is leading to a substantial increase in the numbers of individuals with sequelae of diseases and injuries. Rates of YLDs are declining much more slowly than mortality rates. The non-fatal dimensions of disease and injury will require more and more attention from health systems. The transition to non-fatal outcomes as the dominant source of burden of disease is occurring rapidly outside of sub-Saharan Africa. Our results can guide future health initiatives through examination of epidemiological trends and a better understanding of variation across countries.","container-title":"Lancet (London, England)","DOI":"10.1016/S0140-6736(15)60692-4","ISSN":"0140-6736","issue":"9995","journalAbbreviation":"Lancet","note":"PMID: 26063472\nPMCID: PMC4561509","page":"743-800","source":"PubMed Central","title":"Global, regional, and national incidence, prevalence, and years lived with disability for 301 acute and chronic diseases and injuries in 188 countries, 1990–2013: a systematic analysis for the Global Burden of Disease Study 2013","title-short":"Global, regional, and national incidence, prevalence, and years lived with disability for 301 acute and chronic diseases and injuries in 188 countries, 1990–2013","volume":"386","issued":{"date-parts":[["2015",8,22]]}}}],"schema":"https://github.com/citation-style-language/schema/raw/master/csl-citation.json"} </w:instrText>
      </w:r>
      <w:r w:rsidR="006B3EAA">
        <w:rPr>
          <w:sz w:val="24"/>
          <w:szCs w:val="24"/>
          <w:lang w:val="en-IN" w:eastAsia="en-IN"/>
        </w:rPr>
        <w:fldChar w:fldCharType="separate"/>
      </w:r>
      <w:r w:rsidR="006B3EAA" w:rsidRPr="006B3EAA">
        <w:rPr>
          <w:sz w:val="24"/>
        </w:rPr>
        <w:t>(7)</w:t>
      </w:r>
      <w:r w:rsidR="006B3EAA">
        <w:rPr>
          <w:sz w:val="24"/>
          <w:szCs w:val="24"/>
          <w:lang w:val="en-IN" w:eastAsia="en-IN"/>
        </w:rPr>
        <w:fldChar w:fldCharType="end"/>
      </w:r>
    </w:p>
    <w:p w14:paraId="1D7EC43B" w14:textId="1CAFAE5F" w:rsidR="00717954" w:rsidRPr="00717954" w:rsidRDefault="00717954" w:rsidP="00717954">
      <w:pPr>
        <w:spacing w:line="480" w:lineRule="auto"/>
        <w:jc w:val="both"/>
        <w:rPr>
          <w:sz w:val="24"/>
          <w:szCs w:val="24"/>
          <w:lang w:val="en-IN" w:eastAsia="en-IN"/>
        </w:rPr>
      </w:pPr>
      <w:r w:rsidRPr="00717954">
        <w:rPr>
          <w:sz w:val="24"/>
          <w:szCs w:val="24"/>
          <w:lang w:val="en-IN" w:eastAsia="en-IN"/>
        </w:rPr>
        <w:t>In addition to well-known infections, the landscape of communicable diseases also includes emerging and re-emerging threats. These are illnesses that are either newly identified—such as Middle East Respiratory Syndrome (MERS)—or those that are rapidly increasing in prevalence or spreading to new regions. Examples include extensively drug-resistant tuberculosis (XDR-TB) and the Zika virus, both of which pose growing public health challenges.</w:t>
      </w:r>
      <w:r w:rsidR="004A0500">
        <w:rPr>
          <w:sz w:val="24"/>
          <w:szCs w:val="24"/>
          <w:lang w:val="en-IN" w:eastAsia="en-IN"/>
        </w:rPr>
        <w:fldChar w:fldCharType="begin"/>
      </w:r>
      <w:r w:rsidR="004A0500">
        <w:rPr>
          <w:sz w:val="24"/>
          <w:szCs w:val="24"/>
          <w:lang w:val="en-IN" w:eastAsia="en-IN"/>
        </w:rPr>
        <w:instrText xml:space="preserve"> ADDIN ZOTERO_ITEM CSL_CITATION {"citationID":"gi2BGRHl","properties":{"formattedCitation":"(8)","plainCitation":"(8)","noteIndex":0},"citationItems":[{"id":487,"uris":["http://zotero.org/users/local/XRtc60WU/items/TT2EE2CM"],"itemData":{"id":487,"type":"article-journal","abstract":"\"Emerging\" infectious diseases can be defined as infections that have newly appeared in a population or have existed but are rapidly increasing in incidence or geographic range. Among recent examples are HIV/AIDS, hantavirus pulmonary syndrome, Lyme disease, and hemolytic uremic syndrome (a foodborne infection caused by certain strains of Escherichia coli). Specific factors precipitating disease emergence can be identified in virtually all cases. These include ecological, environmental, or demographic factors that place people at increased contact with a previously unfamiliar microbe or its natural host or promote dissemination. These factors are increasing in prevalence; this increase, together with the ongoing evolution of viral and microbial variants and selection for drug resistance, suggests that infections will continue to emerge and probably increase and emphasizes the urgent need for effective surveillance and control. Dr. David Satcher's article and this overview inaugurate Perspectives, a regular section in this journal intended to present and develop unifying concepts and strategies for considering emerging infections and their underlying factors. The editors welcome, as contributions to the Perspectives section, overviews, syntheses, and case studies that shed light on how and why infections emerge, and how they may be anticipated and prevented.","container-title":"Emerging Infectious Diseases","DOI":"10.3201/eid0101.950102","ISSN":"1080-6040","issue":"1","journalAbbreviation":"Emerg Infect Dis","note":"PMID: 8903148\nPMCID: PMC2626828","page":"7-15","source":"PubMed Central","title":"Factors in the emergence of infectious diseases.","volume":"1","author":[{"family":"Morse","given":"S S"}],"issued":{"date-parts":[["1995"]]}}}],"schema":"https://github.com/citation-style-language/schema/raw/master/csl-citation.json"} </w:instrText>
      </w:r>
      <w:r w:rsidR="004A0500">
        <w:rPr>
          <w:sz w:val="24"/>
          <w:szCs w:val="24"/>
          <w:lang w:val="en-IN" w:eastAsia="en-IN"/>
        </w:rPr>
        <w:fldChar w:fldCharType="separate"/>
      </w:r>
      <w:r w:rsidR="004A0500" w:rsidRPr="004A0500">
        <w:rPr>
          <w:sz w:val="24"/>
        </w:rPr>
        <w:t>(8)</w:t>
      </w:r>
      <w:r w:rsidR="004A0500">
        <w:rPr>
          <w:sz w:val="24"/>
          <w:szCs w:val="24"/>
          <w:lang w:val="en-IN" w:eastAsia="en-IN"/>
        </w:rPr>
        <w:fldChar w:fldCharType="end"/>
      </w:r>
    </w:p>
    <w:p w14:paraId="6560518B" w14:textId="49DB576D" w:rsidR="004571E0" w:rsidRPr="00D26F41" w:rsidRDefault="00717954" w:rsidP="004571E0">
      <w:pPr>
        <w:spacing w:line="480" w:lineRule="auto"/>
        <w:jc w:val="both"/>
        <w:rPr>
          <w:sz w:val="24"/>
          <w:szCs w:val="24"/>
          <w:lang w:val="en-IN" w:eastAsia="en-IN"/>
        </w:rPr>
      </w:pPr>
      <w:r w:rsidRPr="00717954">
        <w:rPr>
          <w:sz w:val="24"/>
          <w:szCs w:val="24"/>
          <w:lang w:val="en-IN" w:eastAsia="en-IN"/>
        </w:rPr>
        <w:t>Even though there has been a noticeable global shift toward non-communicable diseases (NCDs) as the dominant health burden, infectious or communicable diseases (CDs) continue to be significant causes of illness and death</w:t>
      </w:r>
      <w:r w:rsidR="00C56681">
        <w:rPr>
          <w:sz w:val="24"/>
          <w:szCs w:val="24"/>
          <w:lang w:val="en-IN" w:eastAsia="en-IN"/>
        </w:rPr>
        <w:t xml:space="preserve">, </w:t>
      </w:r>
      <w:r w:rsidRPr="00717954">
        <w:rPr>
          <w:sz w:val="24"/>
          <w:szCs w:val="24"/>
          <w:lang w:val="en-IN" w:eastAsia="en-IN"/>
        </w:rPr>
        <w:lastRenderedPageBreak/>
        <w:t>especially in low- and middle-income countries. In fact, among the top ten causes of death globally, two—lower respiratory infections and tuberculosis—are still of infectious origin, highlighting their persistent threat.</w:t>
      </w:r>
      <w:r w:rsidR="00723304">
        <w:rPr>
          <w:sz w:val="24"/>
          <w:szCs w:val="24"/>
          <w:lang w:eastAsia="en-IN"/>
        </w:rPr>
        <w:fldChar w:fldCharType="begin"/>
      </w:r>
      <w:r w:rsidR="004A0500">
        <w:rPr>
          <w:sz w:val="24"/>
          <w:szCs w:val="24"/>
          <w:lang w:eastAsia="en-IN"/>
        </w:rPr>
        <w:instrText xml:space="preserve"> ADDIN ZOTERO_ITEM CSL_CITATION {"citationID":"EibKFyXx","properties":{"formattedCitation":"(9)","plainCitation":"(9)","noteIndex":0},"citationItems":[{"id":437,"uris":["http://zotero.org/users/local/XRtc60WU/items/VIMYG2F5"],"itemData":{"id":437,"type":"webpage","abstract":"WHO act sheet on the 10 leading causes of death. In 2021, the top 10 causes of death accounted for 39 million deaths, or 57% of the total 68 million deaths worldwide.\n\nThe top global causes of death, in order of total number of lives lost, are associated with two broad topics: cardiovascular (ischaemic heart disease, stroke) and respiratory (COVID-19, chronic obstructive pulmonary disease, lower respiratory infections), with COVID-19 emerging as the second leading causes of death globally.","language":"en","title":"The top 10 causes of death","URL":"https://www.who.int/news-room/fact-sheets/detail/the-top-10-causes-of-death","accessed":{"date-parts":[["2025",5,4]]}}}],"schema":"https://github.com/citation-style-language/schema/raw/master/csl-citation.json"} </w:instrText>
      </w:r>
      <w:r w:rsidR="00723304">
        <w:rPr>
          <w:sz w:val="24"/>
          <w:szCs w:val="24"/>
          <w:lang w:eastAsia="en-IN"/>
        </w:rPr>
        <w:fldChar w:fldCharType="separate"/>
      </w:r>
      <w:r w:rsidR="004A0500" w:rsidRPr="004A0500">
        <w:rPr>
          <w:sz w:val="24"/>
        </w:rPr>
        <w:t>(9)</w:t>
      </w:r>
      <w:r w:rsidR="00723304">
        <w:rPr>
          <w:sz w:val="24"/>
          <w:szCs w:val="24"/>
          <w:lang w:eastAsia="en-IN"/>
        </w:rPr>
        <w:fldChar w:fldCharType="end"/>
      </w:r>
      <w:r w:rsidR="004571E0" w:rsidRPr="001976CB">
        <w:rPr>
          <w:i/>
          <w:iCs/>
          <w:color w:val="4472C4" w:themeColor="accent1"/>
          <w:sz w:val="24"/>
          <w:szCs w:val="24"/>
        </w:rPr>
        <w:t xml:space="preserve"> </w:t>
      </w:r>
      <w:r w:rsidR="007F03CF">
        <w:rPr>
          <w:sz w:val="24"/>
          <w:szCs w:val="24"/>
        </w:rPr>
        <w:t>Fig 1</w:t>
      </w:r>
    </w:p>
    <w:p w14:paraId="3B252826" w14:textId="77777777" w:rsidR="004571E0" w:rsidRDefault="004571E0" w:rsidP="004571E0">
      <w:pPr>
        <w:keepNext/>
        <w:spacing w:line="360" w:lineRule="auto"/>
        <w:jc w:val="center"/>
      </w:pPr>
      <w:r w:rsidRPr="00C2344C">
        <w:rPr>
          <w:i/>
          <w:iCs/>
          <w:noProof/>
          <w:color w:val="4472C4" w:themeColor="accent1"/>
          <w:sz w:val="24"/>
          <w:szCs w:val="24"/>
        </w:rPr>
        <w:drawing>
          <wp:inline distT="0" distB="0" distL="0" distR="0" wp14:anchorId="280B1A40" wp14:editId="7B6B637E">
            <wp:extent cx="4243070" cy="4754880"/>
            <wp:effectExtent l="152400" t="114300" r="119380" b="140970"/>
            <wp:docPr id="1909457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57693" name=""/>
                    <pic:cNvPicPr/>
                  </pic:nvPicPr>
                  <pic:blipFill>
                    <a:blip r:embed="rId8">
                      <a:extLst>
                        <a:ext uri="{BEBA8EAE-BF5A-486C-A8C5-ECC9F3942E4B}">
                          <a14:imgProps xmlns:a14="http://schemas.microsoft.com/office/drawing/2010/main">
                            <a14:imgLayer r:embed="rId9">
                              <a14:imgEffect>
                                <a14:sharpenSoften amount="25000"/>
                              </a14:imgEffect>
                              <a14:imgEffect>
                                <a14:saturation sat="300000"/>
                              </a14:imgEffect>
                              <a14:imgEffect>
                                <a14:brightnessContrast contrast="-40000"/>
                              </a14:imgEffect>
                            </a14:imgLayer>
                          </a14:imgProps>
                        </a:ext>
                      </a:extLst>
                    </a:blip>
                    <a:stretch>
                      <a:fillRect/>
                    </a:stretch>
                  </pic:blipFill>
                  <pic:spPr>
                    <a:xfrm>
                      <a:off x="0" y="0"/>
                      <a:ext cx="4269024" cy="4783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820DCD" w14:textId="77777777" w:rsidR="004571E0" w:rsidRPr="009C677E" w:rsidRDefault="004571E0" w:rsidP="004571E0">
      <w:pPr>
        <w:pStyle w:val="Caption"/>
        <w:jc w:val="center"/>
        <w:rPr>
          <w:rFonts w:ascii="Times New Roman" w:hAnsi="Times New Roman" w:cs="Times New Roman"/>
          <w:b/>
          <w:bCs/>
          <w:i w:val="0"/>
          <w:iCs w:val="0"/>
          <w:color w:val="auto"/>
          <w:sz w:val="22"/>
          <w:szCs w:val="22"/>
        </w:rPr>
      </w:pPr>
      <w:r w:rsidRPr="009C677E">
        <w:rPr>
          <w:rFonts w:ascii="Times New Roman" w:hAnsi="Times New Roman" w:cs="Times New Roman"/>
          <w:b/>
          <w:bCs/>
          <w:i w:val="0"/>
          <w:iCs w:val="0"/>
          <w:color w:val="auto"/>
          <w:sz w:val="22"/>
          <w:szCs w:val="22"/>
        </w:rPr>
        <w:t xml:space="preserve">Figure </w:t>
      </w:r>
      <w:r w:rsidRPr="009C677E">
        <w:rPr>
          <w:rFonts w:ascii="Times New Roman" w:hAnsi="Times New Roman" w:cs="Times New Roman"/>
          <w:b/>
          <w:bCs/>
          <w:i w:val="0"/>
          <w:iCs w:val="0"/>
          <w:color w:val="auto"/>
          <w:sz w:val="22"/>
          <w:szCs w:val="22"/>
        </w:rPr>
        <w:fldChar w:fldCharType="begin"/>
      </w:r>
      <w:r w:rsidRPr="009C677E">
        <w:rPr>
          <w:rFonts w:ascii="Times New Roman" w:hAnsi="Times New Roman" w:cs="Times New Roman"/>
          <w:b/>
          <w:bCs/>
          <w:i w:val="0"/>
          <w:iCs w:val="0"/>
          <w:color w:val="auto"/>
          <w:sz w:val="22"/>
          <w:szCs w:val="22"/>
        </w:rPr>
        <w:instrText xml:space="preserve"> SEQ Figure \* ARABIC </w:instrText>
      </w:r>
      <w:r w:rsidRPr="009C677E">
        <w:rPr>
          <w:rFonts w:ascii="Times New Roman" w:hAnsi="Times New Roman" w:cs="Times New Roman"/>
          <w:b/>
          <w:bCs/>
          <w:i w:val="0"/>
          <w:iCs w:val="0"/>
          <w:color w:val="auto"/>
          <w:sz w:val="22"/>
          <w:szCs w:val="22"/>
        </w:rPr>
        <w:fldChar w:fldCharType="separate"/>
      </w:r>
      <w:r w:rsidRPr="009C677E">
        <w:rPr>
          <w:rFonts w:ascii="Times New Roman" w:hAnsi="Times New Roman" w:cs="Times New Roman"/>
          <w:b/>
          <w:bCs/>
          <w:i w:val="0"/>
          <w:iCs w:val="0"/>
          <w:noProof/>
          <w:color w:val="auto"/>
          <w:sz w:val="22"/>
          <w:szCs w:val="22"/>
        </w:rPr>
        <w:t>1</w:t>
      </w:r>
      <w:r w:rsidRPr="009C677E">
        <w:rPr>
          <w:rFonts w:ascii="Times New Roman" w:hAnsi="Times New Roman" w:cs="Times New Roman"/>
          <w:b/>
          <w:bCs/>
          <w:i w:val="0"/>
          <w:iCs w:val="0"/>
          <w:color w:val="auto"/>
          <w:sz w:val="22"/>
          <w:szCs w:val="22"/>
        </w:rPr>
        <w:fldChar w:fldCharType="end"/>
      </w:r>
      <w:r w:rsidRPr="009C677E">
        <w:rPr>
          <w:rFonts w:ascii="Times New Roman" w:hAnsi="Times New Roman" w:cs="Times New Roman"/>
          <w:b/>
          <w:bCs/>
          <w:i w:val="0"/>
          <w:iCs w:val="0"/>
          <w:noProof/>
          <w:color w:val="auto"/>
          <w:sz w:val="22"/>
          <w:szCs w:val="22"/>
        </w:rPr>
        <w:t xml:space="preserve"> WHO: Leading causes of Death Globally in 2021</w:t>
      </w:r>
    </w:p>
    <w:p w14:paraId="119C4400" w14:textId="77777777" w:rsidR="00193B15" w:rsidRPr="00717954" w:rsidRDefault="00193B15" w:rsidP="00193B15">
      <w:pPr>
        <w:spacing w:line="480" w:lineRule="auto"/>
        <w:jc w:val="both"/>
        <w:rPr>
          <w:sz w:val="24"/>
          <w:szCs w:val="24"/>
          <w:lang w:val="en-IN" w:eastAsia="en-IN"/>
        </w:rPr>
      </w:pPr>
      <w:r w:rsidRPr="00717954">
        <w:rPr>
          <w:sz w:val="24"/>
          <w:szCs w:val="24"/>
          <w:lang w:val="en-IN" w:eastAsia="en-IN"/>
        </w:rPr>
        <w:t>To better understand and respond to health challenges, causes of death are generally grouped into three main categories:</w:t>
      </w:r>
    </w:p>
    <w:p w14:paraId="32E95FE9" w14:textId="34E60769" w:rsidR="00193B15" w:rsidRPr="00717954" w:rsidRDefault="00193B15" w:rsidP="00193B15">
      <w:pPr>
        <w:numPr>
          <w:ilvl w:val="0"/>
          <w:numId w:val="9"/>
        </w:numPr>
        <w:spacing w:line="480" w:lineRule="auto"/>
        <w:jc w:val="both"/>
        <w:rPr>
          <w:sz w:val="24"/>
          <w:szCs w:val="24"/>
          <w:lang w:val="en-IN" w:eastAsia="en-IN"/>
        </w:rPr>
      </w:pPr>
      <w:r w:rsidRPr="00717954">
        <w:rPr>
          <w:sz w:val="24"/>
          <w:szCs w:val="24"/>
          <w:lang w:val="en-IN" w:eastAsia="en-IN"/>
        </w:rPr>
        <w:t xml:space="preserve">Communicable, maternal, perinatal, and nutritional conditions </w:t>
      </w:r>
    </w:p>
    <w:p w14:paraId="3E11320E" w14:textId="77777777" w:rsidR="00193B15" w:rsidRPr="00717954" w:rsidRDefault="00193B15" w:rsidP="00193B15">
      <w:pPr>
        <w:numPr>
          <w:ilvl w:val="0"/>
          <w:numId w:val="9"/>
        </w:numPr>
        <w:spacing w:line="480" w:lineRule="auto"/>
        <w:jc w:val="both"/>
        <w:rPr>
          <w:sz w:val="24"/>
          <w:szCs w:val="24"/>
          <w:lang w:val="en-IN" w:eastAsia="en-IN"/>
        </w:rPr>
      </w:pPr>
      <w:r w:rsidRPr="00717954">
        <w:rPr>
          <w:sz w:val="24"/>
          <w:szCs w:val="24"/>
          <w:lang w:val="en-IN" w:eastAsia="en-IN"/>
        </w:rPr>
        <w:t>Non-communicable diseases (NCDs)</w:t>
      </w:r>
    </w:p>
    <w:p w14:paraId="7BB5AC77" w14:textId="26D9B39D" w:rsidR="00193B15" w:rsidRDefault="00193B15" w:rsidP="00193B15">
      <w:pPr>
        <w:spacing w:line="480" w:lineRule="auto"/>
        <w:jc w:val="both"/>
        <w:rPr>
          <w:b/>
          <w:bCs/>
          <w:sz w:val="24"/>
          <w:szCs w:val="24"/>
          <w:lang w:val="en-IN" w:eastAsia="en-IN"/>
        </w:rPr>
      </w:pPr>
      <w:r w:rsidRPr="00193B15">
        <w:rPr>
          <w:sz w:val="24"/>
          <w:szCs w:val="24"/>
          <w:lang w:val="en-IN" w:eastAsia="en-IN"/>
        </w:rPr>
        <w:t xml:space="preserve">      3.   </w:t>
      </w:r>
      <w:r w:rsidRPr="00717954">
        <w:rPr>
          <w:sz w:val="24"/>
          <w:szCs w:val="24"/>
          <w:lang w:val="en-IN" w:eastAsia="en-IN"/>
        </w:rPr>
        <w:t>Injuries</w:t>
      </w:r>
    </w:p>
    <w:p w14:paraId="71A39C68" w14:textId="26E00893" w:rsidR="00607760" w:rsidRPr="005E7CD9" w:rsidRDefault="00607760" w:rsidP="00193B15">
      <w:pPr>
        <w:spacing w:line="480" w:lineRule="auto"/>
        <w:jc w:val="both"/>
        <w:rPr>
          <w:sz w:val="24"/>
          <w:szCs w:val="24"/>
        </w:rPr>
      </w:pPr>
      <w:r w:rsidRPr="00607760">
        <w:rPr>
          <w:sz w:val="24"/>
          <w:szCs w:val="24"/>
          <w:lang w:val="en-IN"/>
        </w:rPr>
        <w:t>Traditionally, the impact of infectious diseases on public health has been measured mainly by looking at the number of deaths they cause or counting lab-confirmed cases linked to specific pathogens. While these figures are important, they don’t always tell the full story. Many infectious diseases have a wide range of symptoms, can vary in how deadly they are, and often leave people with long-term health problems. Because of these complexities, it's important to use more comprehensive ways of measuring their true impact.</w:t>
      </w:r>
    </w:p>
    <w:p w14:paraId="65DCEB02" w14:textId="77777777" w:rsidR="00B063E6" w:rsidRDefault="00607760" w:rsidP="005E7CD9">
      <w:pPr>
        <w:spacing w:line="480" w:lineRule="auto"/>
        <w:jc w:val="both"/>
        <w:rPr>
          <w:sz w:val="24"/>
          <w:szCs w:val="24"/>
        </w:rPr>
      </w:pPr>
      <w:r w:rsidRPr="00607760">
        <w:rPr>
          <w:sz w:val="24"/>
          <w:szCs w:val="24"/>
          <w:lang w:val="en-IN"/>
        </w:rPr>
        <w:t xml:space="preserve">One such measure is the </w:t>
      </w:r>
      <w:r w:rsidRPr="00607760">
        <w:rPr>
          <w:i/>
          <w:iCs/>
          <w:sz w:val="24"/>
          <w:szCs w:val="24"/>
          <w:lang w:val="en-IN"/>
        </w:rPr>
        <w:t>Disability-Adjusted Life Year</w:t>
      </w:r>
      <w:r w:rsidRPr="00607760">
        <w:rPr>
          <w:sz w:val="24"/>
          <w:szCs w:val="24"/>
          <w:lang w:val="en-IN"/>
        </w:rPr>
        <w:t xml:space="preserve"> (DALY), developed by the World Health Organization </w:t>
      </w:r>
      <w:r w:rsidRPr="00607760">
        <w:rPr>
          <w:sz w:val="24"/>
          <w:szCs w:val="24"/>
          <w:lang w:val="en-IN"/>
        </w:rPr>
        <w:lastRenderedPageBreak/>
        <w:t>(WHO). DALYs offer a more complete picture by combining two factors: the years of life lost due to early death, and the years lived with illness or disability. This makes it possible to understand not just how many people die from a disease, but also how much it affects the quality of life for those who survive.</w:t>
      </w:r>
      <w:r w:rsidR="00FD2851">
        <w:rPr>
          <w:sz w:val="24"/>
          <w:szCs w:val="24"/>
          <w:lang w:val="en-IN"/>
        </w:rPr>
        <w:t xml:space="preserve"> </w:t>
      </w:r>
      <w:r w:rsidRPr="00607760">
        <w:rPr>
          <w:sz w:val="24"/>
          <w:szCs w:val="24"/>
          <w:lang w:val="en-IN"/>
        </w:rPr>
        <w:t>DALYs are especially useful because they allow health experts to compare the burden of different diseases across countries, regions, and time periods in a consistent way. Since the 1990s, the Global Burden of Disease (GBD) study—led by the Institute for Health Metrics and Evaluation (IHME)—has used DALYs as a key tool to track and compare the impact of diseases worldwide, helping guide better public health decisions.</w:t>
      </w:r>
      <w:r w:rsidR="0083154D">
        <w:rPr>
          <w:sz w:val="24"/>
          <w:szCs w:val="24"/>
        </w:rPr>
        <w:fldChar w:fldCharType="begin"/>
      </w:r>
      <w:r w:rsidR="004A0500">
        <w:rPr>
          <w:sz w:val="24"/>
          <w:szCs w:val="24"/>
        </w:rPr>
        <w:instrText xml:space="preserve"> ADDIN ZOTERO_ITEM CSL_CITATION {"citationID":"Y9zGkOCb","properties":{"formattedCitation":"(10)","plainCitation":"(10)","noteIndex":0},"citationItems":[{"id":440,"uris":["http://zotero.org/users/local/XRtc60WU/items/UJAXPKTM"],"itemData":{"id":440,"type":"book","collection-number":"1993","collection-title":"World development report","edition":"1. print","event-place":"New York, NY","ISBN":"978-0-19-520889-4","language":"en","number-of-pages":"329","publisher":"Oxford Univ. Pr","publisher-place":"New York, NY","source":"K10plus ISBN","title":"Investing in health: world development indicators","title-short":"Investing in health","editor":[{"literal":"Weltbank"}],"issued":{"date-parts":[["1993"]]}}}],"schema":"https://github.com/citation-style-language/schema/raw/master/csl-citation.json"} </w:instrText>
      </w:r>
      <w:r w:rsidR="0083154D">
        <w:rPr>
          <w:sz w:val="24"/>
          <w:szCs w:val="24"/>
        </w:rPr>
        <w:fldChar w:fldCharType="separate"/>
      </w:r>
      <w:r w:rsidR="004A0500" w:rsidRPr="004A0500">
        <w:rPr>
          <w:sz w:val="24"/>
        </w:rPr>
        <w:t>(10)</w:t>
      </w:r>
      <w:r w:rsidR="0083154D">
        <w:rPr>
          <w:sz w:val="24"/>
          <w:szCs w:val="24"/>
        </w:rPr>
        <w:fldChar w:fldCharType="end"/>
      </w:r>
      <w:r w:rsidR="00B2779D">
        <w:rPr>
          <w:sz w:val="24"/>
          <w:szCs w:val="24"/>
        </w:rPr>
        <w:t xml:space="preserve"> </w:t>
      </w:r>
      <w:r w:rsidR="004571E0" w:rsidRPr="006D74BB">
        <w:rPr>
          <w:color w:val="4472C4" w:themeColor="accent1"/>
          <w:sz w:val="24"/>
          <w:szCs w:val="24"/>
        </w:rPr>
        <w:t xml:space="preserve"> </w:t>
      </w:r>
      <w:r w:rsidR="004571E0" w:rsidRPr="00EE25F2">
        <w:rPr>
          <w:sz w:val="24"/>
          <w:szCs w:val="24"/>
        </w:rPr>
        <w:t xml:space="preserve">In 1990, </w:t>
      </w:r>
      <w:r w:rsidR="00515C98">
        <w:rPr>
          <w:sz w:val="24"/>
          <w:szCs w:val="24"/>
        </w:rPr>
        <w:t xml:space="preserve">CDs </w:t>
      </w:r>
      <w:r w:rsidR="004571E0" w:rsidRPr="00EE25F2">
        <w:rPr>
          <w:sz w:val="24"/>
          <w:szCs w:val="24"/>
        </w:rPr>
        <w:t xml:space="preserve">contributed to 44.75% of global DALYs, but by 2021, this proportion had decreased to 29.6%. </w:t>
      </w:r>
      <w:r w:rsidR="00565DB0">
        <w:rPr>
          <w:sz w:val="24"/>
          <w:szCs w:val="24"/>
        </w:rPr>
        <w:fldChar w:fldCharType="begin"/>
      </w:r>
      <w:r w:rsidR="004A0500">
        <w:rPr>
          <w:sz w:val="24"/>
          <w:szCs w:val="24"/>
        </w:rPr>
        <w:instrText xml:space="preserve"> ADDIN ZOTERO_ITEM CSL_CITATION {"citationID":"IxwoghUq","properties":{"formattedCitation":"(11)","plainCitation":"(11)","noteIndex":0},"citationItems":[{"id":269,"uris":["http://zotero.org/users/local/XRtc60WU/items/GBEJX7A7"],"itemData":{"id":269,"type":"article-journal","abstract":"How is the burden of disease distributed and how did it change over time?","container-title":"Our World in Data","journalAbbreviation":"Our World in Data","source":"ourworldindata.org","title":"Burden of Disease","URL":"https://ourworldindata.org/burden-of-disease","author":[{"family":"Roser","given":"Max"},{"family":"Ritchie","given":"Hannah"},{"family":"Spooner","given":"Fiona"}],"accessed":{"date-parts":[["2024",9,11]]},"issued":{"date-parts":[["2024",2,29]]}}}],"schema":"https://github.com/citation-style-language/schema/raw/master/csl-citation.json"} </w:instrText>
      </w:r>
      <w:r w:rsidR="00565DB0">
        <w:rPr>
          <w:sz w:val="24"/>
          <w:szCs w:val="24"/>
        </w:rPr>
        <w:fldChar w:fldCharType="separate"/>
      </w:r>
      <w:r w:rsidR="004A0500" w:rsidRPr="004A0500">
        <w:rPr>
          <w:sz w:val="24"/>
        </w:rPr>
        <w:t>(11)</w:t>
      </w:r>
      <w:r w:rsidR="00565DB0">
        <w:rPr>
          <w:sz w:val="24"/>
          <w:szCs w:val="24"/>
        </w:rPr>
        <w:fldChar w:fldCharType="end"/>
      </w:r>
      <w:r w:rsidR="007874D2">
        <w:rPr>
          <w:sz w:val="24"/>
          <w:szCs w:val="24"/>
        </w:rPr>
        <w:t xml:space="preserve"> Fig 2</w:t>
      </w:r>
      <w:r w:rsidR="00B2779D">
        <w:rPr>
          <w:sz w:val="24"/>
          <w:szCs w:val="24"/>
        </w:rPr>
        <w:t xml:space="preserve"> </w:t>
      </w:r>
    </w:p>
    <w:p w14:paraId="0EAB6ED5" w14:textId="422D7B38" w:rsidR="004571E0" w:rsidRPr="00FD2851" w:rsidRDefault="004571E0" w:rsidP="005E7CD9">
      <w:pPr>
        <w:spacing w:line="480" w:lineRule="auto"/>
        <w:jc w:val="both"/>
        <w:rPr>
          <w:sz w:val="24"/>
          <w:szCs w:val="24"/>
          <w:lang w:val="en-IN"/>
        </w:rPr>
      </w:pPr>
      <w:r w:rsidRPr="00EE25F2">
        <w:rPr>
          <w:sz w:val="24"/>
          <w:szCs w:val="24"/>
        </w:rPr>
        <w:t xml:space="preserve">However, in 2019, </w:t>
      </w:r>
      <w:r w:rsidR="00515C98">
        <w:rPr>
          <w:sz w:val="24"/>
          <w:szCs w:val="24"/>
        </w:rPr>
        <w:t xml:space="preserve">IDs </w:t>
      </w:r>
      <w:r w:rsidRPr="00EE25F2">
        <w:rPr>
          <w:sz w:val="24"/>
          <w:szCs w:val="24"/>
        </w:rPr>
        <w:t>still accounted for approximately 704 million DALYs globally, involving 85 different pathogens, including bacteria, viruses, parasites, and fungi. Of these 704 million DALYs, 309 million, or 27.7%, were attributed to children under the age of five. Bacterial infections contributed 415 million DALYs</w:t>
      </w:r>
      <w:r>
        <w:rPr>
          <w:sz w:val="24"/>
          <w:szCs w:val="24"/>
        </w:rPr>
        <w:t xml:space="preserve"> while </w:t>
      </w:r>
      <w:r w:rsidRPr="00EE25F2">
        <w:rPr>
          <w:sz w:val="24"/>
          <w:szCs w:val="24"/>
        </w:rPr>
        <w:t>viral infections</w:t>
      </w:r>
      <w:r>
        <w:rPr>
          <w:sz w:val="24"/>
          <w:szCs w:val="24"/>
        </w:rPr>
        <w:t xml:space="preserve"> contributed up to</w:t>
      </w:r>
      <w:r w:rsidRPr="00EE25F2">
        <w:rPr>
          <w:sz w:val="24"/>
          <w:szCs w:val="24"/>
        </w:rPr>
        <w:t xml:space="preserve"> 178 million, and parasitic infections 218.5 million</w:t>
      </w:r>
      <w:r w:rsidR="00DC3500">
        <w:rPr>
          <w:sz w:val="24"/>
          <w:szCs w:val="24"/>
        </w:rPr>
        <w:fldChar w:fldCharType="begin"/>
      </w:r>
      <w:r w:rsidR="004A0500">
        <w:rPr>
          <w:sz w:val="24"/>
          <w:szCs w:val="24"/>
        </w:rPr>
        <w:instrText xml:space="preserve"> ADDIN ZOTERO_ITEM CSL_CITATION {"citationID":"OcOuOwHb","properties":{"formattedCitation":"(12)","plainCitation":"(12)","noteIndex":0},"citationItems":[{"id":168,"uris":["http://zotero.org/users/local/XRtc60WU/items/5WSGQHEK"],"itemData":{"id":168,"type":"article-journal","abstract":"Background Despite a global epidemiological transition towards increased burden of non-communicable diseases, communicable diseases continue to cause substantial morbidity and mortality worldwide. Understanding the burden of a wide range of infectious diseases, and its variation by geography and age, is pivotal to research priority setting and resource mobilisation globally.","container-title":"The Lancet Infectious Diseases","DOI":"10.1016/S1473-3099(24)00158-0","ISSN":"14733099","issue":"8","journalAbbreviation":"The Lancet Infectious Diseases","language":"en","page":"868-895","source":"DOI.org (Crossref)","title":"Global burden associated with 85 pathogens in 2019: a systematic analysis for the Global Burden of Disease Study 2019","title-short":"Global burden associated with 85 pathogens in 2019","volume":"24","author":[{"family":"Naghavi","given":"Mohsen"},{"family":"Mestrovic","given":"Tomislav"},{"family":"Gray","given":"Authia"},{"family":"Gershberg Hayoon","given":"Anna"},{"family":"Swetschinski","given":"Lucien R"},{"family":"Robles Aguilar","given":"Gisela"},{"family":"Davis Weaver","given":"Nicole"},{"family":"Ikuta","given":"Kevin S"},{"family":"Chung","given":"Erin"},{"family":"Wool","given":"Eve E"},{"family":"Han","given":"Chieh"},{"family":"Araki","given":"Daniel T"},{"family":"Albertson","given":"Samuel B"},{"family":"Bender","given":"Rose"},{"family":"Bertolacci","given":"Greg"},{"family":"Browne","given":"Annie J"},{"family":"Cooper","given":"Ben S"},{"family":"Cunningham","given":"Matthew W"},{"family":"Dolecek","given":"Christiane"},{"family":"Doxey","given":"Matthew"},{"family":"Dunachie","given":"Susanna J"},{"family":"Ghoba","given":"Sama"},{"family":"Haines-Woodhouse","given":"Georgina"},{"family":"Hay","given":"Simon I"},{"family":"Hsu","given":"Rebecca L"},{"family":"Iregbu","given":"Kenneth C"},{"family":"Kyu","given":"Hmwe H"},{"family":"Ledesma","given":"Jorge R"},{"family":"Ma","given":"Jianing"},{"family":"Moore","given":"Catrin E"},{"family":"Mosser","given":"Jonathan F"},{"family":"Mougin","given":"Vincent"},{"family":"Naghavi","given":"Pirouz"},{"family":"Novotney","given":"Amanda"},{"family":"Rosenthal","given":"Victor Daniel"},{"family":"Sartorius","given":"Benn"},{"family":"Stergachis","given":"Andy"},{"family":"Troeger","given":"Christopher"},{"family":"Vongpradith","given":"Avina"},{"family":"Walters","given":"Magdalene K"},{"family":"Wunrow","given":"Han Yong"},{"family":"Murray","given":"Christopher Jl"}],"issued":{"date-parts":[["2024",8]]}}}],"schema":"https://github.com/citation-style-language/schema/raw/master/csl-citation.json"} </w:instrText>
      </w:r>
      <w:r w:rsidR="00DC3500">
        <w:rPr>
          <w:sz w:val="24"/>
          <w:szCs w:val="24"/>
        </w:rPr>
        <w:fldChar w:fldCharType="separate"/>
      </w:r>
      <w:r w:rsidR="004A0500" w:rsidRPr="004A0500">
        <w:rPr>
          <w:sz w:val="24"/>
        </w:rPr>
        <w:t>(12)</w:t>
      </w:r>
      <w:r w:rsidR="00DC3500">
        <w:rPr>
          <w:sz w:val="24"/>
          <w:szCs w:val="24"/>
        </w:rPr>
        <w:fldChar w:fldCharType="end"/>
      </w:r>
      <w:r>
        <w:rPr>
          <w:sz w:val="24"/>
          <w:szCs w:val="24"/>
        </w:rPr>
        <w:t>.</w:t>
      </w:r>
      <w:r w:rsidRPr="001C0836">
        <w:t xml:space="preserve"> </w:t>
      </w:r>
      <w:r w:rsidRPr="001C0836">
        <w:rPr>
          <w:sz w:val="24"/>
          <w:szCs w:val="24"/>
        </w:rPr>
        <w:t>More than 52 million deaths each year around the world are accounted for by</w:t>
      </w:r>
      <w:r w:rsidR="00782B83">
        <w:rPr>
          <w:sz w:val="24"/>
          <w:szCs w:val="24"/>
        </w:rPr>
        <w:t xml:space="preserve"> IDs </w:t>
      </w:r>
      <w:r w:rsidRPr="001E75A0">
        <w:rPr>
          <w:i/>
          <w:iCs/>
          <w:color w:val="4472C4" w:themeColor="accent1"/>
          <w:sz w:val="24"/>
          <w:szCs w:val="24"/>
        </w:rPr>
        <w:t>.</w:t>
      </w:r>
      <w:r w:rsidRPr="001E75A0">
        <w:rPr>
          <w:i/>
          <w:iCs/>
          <w:color w:val="4472C4" w:themeColor="accent1"/>
          <w:sz w:val="24"/>
          <w:szCs w:val="24"/>
        </w:rPr>
        <w:fldChar w:fldCharType="begin"/>
      </w:r>
      <w:r w:rsidR="004A0500">
        <w:rPr>
          <w:i/>
          <w:iCs/>
          <w:color w:val="4472C4" w:themeColor="accent1"/>
          <w:sz w:val="24"/>
          <w:szCs w:val="24"/>
        </w:rPr>
        <w:instrText xml:space="preserve"> ADDIN ZOTERO_ITEM CSL_CITATION {"citationID":"w58zj6DO","properties":{"formattedCitation":"(13)","plainCitation":"(13)","noteIndex":0},"citationItems":[{"id":172,"uris":["http://zotero.org/users/local/XRtc60WU/items/BZX8EARV"],"itemData":{"id":172,"type":"article-journal","container-title":"The Journal of Infection","DOI":"10.1016/j.jinf.2023.01.020","ISSN":"0163-4453","issue":"4","journalAbbreviation":"J Infect","note":"PMID: 36682628\nPMCID: PMC9852260","page":"415-416","source":"PubMed Central","title":"Changes in the prevalence of infectious diseases before and after the COVID-19 pandemic in Pakistan","volume":"86","author":[{"family":"Rana","given":"Muhammad Suleman"},{"family":"Usman","given":"Muhammad"},{"family":"Alam","given":"Muhammad Masroor"},{"family":"Tahir","given":"Muhammad"},{"family":"Ikram","given":"Aamer"},{"family":"Zaidi","given":"Syed Sohail Zahoor"},{"family":"Kashif","given":"Muqarrab"},{"family":"Massab","given":"Umair"},{"family":"Faryal","given":"Rani"},{"family":"Anas","given":"Muhammad"},{"family":"Ullah","given":"Nadeem"},{"family":"Salman","given":"Muhammad"}],"issued":{"date-parts":[["2023",4]]}}}],"schema":"https://github.com/citation-style-language/schema/raw/master/csl-citation.json"} </w:instrText>
      </w:r>
      <w:r w:rsidRPr="001E75A0">
        <w:rPr>
          <w:i/>
          <w:iCs/>
          <w:color w:val="4472C4" w:themeColor="accent1"/>
          <w:sz w:val="24"/>
          <w:szCs w:val="24"/>
        </w:rPr>
        <w:fldChar w:fldCharType="separate"/>
      </w:r>
      <w:r w:rsidR="004A0500" w:rsidRPr="004A0500">
        <w:rPr>
          <w:sz w:val="24"/>
        </w:rPr>
        <w:t>(13)</w:t>
      </w:r>
      <w:r w:rsidRPr="001E75A0">
        <w:rPr>
          <w:i/>
          <w:iCs/>
          <w:color w:val="4472C4" w:themeColor="accent1"/>
          <w:sz w:val="24"/>
          <w:szCs w:val="24"/>
        </w:rPr>
        <w:fldChar w:fldCharType="end"/>
      </w:r>
    </w:p>
    <w:p w14:paraId="61C7A32A" w14:textId="77777777" w:rsidR="004571E0" w:rsidRDefault="004571E0" w:rsidP="004571E0">
      <w:pPr>
        <w:keepNext/>
        <w:spacing w:line="360" w:lineRule="auto"/>
        <w:jc w:val="center"/>
      </w:pPr>
      <w:r w:rsidRPr="003A1BF7">
        <w:rPr>
          <w:i/>
          <w:iCs/>
          <w:noProof/>
          <w:color w:val="4472C4" w:themeColor="accent1"/>
        </w:rPr>
        <w:drawing>
          <wp:inline distT="0" distB="0" distL="0" distR="0" wp14:anchorId="4C4644CD" wp14:editId="3E9570FE">
            <wp:extent cx="5712334" cy="4297680"/>
            <wp:effectExtent l="133350" t="114300" r="136525" b="160020"/>
            <wp:docPr id="13380954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1113" t="17494" b="6262"/>
                    <a:stretch/>
                  </pic:blipFill>
                  <pic:spPr bwMode="auto">
                    <a:xfrm>
                      <a:off x="0" y="0"/>
                      <a:ext cx="5767963" cy="43395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2CB6E88" w14:textId="77777777" w:rsidR="004571E0" w:rsidRPr="000274B3" w:rsidRDefault="004571E0" w:rsidP="004571E0">
      <w:pPr>
        <w:pStyle w:val="Caption"/>
        <w:jc w:val="center"/>
        <w:rPr>
          <w:rFonts w:ascii="Times New Roman" w:hAnsi="Times New Roman" w:cs="Times New Roman"/>
          <w:i w:val="0"/>
          <w:iCs w:val="0"/>
          <w:color w:val="auto"/>
          <w:sz w:val="22"/>
          <w:szCs w:val="22"/>
        </w:rPr>
      </w:pPr>
      <w:r w:rsidRPr="009C677E">
        <w:rPr>
          <w:rFonts w:ascii="Times New Roman" w:hAnsi="Times New Roman" w:cs="Times New Roman"/>
          <w:b/>
          <w:bCs/>
          <w:i w:val="0"/>
          <w:iCs w:val="0"/>
          <w:color w:val="auto"/>
          <w:sz w:val="22"/>
          <w:szCs w:val="22"/>
        </w:rPr>
        <w:t xml:space="preserve">Figure </w:t>
      </w:r>
      <w:r w:rsidRPr="009C677E">
        <w:rPr>
          <w:rFonts w:ascii="Times New Roman" w:hAnsi="Times New Roman" w:cs="Times New Roman"/>
          <w:b/>
          <w:bCs/>
          <w:i w:val="0"/>
          <w:iCs w:val="0"/>
          <w:color w:val="auto"/>
          <w:sz w:val="22"/>
          <w:szCs w:val="22"/>
        </w:rPr>
        <w:fldChar w:fldCharType="begin"/>
      </w:r>
      <w:r w:rsidRPr="009C677E">
        <w:rPr>
          <w:rFonts w:ascii="Times New Roman" w:hAnsi="Times New Roman" w:cs="Times New Roman"/>
          <w:b/>
          <w:bCs/>
          <w:i w:val="0"/>
          <w:iCs w:val="0"/>
          <w:color w:val="auto"/>
          <w:sz w:val="22"/>
          <w:szCs w:val="22"/>
        </w:rPr>
        <w:instrText xml:space="preserve"> SEQ Figure \* ARABIC </w:instrText>
      </w:r>
      <w:r w:rsidRPr="009C677E">
        <w:rPr>
          <w:rFonts w:ascii="Times New Roman" w:hAnsi="Times New Roman" w:cs="Times New Roman"/>
          <w:b/>
          <w:bCs/>
          <w:i w:val="0"/>
          <w:iCs w:val="0"/>
          <w:color w:val="auto"/>
          <w:sz w:val="22"/>
          <w:szCs w:val="22"/>
        </w:rPr>
        <w:fldChar w:fldCharType="separate"/>
      </w:r>
      <w:r w:rsidRPr="009C677E">
        <w:rPr>
          <w:rFonts w:ascii="Times New Roman" w:hAnsi="Times New Roman" w:cs="Times New Roman"/>
          <w:b/>
          <w:bCs/>
          <w:i w:val="0"/>
          <w:iCs w:val="0"/>
          <w:noProof/>
          <w:color w:val="auto"/>
          <w:sz w:val="22"/>
          <w:szCs w:val="22"/>
        </w:rPr>
        <w:t>2</w:t>
      </w:r>
      <w:r w:rsidRPr="009C677E">
        <w:rPr>
          <w:rFonts w:ascii="Times New Roman" w:hAnsi="Times New Roman" w:cs="Times New Roman"/>
          <w:b/>
          <w:bCs/>
          <w:i w:val="0"/>
          <w:iCs w:val="0"/>
          <w:color w:val="auto"/>
          <w:sz w:val="22"/>
          <w:szCs w:val="22"/>
        </w:rPr>
        <w:fldChar w:fldCharType="end"/>
      </w:r>
      <w:r w:rsidRPr="009C677E">
        <w:rPr>
          <w:rFonts w:ascii="Times New Roman" w:hAnsi="Times New Roman" w:cs="Times New Roman"/>
          <w:b/>
          <w:bCs/>
          <w:i w:val="0"/>
          <w:iCs w:val="0"/>
          <w:color w:val="auto"/>
          <w:sz w:val="22"/>
          <w:szCs w:val="22"/>
        </w:rPr>
        <w:t xml:space="preserve"> Data source-IHME, Global Burden of Disease (2021</w:t>
      </w:r>
      <w:r w:rsidRPr="000274B3">
        <w:rPr>
          <w:rFonts w:ascii="Times New Roman" w:hAnsi="Times New Roman" w:cs="Times New Roman"/>
          <w:i w:val="0"/>
          <w:iCs w:val="0"/>
          <w:color w:val="auto"/>
          <w:sz w:val="22"/>
          <w:szCs w:val="22"/>
        </w:rPr>
        <w:t>)</w:t>
      </w:r>
    </w:p>
    <w:p w14:paraId="115C1CF1" w14:textId="77777777" w:rsidR="004571E0" w:rsidRPr="000274B3" w:rsidRDefault="004571E0" w:rsidP="004571E0">
      <w:pPr>
        <w:spacing w:line="360" w:lineRule="auto"/>
        <w:jc w:val="center"/>
        <w:rPr>
          <w:u w:val="single"/>
        </w:rPr>
      </w:pPr>
    </w:p>
    <w:p w14:paraId="15CF129C" w14:textId="77777777" w:rsidR="004571E0" w:rsidRDefault="004571E0" w:rsidP="004571E0">
      <w:pPr>
        <w:spacing w:line="360" w:lineRule="auto"/>
        <w:jc w:val="center"/>
        <w:rPr>
          <w:b/>
          <w:bCs/>
          <w:sz w:val="28"/>
          <w:szCs w:val="28"/>
          <w:u w:val="single"/>
        </w:rPr>
      </w:pPr>
    </w:p>
    <w:p w14:paraId="59D15B87" w14:textId="77777777" w:rsidR="00C20236" w:rsidRDefault="00C20236" w:rsidP="004571E0">
      <w:pPr>
        <w:spacing w:line="360" w:lineRule="auto"/>
        <w:rPr>
          <w:b/>
          <w:bCs/>
          <w:sz w:val="32"/>
          <w:szCs w:val="32"/>
        </w:rPr>
      </w:pPr>
    </w:p>
    <w:p w14:paraId="4E7D7AF2" w14:textId="77777777" w:rsidR="00B063E6" w:rsidRDefault="00B063E6" w:rsidP="004571E0">
      <w:pPr>
        <w:spacing w:line="360" w:lineRule="auto"/>
        <w:rPr>
          <w:b/>
          <w:bCs/>
          <w:sz w:val="32"/>
          <w:szCs w:val="32"/>
        </w:rPr>
      </w:pPr>
    </w:p>
    <w:p w14:paraId="4409A1F8" w14:textId="6730997F" w:rsidR="004571E0" w:rsidRPr="00FF18BC" w:rsidRDefault="00FF18BC" w:rsidP="004571E0">
      <w:pPr>
        <w:spacing w:line="360" w:lineRule="auto"/>
        <w:rPr>
          <w:b/>
          <w:bCs/>
          <w:sz w:val="32"/>
          <w:szCs w:val="32"/>
        </w:rPr>
      </w:pPr>
      <w:r w:rsidRPr="00FF18BC">
        <w:rPr>
          <w:b/>
          <w:bCs/>
          <w:sz w:val="32"/>
          <w:szCs w:val="32"/>
        </w:rPr>
        <w:t>INDIAN CONTEXT:</w:t>
      </w:r>
    </w:p>
    <w:p w14:paraId="0F84DF23" w14:textId="66F96C2A" w:rsidR="004571E0" w:rsidRPr="00D96A22" w:rsidRDefault="00F40A58" w:rsidP="004571E0">
      <w:pPr>
        <w:spacing w:before="100" w:beforeAutospacing="1" w:after="100" w:afterAutospacing="1" w:line="480" w:lineRule="auto"/>
        <w:jc w:val="both"/>
        <w:rPr>
          <w:i/>
          <w:iCs/>
          <w:color w:val="4472C4" w:themeColor="accent1"/>
          <w:sz w:val="24"/>
          <w:szCs w:val="24"/>
          <w:lang w:eastAsia="en-IN"/>
        </w:rPr>
      </w:pPr>
      <w:r>
        <w:rPr>
          <w:b/>
          <w:bCs/>
          <w:sz w:val="24"/>
          <w:szCs w:val="24"/>
          <w:lang w:eastAsia="en-IN"/>
        </w:rPr>
        <w:t>PUBLIC HEALTH EXPENDITURE TRENDS AND ECONOMIC BURDEN OF INFECTIOUS DISEASES</w:t>
      </w:r>
      <w:r w:rsidR="0022568D">
        <w:rPr>
          <w:b/>
          <w:bCs/>
          <w:sz w:val="24"/>
          <w:szCs w:val="24"/>
          <w:lang w:eastAsia="en-IN"/>
        </w:rPr>
        <w:t xml:space="preserve"> </w:t>
      </w:r>
      <w:r w:rsidR="0022568D">
        <w:rPr>
          <w:b/>
          <w:bCs/>
          <w:sz w:val="24"/>
          <w:szCs w:val="24"/>
          <w:lang w:eastAsia="en-IN"/>
        </w:rPr>
        <w:br/>
      </w:r>
      <w:r w:rsidR="004571E0" w:rsidRPr="00F170E7">
        <w:rPr>
          <w:sz w:val="24"/>
          <w:szCs w:val="24"/>
          <w:lang w:eastAsia="en-IN"/>
        </w:rPr>
        <w:t xml:space="preserve">India, the world’s second-largest country by population and seventh-largest geographically, has become the third-largest economy, contributing around </w:t>
      </w:r>
      <w:r w:rsidR="00D14AEE">
        <w:rPr>
          <w:sz w:val="24"/>
          <w:szCs w:val="24"/>
          <w:lang w:eastAsia="en-IN"/>
        </w:rPr>
        <w:t>$14.59 trillion</w:t>
      </w:r>
      <w:r w:rsidR="004571E0" w:rsidRPr="00F170E7">
        <w:rPr>
          <w:sz w:val="24"/>
          <w:szCs w:val="24"/>
          <w:lang w:eastAsia="en-IN"/>
        </w:rPr>
        <w:t xml:space="preserve"> of the global gross domestic product (GDP) by purchasing power parity</w:t>
      </w:r>
      <w:r w:rsidR="004571E0">
        <w:rPr>
          <w:sz w:val="24"/>
          <w:szCs w:val="24"/>
          <w:lang w:eastAsia="en-IN"/>
        </w:rPr>
        <w:t xml:space="preserve"> Index </w:t>
      </w:r>
      <w:r w:rsidR="004571E0" w:rsidRPr="00F170E7">
        <w:rPr>
          <w:sz w:val="24"/>
          <w:szCs w:val="24"/>
          <w:lang w:eastAsia="en-IN"/>
        </w:rPr>
        <w:t>(PPP</w:t>
      </w:r>
      <w:r w:rsidR="00B53D7C">
        <w:rPr>
          <w:sz w:val="24"/>
          <w:szCs w:val="24"/>
          <w:lang w:eastAsia="en-IN"/>
        </w:rPr>
        <w:t xml:space="preserve">) </w:t>
      </w:r>
      <w:r w:rsidR="004571E0">
        <w:rPr>
          <w:sz w:val="24"/>
          <w:szCs w:val="24"/>
          <w:lang w:eastAsia="en-IN"/>
        </w:rPr>
        <w:t>but spends only 1.</w:t>
      </w:r>
      <w:r w:rsidR="00BF76A1">
        <w:rPr>
          <w:sz w:val="24"/>
          <w:szCs w:val="24"/>
          <w:lang w:eastAsia="en-IN"/>
        </w:rPr>
        <w:t>84</w:t>
      </w:r>
      <w:r w:rsidR="004571E0">
        <w:rPr>
          <w:sz w:val="24"/>
          <w:szCs w:val="24"/>
          <w:lang w:eastAsia="en-IN"/>
        </w:rPr>
        <w:t>% of its GDP on public health system.</w:t>
      </w:r>
      <w:r w:rsidR="00D14AEE">
        <w:rPr>
          <w:sz w:val="24"/>
          <w:szCs w:val="24"/>
          <w:lang w:eastAsia="en-IN"/>
        </w:rPr>
        <w:fldChar w:fldCharType="begin"/>
      </w:r>
      <w:r w:rsidR="004A0500">
        <w:rPr>
          <w:sz w:val="24"/>
          <w:szCs w:val="24"/>
          <w:lang w:eastAsia="en-IN"/>
        </w:rPr>
        <w:instrText xml:space="preserve"> ADDIN ZOTERO_ITEM CSL_CITATION {"citationID":"d48f4mVO","properties":{"formattedCitation":"(14)","plainCitation":"(14)","noteIndex":0},"citationItems":[{"id":479,"uris":["http://zotero.org/users/local/XRtc60WU/items/4MLHZMJR"],"itemData":{"id":479,"type":"post-weblog","abstract":"Explore global GDP (PPP) rankings based on IMF data, with insights into the top 10 countries and the economic trends.","container-title":"WORLDOSTATS","language":"en","title":"GDP (PPP) by Country – 2025 Rankings (IMF Statistics)","URL":"https://worldostats.com/country-stats/gdp-ppp-by-country-imf-data/","author":[{"family":"MFK","given":""}],"accessed":{"date-parts":[["2025",5,14]]},"issued":{"date-parts":[["2024",9,22]]}}}],"schema":"https://github.com/citation-style-language/schema/raw/master/csl-citation.json"} </w:instrText>
      </w:r>
      <w:r w:rsidR="00D14AEE">
        <w:rPr>
          <w:sz w:val="24"/>
          <w:szCs w:val="24"/>
          <w:lang w:eastAsia="en-IN"/>
        </w:rPr>
        <w:fldChar w:fldCharType="separate"/>
      </w:r>
      <w:r w:rsidR="004A0500" w:rsidRPr="004A0500">
        <w:rPr>
          <w:sz w:val="24"/>
        </w:rPr>
        <w:t>(14)</w:t>
      </w:r>
      <w:r w:rsidR="00D14AEE">
        <w:rPr>
          <w:sz w:val="24"/>
          <w:szCs w:val="24"/>
          <w:lang w:eastAsia="en-IN"/>
        </w:rPr>
        <w:fldChar w:fldCharType="end"/>
      </w:r>
      <w:r w:rsidR="004571E0" w:rsidRPr="00E06872">
        <w:t xml:space="preserve"> </w:t>
      </w:r>
      <w:r w:rsidR="004571E0" w:rsidRPr="00E06872">
        <w:rPr>
          <w:sz w:val="24"/>
          <w:szCs w:val="24"/>
          <w:lang w:eastAsia="en-IN"/>
        </w:rPr>
        <w:t xml:space="preserve">The National Health Policy 2017 saw the government renew its call to raise health spending along with </w:t>
      </w:r>
      <w:r w:rsidR="004571E0">
        <w:rPr>
          <w:sz w:val="24"/>
          <w:szCs w:val="24"/>
          <w:lang w:eastAsia="en-IN"/>
        </w:rPr>
        <w:t xml:space="preserve">fostering </w:t>
      </w:r>
      <w:r w:rsidR="004571E0" w:rsidRPr="00E06872">
        <w:rPr>
          <w:sz w:val="24"/>
          <w:szCs w:val="24"/>
          <w:lang w:eastAsia="en-IN"/>
        </w:rPr>
        <w:t>economic growth to attain UHC. In the period from 2014 to 2022, though the share of spending on healthcare as a percent of GDP has increased year after year, such growth has been uneven. Compared to the allocation in the previous year's budget, this represents a 0.34% increase in the GDP share, but is still substantially lower than the targeted 2.5% required to achieve UHC. Furthermore,</w:t>
      </w:r>
      <w:r w:rsidR="00684AAA">
        <w:rPr>
          <w:sz w:val="24"/>
          <w:szCs w:val="24"/>
          <w:lang w:eastAsia="en-IN"/>
        </w:rPr>
        <w:t xml:space="preserve"> I</w:t>
      </w:r>
      <w:r w:rsidR="00684AAA" w:rsidRPr="00684AAA">
        <w:rPr>
          <w:sz w:val="24"/>
          <w:szCs w:val="24"/>
          <w:lang w:eastAsia="en-IN"/>
        </w:rPr>
        <w:t>ndia is lagging behind other countries in healthcare spending. On average, the Organization for Economic Co-operation and Development (OECD) countries allocate 7.6% of their GDP to healthcare. In contrast, the BRICS nations—Brazil, Russia, India, China, and South Africa—spend only 3.6% of their GDP on healthcare.</w:t>
      </w:r>
      <w:r w:rsidR="004571E0" w:rsidRPr="00E06872">
        <w:rPr>
          <w:sz w:val="24"/>
          <w:szCs w:val="24"/>
          <w:lang w:eastAsia="en-IN"/>
        </w:rPr>
        <w:t>.</w:t>
      </w:r>
      <w:r w:rsidR="00A67805">
        <w:rPr>
          <w:sz w:val="24"/>
          <w:szCs w:val="24"/>
          <w:lang w:eastAsia="en-IN"/>
        </w:rPr>
        <w:fldChar w:fldCharType="begin"/>
      </w:r>
      <w:r w:rsidR="004A0500">
        <w:rPr>
          <w:sz w:val="24"/>
          <w:szCs w:val="24"/>
          <w:lang w:eastAsia="en-IN"/>
        </w:rPr>
        <w:instrText xml:space="preserve"> ADDIN ZOTERO_ITEM CSL_CITATION {"citationID":"rN9KvzJR","properties":{"formattedCitation":"(15)","plainCitation":"(15)","noteIndex":0},"citationItems":[{"id":292,"uris":["http://zotero.org/users/local/XRtc60WU/items/EWEK4CBE"],"itemData":{"id":292,"type":"article-journal","abstract":"Political will is the key to public health policy-making and a major driving force for the attainment of Universal Health Coverage (UHC) in any nation. To achieve UHC, the Indian government laid down National Health Policy in 1983 and updated it in 2002 and recently in 2017. This recent policy emphasized increasing healthcare spending and economic growth. In the current budget, there is an increment in the share of GDP of 0.34% from the previous year’s allocation, but still staggering for the envisaged 2.5% to achieve UHC. Enthusiastic announcements of opening 157 new nursing colleges, a separate programme for eliminating sickle cell anemia by 2047, and Centers of excellence establishment for pharma companies for promoting research and development and focusing on Particularly Vulnerable Tribal Groups (PVTGs) are the few overarching and new highlights in the current budget. But, in a country so huge and varied in terms of its needs in every sector, the announcements in the financial budget speech taking India forward in becoming a “shining star” is a matter of debate. This is an attempt to review the budget for this financial year in the healthcare sector and what it means: is the country willing to build a self-driven healthcare sector in the Amrit Kaal with strong public finances and a robust financial sector through “efforts by all”?","container-title":"Journal of Family Medicine and Primary Care","DOI":"10.4103/jfmpc.jfmpc_398_23","ISSN":"2249-4863","issue":"1","journalAbbreviation":"J Family Med Prim Care","note":"PMID: 38482309\nPMCID: PMC10931870","page":"5-9","source":"PubMed Central","title":"How healthy is the health budget of Amrit Kaal: 2023-24?","title-short":"How healthy is the health budget of Amrit Kaal","volume":"13","author":[{"family":"Majhi","given":"Madan M."},{"family":"Mishra","given":"Anshita"},{"family":"Garg","given":"Suneela"},{"family":"Kumar","given":"Raman"}],"issued":{"date-parts":[["2024",1]]}}}],"schema":"https://github.com/citation-style-language/schema/raw/master/csl-citation.json"} </w:instrText>
      </w:r>
      <w:r w:rsidR="00A67805">
        <w:rPr>
          <w:sz w:val="24"/>
          <w:szCs w:val="24"/>
          <w:lang w:eastAsia="en-IN"/>
        </w:rPr>
        <w:fldChar w:fldCharType="separate"/>
      </w:r>
      <w:r w:rsidR="004A0500" w:rsidRPr="004A0500">
        <w:rPr>
          <w:sz w:val="24"/>
        </w:rPr>
        <w:t>(15)</w:t>
      </w:r>
      <w:r w:rsidR="00A67805">
        <w:rPr>
          <w:sz w:val="24"/>
          <w:szCs w:val="24"/>
          <w:lang w:eastAsia="en-IN"/>
        </w:rPr>
        <w:fldChar w:fldCharType="end"/>
      </w:r>
      <w:r w:rsidR="004571E0" w:rsidRPr="00F170E7">
        <w:rPr>
          <w:sz w:val="24"/>
          <w:szCs w:val="24"/>
          <w:lang w:eastAsia="en-IN"/>
        </w:rPr>
        <w:t xml:space="preserve"> </w:t>
      </w:r>
    </w:p>
    <w:p w14:paraId="7770FCAE" w14:textId="186247DD" w:rsidR="004571E0" w:rsidRDefault="003D6AE6" w:rsidP="004571E0">
      <w:pPr>
        <w:keepNext/>
        <w:spacing w:before="100" w:beforeAutospacing="1" w:after="100" w:afterAutospacing="1" w:line="480" w:lineRule="auto"/>
        <w:jc w:val="center"/>
      </w:pPr>
      <w:r>
        <w:rPr>
          <w:noProof/>
          <w:sz w:val="24"/>
          <w:szCs w:val="24"/>
          <w14:ligatures w14:val="standardContextual"/>
        </w:rPr>
        <w:lastRenderedPageBreak/>
        <w:drawing>
          <wp:inline distT="0" distB="0" distL="0" distR="0" wp14:anchorId="0D6BACB9" wp14:editId="76CDFAF6">
            <wp:extent cx="5486400" cy="3200400"/>
            <wp:effectExtent l="0" t="0" r="0" b="0"/>
            <wp:docPr id="55697446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49A9D8A" w14:textId="48C13E9A" w:rsidR="004571E0" w:rsidRPr="009C677E" w:rsidRDefault="004571E0" w:rsidP="004571E0">
      <w:pPr>
        <w:pStyle w:val="Caption"/>
        <w:spacing w:line="480" w:lineRule="auto"/>
        <w:jc w:val="center"/>
        <w:rPr>
          <w:rFonts w:ascii="Times New Roman" w:eastAsia="Times New Roman" w:hAnsi="Times New Roman" w:cs="Times New Roman"/>
          <w:b/>
          <w:bCs/>
          <w:i w:val="0"/>
          <w:iCs w:val="0"/>
          <w:color w:val="auto"/>
          <w:kern w:val="0"/>
          <w:sz w:val="22"/>
          <w:szCs w:val="22"/>
          <w:lang w:eastAsia="en-IN"/>
          <w14:ligatures w14:val="none"/>
        </w:rPr>
      </w:pPr>
      <w:r w:rsidRPr="009C677E">
        <w:rPr>
          <w:rFonts w:ascii="Times New Roman" w:hAnsi="Times New Roman" w:cs="Times New Roman"/>
          <w:b/>
          <w:bCs/>
          <w:i w:val="0"/>
          <w:iCs w:val="0"/>
          <w:color w:val="auto"/>
          <w:sz w:val="22"/>
          <w:szCs w:val="22"/>
        </w:rPr>
        <w:t xml:space="preserve">Figure </w:t>
      </w:r>
      <w:r w:rsidRPr="009C677E">
        <w:rPr>
          <w:rFonts w:ascii="Times New Roman" w:hAnsi="Times New Roman" w:cs="Times New Roman"/>
          <w:b/>
          <w:bCs/>
          <w:i w:val="0"/>
          <w:iCs w:val="0"/>
          <w:color w:val="auto"/>
          <w:sz w:val="22"/>
          <w:szCs w:val="22"/>
        </w:rPr>
        <w:fldChar w:fldCharType="begin"/>
      </w:r>
      <w:r w:rsidRPr="009C677E">
        <w:rPr>
          <w:rFonts w:ascii="Times New Roman" w:hAnsi="Times New Roman" w:cs="Times New Roman"/>
          <w:b/>
          <w:bCs/>
          <w:i w:val="0"/>
          <w:iCs w:val="0"/>
          <w:color w:val="auto"/>
          <w:sz w:val="22"/>
          <w:szCs w:val="22"/>
        </w:rPr>
        <w:instrText xml:space="preserve"> SEQ Figure \* ARABIC </w:instrText>
      </w:r>
      <w:r w:rsidRPr="009C677E">
        <w:rPr>
          <w:rFonts w:ascii="Times New Roman" w:hAnsi="Times New Roman" w:cs="Times New Roman"/>
          <w:b/>
          <w:bCs/>
          <w:i w:val="0"/>
          <w:iCs w:val="0"/>
          <w:color w:val="auto"/>
          <w:sz w:val="22"/>
          <w:szCs w:val="22"/>
        </w:rPr>
        <w:fldChar w:fldCharType="separate"/>
      </w:r>
      <w:r w:rsidRPr="009C677E">
        <w:rPr>
          <w:rFonts w:ascii="Times New Roman" w:hAnsi="Times New Roman" w:cs="Times New Roman"/>
          <w:b/>
          <w:bCs/>
          <w:i w:val="0"/>
          <w:iCs w:val="0"/>
          <w:noProof/>
          <w:color w:val="auto"/>
          <w:sz w:val="22"/>
          <w:szCs w:val="22"/>
        </w:rPr>
        <w:t>3</w:t>
      </w:r>
      <w:r w:rsidRPr="009C677E">
        <w:rPr>
          <w:rFonts w:ascii="Times New Roman" w:hAnsi="Times New Roman" w:cs="Times New Roman"/>
          <w:b/>
          <w:bCs/>
          <w:i w:val="0"/>
          <w:iCs w:val="0"/>
          <w:color w:val="auto"/>
          <w:sz w:val="22"/>
          <w:szCs w:val="22"/>
        </w:rPr>
        <w:fldChar w:fldCharType="end"/>
      </w:r>
      <w:r w:rsidRPr="009C677E">
        <w:rPr>
          <w:rFonts w:ascii="Times New Roman" w:hAnsi="Times New Roman" w:cs="Times New Roman"/>
          <w:b/>
          <w:bCs/>
          <w:i w:val="0"/>
          <w:iCs w:val="0"/>
          <w:color w:val="auto"/>
          <w:sz w:val="22"/>
          <w:szCs w:val="22"/>
        </w:rPr>
        <w:t xml:space="preserve">: Graph showing </w:t>
      </w:r>
      <w:r w:rsidR="003D6AE6" w:rsidRPr="009C677E">
        <w:rPr>
          <w:rFonts w:ascii="Times New Roman" w:hAnsi="Times New Roman" w:cs="Times New Roman"/>
          <w:b/>
          <w:bCs/>
          <w:i w:val="0"/>
          <w:iCs w:val="0"/>
          <w:color w:val="auto"/>
          <w:sz w:val="22"/>
          <w:szCs w:val="22"/>
        </w:rPr>
        <w:t xml:space="preserve">government health expenditure as </w:t>
      </w:r>
      <w:r w:rsidR="00C121BC" w:rsidRPr="009C677E">
        <w:rPr>
          <w:rFonts w:ascii="Times New Roman" w:hAnsi="Times New Roman" w:cs="Times New Roman"/>
          <w:b/>
          <w:bCs/>
          <w:i w:val="0"/>
          <w:iCs w:val="0"/>
          <w:color w:val="auto"/>
          <w:sz w:val="22"/>
          <w:szCs w:val="22"/>
        </w:rPr>
        <w:t>% of GDP</w:t>
      </w:r>
    </w:p>
    <w:p w14:paraId="7A9A9A8F" w14:textId="6DA6FB8A" w:rsidR="004571E0" w:rsidRPr="00212142" w:rsidRDefault="004571E0" w:rsidP="004571E0">
      <w:pPr>
        <w:spacing w:before="100" w:beforeAutospacing="1" w:after="100" w:afterAutospacing="1" w:line="480" w:lineRule="auto"/>
        <w:jc w:val="both"/>
        <w:rPr>
          <w:sz w:val="24"/>
          <w:szCs w:val="24"/>
          <w:lang w:eastAsia="en-IN"/>
        </w:rPr>
      </w:pPr>
      <w:r w:rsidRPr="0027640B">
        <w:rPr>
          <w:sz w:val="24"/>
          <w:szCs w:val="24"/>
          <w:lang w:eastAsia="en-IN"/>
        </w:rPr>
        <w:t>Healthcare spending in India remains considerably lower compared to other densely populated developing and developed countries. The World Health Organization's Global Health Expenditure database shows that in 2020, China's and Brazil's per capita current health expenditure was $583.48 and $700.71, respectively.</w:t>
      </w:r>
      <w:r w:rsidR="00FD3392">
        <w:rPr>
          <w:sz w:val="24"/>
          <w:szCs w:val="24"/>
          <w:lang w:eastAsia="en-IN"/>
        </w:rPr>
        <w:t xml:space="preserve"> </w:t>
      </w:r>
      <w:r w:rsidR="00FD3392">
        <w:rPr>
          <w:sz w:val="24"/>
          <w:szCs w:val="24"/>
          <w:lang w:eastAsia="en-IN"/>
        </w:rPr>
        <w:fldChar w:fldCharType="begin"/>
      </w:r>
      <w:r w:rsidR="004A0500">
        <w:rPr>
          <w:sz w:val="24"/>
          <w:szCs w:val="24"/>
          <w:lang w:eastAsia="en-IN"/>
        </w:rPr>
        <w:instrText xml:space="preserve"> ADDIN ZOTERO_ITEM CSL_CITATION {"citationID":"mISlmCet","properties":{"formattedCitation":"(16)","plainCitation":"(16)","noteIndex":0},"citationItems":[{"id":441,"uris":["http://zotero.org/users/local/XRtc60WU/items/CJTHD4QE"],"itemData":{"id":441,"type":"article-journal","abstract":"This study examines the temporal pattern of healthcare infrastructure and manpower indicators across Indian states and regions between 2006–2020 using a composite index and data from various published sources. The study also investigates the monetary factors determining the quality and provision of healthcare infrastructure and manpower for India as a whole as well as for rural and tribal areas discretely, using a panel regression model and the generalized method of moments. The results show that economically advanced states, like Haryana and Maharashtra, do not rank highly on the index based on the healthcare infrastructure and manpower indicators; rural states with smaller populations enjoy better healthcare services. Inadequate public health expenditure results in a low ranking on the composite index and is reflected in the high infant mortality rates in Bihar, Uttar Pradesh, and Madhya Pradesh, though the situation is reversed in Kerala. The panel regression model reveals that increased per capita public health expenditure has not translated into improved healthcare infrastructure and manpower in Indian states or tribal regions within those states. The public health expenditure to gross state domestic product ratio is a positively significant predictor of healthcare infrastructure and manpower in rural areas. The panel generalized method of moments results confirm that developing targeted healthcare infrastructure and manpower in India as a whole, as well as for rural and tribal areas in the short term, has been poorly realized.","collection-title":"Sustainable Development in Western Asia and Afghanistan","container-title":"Regional Science Policy &amp; Practice","DOI":"10.1111/rsp3.12710","ISSN":"1757-7802","issue":"2","journalAbbreviation":"Regional Science Policy &amp; Practice","page":"12710","source":"ScienceDirect","title":"The puzzle of public health expenditure and healthcare infrastructure in India: An empirical investigation","title-short":"The puzzle of public health expenditure and healthcare infrastructure in India","volume":"16","author":[{"family":"Das","given":"Tiken"},{"family":"Guha","given":"Pradyut"}],"issued":{"date-parts":[["2024",2,1]]}}}],"schema":"https://github.com/citation-style-language/schema/raw/master/csl-citation.json"} </w:instrText>
      </w:r>
      <w:r w:rsidR="00FD3392">
        <w:rPr>
          <w:sz w:val="24"/>
          <w:szCs w:val="24"/>
          <w:lang w:eastAsia="en-IN"/>
        </w:rPr>
        <w:fldChar w:fldCharType="separate"/>
      </w:r>
      <w:r w:rsidR="004A0500" w:rsidRPr="004A0500">
        <w:rPr>
          <w:sz w:val="24"/>
        </w:rPr>
        <w:t>(16)</w:t>
      </w:r>
      <w:r w:rsidR="00FD3392">
        <w:rPr>
          <w:sz w:val="24"/>
          <w:szCs w:val="24"/>
          <w:lang w:eastAsia="en-IN"/>
        </w:rPr>
        <w:fldChar w:fldCharType="end"/>
      </w:r>
      <w:r w:rsidRPr="0027640B">
        <w:rPr>
          <w:sz w:val="24"/>
          <w:szCs w:val="24"/>
          <w:lang w:eastAsia="en-IN"/>
        </w:rPr>
        <w:t xml:space="preserve"> </w:t>
      </w:r>
    </w:p>
    <w:p w14:paraId="79E18343" w14:textId="36FB35E5" w:rsidR="00004DF5" w:rsidRDefault="004571E0" w:rsidP="004571E0">
      <w:pPr>
        <w:spacing w:before="100" w:beforeAutospacing="1" w:after="100" w:afterAutospacing="1" w:line="480" w:lineRule="auto"/>
        <w:jc w:val="both"/>
        <w:rPr>
          <w:i/>
          <w:iCs/>
          <w:color w:val="4472C4" w:themeColor="accent1"/>
          <w:sz w:val="24"/>
          <w:szCs w:val="24"/>
          <w:lang w:eastAsia="en-IN"/>
        </w:rPr>
      </w:pPr>
      <w:r w:rsidRPr="0027640B">
        <w:rPr>
          <w:sz w:val="24"/>
          <w:szCs w:val="24"/>
          <w:lang w:eastAsia="en-IN"/>
        </w:rPr>
        <w:t>This limited health investment has resulted in a heavy dependence on out-of-pocket (OOP) expenses for healthcare services in India. According to</w:t>
      </w:r>
      <w:r w:rsidR="0070551C">
        <w:rPr>
          <w:sz w:val="24"/>
          <w:szCs w:val="24"/>
          <w:lang w:eastAsia="en-IN"/>
        </w:rPr>
        <w:t xml:space="preserve"> the </w:t>
      </w:r>
      <w:r w:rsidR="00096259">
        <w:rPr>
          <w:sz w:val="24"/>
          <w:szCs w:val="24"/>
          <w:lang w:eastAsia="en-IN"/>
        </w:rPr>
        <w:t>recent</w:t>
      </w:r>
      <w:r w:rsidRPr="0027640B">
        <w:rPr>
          <w:sz w:val="24"/>
          <w:szCs w:val="24"/>
          <w:lang w:eastAsia="en-IN"/>
        </w:rPr>
        <w:t xml:space="preserve"> National Health Accounts estimates for 20</w:t>
      </w:r>
      <w:r w:rsidR="00EA4EB3">
        <w:rPr>
          <w:sz w:val="24"/>
          <w:szCs w:val="24"/>
          <w:lang w:eastAsia="en-IN"/>
        </w:rPr>
        <w:t>21</w:t>
      </w:r>
      <w:r w:rsidRPr="0027640B">
        <w:rPr>
          <w:sz w:val="24"/>
          <w:szCs w:val="24"/>
          <w:lang w:eastAsia="en-IN"/>
        </w:rPr>
        <w:t>-202</w:t>
      </w:r>
      <w:r w:rsidR="00EA4EB3">
        <w:rPr>
          <w:sz w:val="24"/>
          <w:szCs w:val="24"/>
          <w:lang w:eastAsia="en-IN"/>
        </w:rPr>
        <w:t>2</w:t>
      </w:r>
      <w:r w:rsidRPr="0027640B">
        <w:rPr>
          <w:sz w:val="24"/>
          <w:szCs w:val="24"/>
          <w:lang w:eastAsia="en-IN"/>
        </w:rPr>
        <w:t xml:space="preserve">, OOP expenditure made up </w:t>
      </w:r>
      <w:r w:rsidR="007C3E8E">
        <w:rPr>
          <w:sz w:val="24"/>
          <w:szCs w:val="24"/>
          <w:lang w:eastAsia="en-IN"/>
        </w:rPr>
        <w:t>45.1</w:t>
      </w:r>
      <w:r w:rsidRPr="0027640B">
        <w:rPr>
          <w:sz w:val="24"/>
          <w:szCs w:val="24"/>
          <w:lang w:eastAsia="en-IN"/>
        </w:rPr>
        <w:t xml:space="preserve">% of current health expenditure (CHE) and </w:t>
      </w:r>
      <w:r w:rsidR="00EA4EB3">
        <w:rPr>
          <w:sz w:val="24"/>
          <w:szCs w:val="24"/>
          <w:lang w:eastAsia="en-IN"/>
        </w:rPr>
        <w:t>39.4</w:t>
      </w:r>
      <w:r w:rsidRPr="0027640B">
        <w:rPr>
          <w:sz w:val="24"/>
          <w:szCs w:val="24"/>
          <w:lang w:eastAsia="en-IN"/>
        </w:rPr>
        <w:t>% of total health expenditure (THE</w:t>
      </w:r>
      <w:r w:rsidRPr="0027640B">
        <w:rPr>
          <w:i/>
          <w:iCs/>
          <w:color w:val="4472C4" w:themeColor="accent1"/>
          <w:sz w:val="24"/>
          <w:szCs w:val="24"/>
          <w:lang w:eastAsia="en-IN"/>
        </w:rPr>
        <w:t>)</w:t>
      </w:r>
      <w:r w:rsidR="006D027F">
        <w:rPr>
          <w:i/>
          <w:iCs/>
          <w:color w:val="4472C4" w:themeColor="accent1"/>
          <w:sz w:val="24"/>
          <w:szCs w:val="24"/>
          <w:lang w:eastAsia="en-IN"/>
        </w:rPr>
        <w:t xml:space="preserve"> </w:t>
      </w:r>
      <w:r w:rsidR="00623533">
        <w:rPr>
          <w:i/>
          <w:iCs/>
          <w:color w:val="4472C4" w:themeColor="accent1"/>
          <w:sz w:val="24"/>
          <w:szCs w:val="24"/>
          <w:lang w:eastAsia="en-IN"/>
        </w:rPr>
        <w:fldChar w:fldCharType="begin"/>
      </w:r>
      <w:r w:rsidR="004A0500">
        <w:rPr>
          <w:i/>
          <w:iCs/>
          <w:color w:val="4472C4" w:themeColor="accent1"/>
          <w:sz w:val="24"/>
          <w:szCs w:val="24"/>
          <w:lang w:eastAsia="en-IN"/>
        </w:rPr>
        <w:instrText xml:space="preserve"> ADDIN ZOTERO_ITEM CSL_CITATION {"citationID":"tTRL2MG3","properties":{"formattedCitation":"(17)","plainCitation":"(17)","noteIndex":0},"citationItems":[{"id":444,"uris":["http://zotero.org/users/local/XRtc60WU/items/IL54NPBR"],"itemData":{"id":444,"type":"document","title":"NHA 2021-22.pdf","URL":"https://nhsrcindia.org/sites/default/files/2024-09/NHA%202021-22.pdf","accessed":{"date-parts":[["2025",5,5]]}}}],"schema":"https://github.com/citation-style-language/schema/raw/master/csl-citation.json"} </w:instrText>
      </w:r>
      <w:r w:rsidR="00623533">
        <w:rPr>
          <w:i/>
          <w:iCs/>
          <w:color w:val="4472C4" w:themeColor="accent1"/>
          <w:sz w:val="24"/>
          <w:szCs w:val="24"/>
          <w:lang w:eastAsia="en-IN"/>
        </w:rPr>
        <w:fldChar w:fldCharType="separate"/>
      </w:r>
      <w:r w:rsidR="004A0500" w:rsidRPr="004A0500">
        <w:rPr>
          <w:sz w:val="24"/>
        </w:rPr>
        <w:t>(17)</w:t>
      </w:r>
      <w:r w:rsidR="00623533">
        <w:rPr>
          <w:i/>
          <w:iCs/>
          <w:color w:val="4472C4" w:themeColor="accent1"/>
          <w:sz w:val="24"/>
          <w:szCs w:val="24"/>
          <w:lang w:eastAsia="en-IN"/>
        </w:rPr>
        <w:fldChar w:fldCharType="end"/>
      </w:r>
      <w:r w:rsidR="00D25F3F">
        <w:rPr>
          <w:i/>
          <w:iCs/>
          <w:color w:val="4472C4" w:themeColor="accent1"/>
          <w:sz w:val="24"/>
          <w:szCs w:val="24"/>
          <w:lang w:eastAsia="en-IN"/>
        </w:rPr>
        <w:tab/>
      </w:r>
    </w:p>
    <w:p w14:paraId="3C278233" w14:textId="71A55AEF" w:rsidR="00526E0B" w:rsidRPr="00526E0B" w:rsidRDefault="00526E0B" w:rsidP="004571E0">
      <w:pPr>
        <w:spacing w:before="100" w:beforeAutospacing="1" w:after="100" w:afterAutospacing="1" w:line="480" w:lineRule="auto"/>
        <w:jc w:val="both"/>
        <w:rPr>
          <w:color w:val="000000" w:themeColor="text1"/>
          <w:sz w:val="24"/>
          <w:szCs w:val="24"/>
          <w:lang w:eastAsia="en-IN"/>
        </w:rPr>
      </w:pPr>
    </w:p>
    <w:tbl>
      <w:tblPr>
        <w:tblStyle w:val="GridTable4-Accent1"/>
        <w:tblW w:w="0" w:type="auto"/>
        <w:tblLook w:val="04A0" w:firstRow="1" w:lastRow="0" w:firstColumn="1" w:lastColumn="0" w:noHBand="0" w:noVBand="1"/>
      </w:tblPr>
      <w:tblGrid>
        <w:gridCol w:w="1508"/>
        <w:gridCol w:w="1746"/>
        <w:gridCol w:w="1555"/>
        <w:gridCol w:w="1555"/>
        <w:gridCol w:w="1396"/>
        <w:gridCol w:w="1555"/>
        <w:gridCol w:w="1453"/>
      </w:tblGrid>
      <w:tr w:rsidR="00585291" w:rsidRPr="00905293" w14:paraId="5959F4C3" w14:textId="77777777" w:rsidTr="00072BC0">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08" w:type="dxa"/>
          </w:tcPr>
          <w:p w14:paraId="6C07B0B5" w14:textId="77777777" w:rsidR="00905293" w:rsidRPr="00905293" w:rsidRDefault="00905293" w:rsidP="00905293">
            <w:pPr>
              <w:keepNext/>
              <w:spacing w:before="100" w:beforeAutospacing="1" w:after="100" w:afterAutospacing="1" w:line="360" w:lineRule="auto"/>
              <w:jc w:val="center"/>
              <w:rPr>
                <w:color w:val="auto"/>
              </w:rPr>
            </w:pPr>
            <w:r w:rsidRPr="00905293">
              <w:rPr>
                <w:color w:val="auto"/>
              </w:rPr>
              <w:lastRenderedPageBreak/>
              <w:t>S. No</w:t>
            </w:r>
          </w:p>
        </w:tc>
        <w:tc>
          <w:tcPr>
            <w:tcW w:w="1746" w:type="dxa"/>
          </w:tcPr>
          <w:p w14:paraId="7E12FECB" w14:textId="77777777" w:rsidR="00905293" w:rsidRPr="00905293" w:rsidRDefault="00905293" w:rsidP="00905293">
            <w:pPr>
              <w:keepNext/>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905293">
              <w:rPr>
                <w:color w:val="auto"/>
              </w:rPr>
              <w:t>Indicator</w:t>
            </w:r>
          </w:p>
        </w:tc>
        <w:tc>
          <w:tcPr>
            <w:tcW w:w="1555" w:type="dxa"/>
          </w:tcPr>
          <w:p w14:paraId="39C5B971" w14:textId="77777777" w:rsidR="00905293" w:rsidRPr="00905293" w:rsidRDefault="00905293" w:rsidP="00905293">
            <w:pPr>
              <w:keepNext/>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905293">
              <w:rPr>
                <w:color w:val="auto"/>
              </w:rPr>
              <w:t>2017-2018</w:t>
            </w:r>
          </w:p>
        </w:tc>
        <w:tc>
          <w:tcPr>
            <w:tcW w:w="1555" w:type="dxa"/>
          </w:tcPr>
          <w:p w14:paraId="7167FC17" w14:textId="77777777" w:rsidR="00905293" w:rsidRPr="00905293" w:rsidRDefault="00905293" w:rsidP="00905293">
            <w:pPr>
              <w:keepNext/>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905293">
              <w:rPr>
                <w:color w:val="auto"/>
              </w:rPr>
              <w:t>2018-2019</w:t>
            </w:r>
          </w:p>
        </w:tc>
        <w:tc>
          <w:tcPr>
            <w:tcW w:w="1396" w:type="dxa"/>
          </w:tcPr>
          <w:p w14:paraId="3D3EE89B" w14:textId="77777777" w:rsidR="00905293" w:rsidRPr="00905293" w:rsidRDefault="00905293" w:rsidP="00905293">
            <w:pPr>
              <w:keepNext/>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905293">
              <w:rPr>
                <w:color w:val="auto"/>
              </w:rPr>
              <w:t>2019-2020</w:t>
            </w:r>
          </w:p>
        </w:tc>
        <w:tc>
          <w:tcPr>
            <w:tcW w:w="1555" w:type="dxa"/>
          </w:tcPr>
          <w:p w14:paraId="316E4BAA" w14:textId="77777777" w:rsidR="00905293" w:rsidRPr="00905293" w:rsidRDefault="00905293" w:rsidP="00905293">
            <w:pPr>
              <w:keepNext/>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905293">
              <w:rPr>
                <w:color w:val="auto"/>
              </w:rPr>
              <w:t>2020-2021</w:t>
            </w:r>
          </w:p>
        </w:tc>
        <w:tc>
          <w:tcPr>
            <w:tcW w:w="1453" w:type="dxa"/>
          </w:tcPr>
          <w:p w14:paraId="6F598BED" w14:textId="77777777" w:rsidR="00905293" w:rsidRPr="00905293" w:rsidRDefault="00905293" w:rsidP="00905293">
            <w:pPr>
              <w:keepNext/>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905293">
              <w:rPr>
                <w:color w:val="auto"/>
              </w:rPr>
              <w:t>2021-2022</w:t>
            </w:r>
          </w:p>
        </w:tc>
      </w:tr>
      <w:tr w:rsidR="00585291" w:rsidRPr="00905293" w14:paraId="5FDE57FE" w14:textId="77777777" w:rsidTr="00072BC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08" w:type="dxa"/>
          </w:tcPr>
          <w:p w14:paraId="6B0FCBCE" w14:textId="77777777" w:rsidR="00905293" w:rsidRPr="00905293" w:rsidRDefault="00905293" w:rsidP="00905293">
            <w:pPr>
              <w:keepNext/>
              <w:spacing w:before="100" w:beforeAutospacing="1" w:after="100" w:afterAutospacing="1" w:line="360" w:lineRule="auto"/>
              <w:jc w:val="center"/>
              <w:rPr>
                <w:b w:val="0"/>
                <w:bCs w:val="0"/>
              </w:rPr>
            </w:pPr>
            <w:r w:rsidRPr="00905293">
              <w:rPr>
                <w:b w:val="0"/>
                <w:bCs w:val="0"/>
              </w:rPr>
              <w:t>1.</w:t>
            </w:r>
          </w:p>
        </w:tc>
        <w:tc>
          <w:tcPr>
            <w:tcW w:w="1746" w:type="dxa"/>
          </w:tcPr>
          <w:p w14:paraId="580A9E69"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b/>
                <w:bCs/>
              </w:rPr>
            </w:pPr>
            <w:r w:rsidRPr="00905293">
              <w:rPr>
                <w:b/>
                <w:bCs/>
              </w:rPr>
              <w:t>Out of pocket expenditure (OOPE) as THE</w:t>
            </w:r>
          </w:p>
        </w:tc>
        <w:tc>
          <w:tcPr>
            <w:tcW w:w="1555" w:type="dxa"/>
          </w:tcPr>
          <w:p w14:paraId="2A6C16A9"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pPr>
            <w:r w:rsidRPr="00905293">
              <w:t>48.8%</w:t>
            </w:r>
          </w:p>
        </w:tc>
        <w:tc>
          <w:tcPr>
            <w:tcW w:w="1555" w:type="dxa"/>
          </w:tcPr>
          <w:p w14:paraId="0FAE162F"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pPr>
            <w:r w:rsidRPr="00905293">
              <w:t>48.2%</w:t>
            </w:r>
          </w:p>
        </w:tc>
        <w:tc>
          <w:tcPr>
            <w:tcW w:w="1396" w:type="dxa"/>
          </w:tcPr>
          <w:p w14:paraId="2495B2D0"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pPr>
            <w:r w:rsidRPr="00905293">
              <w:t>47.1%</w:t>
            </w:r>
          </w:p>
        </w:tc>
        <w:tc>
          <w:tcPr>
            <w:tcW w:w="1555" w:type="dxa"/>
          </w:tcPr>
          <w:p w14:paraId="1DF98FB6"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pPr>
            <w:r w:rsidRPr="00905293">
              <w:t>44.4%</w:t>
            </w:r>
          </w:p>
        </w:tc>
        <w:tc>
          <w:tcPr>
            <w:tcW w:w="1453" w:type="dxa"/>
          </w:tcPr>
          <w:p w14:paraId="0A0AEACC"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pPr>
            <w:r w:rsidRPr="00905293">
              <w:t>39.4%</w:t>
            </w:r>
          </w:p>
        </w:tc>
      </w:tr>
      <w:tr w:rsidR="00905293" w:rsidRPr="00905293" w14:paraId="29DAEF7D" w14:textId="77777777" w:rsidTr="00072BC0">
        <w:trPr>
          <w:trHeight w:val="113"/>
        </w:trPr>
        <w:tc>
          <w:tcPr>
            <w:cnfStyle w:val="001000000000" w:firstRow="0" w:lastRow="0" w:firstColumn="1" w:lastColumn="0" w:oddVBand="0" w:evenVBand="0" w:oddHBand="0" w:evenHBand="0" w:firstRowFirstColumn="0" w:firstRowLastColumn="0" w:lastRowFirstColumn="0" w:lastRowLastColumn="0"/>
            <w:tcW w:w="1508" w:type="dxa"/>
          </w:tcPr>
          <w:p w14:paraId="6FE29AD7" w14:textId="77777777" w:rsidR="00905293" w:rsidRPr="00905293" w:rsidRDefault="00905293" w:rsidP="00905293">
            <w:pPr>
              <w:keepNext/>
              <w:spacing w:before="100" w:beforeAutospacing="1" w:after="100" w:afterAutospacing="1" w:line="360" w:lineRule="auto"/>
              <w:jc w:val="center"/>
              <w:rPr>
                <w:b w:val="0"/>
                <w:bCs w:val="0"/>
              </w:rPr>
            </w:pPr>
            <w:r w:rsidRPr="00905293">
              <w:rPr>
                <w:b w:val="0"/>
                <w:bCs w:val="0"/>
              </w:rPr>
              <w:t xml:space="preserve">2. </w:t>
            </w:r>
          </w:p>
        </w:tc>
        <w:tc>
          <w:tcPr>
            <w:tcW w:w="1746" w:type="dxa"/>
          </w:tcPr>
          <w:p w14:paraId="635B15B3"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b/>
                <w:bCs/>
              </w:rPr>
            </w:pPr>
            <w:r w:rsidRPr="00905293">
              <w:rPr>
                <w:b/>
                <w:bCs/>
              </w:rPr>
              <w:t>Government Health Expenditure (GHE) as CHE</w:t>
            </w:r>
          </w:p>
        </w:tc>
        <w:tc>
          <w:tcPr>
            <w:tcW w:w="1555" w:type="dxa"/>
          </w:tcPr>
          <w:p w14:paraId="385C6DF0"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pPr>
            <w:r w:rsidRPr="00905293">
              <w:t>33.2%</w:t>
            </w:r>
          </w:p>
        </w:tc>
        <w:tc>
          <w:tcPr>
            <w:tcW w:w="1555" w:type="dxa"/>
          </w:tcPr>
          <w:p w14:paraId="4CF257F8"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pPr>
            <w:r w:rsidRPr="00905293">
              <w:t>34.5%</w:t>
            </w:r>
          </w:p>
        </w:tc>
        <w:tc>
          <w:tcPr>
            <w:tcW w:w="1396" w:type="dxa"/>
          </w:tcPr>
          <w:p w14:paraId="08259F63"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pPr>
            <w:r w:rsidRPr="00905293">
              <w:t>35.3%</w:t>
            </w:r>
          </w:p>
        </w:tc>
        <w:tc>
          <w:tcPr>
            <w:tcW w:w="1555" w:type="dxa"/>
          </w:tcPr>
          <w:p w14:paraId="266047B9"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pPr>
            <w:r w:rsidRPr="00905293">
              <w:t>36.7%</w:t>
            </w:r>
          </w:p>
        </w:tc>
        <w:tc>
          <w:tcPr>
            <w:tcW w:w="1453" w:type="dxa"/>
          </w:tcPr>
          <w:p w14:paraId="56AC44DE"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pPr>
            <w:r w:rsidRPr="00905293">
              <w:t>41.1%</w:t>
            </w:r>
          </w:p>
        </w:tc>
      </w:tr>
      <w:tr w:rsidR="00585291" w:rsidRPr="00905293" w14:paraId="11142860" w14:textId="77777777" w:rsidTr="00072BC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08" w:type="dxa"/>
          </w:tcPr>
          <w:p w14:paraId="4F224508" w14:textId="77777777" w:rsidR="00905293" w:rsidRPr="00905293" w:rsidRDefault="00905293" w:rsidP="00905293">
            <w:pPr>
              <w:keepNext/>
              <w:spacing w:before="100" w:beforeAutospacing="1" w:after="100" w:afterAutospacing="1" w:line="360" w:lineRule="auto"/>
              <w:jc w:val="center"/>
              <w:rPr>
                <w:b w:val="0"/>
                <w:bCs w:val="0"/>
              </w:rPr>
            </w:pPr>
            <w:r w:rsidRPr="00905293">
              <w:rPr>
                <w:b w:val="0"/>
                <w:bCs w:val="0"/>
              </w:rPr>
              <w:t>3.</w:t>
            </w:r>
          </w:p>
        </w:tc>
        <w:tc>
          <w:tcPr>
            <w:tcW w:w="1746" w:type="dxa"/>
          </w:tcPr>
          <w:p w14:paraId="70BF2DB4"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b/>
                <w:bCs/>
              </w:rPr>
            </w:pPr>
            <w:r w:rsidRPr="00905293">
              <w:rPr>
                <w:b/>
                <w:bCs/>
              </w:rPr>
              <w:t>Out of pocket expenditure (OOPE) as CHE</w:t>
            </w:r>
          </w:p>
        </w:tc>
        <w:tc>
          <w:tcPr>
            <w:tcW w:w="1555" w:type="dxa"/>
          </w:tcPr>
          <w:p w14:paraId="71493E82"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pPr>
            <w:r w:rsidRPr="00905293">
              <w:t>55.1%</w:t>
            </w:r>
          </w:p>
        </w:tc>
        <w:tc>
          <w:tcPr>
            <w:tcW w:w="1555" w:type="dxa"/>
          </w:tcPr>
          <w:p w14:paraId="21F005A1"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pPr>
            <w:r w:rsidRPr="00905293">
              <w:t>53.2%</w:t>
            </w:r>
          </w:p>
        </w:tc>
        <w:tc>
          <w:tcPr>
            <w:tcW w:w="1396" w:type="dxa"/>
          </w:tcPr>
          <w:p w14:paraId="1014A378"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pPr>
            <w:r w:rsidRPr="00905293">
              <w:t>52.0%</w:t>
            </w:r>
          </w:p>
        </w:tc>
        <w:tc>
          <w:tcPr>
            <w:tcW w:w="1555" w:type="dxa"/>
          </w:tcPr>
          <w:p w14:paraId="02CFEBFE"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pPr>
            <w:r w:rsidRPr="00905293">
              <w:t>49.5%</w:t>
            </w:r>
          </w:p>
        </w:tc>
        <w:tc>
          <w:tcPr>
            <w:tcW w:w="1453" w:type="dxa"/>
          </w:tcPr>
          <w:p w14:paraId="7D9D27FE"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pPr>
            <w:r w:rsidRPr="00905293">
              <w:t>45.1%</w:t>
            </w:r>
          </w:p>
        </w:tc>
      </w:tr>
      <w:tr w:rsidR="00905293" w:rsidRPr="00905293" w14:paraId="3BB04205" w14:textId="77777777" w:rsidTr="00072BC0">
        <w:trPr>
          <w:trHeight w:val="113"/>
        </w:trPr>
        <w:tc>
          <w:tcPr>
            <w:cnfStyle w:val="001000000000" w:firstRow="0" w:lastRow="0" w:firstColumn="1" w:lastColumn="0" w:oddVBand="0" w:evenVBand="0" w:oddHBand="0" w:evenHBand="0" w:firstRowFirstColumn="0" w:firstRowLastColumn="0" w:lastRowFirstColumn="0" w:lastRowLastColumn="0"/>
            <w:tcW w:w="1508" w:type="dxa"/>
          </w:tcPr>
          <w:p w14:paraId="4D5DA10C" w14:textId="77777777" w:rsidR="00905293" w:rsidRPr="00905293" w:rsidRDefault="00905293" w:rsidP="00905293">
            <w:pPr>
              <w:keepNext/>
              <w:spacing w:before="100" w:beforeAutospacing="1" w:after="100" w:afterAutospacing="1" w:line="360" w:lineRule="auto"/>
              <w:jc w:val="center"/>
              <w:rPr>
                <w:b w:val="0"/>
                <w:bCs w:val="0"/>
              </w:rPr>
            </w:pPr>
            <w:r w:rsidRPr="00905293">
              <w:rPr>
                <w:b w:val="0"/>
                <w:bCs w:val="0"/>
              </w:rPr>
              <w:t>4.</w:t>
            </w:r>
          </w:p>
        </w:tc>
        <w:tc>
          <w:tcPr>
            <w:tcW w:w="1746" w:type="dxa"/>
          </w:tcPr>
          <w:p w14:paraId="1BF82FB7"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b/>
                <w:bCs/>
              </w:rPr>
            </w:pPr>
            <w:r w:rsidRPr="00905293">
              <w:rPr>
                <w:b/>
                <w:bCs/>
              </w:rPr>
              <w:t>Social Security Expenditure on Health as CHE</w:t>
            </w:r>
          </w:p>
        </w:tc>
        <w:tc>
          <w:tcPr>
            <w:tcW w:w="1555" w:type="dxa"/>
          </w:tcPr>
          <w:p w14:paraId="1B4B379B"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pPr>
            <w:r w:rsidRPr="00905293">
              <w:t>10.1%</w:t>
            </w:r>
          </w:p>
        </w:tc>
        <w:tc>
          <w:tcPr>
            <w:tcW w:w="1555" w:type="dxa"/>
          </w:tcPr>
          <w:p w14:paraId="2FA0EAA9"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pPr>
            <w:r w:rsidRPr="00905293">
              <w:t>10.3%</w:t>
            </w:r>
          </w:p>
        </w:tc>
        <w:tc>
          <w:tcPr>
            <w:tcW w:w="1396" w:type="dxa"/>
          </w:tcPr>
          <w:p w14:paraId="4B571575"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pPr>
            <w:r w:rsidRPr="00905293">
              <w:t>10.1%</w:t>
            </w:r>
          </w:p>
        </w:tc>
        <w:tc>
          <w:tcPr>
            <w:tcW w:w="1555" w:type="dxa"/>
          </w:tcPr>
          <w:p w14:paraId="66DF0EF4"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pPr>
            <w:r w:rsidRPr="00905293">
              <w:t>9.4%</w:t>
            </w:r>
          </w:p>
        </w:tc>
        <w:tc>
          <w:tcPr>
            <w:tcW w:w="1453" w:type="dxa"/>
          </w:tcPr>
          <w:p w14:paraId="164DA499"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pPr>
            <w:r w:rsidRPr="00905293">
              <w:t>9.7%</w:t>
            </w:r>
          </w:p>
        </w:tc>
      </w:tr>
      <w:tr w:rsidR="00585291" w:rsidRPr="00905293" w14:paraId="6F6B9BB1" w14:textId="77777777" w:rsidTr="00072BC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08" w:type="dxa"/>
          </w:tcPr>
          <w:p w14:paraId="73E19BBF" w14:textId="77777777" w:rsidR="00905293" w:rsidRPr="00905293" w:rsidRDefault="00905293" w:rsidP="00905293">
            <w:pPr>
              <w:keepNext/>
              <w:spacing w:before="100" w:beforeAutospacing="1" w:after="100" w:afterAutospacing="1" w:line="360" w:lineRule="auto"/>
              <w:jc w:val="center"/>
              <w:rPr>
                <w:b w:val="0"/>
                <w:bCs w:val="0"/>
              </w:rPr>
            </w:pPr>
            <w:r w:rsidRPr="00905293">
              <w:rPr>
                <w:b w:val="0"/>
                <w:bCs w:val="0"/>
              </w:rPr>
              <w:t>5.</w:t>
            </w:r>
          </w:p>
        </w:tc>
        <w:tc>
          <w:tcPr>
            <w:tcW w:w="1746" w:type="dxa"/>
          </w:tcPr>
          <w:p w14:paraId="3120D7BD"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b/>
                <w:bCs/>
              </w:rPr>
            </w:pPr>
            <w:r w:rsidRPr="00905293">
              <w:rPr>
                <w:b/>
                <w:bCs/>
              </w:rPr>
              <w:t>Private Health Insurance Expenditures as percent of CHE</w:t>
            </w:r>
          </w:p>
        </w:tc>
        <w:tc>
          <w:tcPr>
            <w:tcW w:w="1555" w:type="dxa"/>
          </w:tcPr>
          <w:p w14:paraId="5401301F"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pPr>
            <w:r w:rsidRPr="00905293">
              <w:t>6.6%</w:t>
            </w:r>
          </w:p>
        </w:tc>
        <w:tc>
          <w:tcPr>
            <w:tcW w:w="1555" w:type="dxa"/>
          </w:tcPr>
          <w:p w14:paraId="4C9FF385"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pPr>
            <w:r w:rsidRPr="00905293">
              <w:t>7.3%</w:t>
            </w:r>
          </w:p>
        </w:tc>
        <w:tc>
          <w:tcPr>
            <w:tcW w:w="1396" w:type="dxa"/>
          </w:tcPr>
          <w:p w14:paraId="2F4E227D"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pPr>
            <w:r w:rsidRPr="00905293">
              <w:t>7.7%</w:t>
            </w:r>
          </w:p>
        </w:tc>
        <w:tc>
          <w:tcPr>
            <w:tcW w:w="1555" w:type="dxa"/>
          </w:tcPr>
          <w:p w14:paraId="638DE1D6"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pPr>
            <w:r w:rsidRPr="00905293">
              <w:t>8.1%</w:t>
            </w:r>
          </w:p>
        </w:tc>
        <w:tc>
          <w:tcPr>
            <w:tcW w:w="1453" w:type="dxa"/>
          </w:tcPr>
          <w:p w14:paraId="551DB312"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pPr>
            <w:r w:rsidRPr="00905293">
              <w:t>8.5%</w:t>
            </w:r>
          </w:p>
        </w:tc>
      </w:tr>
      <w:tr w:rsidR="00905293" w:rsidRPr="00905293" w14:paraId="3436F96A" w14:textId="77777777" w:rsidTr="00072BC0">
        <w:trPr>
          <w:trHeight w:val="113"/>
        </w:trPr>
        <w:tc>
          <w:tcPr>
            <w:cnfStyle w:val="001000000000" w:firstRow="0" w:lastRow="0" w:firstColumn="1" w:lastColumn="0" w:oddVBand="0" w:evenVBand="0" w:oddHBand="0" w:evenHBand="0" w:firstRowFirstColumn="0" w:firstRowLastColumn="0" w:lastRowFirstColumn="0" w:lastRowLastColumn="0"/>
            <w:tcW w:w="1508" w:type="dxa"/>
          </w:tcPr>
          <w:p w14:paraId="0E40D38F" w14:textId="77777777" w:rsidR="00905293" w:rsidRPr="00905293" w:rsidRDefault="00905293" w:rsidP="00905293">
            <w:pPr>
              <w:keepNext/>
              <w:spacing w:before="100" w:beforeAutospacing="1" w:after="100" w:afterAutospacing="1" w:line="360" w:lineRule="auto"/>
              <w:jc w:val="center"/>
              <w:rPr>
                <w:b w:val="0"/>
                <w:bCs w:val="0"/>
              </w:rPr>
            </w:pPr>
            <w:r w:rsidRPr="00905293">
              <w:rPr>
                <w:b w:val="0"/>
                <w:bCs w:val="0"/>
              </w:rPr>
              <w:t>6.</w:t>
            </w:r>
          </w:p>
        </w:tc>
        <w:tc>
          <w:tcPr>
            <w:tcW w:w="1746" w:type="dxa"/>
          </w:tcPr>
          <w:p w14:paraId="6800CAF8"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b/>
                <w:bCs/>
              </w:rPr>
            </w:pPr>
            <w:r w:rsidRPr="00905293">
              <w:rPr>
                <w:b/>
                <w:bCs/>
              </w:rPr>
              <w:t>Household Health Expenditure (incl. insurance contributions) CHE</w:t>
            </w:r>
          </w:p>
        </w:tc>
        <w:tc>
          <w:tcPr>
            <w:tcW w:w="1555" w:type="dxa"/>
          </w:tcPr>
          <w:p w14:paraId="01778AE0"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pPr>
            <w:r w:rsidRPr="00905293">
              <w:t>61.4%</w:t>
            </w:r>
          </w:p>
        </w:tc>
        <w:tc>
          <w:tcPr>
            <w:tcW w:w="1555" w:type="dxa"/>
          </w:tcPr>
          <w:p w14:paraId="621773BD"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pPr>
            <w:r w:rsidRPr="00905293">
              <w:t>60.1%</w:t>
            </w:r>
          </w:p>
        </w:tc>
        <w:tc>
          <w:tcPr>
            <w:tcW w:w="1396" w:type="dxa"/>
          </w:tcPr>
          <w:p w14:paraId="38BFF4A0"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pPr>
            <w:r w:rsidRPr="00905293">
              <w:t>59.2%</w:t>
            </w:r>
          </w:p>
        </w:tc>
        <w:tc>
          <w:tcPr>
            <w:tcW w:w="1555" w:type="dxa"/>
          </w:tcPr>
          <w:p w14:paraId="371870B2"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pPr>
            <w:r w:rsidRPr="00905293">
              <w:t>57.1%</w:t>
            </w:r>
          </w:p>
        </w:tc>
        <w:tc>
          <w:tcPr>
            <w:tcW w:w="1453" w:type="dxa"/>
          </w:tcPr>
          <w:p w14:paraId="3FA83CF2"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pPr>
            <w:r w:rsidRPr="00905293">
              <w:t>50.6%</w:t>
            </w:r>
          </w:p>
        </w:tc>
      </w:tr>
    </w:tbl>
    <w:p w14:paraId="538129A6" w14:textId="77777777" w:rsidR="00D44BE2" w:rsidRDefault="00D44BE2" w:rsidP="00D44BE2">
      <w:pPr>
        <w:pStyle w:val="Caption"/>
        <w:jc w:val="center"/>
        <w:rPr>
          <w:rFonts w:ascii="Times New Roman" w:hAnsi="Times New Roman" w:cs="Times New Roman"/>
          <w:i w:val="0"/>
          <w:iCs w:val="0"/>
          <w:color w:val="auto"/>
          <w:sz w:val="22"/>
          <w:szCs w:val="22"/>
        </w:rPr>
      </w:pPr>
    </w:p>
    <w:p w14:paraId="4BDD7229" w14:textId="303208A6" w:rsidR="004571E0" w:rsidRPr="000D14EC" w:rsidRDefault="000D14EC" w:rsidP="00D44BE2">
      <w:pPr>
        <w:pStyle w:val="Caption"/>
        <w:jc w:val="center"/>
        <w:rPr>
          <w:rFonts w:ascii="Times New Roman" w:eastAsia="Times New Roman" w:hAnsi="Times New Roman" w:cs="Times New Roman"/>
          <w:b/>
          <w:bCs/>
          <w:i w:val="0"/>
          <w:iCs w:val="0"/>
          <w:color w:val="auto"/>
          <w:kern w:val="0"/>
          <w:sz w:val="22"/>
          <w:szCs w:val="22"/>
          <w:lang w:eastAsia="en-IN"/>
          <w14:ligatures w14:val="none"/>
        </w:rPr>
      </w:pPr>
      <w:r w:rsidRPr="000D14EC">
        <w:rPr>
          <w:rFonts w:ascii="Times New Roman" w:hAnsi="Times New Roman" w:cs="Times New Roman"/>
          <w:b/>
          <w:bCs/>
          <w:i w:val="0"/>
          <w:iCs w:val="0"/>
          <w:color w:val="auto"/>
          <w:sz w:val="22"/>
          <w:szCs w:val="22"/>
        </w:rPr>
        <w:t>Table 1</w:t>
      </w:r>
      <w:r w:rsidRPr="00AE7FD0">
        <w:rPr>
          <w:rFonts w:ascii="Times New Roman" w:hAnsi="Times New Roman" w:cs="Times New Roman"/>
          <w:i w:val="0"/>
          <w:iCs w:val="0"/>
          <w:color w:val="auto"/>
          <w:sz w:val="22"/>
          <w:szCs w:val="22"/>
        </w:rPr>
        <w:t xml:space="preserve"> </w:t>
      </w:r>
      <w:r w:rsidRPr="00D84629">
        <w:rPr>
          <w:rFonts w:ascii="Times New Roman" w:hAnsi="Times New Roman" w:cs="Times New Roman"/>
          <w:b/>
          <w:bCs/>
          <w:i w:val="0"/>
          <w:iCs w:val="0"/>
          <w:color w:val="auto"/>
          <w:sz w:val="22"/>
          <w:szCs w:val="22"/>
        </w:rPr>
        <w:t>Key</w:t>
      </w:r>
      <w:r w:rsidR="004571E0" w:rsidRPr="00D84629">
        <w:rPr>
          <w:rFonts w:ascii="Times New Roman" w:hAnsi="Times New Roman" w:cs="Times New Roman"/>
          <w:b/>
          <w:bCs/>
          <w:i w:val="0"/>
          <w:iCs w:val="0"/>
          <w:color w:val="auto"/>
          <w:sz w:val="22"/>
          <w:szCs w:val="22"/>
        </w:rPr>
        <w:t xml:space="preserve"> H</w:t>
      </w:r>
      <w:r w:rsidR="004571E0" w:rsidRPr="000D14EC">
        <w:rPr>
          <w:rFonts w:ascii="Times New Roman" w:hAnsi="Times New Roman" w:cs="Times New Roman"/>
          <w:b/>
          <w:bCs/>
          <w:i w:val="0"/>
          <w:iCs w:val="0"/>
          <w:color w:val="auto"/>
          <w:sz w:val="22"/>
          <w:szCs w:val="22"/>
        </w:rPr>
        <w:t>ealth Financing Indicators for India as percentage of Current Health Expenditure for NHA</w:t>
      </w:r>
    </w:p>
    <w:p w14:paraId="792E05F7" w14:textId="77777777" w:rsidR="005C6314" w:rsidRDefault="005C6314" w:rsidP="004571E0">
      <w:pPr>
        <w:spacing w:before="100" w:beforeAutospacing="1" w:after="100" w:afterAutospacing="1" w:line="480" w:lineRule="auto"/>
        <w:jc w:val="both"/>
        <w:rPr>
          <w:sz w:val="24"/>
          <w:szCs w:val="24"/>
          <w:lang w:eastAsia="en-IN"/>
        </w:rPr>
      </w:pPr>
    </w:p>
    <w:p w14:paraId="52B522E1" w14:textId="3633B831" w:rsidR="00CD3D26" w:rsidRDefault="00CD3D26" w:rsidP="004571E0">
      <w:pPr>
        <w:spacing w:before="100" w:beforeAutospacing="1" w:after="100" w:afterAutospacing="1" w:line="480" w:lineRule="auto"/>
        <w:jc w:val="both"/>
        <w:rPr>
          <w:sz w:val="24"/>
          <w:szCs w:val="24"/>
          <w:lang w:eastAsia="en-IN"/>
        </w:rPr>
      </w:pPr>
      <w:r w:rsidRPr="00CD3D26">
        <w:rPr>
          <w:sz w:val="24"/>
          <w:szCs w:val="24"/>
          <w:lang w:eastAsia="en-IN"/>
        </w:rPr>
        <w:t>To more accurately assess the economic implications of infectious diseases, Ram and Thakur conducted a detailed analysis focusing on out-of-pocket (OOP) expenditures related to these illnesses. Their study utilized cross-sectional data from the National Sample Survey Organization's (NSSO) 75th Round (2017-2018), examining 10,960 patients affected by infectious diseases. They found that the average per capita OOP expenditure for inpatient care was INR 7.28, while the average monthly per capita OOP expenditure was INR</w:t>
      </w:r>
      <w:r>
        <w:rPr>
          <w:sz w:val="24"/>
          <w:szCs w:val="24"/>
          <w:lang w:eastAsia="en-IN"/>
        </w:rPr>
        <w:t xml:space="preserve"> </w:t>
      </w:r>
      <w:r w:rsidRPr="00CD3D26">
        <w:rPr>
          <w:sz w:val="24"/>
          <w:szCs w:val="24"/>
          <w:lang w:eastAsia="en-IN"/>
        </w:rPr>
        <w:t>881.56. For outpatient care, the average per capita OOP expenditure across India was INR 29.38.</w:t>
      </w:r>
    </w:p>
    <w:p w14:paraId="5CE31BF4" w14:textId="4294E2AF" w:rsidR="004571E0" w:rsidRPr="004F54FD" w:rsidRDefault="00A92619" w:rsidP="004571E0">
      <w:pPr>
        <w:spacing w:before="100" w:beforeAutospacing="1" w:after="100" w:afterAutospacing="1" w:line="480" w:lineRule="auto"/>
        <w:jc w:val="both"/>
        <w:rPr>
          <w:sz w:val="24"/>
          <w:szCs w:val="24"/>
          <w:lang w:eastAsia="en-IN"/>
        </w:rPr>
      </w:pPr>
      <w:r w:rsidRPr="00A92619">
        <w:rPr>
          <w:sz w:val="24"/>
          <w:szCs w:val="24"/>
          <w:lang w:eastAsia="en-IN"/>
        </w:rPr>
        <w:t xml:space="preserve">The study also highlighted significant variations in OOP spending based on demographic and socio-economic </w:t>
      </w:r>
      <w:r w:rsidRPr="00A92619">
        <w:rPr>
          <w:sz w:val="24"/>
          <w:szCs w:val="24"/>
          <w:lang w:eastAsia="en-IN"/>
        </w:rPr>
        <w:lastRenderedPageBreak/>
        <w:t>factors. OOP costs were higher among rural residents, Hindus (0.35%), and individuals aged 60 and above (0.47%). Among various social groups, individuals from other social categories spent 0.36% of their total consumption expenditure (TCE) on infectious diseases. Educational background played a crucial role as well, with illiterate individuals allocating 0.49% of their TCE to healthcare for contagious diseases. Economically, the poorest wealth quintile had a higher OOP share at 0.41%. Households with more than the average number of members also spent a greater proportion of their TCE on healthcare, accounting for 0.37%. Furthermore, households residing in the eastern region allocated a higher percentage (0.53%) of their TCE to healthcare compared to those in other parts of the country</w:t>
      </w:r>
      <w:r w:rsidR="004571E0" w:rsidRPr="0027640B">
        <w:rPr>
          <w:sz w:val="24"/>
          <w:szCs w:val="24"/>
          <w:lang w:eastAsia="en-IN"/>
        </w:rPr>
        <w:t>.</w:t>
      </w:r>
      <w:r w:rsidR="00590AF5">
        <w:rPr>
          <w:sz w:val="24"/>
          <w:szCs w:val="24"/>
          <w:lang w:eastAsia="en-IN"/>
        </w:rPr>
        <w:fldChar w:fldCharType="begin"/>
      </w:r>
      <w:r w:rsidR="004A0500">
        <w:rPr>
          <w:sz w:val="24"/>
          <w:szCs w:val="24"/>
          <w:lang w:eastAsia="en-IN"/>
        </w:rPr>
        <w:instrText xml:space="preserve"> ADDIN ZOTERO_ITEM CSL_CITATION {"citationID":"SnxPYqPi","properties":{"formattedCitation":"(18)","plainCitation":"(18)","noteIndex":0},"citationItems":[{"id":178,"uris":["http://zotero.org/users/local/XRtc60WU/items/9FBG2ZMI"],"itemData":{"id":178,"type":"article-journal","abstract":"Unlike other low- and middle-income countries, infectious diseases are still predominant, and non-communicable diseases (NCDs) are emerging without replacing the burden of infectious diseases in India, where it is imposing a double burden of diseases on households in the country. This study aimed to analyse the socio-economic and demographic differentials in the magnitude of economic burden and coping strategies associated with health expenditure on infectious diseases in India. National Sample Survey Organization (NSSO) data on “Key Indicators of Social Consumption in India: Health, (2017–18)” have been employed in this study. The findings of the study revealed that more than 33% of the individuals are still suffering from infectious diseases out of the total ailing population in India. Based on the various socio-economic and demographic covariates, infectious diseases are highly prevalent among individuals with marginalized characteristics, such as individuals residing in rural areas, females, 0–14 age groups, Muslims, illiterates, scheduled tribes (STs), and scheduled castes (SCs), large family households, and economically poor people in the country. The per capita out-of-pocket (OOP) expenditure on infectious diseases is INR 7.28 and INR 29.38 in inpatient and outpatient care, respectively. Whereas, monthly per patient OOP expenditure on infectious diseases by infection-affected populations is INR 881.56 and INR 1,156.34 in inpatient and outpatient care in India. The study found that people residing in rural areas, SCs followed by other backward classes (OBCs), illiterates, poor, and very poor are more dependent on borrowings, sale of assets, and other distressed sources of financing. However, under National Health Policy 2017, many initiatives, such as “Ayushman Bharat,” PM-JAY, and National Digital Health Mission (NDHM) in 2021, have been launched by the government of India in the recent years. These initiatives are holistically launched for ensuring better health facilities, but it is early to make any prediction regarding its outcomes; hopefully, the time will define it over the passing of a few more years. Finally, the study proposed the need for proper implementations of policy initiatives, awareness against unhygienic conditions and contamination of illnesses, immunisations/vaccination campaigns, subsidized medical facilities, and the country's expansion of quality primary health-care facilities.","container-title":"Frontiers in Public Health","DOI":"10.3389/fpubh.2022.901276","ISSN":"2296-2565","journalAbbreviation":"Front Public Health","note":"PMID: 35844858\nPMCID: PMC9279679","page":"901276","source":"PubMed Central","title":"Epidemiology and Economic Burden of Continuing Challenge of Infectious Diseases in India: Analysis of Socio-Demographic Differentials","title-short":"Epidemiology and Economic Burden of Continuing Challenge of Infectious Diseases in India","volume":"10","author":[{"family":"Ram","given":"Bhed"},{"family":"Thakur","given":"Ramna"}],"issued":{"date-parts":[["2022",6,30]]}}}],"schema":"https://github.com/citation-style-language/schema/raw/master/csl-citation.json"} </w:instrText>
      </w:r>
      <w:r w:rsidR="00590AF5">
        <w:rPr>
          <w:sz w:val="24"/>
          <w:szCs w:val="24"/>
          <w:lang w:eastAsia="en-IN"/>
        </w:rPr>
        <w:fldChar w:fldCharType="separate"/>
      </w:r>
      <w:r w:rsidR="004A0500" w:rsidRPr="004A0500">
        <w:rPr>
          <w:sz w:val="24"/>
        </w:rPr>
        <w:t>(18)</w:t>
      </w:r>
      <w:r w:rsidR="00590AF5">
        <w:rPr>
          <w:sz w:val="24"/>
          <w:szCs w:val="24"/>
          <w:lang w:eastAsia="en-IN"/>
        </w:rPr>
        <w:fldChar w:fldCharType="end"/>
      </w:r>
      <w:r w:rsidR="004571E0" w:rsidRPr="004F54FD">
        <w:rPr>
          <w:sz w:val="24"/>
          <w:szCs w:val="24"/>
          <w:lang w:eastAsia="en-IN"/>
        </w:rPr>
        <w:t xml:space="preserve"> </w:t>
      </w:r>
    </w:p>
    <w:p w14:paraId="0FB44313" w14:textId="77777777" w:rsidR="004571E0" w:rsidRPr="00F170E7" w:rsidRDefault="004571E0" w:rsidP="004571E0">
      <w:pPr>
        <w:spacing w:before="100" w:beforeAutospacing="1" w:after="100" w:afterAutospacing="1" w:line="360" w:lineRule="auto"/>
        <w:jc w:val="both"/>
        <w:rPr>
          <w:b/>
          <w:bCs/>
          <w:sz w:val="24"/>
          <w:szCs w:val="24"/>
          <w:u w:val="single"/>
          <w:lang w:eastAsia="en-IN"/>
        </w:rPr>
      </w:pPr>
    </w:p>
    <w:p w14:paraId="117DE4CE" w14:textId="5A6BDBFB" w:rsidR="004571E0" w:rsidRPr="00FD5C66" w:rsidRDefault="00FD5C66" w:rsidP="004571E0">
      <w:pPr>
        <w:spacing w:before="100" w:beforeAutospacing="1" w:after="100" w:afterAutospacing="1" w:line="360" w:lineRule="auto"/>
        <w:jc w:val="both"/>
        <w:rPr>
          <w:b/>
          <w:bCs/>
          <w:sz w:val="24"/>
          <w:szCs w:val="24"/>
          <w:lang w:eastAsia="en-IN"/>
        </w:rPr>
      </w:pPr>
      <w:r w:rsidRPr="00FD5C66">
        <w:rPr>
          <w:b/>
          <w:bCs/>
          <w:sz w:val="24"/>
          <w:szCs w:val="24"/>
          <w:lang w:eastAsia="en-IN"/>
        </w:rPr>
        <w:t>TRIPLE TRANSITION: ECONOMIC, DEMOGRAPHIC, AND EPIDEMIOLOGICAL</w:t>
      </w:r>
    </w:p>
    <w:p w14:paraId="25BF6F74" w14:textId="66DE1E49" w:rsidR="004571E0" w:rsidRPr="008F5756" w:rsidRDefault="004571E0" w:rsidP="004571E0">
      <w:pPr>
        <w:pStyle w:val="NormalWeb"/>
        <w:spacing w:line="480" w:lineRule="auto"/>
        <w:jc w:val="both"/>
        <w:rPr>
          <w:rFonts w:eastAsia="Times New Roman"/>
          <w:i/>
          <w:iCs/>
          <w:color w:val="4472C4" w:themeColor="accent1"/>
          <w:kern w:val="0"/>
          <w:lang w:eastAsia="en-IN"/>
          <w14:ligatures w14:val="none"/>
        </w:rPr>
      </w:pPr>
      <w:r w:rsidRPr="00F170E7">
        <w:rPr>
          <w:rFonts w:eastAsia="Times New Roman"/>
          <w:kern w:val="0"/>
          <w:lang w:eastAsia="en-IN"/>
          <w14:ligatures w14:val="none"/>
        </w:rPr>
        <w:t>India is undergoing a unique triple transition—economic, demographic, and epidemiological—which presents both challenges and opportunities for the transformation of its health sector</w:t>
      </w:r>
      <w:r w:rsidRPr="00F170E7">
        <w:rPr>
          <w:rFonts w:eastAsia="Times New Roman"/>
          <w:i/>
          <w:iCs/>
          <w:color w:val="4472C4" w:themeColor="accent1"/>
          <w:kern w:val="0"/>
          <w:lang w:eastAsia="en-IN"/>
          <w14:ligatures w14:val="none"/>
        </w:rPr>
        <w:t>.</w:t>
      </w:r>
      <w:r w:rsidRPr="00140E52">
        <w:rPr>
          <w:rFonts w:eastAsia="Times New Roman"/>
          <w:i/>
          <w:iCs/>
          <w:color w:val="4472C4" w:themeColor="accent1"/>
          <w:kern w:val="0"/>
          <w:lang w:eastAsia="en-IN"/>
          <w14:ligatures w14:val="none"/>
        </w:rPr>
        <w:t xml:space="preserve"> </w:t>
      </w:r>
      <w:r w:rsidR="00834233">
        <w:rPr>
          <w:rFonts w:eastAsia="Times New Roman"/>
          <w:i/>
          <w:iCs/>
          <w:color w:val="4472C4" w:themeColor="accent1"/>
          <w:kern w:val="0"/>
          <w:lang w:eastAsia="en-IN"/>
          <w14:ligatures w14:val="none"/>
        </w:rPr>
        <w:fldChar w:fldCharType="begin"/>
      </w:r>
      <w:r w:rsidR="004A0500">
        <w:rPr>
          <w:rFonts w:eastAsia="Times New Roman"/>
          <w:i/>
          <w:iCs/>
          <w:color w:val="4472C4" w:themeColor="accent1"/>
          <w:kern w:val="0"/>
          <w:lang w:eastAsia="en-IN"/>
          <w14:ligatures w14:val="none"/>
        </w:rPr>
        <w:instrText xml:space="preserve"> ADDIN ZOTERO_ITEM CSL_CITATION {"citationID":"IUmTgCcJ","properties":{"formattedCitation":"(19)","plainCitation":"(19)","noteIndex":0},"citationItems":[{"id":445,"uris":["http://zotero.org/users/local/XRtc60WU/items/R4G2NKQ7"],"itemData":{"id":445,"type":"document","title":"9789290229049-eng.pdf","URL":"https://iris.who.int/bitstream/handle/10665/352685/9789290229049-eng.pdf?sequence=1&amp;isAllowed=y","accessed":{"date-parts":[["2025",5,6]]}}}],"schema":"https://github.com/citation-style-language/schema/raw/master/csl-citation.json"} </w:instrText>
      </w:r>
      <w:r w:rsidR="00834233">
        <w:rPr>
          <w:rFonts w:eastAsia="Times New Roman"/>
          <w:i/>
          <w:iCs/>
          <w:color w:val="4472C4" w:themeColor="accent1"/>
          <w:kern w:val="0"/>
          <w:lang w:eastAsia="en-IN"/>
          <w14:ligatures w14:val="none"/>
        </w:rPr>
        <w:fldChar w:fldCharType="separate"/>
      </w:r>
      <w:r w:rsidR="004A0500" w:rsidRPr="004A0500">
        <w:t>(19)</w:t>
      </w:r>
      <w:r w:rsidR="00834233">
        <w:rPr>
          <w:rFonts w:eastAsia="Times New Roman"/>
          <w:i/>
          <w:iCs/>
          <w:color w:val="4472C4" w:themeColor="accent1"/>
          <w:kern w:val="0"/>
          <w:lang w:eastAsia="en-IN"/>
          <w14:ligatures w14:val="none"/>
        </w:rPr>
        <w:fldChar w:fldCharType="end"/>
      </w:r>
      <w:r w:rsidR="00C00E02">
        <w:rPr>
          <w:rFonts w:eastAsia="Times New Roman"/>
          <w:i/>
          <w:iCs/>
          <w:color w:val="4472C4" w:themeColor="accent1"/>
          <w:kern w:val="0"/>
          <w:lang w:eastAsia="en-IN"/>
          <w14:ligatures w14:val="none"/>
        </w:rPr>
        <w:t xml:space="preserve"> </w:t>
      </w:r>
      <w:r w:rsidRPr="00F170E7">
        <w:rPr>
          <w:rFonts w:eastAsia="Times New Roman"/>
          <w:kern w:val="0"/>
          <w:lang w:eastAsia="en-IN"/>
          <w14:ligatures w14:val="none"/>
        </w:rPr>
        <w:t>The epidemiological transition</w:t>
      </w:r>
      <w:r>
        <w:rPr>
          <w:rFonts w:eastAsia="Times New Roman"/>
          <w:kern w:val="0"/>
          <w:lang w:eastAsia="en-IN"/>
          <w14:ligatures w14:val="none"/>
        </w:rPr>
        <w:t xml:space="preserve"> interlinked with demographic transition provide the central narratives for health. The transition is</w:t>
      </w:r>
      <w:r w:rsidRPr="00F170E7">
        <w:rPr>
          <w:rFonts w:eastAsia="Times New Roman"/>
          <w:kern w:val="0"/>
          <w:lang w:eastAsia="en-IN"/>
          <w14:ligatures w14:val="none"/>
        </w:rPr>
        <w:t xml:space="preserve"> marked by a decline in death rates from acute childhood infectious diseases,</w:t>
      </w:r>
      <w:r>
        <w:rPr>
          <w:rFonts w:eastAsia="Times New Roman"/>
          <w:kern w:val="0"/>
          <w:lang w:eastAsia="en-IN"/>
          <w14:ligatures w14:val="none"/>
        </w:rPr>
        <w:t xml:space="preserve"> which</w:t>
      </w:r>
      <w:r w:rsidRPr="00F170E7">
        <w:rPr>
          <w:rFonts w:eastAsia="Times New Roman"/>
          <w:kern w:val="0"/>
          <w:lang w:eastAsia="en-IN"/>
          <w14:ligatures w14:val="none"/>
        </w:rPr>
        <w:t xml:space="preserve"> has led to more children surviving to adulthood</w:t>
      </w:r>
      <w:r>
        <w:rPr>
          <w:rFonts w:eastAsia="Times New Roman"/>
          <w:kern w:val="0"/>
          <w:lang w:eastAsia="en-IN"/>
          <w14:ligatures w14:val="none"/>
        </w:rPr>
        <w:t xml:space="preserve"> resulting into increase life expectancy. </w:t>
      </w:r>
      <w:r w:rsidRPr="0068163E">
        <w:rPr>
          <w:rFonts w:eastAsia="Times New Roman"/>
          <w:kern w:val="0"/>
          <w:lang w:eastAsia="en-IN"/>
          <w14:ligatures w14:val="none"/>
        </w:rPr>
        <w:t>There has been a general rise in life expectancy in the world, and hence populations are aging. Life expectancy at birth has considerably improved in India. During the year 1990, average life expectancy at birth for males in India was 58.3 years and that of females was 59.7 years. In the year 2016, it rose to 66.9 years for males and 70.3 years for females, by showing impressive gains. However, even after this improvement at the national level, life expectancy still remained very unequal between states in the country. In 2016, life expectancy among females varied from 66.8 years in Uttar Pradesh to 78.7 in Kerala, while for males, it ranged from 63.6 years in Assam to 73.8 years in Kerala.</w:t>
      </w:r>
      <w:r w:rsidR="007B33DC">
        <w:rPr>
          <w:rFonts w:eastAsia="Times New Roman"/>
          <w:kern w:val="0"/>
          <w:lang w:eastAsia="en-IN"/>
          <w14:ligatures w14:val="none"/>
        </w:rPr>
        <w:fldChar w:fldCharType="begin"/>
      </w:r>
      <w:r w:rsidR="001B7573">
        <w:rPr>
          <w:rFonts w:eastAsia="Times New Roman"/>
          <w:kern w:val="0"/>
          <w:lang w:eastAsia="en-IN"/>
          <w14:ligatures w14:val="none"/>
        </w:rPr>
        <w:instrText xml:space="preserve"> ADDIN ZOTERO_ITEM CSL_CITATION {"citationID":"M6pNK0gp","properties":{"formattedCitation":"(5)","plainCitation":"(5)","noteIndex":0},"citationItems":[{"id":201,"uris":["http://zotero.org/users/local/XRtc60WU/items/R9JNXCS4"],"itemData":{"id":201,"type":"document","title":"2017-India-State-Level-Disease-Burden-Initiative-Full-Report.pdf","URL":"https://phfi.org/wp-content/uploads/2018/05/2017-India-State-Level-Disease-Burden-Initiative-Full-Report.pdf","accessed":{"date-parts":[["2024",9,6]]}}}],"schema":"https://github.com/citation-style-language/schema/raw/master/csl-citation.json"} </w:instrText>
      </w:r>
      <w:r w:rsidR="007B33DC">
        <w:rPr>
          <w:rFonts w:eastAsia="Times New Roman"/>
          <w:kern w:val="0"/>
          <w:lang w:eastAsia="en-IN"/>
          <w14:ligatures w14:val="none"/>
        </w:rPr>
        <w:fldChar w:fldCharType="separate"/>
      </w:r>
      <w:r w:rsidR="001B7573" w:rsidRPr="001B7573">
        <w:t>(5)</w:t>
      </w:r>
      <w:r w:rsidR="007B33DC">
        <w:rPr>
          <w:rFonts w:eastAsia="Times New Roman"/>
          <w:kern w:val="0"/>
          <w:lang w:eastAsia="en-IN"/>
          <w14:ligatures w14:val="none"/>
        </w:rPr>
        <w:fldChar w:fldCharType="end"/>
      </w:r>
      <w:r>
        <w:rPr>
          <w:rFonts w:eastAsia="Times New Roman"/>
          <w:kern w:val="0"/>
          <w:lang w:eastAsia="en-IN"/>
          <w14:ligatures w14:val="none"/>
        </w:rPr>
        <w:t xml:space="preserve"> This increase in life expectancy</w:t>
      </w:r>
      <w:r w:rsidRPr="00F170E7">
        <w:rPr>
          <w:rFonts w:eastAsia="Times New Roman"/>
          <w:kern w:val="0"/>
          <w:lang w:eastAsia="en-IN"/>
          <w14:ligatures w14:val="none"/>
        </w:rPr>
        <w:t xml:space="preserve"> affects family planning decisions and often results in smaller family sizes. However, fertility rates typically decline slower than mortality rates. Over time, childhood infectious diseases are replaced by chronic, non-infectious conditions associated with aging population</w:t>
      </w:r>
      <w:r>
        <w:rPr>
          <w:rFonts w:eastAsia="Times New Roman"/>
          <w:kern w:val="0"/>
          <w:lang w:eastAsia="en-IN"/>
          <w14:ligatures w14:val="none"/>
        </w:rPr>
        <w:t>.</w:t>
      </w:r>
      <w:r w:rsidR="007B33DC">
        <w:rPr>
          <w:rFonts w:eastAsia="Times New Roman"/>
          <w:kern w:val="0"/>
          <w:lang w:eastAsia="en-IN"/>
          <w14:ligatures w14:val="none"/>
        </w:rPr>
        <w:fldChar w:fldCharType="begin"/>
      </w:r>
      <w:r w:rsidR="004D00BD">
        <w:rPr>
          <w:rFonts w:eastAsia="Times New Roman"/>
          <w:kern w:val="0"/>
          <w:lang w:eastAsia="en-IN"/>
          <w14:ligatures w14:val="none"/>
        </w:rPr>
        <w:instrText xml:space="preserve"> ADDIN ZOTERO_ITEM CSL_CITATION {"citationID":"yJ06LS3F","properties":{"formattedCitation":"(1)","plainCitation":"(1)","noteIndex":0},"citationItems":[{"id":266,"uris":["http://zotero.org/users/local/XRtc60WU/items/5JGZK6BQ"],"itemData":{"id":266,"type":"article-journal","abstract":"Running over timescales that span decades or centuries, the epidemiological transition provides the central narrative of global health. In this transition, a reduction in mortality is followed by a reduction in fertility, creating larger, older populations in which the main causes of illness and death are no longer acute infections of children but chronic diseases of adults. Since the year 2000, the Millennium Development Goals (MDGs) have provided a framework for accelerating the decline of infectious diseases, backed by a massive injection of foreign investment to low-income countries. Despite the successes of the MDGs era, the inhabitants of low-income countries still suffer an enormous burden of disease owing to diarrhoea, pneumonia, HIV/AIDS, tuberculosis, malaria and other pathogens. Adding to the predictable burden of endemic disease, the threat of pandemics is ever-present and global. With a view to the future, this review spotlights five aspects of the fight against infection beyond 2015, when the MDGs will be replaced by a new set of goals for poverty reduction and sustainable development. These aspects are: exploiting the biological links between infectious and non-infectious diseases; controlling infections among the new urban majority; enhancing the response to international health threats; expanding childhood immunization programmes to prevent acute and chronic diseases in adults; and working towards universal health coverage. By scanning the wider horizon now, infectious disease specialists have the chance to shape the post-2015 era of health and development.","container-title":"Philosophical Transactions of the Royal Society B: Biological Sciences","DOI":"10.1098/rstb.2013.0426","issue":"1645","note":"publisher: Royal Society","page":"20130426","source":"royalsocietypublishing.org (Atypon)","title":"After 2015: infectious diseases in a new era of health and development","title-short":"After 2015","volume":"369","author":[{"family":"Dye","given":"Christopher"}],"issued":{"date-parts":[["2014",6,19]]}}}],"schema":"https://github.com/citation-style-language/schema/raw/master/csl-citation.json"} </w:instrText>
      </w:r>
      <w:r w:rsidR="007B33DC">
        <w:rPr>
          <w:rFonts w:eastAsia="Times New Roman"/>
          <w:kern w:val="0"/>
          <w:lang w:eastAsia="en-IN"/>
          <w14:ligatures w14:val="none"/>
        </w:rPr>
        <w:fldChar w:fldCharType="separate"/>
      </w:r>
      <w:r w:rsidR="004D00BD" w:rsidRPr="004D00BD">
        <w:t>(1)</w:t>
      </w:r>
      <w:r w:rsidR="007B33DC">
        <w:rPr>
          <w:rFonts w:eastAsia="Times New Roman"/>
          <w:kern w:val="0"/>
          <w:lang w:eastAsia="en-IN"/>
          <w14:ligatures w14:val="none"/>
        </w:rPr>
        <w:fldChar w:fldCharType="end"/>
      </w:r>
      <w:r w:rsidRPr="008F5756">
        <w:t xml:space="preserve"> </w:t>
      </w:r>
    </w:p>
    <w:p w14:paraId="3C238CF5" w14:textId="2489CD27" w:rsidR="004571E0" w:rsidRDefault="00786AAE" w:rsidP="004571E0">
      <w:pPr>
        <w:pStyle w:val="NormalWeb"/>
        <w:keepNext/>
        <w:spacing w:line="360" w:lineRule="auto"/>
        <w:jc w:val="center"/>
      </w:pPr>
      <w:r>
        <w:rPr>
          <w:noProof/>
        </w:rPr>
        <w:lastRenderedPageBreak/>
        <w:drawing>
          <wp:inline distT="0" distB="0" distL="0" distR="0" wp14:anchorId="55902383" wp14:editId="5A9CA996">
            <wp:extent cx="5774055" cy="3564467"/>
            <wp:effectExtent l="0" t="0" r="17145" b="17145"/>
            <wp:docPr id="8703429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AE36859" w14:textId="52B4E510" w:rsidR="004571E0" w:rsidRPr="00B00F92" w:rsidRDefault="004571E0" w:rsidP="004571E0">
      <w:pPr>
        <w:pStyle w:val="Caption"/>
        <w:jc w:val="center"/>
        <w:rPr>
          <w:rFonts w:ascii="Times New Roman" w:eastAsia="Times New Roman" w:hAnsi="Times New Roman" w:cs="Times New Roman"/>
          <w:b/>
          <w:bCs/>
          <w:i w:val="0"/>
          <w:iCs w:val="0"/>
          <w:color w:val="auto"/>
          <w:kern w:val="0"/>
          <w:sz w:val="22"/>
          <w:szCs w:val="22"/>
          <w:lang w:eastAsia="en-IN"/>
          <w14:ligatures w14:val="none"/>
        </w:rPr>
      </w:pPr>
      <w:r w:rsidRPr="00B00F92">
        <w:rPr>
          <w:rFonts w:ascii="Times New Roman" w:hAnsi="Times New Roman" w:cs="Times New Roman"/>
          <w:b/>
          <w:bCs/>
          <w:i w:val="0"/>
          <w:iCs w:val="0"/>
          <w:color w:val="auto"/>
          <w:sz w:val="22"/>
          <w:szCs w:val="22"/>
        </w:rPr>
        <w:t xml:space="preserve">Figure </w:t>
      </w:r>
      <w:r w:rsidR="00B00F92">
        <w:rPr>
          <w:rFonts w:ascii="Times New Roman" w:hAnsi="Times New Roman" w:cs="Times New Roman"/>
          <w:b/>
          <w:bCs/>
          <w:i w:val="0"/>
          <w:iCs w:val="0"/>
          <w:color w:val="auto"/>
          <w:sz w:val="22"/>
          <w:szCs w:val="22"/>
        </w:rPr>
        <w:t>4</w:t>
      </w:r>
      <w:r w:rsidRPr="00B00F92">
        <w:rPr>
          <w:rFonts w:ascii="Times New Roman" w:hAnsi="Times New Roman" w:cs="Times New Roman"/>
          <w:b/>
          <w:bCs/>
          <w:i w:val="0"/>
          <w:iCs w:val="0"/>
          <w:color w:val="auto"/>
          <w:sz w:val="22"/>
          <w:szCs w:val="22"/>
        </w:rPr>
        <w:t xml:space="preserve"> Life expectancy by sex in India 1990-2016</w:t>
      </w:r>
    </w:p>
    <w:p w14:paraId="4126F3E7" w14:textId="77777777" w:rsidR="004571E0" w:rsidRDefault="004571E0" w:rsidP="004571E0">
      <w:pPr>
        <w:pStyle w:val="NormalWeb"/>
        <w:spacing w:line="480" w:lineRule="auto"/>
        <w:jc w:val="both"/>
      </w:pPr>
    </w:p>
    <w:p w14:paraId="0E67A908" w14:textId="6120F560" w:rsidR="004571E0" w:rsidRPr="00C633B3" w:rsidRDefault="009940C1" w:rsidP="004571E0">
      <w:pPr>
        <w:pStyle w:val="NormalWeb"/>
        <w:spacing w:line="480" w:lineRule="auto"/>
        <w:jc w:val="both"/>
      </w:pPr>
      <w:r>
        <w:t xml:space="preserve">Alongside </w:t>
      </w:r>
      <w:r w:rsidR="00FE72F4">
        <w:t>these trends in life expectancy</w:t>
      </w:r>
      <w:r w:rsidR="00123C63">
        <w:t>,</w:t>
      </w:r>
      <w:r w:rsidR="004571E0">
        <w:t xml:space="preserve"> India</w:t>
      </w:r>
      <w:r w:rsidR="004571E0" w:rsidRPr="00367891">
        <w:t xml:space="preserve"> surpassed a population of 1.42 billion, becoming the most populous country in the world, with 17.78% of the global population spread across 28 states and 8 Union Territories</w:t>
      </w:r>
      <w:r w:rsidR="004571E0">
        <w:t xml:space="preserve"> which</w:t>
      </w:r>
      <w:r w:rsidR="004571E0" w:rsidRPr="007D555B">
        <w:t xml:space="preserve"> vary widely in terms of their ecology, economy, and demography, all of which impact health outcomes</w:t>
      </w:r>
      <w:r w:rsidR="004571E0" w:rsidRPr="00367891">
        <w:t>.</w:t>
      </w:r>
      <w:r w:rsidR="007224B6">
        <w:fldChar w:fldCharType="begin"/>
      </w:r>
      <w:r w:rsidR="004A0500">
        <w:instrText xml:space="preserve"> ADDIN ZOTERO_ITEM CSL_CITATION {"citationID":"Ul1tbHsQ","properties":{"formattedCitation":"(20)","plainCitation":"(20)","noteIndex":0},"citationItems":[{"id":290,"uris":["http://zotero.org/users/local/XRtc60WU/items/XGMF5WFW"],"itemData":{"id":290,"type":"webpage","abstract":"Population of India: current, historical, and projected population, growth rate, immigration, median age, total fertility rate (TFR), population density, urbanization, urban population, country's share of world population, and global rank. Data tables, maps, charts, and live population clock","language":"en","title":"India Population (2024) - Worldometer","URL":"https://www.worldometers.info/world-population/india-population/","accessed":{"date-parts":[["2024",9,22]]}}}],"schema":"https://github.com/citation-style-language/schema/raw/master/csl-citation.json"} </w:instrText>
      </w:r>
      <w:r w:rsidR="007224B6">
        <w:fldChar w:fldCharType="separate"/>
      </w:r>
      <w:r w:rsidR="004A0500" w:rsidRPr="004A0500">
        <w:t>(20)</w:t>
      </w:r>
      <w:r w:rsidR="007224B6">
        <w:fldChar w:fldCharType="end"/>
      </w:r>
      <w:r w:rsidR="004571E0" w:rsidRPr="00367891">
        <w:t xml:space="preserve"> Several of these states have populations larger than many European and American nations</w:t>
      </w:r>
      <w:r w:rsidR="004571E0">
        <w:t xml:space="preserve"> </w:t>
      </w:r>
      <w:r w:rsidR="001528DE">
        <w:fldChar w:fldCharType="begin"/>
      </w:r>
      <w:r w:rsidR="004A0500">
        <w:instrText xml:space="preserve"> ADDIN ZOTERO_ITEM CSL_CITATION {"citationID":"7PQLSkNy","properties":{"formattedCitation":"(21)","plainCitation":"(21)","noteIndex":0},"citationItems":[{"id":448,"uris":["http://zotero.org/users/local/XRtc60WU/items/R857RKRM"],"itemData":{"id":448,"type":"webpage","title":"Total Population by Country 2025","URL":"https://worldpopulationreview.com/countries","accessed":{"date-parts":[["2025",5,6]]}}}],"schema":"https://github.com/citation-style-language/schema/raw/master/csl-citation.json"} </w:instrText>
      </w:r>
      <w:r w:rsidR="001528DE">
        <w:fldChar w:fldCharType="separate"/>
      </w:r>
      <w:r w:rsidR="004A0500" w:rsidRPr="004A0500">
        <w:t>(21)</w:t>
      </w:r>
      <w:r w:rsidR="001528DE">
        <w:fldChar w:fldCharType="end"/>
      </w:r>
    </w:p>
    <w:p w14:paraId="39CC4FA7" w14:textId="7BEA62FC" w:rsidR="004571E0" w:rsidRPr="00466571" w:rsidRDefault="004571E0" w:rsidP="004571E0">
      <w:pPr>
        <w:pStyle w:val="NormalWeb"/>
        <w:spacing w:line="480" w:lineRule="auto"/>
        <w:jc w:val="both"/>
        <w:rPr>
          <w:i/>
          <w:iCs/>
        </w:rPr>
      </w:pPr>
      <w:r w:rsidRPr="00367891">
        <w:t>According to projections by the Ministry of Statistics and Programme Implementation (MOSPI), over a quarter of India’s population will be in the 15-29 age group by 2029. This large demographic dividend is expected to drive economic growth, but its full potential is hindered by the ongoing epidemiological transition.</w:t>
      </w:r>
      <w:r>
        <w:t xml:space="preserve"> </w:t>
      </w:r>
      <w:r w:rsidRPr="00940D78">
        <w:t>Phases of epidemiological transition during the period of 1995 to 2004, in India, resulted in high morbidity, low mortality, and a double burden of communicable diseases and chronic diseases where crude morbidity rose by more than 60% and 90% among urban and rural populations</w:t>
      </w:r>
      <w:r>
        <w:t>.</w:t>
      </w:r>
      <w:r w:rsidR="00795449">
        <w:fldChar w:fldCharType="begin"/>
      </w:r>
      <w:r w:rsidR="004A0500">
        <w:instrText xml:space="preserve"> ADDIN ZOTERO_ITEM CSL_CITATION {"citationID":"4Tj8Mid5","properties":{"formattedCitation":"(22)","plainCitation":"(22)","noteIndex":0},"citationItems":[{"id":449,"uris":["http://zotero.org/users/local/XRtc60WU/items/YAQQ7PTB"],"itemData":{"id":449,"type":"document","title":"XIIFYP_SocialSector.pdf","URL":"https://www.education.gov.in/sites/upload_files/mhrd/files/document-reports/XIIFYP_SocialSector.pdf","accessed":{"date-parts":[["2025",5,6]]}}}],"schema":"https://github.com/citation-style-language/schema/raw/master/csl-citation.json"} </w:instrText>
      </w:r>
      <w:r w:rsidR="00795449">
        <w:fldChar w:fldCharType="separate"/>
      </w:r>
      <w:r w:rsidR="004A0500" w:rsidRPr="004A0500">
        <w:t>(22)</w:t>
      </w:r>
      <w:r w:rsidR="00795449">
        <w:fldChar w:fldCharType="end"/>
      </w:r>
      <w:r w:rsidR="00990745">
        <w:t xml:space="preserve"> </w:t>
      </w:r>
      <w:r w:rsidR="00990745">
        <w:fldChar w:fldCharType="begin"/>
      </w:r>
      <w:r w:rsidR="004A0500">
        <w:instrText xml:space="preserve"> ADDIN ZOTERO_ITEM CSL_CITATION {"citationID":"yMMsibAi","properties":{"formattedCitation":"(23)","plainCitation":"(23)","noteIndex":0},"citationItems":[{"id":450,"uris":["http://zotero.org/users/local/XRtc60WU/items/XYN7MBVZ"],"itemData":{"id":450,"type":"webpage","title":"INDIA - Survey on Health Care: NSS 52nd Round, Schedule 25, 1995 - 1996","URL":"http://www.icssrdataservice.in/datarepository/index.php/catalog/32/related_materials","accessed":{"date-parts":[["2025",5,6]]}}}],"schema":"https://github.com/citation-style-language/schema/raw/master/csl-citation.json"} </w:instrText>
      </w:r>
      <w:r w:rsidR="00990745">
        <w:fldChar w:fldCharType="separate"/>
      </w:r>
      <w:r w:rsidR="004A0500" w:rsidRPr="004A0500">
        <w:t>(23)</w:t>
      </w:r>
      <w:r w:rsidR="00990745">
        <w:fldChar w:fldCharType="end"/>
      </w:r>
      <w:r w:rsidRPr="00D715CB">
        <w:rPr>
          <w:rFonts w:eastAsia="Times New Roman"/>
          <w:kern w:val="0"/>
          <w:lang w:eastAsia="en-IN"/>
          <w14:ligatures w14:val="none"/>
        </w:rPr>
        <w:t xml:space="preserve"> </w:t>
      </w:r>
    </w:p>
    <w:p w14:paraId="6E1898E6" w14:textId="77777777" w:rsidR="004571E0" w:rsidRDefault="004571E0" w:rsidP="004571E0">
      <w:pPr>
        <w:pStyle w:val="NormalWeb"/>
        <w:spacing w:line="360" w:lineRule="auto"/>
      </w:pPr>
      <w:r w:rsidRPr="00FD5C66">
        <w:rPr>
          <w:vanish/>
        </w:rPr>
        <w:t>Top of Form</w:t>
      </w:r>
    </w:p>
    <w:p w14:paraId="206F61A7" w14:textId="77777777" w:rsidR="00B43452" w:rsidRPr="00FD5C66" w:rsidRDefault="00B43452" w:rsidP="004571E0">
      <w:pPr>
        <w:pStyle w:val="NormalWeb"/>
        <w:spacing w:line="360" w:lineRule="auto"/>
        <w:rPr>
          <w:vanish/>
        </w:rPr>
      </w:pPr>
    </w:p>
    <w:p w14:paraId="40AEAA96" w14:textId="77777777" w:rsidR="004571E0" w:rsidRPr="00FD5C66" w:rsidRDefault="004571E0" w:rsidP="004571E0">
      <w:pPr>
        <w:pStyle w:val="NormalWeb"/>
        <w:spacing w:line="360" w:lineRule="auto"/>
        <w:rPr>
          <w:vanish/>
        </w:rPr>
      </w:pPr>
      <w:r w:rsidRPr="00FD5C66">
        <w:rPr>
          <w:vanish/>
        </w:rPr>
        <w:t>Bottom of Form</w:t>
      </w:r>
    </w:p>
    <w:p w14:paraId="07D3203A" w14:textId="01B7FFD5" w:rsidR="004571E0" w:rsidRPr="00FD5C66" w:rsidRDefault="00FD5C66" w:rsidP="004571E0">
      <w:pPr>
        <w:spacing w:before="100" w:beforeAutospacing="1" w:after="100" w:afterAutospacing="1" w:line="360" w:lineRule="auto"/>
        <w:rPr>
          <w:b/>
          <w:bCs/>
          <w:sz w:val="24"/>
          <w:szCs w:val="24"/>
          <w:lang w:eastAsia="en-IN"/>
        </w:rPr>
      </w:pPr>
      <w:r w:rsidRPr="00FD5C66">
        <w:rPr>
          <w:b/>
          <w:bCs/>
          <w:sz w:val="24"/>
          <w:szCs w:val="24"/>
          <w:lang w:eastAsia="en-IN"/>
        </w:rPr>
        <w:t>PUBLIC HEALTH SYSTEM: BURDEN OF INFECTIOUS DISEASES AND NCDS</w:t>
      </w:r>
    </w:p>
    <w:p w14:paraId="4987FB7B" w14:textId="4E501C50" w:rsidR="004571E0" w:rsidRDefault="004571E0" w:rsidP="004571E0">
      <w:pPr>
        <w:spacing w:before="100" w:beforeAutospacing="1" w:after="100" w:afterAutospacing="1" w:line="480" w:lineRule="auto"/>
        <w:jc w:val="both"/>
        <w:rPr>
          <w:sz w:val="24"/>
          <w:szCs w:val="24"/>
          <w:lang w:eastAsia="en-IN"/>
        </w:rPr>
      </w:pPr>
      <w:r w:rsidRPr="00F170E7">
        <w:rPr>
          <w:sz w:val="24"/>
          <w:szCs w:val="24"/>
          <w:lang w:eastAsia="en-IN"/>
        </w:rPr>
        <w:t>Despite notable progress in public health—such as the eradication of polio and the successful containment of HIV/AIDS—India still faces a significant burden of</w:t>
      </w:r>
      <w:r w:rsidR="00507ABE">
        <w:rPr>
          <w:sz w:val="24"/>
          <w:szCs w:val="24"/>
          <w:lang w:eastAsia="en-IN"/>
        </w:rPr>
        <w:t xml:space="preserve"> IDs</w:t>
      </w:r>
      <w:r w:rsidRPr="00F170E7">
        <w:rPr>
          <w:sz w:val="24"/>
          <w:szCs w:val="24"/>
          <w:lang w:eastAsia="en-IN"/>
        </w:rPr>
        <w:t xml:space="preserve">. Tuberculosis remains a major public health challenge, </w:t>
      </w:r>
      <w:r w:rsidRPr="00F170E7">
        <w:rPr>
          <w:sz w:val="24"/>
          <w:szCs w:val="24"/>
          <w:lang w:eastAsia="en-IN"/>
        </w:rPr>
        <w:lastRenderedPageBreak/>
        <w:t>especially with the emergence of multidrug-resistant strains, which have complicated treatment and containment efforts.</w:t>
      </w:r>
      <w:r>
        <w:rPr>
          <w:sz w:val="24"/>
          <w:szCs w:val="24"/>
          <w:lang w:eastAsia="en-IN"/>
        </w:rPr>
        <w:t xml:space="preserve"> </w:t>
      </w:r>
      <w:r w:rsidRPr="00F170E7">
        <w:rPr>
          <w:sz w:val="24"/>
          <w:szCs w:val="24"/>
          <w:lang w:eastAsia="en-IN"/>
        </w:rPr>
        <w:t>Recurrent outbreaks of vector-borne diseases like dengue and chikungunya further strain the healthcare infrastructure, especially in rapidly urbanizing areas. These diseases place a heavy burden on urban healthcare systems, which are already under pressure due to growing populations. At the same time, India and other LMICs are seeing a rise in NCDs, including cardiovascular diseases, diabetes, and cancers. These chronic conditions, along with injuries, now account for over half of the disease burden in the country. The coexistence of infectious diseases and NCDs presents a "double burden" for healthcare systems, requiring diverse and simultaneous strategies to address these health challenges.</w:t>
      </w:r>
      <w:r w:rsidR="00FD2D8D">
        <w:t xml:space="preserve"> </w:t>
      </w:r>
      <w:r w:rsidR="00FD2D8D">
        <w:fldChar w:fldCharType="begin"/>
      </w:r>
      <w:r w:rsidR="004A0500">
        <w:instrText xml:space="preserve"> ADDIN ZOTERO_ITEM CSL_CITATION {"citationID":"AwfSHSqH","properties":{"formattedCitation":"(19)","plainCitation":"(19)","noteIndex":0},"citationItems":[{"id":445,"uris":["http://zotero.org/users/local/XRtc60WU/items/R4G2NKQ7"],"itemData":{"id":445,"type":"document","title":"9789290229049-eng.pdf","URL":"https://iris.who.int/bitstream/handle/10665/352685/9789290229049-eng.pdf?sequence=1&amp;isAllowed=y","accessed":{"date-parts":[["2025",5,6]]}}}],"schema":"https://github.com/citation-style-language/schema/raw/master/csl-citation.json"} </w:instrText>
      </w:r>
      <w:r w:rsidR="00FD2D8D">
        <w:fldChar w:fldCharType="separate"/>
      </w:r>
      <w:r w:rsidR="004A0500" w:rsidRPr="004A0500">
        <w:t>(19)</w:t>
      </w:r>
      <w:r w:rsidR="00FD2D8D">
        <w:fldChar w:fldCharType="end"/>
      </w:r>
    </w:p>
    <w:p w14:paraId="00C7702F" w14:textId="0FFA2C26" w:rsidR="004571E0" w:rsidRDefault="004571E0" w:rsidP="004571E0">
      <w:pPr>
        <w:spacing w:before="100" w:beforeAutospacing="1" w:after="100" w:afterAutospacing="1" w:line="480" w:lineRule="auto"/>
        <w:jc w:val="both"/>
        <w:rPr>
          <w:sz w:val="24"/>
          <w:szCs w:val="24"/>
          <w:lang w:eastAsia="en-IN"/>
        </w:rPr>
      </w:pPr>
      <w:r w:rsidRPr="00F170E7">
        <w:rPr>
          <w:sz w:val="24"/>
          <w:szCs w:val="24"/>
          <w:lang w:eastAsia="en-IN"/>
        </w:rPr>
        <w:t>The South-East Asia Region contributes up to 31.76% of the global burden of communicable, maternal, neonatal, and nutritional diseases (CMNNDs), with India alone accounting for 34.32% of this burden</w:t>
      </w:r>
      <w:r>
        <w:rPr>
          <w:sz w:val="24"/>
          <w:szCs w:val="24"/>
          <w:lang w:eastAsia="en-IN"/>
        </w:rPr>
        <w:t xml:space="preserve"> </w:t>
      </w:r>
      <w:r w:rsidR="00A752F9">
        <w:rPr>
          <w:sz w:val="24"/>
          <w:szCs w:val="24"/>
          <w:lang w:eastAsia="en-IN"/>
        </w:rPr>
        <w:fldChar w:fldCharType="begin"/>
      </w:r>
      <w:r w:rsidR="004A0500">
        <w:rPr>
          <w:sz w:val="24"/>
          <w:szCs w:val="24"/>
          <w:lang w:eastAsia="en-IN"/>
        </w:rPr>
        <w:instrText xml:space="preserve"> ADDIN ZOTERO_ITEM CSL_CITATION {"citationID":"HRuGn0PR","properties":{"formattedCitation":"(11)","plainCitation":"(11)","noteIndex":0},"citationItems":[{"id":269,"uris":["http://zotero.org/users/local/XRtc60WU/items/GBEJX7A7"],"itemData":{"id":269,"type":"article-journal","abstract":"How is the burden of disease distributed and how did it change over time?","container-title":"Our World in Data","journalAbbreviation":"Our World in Data","source":"ourworldindata.org","title":"Burden of Disease","URL":"https://ourworldindata.org/burden-of-disease","author":[{"family":"Roser","given":"Max"},{"family":"Ritchie","given":"Hannah"},{"family":"Spooner","given":"Fiona"}],"accessed":{"date-parts":[["2024",9,11]]},"issued":{"date-parts":[["2024",2,29]]}}}],"schema":"https://github.com/citation-style-language/schema/raw/master/csl-citation.json"} </w:instrText>
      </w:r>
      <w:r w:rsidR="00A752F9">
        <w:rPr>
          <w:sz w:val="24"/>
          <w:szCs w:val="24"/>
          <w:lang w:eastAsia="en-IN"/>
        </w:rPr>
        <w:fldChar w:fldCharType="separate"/>
      </w:r>
      <w:r w:rsidR="004A0500" w:rsidRPr="004A0500">
        <w:rPr>
          <w:sz w:val="24"/>
        </w:rPr>
        <w:t>(11)</w:t>
      </w:r>
      <w:r w:rsidR="00A752F9">
        <w:rPr>
          <w:sz w:val="24"/>
          <w:szCs w:val="24"/>
          <w:lang w:eastAsia="en-IN"/>
        </w:rPr>
        <w:fldChar w:fldCharType="end"/>
      </w:r>
      <w:r w:rsidRPr="00BF4857">
        <w:rPr>
          <w:sz w:val="24"/>
          <w:szCs w:val="24"/>
          <w:lang w:eastAsia="en-IN"/>
        </w:rPr>
        <w:t xml:space="preserve"> </w:t>
      </w:r>
      <w:r>
        <w:rPr>
          <w:sz w:val="24"/>
          <w:szCs w:val="24"/>
          <w:lang w:eastAsia="en-IN"/>
        </w:rPr>
        <w:t>(Fig 6).  And a</w:t>
      </w:r>
      <w:r w:rsidRPr="003634AA">
        <w:rPr>
          <w:sz w:val="24"/>
          <w:szCs w:val="24"/>
          <w:lang w:eastAsia="en-IN"/>
        </w:rPr>
        <w:t>s per the estimates of India state level disease burden initiative, the burden of infectious and associated diseases stands at 33% of total disease burden in India</w:t>
      </w:r>
      <w:r w:rsidR="00A752F9">
        <w:rPr>
          <w:sz w:val="24"/>
          <w:szCs w:val="24"/>
          <w:lang w:eastAsia="en-IN"/>
        </w:rPr>
        <w:fldChar w:fldCharType="begin"/>
      </w:r>
      <w:r w:rsidR="001B7573">
        <w:rPr>
          <w:sz w:val="24"/>
          <w:szCs w:val="24"/>
          <w:lang w:eastAsia="en-IN"/>
        </w:rPr>
        <w:instrText xml:space="preserve"> ADDIN ZOTERO_ITEM CSL_CITATION {"citationID":"yUrk8TeK","properties":{"formattedCitation":"(5)","plainCitation":"(5)","noteIndex":0},"citationItems":[{"id":201,"uris":["http://zotero.org/users/local/XRtc60WU/items/R9JNXCS4"],"itemData":{"id":201,"type":"document","title":"2017-India-State-Level-Disease-Burden-Initiative-Full-Report.pdf","URL":"https://phfi.org/wp-content/uploads/2018/05/2017-India-State-Level-Disease-Burden-Initiative-Full-Report.pdf","accessed":{"date-parts":[["2024",9,6]]}}}],"schema":"https://github.com/citation-style-language/schema/raw/master/csl-citation.json"} </w:instrText>
      </w:r>
      <w:r w:rsidR="00A752F9">
        <w:rPr>
          <w:sz w:val="24"/>
          <w:szCs w:val="24"/>
          <w:lang w:eastAsia="en-IN"/>
        </w:rPr>
        <w:fldChar w:fldCharType="separate"/>
      </w:r>
      <w:r w:rsidR="001B7573" w:rsidRPr="001B7573">
        <w:rPr>
          <w:sz w:val="24"/>
        </w:rPr>
        <w:t>(5)</w:t>
      </w:r>
      <w:r w:rsidR="00A752F9">
        <w:rPr>
          <w:sz w:val="24"/>
          <w:szCs w:val="24"/>
          <w:lang w:eastAsia="en-IN"/>
        </w:rPr>
        <w:fldChar w:fldCharType="end"/>
      </w:r>
      <w:r>
        <w:rPr>
          <w:sz w:val="24"/>
          <w:szCs w:val="24"/>
          <w:lang w:eastAsia="en-IN"/>
        </w:rPr>
        <w:t xml:space="preserve"> (Fig.7)</w:t>
      </w:r>
    </w:p>
    <w:p w14:paraId="7E276E06" w14:textId="1EB520CC" w:rsidR="004571E0" w:rsidRPr="00D30238" w:rsidRDefault="004571E0" w:rsidP="004571E0">
      <w:pPr>
        <w:spacing w:before="100" w:beforeAutospacing="1" w:after="100" w:afterAutospacing="1" w:line="480" w:lineRule="auto"/>
        <w:jc w:val="both"/>
        <w:rPr>
          <w:sz w:val="24"/>
          <w:szCs w:val="24"/>
          <w:lang w:eastAsia="en-IN"/>
        </w:rPr>
      </w:pPr>
      <w:r w:rsidRPr="00B34F6D">
        <w:rPr>
          <w:sz w:val="24"/>
          <w:szCs w:val="24"/>
          <w:lang w:eastAsia="en-IN"/>
        </w:rPr>
        <w:t>Compared to populations in high-income countries, populations in South Asia have a relatively higher risk of acquiring infectious diseases due to environmental, socioeconomic, and health-related factors. South Asia encompasses a wide variation in countries where the burden of infectious diseases has been enhanced through all forms of pathogens such as bacteria, viruses, and parasites. These conditions are optimally found in the poorest sanitation, scant clean water access, and crowding that is common across South Asia</w:t>
      </w:r>
      <w:r w:rsidR="008248DB">
        <w:rPr>
          <w:sz w:val="24"/>
          <w:szCs w:val="24"/>
          <w:lang w:eastAsia="en-IN"/>
        </w:rPr>
        <w:fldChar w:fldCharType="begin"/>
      </w:r>
      <w:r w:rsidR="004A0500">
        <w:rPr>
          <w:sz w:val="24"/>
          <w:szCs w:val="24"/>
          <w:lang w:eastAsia="en-IN"/>
        </w:rPr>
        <w:instrText xml:space="preserve"> ADDIN ZOTERO_ITEM CSL_CITATION {"citationID":"h22dgSMe","properties":{"formattedCitation":"(24)","plainCitation":"(24)","noteIndex":0},"citationItems":[{"id":452,"uris":["http://zotero.org/users/local/XRtc60WU/items/UH866FY6"],"itemData":{"id":452,"type":"article-journal","abstract":"Infectious diseases are a major cause of death in South Asia, with children incurring a disproportionate share of the burden. This review discusses the underlying causes of some of the more common diseases and strategies to improve their detection and control \n\nPreventable infections are a major cause of deaths and disabilities in South Asia. Over two thirds of the estimated 3.7 million deaths in children in South Asia in the year 2000 were attributable to infections such as pneumonia, diarrhoea, and measles.1 2 India now has the second largest population with AIDS and HIV infection in the world, and tuberculosis and chronic hepatitis continue to threaten the lives of millions. Of the overall burden of deaths related to infectious disease in the region, around 63% are in children aged under 5 years.3 Serious effort should be devoted to the control of infectious disease if South Asian countries are to meet their millennium development goal of two thirds reduction in child mortality by 2015.\n\nSri Lanka alone among South Asian countries has made remarkable progress in reducing the burden of infectious disease, despite civil war and meagre resources.\n\nThis review describes the burden of infectious diseases of public health importance in South Asia, the underlying risk factors, and strategies to improve detection and control.\n\nWe searched PubMed and the databases of the World Health Organization and Unicef for information on infectious diseases of public health importance in South Asia. We also reviewed the bibliographies of key references and reviews for relevant information.\n\nPeople in South Asia are at a higher risk of developing infectious diseases and dying from their illness than people in industrialised countries.3 The root causes are poverty and its associated problems of unhygienic living conditions, malnutrition, illiteracy, and poor access to clean water, toilet facilities, …","DOI":"10.1136/bmj.328.7443.811","language":"en","license":"© 2004 BMJ Publishing Group Ltd.","note":"publisher: British Medical Journal Publishing Group\nsection: Clinical Review","source":"www.bmj.com","title":"Burden of infectious diseases in South Asia","URL":"https://www.bmj.com/content/328/7443/811","author":[{"family":"Zaidi","given":"Anita K. M."},{"family":"Awasthi","given":"Shally"},{"family":"deSilva","given":"H. Janaka"}],"accessed":{"date-parts":[["2025",5,6]]},"issued":{"date-parts":[["2004",4,1]]}}}],"schema":"https://github.com/citation-style-language/schema/raw/master/csl-citation.json"} </w:instrText>
      </w:r>
      <w:r w:rsidR="008248DB">
        <w:rPr>
          <w:sz w:val="24"/>
          <w:szCs w:val="24"/>
          <w:lang w:eastAsia="en-IN"/>
        </w:rPr>
        <w:fldChar w:fldCharType="separate"/>
      </w:r>
      <w:r w:rsidR="004A0500" w:rsidRPr="004A0500">
        <w:rPr>
          <w:sz w:val="24"/>
        </w:rPr>
        <w:t>(24)</w:t>
      </w:r>
      <w:r w:rsidR="008248DB">
        <w:rPr>
          <w:sz w:val="24"/>
          <w:szCs w:val="24"/>
          <w:lang w:eastAsia="en-IN"/>
        </w:rPr>
        <w:fldChar w:fldCharType="end"/>
      </w:r>
      <w:r w:rsidRPr="00B34F6D">
        <w:rPr>
          <w:sz w:val="24"/>
          <w:szCs w:val="24"/>
          <w:lang w:eastAsia="en-IN"/>
        </w:rPr>
        <w:t xml:space="preserve">. </w:t>
      </w:r>
    </w:p>
    <w:p w14:paraId="49B4C9CD" w14:textId="3ED6FBB0" w:rsidR="004571E0" w:rsidRPr="008B4069" w:rsidRDefault="004571E0" w:rsidP="004571E0">
      <w:pPr>
        <w:spacing w:before="100" w:beforeAutospacing="1" w:after="100" w:afterAutospacing="1" w:line="480" w:lineRule="auto"/>
        <w:jc w:val="both"/>
        <w:rPr>
          <w:sz w:val="24"/>
          <w:szCs w:val="24"/>
          <w:lang w:eastAsia="en-IN"/>
        </w:rPr>
      </w:pPr>
      <w:r w:rsidRPr="00B34F6D">
        <w:rPr>
          <w:sz w:val="24"/>
          <w:szCs w:val="24"/>
          <w:lang w:eastAsia="en-IN"/>
        </w:rPr>
        <w:t>Furthermore, much of the health infrastructure across the low- and middle-income countries of the region lacks resources for effective prevention, timely diagnosis, and comprehensive treatment. As such, this enhances the risk and severity of initiating infectious diseases, especially those brought about by the drug-resistant pathogens</w:t>
      </w:r>
      <w:r>
        <w:rPr>
          <w:sz w:val="24"/>
          <w:szCs w:val="24"/>
          <w:lang w:eastAsia="en-IN"/>
        </w:rPr>
        <w:t xml:space="preserve"> </w:t>
      </w:r>
      <w:r w:rsidR="005345B5">
        <w:rPr>
          <w:sz w:val="24"/>
          <w:szCs w:val="24"/>
          <w:lang w:eastAsia="en-IN"/>
        </w:rPr>
        <w:t xml:space="preserve"> </w:t>
      </w:r>
      <w:r w:rsidR="005345B5">
        <w:rPr>
          <w:sz w:val="24"/>
          <w:szCs w:val="24"/>
          <w:lang w:eastAsia="en-IN"/>
        </w:rPr>
        <w:fldChar w:fldCharType="begin"/>
      </w:r>
      <w:r w:rsidR="004A0500">
        <w:rPr>
          <w:sz w:val="24"/>
          <w:szCs w:val="24"/>
          <w:lang w:eastAsia="en-IN"/>
        </w:rPr>
        <w:instrText xml:space="preserve"> ADDIN ZOTERO_ITEM CSL_CITATION {"citationID":"UOfsqU9k","properties":{"formattedCitation":"(25)","plainCitation":"(25)","noteIndex":0},"citationItems":[{"id":454,"uris":["http://zotero.org/users/local/XRtc60WU/items/2U7Z4ZDX"],"itemData":{"id":454,"type":"article-journal","abstract":"Although demographic aging does not remain restricted to industrialized countries, the medical challenge arising from the aging population will be distinct in the developing world. This is particularly true with respect to infectious diseases, which have a distinct spectrum in the elderly population, as well as a greater overall relevance in the developing world. Tropical diseases have a specific presentation and epidemiology in elderly patients. Infectious diseases with a worldwide distribution impact elderly patients in the developing world in a specific manner, which is most obvious with respect to human immunodeficiency virus and tuberculosis but is also true with respect to “trivial” manifestations of infection, such as diarrhea and pneumonia. Malnutrition contributes in a major way to the immunodeficiency of elderly patients in the developing world. Poorly controlled use of antimicrobial drugs leads to multidrug-resistant microorganisms, which, together with the limited resources available for drug treatment, makes appropriate treatment of infections in elderly patients in developing countries very difficult. Infections in elderly patients will have an increasing impact on the public health and economy of developing countries.","container-title":"Clinical Infectious Diseases","DOI":"10.1086/421559","ISSN":"1058-4838","issue":"1","journalAbbreviation":"Clinical Infectious Diseases","page":"83-91","source":"Silverchair","title":"Aging and Infectious Diseases in the Developing World","volume":"39","author":[{"family":"Gavazzi","given":"Gaëtan"},{"family":"Herrmann","given":"Francois"},{"family":"Krause","given":"Karl-Heinz"}],"issued":{"date-parts":[["2004",7,1]]}}}],"schema":"https://github.com/citation-style-language/schema/raw/master/csl-citation.json"} </w:instrText>
      </w:r>
      <w:r w:rsidR="005345B5">
        <w:rPr>
          <w:sz w:val="24"/>
          <w:szCs w:val="24"/>
          <w:lang w:eastAsia="en-IN"/>
        </w:rPr>
        <w:fldChar w:fldCharType="separate"/>
      </w:r>
      <w:r w:rsidR="004A0500" w:rsidRPr="004A0500">
        <w:rPr>
          <w:sz w:val="24"/>
        </w:rPr>
        <w:t>(25)</w:t>
      </w:r>
      <w:r w:rsidR="005345B5">
        <w:rPr>
          <w:sz w:val="24"/>
          <w:szCs w:val="24"/>
          <w:lang w:eastAsia="en-IN"/>
        </w:rPr>
        <w:fldChar w:fldCharType="end"/>
      </w:r>
      <w:r w:rsidR="005345B5">
        <w:rPr>
          <w:sz w:val="24"/>
          <w:szCs w:val="24"/>
          <w:lang w:eastAsia="en-IN"/>
        </w:rPr>
        <w:t xml:space="preserve"> </w:t>
      </w:r>
    </w:p>
    <w:p w14:paraId="37AE98F6" w14:textId="77777777" w:rsidR="004571E0" w:rsidRDefault="004571E0" w:rsidP="004571E0">
      <w:pPr>
        <w:spacing w:before="100" w:beforeAutospacing="1" w:after="100" w:afterAutospacing="1" w:line="360" w:lineRule="auto"/>
        <w:rPr>
          <w:sz w:val="24"/>
          <w:szCs w:val="24"/>
          <w:lang w:eastAsia="en-IN"/>
        </w:rPr>
      </w:pPr>
    </w:p>
    <w:p w14:paraId="402EE6E4" w14:textId="77777777" w:rsidR="004571E0" w:rsidRDefault="004571E0" w:rsidP="004571E0">
      <w:pPr>
        <w:keepNext/>
        <w:spacing w:before="100" w:beforeAutospacing="1" w:after="100" w:afterAutospacing="1" w:line="360" w:lineRule="auto"/>
        <w:jc w:val="center"/>
      </w:pPr>
      <w:r w:rsidRPr="00384ADD">
        <w:rPr>
          <w:noProof/>
          <w:sz w:val="24"/>
          <w:szCs w:val="24"/>
          <w:lang w:eastAsia="en-IN"/>
        </w:rPr>
        <w:lastRenderedPageBreak/>
        <w:drawing>
          <wp:inline distT="0" distB="0" distL="0" distR="0" wp14:anchorId="2F5EE15A" wp14:editId="65F7F749">
            <wp:extent cx="6324600" cy="4274820"/>
            <wp:effectExtent l="0" t="0" r="0" b="0"/>
            <wp:docPr id="74855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845340"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6326711" cy="4276247"/>
                    </a:xfrm>
                    <a:prstGeom prst="rect">
                      <a:avLst/>
                    </a:prstGeom>
                  </pic:spPr>
                </pic:pic>
              </a:graphicData>
            </a:graphic>
          </wp:inline>
        </w:drawing>
      </w:r>
    </w:p>
    <w:p w14:paraId="625C8447" w14:textId="3639031C" w:rsidR="004571E0" w:rsidRPr="00CD48D2" w:rsidRDefault="004571E0" w:rsidP="004571E0">
      <w:pPr>
        <w:pStyle w:val="Caption"/>
        <w:jc w:val="center"/>
        <w:rPr>
          <w:rFonts w:ascii="Times New Roman" w:eastAsia="Times New Roman" w:hAnsi="Times New Roman" w:cs="Times New Roman"/>
          <w:b/>
          <w:bCs/>
          <w:kern w:val="0"/>
          <w:sz w:val="22"/>
          <w:szCs w:val="22"/>
          <w:lang w:eastAsia="en-IN"/>
          <w14:ligatures w14:val="none"/>
        </w:rPr>
      </w:pPr>
      <w:r w:rsidRPr="00CD48D2">
        <w:rPr>
          <w:rFonts w:ascii="Times New Roman" w:hAnsi="Times New Roman" w:cs="Times New Roman"/>
          <w:b/>
          <w:bCs/>
          <w:i w:val="0"/>
          <w:iCs w:val="0"/>
          <w:color w:val="auto"/>
          <w:sz w:val="22"/>
          <w:szCs w:val="22"/>
        </w:rPr>
        <w:t xml:space="preserve">Figure </w:t>
      </w:r>
      <w:r w:rsidR="00CD48D2" w:rsidRPr="00CD48D2">
        <w:rPr>
          <w:rFonts w:ascii="Times New Roman" w:hAnsi="Times New Roman" w:cs="Times New Roman"/>
          <w:b/>
          <w:bCs/>
          <w:i w:val="0"/>
          <w:iCs w:val="0"/>
          <w:color w:val="auto"/>
          <w:sz w:val="22"/>
          <w:szCs w:val="22"/>
        </w:rPr>
        <w:t xml:space="preserve">5 </w:t>
      </w:r>
      <w:r w:rsidRPr="00CD48D2">
        <w:rPr>
          <w:rFonts w:ascii="Times New Roman" w:hAnsi="Times New Roman" w:cs="Times New Roman"/>
          <w:b/>
          <w:bCs/>
          <w:i w:val="0"/>
          <w:iCs w:val="0"/>
          <w:color w:val="auto"/>
          <w:sz w:val="22"/>
          <w:szCs w:val="22"/>
        </w:rPr>
        <w:t>Data source- IHME, Global Burden of Disease (2021</w:t>
      </w:r>
      <w:r w:rsidRPr="00CD48D2">
        <w:rPr>
          <w:rFonts w:ascii="Times New Roman" w:hAnsi="Times New Roman" w:cs="Times New Roman"/>
          <w:b/>
          <w:bCs/>
          <w:sz w:val="22"/>
          <w:szCs w:val="22"/>
        </w:rPr>
        <w:t>)</w:t>
      </w:r>
    </w:p>
    <w:p w14:paraId="124B94A0" w14:textId="77777777" w:rsidR="004571E0" w:rsidRDefault="004571E0" w:rsidP="004571E0">
      <w:pPr>
        <w:spacing w:before="100" w:beforeAutospacing="1" w:after="100" w:afterAutospacing="1" w:line="360" w:lineRule="auto"/>
        <w:jc w:val="both"/>
        <w:rPr>
          <w:sz w:val="24"/>
          <w:szCs w:val="24"/>
          <w:lang w:eastAsia="en-IN"/>
        </w:rPr>
      </w:pPr>
    </w:p>
    <w:p w14:paraId="78918920" w14:textId="432D7C23" w:rsidR="004571E0" w:rsidRDefault="004571E0" w:rsidP="004571E0">
      <w:pPr>
        <w:spacing w:before="100" w:beforeAutospacing="1" w:after="100" w:afterAutospacing="1" w:line="480" w:lineRule="auto"/>
        <w:jc w:val="both"/>
        <w:rPr>
          <w:sz w:val="24"/>
          <w:szCs w:val="24"/>
          <w:lang w:eastAsia="en-IN"/>
        </w:rPr>
      </w:pPr>
      <w:r w:rsidRPr="002E63F8">
        <w:rPr>
          <w:sz w:val="24"/>
          <w:szCs w:val="24"/>
          <w:lang w:eastAsia="en-IN"/>
        </w:rPr>
        <w:t>According to the World Health Organization, a disproportionately high fraction of morbidity and mortality from infectious diseases, such as tuberculosis and malaria, falls on low- and middle-income countries. Among these, TB is regarded as one of the top global health problems. The WHO aims to reduce TB incidence by 90% between 2015 and 2035, but significant challenges remain in diagnosis, treatment, and prevention. In 2022, TB accounted for 1.3 million deaths worldwide, down from an estimated 1.4 million in 2020 and 2021. It remains the biggest killer of people with HIV, causing 167,000 deaths that year. About 7.5 million people were diagnosed with TB, with 46% of cases in Southeast Asia, 23% in Africa, and 18% in the Western Pacific—the highest number since global TB monitoring began in 1995. Around 10.6 million people live with active TB, including 5.8 million men, 3.5 million women, and 1.3 million children. Additionally, about a quarter of the global population is infected with latent TB, of which 5% to 10% may develop active TB</w:t>
      </w:r>
      <w:r w:rsidR="00C741A4">
        <w:rPr>
          <w:sz w:val="24"/>
          <w:szCs w:val="24"/>
          <w:lang w:eastAsia="en-IN"/>
        </w:rPr>
        <w:fldChar w:fldCharType="begin"/>
      </w:r>
      <w:r w:rsidR="004A0500">
        <w:rPr>
          <w:sz w:val="24"/>
          <w:szCs w:val="24"/>
          <w:lang w:eastAsia="en-IN"/>
        </w:rPr>
        <w:instrText xml:space="preserve"> ADDIN ZOTERO_ITEM CSL_CITATION {"citationID":"MaQwKcWR","properties":{"formattedCitation":"(26)","plainCitation":"(26)","noteIndex":0},"citationItems":[{"id":457,"uris":["http://zotero.org/users/local/XRtc60WU/items/44ZXVYM9"],"itemData":{"id":457,"type":"chapter","abstract":"Tuberculosis (TB) encompasses a huge topic regarding a common disease that is challenging to diagnose, treat, and prevent. Throughout recorded history, TB has been responsible for more human lives lost than any other infectious disease., [Global tuberculosis report 2024. Geneva: World Health Organization]. TB, caused by Mycobacterium tuberculosis (Mtb), is a preventable disease. The World Health Organization has ambitiously established a goal of a 90% reduction in incidence between 2015 and 2035. Before the SARS-CoV-2 pandemic, TB was the world's most prevalent human disease. Unlike SARS-CoV-2, M tuberculosis has been a human pathogen for millennia. Robert Koch reported his discovery of the Mtb bacterium in 1882, and its complete genome sequence was mapped over 100 years later. The diagnostic Mantoux skin test, developed in 1909, remains in use today with minor modifications in reagents and interpretive criteria. Interferon-gamma release assay (IGRA), developed in 2014, offers another approach to TB diagnosis. Both tests possess diagnostic and predictive limitations that require a sophisticated understanding of interpretive criteria. The bacterium is slow-growing, frequently sparse, and often difficult to identify in sputum and tissue samples. The recent introduction of molecular nucleic acid amplification tests (NAATs) has mitigated these challenges in confirmatory TB diagnostics. However, NAATs are not readily available in many parts of the world where TB is most prevalent. When and how to best implement these tests in practice remains a work in progress. New tests to enhance diagnostic accuracy are gradually emerging.    The regimens required to treat TB are challenging to administer. The most commonly used anti-TB antibiotics were developed in the mid-20th century and remain the mainstay of therapy. For the first time in over 40 years, 2 new anti-TB antibiotics have recently been approved for treatment. Anti-TB regimens vary depending on the stage and anatomic location of the infection, the immune status and age of the host, the presence of comorbidities, the development of toxicities, drug-drug interactions, and resistance patterns of the bacterium. Resistance of tuberculosis to antibiotics is increasing, and treatment often requires the administration of novel antibiotic combinations that have undergone limited testing in clinical trials. The prolonged duration of therapy needed to eradicate the organism represents an additional challenge. Recently, shorter treatment regimens for latent TB infection have been developed to minimize adverse effects and maximize patient compliance. TB prevention remains a worldwide challenge as the disease is easily transmitted, and conditions that favor poverty, overcrowding, and lack of public health infrastructure contribute to the communicability. Nonspecific symptoms such as persistent cough often go unnoticed, resulting in high transmission rates. In the case of active TB, the multiple antibiotics required to eliminate the disease and their prolonged course of administration represent a challenge even in regions with robust public health infrastructure. Indeed, those parts of the world with the highest TB prevalence often lack adequate public health resources. In resource-rich parts of the world where TB is relatively uncommon, many clinicians rarely encounter the disease, are unfamiliar with the clinical manifestations, and lack experience in approaches to diagnosis and management.","call-number":"NBK441916","container-title":"StatPearls","event-place":"Treasure Island (FL)","language":"eng","license":"Copyright © 2025, StatPearls Publishing LLC.","note":"PMID: 28722945","publisher":"StatPearls Publishing","publisher-place":"Treasure Island (FL)","source":"PubMed","title":"Tuberculosis Overview","URL":"http://www.ncbi.nlm.nih.gov/books/NBK441916/","author":[{"family":"Tobin","given":"Ellis H."},{"family":"Tristram","given":"Debbie"}],"accessed":{"date-parts":[["2025",5,6]]},"issued":{"date-parts":[["2025"]]}}}],"schema":"https://github.com/citation-style-language/schema/raw/master/csl-citation.json"} </w:instrText>
      </w:r>
      <w:r w:rsidR="00C741A4">
        <w:rPr>
          <w:sz w:val="24"/>
          <w:szCs w:val="24"/>
          <w:lang w:eastAsia="en-IN"/>
        </w:rPr>
        <w:fldChar w:fldCharType="separate"/>
      </w:r>
      <w:r w:rsidR="004A0500" w:rsidRPr="004A0500">
        <w:rPr>
          <w:sz w:val="24"/>
        </w:rPr>
        <w:t>(26)</w:t>
      </w:r>
      <w:r w:rsidR="00C741A4">
        <w:rPr>
          <w:sz w:val="24"/>
          <w:szCs w:val="24"/>
          <w:lang w:eastAsia="en-IN"/>
        </w:rPr>
        <w:fldChar w:fldCharType="end"/>
      </w:r>
      <w:r>
        <w:rPr>
          <w:sz w:val="24"/>
          <w:szCs w:val="24"/>
          <w:lang w:eastAsia="en-IN"/>
        </w:rPr>
        <w:t xml:space="preserve"> </w:t>
      </w:r>
      <w:r w:rsidRPr="002E63F8">
        <w:rPr>
          <w:sz w:val="24"/>
          <w:szCs w:val="24"/>
          <w:lang w:eastAsia="en-IN"/>
        </w:rPr>
        <w:t xml:space="preserve"> </w:t>
      </w:r>
    </w:p>
    <w:p w14:paraId="02468A03" w14:textId="300BC3BA" w:rsidR="004571E0" w:rsidRPr="007C47E3" w:rsidRDefault="004571E0" w:rsidP="004571E0">
      <w:pPr>
        <w:spacing w:before="100" w:beforeAutospacing="1" w:after="100" w:afterAutospacing="1" w:line="480" w:lineRule="auto"/>
        <w:jc w:val="both"/>
        <w:rPr>
          <w:sz w:val="24"/>
          <w:szCs w:val="24"/>
          <w:lang w:eastAsia="en-IN"/>
        </w:rPr>
      </w:pPr>
      <w:r w:rsidRPr="002E63F8">
        <w:rPr>
          <w:sz w:val="24"/>
          <w:szCs w:val="24"/>
          <w:lang w:eastAsia="en-IN"/>
        </w:rPr>
        <w:t xml:space="preserve">India alone contributed about 2.64 million cases in 2021, representing roughly 25% of the global TB burden. Excluding those co-infected with HIV, the mortality rate was about 450,000, highlighting TB's severe impact on India's public health system. Complications such as drug resistance, HIV co-infections, socioeconomic factors, </w:t>
      </w:r>
      <w:r w:rsidRPr="002E63F8">
        <w:rPr>
          <w:sz w:val="24"/>
          <w:szCs w:val="24"/>
          <w:lang w:eastAsia="en-IN"/>
        </w:rPr>
        <w:lastRenderedPageBreak/>
        <w:t>and healthcare disparities further exacerbate the issue</w:t>
      </w:r>
      <w:r w:rsidR="00330FD2">
        <w:rPr>
          <w:sz w:val="24"/>
          <w:szCs w:val="24"/>
          <w:lang w:eastAsia="en-IN"/>
        </w:rPr>
        <w:fldChar w:fldCharType="begin"/>
      </w:r>
      <w:r w:rsidR="004A0500">
        <w:rPr>
          <w:sz w:val="24"/>
          <w:szCs w:val="24"/>
          <w:lang w:eastAsia="en-IN"/>
        </w:rPr>
        <w:instrText xml:space="preserve"> ADDIN ZOTERO_ITEM CSL_CITATION {"citationID":"Aqw0MrR7","properties":{"formattedCitation":"(27)","plainCitation":"(27)","noteIndex":0},"citationItems":[{"id":460,"uris":["http://zotero.org/users/local/XRtc60WU/items/ANJIMWAB"],"itemData":{"id":460,"type":"article-journal","abstract":"Background Tuberculosis (TB) continues to pose a significant public health challenge in India, which is home to one of the highest TB burdens worldwide. This systematic review and meta-analysis will aim to synthesize the anticipated progress and potential challenges in achieving TB elimination in India by 2025. Methods A comprehensive search will be conducted across multiple databases, including PubMed, Scopus, and Web of Science, to identify relevant studies. The eligibility criteria will encompass individuals diagnosed with TB in India, interventions targeting TB treatment, prevention, or control, and various comparator groups. Outcomes of interest will include incidence reduction, mortality rate, treatment success rate, barriers to TB care, and more. Both quantitative and qualitative data will be synthesized, and the risk of bias will be assessed using established tools. Outcomes The review is expected to provide a holistic understanding of the TB landscape in India, highlighting the effective interventions and potential challenges in the journey towards TB elimination. Conclusions While it is anticipated that significant progress will be made in the fight against TB in India, challenges are likely to persist. This review will offer a comprehensive roadmap for researchers, policymakers, and healthcare professionals, emphasizing the importance of continued efforts, innovative strategies, and a multi-pronged approach in achieving the goal of TB elimination in India by 2025.","container-title":"PLOS ONE","DOI":"10.1371/journal.pone.0301060","ISSN":"1932-6203","issue":"3","journalAbbreviation":"PLOS ONE","language":"en","note":"publisher: Public Library of Science","page":"e0301060","source":"PLoS Journals","title":"Progress and challenges in achieving tuberculosis elimination in India by 2025: A systematic review and meta-analysis","title-short":"Progress and challenges in achieving tuberculosis elimination in India by 2025","volume":"19","author":[{"family":"Padhi","given":"Abhishek"},{"family":"Agarwal","given":"Ashwini"},{"family":"Bhise","given":"Mayuri"},{"family":"Chaudhary","given":"Anil"},{"family":"Joshi","given":"Krupal"},{"family":"Katoch","given":"C. D. S."}],"issued":{"date-parts":[["2024",3,27]]}}}],"schema":"https://github.com/citation-style-language/schema/raw/master/csl-citation.json"} </w:instrText>
      </w:r>
      <w:r w:rsidR="00330FD2">
        <w:rPr>
          <w:sz w:val="24"/>
          <w:szCs w:val="24"/>
          <w:lang w:eastAsia="en-IN"/>
        </w:rPr>
        <w:fldChar w:fldCharType="separate"/>
      </w:r>
      <w:r w:rsidR="004A0500" w:rsidRPr="004A0500">
        <w:rPr>
          <w:sz w:val="24"/>
        </w:rPr>
        <w:t>(27)</w:t>
      </w:r>
      <w:r w:rsidR="00330FD2">
        <w:rPr>
          <w:sz w:val="24"/>
          <w:szCs w:val="24"/>
          <w:lang w:eastAsia="en-IN"/>
        </w:rPr>
        <w:fldChar w:fldCharType="end"/>
      </w:r>
      <w:r w:rsidRPr="002E63F8">
        <w:rPr>
          <w:sz w:val="24"/>
          <w:szCs w:val="24"/>
          <w:lang w:eastAsia="en-IN"/>
        </w:rPr>
        <w:t xml:space="preserve">. </w:t>
      </w:r>
    </w:p>
    <w:p w14:paraId="67295274" w14:textId="0728FFD4" w:rsidR="004571E0" w:rsidRPr="002E63F8" w:rsidRDefault="004571E0" w:rsidP="004571E0">
      <w:pPr>
        <w:spacing w:before="100" w:beforeAutospacing="1" w:after="100" w:afterAutospacing="1" w:line="480" w:lineRule="auto"/>
        <w:jc w:val="both"/>
        <w:rPr>
          <w:lang w:eastAsia="en-IN"/>
        </w:rPr>
      </w:pPr>
      <w:r w:rsidRPr="002E63F8">
        <w:rPr>
          <w:sz w:val="24"/>
          <w:szCs w:val="24"/>
          <w:lang w:eastAsia="en-IN"/>
        </w:rPr>
        <w:t>Similarly, malaria remains a significant public health concern. In 2022, an estimated 249 million malaria cases were recorded globally, up by 5 million compared to 2021, across 85 malaria-endemic countries and regions. The WHO South-East Asia Region included nine malaria-endemic countries, contributing 5.2 million cases (2% of the global malaria burden), with India accounting for approximately 65.7% of all malaria cases in the region</w:t>
      </w:r>
      <w:r>
        <w:rPr>
          <w:sz w:val="24"/>
          <w:szCs w:val="24"/>
          <w:lang w:eastAsia="en-IN"/>
        </w:rPr>
        <w:t xml:space="preserve"> </w:t>
      </w:r>
      <w:r w:rsidR="00403C27">
        <w:rPr>
          <w:sz w:val="24"/>
          <w:szCs w:val="24"/>
          <w:lang w:eastAsia="en-IN"/>
        </w:rPr>
        <w:fldChar w:fldCharType="begin"/>
      </w:r>
      <w:r w:rsidR="004A0500">
        <w:rPr>
          <w:sz w:val="24"/>
          <w:szCs w:val="24"/>
          <w:lang w:eastAsia="en-IN"/>
        </w:rPr>
        <w:instrText xml:space="preserve"> ADDIN ZOTERO_ITEM CSL_CITATION {"citationID":"gL3pgroK","properties":{"formattedCitation":"(28)","plainCitation":"(28)","noteIndex":0},"citationItems":[{"id":462,"uris":["http://zotero.org/users/local/XRtc60WU/items/23XSV985"],"itemData":{"id":462,"type":"webpage","abstract":"The report provides a comprehensive and up-to-date assessment of trends in malaria control and elimination across the globe.","language":"en","title":"World malaria report 2023","URL":"https://www.who.int/publications/i/item/9789240086173","accessed":{"date-parts":[["2025",5,6]]}}}],"schema":"https://github.com/citation-style-language/schema/raw/master/csl-citation.json"} </w:instrText>
      </w:r>
      <w:r w:rsidR="00403C27">
        <w:rPr>
          <w:sz w:val="24"/>
          <w:szCs w:val="24"/>
          <w:lang w:eastAsia="en-IN"/>
        </w:rPr>
        <w:fldChar w:fldCharType="separate"/>
      </w:r>
      <w:r w:rsidR="004A0500" w:rsidRPr="004A0500">
        <w:rPr>
          <w:sz w:val="24"/>
        </w:rPr>
        <w:t>(28)</w:t>
      </w:r>
      <w:r w:rsidR="00403C27">
        <w:rPr>
          <w:sz w:val="24"/>
          <w:szCs w:val="24"/>
          <w:lang w:eastAsia="en-IN"/>
        </w:rPr>
        <w:fldChar w:fldCharType="end"/>
      </w:r>
    </w:p>
    <w:p w14:paraId="374D2348" w14:textId="08B86DFD" w:rsidR="004571E0" w:rsidRDefault="009E1CB2" w:rsidP="009E1CB2">
      <w:pPr>
        <w:keepNext/>
        <w:spacing w:before="100" w:beforeAutospacing="1" w:after="100" w:afterAutospacing="1" w:line="360" w:lineRule="auto"/>
      </w:pPr>
      <w:r>
        <w:rPr>
          <w:noProof/>
          <w:sz w:val="24"/>
          <w:szCs w:val="24"/>
          <w:lang w:eastAsia="en-IN"/>
          <w14:ligatures w14:val="standardContextual"/>
        </w:rPr>
        <w:drawing>
          <wp:inline distT="0" distB="0" distL="0" distR="0" wp14:anchorId="26CDC19A" wp14:editId="707A8BC8">
            <wp:extent cx="3302000" cy="2722880"/>
            <wp:effectExtent l="0" t="0" r="12700" b="1270"/>
            <wp:docPr id="81123106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0F661E">
        <w:rPr>
          <w:noProof/>
          <w:sz w:val="24"/>
          <w:szCs w:val="24"/>
          <w:lang w:eastAsia="en-IN"/>
          <w14:ligatures w14:val="standardContextual"/>
        </w:rPr>
        <w:drawing>
          <wp:inline distT="0" distB="0" distL="0" distR="0" wp14:anchorId="26602860" wp14:editId="5B4231E0">
            <wp:extent cx="3439160" cy="2711723"/>
            <wp:effectExtent l="0" t="0" r="8890" b="12700"/>
            <wp:docPr id="131538685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54F444B" w14:textId="5B6EE4E3" w:rsidR="004571E0" w:rsidRPr="005F13CA" w:rsidRDefault="004571E0" w:rsidP="004571E0">
      <w:pPr>
        <w:pStyle w:val="Caption"/>
        <w:jc w:val="center"/>
        <w:rPr>
          <w:rFonts w:ascii="Times New Roman" w:hAnsi="Times New Roman" w:cs="Times New Roman"/>
          <w:b/>
          <w:bCs/>
          <w:i w:val="0"/>
          <w:iCs w:val="0"/>
          <w:color w:val="auto"/>
          <w:sz w:val="22"/>
          <w:szCs w:val="22"/>
        </w:rPr>
      </w:pPr>
      <w:r w:rsidRPr="005F13CA">
        <w:rPr>
          <w:rFonts w:ascii="Times New Roman" w:hAnsi="Times New Roman" w:cs="Times New Roman"/>
          <w:b/>
          <w:bCs/>
          <w:i w:val="0"/>
          <w:iCs w:val="0"/>
          <w:color w:val="auto"/>
          <w:sz w:val="22"/>
          <w:szCs w:val="22"/>
        </w:rPr>
        <w:t xml:space="preserve">Figure </w:t>
      </w:r>
      <w:r w:rsidR="00CD48D2" w:rsidRPr="005F13CA">
        <w:rPr>
          <w:rFonts w:ascii="Times New Roman" w:hAnsi="Times New Roman" w:cs="Times New Roman"/>
          <w:b/>
          <w:bCs/>
          <w:i w:val="0"/>
          <w:iCs w:val="0"/>
          <w:color w:val="auto"/>
          <w:sz w:val="22"/>
          <w:szCs w:val="22"/>
        </w:rPr>
        <w:t>6</w:t>
      </w:r>
      <w:r w:rsidRPr="005F13CA">
        <w:rPr>
          <w:rFonts w:ascii="Times New Roman" w:hAnsi="Times New Roman" w:cs="Times New Roman"/>
          <w:b/>
          <w:bCs/>
          <w:i w:val="0"/>
          <w:iCs w:val="0"/>
          <w:color w:val="auto"/>
          <w:sz w:val="22"/>
          <w:szCs w:val="22"/>
        </w:rPr>
        <w:t xml:space="preserve"> Contribution of major disease groups to total DALY's In India 1990-2016</w:t>
      </w:r>
    </w:p>
    <w:p w14:paraId="6CFBC17E" w14:textId="77777777" w:rsidR="004571E0" w:rsidRPr="005F13CA" w:rsidRDefault="004571E0" w:rsidP="004571E0">
      <w:pPr>
        <w:pStyle w:val="Caption"/>
        <w:spacing w:line="360" w:lineRule="auto"/>
        <w:jc w:val="both"/>
        <w:rPr>
          <w:rFonts w:ascii="Times New Roman" w:eastAsia="Times New Roman" w:hAnsi="Times New Roman" w:cs="Times New Roman"/>
          <w:b/>
          <w:bCs/>
          <w:i w:val="0"/>
          <w:iCs w:val="0"/>
          <w:color w:val="auto"/>
          <w:kern w:val="0"/>
          <w:sz w:val="24"/>
          <w:szCs w:val="24"/>
          <w:lang w:eastAsia="en-IN"/>
          <w14:ligatures w14:val="none"/>
        </w:rPr>
      </w:pPr>
    </w:p>
    <w:p w14:paraId="113AED39" w14:textId="75324DED" w:rsidR="004571E0" w:rsidRPr="00D731EB" w:rsidRDefault="004571E0" w:rsidP="004571E0">
      <w:pPr>
        <w:pStyle w:val="Caption"/>
        <w:spacing w:line="480" w:lineRule="auto"/>
        <w:jc w:val="both"/>
        <w:rPr>
          <w:rFonts w:ascii="Times New Roman" w:eastAsia="Times New Roman" w:hAnsi="Times New Roman" w:cs="Times New Roman"/>
          <w:color w:val="4472C4" w:themeColor="accent1"/>
          <w:kern w:val="0"/>
          <w:sz w:val="24"/>
          <w:szCs w:val="24"/>
          <w:lang w:eastAsia="en-IN"/>
          <w14:ligatures w14:val="none"/>
        </w:rPr>
      </w:pPr>
      <w:r w:rsidRPr="00D731EB">
        <w:rPr>
          <w:rFonts w:ascii="Times New Roman" w:eastAsia="Times New Roman" w:hAnsi="Times New Roman" w:cs="Times New Roman"/>
          <w:i w:val="0"/>
          <w:iCs w:val="0"/>
          <w:color w:val="auto"/>
          <w:kern w:val="0"/>
          <w:sz w:val="24"/>
          <w:szCs w:val="24"/>
          <w:lang w:eastAsia="en-IN"/>
          <w14:ligatures w14:val="none"/>
        </w:rPr>
        <w:t>After independence, the country bore a high infectious and parasitic disease burden that continued up to 1980. However, by the 1990s, chronic illnesses became the leading health burden. Non-communicable diseases mortality showed a downward trend, dropping from 47.7% in 1969 to 22.1% in 1995, while deaths from non-communicable diseases increased from 35.9% to 55% during the same</w:t>
      </w:r>
      <w:r w:rsidR="00D24BAA">
        <w:rPr>
          <w:rFonts w:ascii="Times New Roman" w:eastAsia="Times New Roman" w:hAnsi="Times New Roman" w:cs="Times New Roman"/>
          <w:i w:val="0"/>
          <w:iCs w:val="0"/>
          <w:color w:val="auto"/>
          <w:kern w:val="0"/>
          <w:sz w:val="24"/>
          <w:szCs w:val="24"/>
          <w:lang w:eastAsia="en-IN"/>
          <w14:ligatures w14:val="none"/>
        </w:rPr>
        <w:t xml:space="preserve"> </w:t>
      </w:r>
      <w:r w:rsidRPr="00D731EB">
        <w:rPr>
          <w:rFonts w:ascii="Times New Roman" w:eastAsia="Times New Roman" w:hAnsi="Times New Roman" w:cs="Times New Roman"/>
          <w:i w:val="0"/>
          <w:iCs w:val="0"/>
          <w:color w:val="auto"/>
          <w:kern w:val="0"/>
          <w:sz w:val="24"/>
          <w:szCs w:val="24"/>
          <w:lang w:eastAsia="en-IN"/>
          <w14:ligatures w14:val="none"/>
        </w:rPr>
        <w:t>period</w:t>
      </w:r>
      <w:r w:rsidR="00FB5A95">
        <w:rPr>
          <w:rFonts w:ascii="Times New Roman" w:eastAsia="Times New Roman" w:hAnsi="Times New Roman" w:cs="Times New Roman"/>
          <w:i w:val="0"/>
          <w:iCs w:val="0"/>
          <w:color w:val="auto"/>
          <w:kern w:val="0"/>
          <w:sz w:val="24"/>
          <w:szCs w:val="24"/>
          <w:lang w:eastAsia="en-IN"/>
          <w14:ligatures w14:val="none"/>
        </w:rPr>
        <w:t xml:space="preserve"> </w:t>
      </w:r>
      <w:r w:rsidR="00FB5A95" w:rsidRPr="00DD5DB7">
        <w:rPr>
          <w:rFonts w:ascii="Times New Roman" w:eastAsia="Times New Roman" w:hAnsi="Times New Roman" w:cs="Times New Roman"/>
          <w:i w:val="0"/>
          <w:iCs w:val="0"/>
          <w:color w:val="auto"/>
          <w:kern w:val="0"/>
          <w:sz w:val="24"/>
          <w:szCs w:val="24"/>
          <w:lang w:eastAsia="en-IN"/>
          <w14:ligatures w14:val="none"/>
        </w:rPr>
        <w:fldChar w:fldCharType="begin"/>
      </w:r>
      <w:r w:rsidR="004A0500">
        <w:rPr>
          <w:rFonts w:ascii="Times New Roman" w:eastAsia="Times New Roman" w:hAnsi="Times New Roman" w:cs="Times New Roman"/>
          <w:i w:val="0"/>
          <w:iCs w:val="0"/>
          <w:color w:val="auto"/>
          <w:kern w:val="0"/>
          <w:sz w:val="24"/>
          <w:szCs w:val="24"/>
          <w:lang w:eastAsia="en-IN"/>
          <w14:ligatures w14:val="none"/>
        </w:rPr>
        <w:instrText xml:space="preserve"> ADDIN ZOTERO_ITEM CSL_CITATION {"citationID":"uokJCGaw","properties":{"formattedCitation":"(29)","plainCitation":"(29)","noteIndex":0},"citationItems":[{"id":464,"uris":["http://zotero.org/users/local/XRtc60WU/items/DQNNVNJ3"],"itemData":{"id":464,"type":"webpage","title":"The Continuing Fertility Transition | Twenty-First Century India: Population, Economy, Human Development, And The Environment | Oxford Academic","URL":"https://academic.oup.com/book/51980/chapter-abstract/420801554?redirectedFrom=fulltext","accessed":{"date-parts":[["2025",5,6]]}}}],"schema":"https://github.com/citation-style-language/schema/raw/master/csl-citation.json"} </w:instrText>
      </w:r>
      <w:r w:rsidR="00FB5A95" w:rsidRPr="00DD5DB7">
        <w:rPr>
          <w:rFonts w:ascii="Times New Roman" w:eastAsia="Times New Roman" w:hAnsi="Times New Roman" w:cs="Times New Roman"/>
          <w:i w:val="0"/>
          <w:iCs w:val="0"/>
          <w:color w:val="auto"/>
          <w:kern w:val="0"/>
          <w:sz w:val="24"/>
          <w:szCs w:val="24"/>
          <w:lang w:eastAsia="en-IN"/>
          <w14:ligatures w14:val="none"/>
        </w:rPr>
        <w:fldChar w:fldCharType="separate"/>
      </w:r>
      <w:r w:rsidR="004A0500" w:rsidRPr="004A0500">
        <w:rPr>
          <w:rFonts w:ascii="Times New Roman" w:hAnsi="Times New Roman" w:cs="Times New Roman"/>
          <w:sz w:val="24"/>
        </w:rPr>
        <w:t>(29)</w:t>
      </w:r>
      <w:r w:rsidR="00FB5A95" w:rsidRPr="00DD5DB7">
        <w:rPr>
          <w:rFonts w:ascii="Times New Roman" w:eastAsia="Times New Roman" w:hAnsi="Times New Roman" w:cs="Times New Roman"/>
          <w:i w:val="0"/>
          <w:iCs w:val="0"/>
          <w:color w:val="auto"/>
          <w:kern w:val="0"/>
          <w:sz w:val="24"/>
          <w:szCs w:val="24"/>
          <w:lang w:eastAsia="en-IN"/>
          <w14:ligatures w14:val="none"/>
        </w:rPr>
        <w:fldChar w:fldCharType="end"/>
      </w:r>
      <w:r w:rsidR="000D0C8F" w:rsidRPr="00DD5DB7">
        <w:rPr>
          <w:rFonts w:ascii="Times New Roman" w:eastAsia="Times New Roman" w:hAnsi="Times New Roman" w:cs="Times New Roman"/>
          <w:i w:val="0"/>
          <w:iCs w:val="0"/>
          <w:color w:val="auto"/>
          <w:kern w:val="0"/>
          <w:sz w:val="24"/>
          <w:szCs w:val="24"/>
          <w:lang w:eastAsia="en-IN"/>
          <w14:ligatures w14:val="none"/>
        </w:rPr>
        <w:t>.</w:t>
      </w:r>
      <w:r>
        <w:rPr>
          <w:rFonts w:ascii="Times New Roman" w:eastAsia="Times New Roman" w:hAnsi="Times New Roman" w:cs="Times New Roman"/>
          <w:i w:val="0"/>
          <w:iCs w:val="0"/>
          <w:color w:val="auto"/>
          <w:kern w:val="0"/>
          <w:sz w:val="24"/>
          <w:szCs w:val="24"/>
          <w:lang w:eastAsia="en-IN"/>
          <w14:ligatures w14:val="none"/>
        </w:rPr>
        <w:t xml:space="preserve"> </w:t>
      </w:r>
      <w:r w:rsidRPr="00AA1ACD">
        <w:rPr>
          <w:rFonts w:ascii="Times New Roman" w:eastAsia="Times New Roman" w:hAnsi="Times New Roman" w:cs="Times New Roman"/>
          <w:i w:val="0"/>
          <w:iCs w:val="0"/>
          <w:color w:val="auto"/>
          <w:kern w:val="0"/>
          <w:sz w:val="24"/>
          <w:szCs w:val="24"/>
          <w:lang w:eastAsia="en-IN"/>
          <w14:ligatures w14:val="none"/>
        </w:rPr>
        <w:t>The proportion of all deaths in India due to CMNNDs reduced from 53.6% in 1990 to 27.5% in 2016, those due to NCDs increased from 37.9% to 61.8%, and those due to injuries changed from 8.5% to 10.7%</w:t>
      </w:r>
      <w:r w:rsidR="006C57B3" w:rsidRPr="00E905D3">
        <w:rPr>
          <w:rFonts w:ascii="Times New Roman" w:eastAsia="Times New Roman" w:hAnsi="Times New Roman" w:cs="Times New Roman"/>
          <w:i w:val="0"/>
          <w:iCs w:val="0"/>
          <w:color w:val="000000" w:themeColor="text1"/>
          <w:kern w:val="0"/>
          <w:sz w:val="24"/>
          <w:szCs w:val="24"/>
          <w:lang w:eastAsia="en-IN"/>
          <w14:ligatures w14:val="none"/>
        </w:rPr>
        <w:fldChar w:fldCharType="begin"/>
      </w:r>
      <w:r w:rsidR="001B7573" w:rsidRPr="00E905D3">
        <w:rPr>
          <w:rFonts w:ascii="Times New Roman" w:eastAsia="Times New Roman" w:hAnsi="Times New Roman" w:cs="Times New Roman"/>
          <w:i w:val="0"/>
          <w:iCs w:val="0"/>
          <w:color w:val="000000" w:themeColor="text1"/>
          <w:kern w:val="0"/>
          <w:sz w:val="24"/>
          <w:szCs w:val="24"/>
          <w:lang w:eastAsia="en-IN"/>
          <w14:ligatures w14:val="none"/>
        </w:rPr>
        <w:instrText xml:space="preserve"> ADDIN ZOTERO_ITEM CSL_CITATION {"citationID":"Dyzw4ajT","properties":{"formattedCitation":"(5)","plainCitation":"(5)","noteIndex":0},"citationItems":[{"id":201,"uris":["http://zotero.org/users/local/XRtc60WU/items/R9JNXCS4"],"itemData":{"id":201,"type":"document","title":"2017-India-State-Level-Disease-Burden-Initiative-Full-Report.pdf","URL":"https://phfi.org/wp-content/uploads/2018/05/2017-India-State-Level-Disease-Burden-Initiative-Full-Report.pdf","accessed":{"date-parts":[["2024",9,6]]}}}],"schema":"https://github.com/citation-style-language/schema/raw/master/csl-citation.json"} </w:instrText>
      </w:r>
      <w:r w:rsidR="006C57B3" w:rsidRPr="00E905D3">
        <w:rPr>
          <w:rFonts w:ascii="Times New Roman" w:eastAsia="Times New Roman" w:hAnsi="Times New Roman" w:cs="Times New Roman"/>
          <w:i w:val="0"/>
          <w:iCs w:val="0"/>
          <w:color w:val="000000" w:themeColor="text1"/>
          <w:kern w:val="0"/>
          <w:sz w:val="24"/>
          <w:szCs w:val="24"/>
          <w:lang w:eastAsia="en-IN"/>
          <w14:ligatures w14:val="none"/>
        </w:rPr>
        <w:fldChar w:fldCharType="separate"/>
      </w:r>
      <w:r w:rsidR="001B7573" w:rsidRPr="00E905D3">
        <w:rPr>
          <w:rFonts w:ascii="Times New Roman" w:hAnsi="Times New Roman" w:cs="Times New Roman"/>
          <w:i w:val="0"/>
          <w:iCs w:val="0"/>
          <w:color w:val="000000" w:themeColor="text1"/>
          <w:sz w:val="24"/>
        </w:rPr>
        <w:t>(5)</w:t>
      </w:r>
      <w:r w:rsidR="006C57B3" w:rsidRPr="00E905D3">
        <w:rPr>
          <w:rFonts w:ascii="Times New Roman" w:eastAsia="Times New Roman" w:hAnsi="Times New Roman" w:cs="Times New Roman"/>
          <w:i w:val="0"/>
          <w:iCs w:val="0"/>
          <w:color w:val="000000" w:themeColor="text1"/>
          <w:kern w:val="0"/>
          <w:sz w:val="24"/>
          <w:szCs w:val="24"/>
          <w:lang w:eastAsia="en-IN"/>
          <w14:ligatures w14:val="none"/>
        </w:rPr>
        <w:fldChar w:fldCharType="end"/>
      </w:r>
      <w:r w:rsidRPr="00E905D3">
        <w:rPr>
          <w:rFonts w:ascii="Times New Roman" w:eastAsia="Times New Roman" w:hAnsi="Times New Roman" w:cs="Times New Roman"/>
          <w:i w:val="0"/>
          <w:iCs w:val="0"/>
          <w:color w:val="000000" w:themeColor="text1"/>
          <w:kern w:val="0"/>
          <w:sz w:val="24"/>
          <w:szCs w:val="24"/>
          <w:lang w:eastAsia="en-IN"/>
          <w14:ligatures w14:val="none"/>
        </w:rPr>
        <w:t xml:space="preserve"> </w:t>
      </w:r>
    </w:p>
    <w:p w14:paraId="1CAB4D4B" w14:textId="0C573855" w:rsidR="004571E0" w:rsidRPr="00EB46C5" w:rsidRDefault="0079426E" w:rsidP="004571E0">
      <w:pPr>
        <w:pStyle w:val="Caption"/>
        <w:spacing w:line="480" w:lineRule="auto"/>
        <w:jc w:val="both"/>
        <w:rPr>
          <w:rFonts w:ascii="Times New Roman" w:eastAsia="Times New Roman" w:hAnsi="Times New Roman" w:cs="Times New Roman"/>
          <w:b/>
          <w:bCs/>
          <w:i w:val="0"/>
          <w:iCs w:val="0"/>
          <w:color w:val="auto"/>
          <w:kern w:val="0"/>
          <w:sz w:val="24"/>
          <w:szCs w:val="24"/>
          <w:lang w:eastAsia="en-IN"/>
          <w14:ligatures w14:val="none"/>
        </w:rPr>
      </w:pPr>
      <w:r w:rsidRPr="0079426E">
        <w:rPr>
          <w:rFonts w:ascii="Times New Roman" w:eastAsia="Times New Roman" w:hAnsi="Times New Roman" w:cs="Times New Roman"/>
          <w:i w:val="0"/>
          <w:iCs w:val="0"/>
          <w:color w:val="auto"/>
          <w:kern w:val="0"/>
          <w:sz w:val="24"/>
          <w:szCs w:val="24"/>
          <w:lang w:val="en-US" w:eastAsia="en-IN"/>
          <w14:ligatures w14:val="none"/>
        </w:rPr>
        <w:t xml:space="preserve">A study conducted by Liu et al. analyzed trends in infectious disease-related mortality in BRICS countries from 1990 to 2019, using data from the Global Burden of Disease. In BRICS nations, the proportion of deaths due to infectious diseases decreased from 39% in 1990 to 32% in 2019. During both years, the leading causes of death were lower respiratory infections, tuberculosis, and diarrheal diseases. The study employed the Age-Standardized Mortality Rate (ASMR) to compare regions and periods, and trends in infectious disease mortality were quantified using the Estimated Annual Percentage Change (EAPC). Additionally, the study outlined the top 10 leading </w:t>
      </w:r>
      <w:r w:rsidRPr="0079426E">
        <w:rPr>
          <w:rFonts w:ascii="Times New Roman" w:eastAsia="Times New Roman" w:hAnsi="Times New Roman" w:cs="Times New Roman"/>
          <w:i w:val="0"/>
          <w:iCs w:val="0"/>
          <w:color w:val="auto"/>
          <w:kern w:val="0"/>
          <w:sz w:val="24"/>
          <w:szCs w:val="24"/>
          <w:lang w:val="en-US" w:eastAsia="en-IN"/>
          <w14:ligatures w14:val="none"/>
        </w:rPr>
        <w:lastRenderedPageBreak/>
        <w:t>causes of infectious diseases and their respective ASMR for the period from 1990 to 2019 in India.</w:t>
      </w:r>
      <w:r w:rsidRPr="0079426E">
        <w:rPr>
          <w:rFonts w:ascii="Times New Roman" w:eastAsia="Times New Roman" w:hAnsi="Times New Roman" w:cs="Times New Roman"/>
          <w:color w:val="auto"/>
          <w:kern w:val="0"/>
          <w:sz w:val="24"/>
          <w:szCs w:val="24"/>
          <w:lang w:val="en-US" w:eastAsia="en-IN"/>
          <w14:ligatures w14:val="none"/>
        </w:rPr>
        <w:t xml:space="preserve"> </w:t>
      </w:r>
      <w:r w:rsidR="008C7C80" w:rsidRPr="0020413A">
        <w:rPr>
          <w:rFonts w:ascii="Times New Roman" w:eastAsia="Times New Roman" w:hAnsi="Times New Roman" w:cs="Times New Roman"/>
          <w:i w:val="0"/>
          <w:iCs w:val="0"/>
          <w:color w:val="auto"/>
          <w:kern w:val="0"/>
          <w:sz w:val="24"/>
          <w:szCs w:val="24"/>
          <w:lang w:eastAsia="en-IN"/>
          <w14:ligatures w14:val="none"/>
        </w:rPr>
        <w:fldChar w:fldCharType="begin"/>
      </w:r>
      <w:r w:rsidR="004A0500">
        <w:rPr>
          <w:rFonts w:ascii="Times New Roman" w:eastAsia="Times New Roman" w:hAnsi="Times New Roman" w:cs="Times New Roman"/>
          <w:i w:val="0"/>
          <w:iCs w:val="0"/>
          <w:color w:val="auto"/>
          <w:kern w:val="0"/>
          <w:sz w:val="24"/>
          <w:szCs w:val="24"/>
          <w:lang w:eastAsia="en-IN"/>
          <w14:ligatures w14:val="none"/>
        </w:rPr>
        <w:instrText xml:space="preserve"> ADDIN ZOTERO_ITEM CSL_CITATION {"citationID":"ix9sY5FU","properties":{"formattedCitation":"(30)","plainCitation":"(30)","noteIndex":0},"citationItems":[{"id":282,"uris":["http://zotero.org/users/local/XRtc60WU/items/2KH9Y2DL"],"itemData":{"id":282,"type":"post-weblog","abstract":"BRICS – Brazil, Russia, India, China, and South Africa – represented more than 40% of the world’s population, around 25% of the world’s gross national income, about 50% of the world’s poor, and about 40% of the global burden of disease [1,2]. During the coronavirus disease 2019 (COVID-19) pandemic, BRICS together accounted for almost 30% […]","container-title":"JOGH","language":"en-GB","title":"Health disparity and mortality trends of infectious diseases in BRICS from 1990 to 2019","URL":"https://jogh.org/2022/jogh-12-04028/","author":[{"family":"Getzzg","given":""}],"accessed":{"date-parts":[["2024",9,19]]},"issued":{"date-parts":[["2022",3,26]]}}}],"schema":"https://github.com/citation-style-language/schema/raw/master/csl-citation.json"} </w:instrText>
      </w:r>
      <w:r w:rsidR="008C7C80" w:rsidRPr="0020413A">
        <w:rPr>
          <w:rFonts w:ascii="Times New Roman" w:eastAsia="Times New Roman" w:hAnsi="Times New Roman" w:cs="Times New Roman"/>
          <w:i w:val="0"/>
          <w:iCs w:val="0"/>
          <w:color w:val="auto"/>
          <w:kern w:val="0"/>
          <w:sz w:val="24"/>
          <w:szCs w:val="24"/>
          <w:lang w:eastAsia="en-IN"/>
          <w14:ligatures w14:val="none"/>
        </w:rPr>
        <w:fldChar w:fldCharType="separate"/>
      </w:r>
      <w:r w:rsidR="004A0500" w:rsidRPr="00320F04">
        <w:rPr>
          <w:rFonts w:ascii="Times New Roman" w:hAnsi="Times New Roman" w:cs="Times New Roman"/>
          <w:i w:val="0"/>
          <w:iCs w:val="0"/>
          <w:color w:val="000000" w:themeColor="text1"/>
          <w:sz w:val="24"/>
        </w:rPr>
        <w:t>(30</w:t>
      </w:r>
      <w:r w:rsidR="004A0500" w:rsidRPr="004A0500">
        <w:rPr>
          <w:rFonts w:ascii="Times New Roman" w:hAnsi="Times New Roman" w:cs="Times New Roman"/>
          <w:sz w:val="24"/>
        </w:rPr>
        <w:t>)</w:t>
      </w:r>
      <w:r w:rsidR="008C7C80" w:rsidRPr="0020413A">
        <w:rPr>
          <w:rFonts w:ascii="Times New Roman" w:eastAsia="Times New Roman" w:hAnsi="Times New Roman" w:cs="Times New Roman"/>
          <w:i w:val="0"/>
          <w:iCs w:val="0"/>
          <w:color w:val="auto"/>
          <w:kern w:val="0"/>
          <w:sz w:val="24"/>
          <w:szCs w:val="24"/>
          <w:lang w:eastAsia="en-IN"/>
          <w14:ligatures w14:val="none"/>
        </w:rPr>
        <w:fldChar w:fldCharType="end"/>
      </w:r>
      <w:r w:rsidR="00984ADF">
        <w:rPr>
          <w:rFonts w:ascii="Times New Roman" w:eastAsia="Times New Roman" w:hAnsi="Times New Roman" w:cs="Times New Roman"/>
          <w:i w:val="0"/>
          <w:iCs w:val="0"/>
          <w:color w:val="auto"/>
          <w:kern w:val="0"/>
          <w:sz w:val="24"/>
          <w:szCs w:val="24"/>
          <w:lang w:eastAsia="en-IN"/>
          <w14:ligatures w14:val="none"/>
        </w:rPr>
        <w:t xml:space="preserve"> (Table </w:t>
      </w:r>
      <w:r w:rsidR="00D84629">
        <w:rPr>
          <w:rFonts w:ascii="Times New Roman" w:eastAsia="Times New Roman" w:hAnsi="Times New Roman" w:cs="Times New Roman"/>
          <w:i w:val="0"/>
          <w:iCs w:val="0"/>
          <w:color w:val="auto"/>
          <w:kern w:val="0"/>
          <w:sz w:val="24"/>
          <w:szCs w:val="24"/>
          <w:lang w:eastAsia="en-IN"/>
          <w14:ligatures w14:val="none"/>
        </w:rPr>
        <w:t>2</w:t>
      </w:r>
      <w:r w:rsidR="009D196E">
        <w:rPr>
          <w:rFonts w:ascii="Times New Roman" w:eastAsia="Times New Roman" w:hAnsi="Times New Roman" w:cs="Times New Roman"/>
          <w:i w:val="0"/>
          <w:iCs w:val="0"/>
          <w:color w:val="auto"/>
          <w:kern w:val="0"/>
          <w:sz w:val="24"/>
          <w:szCs w:val="24"/>
          <w:lang w:eastAsia="en-IN"/>
          <w14:ligatures w14:val="none"/>
        </w:rPr>
        <w:t>&amp;</w:t>
      </w:r>
      <w:r w:rsidR="00D84629">
        <w:rPr>
          <w:rFonts w:ascii="Times New Roman" w:eastAsia="Times New Roman" w:hAnsi="Times New Roman" w:cs="Times New Roman"/>
          <w:i w:val="0"/>
          <w:iCs w:val="0"/>
          <w:color w:val="auto"/>
          <w:kern w:val="0"/>
          <w:sz w:val="24"/>
          <w:szCs w:val="24"/>
          <w:lang w:eastAsia="en-IN"/>
          <w14:ligatures w14:val="none"/>
        </w:rPr>
        <w:t>3</w:t>
      </w:r>
      <w:r w:rsidR="009D196E">
        <w:rPr>
          <w:rFonts w:ascii="Times New Roman" w:eastAsia="Times New Roman" w:hAnsi="Times New Roman" w:cs="Times New Roman"/>
          <w:i w:val="0"/>
          <w:iCs w:val="0"/>
          <w:color w:val="auto"/>
          <w:kern w:val="0"/>
          <w:sz w:val="24"/>
          <w:szCs w:val="24"/>
          <w:lang w:eastAsia="en-IN"/>
          <w14:ligatures w14:val="none"/>
        </w:rPr>
        <w:t>)</w:t>
      </w:r>
    </w:p>
    <w:p w14:paraId="72C108D0" w14:textId="68B31D20" w:rsidR="004571E0" w:rsidRDefault="00D66E7F" w:rsidP="004571E0">
      <w:pPr>
        <w:spacing w:line="480" w:lineRule="auto"/>
        <w:jc w:val="both"/>
        <w:rPr>
          <w:sz w:val="24"/>
          <w:szCs w:val="24"/>
          <w:lang w:eastAsia="en-IN"/>
        </w:rPr>
      </w:pPr>
      <w:proofErr w:type="spellStart"/>
      <w:r w:rsidRPr="00D66E7F">
        <w:rPr>
          <w:sz w:val="24"/>
          <w:szCs w:val="24"/>
          <w:lang w:eastAsia="en-IN"/>
        </w:rPr>
        <w:t>Brahmankar</w:t>
      </w:r>
      <w:proofErr w:type="spellEnd"/>
      <w:r w:rsidRPr="00D66E7F">
        <w:rPr>
          <w:sz w:val="24"/>
          <w:szCs w:val="24"/>
          <w:lang w:eastAsia="en-IN"/>
        </w:rPr>
        <w:t xml:space="preserve"> and Dhar conducted a comprehensive analysis to examine morbidity transitions at both national and subnational levels in India from 1995 to 2018. Their study utilized data from four rounds of the National Sample Survey Organization (NSSO): the 52nd, 60th, 71st, and 75th rounds</w:t>
      </w:r>
      <w:r w:rsidR="00EF051F">
        <w:rPr>
          <w:sz w:val="24"/>
          <w:szCs w:val="24"/>
          <w:lang w:eastAsia="en-IN"/>
        </w:rPr>
        <w:t xml:space="preserve"> in Figure 7.</w:t>
      </w:r>
      <w:r w:rsidRPr="00D66E7F">
        <w:rPr>
          <w:sz w:val="24"/>
          <w:szCs w:val="24"/>
          <w:lang w:eastAsia="en-IN"/>
        </w:rPr>
        <w:t xml:space="preserve"> The findings revealed a steady and significant increase in various morbidities, which doubled consistently from 1995 to 2018, following a parabolic pattern over the three decades. Infectious and communicable diseases (</w:t>
      </w:r>
      <w:proofErr w:type="spellStart"/>
      <w:r w:rsidRPr="00D66E7F">
        <w:rPr>
          <w:sz w:val="24"/>
          <w:szCs w:val="24"/>
          <w:lang w:eastAsia="en-IN"/>
        </w:rPr>
        <w:t>In&amp;CDs</w:t>
      </w:r>
      <w:proofErr w:type="spellEnd"/>
      <w:r w:rsidRPr="00D66E7F">
        <w:rPr>
          <w:sz w:val="24"/>
          <w:szCs w:val="24"/>
          <w:lang w:eastAsia="en-IN"/>
        </w:rPr>
        <w:t xml:space="preserve">), non-communicable diseases (NCDs), and disabilities (excluding injuries) showed a decline in prevalence since 2004. However, despite this modest reduction, NCDs surged threefold, while </w:t>
      </w:r>
      <w:proofErr w:type="spellStart"/>
      <w:proofErr w:type="gramStart"/>
      <w:r w:rsidRPr="00D66E7F">
        <w:rPr>
          <w:sz w:val="24"/>
          <w:szCs w:val="24"/>
          <w:lang w:eastAsia="en-IN"/>
        </w:rPr>
        <w:t>In</w:t>
      </w:r>
      <w:proofErr w:type="gramEnd"/>
      <w:r w:rsidRPr="00D66E7F">
        <w:rPr>
          <w:sz w:val="24"/>
          <w:szCs w:val="24"/>
          <w:lang w:eastAsia="en-IN"/>
        </w:rPr>
        <w:t>&amp;CDs</w:t>
      </w:r>
      <w:proofErr w:type="spellEnd"/>
      <w:r w:rsidRPr="00D66E7F">
        <w:rPr>
          <w:sz w:val="24"/>
          <w:szCs w:val="24"/>
          <w:lang w:eastAsia="en-IN"/>
        </w:rPr>
        <w:t xml:space="preserve"> experienced a twofold increase, illustrating India's dual burden of disease. This trend aligns with the epidemiological transition observed in several other countries. The study also highlighted significant regional variations in disease prevalence across India. The southern region bears the highest burden, particularly in terms of NCDs and disabilities, while the northeastern and western regions show a greater prevalence of infectious and communicable diseases (</w:t>
      </w:r>
      <w:proofErr w:type="spellStart"/>
      <w:r w:rsidRPr="00D66E7F">
        <w:rPr>
          <w:sz w:val="24"/>
          <w:szCs w:val="24"/>
          <w:lang w:eastAsia="en-IN"/>
        </w:rPr>
        <w:t>In&amp;CDs</w:t>
      </w:r>
      <w:proofErr w:type="spellEnd"/>
      <w:r w:rsidRPr="00D66E7F">
        <w:rPr>
          <w:sz w:val="24"/>
          <w:szCs w:val="24"/>
          <w:lang w:eastAsia="en-IN"/>
        </w:rPr>
        <w:t>). Among the northeastern states, Manipur has the lowest prevalence of morbidity, followed by Mizoram, Nagaland, Meghalaya, and others in the region.</w:t>
      </w:r>
      <w:r w:rsidR="0099307B">
        <w:rPr>
          <w:sz w:val="24"/>
          <w:szCs w:val="24"/>
          <w:lang w:eastAsia="en-IN"/>
        </w:rPr>
        <w:fldChar w:fldCharType="begin"/>
      </w:r>
      <w:r w:rsidR="004A0500">
        <w:rPr>
          <w:sz w:val="24"/>
          <w:szCs w:val="24"/>
          <w:lang w:eastAsia="en-IN"/>
        </w:rPr>
        <w:instrText xml:space="preserve"> ADDIN ZOTERO_ITEM CSL_CITATION {"citationID":"Ps2SSFZK","properties":{"formattedCitation":"(31)","plainCitation":"(31)","noteIndex":0},"citationItems":[{"id":468,"uris":["http://zotero.org/users/local/XRtc60WU/items/U2MMKLEN"],"itemData":{"id":468,"type":"article-journal","abstract":"The study delves into the epidemiological transition, examining the intricate changes in health status patterns and their connection to morbidities. Specifically, it assesses morbidity transition at both national and subnational levels in India and their determinants from 1995 to 2018. This study examines self-reported morbidities in India by utilising four rounds of National Sample Survey Organisation (NSSO) data (52nd, 60th, 71st, and 75th) from 1995–2018. We estimated prevalence by conducting descriptive analysis on socio-demographic determinants and morbidities such as: Infectious and Communicable Diseases (In&amp;CDs), Non-communicable diseases (NCDs), Disability and other diseases. Moreover, we employed pooled regression analysis to explore morbidity risk transitions over the past decades. The study revealed a steady upsurge in morbidity prevalence in India, doubling from 56 (per thousand) in 1995 to 106 in 2014. However, a considerable decline was observed in the most recent round in 2018 (79 per thousand). From 1995 to 2018, NCDs gained a prominent share in morbidity trends. Kerala in the southern region reported the highest rates, followed by states like Lakshadweep, Andhra Pradesh, Karnataka, West Bengal, Punjab, and others. Age, sex, residence, education, caste, religion, and wealth are pivotal factors in determining the severity of different disease burdens in different sections of the population in India. Over the study period (1995, 2004, 2014, and 2018), the odds of reported morbidities risk transition significantly increased over successive decades: 1.81 times in 2004 (95% CI: 1.78–1.84), 2.16 times in 2014 (95% CI: 2.12–2.2), and 1.44 times in 2018 (95% CI: 1.41–1.46), compared to 1995 (52nd round). The study reveals significant disparities in morbidity reporting across Indian states from 1995 to 2018, attributed to distinct demographic, social, and economic determinants. India continues to grapple with the dual burden of diseases, but the NCDs burden is mounting at a faster pace than CDs.","container-title":"PLOS ONE","DOI":"10.1371/journal.pone.0304492","ISSN":"1932-6203","issue":"6","journalAbbreviation":"PLoS One","note":"PMID: 38905255\nPMCID: PMC11192379","page":"e0304492","source":"PubMed Central","title":"Morbidity transition at the national and sub-national level and their determinants over the past and contemporary period in India","volume":"19","author":[{"family":"Bramhankar","given":"Mahadev"},{"family":"Dhar","given":"Murali"}],"issued":{"date-parts":[["2024",6,21]]}}}],"schema":"https://github.com/citation-style-language/schema/raw/master/csl-citation.json"} </w:instrText>
      </w:r>
      <w:r w:rsidR="0099307B">
        <w:rPr>
          <w:sz w:val="24"/>
          <w:szCs w:val="24"/>
          <w:lang w:eastAsia="en-IN"/>
        </w:rPr>
        <w:fldChar w:fldCharType="separate"/>
      </w:r>
      <w:r w:rsidR="004A0500" w:rsidRPr="004A0500">
        <w:rPr>
          <w:sz w:val="24"/>
        </w:rPr>
        <w:t>(31)</w:t>
      </w:r>
      <w:r w:rsidR="0099307B">
        <w:rPr>
          <w:sz w:val="24"/>
          <w:szCs w:val="24"/>
          <w:lang w:eastAsia="en-IN"/>
        </w:rPr>
        <w:fldChar w:fldCharType="end"/>
      </w:r>
      <w:r w:rsidR="004571E0" w:rsidRPr="00AA2E4A">
        <w:rPr>
          <w:sz w:val="24"/>
          <w:szCs w:val="24"/>
          <w:lang w:eastAsia="en-IN"/>
        </w:rPr>
        <w:t>.</w:t>
      </w:r>
    </w:p>
    <w:p w14:paraId="727C1A35" w14:textId="08666292" w:rsidR="004571E0" w:rsidRDefault="004571E0" w:rsidP="004571E0">
      <w:pPr>
        <w:spacing w:line="480" w:lineRule="auto"/>
        <w:jc w:val="both"/>
        <w:rPr>
          <w:sz w:val="24"/>
          <w:szCs w:val="24"/>
          <w:lang w:eastAsia="en-IN"/>
        </w:rPr>
      </w:pPr>
      <w:r>
        <w:rPr>
          <w:sz w:val="24"/>
          <w:szCs w:val="24"/>
          <w:lang w:eastAsia="en-IN"/>
        </w:rPr>
        <w:t xml:space="preserve"> The incidence of infectious as per another author’s calculation of NSSO 75</w:t>
      </w:r>
      <w:r w:rsidRPr="005825B2">
        <w:rPr>
          <w:sz w:val="24"/>
          <w:szCs w:val="24"/>
          <w:vertAlign w:val="superscript"/>
          <w:lang w:eastAsia="en-IN"/>
        </w:rPr>
        <w:t>th</w:t>
      </w:r>
      <w:r>
        <w:rPr>
          <w:sz w:val="24"/>
          <w:szCs w:val="24"/>
          <w:lang w:eastAsia="en-IN"/>
        </w:rPr>
        <w:t xml:space="preserve"> round is depicted in figure </w:t>
      </w:r>
      <w:r w:rsidR="00EF051F">
        <w:rPr>
          <w:sz w:val="24"/>
          <w:szCs w:val="24"/>
          <w:lang w:eastAsia="en-IN"/>
        </w:rPr>
        <w:t>8</w:t>
      </w:r>
      <w:r>
        <w:rPr>
          <w:sz w:val="24"/>
          <w:szCs w:val="24"/>
          <w:lang w:eastAsia="en-IN"/>
        </w:rPr>
        <w:t xml:space="preserve">. </w:t>
      </w:r>
      <w:r>
        <w:rPr>
          <w:caps/>
          <w:sz w:val="24"/>
          <w:szCs w:val="24"/>
          <w:lang w:eastAsia="en-IN"/>
        </w:rPr>
        <w:t>A</w:t>
      </w:r>
      <w:r>
        <w:rPr>
          <w:sz w:val="24"/>
          <w:szCs w:val="24"/>
          <w:lang w:eastAsia="en-IN"/>
        </w:rPr>
        <w:t xml:space="preserve">mong various infectious disease </w:t>
      </w:r>
      <w:r w:rsidR="00EF051F">
        <w:rPr>
          <w:sz w:val="24"/>
          <w:szCs w:val="24"/>
          <w:lang w:eastAsia="en-IN"/>
        </w:rPr>
        <w:t>Acute viral hepatitis</w:t>
      </w:r>
      <w:r>
        <w:rPr>
          <w:sz w:val="24"/>
          <w:szCs w:val="24"/>
          <w:lang w:eastAsia="en-IN"/>
        </w:rPr>
        <w:t xml:space="preserve">, malaria, tuberculosis, typhoid, dengue fever and chikungunya have a relatively higher incidence among rural population </w:t>
      </w:r>
      <w:r w:rsidR="002C7C35">
        <w:rPr>
          <w:sz w:val="24"/>
          <w:szCs w:val="24"/>
          <w:lang w:eastAsia="en-IN"/>
        </w:rPr>
        <w:fldChar w:fldCharType="begin"/>
      </w:r>
      <w:r w:rsidR="004A0500">
        <w:rPr>
          <w:sz w:val="24"/>
          <w:szCs w:val="24"/>
          <w:lang w:eastAsia="en-IN"/>
        </w:rPr>
        <w:instrText xml:space="preserve"> ADDIN ZOTERO_ITEM CSL_CITATION {"citationID":"cLr8E4n0","properties":{"formattedCitation":"(32)","plainCitation":"(32)","noteIndex":0},"citationItems":[{"id":471,"uris":["http://zotero.org/users/local/XRtc60WU/items/GTA5P2B7"],"itemData":{"id":471,"type":"article-journal","abstract":"By using nationally representative consumption expenditure surveys (CES) conducted by the National Sample Survey Organisation (NSSO) in 1999–2000, 2004–05 and 2011–12, this paper has analysed the socioeconomic differentials in the burden of paying for healthcare in India. The study found that in all waves of data, the concentration of population reporting OOP health expenditure has shown a shift towards poor population, while the concentration of overshoot expenditure is still constant among the rich which is more pronounced in the rural areas of the country. Furthermore, Muslims and Sikhs among different religions, Scheduled Casts among social categories, self-employed and casual/agricultural labour among household types and rural areas among sectors are more likely to incur OOP health expenditure as compared to their counterparts. This study argues for the universal health insurance coverage to protect households from the significant burden of expenditure on critical healthcare","container-title":"Health Systems","DOI":"10.1080/20476965.2020.1848356","ISSN":"2047-6965","issue":"1","note":"publisher: Taylor &amp; Francis\n_eprint: https://doi.org/10.1080/20476965.2020.1848356","page":"48-58","source":"Taylor and Francis+NEJM","title":"Socioeconomic differentials in the burden of paying for healthcare in India: a disaggregated analysis","title-short":"Socioeconomic differentials in the burden of paying for healthcare in India","volume":"11","author":[{"family":"Thakur","given":"Ramna"},{"family":"Sangar","given":"Shivendra","non-dropping-particle":"and"}],"issued":{"date-parts":[["2022",1,2]]}}}],"schema":"https://github.com/citation-style-language/schema/raw/master/csl-citation.json"} </w:instrText>
      </w:r>
      <w:r w:rsidR="002C7C35">
        <w:rPr>
          <w:sz w:val="24"/>
          <w:szCs w:val="24"/>
          <w:lang w:eastAsia="en-IN"/>
        </w:rPr>
        <w:fldChar w:fldCharType="separate"/>
      </w:r>
      <w:r w:rsidR="004A0500" w:rsidRPr="004A0500">
        <w:rPr>
          <w:sz w:val="24"/>
        </w:rPr>
        <w:t>(32)</w:t>
      </w:r>
      <w:r w:rsidR="002C7C35">
        <w:rPr>
          <w:sz w:val="24"/>
          <w:szCs w:val="24"/>
          <w:lang w:eastAsia="en-IN"/>
        </w:rPr>
        <w:fldChar w:fldCharType="end"/>
      </w:r>
    </w:p>
    <w:p w14:paraId="59DC173E" w14:textId="77777777" w:rsidR="00D2536C" w:rsidRPr="0002654F" w:rsidRDefault="00D2536C" w:rsidP="004571E0">
      <w:pPr>
        <w:spacing w:line="480" w:lineRule="auto"/>
        <w:jc w:val="both"/>
        <w:rPr>
          <w:sz w:val="24"/>
          <w:szCs w:val="24"/>
          <w:lang w:eastAsia="en-IN"/>
        </w:rPr>
      </w:pPr>
    </w:p>
    <w:p w14:paraId="1E064CD5" w14:textId="77777777" w:rsidR="004571E0" w:rsidRDefault="004571E0" w:rsidP="004571E0">
      <w:pPr>
        <w:spacing w:line="360" w:lineRule="auto"/>
        <w:rPr>
          <w:sz w:val="24"/>
          <w:szCs w:val="24"/>
          <w:lang w:eastAsia="en-IN"/>
        </w:rPr>
      </w:pPr>
    </w:p>
    <w:p w14:paraId="72BE384E" w14:textId="691FF000" w:rsidR="004571E0" w:rsidRDefault="00D2536C" w:rsidP="00D2536C">
      <w:pPr>
        <w:spacing w:line="360" w:lineRule="auto"/>
        <w:jc w:val="center"/>
        <w:rPr>
          <w:sz w:val="24"/>
          <w:szCs w:val="24"/>
          <w:lang w:eastAsia="en-IN"/>
        </w:rPr>
      </w:pPr>
      <w:r w:rsidRPr="00657478">
        <w:rPr>
          <w:noProof/>
          <w:sz w:val="24"/>
          <w:szCs w:val="24"/>
          <w14:ligatures w14:val="standardContextual"/>
        </w:rPr>
        <w:lastRenderedPageBreak/>
        <w:drawing>
          <wp:inline distT="0" distB="0" distL="0" distR="0" wp14:anchorId="094731DB" wp14:editId="18201E99">
            <wp:extent cx="6088380" cy="3721395"/>
            <wp:effectExtent l="0" t="0" r="7620" b="12700"/>
            <wp:docPr id="63436567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682F9A2" w14:textId="03DAE914" w:rsidR="004571E0" w:rsidRDefault="004571E0" w:rsidP="004571E0">
      <w:pPr>
        <w:keepNext/>
        <w:spacing w:line="360" w:lineRule="auto"/>
        <w:jc w:val="center"/>
      </w:pPr>
    </w:p>
    <w:p w14:paraId="69AF618A" w14:textId="72A2326B" w:rsidR="004571E0" w:rsidRPr="002221AB" w:rsidRDefault="004571E0" w:rsidP="004571E0">
      <w:pPr>
        <w:pStyle w:val="Caption"/>
        <w:jc w:val="center"/>
        <w:rPr>
          <w:rFonts w:ascii="Times New Roman" w:hAnsi="Times New Roman" w:cs="Times New Roman"/>
          <w:i w:val="0"/>
          <w:iCs w:val="0"/>
          <w:color w:val="auto"/>
          <w:sz w:val="22"/>
          <w:szCs w:val="22"/>
        </w:rPr>
      </w:pPr>
      <w:r w:rsidRPr="00CD48D2">
        <w:rPr>
          <w:rFonts w:ascii="Times New Roman" w:hAnsi="Times New Roman" w:cs="Times New Roman"/>
          <w:b/>
          <w:bCs/>
          <w:i w:val="0"/>
          <w:iCs w:val="0"/>
          <w:color w:val="auto"/>
          <w:sz w:val="22"/>
          <w:szCs w:val="22"/>
        </w:rPr>
        <w:t xml:space="preserve">Figure </w:t>
      </w:r>
      <w:r w:rsidR="00CD48D2" w:rsidRPr="00CD48D2">
        <w:rPr>
          <w:rFonts w:ascii="Times New Roman" w:hAnsi="Times New Roman" w:cs="Times New Roman"/>
          <w:b/>
          <w:bCs/>
          <w:i w:val="0"/>
          <w:iCs w:val="0"/>
          <w:color w:val="auto"/>
          <w:sz w:val="22"/>
          <w:szCs w:val="22"/>
        </w:rPr>
        <w:t>7.</w:t>
      </w:r>
      <w:r w:rsidRPr="00CD48D2">
        <w:rPr>
          <w:rFonts w:ascii="Times New Roman" w:hAnsi="Times New Roman" w:cs="Times New Roman"/>
          <w:b/>
          <w:bCs/>
          <w:i w:val="0"/>
          <w:iCs w:val="0"/>
          <w:color w:val="auto"/>
          <w:sz w:val="22"/>
          <w:szCs w:val="22"/>
        </w:rPr>
        <w:t xml:space="preserve"> Prevalence of self-reported morbidities (per 1000) in India, 1995–2018</w:t>
      </w:r>
      <w:r w:rsidRPr="002221AB">
        <w:rPr>
          <w:rFonts w:ascii="Times New Roman" w:hAnsi="Times New Roman" w:cs="Times New Roman"/>
          <w:i w:val="0"/>
          <w:iCs w:val="0"/>
          <w:color w:val="auto"/>
          <w:sz w:val="22"/>
          <w:szCs w:val="22"/>
        </w:rPr>
        <w:t>.</w:t>
      </w:r>
    </w:p>
    <w:p w14:paraId="083DD2FD" w14:textId="77777777" w:rsidR="004571E0" w:rsidRPr="00AE5710" w:rsidRDefault="004571E0" w:rsidP="004571E0">
      <w:pPr>
        <w:rPr>
          <w:i/>
          <w:iCs/>
        </w:rPr>
      </w:pPr>
    </w:p>
    <w:p w14:paraId="46D3DDF2" w14:textId="77777777" w:rsidR="004571E0" w:rsidRPr="00040B37" w:rsidRDefault="004571E0" w:rsidP="004571E0"/>
    <w:p w14:paraId="48F662EE" w14:textId="3BAA3475" w:rsidR="004571E0" w:rsidRDefault="0093091D" w:rsidP="00570202">
      <w:pPr>
        <w:keepNext/>
        <w:jc w:val="center"/>
      </w:pPr>
      <w:r>
        <w:rPr>
          <w:noProof/>
          <w14:ligatures w14:val="standardContextual"/>
        </w:rPr>
        <w:drawing>
          <wp:inline distT="0" distB="0" distL="0" distR="0" wp14:anchorId="0BAB40F4" wp14:editId="58F94412">
            <wp:extent cx="6545580" cy="4419600"/>
            <wp:effectExtent l="0" t="0" r="7620" b="0"/>
            <wp:docPr id="347027172" name="Chart 1">
              <a:extLst xmlns:a="http://schemas.openxmlformats.org/drawingml/2006/main">
                <a:ext uri="{FF2B5EF4-FFF2-40B4-BE49-F238E27FC236}">
                  <a16:creationId xmlns:a16="http://schemas.microsoft.com/office/drawing/2014/main" id="{37F1E324-BD5B-92C5-6999-447CA3B197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3E3262" w14:textId="2DDAC3E6" w:rsidR="004571E0" w:rsidRPr="00143902" w:rsidRDefault="004571E0" w:rsidP="004571E0">
      <w:pPr>
        <w:pStyle w:val="Caption"/>
        <w:jc w:val="center"/>
        <w:rPr>
          <w:rFonts w:ascii="Times New Roman" w:hAnsi="Times New Roman" w:cs="Times New Roman"/>
          <w:b/>
          <w:bCs/>
          <w:i w:val="0"/>
          <w:iCs w:val="0"/>
          <w:color w:val="auto"/>
          <w:sz w:val="22"/>
          <w:szCs w:val="22"/>
        </w:rPr>
      </w:pPr>
      <w:r w:rsidRPr="00143902">
        <w:rPr>
          <w:rFonts w:ascii="Times New Roman" w:hAnsi="Times New Roman" w:cs="Times New Roman"/>
          <w:b/>
          <w:bCs/>
          <w:i w:val="0"/>
          <w:iCs w:val="0"/>
          <w:color w:val="auto"/>
          <w:sz w:val="22"/>
          <w:szCs w:val="22"/>
        </w:rPr>
        <w:t xml:space="preserve">Figure </w:t>
      </w:r>
      <w:r w:rsidR="00CD48D2">
        <w:rPr>
          <w:rFonts w:ascii="Times New Roman" w:hAnsi="Times New Roman" w:cs="Times New Roman"/>
          <w:b/>
          <w:bCs/>
          <w:i w:val="0"/>
          <w:iCs w:val="0"/>
          <w:color w:val="auto"/>
          <w:sz w:val="22"/>
          <w:szCs w:val="22"/>
        </w:rPr>
        <w:t>8</w:t>
      </w:r>
      <w:r w:rsidRPr="00143902">
        <w:rPr>
          <w:rFonts w:ascii="Times New Roman" w:hAnsi="Times New Roman" w:cs="Times New Roman"/>
          <w:b/>
          <w:bCs/>
          <w:i w:val="0"/>
          <w:iCs w:val="0"/>
          <w:color w:val="auto"/>
          <w:sz w:val="22"/>
          <w:szCs w:val="22"/>
        </w:rPr>
        <w:t xml:space="preserve"> </w:t>
      </w:r>
      <w:r w:rsidR="00570E02" w:rsidRPr="00143902">
        <w:rPr>
          <w:rFonts w:ascii="Times New Roman" w:hAnsi="Times New Roman" w:cs="Times New Roman"/>
          <w:b/>
          <w:bCs/>
          <w:i w:val="0"/>
          <w:iCs w:val="0"/>
          <w:color w:val="auto"/>
          <w:sz w:val="22"/>
          <w:szCs w:val="22"/>
        </w:rPr>
        <w:t xml:space="preserve">Incidence of various diseases </w:t>
      </w:r>
      <w:r w:rsidR="00143902" w:rsidRPr="00143902">
        <w:rPr>
          <w:rFonts w:ascii="Times New Roman" w:hAnsi="Times New Roman" w:cs="Times New Roman"/>
          <w:b/>
          <w:bCs/>
          <w:i w:val="0"/>
          <w:iCs w:val="0"/>
          <w:color w:val="auto"/>
          <w:sz w:val="22"/>
          <w:szCs w:val="22"/>
        </w:rPr>
        <w:t xml:space="preserve">from </w:t>
      </w:r>
      <w:r w:rsidRPr="00143902">
        <w:rPr>
          <w:rFonts w:ascii="Times New Roman" w:hAnsi="Times New Roman" w:cs="Times New Roman"/>
          <w:b/>
          <w:bCs/>
          <w:i w:val="0"/>
          <w:iCs w:val="0"/>
          <w:color w:val="auto"/>
          <w:sz w:val="22"/>
          <w:szCs w:val="22"/>
        </w:rPr>
        <w:t>NSSO 75th Round</w:t>
      </w:r>
    </w:p>
    <w:p w14:paraId="001F9EFD" w14:textId="77777777" w:rsidR="004571E0" w:rsidRPr="002E63F8" w:rsidRDefault="004571E0" w:rsidP="004571E0">
      <w:pPr>
        <w:spacing w:before="100" w:beforeAutospacing="1" w:after="100" w:afterAutospacing="1" w:line="360" w:lineRule="auto"/>
        <w:jc w:val="center"/>
        <w:rPr>
          <w:vanish/>
          <w:sz w:val="24"/>
          <w:szCs w:val="24"/>
          <w:lang w:eastAsia="en-IN"/>
        </w:rPr>
      </w:pPr>
      <w:r w:rsidRPr="002E63F8">
        <w:rPr>
          <w:vanish/>
          <w:sz w:val="24"/>
          <w:szCs w:val="24"/>
          <w:lang w:eastAsia="en-IN"/>
        </w:rPr>
        <w:t>Top of Form</w:t>
      </w:r>
    </w:p>
    <w:p w14:paraId="58230B07" w14:textId="77777777" w:rsidR="004571E0" w:rsidRPr="002E63F8" w:rsidRDefault="004571E0" w:rsidP="004571E0">
      <w:pPr>
        <w:spacing w:before="100" w:beforeAutospacing="1" w:after="100" w:afterAutospacing="1" w:line="360" w:lineRule="auto"/>
        <w:jc w:val="center"/>
        <w:rPr>
          <w:vanish/>
          <w:sz w:val="24"/>
          <w:szCs w:val="24"/>
          <w:lang w:eastAsia="en-IN"/>
        </w:rPr>
      </w:pPr>
      <w:r w:rsidRPr="002E63F8">
        <w:rPr>
          <w:vanish/>
          <w:sz w:val="24"/>
          <w:szCs w:val="24"/>
          <w:lang w:eastAsia="en-IN"/>
        </w:rPr>
        <w:t>Bottom of Form</w:t>
      </w:r>
    </w:p>
    <w:p w14:paraId="536AF172" w14:textId="77777777" w:rsidR="004571E0" w:rsidRDefault="004571E0" w:rsidP="004571E0">
      <w:pPr>
        <w:jc w:val="center"/>
        <w:rPr>
          <w:b/>
          <w:bCs/>
          <w:sz w:val="28"/>
          <w:szCs w:val="28"/>
          <w:u w:val="single"/>
        </w:rPr>
      </w:pPr>
    </w:p>
    <w:p w14:paraId="4E6E8C24" w14:textId="77777777" w:rsidR="00D2536C" w:rsidRDefault="00D2536C" w:rsidP="004571E0">
      <w:pPr>
        <w:pStyle w:val="Caption"/>
        <w:keepNext/>
        <w:rPr>
          <w:rFonts w:ascii="Times New Roman" w:hAnsi="Times New Roman" w:cs="Times New Roman"/>
          <w:i w:val="0"/>
          <w:iCs w:val="0"/>
          <w:color w:val="auto"/>
          <w:sz w:val="22"/>
          <w:szCs w:val="22"/>
        </w:rPr>
      </w:pPr>
    </w:p>
    <w:p w14:paraId="48BD8BD7" w14:textId="65F7A7E3" w:rsidR="004571E0" w:rsidRPr="00115266" w:rsidRDefault="004571E0" w:rsidP="004571E0">
      <w:pPr>
        <w:pStyle w:val="Caption"/>
        <w:keepNext/>
        <w:rPr>
          <w:rFonts w:ascii="Times New Roman" w:hAnsi="Times New Roman" w:cs="Times New Roman"/>
          <w:b/>
          <w:bCs/>
          <w:color w:val="000000" w:themeColor="text1"/>
          <w:sz w:val="22"/>
          <w:szCs w:val="22"/>
        </w:rPr>
      </w:pPr>
      <w:r w:rsidRPr="00EF128C">
        <w:rPr>
          <w:rFonts w:ascii="Times New Roman" w:hAnsi="Times New Roman" w:cs="Times New Roman"/>
          <w:b/>
          <w:bCs/>
          <w:i w:val="0"/>
          <w:iCs w:val="0"/>
          <w:color w:val="auto"/>
          <w:sz w:val="22"/>
          <w:szCs w:val="22"/>
        </w:rPr>
        <w:t xml:space="preserve">Table </w:t>
      </w:r>
      <w:r w:rsidR="00B00F92">
        <w:rPr>
          <w:rFonts w:ascii="Times New Roman" w:hAnsi="Times New Roman" w:cs="Times New Roman"/>
          <w:b/>
          <w:bCs/>
          <w:i w:val="0"/>
          <w:iCs w:val="0"/>
          <w:color w:val="auto"/>
          <w:sz w:val="22"/>
          <w:szCs w:val="22"/>
        </w:rPr>
        <w:t>2</w:t>
      </w:r>
      <w:r w:rsidRPr="00EF128C">
        <w:rPr>
          <w:rFonts w:ascii="Times New Roman" w:hAnsi="Times New Roman" w:cs="Times New Roman"/>
          <w:b/>
          <w:bCs/>
          <w:i w:val="0"/>
          <w:iCs w:val="0"/>
          <w:color w:val="auto"/>
          <w:sz w:val="22"/>
          <w:szCs w:val="22"/>
        </w:rPr>
        <w:t xml:space="preserve"> Leading 10 infectious diseases of number of deaths in India (1990 and 2019)</w:t>
      </w:r>
      <w:r w:rsidRPr="009E3C2E">
        <w:rPr>
          <w:rFonts w:ascii="Times New Roman" w:hAnsi="Times New Roman" w:cs="Times New Roman"/>
          <w:b/>
          <w:bCs/>
          <w:sz w:val="22"/>
          <w:szCs w:val="22"/>
        </w:rPr>
        <w:t>.</w:t>
      </w:r>
      <w:r w:rsidR="00115266" w:rsidRPr="00115266">
        <w:rPr>
          <w:rFonts w:ascii="Times New Roman" w:hAnsi="Times New Roman" w:cs="Times New Roman"/>
          <w:b/>
          <w:bCs/>
          <w:i w:val="0"/>
          <w:iCs w:val="0"/>
          <w:color w:val="000000" w:themeColor="text1"/>
          <w:sz w:val="22"/>
          <w:szCs w:val="22"/>
        </w:rPr>
        <w:fldChar w:fldCharType="begin"/>
      </w:r>
      <w:r w:rsidR="00115266" w:rsidRPr="00115266">
        <w:rPr>
          <w:rFonts w:ascii="Times New Roman" w:hAnsi="Times New Roman" w:cs="Times New Roman"/>
          <w:b/>
          <w:bCs/>
          <w:i w:val="0"/>
          <w:iCs w:val="0"/>
          <w:color w:val="000000" w:themeColor="text1"/>
          <w:sz w:val="22"/>
          <w:szCs w:val="22"/>
        </w:rPr>
        <w:instrText xml:space="preserve"> ADDIN ZOTERO_ITEM CSL_CITATION {"citationID":"0rkqqZn5","properties":{"formattedCitation":"(30)","plainCitation":"(30)","noteIndex":0},"citationItems":[{"id":282,"uris":["http://zotero.org/users/local/XRtc60WU/items/2KH9Y2DL"],"itemData":{"id":282,"type":"post-weblog","abstract":"BRICS – Brazil, Russia, India, China, and South Africa – represented more than 40% of the world’s population, around 25% of the world’s gross national income, about 50% of the world’s poor, and about 40% of the global burden of disease [1,2]. During the coronavirus disease 2019 (COVID-19) pandemic, BRICS together accounted for almost 30% […]","container-title":"JOGH","language":"en-GB","title":"Health disparity and mortality trends of infectious diseases in BRICS from 1990 to 2019","URL":"https://jogh.org/2022/jogh-12-04028/","author":[{"family":"Getzzg","given":""}],"accessed":{"date-parts":[["2024",9,19]]},"issued":{"date-parts":[["2022",3,26]]}}}],"schema":"https://github.com/citation-style-language/schema/raw/master/csl-citation.json"} </w:instrText>
      </w:r>
      <w:r w:rsidR="00115266" w:rsidRPr="00115266">
        <w:rPr>
          <w:rFonts w:ascii="Times New Roman" w:hAnsi="Times New Roman" w:cs="Times New Roman"/>
          <w:b/>
          <w:bCs/>
          <w:i w:val="0"/>
          <w:iCs w:val="0"/>
          <w:color w:val="000000" w:themeColor="text1"/>
          <w:sz w:val="22"/>
          <w:szCs w:val="22"/>
        </w:rPr>
        <w:fldChar w:fldCharType="separate"/>
      </w:r>
      <w:r w:rsidR="00115266" w:rsidRPr="00115266">
        <w:rPr>
          <w:rFonts w:ascii="Times New Roman" w:hAnsi="Times New Roman" w:cs="Times New Roman"/>
          <w:i w:val="0"/>
          <w:iCs w:val="0"/>
          <w:color w:val="000000" w:themeColor="text1"/>
          <w:sz w:val="24"/>
          <w:szCs w:val="24"/>
        </w:rPr>
        <w:t>(30</w:t>
      </w:r>
      <w:r w:rsidR="00115266" w:rsidRPr="00115266">
        <w:rPr>
          <w:rFonts w:ascii="Times New Roman" w:hAnsi="Times New Roman" w:cs="Times New Roman"/>
          <w:i w:val="0"/>
          <w:iCs w:val="0"/>
          <w:color w:val="000000" w:themeColor="text1"/>
          <w:sz w:val="24"/>
          <w:szCs w:val="20"/>
        </w:rPr>
        <w:t>)</w:t>
      </w:r>
      <w:r w:rsidR="00115266" w:rsidRPr="00115266">
        <w:rPr>
          <w:rFonts w:ascii="Times New Roman" w:hAnsi="Times New Roman" w:cs="Times New Roman"/>
          <w:b/>
          <w:bCs/>
          <w:i w:val="0"/>
          <w:iCs w:val="0"/>
          <w:color w:val="000000" w:themeColor="text1"/>
          <w:sz w:val="22"/>
          <w:szCs w:val="22"/>
        </w:rPr>
        <w:fldChar w:fldCharType="end"/>
      </w:r>
    </w:p>
    <w:p w14:paraId="2AAA8063" w14:textId="77777777" w:rsidR="004571E0" w:rsidRPr="00286325" w:rsidRDefault="004571E0" w:rsidP="004571E0"/>
    <w:tbl>
      <w:tblPr>
        <w:tblStyle w:val="PlainTable2"/>
        <w:tblW w:w="10456" w:type="dxa"/>
        <w:tblLook w:val="04A0" w:firstRow="1" w:lastRow="0" w:firstColumn="1" w:lastColumn="0" w:noHBand="0" w:noVBand="1"/>
      </w:tblPr>
      <w:tblGrid>
        <w:gridCol w:w="2614"/>
        <w:gridCol w:w="2614"/>
        <w:gridCol w:w="2614"/>
        <w:gridCol w:w="2614"/>
      </w:tblGrid>
      <w:tr w:rsidR="004571E0" w14:paraId="15ECFA98" w14:textId="77777777" w:rsidTr="00AD2A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6A0C222A" w14:textId="77777777" w:rsidR="004571E0" w:rsidRDefault="004571E0" w:rsidP="00751AA5">
            <w:pPr>
              <w:spacing w:line="480" w:lineRule="auto"/>
              <w:rPr>
                <w:b w:val="0"/>
                <w:bCs w:val="0"/>
                <w:sz w:val="24"/>
                <w:szCs w:val="24"/>
                <w:u w:val="single"/>
              </w:rPr>
            </w:pPr>
            <w:r w:rsidRPr="00D242E8">
              <w:rPr>
                <w:sz w:val="24"/>
                <w:szCs w:val="24"/>
              </w:rPr>
              <w:t>Leading causes 1990</w:t>
            </w:r>
          </w:p>
        </w:tc>
        <w:tc>
          <w:tcPr>
            <w:tcW w:w="2614" w:type="dxa"/>
          </w:tcPr>
          <w:p w14:paraId="6E879B0B" w14:textId="77777777" w:rsidR="004571E0" w:rsidRDefault="004571E0" w:rsidP="00751AA5">
            <w:pPr>
              <w:spacing w:line="480" w:lineRule="auto"/>
              <w:cnfStyle w:val="100000000000" w:firstRow="1" w:lastRow="0" w:firstColumn="0" w:lastColumn="0" w:oddVBand="0" w:evenVBand="0" w:oddHBand="0" w:evenHBand="0" w:firstRowFirstColumn="0" w:firstRowLastColumn="0" w:lastRowFirstColumn="0" w:lastRowLastColumn="0"/>
              <w:rPr>
                <w:b w:val="0"/>
                <w:bCs w:val="0"/>
                <w:sz w:val="24"/>
                <w:szCs w:val="24"/>
                <w:u w:val="single"/>
              </w:rPr>
            </w:pPr>
            <w:r w:rsidRPr="00D242E8">
              <w:rPr>
                <w:sz w:val="24"/>
                <w:szCs w:val="24"/>
              </w:rPr>
              <w:t>Number of deaths(thousands)1990</w:t>
            </w:r>
          </w:p>
        </w:tc>
        <w:tc>
          <w:tcPr>
            <w:tcW w:w="2614" w:type="dxa"/>
          </w:tcPr>
          <w:p w14:paraId="6353E383" w14:textId="77777777" w:rsidR="004571E0" w:rsidRDefault="004571E0" w:rsidP="00751AA5">
            <w:pPr>
              <w:spacing w:line="480" w:lineRule="auto"/>
              <w:cnfStyle w:val="100000000000" w:firstRow="1" w:lastRow="0" w:firstColumn="0" w:lastColumn="0" w:oddVBand="0" w:evenVBand="0" w:oddHBand="0" w:evenHBand="0" w:firstRowFirstColumn="0" w:firstRowLastColumn="0" w:lastRowFirstColumn="0" w:lastRowLastColumn="0"/>
              <w:rPr>
                <w:b w:val="0"/>
                <w:bCs w:val="0"/>
                <w:sz w:val="24"/>
                <w:szCs w:val="24"/>
                <w:u w:val="single"/>
              </w:rPr>
            </w:pPr>
            <w:r w:rsidRPr="00D242E8">
              <w:rPr>
                <w:sz w:val="24"/>
                <w:szCs w:val="24"/>
              </w:rPr>
              <w:t xml:space="preserve">Leading causes </w:t>
            </w:r>
            <w:r>
              <w:rPr>
                <w:sz w:val="24"/>
                <w:szCs w:val="24"/>
              </w:rPr>
              <w:t>2019</w:t>
            </w:r>
          </w:p>
        </w:tc>
        <w:tc>
          <w:tcPr>
            <w:tcW w:w="2614" w:type="dxa"/>
          </w:tcPr>
          <w:p w14:paraId="244C15CC" w14:textId="77777777" w:rsidR="004571E0" w:rsidRDefault="004571E0" w:rsidP="00751AA5">
            <w:pPr>
              <w:spacing w:line="480" w:lineRule="auto"/>
              <w:cnfStyle w:val="100000000000" w:firstRow="1" w:lastRow="0" w:firstColumn="0" w:lastColumn="0" w:oddVBand="0" w:evenVBand="0" w:oddHBand="0" w:evenHBand="0" w:firstRowFirstColumn="0" w:firstRowLastColumn="0" w:lastRowFirstColumn="0" w:lastRowLastColumn="0"/>
              <w:rPr>
                <w:b w:val="0"/>
                <w:bCs w:val="0"/>
                <w:sz w:val="24"/>
                <w:szCs w:val="24"/>
                <w:u w:val="single"/>
              </w:rPr>
            </w:pPr>
            <w:r w:rsidRPr="00D242E8">
              <w:rPr>
                <w:sz w:val="24"/>
                <w:szCs w:val="24"/>
              </w:rPr>
              <w:t>Number of deaths(thousands)</w:t>
            </w:r>
            <w:r>
              <w:rPr>
                <w:sz w:val="24"/>
                <w:szCs w:val="24"/>
              </w:rPr>
              <w:t>2019</w:t>
            </w:r>
          </w:p>
        </w:tc>
      </w:tr>
      <w:tr w:rsidR="004571E0" w14:paraId="75A23DC2" w14:textId="77777777" w:rsidTr="00AD2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3F5657A2" w14:textId="77777777" w:rsidR="004571E0" w:rsidRPr="001E7A92" w:rsidRDefault="004571E0" w:rsidP="000F6BAF">
            <w:pPr>
              <w:pStyle w:val="ListParagraph"/>
              <w:widowControl/>
              <w:numPr>
                <w:ilvl w:val="0"/>
                <w:numId w:val="7"/>
              </w:numPr>
              <w:autoSpaceDE/>
              <w:autoSpaceDN/>
              <w:spacing w:line="480" w:lineRule="auto"/>
              <w:ind w:left="318"/>
              <w:rPr>
                <w:b w:val="0"/>
                <w:bCs w:val="0"/>
                <w:sz w:val="24"/>
                <w:szCs w:val="24"/>
                <w:u w:val="single"/>
              </w:rPr>
            </w:pPr>
            <w:r w:rsidRPr="001E7A92">
              <w:t>Diarrheal diseases</w:t>
            </w:r>
          </w:p>
        </w:tc>
        <w:tc>
          <w:tcPr>
            <w:tcW w:w="2614" w:type="dxa"/>
          </w:tcPr>
          <w:p w14:paraId="6E6CC774" w14:textId="77777777" w:rsidR="004571E0" w:rsidRDefault="004571E0" w:rsidP="00751AA5">
            <w:pPr>
              <w:spacing w:line="480" w:lineRule="auto"/>
              <w:jc w:val="center"/>
              <w:cnfStyle w:val="000000100000" w:firstRow="0" w:lastRow="0" w:firstColumn="0" w:lastColumn="0" w:oddVBand="0" w:evenVBand="0" w:oddHBand="1" w:evenHBand="0" w:firstRowFirstColumn="0" w:firstRowLastColumn="0" w:lastRowFirstColumn="0" w:lastRowLastColumn="0"/>
              <w:rPr>
                <w:b/>
                <w:bCs/>
                <w:sz w:val="24"/>
                <w:szCs w:val="24"/>
                <w:u w:val="single"/>
              </w:rPr>
            </w:pPr>
            <w:r w:rsidRPr="00106984">
              <w:t>1081-10</w:t>
            </w:r>
          </w:p>
        </w:tc>
        <w:tc>
          <w:tcPr>
            <w:tcW w:w="2614" w:type="dxa"/>
          </w:tcPr>
          <w:p w14:paraId="5E2C92AB" w14:textId="77777777" w:rsidR="004571E0" w:rsidRPr="009743FC"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pPr>
            <w:r w:rsidRPr="009743FC">
              <w:t>1. Diarrheal diseases</w:t>
            </w:r>
          </w:p>
        </w:tc>
        <w:tc>
          <w:tcPr>
            <w:tcW w:w="2614" w:type="dxa"/>
          </w:tcPr>
          <w:p w14:paraId="6F0388C1" w14:textId="77777777" w:rsidR="004571E0" w:rsidRPr="009743FC" w:rsidRDefault="004571E0" w:rsidP="00751AA5">
            <w:pPr>
              <w:spacing w:line="480" w:lineRule="auto"/>
              <w:jc w:val="center"/>
              <w:cnfStyle w:val="000000100000" w:firstRow="0" w:lastRow="0" w:firstColumn="0" w:lastColumn="0" w:oddVBand="0" w:evenVBand="0" w:oddHBand="1" w:evenHBand="0" w:firstRowFirstColumn="0" w:firstRowLastColumn="0" w:lastRowFirstColumn="0" w:lastRowLastColumn="0"/>
            </w:pPr>
            <w:r w:rsidRPr="009743FC">
              <w:t>632.34</w:t>
            </w:r>
          </w:p>
        </w:tc>
      </w:tr>
      <w:tr w:rsidR="004571E0" w14:paraId="39353DFD" w14:textId="77777777" w:rsidTr="00AD2A84">
        <w:tc>
          <w:tcPr>
            <w:cnfStyle w:val="001000000000" w:firstRow="0" w:lastRow="0" w:firstColumn="1" w:lastColumn="0" w:oddVBand="0" w:evenVBand="0" w:oddHBand="0" w:evenHBand="0" w:firstRowFirstColumn="0" w:firstRowLastColumn="0" w:lastRowFirstColumn="0" w:lastRowLastColumn="0"/>
            <w:tcW w:w="2614" w:type="dxa"/>
          </w:tcPr>
          <w:p w14:paraId="6C28402C" w14:textId="77777777" w:rsidR="004571E0" w:rsidRPr="00EA61B4" w:rsidRDefault="004571E0" w:rsidP="000F6BAF">
            <w:pPr>
              <w:pStyle w:val="ListParagraph"/>
              <w:widowControl/>
              <w:numPr>
                <w:ilvl w:val="0"/>
                <w:numId w:val="7"/>
              </w:numPr>
              <w:autoSpaceDE/>
              <w:autoSpaceDN/>
              <w:spacing w:line="480" w:lineRule="auto"/>
              <w:ind w:left="318"/>
              <w:rPr>
                <w:b w:val="0"/>
                <w:bCs w:val="0"/>
                <w:sz w:val="24"/>
                <w:szCs w:val="24"/>
                <w:u w:val="single"/>
              </w:rPr>
            </w:pPr>
            <w:r w:rsidRPr="00EA61B4">
              <w:t>Lower respiratory infections</w:t>
            </w:r>
          </w:p>
        </w:tc>
        <w:tc>
          <w:tcPr>
            <w:tcW w:w="2614" w:type="dxa"/>
          </w:tcPr>
          <w:p w14:paraId="5F32CC32" w14:textId="77777777" w:rsidR="004571E0" w:rsidRDefault="004571E0" w:rsidP="00751AA5">
            <w:pPr>
              <w:spacing w:line="480" w:lineRule="auto"/>
              <w:jc w:val="center"/>
              <w:cnfStyle w:val="000000000000" w:firstRow="0" w:lastRow="0" w:firstColumn="0" w:lastColumn="0" w:oddVBand="0" w:evenVBand="0" w:oddHBand="0" w:evenHBand="0" w:firstRowFirstColumn="0" w:firstRowLastColumn="0" w:lastRowFirstColumn="0" w:lastRowLastColumn="0"/>
              <w:rPr>
                <w:b/>
                <w:bCs/>
                <w:sz w:val="24"/>
                <w:szCs w:val="24"/>
                <w:u w:val="single"/>
              </w:rPr>
            </w:pPr>
            <w:r w:rsidRPr="00106984">
              <w:t>690-91</w:t>
            </w:r>
          </w:p>
        </w:tc>
        <w:tc>
          <w:tcPr>
            <w:tcW w:w="2614" w:type="dxa"/>
          </w:tcPr>
          <w:p w14:paraId="3AD08FE1" w14:textId="77777777" w:rsidR="004571E0" w:rsidRPr="009743FC" w:rsidRDefault="004571E0" w:rsidP="00751AA5">
            <w:pPr>
              <w:spacing w:line="480" w:lineRule="auto"/>
              <w:cnfStyle w:val="000000000000" w:firstRow="0" w:lastRow="0" w:firstColumn="0" w:lastColumn="0" w:oddVBand="0" w:evenVBand="0" w:oddHBand="0" w:evenHBand="0" w:firstRowFirstColumn="0" w:firstRowLastColumn="0" w:lastRowFirstColumn="0" w:lastRowLastColumn="0"/>
            </w:pPr>
            <w:r w:rsidRPr="009743FC">
              <w:t>2. Lower respiratory infections</w:t>
            </w:r>
          </w:p>
        </w:tc>
        <w:tc>
          <w:tcPr>
            <w:tcW w:w="2614" w:type="dxa"/>
          </w:tcPr>
          <w:p w14:paraId="6E2C6BEC" w14:textId="77777777" w:rsidR="004571E0" w:rsidRPr="009743FC" w:rsidRDefault="004571E0" w:rsidP="00751AA5">
            <w:pPr>
              <w:spacing w:line="480" w:lineRule="auto"/>
              <w:jc w:val="center"/>
              <w:cnfStyle w:val="000000000000" w:firstRow="0" w:lastRow="0" w:firstColumn="0" w:lastColumn="0" w:oddVBand="0" w:evenVBand="0" w:oddHBand="0" w:evenHBand="0" w:firstRowFirstColumn="0" w:firstRowLastColumn="0" w:lastRowFirstColumn="0" w:lastRowLastColumn="0"/>
            </w:pPr>
            <w:r w:rsidRPr="009743FC">
              <w:t>433.66</w:t>
            </w:r>
          </w:p>
        </w:tc>
      </w:tr>
      <w:tr w:rsidR="004571E0" w14:paraId="43BE1F40" w14:textId="77777777" w:rsidTr="00AD2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4A97D320" w14:textId="1C209496" w:rsidR="004571E0" w:rsidRPr="00A40E69" w:rsidRDefault="00A40E69" w:rsidP="000F6BAF">
            <w:pPr>
              <w:spacing w:line="480" w:lineRule="auto"/>
              <w:ind w:left="-250" w:right="374"/>
              <w:rPr>
                <w:b w:val="0"/>
                <w:bCs w:val="0"/>
                <w:sz w:val="24"/>
                <w:szCs w:val="24"/>
                <w:u w:val="single"/>
              </w:rPr>
            </w:pPr>
            <w:r>
              <w:t xml:space="preserve">    3.  </w:t>
            </w:r>
            <w:r w:rsidR="004571E0" w:rsidRPr="00A40E69">
              <w:t>Tuberculosis</w:t>
            </w:r>
          </w:p>
        </w:tc>
        <w:tc>
          <w:tcPr>
            <w:tcW w:w="2614" w:type="dxa"/>
          </w:tcPr>
          <w:p w14:paraId="3D8B3FA7" w14:textId="77777777" w:rsidR="004571E0" w:rsidRDefault="004571E0" w:rsidP="00751AA5">
            <w:pPr>
              <w:spacing w:line="480" w:lineRule="auto"/>
              <w:jc w:val="center"/>
              <w:cnfStyle w:val="000000100000" w:firstRow="0" w:lastRow="0" w:firstColumn="0" w:lastColumn="0" w:oddVBand="0" w:evenVBand="0" w:oddHBand="1" w:evenHBand="0" w:firstRowFirstColumn="0" w:firstRowLastColumn="0" w:lastRowFirstColumn="0" w:lastRowLastColumn="0"/>
              <w:rPr>
                <w:b/>
                <w:bCs/>
                <w:sz w:val="24"/>
                <w:szCs w:val="24"/>
                <w:u w:val="single"/>
              </w:rPr>
            </w:pPr>
            <w:r w:rsidRPr="00106984">
              <w:t>614-00</w:t>
            </w:r>
          </w:p>
        </w:tc>
        <w:tc>
          <w:tcPr>
            <w:tcW w:w="2614" w:type="dxa"/>
          </w:tcPr>
          <w:p w14:paraId="2215B905" w14:textId="77777777" w:rsidR="004571E0" w:rsidRPr="009743FC"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pPr>
            <w:r w:rsidRPr="009743FC">
              <w:t>3. Tuberculosis</w:t>
            </w:r>
          </w:p>
        </w:tc>
        <w:tc>
          <w:tcPr>
            <w:tcW w:w="2614" w:type="dxa"/>
          </w:tcPr>
          <w:p w14:paraId="3667B601" w14:textId="77777777" w:rsidR="004571E0" w:rsidRPr="009743FC" w:rsidRDefault="004571E0" w:rsidP="00751AA5">
            <w:pPr>
              <w:spacing w:line="480" w:lineRule="auto"/>
              <w:jc w:val="center"/>
              <w:cnfStyle w:val="000000100000" w:firstRow="0" w:lastRow="0" w:firstColumn="0" w:lastColumn="0" w:oddVBand="0" w:evenVBand="0" w:oddHBand="1" w:evenHBand="0" w:firstRowFirstColumn="0" w:firstRowLastColumn="0" w:lastRowFirstColumn="0" w:lastRowLastColumn="0"/>
            </w:pPr>
            <w:r w:rsidRPr="009743FC">
              <w:t>422.63</w:t>
            </w:r>
          </w:p>
        </w:tc>
      </w:tr>
      <w:tr w:rsidR="004571E0" w14:paraId="51C50D99" w14:textId="77777777" w:rsidTr="00AD2A84">
        <w:tc>
          <w:tcPr>
            <w:cnfStyle w:val="001000000000" w:firstRow="0" w:lastRow="0" w:firstColumn="1" w:lastColumn="0" w:oddVBand="0" w:evenVBand="0" w:oddHBand="0" w:evenHBand="0" w:firstRowFirstColumn="0" w:firstRowLastColumn="0" w:lastRowFirstColumn="0" w:lastRowLastColumn="0"/>
            <w:tcW w:w="2614" w:type="dxa"/>
          </w:tcPr>
          <w:p w14:paraId="6FC1C0C0" w14:textId="6640C1C9" w:rsidR="004571E0" w:rsidRDefault="00A40E69" w:rsidP="00A40E69">
            <w:pPr>
              <w:spacing w:line="480" w:lineRule="auto"/>
              <w:ind w:right="233"/>
              <w:rPr>
                <w:b w:val="0"/>
                <w:bCs w:val="0"/>
                <w:sz w:val="24"/>
                <w:szCs w:val="24"/>
                <w:u w:val="single"/>
              </w:rPr>
            </w:pPr>
            <w:r>
              <w:t xml:space="preserve">4. </w:t>
            </w:r>
            <w:r w:rsidR="004571E0" w:rsidRPr="00106984">
              <w:t>Malaria</w:t>
            </w:r>
          </w:p>
        </w:tc>
        <w:tc>
          <w:tcPr>
            <w:tcW w:w="2614" w:type="dxa"/>
          </w:tcPr>
          <w:p w14:paraId="770C722B" w14:textId="77777777" w:rsidR="004571E0" w:rsidRDefault="004571E0" w:rsidP="00751AA5">
            <w:pPr>
              <w:spacing w:line="480" w:lineRule="auto"/>
              <w:jc w:val="center"/>
              <w:cnfStyle w:val="000000000000" w:firstRow="0" w:lastRow="0" w:firstColumn="0" w:lastColumn="0" w:oddVBand="0" w:evenVBand="0" w:oddHBand="0" w:evenHBand="0" w:firstRowFirstColumn="0" w:firstRowLastColumn="0" w:lastRowFirstColumn="0" w:lastRowLastColumn="0"/>
              <w:rPr>
                <w:b/>
                <w:bCs/>
                <w:sz w:val="24"/>
                <w:szCs w:val="24"/>
                <w:u w:val="single"/>
              </w:rPr>
            </w:pPr>
            <w:r w:rsidRPr="00106984">
              <w:t>162.37</w:t>
            </w:r>
          </w:p>
        </w:tc>
        <w:tc>
          <w:tcPr>
            <w:tcW w:w="2614" w:type="dxa"/>
          </w:tcPr>
          <w:p w14:paraId="3384D588" w14:textId="77777777" w:rsidR="004571E0" w:rsidRPr="009743FC" w:rsidRDefault="004571E0" w:rsidP="00751AA5">
            <w:pPr>
              <w:spacing w:line="480" w:lineRule="auto"/>
              <w:cnfStyle w:val="000000000000" w:firstRow="0" w:lastRow="0" w:firstColumn="0" w:lastColumn="0" w:oddVBand="0" w:evenVBand="0" w:oddHBand="0" w:evenHBand="0" w:firstRowFirstColumn="0" w:firstRowLastColumn="0" w:lastRowFirstColumn="0" w:lastRowLastColumn="0"/>
            </w:pPr>
            <w:r w:rsidRPr="009743FC">
              <w:t>4. Typhoid and paratyphoid</w:t>
            </w:r>
          </w:p>
        </w:tc>
        <w:tc>
          <w:tcPr>
            <w:tcW w:w="2614" w:type="dxa"/>
          </w:tcPr>
          <w:p w14:paraId="0A008A44" w14:textId="77777777" w:rsidR="004571E0" w:rsidRPr="009743FC" w:rsidRDefault="004571E0" w:rsidP="00751AA5">
            <w:pPr>
              <w:spacing w:line="480" w:lineRule="auto"/>
              <w:jc w:val="center"/>
              <w:cnfStyle w:val="000000000000" w:firstRow="0" w:lastRow="0" w:firstColumn="0" w:lastColumn="0" w:oddVBand="0" w:evenVBand="0" w:oddHBand="0" w:evenHBand="0" w:firstRowFirstColumn="0" w:firstRowLastColumn="0" w:lastRowFirstColumn="0" w:lastRowLastColumn="0"/>
            </w:pPr>
            <w:r w:rsidRPr="009743FC">
              <w:t>66.42</w:t>
            </w:r>
          </w:p>
        </w:tc>
      </w:tr>
      <w:tr w:rsidR="004571E0" w14:paraId="221C5555" w14:textId="77777777" w:rsidTr="00AD2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0FA77795" w14:textId="77777777" w:rsidR="004571E0" w:rsidRDefault="004571E0" w:rsidP="00751AA5">
            <w:pPr>
              <w:spacing w:line="480" w:lineRule="auto"/>
              <w:rPr>
                <w:b w:val="0"/>
                <w:bCs w:val="0"/>
                <w:sz w:val="24"/>
                <w:szCs w:val="24"/>
                <w:u w:val="single"/>
              </w:rPr>
            </w:pPr>
            <w:r>
              <w:t xml:space="preserve">5. </w:t>
            </w:r>
            <w:r w:rsidRPr="00106984">
              <w:t>Measles</w:t>
            </w:r>
          </w:p>
        </w:tc>
        <w:tc>
          <w:tcPr>
            <w:tcW w:w="2614" w:type="dxa"/>
          </w:tcPr>
          <w:p w14:paraId="26A3502B" w14:textId="77777777" w:rsidR="004571E0" w:rsidRDefault="004571E0" w:rsidP="00751AA5">
            <w:pPr>
              <w:spacing w:line="480" w:lineRule="auto"/>
              <w:jc w:val="center"/>
              <w:cnfStyle w:val="000000100000" w:firstRow="0" w:lastRow="0" w:firstColumn="0" w:lastColumn="0" w:oddVBand="0" w:evenVBand="0" w:oddHBand="1" w:evenHBand="0" w:firstRowFirstColumn="0" w:firstRowLastColumn="0" w:lastRowFirstColumn="0" w:lastRowLastColumn="0"/>
              <w:rPr>
                <w:b/>
                <w:bCs/>
                <w:sz w:val="24"/>
                <w:szCs w:val="24"/>
                <w:u w:val="single"/>
              </w:rPr>
            </w:pPr>
            <w:r w:rsidRPr="00106984">
              <w:t>156.02</w:t>
            </w:r>
          </w:p>
        </w:tc>
        <w:tc>
          <w:tcPr>
            <w:tcW w:w="2614" w:type="dxa"/>
          </w:tcPr>
          <w:p w14:paraId="62474E92" w14:textId="77777777" w:rsidR="004571E0" w:rsidRPr="009743FC"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pPr>
            <w:r w:rsidRPr="009743FC">
              <w:t>5. Encephalitis</w:t>
            </w:r>
          </w:p>
        </w:tc>
        <w:tc>
          <w:tcPr>
            <w:tcW w:w="2614" w:type="dxa"/>
          </w:tcPr>
          <w:p w14:paraId="649E25C8" w14:textId="77777777" w:rsidR="004571E0" w:rsidRPr="009743FC" w:rsidRDefault="004571E0" w:rsidP="00751AA5">
            <w:pPr>
              <w:spacing w:line="480" w:lineRule="auto"/>
              <w:jc w:val="center"/>
              <w:cnfStyle w:val="000000100000" w:firstRow="0" w:lastRow="0" w:firstColumn="0" w:lastColumn="0" w:oddVBand="0" w:evenVBand="0" w:oddHBand="1" w:evenHBand="0" w:firstRowFirstColumn="0" w:firstRowLastColumn="0" w:lastRowFirstColumn="0" w:lastRowLastColumn="0"/>
            </w:pPr>
            <w:r w:rsidRPr="009743FC">
              <w:t>51.89</w:t>
            </w:r>
          </w:p>
        </w:tc>
      </w:tr>
      <w:tr w:rsidR="004571E0" w14:paraId="217BE950" w14:textId="77777777" w:rsidTr="00AD2A84">
        <w:tc>
          <w:tcPr>
            <w:cnfStyle w:val="001000000000" w:firstRow="0" w:lastRow="0" w:firstColumn="1" w:lastColumn="0" w:oddVBand="0" w:evenVBand="0" w:oddHBand="0" w:evenHBand="0" w:firstRowFirstColumn="0" w:firstRowLastColumn="0" w:lastRowFirstColumn="0" w:lastRowLastColumn="0"/>
            <w:tcW w:w="2614" w:type="dxa"/>
          </w:tcPr>
          <w:p w14:paraId="34025208" w14:textId="77777777" w:rsidR="004571E0" w:rsidRDefault="004571E0" w:rsidP="00751AA5">
            <w:pPr>
              <w:spacing w:line="480" w:lineRule="auto"/>
              <w:rPr>
                <w:b w:val="0"/>
                <w:bCs w:val="0"/>
                <w:sz w:val="24"/>
                <w:szCs w:val="24"/>
                <w:u w:val="single"/>
              </w:rPr>
            </w:pPr>
            <w:r>
              <w:t xml:space="preserve">6. </w:t>
            </w:r>
            <w:r w:rsidRPr="00106984">
              <w:t>Typhoid and paratyphoid</w:t>
            </w:r>
          </w:p>
        </w:tc>
        <w:tc>
          <w:tcPr>
            <w:tcW w:w="2614" w:type="dxa"/>
          </w:tcPr>
          <w:p w14:paraId="5811C091" w14:textId="77777777" w:rsidR="004571E0" w:rsidRDefault="004571E0" w:rsidP="00751AA5">
            <w:pPr>
              <w:spacing w:line="480" w:lineRule="auto"/>
              <w:jc w:val="center"/>
              <w:cnfStyle w:val="000000000000" w:firstRow="0" w:lastRow="0" w:firstColumn="0" w:lastColumn="0" w:oddVBand="0" w:evenVBand="0" w:oddHBand="0" w:evenHBand="0" w:firstRowFirstColumn="0" w:firstRowLastColumn="0" w:lastRowFirstColumn="0" w:lastRowLastColumn="0"/>
              <w:rPr>
                <w:b/>
                <w:bCs/>
                <w:sz w:val="24"/>
                <w:szCs w:val="24"/>
                <w:u w:val="single"/>
              </w:rPr>
            </w:pPr>
            <w:r w:rsidRPr="00106984">
              <w:t>128.09</w:t>
            </w:r>
          </w:p>
        </w:tc>
        <w:tc>
          <w:tcPr>
            <w:tcW w:w="2614" w:type="dxa"/>
          </w:tcPr>
          <w:p w14:paraId="3C155557" w14:textId="77777777" w:rsidR="004571E0" w:rsidRPr="009743FC" w:rsidRDefault="004571E0" w:rsidP="00751AA5">
            <w:pPr>
              <w:spacing w:line="480" w:lineRule="auto"/>
              <w:cnfStyle w:val="000000000000" w:firstRow="0" w:lastRow="0" w:firstColumn="0" w:lastColumn="0" w:oddVBand="0" w:evenVBand="0" w:oddHBand="0" w:evenHBand="0" w:firstRowFirstColumn="0" w:firstRowLastColumn="0" w:lastRowFirstColumn="0" w:lastRowLastColumn="0"/>
            </w:pPr>
            <w:r w:rsidRPr="009743FC">
              <w:t>6. HIV/AIDS</w:t>
            </w:r>
          </w:p>
        </w:tc>
        <w:tc>
          <w:tcPr>
            <w:tcW w:w="2614" w:type="dxa"/>
          </w:tcPr>
          <w:p w14:paraId="1977BC34" w14:textId="77777777" w:rsidR="004571E0" w:rsidRPr="009743FC" w:rsidRDefault="004571E0" w:rsidP="00751AA5">
            <w:pPr>
              <w:spacing w:line="480" w:lineRule="auto"/>
              <w:jc w:val="center"/>
              <w:cnfStyle w:val="000000000000" w:firstRow="0" w:lastRow="0" w:firstColumn="0" w:lastColumn="0" w:oddVBand="0" w:evenVBand="0" w:oddHBand="0" w:evenHBand="0" w:firstRowFirstColumn="0" w:firstRowLastColumn="0" w:lastRowFirstColumn="0" w:lastRowLastColumn="0"/>
            </w:pPr>
            <w:r w:rsidRPr="009743FC">
              <w:t>46.30</w:t>
            </w:r>
          </w:p>
        </w:tc>
      </w:tr>
      <w:tr w:rsidR="004571E0" w14:paraId="7C714662" w14:textId="77777777" w:rsidTr="00AD2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29B27469" w14:textId="77777777" w:rsidR="004571E0" w:rsidRDefault="004571E0" w:rsidP="00751AA5">
            <w:pPr>
              <w:spacing w:line="480" w:lineRule="auto"/>
              <w:rPr>
                <w:b w:val="0"/>
                <w:bCs w:val="0"/>
                <w:sz w:val="24"/>
                <w:szCs w:val="24"/>
                <w:u w:val="single"/>
              </w:rPr>
            </w:pPr>
            <w:r>
              <w:t xml:space="preserve">7. </w:t>
            </w:r>
            <w:r w:rsidRPr="00106984">
              <w:t>Tetanus</w:t>
            </w:r>
          </w:p>
        </w:tc>
        <w:tc>
          <w:tcPr>
            <w:tcW w:w="2614" w:type="dxa"/>
          </w:tcPr>
          <w:p w14:paraId="3E28AB86" w14:textId="77777777" w:rsidR="004571E0" w:rsidRDefault="004571E0" w:rsidP="00751AA5">
            <w:pPr>
              <w:spacing w:line="480" w:lineRule="auto"/>
              <w:jc w:val="center"/>
              <w:cnfStyle w:val="000000100000" w:firstRow="0" w:lastRow="0" w:firstColumn="0" w:lastColumn="0" w:oddVBand="0" w:evenVBand="0" w:oddHBand="1" w:evenHBand="0" w:firstRowFirstColumn="0" w:firstRowLastColumn="0" w:lastRowFirstColumn="0" w:lastRowLastColumn="0"/>
              <w:rPr>
                <w:b/>
                <w:bCs/>
                <w:sz w:val="24"/>
                <w:szCs w:val="24"/>
                <w:u w:val="single"/>
              </w:rPr>
            </w:pPr>
            <w:r w:rsidRPr="00106984">
              <w:t>112.53</w:t>
            </w:r>
          </w:p>
        </w:tc>
        <w:tc>
          <w:tcPr>
            <w:tcW w:w="2614" w:type="dxa"/>
          </w:tcPr>
          <w:p w14:paraId="3949032E" w14:textId="77777777" w:rsidR="004571E0" w:rsidRPr="009743FC"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pPr>
            <w:r w:rsidRPr="009743FC">
              <w:t>7. Meningitis</w:t>
            </w:r>
          </w:p>
        </w:tc>
        <w:tc>
          <w:tcPr>
            <w:tcW w:w="2614" w:type="dxa"/>
          </w:tcPr>
          <w:p w14:paraId="410BCAD6" w14:textId="77777777" w:rsidR="004571E0" w:rsidRPr="009743FC" w:rsidRDefault="004571E0" w:rsidP="00751AA5">
            <w:pPr>
              <w:spacing w:line="480" w:lineRule="auto"/>
              <w:jc w:val="center"/>
              <w:cnfStyle w:val="000000100000" w:firstRow="0" w:lastRow="0" w:firstColumn="0" w:lastColumn="0" w:oddVBand="0" w:evenVBand="0" w:oddHBand="1" w:evenHBand="0" w:firstRowFirstColumn="0" w:firstRowLastColumn="0" w:lastRowFirstColumn="0" w:lastRowLastColumn="0"/>
            </w:pPr>
            <w:r w:rsidRPr="009743FC">
              <w:t>34.74</w:t>
            </w:r>
          </w:p>
        </w:tc>
      </w:tr>
      <w:tr w:rsidR="004571E0" w14:paraId="37BFBD69" w14:textId="77777777" w:rsidTr="00AD2A84">
        <w:tc>
          <w:tcPr>
            <w:cnfStyle w:val="001000000000" w:firstRow="0" w:lastRow="0" w:firstColumn="1" w:lastColumn="0" w:oddVBand="0" w:evenVBand="0" w:oddHBand="0" w:evenHBand="0" w:firstRowFirstColumn="0" w:firstRowLastColumn="0" w:lastRowFirstColumn="0" w:lastRowLastColumn="0"/>
            <w:tcW w:w="2614" w:type="dxa"/>
          </w:tcPr>
          <w:p w14:paraId="20A62B38" w14:textId="77777777" w:rsidR="004571E0" w:rsidRDefault="004571E0" w:rsidP="00751AA5">
            <w:pPr>
              <w:spacing w:line="480" w:lineRule="auto"/>
              <w:rPr>
                <w:b w:val="0"/>
                <w:bCs w:val="0"/>
                <w:sz w:val="24"/>
                <w:szCs w:val="24"/>
                <w:u w:val="single"/>
              </w:rPr>
            </w:pPr>
            <w:r>
              <w:t xml:space="preserve">8. </w:t>
            </w:r>
            <w:r w:rsidRPr="00106984">
              <w:t>Meningitis</w:t>
            </w:r>
          </w:p>
        </w:tc>
        <w:tc>
          <w:tcPr>
            <w:tcW w:w="2614" w:type="dxa"/>
          </w:tcPr>
          <w:p w14:paraId="21D4C283" w14:textId="77777777" w:rsidR="004571E0" w:rsidRDefault="004571E0" w:rsidP="00751AA5">
            <w:pPr>
              <w:spacing w:line="480" w:lineRule="auto"/>
              <w:jc w:val="center"/>
              <w:cnfStyle w:val="000000000000" w:firstRow="0" w:lastRow="0" w:firstColumn="0" w:lastColumn="0" w:oddVBand="0" w:evenVBand="0" w:oddHBand="0" w:evenHBand="0" w:firstRowFirstColumn="0" w:firstRowLastColumn="0" w:lastRowFirstColumn="0" w:lastRowLastColumn="0"/>
              <w:rPr>
                <w:b/>
                <w:bCs/>
                <w:sz w:val="24"/>
                <w:szCs w:val="24"/>
                <w:u w:val="single"/>
              </w:rPr>
            </w:pPr>
            <w:r w:rsidRPr="00106984">
              <w:t>98.36</w:t>
            </w:r>
          </w:p>
        </w:tc>
        <w:tc>
          <w:tcPr>
            <w:tcW w:w="2614" w:type="dxa"/>
          </w:tcPr>
          <w:p w14:paraId="7A36D3C8" w14:textId="77777777" w:rsidR="004571E0" w:rsidRPr="009743FC" w:rsidRDefault="004571E0" w:rsidP="00751AA5">
            <w:pPr>
              <w:spacing w:line="480" w:lineRule="auto"/>
              <w:cnfStyle w:val="000000000000" w:firstRow="0" w:lastRow="0" w:firstColumn="0" w:lastColumn="0" w:oddVBand="0" w:evenVBand="0" w:oddHBand="0" w:evenHBand="0" w:firstRowFirstColumn="0" w:firstRowLastColumn="0" w:lastRowFirstColumn="0" w:lastRowLastColumn="0"/>
            </w:pPr>
            <w:r w:rsidRPr="009743FC">
              <w:t>8. Malaria</w:t>
            </w:r>
          </w:p>
        </w:tc>
        <w:tc>
          <w:tcPr>
            <w:tcW w:w="2614" w:type="dxa"/>
          </w:tcPr>
          <w:p w14:paraId="2467A8B4" w14:textId="77777777" w:rsidR="004571E0" w:rsidRPr="009743FC" w:rsidRDefault="004571E0" w:rsidP="00751AA5">
            <w:pPr>
              <w:spacing w:line="480" w:lineRule="auto"/>
              <w:jc w:val="center"/>
              <w:cnfStyle w:val="000000000000" w:firstRow="0" w:lastRow="0" w:firstColumn="0" w:lastColumn="0" w:oddVBand="0" w:evenVBand="0" w:oddHBand="0" w:evenHBand="0" w:firstRowFirstColumn="0" w:firstRowLastColumn="0" w:lastRowFirstColumn="0" w:lastRowLastColumn="0"/>
            </w:pPr>
            <w:r w:rsidRPr="009743FC">
              <w:t>33.37</w:t>
            </w:r>
          </w:p>
        </w:tc>
      </w:tr>
      <w:tr w:rsidR="004571E0" w14:paraId="4D1739DD" w14:textId="77777777" w:rsidTr="00AD2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51D22B94" w14:textId="77777777" w:rsidR="004571E0" w:rsidRDefault="004571E0" w:rsidP="00751AA5">
            <w:pPr>
              <w:spacing w:line="480" w:lineRule="auto"/>
              <w:rPr>
                <w:b w:val="0"/>
                <w:bCs w:val="0"/>
                <w:sz w:val="24"/>
                <w:szCs w:val="24"/>
                <w:u w:val="single"/>
              </w:rPr>
            </w:pPr>
            <w:r>
              <w:t xml:space="preserve">9. </w:t>
            </w:r>
            <w:r w:rsidRPr="00106984">
              <w:t>Encephalitis</w:t>
            </w:r>
          </w:p>
        </w:tc>
        <w:tc>
          <w:tcPr>
            <w:tcW w:w="2614" w:type="dxa"/>
          </w:tcPr>
          <w:p w14:paraId="06DE9CB8" w14:textId="77777777" w:rsidR="004571E0" w:rsidRDefault="004571E0" w:rsidP="00751AA5">
            <w:pPr>
              <w:spacing w:line="480" w:lineRule="auto"/>
              <w:jc w:val="center"/>
              <w:cnfStyle w:val="000000100000" w:firstRow="0" w:lastRow="0" w:firstColumn="0" w:lastColumn="0" w:oddVBand="0" w:evenVBand="0" w:oddHBand="1" w:evenHBand="0" w:firstRowFirstColumn="0" w:firstRowLastColumn="0" w:lastRowFirstColumn="0" w:lastRowLastColumn="0"/>
              <w:rPr>
                <w:b/>
                <w:bCs/>
                <w:sz w:val="24"/>
                <w:szCs w:val="24"/>
                <w:u w:val="single"/>
              </w:rPr>
            </w:pPr>
            <w:r w:rsidRPr="00106984">
              <w:t>79.26</w:t>
            </w:r>
          </w:p>
        </w:tc>
        <w:tc>
          <w:tcPr>
            <w:tcW w:w="2614" w:type="dxa"/>
          </w:tcPr>
          <w:p w14:paraId="252EEB0E" w14:textId="77777777" w:rsidR="004571E0" w:rsidRPr="009743FC"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pPr>
            <w:r w:rsidRPr="009743FC">
              <w:t>9. Acute hepatitis</w:t>
            </w:r>
          </w:p>
        </w:tc>
        <w:tc>
          <w:tcPr>
            <w:tcW w:w="2614" w:type="dxa"/>
          </w:tcPr>
          <w:p w14:paraId="13FC3202" w14:textId="77777777" w:rsidR="004571E0" w:rsidRPr="009743FC" w:rsidRDefault="004571E0" w:rsidP="00751AA5">
            <w:pPr>
              <w:spacing w:line="480" w:lineRule="auto"/>
              <w:jc w:val="center"/>
              <w:cnfStyle w:val="000000100000" w:firstRow="0" w:lastRow="0" w:firstColumn="0" w:lastColumn="0" w:oddVBand="0" w:evenVBand="0" w:oddHBand="1" w:evenHBand="0" w:firstRowFirstColumn="0" w:firstRowLastColumn="0" w:lastRowFirstColumn="0" w:lastRowLastColumn="0"/>
            </w:pPr>
            <w:r w:rsidRPr="009743FC">
              <w:t>30.99</w:t>
            </w:r>
          </w:p>
        </w:tc>
      </w:tr>
      <w:tr w:rsidR="004571E0" w14:paraId="3DA3B676" w14:textId="77777777" w:rsidTr="00AD2A84">
        <w:tc>
          <w:tcPr>
            <w:cnfStyle w:val="001000000000" w:firstRow="0" w:lastRow="0" w:firstColumn="1" w:lastColumn="0" w:oddVBand="0" w:evenVBand="0" w:oddHBand="0" w:evenHBand="0" w:firstRowFirstColumn="0" w:firstRowLastColumn="0" w:lastRowFirstColumn="0" w:lastRowLastColumn="0"/>
            <w:tcW w:w="2614" w:type="dxa"/>
          </w:tcPr>
          <w:p w14:paraId="0F13A389" w14:textId="77777777" w:rsidR="004571E0" w:rsidRDefault="004571E0" w:rsidP="00751AA5">
            <w:pPr>
              <w:spacing w:line="480" w:lineRule="auto"/>
              <w:rPr>
                <w:b w:val="0"/>
                <w:bCs w:val="0"/>
                <w:sz w:val="24"/>
                <w:szCs w:val="24"/>
                <w:u w:val="single"/>
              </w:rPr>
            </w:pPr>
            <w:r>
              <w:t xml:space="preserve">10. </w:t>
            </w:r>
            <w:r w:rsidRPr="00106984">
              <w:t>Whooping Cough</w:t>
            </w:r>
          </w:p>
        </w:tc>
        <w:tc>
          <w:tcPr>
            <w:tcW w:w="2614" w:type="dxa"/>
          </w:tcPr>
          <w:p w14:paraId="7F7586D9" w14:textId="77777777" w:rsidR="004571E0" w:rsidRDefault="004571E0" w:rsidP="00751AA5">
            <w:pPr>
              <w:spacing w:line="480" w:lineRule="auto"/>
              <w:jc w:val="center"/>
              <w:cnfStyle w:val="000000000000" w:firstRow="0" w:lastRow="0" w:firstColumn="0" w:lastColumn="0" w:oddVBand="0" w:evenVBand="0" w:oddHBand="0" w:evenHBand="0" w:firstRowFirstColumn="0" w:firstRowLastColumn="0" w:lastRowFirstColumn="0" w:lastRowLastColumn="0"/>
              <w:rPr>
                <w:b/>
                <w:bCs/>
                <w:sz w:val="24"/>
                <w:szCs w:val="24"/>
                <w:u w:val="single"/>
              </w:rPr>
            </w:pPr>
            <w:r w:rsidRPr="00106984">
              <w:t>73.50</w:t>
            </w:r>
          </w:p>
        </w:tc>
        <w:tc>
          <w:tcPr>
            <w:tcW w:w="2614" w:type="dxa"/>
          </w:tcPr>
          <w:p w14:paraId="5AC328FE" w14:textId="77777777" w:rsidR="004571E0" w:rsidRPr="009743FC" w:rsidRDefault="004571E0" w:rsidP="00751AA5">
            <w:pPr>
              <w:spacing w:line="480" w:lineRule="auto"/>
              <w:cnfStyle w:val="000000000000" w:firstRow="0" w:lastRow="0" w:firstColumn="0" w:lastColumn="0" w:oddVBand="0" w:evenVBand="0" w:oddHBand="0" w:evenHBand="0" w:firstRowFirstColumn="0" w:firstRowLastColumn="0" w:lastRowFirstColumn="0" w:lastRowLastColumn="0"/>
            </w:pPr>
            <w:r w:rsidRPr="009743FC">
              <w:t>10. Dengue</w:t>
            </w:r>
          </w:p>
        </w:tc>
        <w:tc>
          <w:tcPr>
            <w:tcW w:w="2614" w:type="dxa"/>
          </w:tcPr>
          <w:p w14:paraId="0C088359" w14:textId="77777777" w:rsidR="004571E0" w:rsidRPr="009743FC" w:rsidRDefault="004571E0" w:rsidP="00751AA5">
            <w:pPr>
              <w:spacing w:line="480" w:lineRule="auto"/>
              <w:jc w:val="center"/>
              <w:cnfStyle w:val="000000000000" w:firstRow="0" w:lastRow="0" w:firstColumn="0" w:lastColumn="0" w:oddVBand="0" w:evenVBand="0" w:oddHBand="0" w:evenHBand="0" w:firstRowFirstColumn="0" w:firstRowLastColumn="0" w:lastRowFirstColumn="0" w:lastRowLastColumn="0"/>
            </w:pPr>
            <w:r w:rsidRPr="009743FC">
              <w:t>19.20</w:t>
            </w:r>
          </w:p>
        </w:tc>
      </w:tr>
      <w:tr w:rsidR="004571E0" w14:paraId="2F13609B" w14:textId="77777777" w:rsidTr="00AD2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4C9BB17F" w14:textId="77777777" w:rsidR="004571E0" w:rsidRDefault="004571E0" w:rsidP="00751AA5">
            <w:pPr>
              <w:spacing w:line="480" w:lineRule="auto"/>
              <w:rPr>
                <w:b w:val="0"/>
                <w:bCs w:val="0"/>
                <w:sz w:val="24"/>
                <w:szCs w:val="24"/>
                <w:u w:val="single"/>
              </w:rPr>
            </w:pPr>
            <w:r>
              <w:t xml:space="preserve">11. </w:t>
            </w:r>
            <w:r w:rsidRPr="00106984">
              <w:t>Acute hepatitis</w:t>
            </w:r>
          </w:p>
        </w:tc>
        <w:tc>
          <w:tcPr>
            <w:tcW w:w="2614" w:type="dxa"/>
          </w:tcPr>
          <w:p w14:paraId="0BF52CCE" w14:textId="77777777" w:rsidR="004571E0" w:rsidRDefault="004571E0" w:rsidP="00751AA5">
            <w:pPr>
              <w:spacing w:line="480" w:lineRule="auto"/>
              <w:jc w:val="center"/>
              <w:cnfStyle w:val="000000100000" w:firstRow="0" w:lastRow="0" w:firstColumn="0" w:lastColumn="0" w:oddVBand="0" w:evenVBand="0" w:oddHBand="1" w:evenHBand="0" w:firstRowFirstColumn="0" w:firstRowLastColumn="0" w:lastRowFirstColumn="0" w:lastRowLastColumn="0"/>
              <w:rPr>
                <w:b/>
                <w:bCs/>
                <w:sz w:val="24"/>
                <w:szCs w:val="24"/>
                <w:u w:val="single"/>
              </w:rPr>
            </w:pPr>
            <w:r w:rsidRPr="00106984">
              <w:t>61.78</w:t>
            </w:r>
          </w:p>
        </w:tc>
        <w:tc>
          <w:tcPr>
            <w:tcW w:w="2614" w:type="dxa"/>
          </w:tcPr>
          <w:p w14:paraId="57C4A23E" w14:textId="77777777" w:rsidR="004571E0" w:rsidRPr="009743FC"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pPr>
            <w:r w:rsidRPr="009743FC">
              <w:t>11. Whooping cough</w:t>
            </w:r>
          </w:p>
        </w:tc>
        <w:tc>
          <w:tcPr>
            <w:tcW w:w="2614" w:type="dxa"/>
          </w:tcPr>
          <w:p w14:paraId="2D910256" w14:textId="77777777" w:rsidR="004571E0" w:rsidRPr="009743FC" w:rsidRDefault="004571E0" w:rsidP="00751AA5">
            <w:pPr>
              <w:spacing w:line="480" w:lineRule="auto"/>
              <w:jc w:val="center"/>
              <w:cnfStyle w:val="000000100000" w:firstRow="0" w:lastRow="0" w:firstColumn="0" w:lastColumn="0" w:oddVBand="0" w:evenVBand="0" w:oddHBand="1" w:evenHBand="0" w:firstRowFirstColumn="0" w:firstRowLastColumn="0" w:lastRowFirstColumn="0" w:lastRowLastColumn="0"/>
            </w:pPr>
            <w:r w:rsidRPr="009743FC">
              <w:t>17.35</w:t>
            </w:r>
          </w:p>
        </w:tc>
      </w:tr>
      <w:tr w:rsidR="004571E0" w14:paraId="2B443784" w14:textId="77777777" w:rsidTr="00AD2A84">
        <w:tc>
          <w:tcPr>
            <w:cnfStyle w:val="001000000000" w:firstRow="0" w:lastRow="0" w:firstColumn="1" w:lastColumn="0" w:oddVBand="0" w:evenVBand="0" w:oddHBand="0" w:evenHBand="0" w:firstRowFirstColumn="0" w:firstRowLastColumn="0" w:lastRowFirstColumn="0" w:lastRowLastColumn="0"/>
            <w:tcW w:w="2614" w:type="dxa"/>
          </w:tcPr>
          <w:p w14:paraId="156DD91A" w14:textId="77777777" w:rsidR="004571E0" w:rsidRDefault="004571E0" w:rsidP="00751AA5">
            <w:pPr>
              <w:spacing w:line="480" w:lineRule="auto"/>
              <w:rPr>
                <w:b w:val="0"/>
                <w:bCs w:val="0"/>
                <w:sz w:val="24"/>
                <w:szCs w:val="24"/>
                <w:u w:val="single"/>
              </w:rPr>
            </w:pPr>
            <w:r w:rsidRPr="00106984">
              <w:t>16. Dengue</w:t>
            </w:r>
          </w:p>
        </w:tc>
        <w:tc>
          <w:tcPr>
            <w:tcW w:w="2614" w:type="dxa"/>
          </w:tcPr>
          <w:p w14:paraId="322E762A" w14:textId="77777777" w:rsidR="004571E0" w:rsidRDefault="004571E0" w:rsidP="00751AA5">
            <w:pPr>
              <w:spacing w:line="480" w:lineRule="auto"/>
              <w:jc w:val="center"/>
              <w:cnfStyle w:val="000000000000" w:firstRow="0" w:lastRow="0" w:firstColumn="0" w:lastColumn="0" w:oddVBand="0" w:evenVBand="0" w:oddHBand="0" w:evenHBand="0" w:firstRowFirstColumn="0" w:firstRowLastColumn="0" w:lastRowFirstColumn="0" w:lastRowLastColumn="0"/>
              <w:rPr>
                <w:b/>
                <w:bCs/>
                <w:sz w:val="24"/>
                <w:szCs w:val="24"/>
                <w:u w:val="single"/>
              </w:rPr>
            </w:pPr>
            <w:r w:rsidRPr="00106984">
              <w:t>8.25</w:t>
            </w:r>
          </w:p>
        </w:tc>
        <w:tc>
          <w:tcPr>
            <w:tcW w:w="2614" w:type="dxa"/>
          </w:tcPr>
          <w:p w14:paraId="3B77FA2E" w14:textId="77777777" w:rsidR="004571E0" w:rsidRPr="009743FC" w:rsidRDefault="004571E0" w:rsidP="00751AA5">
            <w:pPr>
              <w:spacing w:line="480" w:lineRule="auto"/>
              <w:cnfStyle w:val="000000000000" w:firstRow="0" w:lastRow="0" w:firstColumn="0" w:lastColumn="0" w:oddVBand="0" w:evenVBand="0" w:oddHBand="0" w:evenHBand="0" w:firstRowFirstColumn="0" w:firstRowLastColumn="0" w:lastRowFirstColumn="0" w:lastRowLastColumn="0"/>
            </w:pPr>
            <w:r w:rsidRPr="009743FC">
              <w:t>14. Tetanus</w:t>
            </w:r>
          </w:p>
        </w:tc>
        <w:tc>
          <w:tcPr>
            <w:tcW w:w="2614" w:type="dxa"/>
          </w:tcPr>
          <w:p w14:paraId="04C59726" w14:textId="77777777" w:rsidR="004571E0" w:rsidRPr="009743FC" w:rsidRDefault="004571E0" w:rsidP="00751AA5">
            <w:pPr>
              <w:spacing w:line="480" w:lineRule="auto"/>
              <w:jc w:val="center"/>
              <w:cnfStyle w:val="000000000000" w:firstRow="0" w:lastRow="0" w:firstColumn="0" w:lastColumn="0" w:oddVBand="0" w:evenVBand="0" w:oddHBand="0" w:evenHBand="0" w:firstRowFirstColumn="0" w:firstRowLastColumn="0" w:lastRowFirstColumn="0" w:lastRowLastColumn="0"/>
            </w:pPr>
            <w:r w:rsidRPr="009743FC">
              <w:t>7.33</w:t>
            </w:r>
          </w:p>
        </w:tc>
      </w:tr>
      <w:tr w:rsidR="004571E0" w14:paraId="6CF3C39B" w14:textId="77777777" w:rsidTr="00AD2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73128AF5" w14:textId="77777777" w:rsidR="004571E0" w:rsidRPr="00106984" w:rsidRDefault="004571E0" w:rsidP="00751AA5">
            <w:pPr>
              <w:spacing w:line="480" w:lineRule="auto"/>
            </w:pPr>
            <w:r w:rsidRPr="00106984">
              <w:t>24. HIV/AIDS</w:t>
            </w:r>
          </w:p>
        </w:tc>
        <w:tc>
          <w:tcPr>
            <w:tcW w:w="2614" w:type="dxa"/>
          </w:tcPr>
          <w:p w14:paraId="2969C833" w14:textId="77777777" w:rsidR="004571E0" w:rsidRPr="00106984" w:rsidRDefault="004571E0" w:rsidP="00751AA5">
            <w:pPr>
              <w:spacing w:line="480" w:lineRule="auto"/>
              <w:jc w:val="center"/>
              <w:cnfStyle w:val="000000100000" w:firstRow="0" w:lastRow="0" w:firstColumn="0" w:lastColumn="0" w:oddVBand="0" w:evenVBand="0" w:oddHBand="1" w:evenHBand="0" w:firstRowFirstColumn="0" w:firstRowLastColumn="0" w:lastRowFirstColumn="0" w:lastRowLastColumn="0"/>
            </w:pPr>
            <w:r w:rsidRPr="00106984">
              <w:t>1.14</w:t>
            </w:r>
          </w:p>
        </w:tc>
        <w:tc>
          <w:tcPr>
            <w:tcW w:w="2614" w:type="dxa"/>
          </w:tcPr>
          <w:p w14:paraId="5A321548" w14:textId="77777777" w:rsidR="004571E0" w:rsidRPr="009743FC"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pPr>
            <w:r w:rsidRPr="009743FC">
              <w:t>16. Measles</w:t>
            </w:r>
          </w:p>
        </w:tc>
        <w:tc>
          <w:tcPr>
            <w:tcW w:w="2614" w:type="dxa"/>
          </w:tcPr>
          <w:p w14:paraId="4E67534E" w14:textId="77777777" w:rsidR="004571E0" w:rsidRPr="009743FC" w:rsidRDefault="004571E0" w:rsidP="00751AA5">
            <w:pPr>
              <w:spacing w:line="480" w:lineRule="auto"/>
              <w:jc w:val="center"/>
              <w:cnfStyle w:val="000000100000" w:firstRow="0" w:lastRow="0" w:firstColumn="0" w:lastColumn="0" w:oddVBand="0" w:evenVBand="0" w:oddHBand="1" w:evenHBand="0" w:firstRowFirstColumn="0" w:firstRowLastColumn="0" w:lastRowFirstColumn="0" w:lastRowLastColumn="0"/>
            </w:pPr>
            <w:r w:rsidRPr="009743FC">
              <w:t>4.86</w:t>
            </w:r>
          </w:p>
        </w:tc>
      </w:tr>
    </w:tbl>
    <w:p w14:paraId="5EA3FD34" w14:textId="77777777" w:rsidR="004571E0" w:rsidRDefault="004571E0" w:rsidP="004571E0">
      <w:pPr>
        <w:rPr>
          <w:sz w:val="24"/>
          <w:szCs w:val="24"/>
        </w:rPr>
      </w:pPr>
    </w:p>
    <w:p w14:paraId="5435A34F" w14:textId="77777777" w:rsidR="004571E0" w:rsidRDefault="004571E0" w:rsidP="004571E0">
      <w:pPr>
        <w:rPr>
          <w:b/>
          <w:bCs/>
          <w:sz w:val="28"/>
          <w:szCs w:val="28"/>
          <w:u w:val="single"/>
        </w:rPr>
      </w:pPr>
    </w:p>
    <w:p w14:paraId="28C6EB5C" w14:textId="77777777" w:rsidR="004571E0" w:rsidRPr="00360922" w:rsidRDefault="004571E0" w:rsidP="004571E0">
      <w:pPr>
        <w:rPr>
          <w:b/>
          <w:bCs/>
          <w:sz w:val="28"/>
          <w:szCs w:val="28"/>
          <w:u w:val="single"/>
        </w:rPr>
      </w:pPr>
    </w:p>
    <w:p w14:paraId="72400435" w14:textId="1CE0597C" w:rsidR="004571E0" w:rsidRPr="00EF128C" w:rsidRDefault="004571E0" w:rsidP="004571E0">
      <w:pPr>
        <w:pStyle w:val="Caption"/>
        <w:keepNext/>
        <w:rPr>
          <w:rFonts w:ascii="Times New Roman" w:hAnsi="Times New Roman" w:cs="Times New Roman"/>
          <w:b/>
          <w:bCs/>
          <w:i w:val="0"/>
          <w:iCs w:val="0"/>
          <w:color w:val="auto"/>
          <w:sz w:val="22"/>
          <w:szCs w:val="22"/>
        </w:rPr>
      </w:pPr>
      <w:r w:rsidRPr="00EF128C">
        <w:rPr>
          <w:rFonts w:ascii="Times New Roman" w:hAnsi="Times New Roman" w:cs="Times New Roman"/>
          <w:b/>
          <w:bCs/>
          <w:i w:val="0"/>
          <w:iCs w:val="0"/>
          <w:color w:val="auto"/>
          <w:sz w:val="22"/>
          <w:szCs w:val="22"/>
        </w:rPr>
        <w:t xml:space="preserve">Table </w:t>
      </w:r>
      <w:r w:rsidR="00B00F92">
        <w:rPr>
          <w:rFonts w:ascii="Times New Roman" w:hAnsi="Times New Roman" w:cs="Times New Roman"/>
          <w:b/>
          <w:bCs/>
          <w:i w:val="0"/>
          <w:iCs w:val="0"/>
          <w:color w:val="auto"/>
          <w:sz w:val="22"/>
          <w:szCs w:val="22"/>
        </w:rPr>
        <w:t>3</w:t>
      </w:r>
      <w:r w:rsidRPr="00EF128C">
        <w:rPr>
          <w:rFonts w:ascii="Times New Roman" w:hAnsi="Times New Roman" w:cs="Times New Roman"/>
          <w:b/>
          <w:bCs/>
          <w:i w:val="0"/>
          <w:iCs w:val="0"/>
          <w:color w:val="auto"/>
          <w:sz w:val="22"/>
          <w:szCs w:val="22"/>
        </w:rPr>
        <w:t xml:space="preserve"> The number of deaths and age-standardized mortality rates of infectious diseases in India in 1990 and 2019, and their temporal trends from 1990 to 2019</w:t>
      </w:r>
    </w:p>
    <w:p w14:paraId="1CEE52A7" w14:textId="77777777" w:rsidR="004571E0" w:rsidRPr="007B49C9" w:rsidRDefault="004571E0" w:rsidP="004571E0"/>
    <w:tbl>
      <w:tblPr>
        <w:tblStyle w:val="PlainTable2"/>
        <w:tblW w:w="0" w:type="auto"/>
        <w:tblLook w:val="04A0" w:firstRow="1" w:lastRow="0" w:firstColumn="1" w:lastColumn="0" w:noHBand="0" w:noVBand="1"/>
      </w:tblPr>
      <w:tblGrid>
        <w:gridCol w:w="1742"/>
        <w:gridCol w:w="1743"/>
        <w:gridCol w:w="1743"/>
        <w:gridCol w:w="1742"/>
        <w:gridCol w:w="1743"/>
        <w:gridCol w:w="1743"/>
      </w:tblGrid>
      <w:tr w:rsidR="004571E0" w14:paraId="05B4FC25" w14:textId="77777777" w:rsidTr="00EF12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gridSpan w:val="3"/>
          </w:tcPr>
          <w:p w14:paraId="7DE58BA2" w14:textId="77777777" w:rsidR="004571E0" w:rsidRPr="00113ED2" w:rsidRDefault="004571E0" w:rsidP="00751AA5">
            <w:pPr>
              <w:spacing w:line="480" w:lineRule="auto"/>
              <w:jc w:val="center"/>
              <w:rPr>
                <w:b w:val="0"/>
                <w:bCs w:val="0"/>
                <w:sz w:val="24"/>
                <w:szCs w:val="24"/>
              </w:rPr>
            </w:pPr>
            <w:r w:rsidRPr="00113ED2">
              <w:rPr>
                <w:sz w:val="24"/>
                <w:szCs w:val="24"/>
              </w:rPr>
              <w:t>Age standardized mortality rate</w:t>
            </w:r>
          </w:p>
        </w:tc>
        <w:tc>
          <w:tcPr>
            <w:tcW w:w="5228" w:type="dxa"/>
            <w:gridSpan w:val="3"/>
          </w:tcPr>
          <w:p w14:paraId="6A2AC42E" w14:textId="77777777" w:rsidR="004571E0" w:rsidRPr="00113ED2" w:rsidRDefault="004571E0" w:rsidP="00751AA5">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113ED2">
              <w:rPr>
                <w:sz w:val="24"/>
                <w:szCs w:val="24"/>
              </w:rPr>
              <w:t>Number(thousands)</w:t>
            </w:r>
          </w:p>
        </w:tc>
      </w:tr>
      <w:tr w:rsidR="004571E0" w14:paraId="43610896" w14:textId="77777777" w:rsidTr="00EF1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6"/>
          </w:tcPr>
          <w:p w14:paraId="0B39CC58" w14:textId="77777777" w:rsidR="004571E0" w:rsidRDefault="004571E0" w:rsidP="00751AA5">
            <w:pPr>
              <w:spacing w:line="480" w:lineRule="auto"/>
              <w:jc w:val="center"/>
              <w:rPr>
                <w:sz w:val="24"/>
                <w:szCs w:val="24"/>
              </w:rPr>
            </w:pPr>
            <w:r w:rsidRPr="00113ED2">
              <w:rPr>
                <w:sz w:val="24"/>
                <w:szCs w:val="24"/>
              </w:rPr>
              <w:t>HIV/AIDS</w:t>
            </w:r>
            <w:r>
              <w:rPr>
                <w:sz w:val="24"/>
                <w:szCs w:val="24"/>
              </w:rPr>
              <w:t xml:space="preserve"> and STDs</w:t>
            </w:r>
          </w:p>
        </w:tc>
      </w:tr>
      <w:tr w:rsidR="004571E0" w14:paraId="26E1615D" w14:textId="77777777" w:rsidTr="00EF128C">
        <w:trPr>
          <w:trHeight w:val="138"/>
        </w:trPr>
        <w:tc>
          <w:tcPr>
            <w:cnfStyle w:val="001000000000" w:firstRow="0" w:lastRow="0" w:firstColumn="1" w:lastColumn="0" w:oddVBand="0" w:evenVBand="0" w:oddHBand="0" w:evenHBand="0" w:firstRowFirstColumn="0" w:firstRowLastColumn="0" w:lastRowFirstColumn="0" w:lastRowLastColumn="0"/>
            <w:tcW w:w="1742" w:type="dxa"/>
          </w:tcPr>
          <w:p w14:paraId="7C933A4E" w14:textId="77777777" w:rsidR="004571E0" w:rsidRPr="00014290" w:rsidRDefault="004571E0" w:rsidP="00751AA5">
            <w:pPr>
              <w:spacing w:line="480" w:lineRule="auto"/>
              <w:rPr>
                <w:b w:val="0"/>
                <w:bCs w:val="0"/>
                <w:sz w:val="24"/>
                <w:szCs w:val="24"/>
              </w:rPr>
            </w:pPr>
            <w:r w:rsidRPr="00014290">
              <w:rPr>
                <w:sz w:val="24"/>
                <w:szCs w:val="24"/>
              </w:rPr>
              <w:t>1990</w:t>
            </w:r>
          </w:p>
        </w:tc>
        <w:tc>
          <w:tcPr>
            <w:tcW w:w="1743" w:type="dxa"/>
          </w:tcPr>
          <w:p w14:paraId="3730BE0B" w14:textId="77777777" w:rsidR="004571E0" w:rsidRPr="00014290" w:rsidRDefault="004571E0" w:rsidP="00751AA5">
            <w:pPr>
              <w:spacing w:line="480" w:lineRule="auto"/>
              <w:cnfStyle w:val="000000000000" w:firstRow="0" w:lastRow="0" w:firstColumn="0" w:lastColumn="0" w:oddVBand="0" w:evenVBand="0" w:oddHBand="0" w:evenHBand="0" w:firstRowFirstColumn="0" w:firstRowLastColumn="0" w:lastRowFirstColumn="0" w:lastRowLastColumn="0"/>
              <w:rPr>
                <w:b/>
                <w:bCs/>
                <w:sz w:val="24"/>
                <w:szCs w:val="24"/>
              </w:rPr>
            </w:pPr>
            <w:r w:rsidRPr="00014290">
              <w:rPr>
                <w:b/>
                <w:bCs/>
                <w:sz w:val="24"/>
                <w:szCs w:val="24"/>
              </w:rPr>
              <w:t>2019</w:t>
            </w:r>
          </w:p>
        </w:tc>
        <w:tc>
          <w:tcPr>
            <w:tcW w:w="1743" w:type="dxa"/>
          </w:tcPr>
          <w:p w14:paraId="63F781A3" w14:textId="77777777" w:rsidR="004571E0" w:rsidRPr="00014290" w:rsidRDefault="004571E0" w:rsidP="00751AA5">
            <w:pPr>
              <w:spacing w:line="480" w:lineRule="auto"/>
              <w:cnfStyle w:val="000000000000" w:firstRow="0" w:lastRow="0" w:firstColumn="0" w:lastColumn="0" w:oddVBand="0" w:evenVBand="0" w:oddHBand="0" w:evenHBand="0" w:firstRowFirstColumn="0" w:firstRowLastColumn="0" w:lastRowFirstColumn="0" w:lastRowLastColumn="0"/>
              <w:rPr>
                <w:b/>
                <w:bCs/>
                <w:sz w:val="24"/>
                <w:szCs w:val="24"/>
              </w:rPr>
            </w:pPr>
            <w:r w:rsidRPr="00014290">
              <w:rPr>
                <w:b/>
                <w:bCs/>
                <w:sz w:val="24"/>
                <w:szCs w:val="24"/>
              </w:rPr>
              <w:t>EAPC (%)</w:t>
            </w:r>
          </w:p>
          <w:p w14:paraId="29353BA8" w14:textId="77777777" w:rsidR="004571E0" w:rsidRPr="00014290" w:rsidRDefault="004571E0" w:rsidP="00751AA5">
            <w:pPr>
              <w:spacing w:line="480" w:lineRule="auto"/>
              <w:cnfStyle w:val="000000000000" w:firstRow="0" w:lastRow="0" w:firstColumn="0" w:lastColumn="0" w:oddVBand="0" w:evenVBand="0" w:oddHBand="0" w:evenHBand="0" w:firstRowFirstColumn="0" w:firstRowLastColumn="0" w:lastRowFirstColumn="0" w:lastRowLastColumn="0"/>
              <w:rPr>
                <w:b/>
                <w:bCs/>
                <w:sz w:val="24"/>
                <w:szCs w:val="24"/>
              </w:rPr>
            </w:pPr>
            <w:r w:rsidRPr="00014290">
              <w:rPr>
                <w:b/>
                <w:bCs/>
                <w:sz w:val="24"/>
                <w:szCs w:val="24"/>
              </w:rPr>
              <w:t>(95%CI)</w:t>
            </w:r>
          </w:p>
        </w:tc>
        <w:tc>
          <w:tcPr>
            <w:tcW w:w="1742" w:type="dxa"/>
          </w:tcPr>
          <w:p w14:paraId="7A3E7604" w14:textId="77777777" w:rsidR="004571E0" w:rsidRPr="00014290" w:rsidRDefault="004571E0" w:rsidP="00751AA5">
            <w:pPr>
              <w:spacing w:line="480" w:lineRule="auto"/>
              <w:cnfStyle w:val="000000000000" w:firstRow="0" w:lastRow="0" w:firstColumn="0" w:lastColumn="0" w:oddVBand="0" w:evenVBand="0" w:oddHBand="0" w:evenHBand="0" w:firstRowFirstColumn="0" w:firstRowLastColumn="0" w:lastRowFirstColumn="0" w:lastRowLastColumn="0"/>
              <w:rPr>
                <w:b/>
                <w:bCs/>
                <w:sz w:val="24"/>
                <w:szCs w:val="24"/>
              </w:rPr>
            </w:pPr>
            <w:r w:rsidRPr="00014290">
              <w:rPr>
                <w:b/>
                <w:bCs/>
                <w:sz w:val="24"/>
                <w:szCs w:val="24"/>
              </w:rPr>
              <w:t>1990</w:t>
            </w:r>
          </w:p>
        </w:tc>
        <w:tc>
          <w:tcPr>
            <w:tcW w:w="1743" w:type="dxa"/>
          </w:tcPr>
          <w:p w14:paraId="49427D6D" w14:textId="77777777" w:rsidR="004571E0" w:rsidRPr="00014290" w:rsidRDefault="004571E0" w:rsidP="00751AA5">
            <w:pPr>
              <w:spacing w:line="480" w:lineRule="auto"/>
              <w:cnfStyle w:val="000000000000" w:firstRow="0" w:lastRow="0" w:firstColumn="0" w:lastColumn="0" w:oddVBand="0" w:evenVBand="0" w:oddHBand="0" w:evenHBand="0" w:firstRowFirstColumn="0" w:firstRowLastColumn="0" w:lastRowFirstColumn="0" w:lastRowLastColumn="0"/>
              <w:rPr>
                <w:b/>
                <w:bCs/>
                <w:sz w:val="24"/>
                <w:szCs w:val="24"/>
              </w:rPr>
            </w:pPr>
            <w:r w:rsidRPr="00014290">
              <w:rPr>
                <w:b/>
                <w:bCs/>
                <w:sz w:val="24"/>
                <w:szCs w:val="24"/>
              </w:rPr>
              <w:t>2019</w:t>
            </w:r>
          </w:p>
        </w:tc>
        <w:tc>
          <w:tcPr>
            <w:tcW w:w="1743" w:type="dxa"/>
          </w:tcPr>
          <w:p w14:paraId="16D28FBF" w14:textId="77777777" w:rsidR="004571E0" w:rsidRPr="00014290" w:rsidRDefault="004571E0" w:rsidP="00751AA5">
            <w:pPr>
              <w:spacing w:line="480" w:lineRule="auto"/>
              <w:cnfStyle w:val="000000000000" w:firstRow="0" w:lastRow="0" w:firstColumn="0" w:lastColumn="0" w:oddVBand="0" w:evenVBand="0" w:oddHBand="0" w:evenHBand="0" w:firstRowFirstColumn="0" w:firstRowLastColumn="0" w:lastRowFirstColumn="0" w:lastRowLastColumn="0"/>
              <w:rPr>
                <w:b/>
                <w:bCs/>
                <w:sz w:val="24"/>
                <w:szCs w:val="24"/>
              </w:rPr>
            </w:pPr>
            <w:r w:rsidRPr="00014290">
              <w:rPr>
                <w:b/>
                <w:bCs/>
                <w:sz w:val="24"/>
                <w:szCs w:val="24"/>
              </w:rPr>
              <w:t>Change (%)</w:t>
            </w:r>
          </w:p>
        </w:tc>
      </w:tr>
      <w:tr w:rsidR="004571E0" w14:paraId="7DF3024F" w14:textId="77777777" w:rsidTr="00EF128C">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742" w:type="dxa"/>
          </w:tcPr>
          <w:p w14:paraId="2F60F17F" w14:textId="77777777" w:rsidR="004571E0" w:rsidRDefault="004571E0" w:rsidP="00751AA5">
            <w:pPr>
              <w:spacing w:line="480" w:lineRule="auto"/>
              <w:rPr>
                <w:sz w:val="24"/>
                <w:szCs w:val="24"/>
              </w:rPr>
            </w:pPr>
            <w:r w:rsidRPr="00254A8A">
              <w:rPr>
                <w:sz w:val="24"/>
                <w:szCs w:val="24"/>
              </w:rPr>
              <w:t xml:space="preserve">1.77 (0.89 to </w:t>
            </w:r>
            <w:r w:rsidRPr="00254A8A">
              <w:rPr>
                <w:sz w:val="24"/>
                <w:szCs w:val="24"/>
              </w:rPr>
              <w:lastRenderedPageBreak/>
              <w:t>3.37)</w:t>
            </w:r>
          </w:p>
        </w:tc>
        <w:tc>
          <w:tcPr>
            <w:tcW w:w="1743" w:type="dxa"/>
          </w:tcPr>
          <w:p w14:paraId="351D5E45" w14:textId="77777777" w:rsidR="004571E0"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254A8A">
              <w:rPr>
                <w:sz w:val="24"/>
                <w:szCs w:val="24"/>
              </w:rPr>
              <w:lastRenderedPageBreak/>
              <w:t xml:space="preserve">4.09 (3.50 to </w:t>
            </w:r>
            <w:r w:rsidRPr="00254A8A">
              <w:rPr>
                <w:sz w:val="24"/>
                <w:szCs w:val="24"/>
              </w:rPr>
              <w:lastRenderedPageBreak/>
              <w:t>4.99)</w:t>
            </w:r>
          </w:p>
        </w:tc>
        <w:tc>
          <w:tcPr>
            <w:tcW w:w="1743" w:type="dxa"/>
          </w:tcPr>
          <w:p w14:paraId="42B63B55" w14:textId="77777777" w:rsidR="004571E0"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68791E">
              <w:rPr>
                <w:sz w:val="24"/>
                <w:szCs w:val="24"/>
              </w:rPr>
              <w:lastRenderedPageBreak/>
              <w:t xml:space="preserve">3.14 (0.11 to </w:t>
            </w:r>
            <w:r w:rsidRPr="0068791E">
              <w:rPr>
                <w:sz w:val="24"/>
                <w:szCs w:val="24"/>
              </w:rPr>
              <w:lastRenderedPageBreak/>
              <w:t>6.26)</w:t>
            </w:r>
          </w:p>
        </w:tc>
        <w:tc>
          <w:tcPr>
            <w:tcW w:w="1742" w:type="dxa"/>
          </w:tcPr>
          <w:p w14:paraId="640F038B" w14:textId="77777777" w:rsidR="004571E0"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A30006">
              <w:rPr>
                <w:sz w:val="24"/>
                <w:szCs w:val="24"/>
              </w:rPr>
              <w:lastRenderedPageBreak/>
              <w:t xml:space="preserve">19.11 (8.19 to </w:t>
            </w:r>
            <w:r w:rsidRPr="00A30006">
              <w:rPr>
                <w:sz w:val="24"/>
                <w:szCs w:val="24"/>
              </w:rPr>
              <w:lastRenderedPageBreak/>
              <w:t>38.8)</w:t>
            </w:r>
          </w:p>
        </w:tc>
        <w:tc>
          <w:tcPr>
            <w:tcW w:w="1743" w:type="dxa"/>
          </w:tcPr>
          <w:p w14:paraId="2F07D944" w14:textId="77777777" w:rsidR="004571E0"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A30006">
              <w:rPr>
                <w:sz w:val="24"/>
                <w:szCs w:val="24"/>
              </w:rPr>
              <w:lastRenderedPageBreak/>
              <w:t xml:space="preserve">55.89 (48.41 to </w:t>
            </w:r>
            <w:r w:rsidRPr="00A30006">
              <w:rPr>
                <w:sz w:val="24"/>
                <w:szCs w:val="24"/>
              </w:rPr>
              <w:lastRenderedPageBreak/>
              <w:t>67.37)</w:t>
            </w:r>
          </w:p>
        </w:tc>
        <w:tc>
          <w:tcPr>
            <w:tcW w:w="1743" w:type="dxa"/>
          </w:tcPr>
          <w:p w14:paraId="5B26E383" w14:textId="77777777" w:rsidR="004571E0"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22567B">
              <w:rPr>
                <w:sz w:val="24"/>
                <w:szCs w:val="24"/>
              </w:rPr>
              <w:lastRenderedPageBreak/>
              <w:t xml:space="preserve">192.52 (64.58 </w:t>
            </w:r>
            <w:r w:rsidRPr="0022567B">
              <w:rPr>
                <w:sz w:val="24"/>
                <w:szCs w:val="24"/>
              </w:rPr>
              <w:lastRenderedPageBreak/>
              <w:t>to 526.72)</w:t>
            </w:r>
          </w:p>
        </w:tc>
      </w:tr>
      <w:tr w:rsidR="004571E0" w14:paraId="6EF1CC35" w14:textId="77777777" w:rsidTr="00EF128C">
        <w:tc>
          <w:tcPr>
            <w:cnfStyle w:val="001000000000" w:firstRow="0" w:lastRow="0" w:firstColumn="1" w:lastColumn="0" w:oddVBand="0" w:evenVBand="0" w:oddHBand="0" w:evenHBand="0" w:firstRowFirstColumn="0" w:firstRowLastColumn="0" w:lastRowFirstColumn="0" w:lastRowLastColumn="0"/>
            <w:tcW w:w="10456" w:type="dxa"/>
            <w:gridSpan w:val="6"/>
          </w:tcPr>
          <w:p w14:paraId="6EAC9C37" w14:textId="77777777" w:rsidR="004571E0" w:rsidRPr="00006178" w:rsidRDefault="004571E0" w:rsidP="00751AA5">
            <w:pPr>
              <w:spacing w:line="480" w:lineRule="auto"/>
              <w:jc w:val="center"/>
              <w:rPr>
                <w:b w:val="0"/>
                <w:bCs w:val="0"/>
                <w:sz w:val="24"/>
                <w:szCs w:val="24"/>
              </w:rPr>
            </w:pPr>
            <w:r w:rsidRPr="00006178">
              <w:rPr>
                <w:sz w:val="24"/>
                <w:szCs w:val="24"/>
              </w:rPr>
              <w:lastRenderedPageBreak/>
              <w:t>Respiratory infection and tuberculosis</w:t>
            </w:r>
          </w:p>
        </w:tc>
      </w:tr>
      <w:tr w:rsidR="004571E0" w14:paraId="22D01FF9" w14:textId="77777777" w:rsidTr="00EF1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4D34128D" w14:textId="77777777" w:rsidR="004571E0" w:rsidRDefault="004571E0" w:rsidP="00751AA5">
            <w:pPr>
              <w:spacing w:line="480" w:lineRule="auto"/>
              <w:rPr>
                <w:sz w:val="24"/>
                <w:szCs w:val="24"/>
              </w:rPr>
            </w:pPr>
            <w:r w:rsidRPr="00867B77">
              <w:rPr>
                <w:sz w:val="24"/>
                <w:szCs w:val="24"/>
              </w:rPr>
              <w:t>212.86 (190.80 to 233.62)</w:t>
            </w:r>
          </w:p>
        </w:tc>
        <w:tc>
          <w:tcPr>
            <w:tcW w:w="1743" w:type="dxa"/>
          </w:tcPr>
          <w:p w14:paraId="61B88A74" w14:textId="77777777" w:rsidR="004571E0"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867B77">
              <w:rPr>
                <w:sz w:val="24"/>
                <w:szCs w:val="24"/>
              </w:rPr>
              <w:t>79.73 (70.34 to 90.67)</w:t>
            </w:r>
          </w:p>
        </w:tc>
        <w:tc>
          <w:tcPr>
            <w:tcW w:w="1743" w:type="dxa"/>
          </w:tcPr>
          <w:p w14:paraId="7FA47F2B" w14:textId="77777777" w:rsidR="004571E0"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C766C9">
              <w:rPr>
                <w:sz w:val="24"/>
                <w:szCs w:val="24"/>
              </w:rPr>
              <w:t>-3.53 (-3.66 to -3.4)</w:t>
            </w:r>
          </w:p>
        </w:tc>
        <w:tc>
          <w:tcPr>
            <w:tcW w:w="1742" w:type="dxa"/>
          </w:tcPr>
          <w:p w14:paraId="64AF9E90" w14:textId="77777777" w:rsidR="004571E0"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014290">
              <w:rPr>
                <w:sz w:val="24"/>
                <w:szCs w:val="24"/>
              </w:rPr>
              <w:t>1309.49 (1177.83 to 1438.36)</w:t>
            </w:r>
          </w:p>
        </w:tc>
        <w:tc>
          <w:tcPr>
            <w:tcW w:w="1743" w:type="dxa"/>
          </w:tcPr>
          <w:p w14:paraId="4062E396" w14:textId="77777777" w:rsidR="004571E0"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014290">
              <w:rPr>
                <w:sz w:val="24"/>
                <w:szCs w:val="24"/>
              </w:rPr>
              <w:t>857.09 (753.94 to 976.65)</w:t>
            </w:r>
          </w:p>
        </w:tc>
        <w:tc>
          <w:tcPr>
            <w:tcW w:w="1743" w:type="dxa"/>
          </w:tcPr>
          <w:p w14:paraId="2CC1D333" w14:textId="77777777" w:rsidR="004571E0"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014290">
              <w:rPr>
                <w:sz w:val="24"/>
                <w:szCs w:val="24"/>
              </w:rPr>
              <w:t>-34.55 (-43.72 to -24.35)</w:t>
            </w:r>
          </w:p>
        </w:tc>
      </w:tr>
      <w:tr w:rsidR="004571E0" w14:paraId="0A2C818E" w14:textId="77777777" w:rsidTr="00EF128C">
        <w:tc>
          <w:tcPr>
            <w:cnfStyle w:val="001000000000" w:firstRow="0" w:lastRow="0" w:firstColumn="1" w:lastColumn="0" w:oddVBand="0" w:evenVBand="0" w:oddHBand="0" w:evenHBand="0" w:firstRowFirstColumn="0" w:firstRowLastColumn="0" w:lastRowFirstColumn="0" w:lastRowLastColumn="0"/>
            <w:tcW w:w="10456" w:type="dxa"/>
            <w:gridSpan w:val="6"/>
          </w:tcPr>
          <w:p w14:paraId="25676222" w14:textId="77777777" w:rsidR="004571E0" w:rsidRPr="00014290" w:rsidRDefault="004571E0" w:rsidP="00751AA5">
            <w:pPr>
              <w:spacing w:line="480" w:lineRule="auto"/>
              <w:jc w:val="center"/>
              <w:rPr>
                <w:b w:val="0"/>
                <w:bCs w:val="0"/>
                <w:sz w:val="24"/>
                <w:szCs w:val="24"/>
              </w:rPr>
            </w:pPr>
            <w:r w:rsidRPr="00014290">
              <w:rPr>
                <w:sz w:val="24"/>
                <w:szCs w:val="24"/>
              </w:rPr>
              <w:t>Enteric infections</w:t>
            </w:r>
          </w:p>
        </w:tc>
      </w:tr>
      <w:tr w:rsidR="004571E0" w14:paraId="3DA8E158" w14:textId="77777777" w:rsidTr="00EF1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6872D7D6" w14:textId="77777777" w:rsidR="004571E0" w:rsidRDefault="004571E0" w:rsidP="00751AA5">
            <w:pPr>
              <w:spacing w:line="480" w:lineRule="auto"/>
              <w:rPr>
                <w:sz w:val="24"/>
                <w:szCs w:val="24"/>
              </w:rPr>
            </w:pPr>
            <w:r w:rsidRPr="00ED6F2A">
              <w:rPr>
                <w:sz w:val="24"/>
                <w:szCs w:val="24"/>
              </w:rPr>
              <w:t>285.72 (187.61 to 389.36)</w:t>
            </w:r>
          </w:p>
        </w:tc>
        <w:tc>
          <w:tcPr>
            <w:tcW w:w="1743" w:type="dxa"/>
          </w:tcPr>
          <w:p w14:paraId="18CF0FE0" w14:textId="77777777" w:rsidR="004571E0"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ED6F2A">
              <w:rPr>
                <w:sz w:val="24"/>
                <w:szCs w:val="24"/>
              </w:rPr>
              <w:t>76.26 (45.05 to 121.63)</w:t>
            </w:r>
          </w:p>
        </w:tc>
        <w:tc>
          <w:tcPr>
            <w:tcW w:w="1743" w:type="dxa"/>
          </w:tcPr>
          <w:p w14:paraId="5AA0C3C3" w14:textId="77777777" w:rsidR="004571E0"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ED6F2A">
              <w:rPr>
                <w:sz w:val="24"/>
                <w:szCs w:val="24"/>
              </w:rPr>
              <w:t>-4.64 (-4.84 to -4.44)</w:t>
            </w:r>
          </w:p>
        </w:tc>
        <w:tc>
          <w:tcPr>
            <w:tcW w:w="1742" w:type="dxa"/>
          </w:tcPr>
          <w:p w14:paraId="6483034D" w14:textId="77777777" w:rsidR="004571E0"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6B5EA1">
              <w:rPr>
                <w:sz w:val="24"/>
                <w:szCs w:val="24"/>
              </w:rPr>
              <w:t>1213.64 (871.95 to 1592.59)</w:t>
            </w:r>
          </w:p>
        </w:tc>
        <w:tc>
          <w:tcPr>
            <w:tcW w:w="1743" w:type="dxa"/>
          </w:tcPr>
          <w:p w14:paraId="11229DA8" w14:textId="77777777" w:rsidR="004571E0"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6B5EA1">
              <w:rPr>
                <w:sz w:val="24"/>
                <w:szCs w:val="24"/>
              </w:rPr>
              <w:t>701.67 (419.72 to 1121.82)</w:t>
            </w:r>
          </w:p>
        </w:tc>
        <w:tc>
          <w:tcPr>
            <w:tcW w:w="1743" w:type="dxa"/>
          </w:tcPr>
          <w:p w14:paraId="7806F318" w14:textId="77777777" w:rsidR="004571E0"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6B5EA1">
              <w:rPr>
                <w:sz w:val="24"/>
                <w:szCs w:val="24"/>
              </w:rPr>
              <w:t>42.18 (-59.07 to -15.4)</w:t>
            </w:r>
          </w:p>
        </w:tc>
      </w:tr>
      <w:tr w:rsidR="004571E0" w14:paraId="491134D6" w14:textId="77777777" w:rsidTr="00EF128C">
        <w:tc>
          <w:tcPr>
            <w:cnfStyle w:val="001000000000" w:firstRow="0" w:lastRow="0" w:firstColumn="1" w:lastColumn="0" w:oddVBand="0" w:evenVBand="0" w:oddHBand="0" w:evenHBand="0" w:firstRowFirstColumn="0" w:firstRowLastColumn="0" w:lastRowFirstColumn="0" w:lastRowLastColumn="0"/>
            <w:tcW w:w="10456" w:type="dxa"/>
            <w:gridSpan w:val="6"/>
          </w:tcPr>
          <w:p w14:paraId="12D9D01A" w14:textId="77777777" w:rsidR="004571E0" w:rsidRPr="00216D82" w:rsidRDefault="004571E0" w:rsidP="00751AA5">
            <w:pPr>
              <w:spacing w:line="480" w:lineRule="auto"/>
              <w:jc w:val="center"/>
              <w:rPr>
                <w:b w:val="0"/>
                <w:bCs w:val="0"/>
                <w:sz w:val="24"/>
                <w:szCs w:val="24"/>
              </w:rPr>
            </w:pPr>
            <w:r w:rsidRPr="00216D82">
              <w:rPr>
                <w:sz w:val="24"/>
                <w:szCs w:val="24"/>
              </w:rPr>
              <w:t>Neglected tropical studies</w:t>
            </w:r>
          </w:p>
        </w:tc>
      </w:tr>
      <w:tr w:rsidR="004571E0" w14:paraId="207C1CD2" w14:textId="77777777" w:rsidTr="00EF1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3424C2D8" w14:textId="77777777" w:rsidR="004571E0" w:rsidRPr="00ED6F2A" w:rsidRDefault="004571E0" w:rsidP="00751AA5">
            <w:pPr>
              <w:spacing w:line="480" w:lineRule="auto"/>
              <w:rPr>
                <w:sz w:val="24"/>
                <w:szCs w:val="24"/>
              </w:rPr>
            </w:pPr>
            <w:r w:rsidRPr="004B6713">
              <w:rPr>
                <w:sz w:val="24"/>
                <w:szCs w:val="24"/>
              </w:rPr>
              <w:t>21.03 (10.68 to 41.97)</w:t>
            </w:r>
          </w:p>
        </w:tc>
        <w:tc>
          <w:tcPr>
            <w:tcW w:w="1743" w:type="dxa"/>
          </w:tcPr>
          <w:p w14:paraId="0153AECA" w14:textId="77777777" w:rsidR="004571E0" w:rsidRPr="00ED6F2A"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4B6713">
              <w:rPr>
                <w:sz w:val="24"/>
                <w:szCs w:val="24"/>
              </w:rPr>
              <w:t>5.06 (2.92 to 9.02)</w:t>
            </w:r>
          </w:p>
        </w:tc>
        <w:tc>
          <w:tcPr>
            <w:tcW w:w="1743" w:type="dxa"/>
          </w:tcPr>
          <w:p w14:paraId="02653874" w14:textId="77777777" w:rsidR="004571E0" w:rsidRPr="00ED6F2A"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6F144F">
              <w:rPr>
                <w:sz w:val="24"/>
                <w:szCs w:val="24"/>
              </w:rPr>
              <w:t>-4.82 (-5.2 to -4.43)</w:t>
            </w:r>
          </w:p>
        </w:tc>
        <w:tc>
          <w:tcPr>
            <w:tcW w:w="1742" w:type="dxa"/>
          </w:tcPr>
          <w:p w14:paraId="00336F0C" w14:textId="77777777" w:rsidR="004571E0" w:rsidRPr="006B5EA1"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6F144F">
              <w:rPr>
                <w:sz w:val="24"/>
                <w:szCs w:val="24"/>
              </w:rPr>
              <w:t>203.96 (100.43 to 404.88)</w:t>
            </w:r>
          </w:p>
        </w:tc>
        <w:tc>
          <w:tcPr>
            <w:tcW w:w="1743" w:type="dxa"/>
          </w:tcPr>
          <w:p w14:paraId="5037C11D" w14:textId="77777777" w:rsidR="004571E0" w:rsidRPr="006B5EA1"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6F144F">
              <w:rPr>
                <w:sz w:val="24"/>
                <w:szCs w:val="24"/>
              </w:rPr>
              <w:t>61.87 (35.11 to 112.62)</w:t>
            </w:r>
          </w:p>
        </w:tc>
        <w:tc>
          <w:tcPr>
            <w:tcW w:w="1743" w:type="dxa"/>
          </w:tcPr>
          <w:p w14:paraId="05F84502" w14:textId="77777777" w:rsidR="004571E0" w:rsidRPr="006B5EA1"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E056CC">
              <w:rPr>
                <w:sz w:val="24"/>
                <w:szCs w:val="24"/>
              </w:rPr>
              <w:t>-69.66 (-84.41 to -42.07)</w:t>
            </w:r>
          </w:p>
        </w:tc>
      </w:tr>
      <w:tr w:rsidR="004571E0" w14:paraId="0E5F8FC2" w14:textId="77777777" w:rsidTr="00EF128C">
        <w:tc>
          <w:tcPr>
            <w:cnfStyle w:val="001000000000" w:firstRow="0" w:lastRow="0" w:firstColumn="1" w:lastColumn="0" w:oddVBand="0" w:evenVBand="0" w:oddHBand="0" w:evenHBand="0" w:firstRowFirstColumn="0" w:firstRowLastColumn="0" w:lastRowFirstColumn="0" w:lastRowLastColumn="0"/>
            <w:tcW w:w="10456" w:type="dxa"/>
            <w:gridSpan w:val="6"/>
          </w:tcPr>
          <w:p w14:paraId="546A5584" w14:textId="77777777" w:rsidR="004571E0" w:rsidRPr="00E056CC" w:rsidRDefault="004571E0" w:rsidP="00751AA5">
            <w:pPr>
              <w:spacing w:line="480" w:lineRule="auto"/>
              <w:jc w:val="center"/>
              <w:rPr>
                <w:b w:val="0"/>
                <w:bCs w:val="0"/>
                <w:sz w:val="24"/>
                <w:szCs w:val="24"/>
              </w:rPr>
            </w:pPr>
            <w:r w:rsidRPr="00E056CC">
              <w:rPr>
                <w:sz w:val="24"/>
                <w:szCs w:val="24"/>
              </w:rPr>
              <w:t>Other infectious diseases</w:t>
            </w:r>
          </w:p>
        </w:tc>
      </w:tr>
      <w:tr w:rsidR="004571E0" w14:paraId="17BE9702" w14:textId="77777777" w:rsidTr="00EF1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031AC10C" w14:textId="77777777" w:rsidR="004571E0" w:rsidRPr="00ED6F2A" w:rsidRDefault="004571E0" w:rsidP="00751AA5">
            <w:pPr>
              <w:spacing w:line="480" w:lineRule="auto"/>
              <w:rPr>
                <w:sz w:val="24"/>
                <w:szCs w:val="24"/>
              </w:rPr>
            </w:pPr>
            <w:r w:rsidRPr="00B02C39">
              <w:rPr>
                <w:sz w:val="24"/>
                <w:szCs w:val="24"/>
              </w:rPr>
              <w:t>62.68 (50.47 to 80.65)</w:t>
            </w:r>
          </w:p>
        </w:tc>
        <w:tc>
          <w:tcPr>
            <w:tcW w:w="1743" w:type="dxa"/>
          </w:tcPr>
          <w:p w14:paraId="346CAC59" w14:textId="77777777" w:rsidR="004571E0" w:rsidRPr="00ED6F2A"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B02C39">
              <w:rPr>
                <w:sz w:val="24"/>
                <w:szCs w:val="24"/>
              </w:rPr>
              <w:t>14.13 (11.57 to 17.53)</w:t>
            </w:r>
          </w:p>
        </w:tc>
        <w:tc>
          <w:tcPr>
            <w:tcW w:w="1743" w:type="dxa"/>
          </w:tcPr>
          <w:p w14:paraId="481C94A5" w14:textId="77777777" w:rsidR="004571E0" w:rsidRPr="00ED6F2A"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B02C39">
              <w:rPr>
                <w:sz w:val="24"/>
                <w:szCs w:val="24"/>
              </w:rPr>
              <w:t>-5.08 (-5.39 to -4.76)</w:t>
            </w:r>
          </w:p>
        </w:tc>
        <w:tc>
          <w:tcPr>
            <w:tcW w:w="1742" w:type="dxa"/>
          </w:tcPr>
          <w:p w14:paraId="0B7F6545" w14:textId="77777777" w:rsidR="004571E0" w:rsidRPr="006B5EA1"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B02C39">
              <w:rPr>
                <w:sz w:val="24"/>
                <w:szCs w:val="24"/>
              </w:rPr>
              <w:t>603.72 (459.57 to 812.95)</w:t>
            </w:r>
          </w:p>
        </w:tc>
        <w:tc>
          <w:tcPr>
            <w:tcW w:w="1743" w:type="dxa"/>
          </w:tcPr>
          <w:p w14:paraId="315CCE0D" w14:textId="77777777" w:rsidR="004571E0" w:rsidRPr="006B5EA1"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7B5546">
              <w:rPr>
                <w:sz w:val="24"/>
                <w:szCs w:val="24"/>
              </w:rPr>
              <w:t>164.66 (133.51 to 205.44)</w:t>
            </w:r>
          </w:p>
        </w:tc>
        <w:tc>
          <w:tcPr>
            <w:tcW w:w="1743" w:type="dxa"/>
          </w:tcPr>
          <w:p w14:paraId="50599539" w14:textId="77777777" w:rsidR="004571E0" w:rsidRPr="006B5EA1"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7B5546">
              <w:rPr>
                <w:sz w:val="24"/>
                <w:szCs w:val="24"/>
              </w:rPr>
              <w:t>-72.73 (-80.27 to -62.46)</w:t>
            </w:r>
          </w:p>
        </w:tc>
      </w:tr>
    </w:tbl>
    <w:p w14:paraId="05B3DF67" w14:textId="77777777" w:rsidR="004571E0" w:rsidRDefault="004571E0" w:rsidP="004571E0">
      <w:pPr>
        <w:spacing w:line="360" w:lineRule="auto"/>
        <w:rPr>
          <w:b/>
          <w:bCs/>
          <w:sz w:val="24"/>
          <w:szCs w:val="24"/>
        </w:rPr>
      </w:pPr>
    </w:p>
    <w:p w14:paraId="608E2452" w14:textId="77777777" w:rsidR="004571E0" w:rsidRDefault="004571E0" w:rsidP="004571E0">
      <w:pPr>
        <w:spacing w:line="360" w:lineRule="auto"/>
        <w:rPr>
          <w:sz w:val="24"/>
          <w:szCs w:val="24"/>
        </w:rPr>
      </w:pPr>
    </w:p>
    <w:p w14:paraId="70C1E7AC" w14:textId="77777777" w:rsidR="00CC67B0" w:rsidRDefault="00CC67B0" w:rsidP="004571E0">
      <w:pPr>
        <w:spacing w:line="360" w:lineRule="auto"/>
        <w:rPr>
          <w:b/>
          <w:bCs/>
          <w:sz w:val="32"/>
          <w:szCs w:val="32"/>
        </w:rPr>
      </w:pPr>
    </w:p>
    <w:p w14:paraId="2949B343" w14:textId="7202CEBC" w:rsidR="00115266" w:rsidRDefault="00115266" w:rsidP="004571E0">
      <w:pPr>
        <w:spacing w:line="360" w:lineRule="auto"/>
        <w:rPr>
          <w:b/>
          <w:bCs/>
          <w:sz w:val="32"/>
          <w:szCs w:val="32"/>
        </w:rPr>
      </w:pPr>
      <w:r w:rsidRPr="00115266">
        <w:rPr>
          <w:b/>
          <w:bCs/>
          <w:sz w:val="32"/>
          <w:szCs w:val="32"/>
        </w:rPr>
        <w:t>CONCLUSION</w:t>
      </w:r>
      <w:r>
        <w:rPr>
          <w:b/>
          <w:bCs/>
          <w:sz w:val="32"/>
          <w:szCs w:val="32"/>
        </w:rPr>
        <w:t>:</w:t>
      </w:r>
    </w:p>
    <w:p w14:paraId="0BFA216C" w14:textId="130749CB" w:rsidR="00115266" w:rsidRPr="00115266" w:rsidRDefault="0035762C" w:rsidP="00115266">
      <w:pPr>
        <w:spacing w:line="480" w:lineRule="auto"/>
        <w:jc w:val="both"/>
        <w:rPr>
          <w:sz w:val="24"/>
          <w:szCs w:val="24"/>
        </w:rPr>
      </w:pPr>
      <w:r w:rsidRPr="0035762C">
        <w:rPr>
          <w:sz w:val="24"/>
          <w:szCs w:val="24"/>
        </w:rPr>
        <w:t xml:space="preserve">In conclusion, the evidence presented in this review highlights that India’s health trajectory closely aligns with global patterns. While mortality from infectious diseases has significantly declined </w:t>
      </w:r>
      <w:r w:rsidR="0093280C">
        <w:rPr>
          <w:sz w:val="24"/>
          <w:szCs w:val="24"/>
        </w:rPr>
        <w:t xml:space="preserve">but </w:t>
      </w:r>
      <w:r w:rsidRPr="0035762C">
        <w:rPr>
          <w:sz w:val="24"/>
          <w:szCs w:val="24"/>
        </w:rPr>
        <w:t xml:space="preserve">still </w:t>
      </w:r>
      <w:r w:rsidR="0093280C">
        <w:rPr>
          <w:sz w:val="24"/>
          <w:szCs w:val="24"/>
        </w:rPr>
        <w:t xml:space="preserve">it </w:t>
      </w:r>
      <w:r w:rsidRPr="0035762C">
        <w:rPr>
          <w:sz w:val="24"/>
          <w:szCs w:val="24"/>
        </w:rPr>
        <w:t>continue</w:t>
      </w:r>
      <w:r w:rsidR="0093280C">
        <w:rPr>
          <w:sz w:val="24"/>
          <w:szCs w:val="24"/>
        </w:rPr>
        <w:t>s</w:t>
      </w:r>
      <w:r w:rsidRPr="0035762C">
        <w:rPr>
          <w:sz w:val="24"/>
          <w:szCs w:val="24"/>
        </w:rPr>
        <w:t xml:space="preserve"> to impose a substantial burden on both individual health and the overall public health system</w:t>
      </w:r>
      <w:r w:rsidR="00115266" w:rsidRPr="00115266">
        <w:rPr>
          <w:sz w:val="24"/>
          <w:szCs w:val="24"/>
        </w:rPr>
        <w:t>. While the country has achieved considerable economic progress and enhancements in its healthcare system, several persistent challenges remain. These challenges encompass insufficient healthcare funding</w:t>
      </w:r>
      <w:r w:rsidR="00115266">
        <w:rPr>
          <w:sz w:val="24"/>
          <w:szCs w:val="24"/>
        </w:rPr>
        <w:t>,</w:t>
      </w:r>
      <w:r w:rsidR="00115266" w:rsidRPr="00115266">
        <w:rPr>
          <w:sz w:val="24"/>
          <w:szCs w:val="24"/>
        </w:rPr>
        <w:t xml:space="preserve"> which contributes to inadequacies of public healthcare facilities and high reliance on private healthcare services, an inadequate workforce including doctors</w:t>
      </w:r>
      <w:r w:rsidR="00115266">
        <w:rPr>
          <w:sz w:val="24"/>
          <w:szCs w:val="24"/>
        </w:rPr>
        <w:t>,</w:t>
      </w:r>
      <w:r w:rsidR="00115266" w:rsidRPr="00115266">
        <w:rPr>
          <w:sz w:val="24"/>
          <w:szCs w:val="24"/>
        </w:rPr>
        <w:t xml:space="preserve"> nurses, and paramedical staff, and a fragmented healthcare delivery system with a complex mix of public and private providers with varying degrees of quality and regulation. To effectively address these interconnected issues, it is imperative to implement a fundamental shift in approach. </w:t>
      </w:r>
    </w:p>
    <w:p w14:paraId="6F2C9833" w14:textId="7A97E463" w:rsidR="00115266" w:rsidRPr="00115266" w:rsidRDefault="00115266" w:rsidP="00115266">
      <w:pPr>
        <w:spacing w:line="480" w:lineRule="auto"/>
        <w:jc w:val="both"/>
        <w:rPr>
          <w:sz w:val="24"/>
          <w:szCs w:val="24"/>
        </w:rPr>
      </w:pPr>
      <w:r w:rsidRPr="00115266">
        <w:rPr>
          <w:sz w:val="24"/>
          <w:szCs w:val="24"/>
        </w:rPr>
        <w:t xml:space="preserve"> Moving from disease-specific solutions to comprehensive, integrated, and person-centered healthcare systems is </w:t>
      </w:r>
      <w:r w:rsidRPr="00115266">
        <w:rPr>
          <w:sz w:val="24"/>
          <w:szCs w:val="24"/>
        </w:rPr>
        <w:lastRenderedPageBreak/>
        <w:t>crucial.</w:t>
      </w:r>
      <w:r w:rsidR="00CC67B0">
        <w:rPr>
          <w:sz w:val="24"/>
          <w:szCs w:val="24"/>
        </w:rPr>
        <w:t xml:space="preserve"> </w:t>
      </w:r>
      <w:r w:rsidRPr="00115266">
        <w:rPr>
          <w:sz w:val="24"/>
          <w:szCs w:val="24"/>
        </w:rPr>
        <w:t xml:space="preserve">This transformation requires increased investment in primary healthcare, enhanced government funding, collaborative initiatives across various sectors, and the development of strategies to address the social determinants of health. </w:t>
      </w:r>
    </w:p>
    <w:p w14:paraId="426A0F3B" w14:textId="6D17FC5F" w:rsidR="00115266" w:rsidRDefault="00115266" w:rsidP="00115266">
      <w:pPr>
        <w:spacing w:line="480" w:lineRule="auto"/>
        <w:jc w:val="both"/>
        <w:rPr>
          <w:sz w:val="24"/>
          <w:szCs w:val="24"/>
        </w:rPr>
      </w:pPr>
      <w:r w:rsidRPr="00115266">
        <w:rPr>
          <w:sz w:val="24"/>
          <w:szCs w:val="24"/>
        </w:rPr>
        <w:t xml:space="preserve">Moreover, employing data-driven tools such as Disability-Adjusted Life Years (DALYs) and Epidemiological Transition Ratios will provide precise evidence to support informed policymaking. In the context of low- and middle-income countries, tackling public health challenges demands more than just technical solutions; it requires robust political advocacy, proactive local engagement, and the establishment of reliable health infrastructures. Closing the gap between the management of communicable and non-communicable diseases is vital for improving overall health outcomes. </w:t>
      </w:r>
    </w:p>
    <w:p w14:paraId="7685449B" w14:textId="77777777" w:rsidR="004F48F1" w:rsidRDefault="004F48F1" w:rsidP="000B339B">
      <w:pPr>
        <w:spacing w:line="480" w:lineRule="auto"/>
        <w:rPr>
          <w:b/>
          <w:bCs/>
          <w:sz w:val="24"/>
          <w:szCs w:val="24"/>
        </w:rPr>
      </w:pPr>
    </w:p>
    <w:p w14:paraId="5764AB82" w14:textId="7DB07BAB" w:rsidR="000B339B" w:rsidRPr="000B339B" w:rsidRDefault="000B339B" w:rsidP="000B339B">
      <w:pPr>
        <w:spacing w:line="480" w:lineRule="auto"/>
        <w:rPr>
          <w:b/>
          <w:bCs/>
          <w:sz w:val="24"/>
          <w:szCs w:val="24"/>
        </w:rPr>
      </w:pPr>
      <w:r w:rsidRPr="000B339B">
        <w:rPr>
          <w:b/>
          <w:bCs/>
          <w:sz w:val="24"/>
          <w:szCs w:val="24"/>
        </w:rPr>
        <w:t xml:space="preserve">CONFLICT OF INTEREST: </w:t>
      </w:r>
      <w:r w:rsidRPr="000B339B">
        <w:rPr>
          <w:sz w:val="24"/>
          <w:szCs w:val="24"/>
        </w:rPr>
        <w:t>No conflict of interest to be disclosed</w:t>
      </w:r>
    </w:p>
    <w:p w14:paraId="3E3FF42F" w14:textId="23BF9666" w:rsidR="000B339B" w:rsidRPr="000B339B" w:rsidRDefault="000B339B" w:rsidP="000B339B">
      <w:pPr>
        <w:spacing w:line="480" w:lineRule="auto"/>
        <w:rPr>
          <w:b/>
          <w:bCs/>
          <w:sz w:val="24"/>
          <w:szCs w:val="24"/>
        </w:rPr>
      </w:pPr>
      <w:r w:rsidRPr="000B339B">
        <w:rPr>
          <w:b/>
          <w:bCs/>
          <w:sz w:val="24"/>
          <w:szCs w:val="24"/>
        </w:rPr>
        <w:t>FUNDING STATEMENT:</w:t>
      </w:r>
      <w:r>
        <w:rPr>
          <w:b/>
          <w:bCs/>
          <w:sz w:val="24"/>
          <w:szCs w:val="24"/>
        </w:rPr>
        <w:t xml:space="preserve">  </w:t>
      </w:r>
      <w:r w:rsidRPr="000B339B">
        <w:rPr>
          <w:sz w:val="24"/>
          <w:szCs w:val="24"/>
        </w:rPr>
        <w:t>Nil</w:t>
      </w:r>
    </w:p>
    <w:p w14:paraId="6C53C761" w14:textId="1B271C26" w:rsidR="000B339B" w:rsidRPr="000B339B" w:rsidRDefault="000B339B" w:rsidP="000B339B">
      <w:pPr>
        <w:spacing w:line="480" w:lineRule="auto"/>
        <w:rPr>
          <w:sz w:val="24"/>
          <w:szCs w:val="24"/>
        </w:rPr>
      </w:pPr>
      <w:r w:rsidRPr="000B339B">
        <w:rPr>
          <w:b/>
          <w:bCs/>
          <w:sz w:val="24"/>
          <w:szCs w:val="24"/>
        </w:rPr>
        <w:t>ETHICAL APPROVAL</w:t>
      </w:r>
      <w:r w:rsidRPr="000B339B">
        <w:rPr>
          <w:sz w:val="24"/>
          <w:szCs w:val="24"/>
        </w:rPr>
        <w:t>:</w:t>
      </w:r>
      <w:r>
        <w:rPr>
          <w:sz w:val="24"/>
          <w:szCs w:val="24"/>
        </w:rPr>
        <w:t xml:space="preserve"> Not applicable</w:t>
      </w:r>
    </w:p>
    <w:p w14:paraId="543132C2" w14:textId="77777777" w:rsidR="005C1F0D" w:rsidRPr="00115266" w:rsidRDefault="005C1F0D" w:rsidP="00115266">
      <w:pPr>
        <w:spacing w:line="480" w:lineRule="auto"/>
        <w:jc w:val="both"/>
        <w:rPr>
          <w:sz w:val="24"/>
          <w:szCs w:val="24"/>
          <w:u w:val="single"/>
        </w:rPr>
      </w:pPr>
    </w:p>
    <w:p w14:paraId="6639D9C5" w14:textId="77777777" w:rsidR="00B61B73" w:rsidRPr="009C5487" w:rsidRDefault="00B61B73" w:rsidP="00B61B73">
      <w:pPr>
        <w:rPr>
          <w:rFonts w:ascii="Calibri" w:eastAsia="Calibri" w:hAnsi="Calibri"/>
          <w:kern w:val="2"/>
          <w:highlight w:val="yellow"/>
        </w:rPr>
      </w:pPr>
      <w:bookmarkStart w:id="0" w:name="_Hlk197682619"/>
      <w:bookmarkStart w:id="1" w:name="_Hlk180402183"/>
      <w:bookmarkStart w:id="2" w:name="_Hlk183680988"/>
      <w:r w:rsidRPr="009C5487">
        <w:rPr>
          <w:rFonts w:ascii="Calibri" w:eastAsia="Calibri" w:hAnsi="Calibri"/>
          <w:kern w:val="2"/>
          <w:highlight w:val="yellow"/>
        </w:rPr>
        <w:t>Disclaimer (Artificial intelligence)</w:t>
      </w:r>
    </w:p>
    <w:p w14:paraId="546436E1" w14:textId="77777777" w:rsidR="00B61B73" w:rsidRPr="009C5487" w:rsidRDefault="00B61B73" w:rsidP="00B61B73">
      <w:pPr>
        <w:rPr>
          <w:rFonts w:ascii="Calibri" w:eastAsia="Calibri" w:hAnsi="Calibri"/>
          <w:kern w:val="2"/>
          <w:highlight w:val="yellow"/>
        </w:rPr>
      </w:pPr>
      <w:r w:rsidRPr="009C5487">
        <w:rPr>
          <w:rFonts w:ascii="Calibri" w:eastAsia="Calibri" w:hAnsi="Calibri"/>
          <w:kern w:val="2"/>
          <w:highlight w:val="yellow"/>
        </w:rPr>
        <w:t xml:space="preserve">Option 1: </w:t>
      </w:r>
    </w:p>
    <w:p w14:paraId="239A2730" w14:textId="77777777" w:rsidR="00B61B73" w:rsidRPr="009C5487" w:rsidRDefault="00B61B73" w:rsidP="00B61B73">
      <w:pPr>
        <w:rPr>
          <w:rFonts w:ascii="Calibri" w:eastAsia="Calibri" w:hAnsi="Calibri"/>
          <w:kern w:val="2"/>
          <w:highlight w:val="yellow"/>
        </w:rPr>
      </w:pPr>
      <w:r w:rsidRPr="009C5487">
        <w:rPr>
          <w:rFonts w:ascii="Calibri" w:eastAsia="Calibri" w:hAnsi="Calibri"/>
          <w:kern w:val="2"/>
          <w:highlight w:val="yellow"/>
        </w:rPr>
        <w:t xml:space="preserve">Author(s) hereby </w:t>
      </w:r>
      <w:proofErr w:type="gramStart"/>
      <w:r w:rsidRPr="009C5487">
        <w:rPr>
          <w:rFonts w:ascii="Calibri" w:eastAsia="Calibri" w:hAnsi="Calibri"/>
          <w:kern w:val="2"/>
          <w:highlight w:val="yellow"/>
        </w:rPr>
        <w:t>declare</w:t>
      </w:r>
      <w:proofErr w:type="gramEnd"/>
      <w:r w:rsidRPr="009C5487">
        <w:rPr>
          <w:rFonts w:ascii="Calibri" w:eastAsia="Calibri" w:hAnsi="Calibri"/>
          <w:kern w:val="2"/>
          <w:highlight w:val="yellow"/>
        </w:rPr>
        <w:t xml:space="preserve"> that NO generative AI technologies such as Large Language Models (ChatGPT, COPILOT, etc.) and text-to-image generators have been used during the writing or editing of this manuscript. </w:t>
      </w:r>
    </w:p>
    <w:p w14:paraId="6BDE20EB" w14:textId="77777777" w:rsidR="00B61B73" w:rsidRPr="009C5487" w:rsidRDefault="00B61B73" w:rsidP="00B61B73">
      <w:pPr>
        <w:rPr>
          <w:rFonts w:ascii="Calibri" w:eastAsia="Calibri" w:hAnsi="Calibri"/>
          <w:kern w:val="2"/>
          <w:highlight w:val="yellow"/>
        </w:rPr>
      </w:pPr>
      <w:r w:rsidRPr="009C5487">
        <w:rPr>
          <w:rFonts w:ascii="Calibri" w:eastAsia="Calibri" w:hAnsi="Calibri"/>
          <w:kern w:val="2"/>
          <w:highlight w:val="yellow"/>
        </w:rPr>
        <w:t xml:space="preserve">Option 2: </w:t>
      </w:r>
    </w:p>
    <w:p w14:paraId="43A1D853" w14:textId="77777777" w:rsidR="00B61B73" w:rsidRPr="009C5487" w:rsidRDefault="00B61B73" w:rsidP="00B61B73">
      <w:pPr>
        <w:rPr>
          <w:rFonts w:ascii="Calibri" w:eastAsia="Calibri" w:hAnsi="Calibri"/>
          <w:kern w:val="2"/>
          <w:highlight w:val="yellow"/>
        </w:rPr>
      </w:pPr>
      <w:r w:rsidRPr="009C5487">
        <w:rPr>
          <w:rFonts w:ascii="Calibri" w:eastAsia="Calibri" w:hAnsi="Calibri"/>
          <w:kern w:val="2"/>
          <w:highlight w:val="yellow"/>
        </w:rPr>
        <w:t xml:space="preserve">Author(s) hereby </w:t>
      </w:r>
      <w:proofErr w:type="gramStart"/>
      <w:r w:rsidRPr="009C5487">
        <w:rPr>
          <w:rFonts w:ascii="Calibri" w:eastAsia="Calibri" w:hAnsi="Calibri"/>
          <w:kern w:val="2"/>
          <w:highlight w:val="yellow"/>
        </w:rPr>
        <w:t>declare</w:t>
      </w:r>
      <w:proofErr w:type="gramEnd"/>
      <w:r w:rsidRPr="009C5487">
        <w:rPr>
          <w:rFonts w:ascii="Calibri" w:eastAsia="Calibri" w:hAnsi="Calibri"/>
          <w:kern w:val="2"/>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2F4B2DB" w14:textId="77777777" w:rsidR="00B61B73" w:rsidRPr="009C5487" w:rsidRDefault="00B61B73" w:rsidP="00B61B73">
      <w:pPr>
        <w:rPr>
          <w:rFonts w:ascii="Calibri" w:eastAsia="Calibri" w:hAnsi="Calibri"/>
          <w:kern w:val="2"/>
          <w:highlight w:val="yellow"/>
        </w:rPr>
      </w:pPr>
      <w:r w:rsidRPr="009C5487">
        <w:rPr>
          <w:rFonts w:ascii="Calibri" w:eastAsia="Calibri" w:hAnsi="Calibri"/>
          <w:kern w:val="2"/>
          <w:highlight w:val="yellow"/>
        </w:rPr>
        <w:t>Details of the AI usage are given below:</w:t>
      </w:r>
    </w:p>
    <w:p w14:paraId="707E5911" w14:textId="77777777" w:rsidR="00B61B73" w:rsidRPr="009C5487" w:rsidRDefault="00B61B73" w:rsidP="00B61B73">
      <w:pPr>
        <w:rPr>
          <w:rFonts w:ascii="Calibri" w:eastAsia="Calibri" w:hAnsi="Calibri"/>
          <w:kern w:val="2"/>
          <w:highlight w:val="yellow"/>
        </w:rPr>
      </w:pPr>
      <w:r w:rsidRPr="009C5487">
        <w:rPr>
          <w:rFonts w:ascii="Calibri" w:eastAsia="Calibri" w:hAnsi="Calibri"/>
          <w:kern w:val="2"/>
          <w:highlight w:val="yellow"/>
        </w:rPr>
        <w:t>1.</w:t>
      </w:r>
    </w:p>
    <w:p w14:paraId="3A2BD564" w14:textId="77777777" w:rsidR="00B61B73" w:rsidRPr="009C5487" w:rsidRDefault="00B61B73" w:rsidP="00B61B73">
      <w:pPr>
        <w:rPr>
          <w:rFonts w:ascii="Calibri" w:eastAsia="Calibri" w:hAnsi="Calibri"/>
          <w:kern w:val="2"/>
          <w:highlight w:val="yellow"/>
        </w:rPr>
      </w:pPr>
      <w:r w:rsidRPr="009C5487">
        <w:rPr>
          <w:rFonts w:ascii="Calibri" w:eastAsia="Calibri" w:hAnsi="Calibri"/>
          <w:kern w:val="2"/>
          <w:highlight w:val="yellow"/>
        </w:rPr>
        <w:t>2.</w:t>
      </w:r>
    </w:p>
    <w:p w14:paraId="3EA62CAD" w14:textId="77777777" w:rsidR="00B61B73" w:rsidRPr="009C5487" w:rsidRDefault="00B61B73" w:rsidP="00B61B73">
      <w:pPr>
        <w:rPr>
          <w:rFonts w:ascii="Calibri" w:eastAsia="Calibri" w:hAnsi="Calibri"/>
          <w:kern w:val="2"/>
        </w:rPr>
      </w:pPr>
      <w:bookmarkStart w:id="3" w:name="_Hlk197682629"/>
      <w:bookmarkEnd w:id="0"/>
      <w:r w:rsidRPr="009C5487">
        <w:rPr>
          <w:rFonts w:ascii="Calibri" w:eastAsia="Calibri" w:hAnsi="Calibri"/>
          <w:kern w:val="2"/>
          <w:highlight w:val="yellow"/>
        </w:rPr>
        <w:t>3.</w:t>
      </w:r>
    </w:p>
    <w:bookmarkEnd w:id="1"/>
    <w:bookmarkEnd w:id="2"/>
    <w:bookmarkEnd w:id="3"/>
    <w:p w14:paraId="6D646D68" w14:textId="77777777" w:rsidR="005C1F0D" w:rsidRDefault="005C1F0D" w:rsidP="004571E0">
      <w:pPr>
        <w:rPr>
          <w:b/>
          <w:bCs/>
          <w:sz w:val="24"/>
          <w:szCs w:val="24"/>
          <w:u w:val="single"/>
        </w:rPr>
      </w:pPr>
    </w:p>
    <w:p w14:paraId="09CC7BEC" w14:textId="77777777" w:rsidR="005C1F0D" w:rsidRDefault="005C1F0D" w:rsidP="004571E0">
      <w:pPr>
        <w:rPr>
          <w:b/>
          <w:bCs/>
          <w:sz w:val="24"/>
          <w:szCs w:val="24"/>
          <w:u w:val="single"/>
        </w:rPr>
      </w:pPr>
    </w:p>
    <w:p w14:paraId="0EA5A42D" w14:textId="77777777" w:rsidR="005C1F0D" w:rsidRDefault="005C1F0D" w:rsidP="004571E0">
      <w:pPr>
        <w:rPr>
          <w:b/>
          <w:bCs/>
          <w:sz w:val="24"/>
          <w:szCs w:val="24"/>
          <w:u w:val="single"/>
        </w:rPr>
      </w:pPr>
    </w:p>
    <w:p w14:paraId="7B0D16D8" w14:textId="77777777" w:rsidR="005C1F0D" w:rsidRDefault="005C1F0D" w:rsidP="004571E0">
      <w:pPr>
        <w:rPr>
          <w:b/>
          <w:bCs/>
          <w:sz w:val="24"/>
          <w:szCs w:val="24"/>
          <w:u w:val="single"/>
        </w:rPr>
      </w:pPr>
    </w:p>
    <w:p w14:paraId="68C0914B" w14:textId="77777777" w:rsidR="005C1F0D" w:rsidRDefault="005C1F0D" w:rsidP="004571E0">
      <w:pPr>
        <w:rPr>
          <w:b/>
          <w:bCs/>
          <w:sz w:val="24"/>
          <w:szCs w:val="24"/>
          <w:u w:val="single"/>
        </w:rPr>
      </w:pPr>
    </w:p>
    <w:p w14:paraId="22B24C8D" w14:textId="77777777" w:rsidR="005C1F0D" w:rsidRDefault="005C1F0D" w:rsidP="004571E0">
      <w:pPr>
        <w:rPr>
          <w:b/>
          <w:bCs/>
          <w:sz w:val="24"/>
          <w:szCs w:val="24"/>
          <w:u w:val="single"/>
        </w:rPr>
      </w:pPr>
    </w:p>
    <w:p w14:paraId="10EC2A3A" w14:textId="77777777" w:rsidR="005C1F0D" w:rsidRDefault="005C1F0D" w:rsidP="004571E0">
      <w:pPr>
        <w:rPr>
          <w:b/>
          <w:bCs/>
          <w:sz w:val="24"/>
          <w:szCs w:val="24"/>
          <w:u w:val="single"/>
        </w:rPr>
      </w:pPr>
    </w:p>
    <w:p w14:paraId="1AD4A786" w14:textId="77777777" w:rsidR="005C1F0D" w:rsidRDefault="005C1F0D" w:rsidP="004571E0">
      <w:pPr>
        <w:rPr>
          <w:b/>
          <w:bCs/>
          <w:sz w:val="24"/>
          <w:szCs w:val="24"/>
          <w:u w:val="single"/>
        </w:rPr>
      </w:pPr>
    </w:p>
    <w:p w14:paraId="6EB435D0" w14:textId="77777777" w:rsidR="005C1F0D" w:rsidRDefault="005C1F0D" w:rsidP="004571E0">
      <w:pPr>
        <w:rPr>
          <w:b/>
          <w:bCs/>
          <w:sz w:val="24"/>
          <w:szCs w:val="24"/>
          <w:u w:val="single"/>
        </w:rPr>
      </w:pPr>
    </w:p>
    <w:p w14:paraId="0625DBC5" w14:textId="77777777" w:rsidR="005C1F0D" w:rsidRDefault="005C1F0D" w:rsidP="004571E0">
      <w:pPr>
        <w:rPr>
          <w:b/>
          <w:bCs/>
          <w:sz w:val="24"/>
          <w:szCs w:val="24"/>
          <w:u w:val="single"/>
        </w:rPr>
      </w:pPr>
    </w:p>
    <w:p w14:paraId="69967BEA" w14:textId="77777777" w:rsidR="005C1F0D" w:rsidRDefault="005C1F0D" w:rsidP="004571E0">
      <w:pPr>
        <w:rPr>
          <w:b/>
          <w:bCs/>
          <w:sz w:val="24"/>
          <w:szCs w:val="24"/>
          <w:u w:val="single"/>
        </w:rPr>
      </w:pPr>
    </w:p>
    <w:p w14:paraId="624EB190" w14:textId="77777777" w:rsidR="005C1F0D" w:rsidRDefault="005C1F0D" w:rsidP="004571E0">
      <w:pPr>
        <w:rPr>
          <w:b/>
          <w:bCs/>
          <w:sz w:val="24"/>
          <w:szCs w:val="24"/>
          <w:u w:val="single"/>
        </w:rPr>
      </w:pPr>
    </w:p>
    <w:p w14:paraId="0A3C226B" w14:textId="77777777" w:rsidR="008E778D" w:rsidRDefault="008E778D" w:rsidP="004571E0">
      <w:pPr>
        <w:rPr>
          <w:b/>
          <w:bCs/>
          <w:sz w:val="32"/>
          <w:szCs w:val="32"/>
        </w:rPr>
      </w:pPr>
    </w:p>
    <w:p w14:paraId="0389D41B" w14:textId="77777777" w:rsidR="008E778D" w:rsidRDefault="008E778D" w:rsidP="004571E0">
      <w:pPr>
        <w:rPr>
          <w:b/>
          <w:bCs/>
          <w:sz w:val="32"/>
          <w:szCs w:val="32"/>
        </w:rPr>
      </w:pPr>
    </w:p>
    <w:p w14:paraId="1F850D3D" w14:textId="77777777" w:rsidR="008E778D" w:rsidRDefault="008E778D" w:rsidP="004571E0">
      <w:pPr>
        <w:rPr>
          <w:b/>
          <w:bCs/>
          <w:sz w:val="32"/>
          <w:szCs w:val="32"/>
        </w:rPr>
      </w:pPr>
    </w:p>
    <w:p w14:paraId="418EB6E8" w14:textId="599AB7AB" w:rsidR="004571E0" w:rsidRPr="00E45966" w:rsidRDefault="00FD5C66" w:rsidP="004571E0">
      <w:pPr>
        <w:rPr>
          <w:sz w:val="24"/>
          <w:szCs w:val="24"/>
        </w:rPr>
      </w:pPr>
      <w:r w:rsidRPr="00FD5C66">
        <w:rPr>
          <w:b/>
          <w:bCs/>
          <w:sz w:val="32"/>
          <w:szCs w:val="32"/>
        </w:rPr>
        <w:lastRenderedPageBreak/>
        <w:t>REFERENCES</w:t>
      </w:r>
    </w:p>
    <w:p w14:paraId="2F27E1B8" w14:textId="77777777" w:rsidR="004571E0" w:rsidRDefault="004571E0" w:rsidP="004571E0">
      <w:pPr>
        <w:pStyle w:val="ListParagraph"/>
        <w:rPr>
          <w:sz w:val="24"/>
          <w:szCs w:val="24"/>
        </w:rPr>
      </w:pPr>
    </w:p>
    <w:p w14:paraId="25BA4EDC" w14:textId="77777777" w:rsidR="00115266" w:rsidRPr="00115266" w:rsidRDefault="006075BC" w:rsidP="00115266">
      <w:pPr>
        <w:pStyle w:val="Bibliography"/>
        <w:rPr>
          <w:sz w:val="24"/>
        </w:rPr>
      </w:pPr>
      <w:r>
        <w:rPr>
          <w:sz w:val="24"/>
          <w:szCs w:val="24"/>
        </w:rPr>
        <w:fldChar w:fldCharType="begin"/>
      </w:r>
      <w:r>
        <w:rPr>
          <w:sz w:val="24"/>
          <w:szCs w:val="24"/>
        </w:rPr>
        <w:instrText xml:space="preserve"> ADDIN ZOTERO_BIBL {"uncited":[],"omitted":[],"custom":[]} CSL_BIBLIOGRAPHY </w:instrText>
      </w:r>
      <w:r>
        <w:rPr>
          <w:sz w:val="24"/>
          <w:szCs w:val="24"/>
        </w:rPr>
        <w:fldChar w:fldCharType="separate"/>
      </w:r>
      <w:r w:rsidR="00115266" w:rsidRPr="00115266">
        <w:rPr>
          <w:sz w:val="24"/>
        </w:rPr>
        <w:t>1.</w:t>
      </w:r>
      <w:r w:rsidR="00115266" w:rsidRPr="00115266">
        <w:rPr>
          <w:sz w:val="24"/>
        </w:rPr>
        <w:tab/>
        <w:t xml:space="preserve">Dye C. After 2015: infectious diseases in a new era of health and development. Philosophical Transactions of the Royal Society B: Biological Sciences. 2014 Jun 19;369(1645):20130426. </w:t>
      </w:r>
    </w:p>
    <w:p w14:paraId="77701FAA" w14:textId="77777777" w:rsidR="00115266" w:rsidRPr="00115266" w:rsidRDefault="00115266" w:rsidP="00115266">
      <w:pPr>
        <w:pStyle w:val="Bibliography"/>
        <w:rPr>
          <w:sz w:val="24"/>
        </w:rPr>
      </w:pPr>
      <w:r w:rsidRPr="00115266">
        <w:rPr>
          <w:sz w:val="24"/>
        </w:rPr>
        <w:t>2.</w:t>
      </w:r>
      <w:r w:rsidRPr="00115266">
        <w:rPr>
          <w:sz w:val="24"/>
        </w:rPr>
        <w:tab/>
        <w:t xml:space="preserve">Zaidi AKM, Awasthi S, deSilva HJ. Burden of infectious diseases in South Asia. BMJ. 2004 Apr 3;328(7443):811–5. </w:t>
      </w:r>
    </w:p>
    <w:p w14:paraId="237BC37B" w14:textId="77777777" w:rsidR="00115266" w:rsidRPr="00115266" w:rsidRDefault="00115266" w:rsidP="00115266">
      <w:pPr>
        <w:pStyle w:val="Bibliography"/>
        <w:rPr>
          <w:sz w:val="24"/>
        </w:rPr>
      </w:pPr>
      <w:r w:rsidRPr="00115266">
        <w:rPr>
          <w:sz w:val="24"/>
        </w:rPr>
        <w:t>3.</w:t>
      </w:r>
      <w:r w:rsidRPr="00115266">
        <w:rPr>
          <w:sz w:val="24"/>
        </w:rPr>
        <w:tab/>
        <w:t>Health in 2015: from MDGs to SDGs [Internet]. [cited 2025 May 13]. Available from: https://www.who.int/publications/i/item/9789241565110</w:t>
      </w:r>
    </w:p>
    <w:p w14:paraId="5E070FF0" w14:textId="77777777" w:rsidR="00115266" w:rsidRPr="00115266" w:rsidRDefault="00115266" w:rsidP="00115266">
      <w:pPr>
        <w:pStyle w:val="Bibliography"/>
        <w:rPr>
          <w:sz w:val="24"/>
        </w:rPr>
      </w:pPr>
      <w:r w:rsidRPr="00115266">
        <w:rPr>
          <w:sz w:val="24"/>
        </w:rPr>
        <w:t>4.</w:t>
      </w:r>
      <w:r w:rsidRPr="00115266">
        <w:rPr>
          <w:sz w:val="24"/>
        </w:rPr>
        <w:tab/>
        <w:t>datadot [Internet]. [cited 2025 May 8]. India. Available from: https://data.who.int/countries/356</w:t>
      </w:r>
    </w:p>
    <w:p w14:paraId="4FFB4440" w14:textId="77777777" w:rsidR="00115266" w:rsidRPr="00115266" w:rsidRDefault="00115266" w:rsidP="00115266">
      <w:pPr>
        <w:pStyle w:val="Bibliography"/>
        <w:rPr>
          <w:sz w:val="24"/>
        </w:rPr>
      </w:pPr>
      <w:r w:rsidRPr="00115266">
        <w:rPr>
          <w:sz w:val="24"/>
        </w:rPr>
        <w:t>5.</w:t>
      </w:r>
      <w:r w:rsidRPr="00115266">
        <w:rPr>
          <w:sz w:val="24"/>
        </w:rPr>
        <w:tab/>
        <w:t>2017-India-State-Level-Disease-Burden-Initiative-Full-Report.pdf [Internet]. [cited 2024 Sep 6]. Available from: https://phfi.org/wp-content/uploads/2018/05/2017-India-State-Level-Disease-Burden-Initiative-Full-Report.pdf</w:t>
      </w:r>
    </w:p>
    <w:p w14:paraId="757631D3" w14:textId="77777777" w:rsidR="00115266" w:rsidRPr="00115266" w:rsidRDefault="00115266" w:rsidP="00115266">
      <w:pPr>
        <w:pStyle w:val="Bibliography"/>
        <w:rPr>
          <w:sz w:val="24"/>
        </w:rPr>
      </w:pPr>
      <w:r w:rsidRPr="00115266">
        <w:rPr>
          <w:sz w:val="24"/>
        </w:rPr>
        <w:t>6.</w:t>
      </w:r>
      <w:r w:rsidRPr="00115266">
        <w:rPr>
          <w:sz w:val="24"/>
        </w:rPr>
        <w:tab/>
        <w:t xml:space="preserve">Global, regional, and national age-sex specific all-cause and cause-specific mortality for 240 causes of death, 1990-2013: a systematic analysis for the Global Burden of Disease Study 2013. Lancet. 2015 Jan 10;385(9963):117–71. </w:t>
      </w:r>
    </w:p>
    <w:p w14:paraId="52625F0B" w14:textId="77777777" w:rsidR="00115266" w:rsidRPr="00115266" w:rsidRDefault="00115266" w:rsidP="00115266">
      <w:pPr>
        <w:pStyle w:val="Bibliography"/>
        <w:rPr>
          <w:sz w:val="24"/>
        </w:rPr>
      </w:pPr>
      <w:r w:rsidRPr="00115266">
        <w:rPr>
          <w:sz w:val="24"/>
        </w:rPr>
        <w:t>7.</w:t>
      </w:r>
      <w:r w:rsidRPr="00115266">
        <w:rPr>
          <w:sz w:val="24"/>
        </w:rPr>
        <w:tab/>
        <w:t xml:space="preserve">Global, regional, and national incidence, prevalence, and years lived with disability for 301 acute and chronic diseases and injuries in 188 countries, 1990–2013: a systematic analysis for the Global Burden of Disease Study 2013. Lancet. 2015 Aug 22;386(9995):743–800. </w:t>
      </w:r>
    </w:p>
    <w:p w14:paraId="22E4F859" w14:textId="77777777" w:rsidR="00115266" w:rsidRPr="00115266" w:rsidRDefault="00115266" w:rsidP="00115266">
      <w:pPr>
        <w:pStyle w:val="Bibliography"/>
        <w:rPr>
          <w:sz w:val="24"/>
        </w:rPr>
      </w:pPr>
      <w:r w:rsidRPr="00115266">
        <w:rPr>
          <w:sz w:val="24"/>
        </w:rPr>
        <w:t>8.</w:t>
      </w:r>
      <w:r w:rsidRPr="00115266">
        <w:rPr>
          <w:sz w:val="24"/>
        </w:rPr>
        <w:tab/>
        <w:t xml:space="preserve">Morse SS. Factors in the emergence of infectious diseases. Emerg Infect Dis. 1995;1(1):7–15. </w:t>
      </w:r>
    </w:p>
    <w:p w14:paraId="45182F85" w14:textId="77777777" w:rsidR="00115266" w:rsidRPr="00115266" w:rsidRDefault="00115266" w:rsidP="00115266">
      <w:pPr>
        <w:pStyle w:val="Bibliography"/>
        <w:rPr>
          <w:sz w:val="24"/>
        </w:rPr>
      </w:pPr>
      <w:r w:rsidRPr="00115266">
        <w:rPr>
          <w:sz w:val="24"/>
        </w:rPr>
        <w:t>9.</w:t>
      </w:r>
      <w:r w:rsidRPr="00115266">
        <w:rPr>
          <w:sz w:val="24"/>
        </w:rPr>
        <w:tab/>
        <w:t>The top 10 causes of death [Internet]. [cited 2025 May 4]. Available from: https://www.who.int/news-room/fact-sheets/detail/the-top-10-causes-of-death</w:t>
      </w:r>
    </w:p>
    <w:p w14:paraId="4BE3DC34" w14:textId="77777777" w:rsidR="00115266" w:rsidRPr="00115266" w:rsidRDefault="00115266" w:rsidP="00115266">
      <w:pPr>
        <w:pStyle w:val="Bibliography"/>
        <w:rPr>
          <w:sz w:val="24"/>
        </w:rPr>
      </w:pPr>
      <w:r w:rsidRPr="00115266">
        <w:rPr>
          <w:sz w:val="24"/>
        </w:rPr>
        <w:t>10.</w:t>
      </w:r>
      <w:r w:rsidRPr="00115266">
        <w:rPr>
          <w:sz w:val="24"/>
        </w:rPr>
        <w:tab/>
        <w:t xml:space="preserve">Weltbank, editor. Investing in health: world development indicators. 1. print. New York, NY: Oxford Univ. Pr; 1993. 329 p. (World development report). </w:t>
      </w:r>
    </w:p>
    <w:p w14:paraId="7F839D64" w14:textId="77777777" w:rsidR="00115266" w:rsidRPr="00115266" w:rsidRDefault="00115266" w:rsidP="00115266">
      <w:pPr>
        <w:pStyle w:val="Bibliography"/>
        <w:rPr>
          <w:sz w:val="24"/>
        </w:rPr>
      </w:pPr>
      <w:r w:rsidRPr="00115266">
        <w:rPr>
          <w:sz w:val="24"/>
        </w:rPr>
        <w:t>11.</w:t>
      </w:r>
      <w:r w:rsidRPr="00115266">
        <w:rPr>
          <w:sz w:val="24"/>
        </w:rPr>
        <w:tab/>
        <w:t>Roser M, Ritchie H, Spooner F. Burden of Disease. Our World in Data [Internet]. 2024 Feb 29 [cited 2024 Sep 11]; Available from: https://ourworldindata.org/burden-of-disease</w:t>
      </w:r>
    </w:p>
    <w:p w14:paraId="7739F1BF" w14:textId="77777777" w:rsidR="00115266" w:rsidRPr="00115266" w:rsidRDefault="00115266" w:rsidP="00115266">
      <w:pPr>
        <w:pStyle w:val="Bibliography"/>
        <w:rPr>
          <w:sz w:val="24"/>
        </w:rPr>
      </w:pPr>
      <w:r w:rsidRPr="00115266">
        <w:rPr>
          <w:sz w:val="24"/>
        </w:rPr>
        <w:t>12.</w:t>
      </w:r>
      <w:r w:rsidRPr="00115266">
        <w:rPr>
          <w:sz w:val="24"/>
        </w:rPr>
        <w:tab/>
        <w:t xml:space="preserve">Naghavi M, Mestrovic T, Gray A, Gershberg Hayoon A, Swetschinski LR, Robles Aguilar G, et al. Global burden associated with 85 pathogens in 2019: a systematic analysis for the Global Burden of Disease Study 2019. The Lancet Infectious Diseases. 2024 Aug;24(8):868–95. </w:t>
      </w:r>
    </w:p>
    <w:p w14:paraId="04FC264D" w14:textId="77777777" w:rsidR="00115266" w:rsidRPr="00115266" w:rsidRDefault="00115266" w:rsidP="00115266">
      <w:pPr>
        <w:pStyle w:val="Bibliography"/>
        <w:rPr>
          <w:sz w:val="24"/>
        </w:rPr>
      </w:pPr>
      <w:r w:rsidRPr="00115266">
        <w:rPr>
          <w:sz w:val="24"/>
        </w:rPr>
        <w:t>13.</w:t>
      </w:r>
      <w:r w:rsidRPr="00115266">
        <w:rPr>
          <w:sz w:val="24"/>
        </w:rPr>
        <w:tab/>
        <w:t xml:space="preserve">Rana MS, Usman M, Alam MM, Tahir M, Ikram A, Zaidi SSZ, et al. Changes in the prevalence of infectious diseases before and after the COVID-19 pandemic in Pakistan. J Infect. 2023 Apr;86(4):415–6. </w:t>
      </w:r>
    </w:p>
    <w:p w14:paraId="5855F977" w14:textId="77777777" w:rsidR="00115266" w:rsidRPr="00115266" w:rsidRDefault="00115266" w:rsidP="00115266">
      <w:pPr>
        <w:pStyle w:val="Bibliography"/>
        <w:rPr>
          <w:sz w:val="24"/>
        </w:rPr>
      </w:pPr>
      <w:r w:rsidRPr="00115266">
        <w:rPr>
          <w:sz w:val="24"/>
        </w:rPr>
        <w:t>14.</w:t>
      </w:r>
      <w:r w:rsidRPr="00115266">
        <w:rPr>
          <w:sz w:val="24"/>
        </w:rPr>
        <w:tab/>
        <w:t>MFK. GDP (PPP) by Country – 2025 Rankings (IMF Statistics) [Internet]. WORLDOSTATS. 2024 [cited 2025 May 14]. Available from: https://worldostats.com/country-stats/gdp-ppp-by-country-imf-data/</w:t>
      </w:r>
    </w:p>
    <w:p w14:paraId="75502B7C" w14:textId="77777777" w:rsidR="00115266" w:rsidRPr="00115266" w:rsidRDefault="00115266" w:rsidP="00115266">
      <w:pPr>
        <w:pStyle w:val="Bibliography"/>
        <w:rPr>
          <w:sz w:val="24"/>
        </w:rPr>
      </w:pPr>
      <w:r w:rsidRPr="00115266">
        <w:rPr>
          <w:sz w:val="24"/>
        </w:rPr>
        <w:t>15.</w:t>
      </w:r>
      <w:r w:rsidRPr="00115266">
        <w:rPr>
          <w:sz w:val="24"/>
        </w:rPr>
        <w:tab/>
        <w:t xml:space="preserve">Majhi MM, Mishra A, Garg S, Kumar R. How healthy is the health budget of Amrit Kaal: 2023-24? J Family Med Prim Care. 2024 Jan;13(1):5–9. </w:t>
      </w:r>
    </w:p>
    <w:p w14:paraId="1FA12B69" w14:textId="77777777" w:rsidR="00115266" w:rsidRPr="00115266" w:rsidRDefault="00115266" w:rsidP="00115266">
      <w:pPr>
        <w:pStyle w:val="Bibliography"/>
        <w:rPr>
          <w:sz w:val="24"/>
        </w:rPr>
      </w:pPr>
      <w:r w:rsidRPr="00115266">
        <w:rPr>
          <w:sz w:val="24"/>
        </w:rPr>
        <w:t>16.</w:t>
      </w:r>
      <w:r w:rsidRPr="00115266">
        <w:rPr>
          <w:sz w:val="24"/>
        </w:rPr>
        <w:tab/>
        <w:t xml:space="preserve">Das T, Guha P. The puzzle of public health expenditure and healthcare infrastructure in India: An empirical investigation. Regional Science Policy &amp; Practice. 2024 Feb 1;16(2):12710. </w:t>
      </w:r>
    </w:p>
    <w:p w14:paraId="050B1C43" w14:textId="77777777" w:rsidR="00115266" w:rsidRPr="00115266" w:rsidRDefault="00115266" w:rsidP="00115266">
      <w:pPr>
        <w:pStyle w:val="Bibliography"/>
        <w:rPr>
          <w:sz w:val="24"/>
        </w:rPr>
      </w:pPr>
      <w:r w:rsidRPr="00115266">
        <w:rPr>
          <w:sz w:val="24"/>
        </w:rPr>
        <w:t>17.</w:t>
      </w:r>
      <w:r w:rsidRPr="00115266">
        <w:rPr>
          <w:sz w:val="24"/>
        </w:rPr>
        <w:tab/>
        <w:t>NHA 2021-22.pdf [Internet]. [cited 2025 May 5]. Available from: https://nhsrcindia.org/sites/default/files/2024-09/NHA%202021-22.pdf</w:t>
      </w:r>
    </w:p>
    <w:p w14:paraId="1647E3E6" w14:textId="77777777" w:rsidR="00115266" w:rsidRPr="00115266" w:rsidRDefault="00115266" w:rsidP="00115266">
      <w:pPr>
        <w:pStyle w:val="Bibliography"/>
        <w:rPr>
          <w:sz w:val="24"/>
        </w:rPr>
      </w:pPr>
      <w:r w:rsidRPr="00115266">
        <w:rPr>
          <w:sz w:val="24"/>
        </w:rPr>
        <w:t>18.</w:t>
      </w:r>
      <w:r w:rsidRPr="00115266">
        <w:rPr>
          <w:sz w:val="24"/>
        </w:rPr>
        <w:tab/>
        <w:t xml:space="preserve">Ram B, Thakur R. Epidemiology and Economic Burden of Continuing Challenge of Infectious Diseases in India: Analysis of Socio-Demographic Differentials. Front Public Health. 2022 Jun 30;10:901276. </w:t>
      </w:r>
    </w:p>
    <w:p w14:paraId="5EFEB2D0" w14:textId="77777777" w:rsidR="00115266" w:rsidRPr="00115266" w:rsidRDefault="00115266" w:rsidP="00115266">
      <w:pPr>
        <w:pStyle w:val="Bibliography"/>
        <w:rPr>
          <w:sz w:val="24"/>
        </w:rPr>
      </w:pPr>
      <w:r w:rsidRPr="00115266">
        <w:rPr>
          <w:sz w:val="24"/>
        </w:rPr>
        <w:t>19.</w:t>
      </w:r>
      <w:r w:rsidRPr="00115266">
        <w:rPr>
          <w:sz w:val="24"/>
        </w:rPr>
        <w:tab/>
        <w:t>9789290229049-eng.pdf [Internet]. [cited 2025 May 6]. Available from: https://iris.who.int/bitstream/handle/10665/352685/9789290229049-eng.pdf?sequence=1&amp;isAllowed=y</w:t>
      </w:r>
    </w:p>
    <w:p w14:paraId="6C1EC19B" w14:textId="77777777" w:rsidR="00115266" w:rsidRPr="00115266" w:rsidRDefault="00115266" w:rsidP="00115266">
      <w:pPr>
        <w:pStyle w:val="Bibliography"/>
        <w:rPr>
          <w:sz w:val="24"/>
        </w:rPr>
      </w:pPr>
      <w:r w:rsidRPr="00115266">
        <w:rPr>
          <w:sz w:val="24"/>
        </w:rPr>
        <w:t>20.</w:t>
      </w:r>
      <w:r w:rsidRPr="00115266">
        <w:rPr>
          <w:sz w:val="24"/>
        </w:rPr>
        <w:tab/>
        <w:t>India Population (2024) - Worldometer [Internet]. [cited 2024 Sep 22]. Available from: https://www.worldometers.info/world-population/india-population/</w:t>
      </w:r>
    </w:p>
    <w:p w14:paraId="72F654A9" w14:textId="77777777" w:rsidR="00115266" w:rsidRPr="00115266" w:rsidRDefault="00115266" w:rsidP="00115266">
      <w:pPr>
        <w:pStyle w:val="Bibliography"/>
        <w:rPr>
          <w:sz w:val="24"/>
        </w:rPr>
      </w:pPr>
      <w:r w:rsidRPr="00115266">
        <w:rPr>
          <w:sz w:val="24"/>
        </w:rPr>
        <w:t>21.</w:t>
      </w:r>
      <w:r w:rsidRPr="00115266">
        <w:rPr>
          <w:sz w:val="24"/>
        </w:rPr>
        <w:tab/>
        <w:t>Total Population by Country 2025 [Internet]. [cited 2025 May 6]. Available from: https://worldpopulationreview.com/countries</w:t>
      </w:r>
    </w:p>
    <w:p w14:paraId="6F1AD340" w14:textId="77777777" w:rsidR="00115266" w:rsidRPr="00115266" w:rsidRDefault="00115266" w:rsidP="00115266">
      <w:pPr>
        <w:pStyle w:val="Bibliography"/>
        <w:rPr>
          <w:sz w:val="24"/>
        </w:rPr>
      </w:pPr>
      <w:r w:rsidRPr="00115266">
        <w:rPr>
          <w:sz w:val="24"/>
        </w:rPr>
        <w:t>22.</w:t>
      </w:r>
      <w:r w:rsidRPr="00115266">
        <w:rPr>
          <w:sz w:val="24"/>
        </w:rPr>
        <w:tab/>
        <w:t>XIIFYP_SocialSector.pdf [Internet]. [cited 2025 May 6]. Available from: https://www.education.gov.in/sites/upload_files/mhrd/files/document-reports/XIIFYP_SocialSector.pdf</w:t>
      </w:r>
    </w:p>
    <w:p w14:paraId="732721D4" w14:textId="77777777" w:rsidR="00115266" w:rsidRPr="00115266" w:rsidRDefault="00115266" w:rsidP="00115266">
      <w:pPr>
        <w:pStyle w:val="Bibliography"/>
        <w:rPr>
          <w:sz w:val="24"/>
        </w:rPr>
      </w:pPr>
      <w:r w:rsidRPr="00115266">
        <w:rPr>
          <w:sz w:val="24"/>
        </w:rPr>
        <w:t>23.</w:t>
      </w:r>
      <w:r w:rsidRPr="00115266">
        <w:rPr>
          <w:sz w:val="24"/>
        </w:rPr>
        <w:tab/>
        <w:t>INDIA - Survey on Health Care: NSS 52nd Round, Schedule 25, 1995 - 1996 [Internet]. [cited 2025 May 6]. Available from: http://www.icssrdataservice.in/datarepository/index.php/catalog/32/related_materials</w:t>
      </w:r>
    </w:p>
    <w:p w14:paraId="3F49AB4A" w14:textId="77777777" w:rsidR="00115266" w:rsidRPr="00115266" w:rsidRDefault="00115266" w:rsidP="00115266">
      <w:pPr>
        <w:pStyle w:val="Bibliography"/>
        <w:rPr>
          <w:sz w:val="24"/>
        </w:rPr>
      </w:pPr>
      <w:r w:rsidRPr="00115266">
        <w:rPr>
          <w:sz w:val="24"/>
        </w:rPr>
        <w:t>24.</w:t>
      </w:r>
      <w:r w:rsidRPr="00115266">
        <w:rPr>
          <w:sz w:val="24"/>
        </w:rPr>
        <w:tab/>
        <w:t>Zaidi AKM, Awasthi S, deSilva HJ. Burden of infectious diseases in South Asia. 2004 Apr 1 [cited 2025 May 6]; Available from: https://www.bmj.com/content/328/7443/811</w:t>
      </w:r>
    </w:p>
    <w:p w14:paraId="083D17AB" w14:textId="77777777" w:rsidR="00115266" w:rsidRPr="00115266" w:rsidRDefault="00115266" w:rsidP="00115266">
      <w:pPr>
        <w:pStyle w:val="Bibliography"/>
        <w:rPr>
          <w:sz w:val="24"/>
        </w:rPr>
      </w:pPr>
      <w:r w:rsidRPr="00115266">
        <w:rPr>
          <w:sz w:val="24"/>
        </w:rPr>
        <w:t>25.</w:t>
      </w:r>
      <w:r w:rsidRPr="00115266">
        <w:rPr>
          <w:sz w:val="24"/>
        </w:rPr>
        <w:tab/>
        <w:t xml:space="preserve">Gavazzi G, Herrmann F, Krause KH. Aging and Infectious Diseases in the Developing World. Clinical Infectious Diseases. 2004 Jul 1;39(1):83–91. </w:t>
      </w:r>
    </w:p>
    <w:p w14:paraId="2AC1B02C" w14:textId="77777777" w:rsidR="00115266" w:rsidRPr="00115266" w:rsidRDefault="00115266" w:rsidP="00115266">
      <w:pPr>
        <w:pStyle w:val="Bibliography"/>
        <w:rPr>
          <w:sz w:val="24"/>
        </w:rPr>
      </w:pPr>
      <w:r w:rsidRPr="00115266">
        <w:rPr>
          <w:sz w:val="24"/>
        </w:rPr>
        <w:t>26.</w:t>
      </w:r>
      <w:r w:rsidRPr="00115266">
        <w:rPr>
          <w:sz w:val="24"/>
        </w:rPr>
        <w:tab/>
        <w:t xml:space="preserve">Tobin EH, Tristram D. Tuberculosis Overview. In: StatPearls [Internet]. Treasure Island (FL): StatPearls Publishing; 2025 [cited 2025 May 6]. Available from: </w:t>
      </w:r>
      <w:r w:rsidRPr="00115266">
        <w:rPr>
          <w:sz w:val="24"/>
        </w:rPr>
        <w:lastRenderedPageBreak/>
        <w:t>http://www.ncbi.nlm.nih.gov/books/NBK441916/</w:t>
      </w:r>
    </w:p>
    <w:p w14:paraId="63905289" w14:textId="77777777" w:rsidR="00115266" w:rsidRPr="00115266" w:rsidRDefault="00115266" w:rsidP="00115266">
      <w:pPr>
        <w:pStyle w:val="Bibliography"/>
        <w:rPr>
          <w:sz w:val="24"/>
        </w:rPr>
      </w:pPr>
      <w:r w:rsidRPr="00115266">
        <w:rPr>
          <w:sz w:val="24"/>
        </w:rPr>
        <w:t>27.</w:t>
      </w:r>
      <w:r w:rsidRPr="00115266">
        <w:rPr>
          <w:sz w:val="24"/>
        </w:rPr>
        <w:tab/>
        <w:t xml:space="preserve">Padhi A, Agarwal A, Bhise M, Chaudhary A, Joshi K, Katoch CDS. Progress and challenges in achieving tuberculosis elimination in India by 2025: A systematic review and meta-analysis. PLOS ONE. 2024 Mar 27;19(3):e0301060. </w:t>
      </w:r>
    </w:p>
    <w:p w14:paraId="32BB47B5" w14:textId="77777777" w:rsidR="00115266" w:rsidRPr="00115266" w:rsidRDefault="00115266" w:rsidP="00115266">
      <w:pPr>
        <w:pStyle w:val="Bibliography"/>
        <w:rPr>
          <w:sz w:val="24"/>
        </w:rPr>
      </w:pPr>
      <w:r w:rsidRPr="00115266">
        <w:rPr>
          <w:sz w:val="24"/>
        </w:rPr>
        <w:t>28.</w:t>
      </w:r>
      <w:r w:rsidRPr="00115266">
        <w:rPr>
          <w:sz w:val="24"/>
        </w:rPr>
        <w:tab/>
        <w:t>World malaria report 2023 [Internet]. [cited 2025 May 6]. Available from: https://www.who.int/publications/i/item/9789240086173</w:t>
      </w:r>
    </w:p>
    <w:p w14:paraId="55BAC0D8" w14:textId="77777777" w:rsidR="00115266" w:rsidRPr="00115266" w:rsidRDefault="00115266" w:rsidP="00115266">
      <w:pPr>
        <w:pStyle w:val="Bibliography"/>
        <w:rPr>
          <w:sz w:val="24"/>
        </w:rPr>
      </w:pPr>
      <w:r w:rsidRPr="00115266">
        <w:rPr>
          <w:sz w:val="24"/>
        </w:rPr>
        <w:t>29.</w:t>
      </w:r>
      <w:r w:rsidRPr="00115266">
        <w:rPr>
          <w:sz w:val="24"/>
        </w:rPr>
        <w:tab/>
        <w:t>The Continuing Fertility Transition | Twenty-First Century India: Population, Economy, Human Development, And The Environment | Oxford Academic [Internet]. [cited 2025 May 6]. Available from: https://academic.oup.com/book/51980/chapter-abstract/420801554?redirectedFrom=fulltext</w:t>
      </w:r>
    </w:p>
    <w:p w14:paraId="7885135B" w14:textId="77777777" w:rsidR="00115266" w:rsidRPr="00115266" w:rsidRDefault="00115266" w:rsidP="00115266">
      <w:pPr>
        <w:pStyle w:val="Bibliography"/>
        <w:rPr>
          <w:sz w:val="24"/>
        </w:rPr>
      </w:pPr>
      <w:r w:rsidRPr="00115266">
        <w:rPr>
          <w:sz w:val="24"/>
        </w:rPr>
        <w:t>30.</w:t>
      </w:r>
      <w:r w:rsidRPr="00115266">
        <w:rPr>
          <w:sz w:val="24"/>
        </w:rPr>
        <w:tab/>
        <w:t>Getzzg. Health disparity and mortality trends of infectious diseases in BRICS from 1990 to 2019 [Internet]. JOGH. 2022 [cited 2024 Sep 19]. Available from: https://jogh.org/2022/jogh-12-04028/</w:t>
      </w:r>
    </w:p>
    <w:p w14:paraId="244471B0" w14:textId="77777777" w:rsidR="00115266" w:rsidRPr="00115266" w:rsidRDefault="00115266" w:rsidP="00115266">
      <w:pPr>
        <w:pStyle w:val="Bibliography"/>
        <w:rPr>
          <w:sz w:val="24"/>
        </w:rPr>
      </w:pPr>
      <w:r w:rsidRPr="00115266">
        <w:rPr>
          <w:sz w:val="24"/>
        </w:rPr>
        <w:t>31.</w:t>
      </w:r>
      <w:r w:rsidRPr="00115266">
        <w:rPr>
          <w:sz w:val="24"/>
        </w:rPr>
        <w:tab/>
        <w:t xml:space="preserve">Bramhankar M, Dhar M. Morbidity transition at the national and sub-national level and their determinants over the past and contemporary period in India. PLoS One. 2024 Jun 21;19(6):e0304492. </w:t>
      </w:r>
    </w:p>
    <w:p w14:paraId="70CA2881" w14:textId="77777777" w:rsidR="00115266" w:rsidRPr="00115266" w:rsidRDefault="00115266" w:rsidP="00115266">
      <w:pPr>
        <w:pStyle w:val="Bibliography"/>
        <w:rPr>
          <w:sz w:val="24"/>
        </w:rPr>
      </w:pPr>
      <w:r w:rsidRPr="00115266">
        <w:rPr>
          <w:sz w:val="24"/>
        </w:rPr>
        <w:t>32.</w:t>
      </w:r>
      <w:r w:rsidRPr="00115266">
        <w:rPr>
          <w:sz w:val="24"/>
        </w:rPr>
        <w:tab/>
        <w:t xml:space="preserve">Thakur R, and Sangar S. Socioeconomic differentials in the burden of paying for healthcare in India: a disaggregated analysis. Health Systems. 2022 Jan 2;11(1):48–58. </w:t>
      </w:r>
    </w:p>
    <w:p w14:paraId="0E8E48EF" w14:textId="07084350" w:rsidR="006075BC" w:rsidRPr="00C54870" w:rsidRDefault="006075BC" w:rsidP="004571E0">
      <w:pPr>
        <w:pStyle w:val="ListParagraph"/>
        <w:rPr>
          <w:sz w:val="24"/>
          <w:szCs w:val="24"/>
        </w:rPr>
      </w:pPr>
      <w:r>
        <w:rPr>
          <w:sz w:val="24"/>
          <w:szCs w:val="24"/>
        </w:rPr>
        <w:fldChar w:fldCharType="end"/>
      </w:r>
    </w:p>
    <w:p w14:paraId="4542ECDB" w14:textId="58F5E481" w:rsidR="00031325" w:rsidRDefault="00031325" w:rsidP="004C5C1A">
      <w:pPr>
        <w:spacing w:line="480" w:lineRule="auto"/>
        <w:jc w:val="both"/>
        <w:rPr>
          <w:sz w:val="24"/>
          <w:szCs w:val="24"/>
        </w:rPr>
      </w:pPr>
    </w:p>
    <w:p w14:paraId="44327A22" w14:textId="2356701F" w:rsidR="00473533" w:rsidRDefault="00473533" w:rsidP="00AD2A84">
      <w:pPr>
        <w:widowControl/>
        <w:autoSpaceDE/>
        <w:autoSpaceDN/>
        <w:spacing w:after="160" w:line="259" w:lineRule="auto"/>
        <w:rPr>
          <w:sz w:val="24"/>
          <w:szCs w:val="24"/>
        </w:rPr>
      </w:pPr>
    </w:p>
    <w:p w14:paraId="63A21108" w14:textId="77777777" w:rsidR="006B13C4" w:rsidRDefault="006B13C4" w:rsidP="00AD2A84">
      <w:pPr>
        <w:widowControl/>
        <w:autoSpaceDE/>
        <w:autoSpaceDN/>
        <w:spacing w:after="160" w:line="259" w:lineRule="auto"/>
        <w:rPr>
          <w:sz w:val="24"/>
          <w:szCs w:val="24"/>
        </w:rPr>
      </w:pPr>
    </w:p>
    <w:p w14:paraId="15ACDC7E" w14:textId="77777777" w:rsidR="006B13C4" w:rsidRDefault="006B13C4" w:rsidP="00AD2A84">
      <w:pPr>
        <w:widowControl/>
        <w:autoSpaceDE/>
        <w:autoSpaceDN/>
        <w:spacing w:after="160" w:line="259" w:lineRule="auto"/>
        <w:rPr>
          <w:sz w:val="24"/>
          <w:szCs w:val="24"/>
        </w:rPr>
      </w:pPr>
    </w:p>
    <w:p w14:paraId="6D0BC355" w14:textId="77777777" w:rsidR="006B13C4" w:rsidRDefault="006B13C4" w:rsidP="00AD2A84">
      <w:pPr>
        <w:widowControl/>
        <w:autoSpaceDE/>
        <w:autoSpaceDN/>
        <w:spacing w:after="160" w:line="259" w:lineRule="auto"/>
        <w:rPr>
          <w:sz w:val="24"/>
          <w:szCs w:val="24"/>
        </w:rPr>
      </w:pPr>
    </w:p>
    <w:p w14:paraId="0EBF05FC" w14:textId="77777777" w:rsidR="006B13C4" w:rsidRDefault="006B13C4" w:rsidP="00AD2A84">
      <w:pPr>
        <w:widowControl/>
        <w:autoSpaceDE/>
        <w:autoSpaceDN/>
        <w:spacing w:after="160" w:line="259" w:lineRule="auto"/>
        <w:rPr>
          <w:sz w:val="24"/>
          <w:szCs w:val="24"/>
        </w:rPr>
      </w:pPr>
    </w:p>
    <w:p w14:paraId="4F9C2125" w14:textId="77777777" w:rsidR="006B13C4" w:rsidRDefault="006B13C4" w:rsidP="00AD2A84">
      <w:pPr>
        <w:widowControl/>
        <w:autoSpaceDE/>
        <w:autoSpaceDN/>
        <w:spacing w:after="160" w:line="259" w:lineRule="auto"/>
        <w:rPr>
          <w:sz w:val="24"/>
          <w:szCs w:val="24"/>
        </w:rPr>
      </w:pPr>
    </w:p>
    <w:p w14:paraId="111331B1" w14:textId="77777777" w:rsidR="006B13C4" w:rsidRDefault="006B13C4" w:rsidP="00AD2A84">
      <w:pPr>
        <w:widowControl/>
        <w:autoSpaceDE/>
        <w:autoSpaceDN/>
        <w:spacing w:after="160" w:line="259" w:lineRule="auto"/>
        <w:rPr>
          <w:sz w:val="24"/>
          <w:szCs w:val="24"/>
        </w:rPr>
      </w:pPr>
    </w:p>
    <w:p w14:paraId="70496D7E" w14:textId="77777777" w:rsidR="006B13C4" w:rsidRDefault="006B13C4" w:rsidP="00AD2A84">
      <w:pPr>
        <w:widowControl/>
        <w:autoSpaceDE/>
        <w:autoSpaceDN/>
        <w:spacing w:after="160" w:line="259" w:lineRule="auto"/>
        <w:rPr>
          <w:sz w:val="24"/>
          <w:szCs w:val="24"/>
        </w:rPr>
      </w:pPr>
    </w:p>
    <w:p w14:paraId="618C2EBD" w14:textId="77777777" w:rsidR="006B13C4" w:rsidRDefault="006B13C4" w:rsidP="00AD2A84">
      <w:pPr>
        <w:widowControl/>
        <w:autoSpaceDE/>
        <w:autoSpaceDN/>
        <w:spacing w:after="160" w:line="259" w:lineRule="auto"/>
        <w:rPr>
          <w:sz w:val="24"/>
          <w:szCs w:val="24"/>
        </w:rPr>
      </w:pPr>
    </w:p>
    <w:p w14:paraId="01F87CBF" w14:textId="77777777" w:rsidR="006B13C4" w:rsidRDefault="006B13C4" w:rsidP="00AD2A84">
      <w:pPr>
        <w:widowControl/>
        <w:autoSpaceDE/>
        <w:autoSpaceDN/>
        <w:spacing w:after="160" w:line="259" w:lineRule="auto"/>
        <w:rPr>
          <w:sz w:val="24"/>
          <w:szCs w:val="24"/>
        </w:rPr>
      </w:pPr>
    </w:p>
    <w:p w14:paraId="1ECB786B" w14:textId="77777777" w:rsidR="006B13C4" w:rsidRDefault="006B13C4" w:rsidP="00AD2A84">
      <w:pPr>
        <w:widowControl/>
        <w:autoSpaceDE/>
        <w:autoSpaceDN/>
        <w:spacing w:after="160" w:line="259" w:lineRule="auto"/>
        <w:rPr>
          <w:sz w:val="24"/>
          <w:szCs w:val="24"/>
        </w:rPr>
      </w:pPr>
    </w:p>
    <w:p w14:paraId="2969425D" w14:textId="77777777" w:rsidR="006B13C4" w:rsidRDefault="006B13C4" w:rsidP="00AD2A84">
      <w:pPr>
        <w:widowControl/>
        <w:autoSpaceDE/>
        <w:autoSpaceDN/>
        <w:spacing w:after="160" w:line="259" w:lineRule="auto"/>
        <w:rPr>
          <w:sz w:val="24"/>
          <w:szCs w:val="24"/>
        </w:rPr>
      </w:pPr>
    </w:p>
    <w:p w14:paraId="619F4AA1" w14:textId="77777777" w:rsidR="006B13C4" w:rsidRDefault="006B13C4" w:rsidP="00AD2A84">
      <w:pPr>
        <w:widowControl/>
        <w:autoSpaceDE/>
        <w:autoSpaceDN/>
        <w:spacing w:after="160" w:line="259" w:lineRule="auto"/>
        <w:rPr>
          <w:sz w:val="24"/>
          <w:szCs w:val="24"/>
        </w:rPr>
      </w:pPr>
    </w:p>
    <w:p w14:paraId="6AC48F45" w14:textId="77777777" w:rsidR="006B13C4" w:rsidRDefault="006B13C4" w:rsidP="00AD2A84">
      <w:pPr>
        <w:widowControl/>
        <w:autoSpaceDE/>
        <w:autoSpaceDN/>
        <w:spacing w:after="160" w:line="259" w:lineRule="auto"/>
        <w:rPr>
          <w:sz w:val="24"/>
          <w:szCs w:val="24"/>
        </w:rPr>
      </w:pPr>
    </w:p>
    <w:p w14:paraId="0BD91106" w14:textId="77777777" w:rsidR="006B13C4" w:rsidRDefault="006B13C4" w:rsidP="00AD2A84">
      <w:pPr>
        <w:widowControl/>
        <w:autoSpaceDE/>
        <w:autoSpaceDN/>
        <w:spacing w:after="160" w:line="259" w:lineRule="auto"/>
        <w:rPr>
          <w:sz w:val="24"/>
          <w:szCs w:val="24"/>
        </w:rPr>
      </w:pPr>
    </w:p>
    <w:p w14:paraId="33A7F71B" w14:textId="77777777" w:rsidR="006B13C4" w:rsidRDefault="006B13C4" w:rsidP="00AD2A84">
      <w:pPr>
        <w:widowControl/>
        <w:autoSpaceDE/>
        <w:autoSpaceDN/>
        <w:spacing w:after="160" w:line="259" w:lineRule="auto"/>
        <w:rPr>
          <w:sz w:val="24"/>
          <w:szCs w:val="24"/>
        </w:rPr>
      </w:pPr>
    </w:p>
    <w:p w14:paraId="4BCAAEBE" w14:textId="77777777" w:rsidR="006B13C4" w:rsidRDefault="006B13C4" w:rsidP="00AD2A84">
      <w:pPr>
        <w:widowControl/>
        <w:autoSpaceDE/>
        <w:autoSpaceDN/>
        <w:spacing w:after="160" w:line="259" w:lineRule="auto"/>
        <w:rPr>
          <w:sz w:val="24"/>
          <w:szCs w:val="24"/>
        </w:rPr>
      </w:pPr>
    </w:p>
    <w:p w14:paraId="13B2E3EA" w14:textId="77777777" w:rsidR="006B13C4" w:rsidRDefault="006B13C4" w:rsidP="00AD2A84">
      <w:pPr>
        <w:widowControl/>
        <w:autoSpaceDE/>
        <w:autoSpaceDN/>
        <w:spacing w:after="160" w:line="259" w:lineRule="auto"/>
        <w:rPr>
          <w:sz w:val="24"/>
          <w:szCs w:val="24"/>
        </w:rPr>
      </w:pPr>
    </w:p>
    <w:p w14:paraId="7A8E1F58" w14:textId="3D6AD23F" w:rsidR="00354661" w:rsidRDefault="00354661" w:rsidP="00AD2A84">
      <w:pPr>
        <w:widowControl/>
        <w:autoSpaceDE/>
        <w:autoSpaceDN/>
        <w:spacing w:after="160" w:line="259" w:lineRule="auto"/>
        <w:rPr>
          <w:sz w:val="24"/>
          <w:szCs w:val="24"/>
        </w:rPr>
      </w:pPr>
    </w:p>
    <w:p w14:paraId="46108C2F" w14:textId="77777777" w:rsidR="00354661" w:rsidRDefault="00354661">
      <w:pPr>
        <w:widowControl/>
        <w:autoSpaceDE/>
        <w:autoSpaceDN/>
        <w:spacing w:after="160" w:line="259" w:lineRule="auto"/>
        <w:rPr>
          <w:sz w:val="24"/>
          <w:szCs w:val="24"/>
        </w:rPr>
      </w:pPr>
      <w:r>
        <w:rPr>
          <w:sz w:val="24"/>
          <w:szCs w:val="24"/>
        </w:rPr>
        <w:br w:type="page"/>
      </w:r>
    </w:p>
    <w:p w14:paraId="5EF6CEDD" w14:textId="77777777" w:rsidR="006B13C4" w:rsidRDefault="006B13C4" w:rsidP="00AD2A84">
      <w:pPr>
        <w:widowControl/>
        <w:autoSpaceDE/>
        <w:autoSpaceDN/>
        <w:spacing w:after="160" w:line="259" w:lineRule="auto"/>
        <w:rPr>
          <w:sz w:val="24"/>
          <w:szCs w:val="24"/>
        </w:rPr>
      </w:pPr>
    </w:p>
    <w:p w14:paraId="1AC37841" w14:textId="77777777" w:rsidR="006B13C4" w:rsidRDefault="006B13C4" w:rsidP="00AD2A84">
      <w:pPr>
        <w:widowControl/>
        <w:autoSpaceDE/>
        <w:autoSpaceDN/>
        <w:spacing w:after="160" w:line="259" w:lineRule="auto"/>
        <w:rPr>
          <w:sz w:val="24"/>
          <w:szCs w:val="24"/>
        </w:rPr>
      </w:pPr>
    </w:p>
    <w:p w14:paraId="22B82166" w14:textId="77777777" w:rsidR="006B13C4" w:rsidRDefault="006B13C4" w:rsidP="00AD2A84">
      <w:pPr>
        <w:widowControl/>
        <w:autoSpaceDE/>
        <w:autoSpaceDN/>
        <w:spacing w:after="160" w:line="259" w:lineRule="auto"/>
        <w:rPr>
          <w:sz w:val="24"/>
          <w:szCs w:val="24"/>
        </w:rPr>
      </w:pPr>
    </w:p>
    <w:p w14:paraId="5D85B389" w14:textId="77777777" w:rsidR="006B13C4" w:rsidRDefault="006B13C4" w:rsidP="00AD2A84">
      <w:pPr>
        <w:widowControl/>
        <w:autoSpaceDE/>
        <w:autoSpaceDN/>
        <w:spacing w:after="160" w:line="259" w:lineRule="auto"/>
        <w:rPr>
          <w:sz w:val="24"/>
          <w:szCs w:val="24"/>
        </w:rPr>
      </w:pPr>
    </w:p>
    <w:p w14:paraId="20832C07" w14:textId="097CC1C4" w:rsidR="006B13C4" w:rsidRDefault="006B13C4" w:rsidP="00AD2A84">
      <w:pPr>
        <w:widowControl/>
        <w:autoSpaceDE/>
        <w:autoSpaceDN/>
        <w:spacing w:after="160" w:line="259" w:lineRule="auto"/>
        <w:rPr>
          <w:sz w:val="24"/>
          <w:szCs w:val="24"/>
        </w:rPr>
      </w:pPr>
    </w:p>
    <w:sectPr w:rsidR="006B13C4" w:rsidSect="004571E0">
      <w:headerReference w:type="even" r:id="rId20"/>
      <w:headerReference w:type="default" r:id="rId21"/>
      <w:footerReference w:type="even" r:id="rId22"/>
      <w:footerReference w:type="default" r:id="rId23"/>
      <w:headerReference w:type="first" r:id="rId24"/>
      <w:footerReference w:type="first" r:id="rId25"/>
      <w:pgSz w:w="11910" w:h="16840"/>
      <w:pgMar w:top="620" w:right="566" w:bottom="500" w:left="566" w:header="30" w:footer="314"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01C6D" w14:textId="77777777" w:rsidR="003F57B0" w:rsidRDefault="003F57B0" w:rsidP="00EB67FA">
      <w:r>
        <w:separator/>
      </w:r>
    </w:p>
  </w:endnote>
  <w:endnote w:type="continuationSeparator" w:id="0">
    <w:p w14:paraId="72BC0CE8" w14:textId="77777777" w:rsidR="003F57B0" w:rsidRDefault="003F57B0" w:rsidP="00EB6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9FE70" w14:textId="77777777" w:rsidR="002641E7" w:rsidRDefault="002641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D73C1" w14:textId="77777777" w:rsidR="002641E7" w:rsidRDefault="002641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3A471" w14:textId="77777777" w:rsidR="002641E7" w:rsidRDefault="002641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7DC90" w14:textId="77777777" w:rsidR="003F57B0" w:rsidRDefault="003F57B0" w:rsidP="00EB67FA">
      <w:r>
        <w:separator/>
      </w:r>
    </w:p>
  </w:footnote>
  <w:footnote w:type="continuationSeparator" w:id="0">
    <w:p w14:paraId="0163822E" w14:textId="77777777" w:rsidR="003F57B0" w:rsidRDefault="003F57B0" w:rsidP="00EB67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C94F5" w14:textId="4D7BED3E" w:rsidR="002641E7" w:rsidRDefault="00000000">
    <w:pPr>
      <w:pStyle w:val="Header"/>
    </w:pPr>
    <w:r>
      <w:rPr>
        <w:noProof/>
      </w:rPr>
      <w:pict w14:anchorId="3C1D5C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556047" o:spid="_x0000_s1026" type="#_x0000_t136" style="position:absolute;margin-left:0;margin-top:0;width:683.75pt;height:7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574CE" w14:textId="185CEA45" w:rsidR="002641E7" w:rsidRDefault="00000000">
    <w:pPr>
      <w:pStyle w:val="Header"/>
    </w:pPr>
    <w:r>
      <w:rPr>
        <w:noProof/>
      </w:rPr>
      <w:pict w14:anchorId="376427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556048" o:spid="_x0000_s1027" type="#_x0000_t136" style="position:absolute;margin-left:0;margin-top:0;width:683.75pt;height:7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F0D92" w14:textId="4433132E" w:rsidR="002641E7" w:rsidRDefault="00000000">
    <w:pPr>
      <w:pStyle w:val="Header"/>
    </w:pPr>
    <w:r>
      <w:rPr>
        <w:noProof/>
      </w:rPr>
      <w:pict w14:anchorId="7FCBB0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556046" o:spid="_x0000_s1025" type="#_x0000_t136" style="position:absolute;margin-left:0;margin-top:0;width:683.75pt;height:7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9C3BC2"/>
    <w:multiLevelType w:val="multilevel"/>
    <w:tmpl w:val="BE80E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2A10D8"/>
    <w:multiLevelType w:val="hybridMultilevel"/>
    <w:tmpl w:val="048014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C5F2480"/>
    <w:multiLevelType w:val="hybridMultilevel"/>
    <w:tmpl w:val="1666975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42D0C66"/>
    <w:multiLevelType w:val="multilevel"/>
    <w:tmpl w:val="BE80E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12A1A15"/>
    <w:multiLevelType w:val="hybridMultilevel"/>
    <w:tmpl w:val="9614E090"/>
    <w:lvl w:ilvl="0" w:tplc="7A2451C8">
      <w:numFmt w:val="bullet"/>
      <w:lvlText w:val="-"/>
      <w:lvlJc w:val="left"/>
      <w:pPr>
        <w:ind w:left="294" w:hanging="140"/>
      </w:pPr>
      <w:rPr>
        <w:rFonts w:ascii="Times New Roman" w:eastAsia="Times New Roman" w:hAnsi="Times New Roman" w:cs="Times New Roman" w:hint="default"/>
        <w:b w:val="0"/>
        <w:bCs w:val="0"/>
        <w:i w:val="0"/>
        <w:iCs w:val="0"/>
        <w:spacing w:val="0"/>
        <w:w w:val="100"/>
        <w:sz w:val="24"/>
        <w:szCs w:val="24"/>
        <w:lang w:val="en-US" w:eastAsia="en-US" w:bidi="ar-SA"/>
      </w:rPr>
    </w:lvl>
    <w:lvl w:ilvl="1" w:tplc="EDAC6C26">
      <w:numFmt w:val="bullet"/>
      <w:lvlText w:val="•"/>
      <w:lvlJc w:val="left"/>
      <w:pPr>
        <w:ind w:left="1347" w:hanging="140"/>
      </w:pPr>
      <w:rPr>
        <w:rFonts w:hint="default"/>
        <w:lang w:val="en-US" w:eastAsia="en-US" w:bidi="ar-SA"/>
      </w:rPr>
    </w:lvl>
    <w:lvl w:ilvl="2" w:tplc="823CCAF4">
      <w:numFmt w:val="bullet"/>
      <w:lvlText w:val="•"/>
      <w:lvlJc w:val="left"/>
      <w:pPr>
        <w:ind w:left="2394" w:hanging="140"/>
      </w:pPr>
      <w:rPr>
        <w:rFonts w:hint="default"/>
        <w:lang w:val="en-US" w:eastAsia="en-US" w:bidi="ar-SA"/>
      </w:rPr>
    </w:lvl>
    <w:lvl w:ilvl="3" w:tplc="7D48C998">
      <w:numFmt w:val="bullet"/>
      <w:lvlText w:val="•"/>
      <w:lvlJc w:val="left"/>
      <w:pPr>
        <w:ind w:left="3441" w:hanging="140"/>
      </w:pPr>
      <w:rPr>
        <w:rFonts w:hint="default"/>
        <w:lang w:val="en-US" w:eastAsia="en-US" w:bidi="ar-SA"/>
      </w:rPr>
    </w:lvl>
    <w:lvl w:ilvl="4" w:tplc="7196E2EC">
      <w:numFmt w:val="bullet"/>
      <w:lvlText w:val="•"/>
      <w:lvlJc w:val="left"/>
      <w:pPr>
        <w:ind w:left="4489" w:hanging="140"/>
      </w:pPr>
      <w:rPr>
        <w:rFonts w:hint="default"/>
        <w:lang w:val="en-US" w:eastAsia="en-US" w:bidi="ar-SA"/>
      </w:rPr>
    </w:lvl>
    <w:lvl w:ilvl="5" w:tplc="F2B496C4">
      <w:numFmt w:val="bullet"/>
      <w:lvlText w:val="•"/>
      <w:lvlJc w:val="left"/>
      <w:pPr>
        <w:ind w:left="5536" w:hanging="140"/>
      </w:pPr>
      <w:rPr>
        <w:rFonts w:hint="default"/>
        <w:lang w:val="en-US" w:eastAsia="en-US" w:bidi="ar-SA"/>
      </w:rPr>
    </w:lvl>
    <w:lvl w:ilvl="6" w:tplc="44E2216A">
      <w:numFmt w:val="bullet"/>
      <w:lvlText w:val="•"/>
      <w:lvlJc w:val="left"/>
      <w:pPr>
        <w:ind w:left="6583" w:hanging="140"/>
      </w:pPr>
      <w:rPr>
        <w:rFonts w:hint="default"/>
        <w:lang w:val="en-US" w:eastAsia="en-US" w:bidi="ar-SA"/>
      </w:rPr>
    </w:lvl>
    <w:lvl w:ilvl="7" w:tplc="5DB2F69C">
      <w:numFmt w:val="bullet"/>
      <w:lvlText w:val="•"/>
      <w:lvlJc w:val="left"/>
      <w:pPr>
        <w:ind w:left="7631" w:hanging="140"/>
      </w:pPr>
      <w:rPr>
        <w:rFonts w:hint="default"/>
        <w:lang w:val="en-US" w:eastAsia="en-US" w:bidi="ar-SA"/>
      </w:rPr>
    </w:lvl>
    <w:lvl w:ilvl="8" w:tplc="61BCEC3A">
      <w:numFmt w:val="bullet"/>
      <w:lvlText w:val="•"/>
      <w:lvlJc w:val="left"/>
      <w:pPr>
        <w:ind w:left="8678" w:hanging="140"/>
      </w:pPr>
      <w:rPr>
        <w:rFonts w:hint="default"/>
        <w:lang w:val="en-US" w:eastAsia="en-US" w:bidi="ar-SA"/>
      </w:rPr>
    </w:lvl>
  </w:abstractNum>
  <w:abstractNum w:abstractNumId="5" w15:restartNumberingAfterBreak="0">
    <w:nsid w:val="4C9E181A"/>
    <w:multiLevelType w:val="hybridMultilevel"/>
    <w:tmpl w:val="914EED90"/>
    <w:lvl w:ilvl="0" w:tplc="393E5A12">
      <w:start w:val="1"/>
      <w:numFmt w:val="decimal"/>
      <w:lvlText w:val="%1."/>
      <w:lvlJc w:val="left"/>
      <w:pPr>
        <w:ind w:left="874"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1" w:tplc="E804929C">
      <w:numFmt w:val="bullet"/>
      <w:lvlText w:val="•"/>
      <w:lvlJc w:val="left"/>
      <w:pPr>
        <w:ind w:left="1869" w:hanging="360"/>
      </w:pPr>
      <w:rPr>
        <w:rFonts w:hint="default"/>
        <w:lang w:val="en-US" w:eastAsia="en-US" w:bidi="ar-SA"/>
      </w:rPr>
    </w:lvl>
    <w:lvl w:ilvl="2" w:tplc="D764BF22">
      <w:numFmt w:val="bullet"/>
      <w:lvlText w:val="•"/>
      <w:lvlJc w:val="left"/>
      <w:pPr>
        <w:ind w:left="2858" w:hanging="360"/>
      </w:pPr>
      <w:rPr>
        <w:rFonts w:hint="default"/>
        <w:lang w:val="en-US" w:eastAsia="en-US" w:bidi="ar-SA"/>
      </w:rPr>
    </w:lvl>
    <w:lvl w:ilvl="3" w:tplc="1AB02D38">
      <w:numFmt w:val="bullet"/>
      <w:lvlText w:val="•"/>
      <w:lvlJc w:val="left"/>
      <w:pPr>
        <w:ind w:left="3847" w:hanging="360"/>
      </w:pPr>
      <w:rPr>
        <w:rFonts w:hint="default"/>
        <w:lang w:val="en-US" w:eastAsia="en-US" w:bidi="ar-SA"/>
      </w:rPr>
    </w:lvl>
    <w:lvl w:ilvl="4" w:tplc="49548E8A">
      <w:numFmt w:val="bullet"/>
      <w:lvlText w:val="•"/>
      <w:lvlJc w:val="left"/>
      <w:pPr>
        <w:ind w:left="4837" w:hanging="360"/>
      </w:pPr>
      <w:rPr>
        <w:rFonts w:hint="default"/>
        <w:lang w:val="en-US" w:eastAsia="en-US" w:bidi="ar-SA"/>
      </w:rPr>
    </w:lvl>
    <w:lvl w:ilvl="5" w:tplc="AA3E96BA">
      <w:numFmt w:val="bullet"/>
      <w:lvlText w:val="•"/>
      <w:lvlJc w:val="left"/>
      <w:pPr>
        <w:ind w:left="5826" w:hanging="360"/>
      </w:pPr>
      <w:rPr>
        <w:rFonts w:hint="default"/>
        <w:lang w:val="en-US" w:eastAsia="en-US" w:bidi="ar-SA"/>
      </w:rPr>
    </w:lvl>
    <w:lvl w:ilvl="6" w:tplc="053052FA">
      <w:numFmt w:val="bullet"/>
      <w:lvlText w:val="•"/>
      <w:lvlJc w:val="left"/>
      <w:pPr>
        <w:ind w:left="6815" w:hanging="360"/>
      </w:pPr>
      <w:rPr>
        <w:rFonts w:hint="default"/>
        <w:lang w:val="en-US" w:eastAsia="en-US" w:bidi="ar-SA"/>
      </w:rPr>
    </w:lvl>
    <w:lvl w:ilvl="7" w:tplc="C7F0E378">
      <w:numFmt w:val="bullet"/>
      <w:lvlText w:val="•"/>
      <w:lvlJc w:val="left"/>
      <w:pPr>
        <w:ind w:left="7805" w:hanging="360"/>
      </w:pPr>
      <w:rPr>
        <w:rFonts w:hint="default"/>
        <w:lang w:val="en-US" w:eastAsia="en-US" w:bidi="ar-SA"/>
      </w:rPr>
    </w:lvl>
    <w:lvl w:ilvl="8" w:tplc="064E2D8C">
      <w:numFmt w:val="bullet"/>
      <w:lvlText w:val="•"/>
      <w:lvlJc w:val="left"/>
      <w:pPr>
        <w:ind w:left="8794" w:hanging="360"/>
      </w:pPr>
      <w:rPr>
        <w:rFonts w:hint="default"/>
        <w:lang w:val="en-US" w:eastAsia="en-US" w:bidi="ar-SA"/>
      </w:rPr>
    </w:lvl>
  </w:abstractNum>
  <w:abstractNum w:abstractNumId="6" w15:restartNumberingAfterBreak="0">
    <w:nsid w:val="54D24536"/>
    <w:multiLevelType w:val="hybridMultilevel"/>
    <w:tmpl w:val="9E50FE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7BB488E"/>
    <w:multiLevelType w:val="hybridMultilevel"/>
    <w:tmpl w:val="1990268E"/>
    <w:lvl w:ilvl="0" w:tplc="89C0FE7A">
      <w:start w:val="1"/>
      <w:numFmt w:val="decimal"/>
      <w:lvlText w:val="%1."/>
      <w:lvlJc w:val="left"/>
      <w:pPr>
        <w:ind w:left="720" w:hanging="360"/>
      </w:pPr>
      <w:rPr>
        <w:rFonts w:hint="default"/>
        <w:b/>
        <w:bCs/>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BE83DB6"/>
    <w:multiLevelType w:val="hybridMultilevel"/>
    <w:tmpl w:val="85BC1A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76503763">
    <w:abstractNumId w:val="5"/>
  </w:num>
  <w:num w:numId="2" w16cid:durableId="1872298982">
    <w:abstractNumId w:val="4"/>
  </w:num>
  <w:num w:numId="3" w16cid:durableId="2071073569">
    <w:abstractNumId w:val="6"/>
  </w:num>
  <w:num w:numId="4" w16cid:durableId="857500420">
    <w:abstractNumId w:val="1"/>
  </w:num>
  <w:num w:numId="5" w16cid:durableId="1851676558">
    <w:abstractNumId w:val="2"/>
  </w:num>
  <w:num w:numId="6" w16cid:durableId="504825535">
    <w:abstractNumId w:val="8"/>
  </w:num>
  <w:num w:numId="7" w16cid:durableId="1615283644">
    <w:abstractNumId w:val="7"/>
  </w:num>
  <w:num w:numId="8" w16cid:durableId="54283982">
    <w:abstractNumId w:val="3"/>
  </w:num>
  <w:num w:numId="9" w16cid:durableId="1468665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196"/>
    <w:rsid w:val="0000009E"/>
    <w:rsid w:val="000026D7"/>
    <w:rsid w:val="00002F8C"/>
    <w:rsid w:val="0000468A"/>
    <w:rsid w:val="00004DF5"/>
    <w:rsid w:val="00005DCC"/>
    <w:rsid w:val="00006115"/>
    <w:rsid w:val="00013813"/>
    <w:rsid w:val="00016F24"/>
    <w:rsid w:val="000212E1"/>
    <w:rsid w:val="000274B3"/>
    <w:rsid w:val="00031325"/>
    <w:rsid w:val="0003155A"/>
    <w:rsid w:val="0004300C"/>
    <w:rsid w:val="00045B2C"/>
    <w:rsid w:val="00045E54"/>
    <w:rsid w:val="0004701C"/>
    <w:rsid w:val="00051D3E"/>
    <w:rsid w:val="00063E61"/>
    <w:rsid w:val="00064C5A"/>
    <w:rsid w:val="000654DD"/>
    <w:rsid w:val="00066C26"/>
    <w:rsid w:val="00066CEE"/>
    <w:rsid w:val="000765F3"/>
    <w:rsid w:val="00081726"/>
    <w:rsid w:val="00083028"/>
    <w:rsid w:val="00085070"/>
    <w:rsid w:val="000850AF"/>
    <w:rsid w:val="00092D64"/>
    <w:rsid w:val="00093D36"/>
    <w:rsid w:val="00096259"/>
    <w:rsid w:val="000A1A03"/>
    <w:rsid w:val="000A4FEA"/>
    <w:rsid w:val="000A5A2F"/>
    <w:rsid w:val="000B1A9A"/>
    <w:rsid w:val="000B306D"/>
    <w:rsid w:val="000B339B"/>
    <w:rsid w:val="000B344C"/>
    <w:rsid w:val="000B4B07"/>
    <w:rsid w:val="000B5DCB"/>
    <w:rsid w:val="000B76F1"/>
    <w:rsid w:val="000C6D75"/>
    <w:rsid w:val="000D0C8F"/>
    <w:rsid w:val="000D14EC"/>
    <w:rsid w:val="000D597C"/>
    <w:rsid w:val="000D63A5"/>
    <w:rsid w:val="000E3F93"/>
    <w:rsid w:val="000E692E"/>
    <w:rsid w:val="000F13AF"/>
    <w:rsid w:val="000F661E"/>
    <w:rsid w:val="000F6BAF"/>
    <w:rsid w:val="000F757E"/>
    <w:rsid w:val="001052D8"/>
    <w:rsid w:val="00115266"/>
    <w:rsid w:val="00121557"/>
    <w:rsid w:val="00123C63"/>
    <w:rsid w:val="001247D1"/>
    <w:rsid w:val="00125F21"/>
    <w:rsid w:val="0013023C"/>
    <w:rsid w:val="00132073"/>
    <w:rsid w:val="00135F43"/>
    <w:rsid w:val="001369DC"/>
    <w:rsid w:val="00136F63"/>
    <w:rsid w:val="00137AF3"/>
    <w:rsid w:val="00143902"/>
    <w:rsid w:val="001465A5"/>
    <w:rsid w:val="001528DE"/>
    <w:rsid w:val="00154035"/>
    <w:rsid w:val="001551CA"/>
    <w:rsid w:val="00155728"/>
    <w:rsid w:val="0016353D"/>
    <w:rsid w:val="00164706"/>
    <w:rsid w:val="00164FC0"/>
    <w:rsid w:val="00165CA2"/>
    <w:rsid w:val="001671CC"/>
    <w:rsid w:val="001720A6"/>
    <w:rsid w:val="0017501F"/>
    <w:rsid w:val="00177596"/>
    <w:rsid w:val="001813C4"/>
    <w:rsid w:val="00183B77"/>
    <w:rsid w:val="00187DA9"/>
    <w:rsid w:val="0019251C"/>
    <w:rsid w:val="00193B15"/>
    <w:rsid w:val="0019783D"/>
    <w:rsid w:val="001A4CF7"/>
    <w:rsid w:val="001B7573"/>
    <w:rsid w:val="001C36C2"/>
    <w:rsid w:val="001C5D99"/>
    <w:rsid w:val="001D4478"/>
    <w:rsid w:val="001D6E49"/>
    <w:rsid w:val="001F37BA"/>
    <w:rsid w:val="001F64BA"/>
    <w:rsid w:val="001F7202"/>
    <w:rsid w:val="00202482"/>
    <w:rsid w:val="0020413A"/>
    <w:rsid w:val="00207677"/>
    <w:rsid w:val="00214556"/>
    <w:rsid w:val="00215A3D"/>
    <w:rsid w:val="0022048D"/>
    <w:rsid w:val="002221AB"/>
    <w:rsid w:val="00224AF9"/>
    <w:rsid w:val="0022568D"/>
    <w:rsid w:val="00231444"/>
    <w:rsid w:val="00231F2E"/>
    <w:rsid w:val="002372FE"/>
    <w:rsid w:val="00251F96"/>
    <w:rsid w:val="00252FC4"/>
    <w:rsid w:val="00260AEC"/>
    <w:rsid w:val="00262101"/>
    <w:rsid w:val="002634E6"/>
    <w:rsid w:val="002641E7"/>
    <w:rsid w:val="002670E2"/>
    <w:rsid w:val="002759F1"/>
    <w:rsid w:val="002A0E29"/>
    <w:rsid w:val="002A6E55"/>
    <w:rsid w:val="002A749D"/>
    <w:rsid w:val="002A792A"/>
    <w:rsid w:val="002A7FDA"/>
    <w:rsid w:val="002B1DE1"/>
    <w:rsid w:val="002B2172"/>
    <w:rsid w:val="002B427F"/>
    <w:rsid w:val="002C038C"/>
    <w:rsid w:val="002C69EF"/>
    <w:rsid w:val="002C7C35"/>
    <w:rsid w:val="002D1905"/>
    <w:rsid w:val="002D6CE4"/>
    <w:rsid w:val="002E0361"/>
    <w:rsid w:val="002E2103"/>
    <w:rsid w:val="002E5C67"/>
    <w:rsid w:val="002F0927"/>
    <w:rsid w:val="002F1C25"/>
    <w:rsid w:val="002F3DC0"/>
    <w:rsid w:val="002F40C6"/>
    <w:rsid w:val="00310618"/>
    <w:rsid w:val="003144B8"/>
    <w:rsid w:val="00320DCD"/>
    <w:rsid w:val="00320F04"/>
    <w:rsid w:val="003237DA"/>
    <w:rsid w:val="00325BF7"/>
    <w:rsid w:val="00330FD2"/>
    <w:rsid w:val="003345DF"/>
    <w:rsid w:val="003405CD"/>
    <w:rsid w:val="00345C7C"/>
    <w:rsid w:val="003460B1"/>
    <w:rsid w:val="00353878"/>
    <w:rsid w:val="00354661"/>
    <w:rsid w:val="0035762C"/>
    <w:rsid w:val="00361D77"/>
    <w:rsid w:val="0036528B"/>
    <w:rsid w:val="003800EE"/>
    <w:rsid w:val="003833A5"/>
    <w:rsid w:val="00390D8B"/>
    <w:rsid w:val="003B1DA9"/>
    <w:rsid w:val="003C1B48"/>
    <w:rsid w:val="003C337B"/>
    <w:rsid w:val="003D56EE"/>
    <w:rsid w:val="003D6AE6"/>
    <w:rsid w:val="003E4374"/>
    <w:rsid w:val="003E48EA"/>
    <w:rsid w:val="003F3DC1"/>
    <w:rsid w:val="003F57B0"/>
    <w:rsid w:val="003F5A19"/>
    <w:rsid w:val="00403C27"/>
    <w:rsid w:val="00411F84"/>
    <w:rsid w:val="00413247"/>
    <w:rsid w:val="00416FBE"/>
    <w:rsid w:val="00423454"/>
    <w:rsid w:val="00434F1F"/>
    <w:rsid w:val="00437B48"/>
    <w:rsid w:val="00440DD5"/>
    <w:rsid w:val="00445EF0"/>
    <w:rsid w:val="0045622C"/>
    <w:rsid w:val="004571E0"/>
    <w:rsid w:val="00457AEA"/>
    <w:rsid w:val="004620EE"/>
    <w:rsid w:val="004627D5"/>
    <w:rsid w:val="00471456"/>
    <w:rsid w:val="00473533"/>
    <w:rsid w:val="00474F2D"/>
    <w:rsid w:val="004774A8"/>
    <w:rsid w:val="004852DA"/>
    <w:rsid w:val="00492224"/>
    <w:rsid w:val="004973C2"/>
    <w:rsid w:val="004A0500"/>
    <w:rsid w:val="004A1731"/>
    <w:rsid w:val="004A31E4"/>
    <w:rsid w:val="004A3FCA"/>
    <w:rsid w:val="004A7DBA"/>
    <w:rsid w:val="004B166D"/>
    <w:rsid w:val="004B38ED"/>
    <w:rsid w:val="004C2D01"/>
    <w:rsid w:val="004C5C1A"/>
    <w:rsid w:val="004D00BD"/>
    <w:rsid w:val="004D2D95"/>
    <w:rsid w:val="004E0872"/>
    <w:rsid w:val="004E71F2"/>
    <w:rsid w:val="004F48F1"/>
    <w:rsid w:val="005020B3"/>
    <w:rsid w:val="0050452F"/>
    <w:rsid w:val="00507ABE"/>
    <w:rsid w:val="00515C98"/>
    <w:rsid w:val="00526E0B"/>
    <w:rsid w:val="00532857"/>
    <w:rsid w:val="005345B5"/>
    <w:rsid w:val="00536513"/>
    <w:rsid w:val="0053695A"/>
    <w:rsid w:val="005415D6"/>
    <w:rsid w:val="0054289B"/>
    <w:rsid w:val="00553F7F"/>
    <w:rsid w:val="00554787"/>
    <w:rsid w:val="005636AF"/>
    <w:rsid w:val="00565DB0"/>
    <w:rsid w:val="00566D0B"/>
    <w:rsid w:val="00566E77"/>
    <w:rsid w:val="00570202"/>
    <w:rsid w:val="00570E02"/>
    <w:rsid w:val="005759FE"/>
    <w:rsid w:val="00585291"/>
    <w:rsid w:val="00590AF5"/>
    <w:rsid w:val="00595311"/>
    <w:rsid w:val="0059606E"/>
    <w:rsid w:val="00596866"/>
    <w:rsid w:val="005A17DF"/>
    <w:rsid w:val="005A186C"/>
    <w:rsid w:val="005A27AB"/>
    <w:rsid w:val="005A69CC"/>
    <w:rsid w:val="005A7A39"/>
    <w:rsid w:val="005B0465"/>
    <w:rsid w:val="005B2BF1"/>
    <w:rsid w:val="005C1895"/>
    <w:rsid w:val="005C1F0D"/>
    <w:rsid w:val="005C2BE1"/>
    <w:rsid w:val="005C2E11"/>
    <w:rsid w:val="005C4795"/>
    <w:rsid w:val="005C6314"/>
    <w:rsid w:val="005C67B7"/>
    <w:rsid w:val="005D05A1"/>
    <w:rsid w:val="005D487F"/>
    <w:rsid w:val="005D6080"/>
    <w:rsid w:val="005E1A06"/>
    <w:rsid w:val="005E65C8"/>
    <w:rsid w:val="005E7CD9"/>
    <w:rsid w:val="005F02EB"/>
    <w:rsid w:val="005F13CA"/>
    <w:rsid w:val="005F2251"/>
    <w:rsid w:val="006018B4"/>
    <w:rsid w:val="00606D90"/>
    <w:rsid w:val="00606F5A"/>
    <w:rsid w:val="006075BC"/>
    <w:rsid w:val="00607760"/>
    <w:rsid w:val="0061656D"/>
    <w:rsid w:val="00620E53"/>
    <w:rsid w:val="00623533"/>
    <w:rsid w:val="00625E9D"/>
    <w:rsid w:val="00627E71"/>
    <w:rsid w:val="00627E77"/>
    <w:rsid w:val="00630F7C"/>
    <w:rsid w:val="00640EDD"/>
    <w:rsid w:val="0064102D"/>
    <w:rsid w:val="00645601"/>
    <w:rsid w:val="00651131"/>
    <w:rsid w:val="006529C1"/>
    <w:rsid w:val="006572E2"/>
    <w:rsid w:val="00657478"/>
    <w:rsid w:val="00661B3A"/>
    <w:rsid w:val="00661FA2"/>
    <w:rsid w:val="006661BD"/>
    <w:rsid w:val="00666352"/>
    <w:rsid w:val="0066726C"/>
    <w:rsid w:val="00675FE7"/>
    <w:rsid w:val="00676526"/>
    <w:rsid w:val="00684AAA"/>
    <w:rsid w:val="00685956"/>
    <w:rsid w:val="00691F3A"/>
    <w:rsid w:val="006A22FC"/>
    <w:rsid w:val="006A3ED6"/>
    <w:rsid w:val="006B13C4"/>
    <w:rsid w:val="006B2423"/>
    <w:rsid w:val="006B3B35"/>
    <w:rsid w:val="006B3EAA"/>
    <w:rsid w:val="006B785E"/>
    <w:rsid w:val="006C11CD"/>
    <w:rsid w:val="006C57B3"/>
    <w:rsid w:val="006C60A5"/>
    <w:rsid w:val="006D027F"/>
    <w:rsid w:val="006D45FE"/>
    <w:rsid w:val="006D4E4E"/>
    <w:rsid w:val="006D586E"/>
    <w:rsid w:val="006D65C6"/>
    <w:rsid w:val="006D6C27"/>
    <w:rsid w:val="006E0732"/>
    <w:rsid w:val="006E34F4"/>
    <w:rsid w:val="00700103"/>
    <w:rsid w:val="00702461"/>
    <w:rsid w:val="007054A9"/>
    <w:rsid w:val="0070551C"/>
    <w:rsid w:val="00705693"/>
    <w:rsid w:val="007056FA"/>
    <w:rsid w:val="0071168A"/>
    <w:rsid w:val="00717954"/>
    <w:rsid w:val="00717D64"/>
    <w:rsid w:val="007224B6"/>
    <w:rsid w:val="00723304"/>
    <w:rsid w:val="0072358B"/>
    <w:rsid w:val="00727E99"/>
    <w:rsid w:val="00734112"/>
    <w:rsid w:val="00743F53"/>
    <w:rsid w:val="00745BB3"/>
    <w:rsid w:val="007465A7"/>
    <w:rsid w:val="0075029D"/>
    <w:rsid w:val="00751D66"/>
    <w:rsid w:val="00755418"/>
    <w:rsid w:val="00757EBB"/>
    <w:rsid w:val="00757F7F"/>
    <w:rsid w:val="00766CE4"/>
    <w:rsid w:val="0077668C"/>
    <w:rsid w:val="00777F2D"/>
    <w:rsid w:val="00780556"/>
    <w:rsid w:val="00780690"/>
    <w:rsid w:val="007809F1"/>
    <w:rsid w:val="00780C9E"/>
    <w:rsid w:val="00782B83"/>
    <w:rsid w:val="00783987"/>
    <w:rsid w:val="00783D7F"/>
    <w:rsid w:val="00786AAE"/>
    <w:rsid w:val="007874D2"/>
    <w:rsid w:val="0079426E"/>
    <w:rsid w:val="00795449"/>
    <w:rsid w:val="00796A38"/>
    <w:rsid w:val="007B33DC"/>
    <w:rsid w:val="007B5620"/>
    <w:rsid w:val="007B69FB"/>
    <w:rsid w:val="007B6C38"/>
    <w:rsid w:val="007B6CF0"/>
    <w:rsid w:val="007C3DCE"/>
    <w:rsid w:val="007C3E8E"/>
    <w:rsid w:val="007C558C"/>
    <w:rsid w:val="007D5B3F"/>
    <w:rsid w:val="007E3AC8"/>
    <w:rsid w:val="007E4D1C"/>
    <w:rsid w:val="007E6725"/>
    <w:rsid w:val="007F03CF"/>
    <w:rsid w:val="007F14CC"/>
    <w:rsid w:val="00801526"/>
    <w:rsid w:val="00801BA2"/>
    <w:rsid w:val="008029DF"/>
    <w:rsid w:val="008211E2"/>
    <w:rsid w:val="008248DB"/>
    <w:rsid w:val="008259D4"/>
    <w:rsid w:val="0083154D"/>
    <w:rsid w:val="00832D54"/>
    <w:rsid w:val="00834233"/>
    <w:rsid w:val="00841ECF"/>
    <w:rsid w:val="00843CCE"/>
    <w:rsid w:val="00847D55"/>
    <w:rsid w:val="0085227E"/>
    <w:rsid w:val="00853FCE"/>
    <w:rsid w:val="00856474"/>
    <w:rsid w:val="008655BD"/>
    <w:rsid w:val="008727AD"/>
    <w:rsid w:val="00874456"/>
    <w:rsid w:val="0087776B"/>
    <w:rsid w:val="008830CA"/>
    <w:rsid w:val="00884CFF"/>
    <w:rsid w:val="008942B4"/>
    <w:rsid w:val="00896D0E"/>
    <w:rsid w:val="008A1BFD"/>
    <w:rsid w:val="008A2445"/>
    <w:rsid w:val="008B171A"/>
    <w:rsid w:val="008B443D"/>
    <w:rsid w:val="008C7C80"/>
    <w:rsid w:val="008D2BA7"/>
    <w:rsid w:val="008D5867"/>
    <w:rsid w:val="008D5EBA"/>
    <w:rsid w:val="008E5DD8"/>
    <w:rsid w:val="008E778D"/>
    <w:rsid w:val="008F1D62"/>
    <w:rsid w:val="008F2899"/>
    <w:rsid w:val="008F7F0F"/>
    <w:rsid w:val="009042AC"/>
    <w:rsid w:val="00905293"/>
    <w:rsid w:val="009075B7"/>
    <w:rsid w:val="00910366"/>
    <w:rsid w:val="00916045"/>
    <w:rsid w:val="00922093"/>
    <w:rsid w:val="00923A4A"/>
    <w:rsid w:val="00923D68"/>
    <w:rsid w:val="0093091D"/>
    <w:rsid w:val="0093280C"/>
    <w:rsid w:val="0093728F"/>
    <w:rsid w:val="009418FB"/>
    <w:rsid w:val="00942C02"/>
    <w:rsid w:val="00944C43"/>
    <w:rsid w:val="00944DFA"/>
    <w:rsid w:val="00945819"/>
    <w:rsid w:val="00947226"/>
    <w:rsid w:val="009558C1"/>
    <w:rsid w:val="00955F08"/>
    <w:rsid w:val="009631EC"/>
    <w:rsid w:val="009646FE"/>
    <w:rsid w:val="0097381A"/>
    <w:rsid w:val="00977BD3"/>
    <w:rsid w:val="009810A1"/>
    <w:rsid w:val="00984ADF"/>
    <w:rsid w:val="009879B6"/>
    <w:rsid w:val="00990745"/>
    <w:rsid w:val="0099307B"/>
    <w:rsid w:val="00993D07"/>
    <w:rsid w:val="009940C1"/>
    <w:rsid w:val="00997A83"/>
    <w:rsid w:val="009A0059"/>
    <w:rsid w:val="009A1EBB"/>
    <w:rsid w:val="009A21F5"/>
    <w:rsid w:val="009A2ADA"/>
    <w:rsid w:val="009A5058"/>
    <w:rsid w:val="009B2B1F"/>
    <w:rsid w:val="009B67AD"/>
    <w:rsid w:val="009B6CD0"/>
    <w:rsid w:val="009C581A"/>
    <w:rsid w:val="009C5FFF"/>
    <w:rsid w:val="009C677E"/>
    <w:rsid w:val="009D033C"/>
    <w:rsid w:val="009D196E"/>
    <w:rsid w:val="009D3013"/>
    <w:rsid w:val="009D3F7D"/>
    <w:rsid w:val="009D5C92"/>
    <w:rsid w:val="009D64ED"/>
    <w:rsid w:val="009E1CB2"/>
    <w:rsid w:val="009E5855"/>
    <w:rsid w:val="009E68FD"/>
    <w:rsid w:val="009E757C"/>
    <w:rsid w:val="009F3196"/>
    <w:rsid w:val="00A11D11"/>
    <w:rsid w:val="00A1416D"/>
    <w:rsid w:val="00A144FE"/>
    <w:rsid w:val="00A16B6E"/>
    <w:rsid w:val="00A264BB"/>
    <w:rsid w:val="00A40E69"/>
    <w:rsid w:val="00A506BB"/>
    <w:rsid w:val="00A64BFB"/>
    <w:rsid w:val="00A65E8D"/>
    <w:rsid w:val="00A67805"/>
    <w:rsid w:val="00A67CB9"/>
    <w:rsid w:val="00A67CCD"/>
    <w:rsid w:val="00A752F9"/>
    <w:rsid w:val="00A757FA"/>
    <w:rsid w:val="00A82DAE"/>
    <w:rsid w:val="00A849A2"/>
    <w:rsid w:val="00A92619"/>
    <w:rsid w:val="00A95BBE"/>
    <w:rsid w:val="00A97108"/>
    <w:rsid w:val="00A97138"/>
    <w:rsid w:val="00AA5222"/>
    <w:rsid w:val="00AB034B"/>
    <w:rsid w:val="00AB302F"/>
    <w:rsid w:val="00AB48EA"/>
    <w:rsid w:val="00AB7337"/>
    <w:rsid w:val="00AD20B8"/>
    <w:rsid w:val="00AD2A84"/>
    <w:rsid w:val="00AD65F0"/>
    <w:rsid w:val="00AE1ACE"/>
    <w:rsid w:val="00AE6AEC"/>
    <w:rsid w:val="00AE7FD0"/>
    <w:rsid w:val="00AF152E"/>
    <w:rsid w:val="00AF3C95"/>
    <w:rsid w:val="00AF4C06"/>
    <w:rsid w:val="00AF5018"/>
    <w:rsid w:val="00AF662F"/>
    <w:rsid w:val="00AF7AD8"/>
    <w:rsid w:val="00B00F92"/>
    <w:rsid w:val="00B0368C"/>
    <w:rsid w:val="00B063E6"/>
    <w:rsid w:val="00B21DEA"/>
    <w:rsid w:val="00B2779D"/>
    <w:rsid w:val="00B30DE3"/>
    <w:rsid w:val="00B32661"/>
    <w:rsid w:val="00B34349"/>
    <w:rsid w:val="00B35216"/>
    <w:rsid w:val="00B36479"/>
    <w:rsid w:val="00B43452"/>
    <w:rsid w:val="00B44A4F"/>
    <w:rsid w:val="00B44A97"/>
    <w:rsid w:val="00B506F0"/>
    <w:rsid w:val="00B5085F"/>
    <w:rsid w:val="00B52539"/>
    <w:rsid w:val="00B53D7C"/>
    <w:rsid w:val="00B57328"/>
    <w:rsid w:val="00B57C7B"/>
    <w:rsid w:val="00B607FB"/>
    <w:rsid w:val="00B61AE1"/>
    <w:rsid w:val="00B61B73"/>
    <w:rsid w:val="00B63C24"/>
    <w:rsid w:val="00B66108"/>
    <w:rsid w:val="00B73D03"/>
    <w:rsid w:val="00B86577"/>
    <w:rsid w:val="00B87FF0"/>
    <w:rsid w:val="00B9203B"/>
    <w:rsid w:val="00B93D79"/>
    <w:rsid w:val="00B960FC"/>
    <w:rsid w:val="00B97423"/>
    <w:rsid w:val="00BA384C"/>
    <w:rsid w:val="00BA5196"/>
    <w:rsid w:val="00BA5507"/>
    <w:rsid w:val="00BA615D"/>
    <w:rsid w:val="00BA6D4E"/>
    <w:rsid w:val="00BB0942"/>
    <w:rsid w:val="00BB249D"/>
    <w:rsid w:val="00BC4975"/>
    <w:rsid w:val="00BC59AB"/>
    <w:rsid w:val="00BC608C"/>
    <w:rsid w:val="00BE3BA2"/>
    <w:rsid w:val="00BF5018"/>
    <w:rsid w:val="00BF7185"/>
    <w:rsid w:val="00BF76A1"/>
    <w:rsid w:val="00C00E02"/>
    <w:rsid w:val="00C03694"/>
    <w:rsid w:val="00C039CC"/>
    <w:rsid w:val="00C07D90"/>
    <w:rsid w:val="00C11E0D"/>
    <w:rsid w:val="00C121BC"/>
    <w:rsid w:val="00C147D2"/>
    <w:rsid w:val="00C17A0C"/>
    <w:rsid w:val="00C20236"/>
    <w:rsid w:val="00C23F94"/>
    <w:rsid w:val="00C256CD"/>
    <w:rsid w:val="00C3365F"/>
    <w:rsid w:val="00C34C14"/>
    <w:rsid w:val="00C37C57"/>
    <w:rsid w:val="00C42061"/>
    <w:rsid w:val="00C423DF"/>
    <w:rsid w:val="00C511A0"/>
    <w:rsid w:val="00C51425"/>
    <w:rsid w:val="00C51D45"/>
    <w:rsid w:val="00C556DD"/>
    <w:rsid w:val="00C56681"/>
    <w:rsid w:val="00C567C2"/>
    <w:rsid w:val="00C718E4"/>
    <w:rsid w:val="00C741A4"/>
    <w:rsid w:val="00C83A02"/>
    <w:rsid w:val="00C8789B"/>
    <w:rsid w:val="00C96970"/>
    <w:rsid w:val="00CA5B49"/>
    <w:rsid w:val="00CA6BDB"/>
    <w:rsid w:val="00CA736E"/>
    <w:rsid w:val="00CB06D1"/>
    <w:rsid w:val="00CB08BA"/>
    <w:rsid w:val="00CB3642"/>
    <w:rsid w:val="00CC0379"/>
    <w:rsid w:val="00CC67B0"/>
    <w:rsid w:val="00CD3D26"/>
    <w:rsid w:val="00CD48D2"/>
    <w:rsid w:val="00CD5CAA"/>
    <w:rsid w:val="00CD5E82"/>
    <w:rsid w:val="00CD67A6"/>
    <w:rsid w:val="00CE1E22"/>
    <w:rsid w:val="00CE3DAF"/>
    <w:rsid w:val="00CE586A"/>
    <w:rsid w:val="00CE7903"/>
    <w:rsid w:val="00CF00C4"/>
    <w:rsid w:val="00CF3695"/>
    <w:rsid w:val="00D0037F"/>
    <w:rsid w:val="00D0286B"/>
    <w:rsid w:val="00D07FEC"/>
    <w:rsid w:val="00D1027C"/>
    <w:rsid w:val="00D14AEE"/>
    <w:rsid w:val="00D21ED9"/>
    <w:rsid w:val="00D21F86"/>
    <w:rsid w:val="00D24BAA"/>
    <w:rsid w:val="00D2536C"/>
    <w:rsid w:val="00D25F3F"/>
    <w:rsid w:val="00D26F41"/>
    <w:rsid w:val="00D30C65"/>
    <w:rsid w:val="00D332E6"/>
    <w:rsid w:val="00D3630A"/>
    <w:rsid w:val="00D41FC8"/>
    <w:rsid w:val="00D43C43"/>
    <w:rsid w:val="00D44BE2"/>
    <w:rsid w:val="00D66E7F"/>
    <w:rsid w:val="00D67CBD"/>
    <w:rsid w:val="00D732FC"/>
    <w:rsid w:val="00D80623"/>
    <w:rsid w:val="00D84629"/>
    <w:rsid w:val="00D97A50"/>
    <w:rsid w:val="00DA19B4"/>
    <w:rsid w:val="00DA53E0"/>
    <w:rsid w:val="00DB2052"/>
    <w:rsid w:val="00DB237E"/>
    <w:rsid w:val="00DB58E7"/>
    <w:rsid w:val="00DC0AB0"/>
    <w:rsid w:val="00DC0B7D"/>
    <w:rsid w:val="00DC221F"/>
    <w:rsid w:val="00DC3500"/>
    <w:rsid w:val="00DC7514"/>
    <w:rsid w:val="00DD3C5F"/>
    <w:rsid w:val="00DD405B"/>
    <w:rsid w:val="00DD539C"/>
    <w:rsid w:val="00DD5DB7"/>
    <w:rsid w:val="00DE03D2"/>
    <w:rsid w:val="00DE0CCD"/>
    <w:rsid w:val="00DE226B"/>
    <w:rsid w:val="00DF08E9"/>
    <w:rsid w:val="00E017EA"/>
    <w:rsid w:val="00E0349B"/>
    <w:rsid w:val="00E0377A"/>
    <w:rsid w:val="00E05325"/>
    <w:rsid w:val="00E05C18"/>
    <w:rsid w:val="00E12F7B"/>
    <w:rsid w:val="00E1327A"/>
    <w:rsid w:val="00E14B17"/>
    <w:rsid w:val="00E167C9"/>
    <w:rsid w:val="00E168F6"/>
    <w:rsid w:val="00E24745"/>
    <w:rsid w:val="00E2542D"/>
    <w:rsid w:val="00E26910"/>
    <w:rsid w:val="00E32639"/>
    <w:rsid w:val="00E3351B"/>
    <w:rsid w:val="00E36801"/>
    <w:rsid w:val="00E3732E"/>
    <w:rsid w:val="00E420F4"/>
    <w:rsid w:val="00E45966"/>
    <w:rsid w:val="00E45C2B"/>
    <w:rsid w:val="00E47941"/>
    <w:rsid w:val="00E508C3"/>
    <w:rsid w:val="00E526E7"/>
    <w:rsid w:val="00E61616"/>
    <w:rsid w:val="00E639DC"/>
    <w:rsid w:val="00E644F9"/>
    <w:rsid w:val="00E709BF"/>
    <w:rsid w:val="00E73DDB"/>
    <w:rsid w:val="00E77CF3"/>
    <w:rsid w:val="00E801C0"/>
    <w:rsid w:val="00E8195E"/>
    <w:rsid w:val="00E81EF7"/>
    <w:rsid w:val="00E81F78"/>
    <w:rsid w:val="00E905D3"/>
    <w:rsid w:val="00E9152D"/>
    <w:rsid w:val="00E915E4"/>
    <w:rsid w:val="00E9439F"/>
    <w:rsid w:val="00E97822"/>
    <w:rsid w:val="00EA4EB3"/>
    <w:rsid w:val="00EB011D"/>
    <w:rsid w:val="00EB67FA"/>
    <w:rsid w:val="00EC3299"/>
    <w:rsid w:val="00EC53D4"/>
    <w:rsid w:val="00EC5F84"/>
    <w:rsid w:val="00EE0A25"/>
    <w:rsid w:val="00EE14E3"/>
    <w:rsid w:val="00EF051F"/>
    <w:rsid w:val="00EF128C"/>
    <w:rsid w:val="00EF4B5E"/>
    <w:rsid w:val="00EF59E0"/>
    <w:rsid w:val="00F00C7A"/>
    <w:rsid w:val="00F01BA1"/>
    <w:rsid w:val="00F03358"/>
    <w:rsid w:val="00F06E19"/>
    <w:rsid w:val="00F07B8B"/>
    <w:rsid w:val="00F11AAB"/>
    <w:rsid w:val="00F12764"/>
    <w:rsid w:val="00F160E0"/>
    <w:rsid w:val="00F20DC2"/>
    <w:rsid w:val="00F26369"/>
    <w:rsid w:val="00F33E6A"/>
    <w:rsid w:val="00F36069"/>
    <w:rsid w:val="00F40A58"/>
    <w:rsid w:val="00F4624F"/>
    <w:rsid w:val="00F51732"/>
    <w:rsid w:val="00F57FB7"/>
    <w:rsid w:val="00F702FD"/>
    <w:rsid w:val="00F808AC"/>
    <w:rsid w:val="00F87113"/>
    <w:rsid w:val="00F87921"/>
    <w:rsid w:val="00F92D6A"/>
    <w:rsid w:val="00F9302B"/>
    <w:rsid w:val="00F95DC3"/>
    <w:rsid w:val="00F97BDC"/>
    <w:rsid w:val="00FA075B"/>
    <w:rsid w:val="00FA4230"/>
    <w:rsid w:val="00FA4980"/>
    <w:rsid w:val="00FA76CA"/>
    <w:rsid w:val="00FB1DFE"/>
    <w:rsid w:val="00FB5A95"/>
    <w:rsid w:val="00FC751D"/>
    <w:rsid w:val="00FD2851"/>
    <w:rsid w:val="00FD2D8D"/>
    <w:rsid w:val="00FD3392"/>
    <w:rsid w:val="00FD5C66"/>
    <w:rsid w:val="00FE2DD3"/>
    <w:rsid w:val="00FE453C"/>
    <w:rsid w:val="00FE4DB9"/>
    <w:rsid w:val="00FE5D56"/>
    <w:rsid w:val="00FE72F4"/>
    <w:rsid w:val="00FE7C5F"/>
    <w:rsid w:val="00FF18BC"/>
    <w:rsid w:val="00FF2ECF"/>
    <w:rsid w:val="00FF2F3C"/>
    <w:rsid w:val="00FF451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3A66C1"/>
  <w15:chartTrackingRefBased/>
  <w15:docId w15:val="{D040E4BD-CA62-4B52-944A-7C6341A96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293"/>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next w:val="Normal"/>
    <w:link w:val="Heading1Char"/>
    <w:uiPriority w:val="9"/>
    <w:qFormat/>
    <w:rsid w:val="00BA51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A51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A519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A519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A519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A519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519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519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519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19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A519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A519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A519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A519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A51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51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51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5196"/>
    <w:rPr>
      <w:rFonts w:eastAsiaTheme="majorEastAsia" w:cstheme="majorBidi"/>
      <w:color w:val="272727" w:themeColor="text1" w:themeTint="D8"/>
    </w:rPr>
  </w:style>
  <w:style w:type="paragraph" w:styleId="Title">
    <w:name w:val="Title"/>
    <w:basedOn w:val="Normal"/>
    <w:next w:val="Normal"/>
    <w:link w:val="TitleChar"/>
    <w:uiPriority w:val="10"/>
    <w:qFormat/>
    <w:rsid w:val="00BA519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51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51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51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5196"/>
    <w:pPr>
      <w:spacing w:before="160"/>
      <w:jc w:val="center"/>
    </w:pPr>
    <w:rPr>
      <w:i/>
      <w:iCs/>
      <w:color w:val="404040" w:themeColor="text1" w:themeTint="BF"/>
    </w:rPr>
  </w:style>
  <w:style w:type="character" w:customStyle="1" w:styleId="QuoteChar">
    <w:name w:val="Quote Char"/>
    <w:basedOn w:val="DefaultParagraphFont"/>
    <w:link w:val="Quote"/>
    <w:uiPriority w:val="29"/>
    <w:rsid w:val="00BA5196"/>
    <w:rPr>
      <w:i/>
      <w:iCs/>
      <w:color w:val="404040" w:themeColor="text1" w:themeTint="BF"/>
    </w:rPr>
  </w:style>
  <w:style w:type="paragraph" w:styleId="ListParagraph">
    <w:name w:val="List Paragraph"/>
    <w:basedOn w:val="Normal"/>
    <w:uiPriority w:val="34"/>
    <w:qFormat/>
    <w:rsid w:val="00BA5196"/>
    <w:pPr>
      <w:ind w:left="720"/>
      <w:contextualSpacing/>
    </w:pPr>
  </w:style>
  <w:style w:type="character" w:styleId="IntenseEmphasis">
    <w:name w:val="Intense Emphasis"/>
    <w:basedOn w:val="DefaultParagraphFont"/>
    <w:uiPriority w:val="21"/>
    <w:qFormat/>
    <w:rsid w:val="00BA5196"/>
    <w:rPr>
      <w:i/>
      <w:iCs/>
      <w:color w:val="2F5496" w:themeColor="accent1" w:themeShade="BF"/>
    </w:rPr>
  </w:style>
  <w:style w:type="paragraph" w:styleId="IntenseQuote">
    <w:name w:val="Intense Quote"/>
    <w:basedOn w:val="Normal"/>
    <w:next w:val="Normal"/>
    <w:link w:val="IntenseQuoteChar"/>
    <w:uiPriority w:val="30"/>
    <w:qFormat/>
    <w:rsid w:val="00BA51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A5196"/>
    <w:rPr>
      <w:i/>
      <w:iCs/>
      <w:color w:val="2F5496" w:themeColor="accent1" w:themeShade="BF"/>
    </w:rPr>
  </w:style>
  <w:style w:type="character" w:styleId="IntenseReference">
    <w:name w:val="Intense Reference"/>
    <w:basedOn w:val="DefaultParagraphFont"/>
    <w:uiPriority w:val="32"/>
    <w:qFormat/>
    <w:rsid w:val="00BA5196"/>
    <w:rPr>
      <w:b/>
      <w:bCs/>
      <w:smallCaps/>
      <w:color w:val="2F5496" w:themeColor="accent1" w:themeShade="BF"/>
      <w:spacing w:val="5"/>
    </w:rPr>
  </w:style>
  <w:style w:type="paragraph" w:styleId="BodyText">
    <w:name w:val="Body Text"/>
    <w:basedOn w:val="Normal"/>
    <w:link w:val="BodyTextChar"/>
    <w:uiPriority w:val="1"/>
    <w:qFormat/>
    <w:rsid w:val="004C5C1A"/>
    <w:rPr>
      <w:sz w:val="24"/>
      <w:szCs w:val="24"/>
    </w:rPr>
  </w:style>
  <w:style w:type="character" w:customStyle="1" w:styleId="BodyTextChar">
    <w:name w:val="Body Text Char"/>
    <w:basedOn w:val="DefaultParagraphFont"/>
    <w:link w:val="BodyText"/>
    <w:uiPriority w:val="1"/>
    <w:rsid w:val="004C5C1A"/>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4C5C1A"/>
    <w:pPr>
      <w:ind w:left="10"/>
    </w:pPr>
  </w:style>
  <w:style w:type="table" w:styleId="TableGrid">
    <w:name w:val="Table Grid"/>
    <w:basedOn w:val="TableNormal"/>
    <w:uiPriority w:val="39"/>
    <w:rsid w:val="004C5C1A"/>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C1A"/>
    <w:rPr>
      <w:color w:val="0563C1" w:themeColor="hyperlink"/>
      <w:u w:val="single"/>
    </w:rPr>
  </w:style>
  <w:style w:type="character" w:styleId="UnresolvedMention">
    <w:name w:val="Unresolved Mention"/>
    <w:basedOn w:val="DefaultParagraphFont"/>
    <w:uiPriority w:val="99"/>
    <w:semiHidden/>
    <w:unhideWhenUsed/>
    <w:rsid w:val="004C5C1A"/>
    <w:rPr>
      <w:color w:val="605E5C"/>
      <w:shd w:val="clear" w:color="auto" w:fill="E1DFDD"/>
    </w:rPr>
  </w:style>
  <w:style w:type="character" w:styleId="FollowedHyperlink">
    <w:name w:val="FollowedHyperlink"/>
    <w:basedOn w:val="DefaultParagraphFont"/>
    <w:uiPriority w:val="99"/>
    <w:semiHidden/>
    <w:unhideWhenUsed/>
    <w:rsid w:val="004C5C1A"/>
    <w:rPr>
      <w:color w:val="954F72" w:themeColor="followedHyperlink"/>
      <w:u w:val="single"/>
    </w:rPr>
  </w:style>
  <w:style w:type="paragraph" w:styleId="Header">
    <w:name w:val="header"/>
    <w:basedOn w:val="Normal"/>
    <w:link w:val="HeaderChar"/>
    <w:uiPriority w:val="99"/>
    <w:unhideWhenUsed/>
    <w:rsid w:val="004C5C1A"/>
    <w:pPr>
      <w:tabs>
        <w:tab w:val="center" w:pos="4513"/>
        <w:tab w:val="right" w:pos="9026"/>
      </w:tabs>
    </w:pPr>
  </w:style>
  <w:style w:type="character" w:customStyle="1" w:styleId="HeaderChar">
    <w:name w:val="Header Char"/>
    <w:basedOn w:val="DefaultParagraphFont"/>
    <w:link w:val="Header"/>
    <w:uiPriority w:val="99"/>
    <w:rsid w:val="004C5C1A"/>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4C5C1A"/>
    <w:pPr>
      <w:tabs>
        <w:tab w:val="center" w:pos="4513"/>
        <w:tab w:val="right" w:pos="9026"/>
      </w:tabs>
    </w:pPr>
  </w:style>
  <w:style w:type="character" w:customStyle="1" w:styleId="FooterChar">
    <w:name w:val="Footer Char"/>
    <w:basedOn w:val="DefaultParagraphFont"/>
    <w:link w:val="Footer"/>
    <w:uiPriority w:val="99"/>
    <w:rsid w:val="004C5C1A"/>
    <w:rPr>
      <w:rFonts w:ascii="Times New Roman" w:eastAsia="Times New Roman" w:hAnsi="Times New Roman" w:cs="Times New Roman"/>
      <w:kern w:val="0"/>
      <w:lang w:val="en-US"/>
      <w14:ligatures w14:val="none"/>
    </w:rPr>
  </w:style>
  <w:style w:type="paragraph" w:styleId="NormalWeb">
    <w:name w:val="Normal (Web)"/>
    <w:basedOn w:val="Normal"/>
    <w:uiPriority w:val="99"/>
    <w:unhideWhenUsed/>
    <w:rsid w:val="004571E0"/>
    <w:pPr>
      <w:widowControl/>
      <w:autoSpaceDE/>
      <w:autoSpaceDN/>
      <w:spacing w:after="160" w:line="259" w:lineRule="auto"/>
    </w:pPr>
    <w:rPr>
      <w:rFonts w:eastAsiaTheme="minorHAnsi"/>
      <w:kern w:val="2"/>
      <w:sz w:val="24"/>
      <w:szCs w:val="24"/>
      <w:lang w:val="en-IN"/>
      <w14:ligatures w14:val="standardContextual"/>
    </w:rPr>
  </w:style>
  <w:style w:type="paragraph" w:styleId="Caption">
    <w:name w:val="caption"/>
    <w:basedOn w:val="Normal"/>
    <w:next w:val="Normal"/>
    <w:uiPriority w:val="35"/>
    <w:unhideWhenUsed/>
    <w:qFormat/>
    <w:rsid w:val="004571E0"/>
    <w:pPr>
      <w:widowControl/>
      <w:autoSpaceDE/>
      <w:autoSpaceDN/>
      <w:spacing w:after="200"/>
    </w:pPr>
    <w:rPr>
      <w:rFonts w:asciiTheme="minorHAnsi" w:eastAsiaTheme="minorHAnsi" w:hAnsiTheme="minorHAnsi" w:cstheme="minorBidi"/>
      <w:i/>
      <w:iCs/>
      <w:color w:val="44546A" w:themeColor="text2"/>
      <w:kern w:val="2"/>
      <w:sz w:val="18"/>
      <w:szCs w:val="18"/>
      <w:lang w:val="en-IN"/>
      <w14:ligatures w14:val="standardContextual"/>
    </w:rPr>
  </w:style>
  <w:style w:type="paragraph" w:styleId="Bibliography">
    <w:name w:val="Bibliography"/>
    <w:basedOn w:val="Normal"/>
    <w:next w:val="Normal"/>
    <w:uiPriority w:val="37"/>
    <w:unhideWhenUsed/>
    <w:rsid w:val="00E1327A"/>
  </w:style>
  <w:style w:type="table" w:styleId="TableGridLight">
    <w:name w:val="Grid Table Light"/>
    <w:basedOn w:val="TableNormal"/>
    <w:uiPriority w:val="40"/>
    <w:rsid w:val="007235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87776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2">
    <w:name w:val="Plain Table 2"/>
    <w:basedOn w:val="TableNormal"/>
    <w:uiPriority w:val="42"/>
    <w:rsid w:val="00AD2A8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924045">
      <w:bodyDiv w:val="1"/>
      <w:marLeft w:val="0"/>
      <w:marRight w:val="0"/>
      <w:marTop w:val="0"/>
      <w:marBottom w:val="0"/>
      <w:divBdr>
        <w:top w:val="none" w:sz="0" w:space="0" w:color="auto"/>
        <w:left w:val="none" w:sz="0" w:space="0" w:color="auto"/>
        <w:bottom w:val="none" w:sz="0" w:space="0" w:color="auto"/>
        <w:right w:val="none" w:sz="0" w:space="0" w:color="auto"/>
      </w:divBdr>
    </w:div>
    <w:div w:id="469632481">
      <w:bodyDiv w:val="1"/>
      <w:marLeft w:val="0"/>
      <w:marRight w:val="0"/>
      <w:marTop w:val="0"/>
      <w:marBottom w:val="0"/>
      <w:divBdr>
        <w:top w:val="none" w:sz="0" w:space="0" w:color="auto"/>
        <w:left w:val="none" w:sz="0" w:space="0" w:color="auto"/>
        <w:bottom w:val="none" w:sz="0" w:space="0" w:color="auto"/>
        <w:right w:val="none" w:sz="0" w:space="0" w:color="auto"/>
      </w:divBdr>
      <w:divsChild>
        <w:div w:id="1947273417">
          <w:marLeft w:val="0"/>
          <w:marRight w:val="0"/>
          <w:marTop w:val="0"/>
          <w:marBottom w:val="0"/>
          <w:divBdr>
            <w:top w:val="none" w:sz="0" w:space="0" w:color="auto"/>
            <w:left w:val="none" w:sz="0" w:space="0" w:color="auto"/>
            <w:bottom w:val="none" w:sz="0" w:space="0" w:color="auto"/>
            <w:right w:val="none" w:sz="0" w:space="0" w:color="auto"/>
          </w:divBdr>
          <w:divsChild>
            <w:div w:id="2100566578">
              <w:marLeft w:val="0"/>
              <w:marRight w:val="0"/>
              <w:marTop w:val="0"/>
              <w:marBottom w:val="0"/>
              <w:divBdr>
                <w:top w:val="none" w:sz="0" w:space="0" w:color="auto"/>
                <w:left w:val="none" w:sz="0" w:space="0" w:color="auto"/>
                <w:bottom w:val="none" w:sz="0" w:space="0" w:color="auto"/>
                <w:right w:val="none" w:sz="0" w:space="0" w:color="auto"/>
              </w:divBdr>
              <w:divsChild>
                <w:div w:id="1145664483">
                  <w:marLeft w:val="0"/>
                  <w:marRight w:val="0"/>
                  <w:marTop w:val="0"/>
                  <w:marBottom w:val="0"/>
                  <w:divBdr>
                    <w:top w:val="none" w:sz="0" w:space="0" w:color="auto"/>
                    <w:left w:val="none" w:sz="0" w:space="0" w:color="auto"/>
                    <w:bottom w:val="none" w:sz="0" w:space="0" w:color="auto"/>
                    <w:right w:val="none" w:sz="0" w:space="0" w:color="auto"/>
                  </w:divBdr>
                  <w:divsChild>
                    <w:div w:id="422067159">
                      <w:marLeft w:val="0"/>
                      <w:marRight w:val="0"/>
                      <w:marTop w:val="0"/>
                      <w:marBottom w:val="0"/>
                      <w:divBdr>
                        <w:top w:val="none" w:sz="0" w:space="0" w:color="auto"/>
                        <w:left w:val="none" w:sz="0" w:space="0" w:color="auto"/>
                        <w:bottom w:val="none" w:sz="0" w:space="0" w:color="auto"/>
                        <w:right w:val="none" w:sz="0" w:space="0" w:color="auto"/>
                      </w:divBdr>
                      <w:divsChild>
                        <w:div w:id="856430745">
                          <w:marLeft w:val="0"/>
                          <w:marRight w:val="0"/>
                          <w:marTop w:val="0"/>
                          <w:marBottom w:val="0"/>
                          <w:divBdr>
                            <w:top w:val="none" w:sz="0" w:space="0" w:color="auto"/>
                            <w:left w:val="none" w:sz="0" w:space="0" w:color="auto"/>
                            <w:bottom w:val="none" w:sz="0" w:space="0" w:color="auto"/>
                            <w:right w:val="none" w:sz="0" w:space="0" w:color="auto"/>
                          </w:divBdr>
                          <w:divsChild>
                            <w:div w:id="1787650900">
                              <w:marLeft w:val="0"/>
                              <w:marRight w:val="0"/>
                              <w:marTop w:val="0"/>
                              <w:marBottom w:val="0"/>
                              <w:divBdr>
                                <w:top w:val="none" w:sz="0" w:space="0" w:color="auto"/>
                                <w:left w:val="none" w:sz="0" w:space="0" w:color="auto"/>
                                <w:bottom w:val="none" w:sz="0" w:space="0" w:color="auto"/>
                                <w:right w:val="none" w:sz="0" w:space="0" w:color="auto"/>
                              </w:divBdr>
                              <w:divsChild>
                                <w:div w:id="1387145328">
                                  <w:marLeft w:val="0"/>
                                  <w:marRight w:val="0"/>
                                  <w:marTop w:val="0"/>
                                  <w:marBottom w:val="0"/>
                                  <w:divBdr>
                                    <w:top w:val="none" w:sz="0" w:space="0" w:color="auto"/>
                                    <w:left w:val="none" w:sz="0" w:space="0" w:color="auto"/>
                                    <w:bottom w:val="none" w:sz="0" w:space="0" w:color="auto"/>
                                    <w:right w:val="none" w:sz="0" w:space="0" w:color="auto"/>
                                  </w:divBdr>
                                  <w:divsChild>
                                    <w:div w:id="153218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08917">
                          <w:marLeft w:val="0"/>
                          <w:marRight w:val="0"/>
                          <w:marTop w:val="0"/>
                          <w:marBottom w:val="0"/>
                          <w:divBdr>
                            <w:top w:val="none" w:sz="0" w:space="0" w:color="auto"/>
                            <w:left w:val="none" w:sz="0" w:space="0" w:color="auto"/>
                            <w:bottom w:val="none" w:sz="0" w:space="0" w:color="auto"/>
                            <w:right w:val="none" w:sz="0" w:space="0" w:color="auto"/>
                          </w:divBdr>
                          <w:divsChild>
                            <w:div w:id="589391272">
                              <w:marLeft w:val="0"/>
                              <w:marRight w:val="0"/>
                              <w:marTop w:val="0"/>
                              <w:marBottom w:val="0"/>
                              <w:divBdr>
                                <w:top w:val="none" w:sz="0" w:space="0" w:color="auto"/>
                                <w:left w:val="none" w:sz="0" w:space="0" w:color="auto"/>
                                <w:bottom w:val="none" w:sz="0" w:space="0" w:color="auto"/>
                                <w:right w:val="none" w:sz="0" w:space="0" w:color="auto"/>
                              </w:divBdr>
                              <w:divsChild>
                                <w:div w:id="59810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543157">
      <w:bodyDiv w:val="1"/>
      <w:marLeft w:val="0"/>
      <w:marRight w:val="0"/>
      <w:marTop w:val="0"/>
      <w:marBottom w:val="0"/>
      <w:divBdr>
        <w:top w:val="none" w:sz="0" w:space="0" w:color="auto"/>
        <w:left w:val="none" w:sz="0" w:space="0" w:color="auto"/>
        <w:bottom w:val="none" w:sz="0" w:space="0" w:color="auto"/>
        <w:right w:val="none" w:sz="0" w:space="0" w:color="auto"/>
      </w:divBdr>
    </w:div>
    <w:div w:id="853350069">
      <w:bodyDiv w:val="1"/>
      <w:marLeft w:val="0"/>
      <w:marRight w:val="0"/>
      <w:marTop w:val="0"/>
      <w:marBottom w:val="0"/>
      <w:divBdr>
        <w:top w:val="none" w:sz="0" w:space="0" w:color="auto"/>
        <w:left w:val="none" w:sz="0" w:space="0" w:color="auto"/>
        <w:bottom w:val="none" w:sz="0" w:space="0" w:color="auto"/>
        <w:right w:val="none" w:sz="0" w:space="0" w:color="auto"/>
      </w:divBdr>
    </w:div>
    <w:div w:id="894511651">
      <w:bodyDiv w:val="1"/>
      <w:marLeft w:val="0"/>
      <w:marRight w:val="0"/>
      <w:marTop w:val="0"/>
      <w:marBottom w:val="0"/>
      <w:divBdr>
        <w:top w:val="none" w:sz="0" w:space="0" w:color="auto"/>
        <w:left w:val="none" w:sz="0" w:space="0" w:color="auto"/>
        <w:bottom w:val="none" w:sz="0" w:space="0" w:color="auto"/>
        <w:right w:val="none" w:sz="0" w:space="0" w:color="auto"/>
      </w:divBdr>
    </w:div>
    <w:div w:id="1127041070">
      <w:bodyDiv w:val="1"/>
      <w:marLeft w:val="0"/>
      <w:marRight w:val="0"/>
      <w:marTop w:val="0"/>
      <w:marBottom w:val="0"/>
      <w:divBdr>
        <w:top w:val="none" w:sz="0" w:space="0" w:color="auto"/>
        <w:left w:val="none" w:sz="0" w:space="0" w:color="auto"/>
        <w:bottom w:val="none" w:sz="0" w:space="0" w:color="auto"/>
        <w:right w:val="none" w:sz="0" w:space="0" w:color="auto"/>
      </w:divBdr>
    </w:div>
    <w:div w:id="1592619767">
      <w:bodyDiv w:val="1"/>
      <w:marLeft w:val="0"/>
      <w:marRight w:val="0"/>
      <w:marTop w:val="0"/>
      <w:marBottom w:val="0"/>
      <w:divBdr>
        <w:top w:val="none" w:sz="0" w:space="0" w:color="auto"/>
        <w:left w:val="none" w:sz="0" w:space="0" w:color="auto"/>
        <w:bottom w:val="none" w:sz="0" w:space="0" w:color="auto"/>
        <w:right w:val="none" w:sz="0" w:space="0" w:color="auto"/>
      </w:divBdr>
    </w:div>
    <w:div w:id="1749687797">
      <w:bodyDiv w:val="1"/>
      <w:marLeft w:val="0"/>
      <w:marRight w:val="0"/>
      <w:marTop w:val="0"/>
      <w:marBottom w:val="0"/>
      <w:divBdr>
        <w:top w:val="none" w:sz="0" w:space="0" w:color="auto"/>
        <w:left w:val="none" w:sz="0" w:space="0" w:color="auto"/>
        <w:bottom w:val="none" w:sz="0" w:space="0" w:color="auto"/>
        <w:right w:val="none" w:sz="0" w:space="0" w:color="auto"/>
      </w:divBdr>
      <w:divsChild>
        <w:div w:id="1256131794">
          <w:marLeft w:val="0"/>
          <w:marRight w:val="0"/>
          <w:marTop w:val="0"/>
          <w:marBottom w:val="0"/>
          <w:divBdr>
            <w:top w:val="none" w:sz="0" w:space="0" w:color="auto"/>
            <w:left w:val="none" w:sz="0" w:space="0" w:color="auto"/>
            <w:bottom w:val="none" w:sz="0" w:space="0" w:color="auto"/>
            <w:right w:val="none" w:sz="0" w:space="0" w:color="auto"/>
          </w:divBdr>
          <w:divsChild>
            <w:div w:id="2042584850">
              <w:marLeft w:val="0"/>
              <w:marRight w:val="0"/>
              <w:marTop w:val="0"/>
              <w:marBottom w:val="0"/>
              <w:divBdr>
                <w:top w:val="none" w:sz="0" w:space="0" w:color="auto"/>
                <w:left w:val="none" w:sz="0" w:space="0" w:color="auto"/>
                <w:bottom w:val="none" w:sz="0" w:space="0" w:color="auto"/>
                <w:right w:val="none" w:sz="0" w:space="0" w:color="auto"/>
              </w:divBdr>
              <w:divsChild>
                <w:div w:id="1837838940">
                  <w:marLeft w:val="0"/>
                  <w:marRight w:val="0"/>
                  <w:marTop w:val="0"/>
                  <w:marBottom w:val="0"/>
                  <w:divBdr>
                    <w:top w:val="none" w:sz="0" w:space="0" w:color="auto"/>
                    <w:left w:val="none" w:sz="0" w:space="0" w:color="auto"/>
                    <w:bottom w:val="none" w:sz="0" w:space="0" w:color="auto"/>
                    <w:right w:val="none" w:sz="0" w:space="0" w:color="auto"/>
                  </w:divBdr>
                  <w:divsChild>
                    <w:div w:id="358630488">
                      <w:marLeft w:val="0"/>
                      <w:marRight w:val="0"/>
                      <w:marTop w:val="0"/>
                      <w:marBottom w:val="0"/>
                      <w:divBdr>
                        <w:top w:val="none" w:sz="0" w:space="0" w:color="auto"/>
                        <w:left w:val="none" w:sz="0" w:space="0" w:color="auto"/>
                        <w:bottom w:val="none" w:sz="0" w:space="0" w:color="auto"/>
                        <w:right w:val="none" w:sz="0" w:space="0" w:color="auto"/>
                      </w:divBdr>
                      <w:divsChild>
                        <w:div w:id="636690564">
                          <w:marLeft w:val="0"/>
                          <w:marRight w:val="0"/>
                          <w:marTop w:val="0"/>
                          <w:marBottom w:val="0"/>
                          <w:divBdr>
                            <w:top w:val="none" w:sz="0" w:space="0" w:color="auto"/>
                            <w:left w:val="none" w:sz="0" w:space="0" w:color="auto"/>
                            <w:bottom w:val="none" w:sz="0" w:space="0" w:color="auto"/>
                            <w:right w:val="none" w:sz="0" w:space="0" w:color="auto"/>
                          </w:divBdr>
                          <w:divsChild>
                            <w:div w:id="112018674">
                              <w:marLeft w:val="0"/>
                              <w:marRight w:val="0"/>
                              <w:marTop w:val="0"/>
                              <w:marBottom w:val="0"/>
                              <w:divBdr>
                                <w:top w:val="none" w:sz="0" w:space="0" w:color="auto"/>
                                <w:left w:val="none" w:sz="0" w:space="0" w:color="auto"/>
                                <w:bottom w:val="none" w:sz="0" w:space="0" w:color="auto"/>
                                <w:right w:val="none" w:sz="0" w:space="0" w:color="auto"/>
                              </w:divBdr>
                              <w:divsChild>
                                <w:div w:id="1078745511">
                                  <w:marLeft w:val="0"/>
                                  <w:marRight w:val="0"/>
                                  <w:marTop w:val="0"/>
                                  <w:marBottom w:val="0"/>
                                  <w:divBdr>
                                    <w:top w:val="none" w:sz="0" w:space="0" w:color="auto"/>
                                    <w:left w:val="none" w:sz="0" w:space="0" w:color="auto"/>
                                    <w:bottom w:val="none" w:sz="0" w:space="0" w:color="auto"/>
                                    <w:right w:val="none" w:sz="0" w:space="0" w:color="auto"/>
                                  </w:divBdr>
                                  <w:divsChild>
                                    <w:div w:id="200219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5249">
                          <w:marLeft w:val="0"/>
                          <w:marRight w:val="0"/>
                          <w:marTop w:val="0"/>
                          <w:marBottom w:val="0"/>
                          <w:divBdr>
                            <w:top w:val="none" w:sz="0" w:space="0" w:color="auto"/>
                            <w:left w:val="none" w:sz="0" w:space="0" w:color="auto"/>
                            <w:bottom w:val="none" w:sz="0" w:space="0" w:color="auto"/>
                            <w:right w:val="none" w:sz="0" w:space="0" w:color="auto"/>
                          </w:divBdr>
                          <w:divsChild>
                            <w:div w:id="1062875490">
                              <w:marLeft w:val="0"/>
                              <w:marRight w:val="0"/>
                              <w:marTop w:val="0"/>
                              <w:marBottom w:val="0"/>
                              <w:divBdr>
                                <w:top w:val="none" w:sz="0" w:space="0" w:color="auto"/>
                                <w:left w:val="none" w:sz="0" w:space="0" w:color="auto"/>
                                <w:bottom w:val="none" w:sz="0" w:space="0" w:color="auto"/>
                                <w:right w:val="none" w:sz="0" w:space="0" w:color="auto"/>
                              </w:divBdr>
                              <w:divsChild>
                                <w:div w:id="179725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eader" Target="header3.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chart" Target="charts/chart6.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p\AppData\Local\Microsoft\Windows\INetCache\IE\400AWXV0\Rohit_1%5b1%5d.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0</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4.6741943715368911E-2"/>
                  <c:y val="3.96825396825397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0A-48D8-81F8-28B9A947DD33}"/>
                </c:ext>
              </c:extLst>
            </c:dLbl>
            <c:dLbl>
              <c:idx val="1"/>
              <c:layout>
                <c:manualLayout>
                  <c:x val="-4.2112314085739323E-2"/>
                  <c:y val="3.9682539682539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0A-48D8-81F8-28B9A947DD33}"/>
                </c:ext>
              </c:extLst>
            </c:dLbl>
            <c:dLbl>
              <c:idx val="2"/>
              <c:layout>
                <c:manualLayout>
                  <c:x val="-4.6741943715368994E-2"/>
                  <c:y val="3.17460317460317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0A-48D8-81F8-28B9A947DD33}"/>
                </c:ext>
              </c:extLst>
            </c:dLbl>
            <c:dLbl>
              <c:idx val="3"/>
              <c:layout>
                <c:manualLayout>
                  <c:x val="-4.2112314085739282E-2"/>
                  <c:y val="3.57142857142857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0A-48D8-81F8-28B9A947DD33}"/>
                </c:ext>
              </c:extLst>
            </c:dLbl>
            <c:dLbl>
              <c:idx val="4"/>
              <c:layout>
                <c:manualLayout>
                  <c:x val="-4.6741943715368911E-2"/>
                  <c:y val="4.36507936507936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0A-48D8-81F8-28B9A947DD3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Sheet1!$B$2:$B$6</c:f>
              <c:numCache>
                <c:formatCode>0.00%</c:formatCode>
                <c:ptCount val="5"/>
                <c:pt idx="0">
                  <c:v>1.35E-2</c:v>
                </c:pt>
                <c:pt idx="1">
                  <c:v>1.2800000000000001E-2</c:v>
                </c:pt>
                <c:pt idx="2">
                  <c:v>1.35E-2</c:v>
                </c:pt>
                <c:pt idx="3">
                  <c:v>1.6E-2</c:v>
                </c:pt>
                <c:pt idx="4">
                  <c:v>1.84E-2</c:v>
                </c:pt>
              </c:numCache>
            </c:numRef>
          </c:val>
          <c:smooth val="0"/>
          <c:extLst>
            <c:ext xmlns:c16="http://schemas.microsoft.com/office/drawing/2014/chart" uri="{C3380CC4-5D6E-409C-BE32-E72D297353CC}">
              <c16:uniqueId val="{00000005-6E0A-48D8-81F8-28B9A947DD33}"/>
            </c:ext>
          </c:extLst>
        </c:ser>
        <c:ser>
          <c:idx val="1"/>
          <c:order val="1"/>
          <c:tx>
            <c:strRef>
              <c:f>Sheet1!$C$1</c:f>
              <c:strCache>
                <c:ptCount val="1"/>
                <c:pt idx="0">
                  <c:v>0.50%</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Sheet1!$C$2:$C$6</c:f>
              <c:numCache>
                <c:formatCode>General</c:formatCode>
                <c:ptCount val="5"/>
              </c:numCache>
            </c:numRef>
          </c:val>
          <c:smooth val="0"/>
          <c:extLst>
            <c:ext xmlns:c16="http://schemas.microsoft.com/office/drawing/2014/chart" uri="{C3380CC4-5D6E-409C-BE32-E72D297353CC}">
              <c16:uniqueId val="{00000006-6E0A-48D8-81F8-28B9A947DD33}"/>
            </c:ext>
          </c:extLst>
        </c:ser>
        <c:ser>
          <c:idx val="2"/>
          <c:order val="2"/>
          <c:tx>
            <c:strRef>
              <c:f>Sheet1!$D$1</c:f>
              <c:strCache>
                <c:ptCount val="1"/>
                <c:pt idx="0">
                  <c:v>1%</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Sheet1!$D$2:$D$6</c:f>
              <c:numCache>
                <c:formatCode>General</c:formatCode>
                <c:ptCount val="5"/>
              </c:numCache>
            </c:numRef>
          </c:val>
          <c:smooth val="0"/>
          <c:extLst>
            <c:ext xmlns:c16="http://schemas.microsoft.com/office/drawing/2014/chart" uri="{C3380CC4-5D6E-409C-BE32-E72D297353CC}">
              <c16:uniqueId val="{00000007-6E0A-48D8-81F8-28B9A947DD33}"/>
            </c:ext>
          </c:extLst>
        </c:ser>
        <c:ser>
          <c:idx val="3"/>
          <c:order val="3"/>
          <c:tx>
            <c:strRef>
              <c:f>Sheet1!$E$1</c:f>
              <c:strCache>
                <c:ptCount val="1"/>
                <c:pt idx="0">
                  <c:v>1.50%</c:v>
                </c:pt>
              </c:strCache>
            </c:strRef>
          </c:tx>
          <c:spPr>
            <a:ln w="22225" cap="rnd">
              <a:solidFill>
                <a:schemeClr val="accent4"/>
              </a:solidFill>
              <a:round/>
            </a:ln>
            <a:effectLst/>
          </c:spPr>
          <c:marker>
            <c:symbol val="x"/>
            <c:size val="6"/>
            <c:spPr>
              <a:noFill/>
              <a:ln w="9525">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Sheet1!$E$2:$E$6</c:f>
              <c:numCache>
                <c:formatCode>General</c:formatCode>
                <c:ptCount val="5"/>
              </c:numCache>
            </c:numRef>
          </c:val>
          <c:smooth val="0"/>
          <c:extLst>
            <c:ext xmlns:c16="http://schemas.microsoft.com/office/drawing/2014/chart" uri="{C3380CC4-5D6E-409C-BE32-E72D297353CC}">
              <c16:uniqueId val="{00000008-6E0A-48D8-81F8-28B9A947DD33}"/>
            </c:ext>
          </c:extLst>
        </c:ser>
        <c:ser>
          <c:idx val="4"/>
          <c:order val="4"/>
          <c:tx>
            <c:strRef>
              <c:f>Sheet1!$F$1</c:f>
              <c:strCache>
                <c:ptCount val="1"/>
                <c:pt idx="0">
                  <c:v>2%</c:v>
                </c:pt>
              </c:strCache>
            </c:strRef>
          </c:tx>
          <c:spPr>
            <a:ln w="22225" cap="rnd">
              <a:solidFill>
                <a:schemeClr val="accent5"/>
              </a:solidFill>
              <a:round/>
            </a:ln>
            <a:effectLst/>
          </c:spPr>
          <c:marker>
            <c:symbol val="star"/>
            <c:size val="6"/>
            <c:spPr>
              <a:noFill/>
              <a:ln w="9525">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Sheet1!$F$2:$F$6</c:f>
              <c:numCache>
                <c:formatCode>General</c:formatCode>
                <c:ptCount val="5"/>
              </c:numCache>
            </c:numRef>
          </c:val>
          <c:smooth val="0"/>
          <c:extLst>
            <c:ext xmlns:c16="http://schemas.microsoft.com/office/drawing/2014/chart" uri="{C3380CC4-5D6E-409C-BE32-E72D297353CC}">
              <c16:uniqueId val="{00000009-6E0A-48D8-81F8-28B9A947DD33}"/>
            </c:ext>
          </c:extLst>
        </c:ser>
        <c:ser>
          <c:idx val="5"/>
          <c:order val="5"/>
          <c:tx>
            <c:strRef>
              <c:f>Sheet1!$G$1</c:f>
              <c:strCache>
                <c:ptCount val="1"/>
                <c:pt idx="0">
                  <c:v>2.50%</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Sheet1!$G$2:$G$6</c:f>
              <c:numCache>
                <c:formatCode>General</c:formatCode>
                <c:ptCount val="5"/>
              </c:numCache>
            </c:numRef>
          </c:val>
          <c:smooth val="0"/>
          <c:extLst>
            <c:ext xmlns:c16="http://schemas.microsoft.com/office/drawing/2014/chart" uri="{C3380CC4-5D6E-409C-BE32-E72D297353CC}">
              <c16:uniqueId val="{0000000A-6E0A-48D8-81F8-28B9A947DD33}"/>
            </c:ext>
          </c:extLst>
        </c:ser>
        <c:dLbls>
          <c:dLblPos val="ctr"/>
          <c:showLegendKey val="0"/>
          <c:showVal val="1"/>
          <c:showCatName val="0"/>
          <c:showSerName val="0"/>
          <c:showPercent val="0"/>
          <c:showBubbleSize val="0"/>
        </c:dLbls>
        <c:marker val="1"/>
        <c:smooth val="0"/>
        <c:axId val="118149055"/>
        <c:axId val="118146655"/>
      </c:lineChart>
      <c:catAx>
        <c:axId val="1181490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8146655"/>
        <c:crosses val="autoZero"/>
        <c:auto val="1"/>
        <c:lblAlgn val="ctr"/>
        <c:lblOffset val="100"/>
        <c:noMultiLvlLbl val="0"/>
      </c:catAx>
      <c:valAx>
        <c:axId val="118146655"/>
        <c:scaling>
          <c:orientation val="minMax"/>
        </c:scaling>
        <c:delete val="0"/>
        <c:axPos val="l"/>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81490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1990</c:v>
                </c:pt>
                <c:pt idx="1">
                  <c:v>2016</c:v>
                </c:pt>
              </c:numCache>
            </c:numRef>
          </c:cat>
          <c:val>
            <c:numRef>
              <c:f>Sheet1!$B$2:$B$3</c:f>
              <c:numCache>
                <c:formatCode>General</c:formatCode>
                <c:ptCount val="2"/>
                <c:pt idx="0">
                  <c:v>58.3</c:v>
                </c:pt>
                <c:pt idx="1">
                  <c:v>66.900000000000006</c:v>
                </c:pt>
              </c:numCache>
            </c:numRef>
          </c:val>
          <c:extLst>
            <c:ext xmlns:c16="http://schemas.microsoft.com/office/drawing/2014/chart" uri="{C3380CC4-5D6E-409C-BE32-E72D297353CC}">
              <c16:uniqueId val="{00000000-3DF0-4DA0-9AEC-A6DA527A88AA}"/>
            </c:ext>
          </c:extLst>
        </c:ser>
        <c:ser>
          <c:idx val="1"/>
          <c:order val="1"/>
          <c:tx>
            <c:strRef>
              <c:f>Sheet1!$C$1</c:f>
              <c:strCache>
                <c:ptCount val="1"/>
                <c:pt idx="0">
                  <c:v>Female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1990</c:v>
                </c:pt>
                <c:pt idx="1">
                  <c:v>2016</c:v>
                </c:pt>
              </c:numCache>
            </c:numRef>
          </c:cat>
          <c:val>
            <c:numRef>
              <c:f>Sheet1!$C$2:$C$3</c:f>
              <c:numCache>
                <c:formatCode>General</c:formatCode>
                <c:ptCount val="2"/>
                <c:pt idx="0">
                  <c:v>59.7</c:v>
                </c:pt>
                <c:pt idx="1">
                  <c:v>70.3</c:v>
                </c:pt>
              </c:numCache>
            </c:numRef>
          </c:val>
          <c:extLst>
            <c:ext xmlns:c16="http://schemas.microsoft.com/office/drawing/2014/chart" uri="{C3380CC4-5D6E-409C-BE32-E72D297353CC}">
              <c16:uniqueId val="{00000001-3DF0-4DA0-9AEC-A6DA527A88AA}"/>
            </c:ext>
          </c:extLst>
        </c:ser>
        <c:ser>
          <c:idx val="2"/>
          <c:order val="2"/>
          <c:tx>
            <c:strRef>
              <c:f>Sheet1!$D$1</c:f>
              <c:strCache>
                <c:ptCount val="1"/>
                <c:pt idx="0">
                  <c:v>Column1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1990</c:v>
                </c:pt>
                <c:pt idx="1">
                  <c:v>2016</c:v>
                </c:pt>
              </c:numCache>
            </c:numRef>
          </c:cat>
          <c:val>
            <c:numRef>
              <c:f>Sheet1!$D$2:$D$3</c:f>
              <c:numCache>
                <c:formatCode>General</c:formatCode>
                <c:ptCount val="2"/>
              </c:numCache>
            </c:numRef>
          </c:val>
          <c:extLst>
            <c:ext xmlns:c16="http://schemas.microsoft.com/office/drawing/2014/chart" uri="{C3380CC4-5D6E-409C-BE32-E72D297353CC}">
              <c16:uniqueId val="{00000002-3DF0-4DA0-9AEC-A6DA527A88AA}"/>
            </c:ext>
          </c:extLst>
        </c:ser>
        <c:dLbls>
          <c:dLblPos val="inEnd"/>
          <c:showLegendKey val="0"/>
          <c:showVal val="1"/>
          <c:showCatName val="0"/>
          <c:showSerName val="0"/>
          <c:showPercent val="0"/>
          <c:showBubbleSize val="0"/>
        </c:dLbls>
        <c:gapWidth val="115"/>
        <c:overlap val="-20"/>
        <c:axId val="1642753631"/>
        <c:axId val="1642739231"/>
      </c:barChart>
      <c:catAx>
        <c:axId val="1642753631"/>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42739231"/>
        <c:crosses val="autoZero"/>
        <c:auto val="1"/>
        <c:lblAlgn val="ctr"/>
        <c:lblOffset val="100"/>
        <c:noMultiLvlLbl val="0"/>
      </c:catAx>
      <c:valAx>
        <c:axId val="16427392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42753631"/>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1990</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94F-47E8-A6A0-1F1D9E5BDD6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94F-47E8-A6A0-1F1D9E5BDD64}"/>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E94F-47E8-A6A0-1F1D9E5BDD64}"/>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E94F-47E8-A6A0-1F1D9E5BDD64}"/>
              </c:ext>
            </c:extLst>
          </c:dPt>
          <c:dLbls>
            <c:dLbl>
              <c:idx val="0"/>
              <c:layout>
                <c:manualLayout>
                  <c:x val="-0.13533014067126634"/>
                  <c:y val="-1.3627849923610295E-2"/>
                </c:manualLayout>
              </c:layout>
              <c:tx>
                <c:rich>
                  <a:bodyPr/>
                  <a:lstStyle/>
                  <a:p>
                    <a:r>
                      <a:rPr lang="en-US"/>
                      <a:t>60.9%</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E94F-47E8-A6A0-1F1D9E5BDD64}"/>
                </c:ext>
              </c:extLst>
            </c:dLbl>
            <c:dLbl>
              <c:idx val="1"/>
              <c:tx>
                <c:rich>
                  <a:bodyPr/>
                  <a:lstStyle/>
                  <a:p>
                    <a:r>
                      <a:rPr lang="en-US"/>
                      <a:t>30.5%</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E94F-47E8-A6A0-1F1D9E5BDD64}"/>
                </c:ext>
              </c:extLst>
            </c:dLbl>
            <c:dLbl>
              <c:idx val="2"/>
              <c:tx>
                <c:rich>
                  <a:bodyPr/>
                  <a:lstStyle/>
                  <a:p>
                    <a:r>
                      <a:rPr lang="en-US"/>
                      <a:t>8.6%</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E94F-47E8-A6A0-1F1D9E5BDD6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Communicable,Maternal, Neonatal and Nutritional diseases</c:v>
                </c:pt>
                <c:pt idx="1">
                  <c:v> Non-Communicable Diseases</c:v>
                </c:pt>
                <c:pt idx="2">
                  <c:v>Injuries</c:v>
                </c:pt>
              </c:strCache>
            </c:strRef>
          </c:cat>
          <c:val>
            <c:numRef>
              <c:f>Sheet1!$B$2:$B$5</c:f>
              <c:numCache>
                <c:formatCode>0.00%</c:formatCode>
                <c:ptCount val="4"/>
                <c:pt idx="0">
                  <c:v>0.53600000000000003</c:v>
                </c:pt>
                <c:pt idx="1">
                  <c:v>0.379</c:v>
                </c:pt>
                <c:pt idx="2">
                  <c:v>8.5000000000000006E-2</c:v>
                </c:pt>
              </c:numCache>
            </c:numRef>
          </c:val>
          <c:extLst>
            <c:ext xmlns:c16="http://schemas.microsoft.com/office/drawing/2014/chart" uri="{C3380CC4-5D6E-409C-BE32-E72D297353CC}">
              <c16:uniqueId val="{00000008-E94F-47E8-A6A0-1F1D9E5BDD64}"/>
            </c:ext>
          </c:extLst>
        </c:ser>
        <c:ser>
          <c:idx val="1"/>
          <c:order val="1"/>
          <c:tx>
            <c:strRef>
              <c:f>Sheet1!$C$1</c:f>
              <c:strCache>
                <c:ptCount val="1"/>
                <c:pt idx="0">
                  <c:v>Column1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A-E94F-47E8-A6A0-1F1D9E5BDD6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C-E94F-47E8-A6A0-1F1D9E5BDD64}"/>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E-E94F-47E8-A6A0-1F1D9E5BDD64}"/>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0-E94F-47E8-A6A0-1F1D9E5BDD6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Communicable,Maternal, Neonatal and Nutritional diseases</c:v>
                </c:pt>
                <c:pt idx="1">
                  <c:v> Non-Communicable Diseases</c:v>
                </c:pt>
                <c:pt idx="2">
                  <c:v>Injuries</c:v>
                </c:pt>
              </c:strCache>
            </c:strRef>
          </c:cat>
          <c:val>
            <c:numRef>
              <c:f>Sheet1!$C$2:$C$5</c:f>
              <c:numCache>
                <c:formatCode>General</c:formatCode>
                <c:ptCount val="4"/>
              </c:numCache>
            </c:numRef>
          </c:val>
          <c:extLst>
            <c:ext xmlns:c16="http://schemas.microsoft.com/office/drawing/2014/chart" uri="{C3380CC4-5D6E-409C-BE32-E72D297353CC}">
              <c16:uniqueId val="{00000011-E94F-47E8-A6A0-1F1D9E5BDD6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2016</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A6D-4CB7-B4C0-4280A09AEED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A6D-4CB7-B4C0-4280A09AEEDC}"/>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A6D-4CB7-B4C0-4280A09AEEDC}"/>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4A6D-4CB7-B4C0-4280A09AEEDC}"/>
              </c:ext>
            </c:extLst>
          </c:dPt>
          <c:dLbls>
            <c:dLbl>
              <c:idx val="0"/>
              <c:tx>
                <c:rich>
                  <a:bodyPr/>
                  <a:lstStyle/>
                  <a:p>
                    <a:r>
                      <a:rPr lang="en-US"/>
                      <a:t>32.7%</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4A6D-4CB7-B4C0-4280A09AEEDC}"/>
                </c:ext>
              </c:extLst>
            </c:dLbl>
            <c:dLbl>
              <c:idx val="1"/>
              <c:layout>
                <c:manualLayout>
                  <c:x val="7.7488979867176871E-2"/>
                  <c:y val="-0.13374823186998111"/>
                </c:manualLayout>
              </c:layout>
              <c:tx>
                <c:rich>
                  <a:bodyPr/>
                  <a:lstStyle/>
                  <a:p>
                    <a:r>
                      <a:rPr lang="en-US"/>
                      <a:t>55.4%</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4A6D-4CB7-B4C0-4280A09AEEDC}"/>
                </c:ext>
              </c:extLst>
            </c:dLbl>
            <c:dLbl>
              <c:idx val="2"/>
              <c:tx>
                <c:rich>
                  <a:bodyPr/>
                  <a:lstStyle/>
                  <a:p>
                    <a:r>
                      <a:rPr lang="en-US"/>
                      <a:t>11.9%</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4A6D-4CB7-B4C0-4280A09AEED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Communicable, Maternal, Neonatal and Nutritional Diseases</c:v>
                </c:pt>
                <c:pt idx="1">
                  <c:v>Non-Communicable Diseases</c:v>
                </c:pt>
                <c:pt idx="2">
                  <c:v>Injuries</c:v>
                </c:pt>
              </c:strCache>
            </c:strRef>
          </c:cat>
          <c:val>
            <c:numRef>
              <c:f>Sheet1!$B$2:$B$5</c:f>
              <c:numCache>
                <c:formatCode>0.00%</c:formatCode>
                <c:ptCount val="4"/>
                <c:pt idx="0">
                  <c:v>0.27500000000000002</c:v>
                </c:pt>
                <c:pt idx="1">
                  <c:v>0.61799999999999999</c:v>
                </c:pt>
                <c:pt idx="2">
                  <c:v>0.107</c:v>
                </c:pt>
              </c:numCache>
            </c:numRef>
          </c:val>
          <c:extLst>
            <c:ext xmlns:c16="http://schemas.microsoft.com/office/drawing/2014/chart" uri="{C3380CC4-5D6E-409C-BE32-E72D297353CC}">
              <c16:uniqueId val="{00000008-4A6D-4CB7-B4C0-4280A09AEED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NSSO 52nd Round (1995)</c:v>
                </c:pt>
              </c:strCache>
            </c:strRef>
          </c:tx>
          <c:spPr>
            <a:solidFill>
              <a:schemeClr val="accent1"/>
            </a:solidFill>
            <a:ln>
              <a:noFill/>
            </a:ln>
            <a:effectLst/>
          </c:spPr>
          <c:invertIfNegative val="0"/>
          <c:dLbls>
            <c:dLbl>
              <c:idx val="0"/>
              <c:tx>
                <c:rich>
                  <a:bodyPr/>
                  <a:lstStyle/>
                  <a:p>
                    <a:r>
                      <a:rPr lang="en-US"/>
                      <a:t>7.9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DBC-4AF7-A5F7-C0D72C47163D}"/>
                </c:ext>
              </c:extLst>
            </c:dLbl>
            <c:dLbl>
              <c:idx val="1"/>
              <c:tx>
                <c:rich>
                  <a:bodyPr/>
                  <a:lstStyle/>
                  <a:p>
                    <a:r>
                      <a:rPr lang="en-US"/>
                      <a:t>8.6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DBC-4AF7-A5F7-C0D72C47163D}"/>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In&amp;CD</c:v>
                </c:pt>
                <c:pt idx="1">
                  <c:v>NCDs</c:v>
                </c:pt>
                <c:pt idx="2">
                  <c:v>Disability</c:v>
                </c:pt>
                <c:pt idx="3">
                  <c:v>Injury</c:v>
                </c:pt>
                <c:pt idx="4">
                  <c:v>All other morbidities</c:v>
                </c:pt>
              </c:strCache>
            </c:strRef>
          </c:cat>
          <c:val>
            <c:numRef>
              <c:f>Sheet1!$B$2:$B$6</c:f>
              <c:numCache>
                <c:formatCode>General</c:formatCode>
                <c:ptCount val="5"/>
                <c:pt idx="0">
                  <c:v>7.9</c:v>
                </c:pt>
                <c:pt idx="1">
                  <c:v>8.6</c:v>
                </c:pt>
                <c:pt idx="2">
                  <c:v>7.3</c:v>
                </c:pt>
                <c:pt idx="3">
                  <c:v>32.4</c:v>
                </c:pt>
                <c:pt idx="4">
                  <c:v>56.2</c:v>
                </c:pt>
              </c:numCache>
            </c:numRef>
          </c:val>
          <c:extLst>
            <c:ext xmlns:c16="http://schemas.microsoft.com/office/drawing/2014/chart" uri="{C3380CC4-5D6E-409C-BE32-E72D297353CC}">
              <c16:uniqueId val="{00000002-FDBC-4AF7-A5F7-C0D72C47163D}"/>
            </c:ext>
          </c:extLst>
        </c:ser>
        <c:ser>
          <c:idx val="1"/>
          <c:order val="1"/>
          <c:tx>
            <c:strRef>
              <c:f>Sheet1!$C$1</c:f>
              <c:strCache>
                <c:ptCount val="1"/>
                <c:pt idx="0">
                  <c:v>NSSO 60th Round(2004)</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In&amp;CD</c:v>
                </c:pt>
                <c:pt idx="1">
                  <c:v>NCDs</c:v>
                </c:pt>
                <c:pt idx="2">
                  <c:v>Disability</c:v>
                </c:pt>
                <c:pt idx="3">
                  <c:v>Injury</c:v>
                </c:pt>
                <c:pt idx="4">
                  <c:v>All other morbidities</c:v>
                </c:pt>
              </c:strCache>
            </c:strRef>
          </c:cat>
          <c:val>
            <c:numRef>
              <c:f>Sheet1!$C$2:$C$6</c:f>
              <c:numCache>
                <c:formatCode>General</c:formatCode>
                <c:ptCount val="5"/>
                <c:pt idx="0">
                  <c:v>17.2</c:v>
                </c:pt>
                <c:pt idx="1">
                  <c:v>29.5</c:v>
                </c:pt>
                <c:pt idx="2">
                  <c:v>13.7</c:v>
                </c:pt>
                <c:pt idx="3">
                  <c:v>34.299999999999997</c:v>
                </c:pt>
                <c:pt idx="4">
                  <c:v>94.7</c:v>
                </c:pt>
              </c:numCache>
            </c:numRef>
          </c:val>
          <c:extLst>
            <c:ext xmlns:c16="http://schemas.microsoft.com/office/drawing/2014/chart" uri="{C3380CC4-5D6E-409C-BE32-E72D297353CC}">
              <c16:uniqueId val="{00000003-FDBC-4AF7-A5F7-C0D72C47163D}"/>
            </c:ext>
          </c:extLst>
        </c:ser>
        <c:ser>
          <c:idx val="2"/>
          <c:order val="2"/>
          <c:tx>
            <c:strRef>
              <c:f>Sheet1!$D$1</c:f>
              <c:strCache>
                <c:ptCount val="1"/>
                <c:pt idx="0">
                  <c:v>NSSO 71st Round (2014)</c:v>
                </c:pt>
              </c:strCache>
            </c:strRef>
          </c:tx>
          <c:spPr>
            <a:solidFill>
              <a:schemeClr val="accent3"/>
            </a:solidFill>
            <a:ln>
              <a:noFill/>
            </a:ln>
            <a:effectLst/>
          </c:spPr>
          <c:invertIfNegative val="0"/>
          <c:dLbls>
            <c:dLbl>
              <c:idx val="1"/>
              <c:tx>
                <c:rich>
                  <a:bodyPr/>
                  <a:lstStyle/>
                  <a:p>
                    <a:r>
                      <a:rPr lang="en-US"/>
                      <a:t>35.5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DBC-4AF7-A5F7-C0D72C47163D}"/>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In&amp;CD</c:v>
                </c:pt>
                <c:pt idx="1">
                  <c:v>NCDs</c:v>
                </c:pt>
                <c:pt idx="2">
                  <c:v>Disability</c:v>
                </c:pt>
                <c:pt idx="3">
                  <c:v>Injury</c:v>
                </c:pt>
                <c:pt idx="4">
                  <c:v>All other morbidities</c:v>
                </c:pt>
              </c:strCache>
            </c:strRef>
          </c:cat>
          <c:val>
            <c:numRef>
              <c:f>Sheet1!$D$2:$D$6</c:f>
              <c:numCache>
                <c:formatCode>General</c:formatCode>
                <c:ptCount val="5"/>
                <c:pt idx="0">
                  <c:v>22.9</c:v>
                </c:pt>
                <c:pt idx="1">
                  <c:v>35.5</c:v>
                </c:pt>
                <c:pt idx="2">
                  <c:v>19.7</c:v>
                </c:pt>
                <c:pt idx="3">
                  <c:v>27.5</c:v>
                </c:pt>
                <c:pt idx="4">
                  <c:v>105.6</c:v>
                </c:pt>
              </c:numCache>
            </c:numRef>
          </c:val>
          <c:extLst>
            <c:ext xmlns:c16="http://schemas.microsoft.com/office/drawing/2014/chart" uri="{C3380CC4-5D6E-409C-BE32-E72D297353CC}">
              <c16:uniqueId val="{00000005-FDBC-4AF7-A5F7-C0D72C47163D}"/>
            </c:ext>
          </c:extLst>
        </c:ser>
        <c:ser>
          <c:idx val="3"/>
          <c:order val="3"/>
          <c:tx>
            <c:strRef>
              <c:f>Sheet1!$E$1</c:f>
              <c:strCache>
                <c:ptCount val="1"/>
                <c:pt idx="0">
                  <c:v>NSSO 75th Round (2018)</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In&amp;CD</c:v>
                </c:pt>
                <c:pt idx="1">
                  <c:v>NCDs</c:v>
                </c:pt>
                <c:pt idx="2">
                  <c:v>Disability</c:v>
                </c:pt>
                <c:pt idx="3">
                  <c:v>Injury</c:v>
                </c:pt>
                <c:pt idx="4">
                  <c:v>All other morbidities</c:v>
                </c:pt>
              </c:strCache>
            </c:strRef>
          </c:cat>
          <c:val>
            <c:numRef>
              <c:f>Sheet1!$E$2:$E$6</c:f>
              <c:numCache>
                <c:formatCode>General</c:formatCode>
                <c:ptCount val="5"/>
                <c:pt idx="0">
                  <c:v>14.9</c:v>
                </c:pt>
                <c:pt idx="1">
                  <c:v>30.4</c:v>
                </c:pt>
                <c:pt idx="2">
                  <c:v>11.3</c:v>
                </c:pt>
                <c:pt idx="3">
                  <c:v>22.7</c:v>
                </c:pt>
                <c:pt idx="4">
                  <c:v>79.3</c:v>
                </c:pt>
              </c:numCache>
            </c:numRef>
          </c:val>
          <c:extLst>
            <c:ext xmlns:c16="http://schemas.microsoft.com/office/drawing/2014/chart" uri="{C3380CC4-5D6E-409C-BE32-E72D297353CC}">
              <c16:uniqueId val="{00000006-FDBC-4AF7-A5F7-C0D72C47163D}"/>
            </c:ext>
          </c:extLst>
        </c:ser>
        <c:dLbls>
          <c:dLblPos val="outEnd"/>
          <c:showLegendKey val="0"/>
          <c:showVal val="1"/>
          <c:showCatName val="0"/>
          <c:showSerName val="0"/>
          <c:showPercent val="0"/>
          <c:showBubbleSize val="0"/>
        </c:dLbls>
        <c:gapWidth val="444"/>
        <c:overlap val="-90"/>
        <c:axId val="1852943568"/>
        <c:axId val="1852945008"/>
      </c:barChart>
      <c:catAx>
        <c:axId val="1852943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2945008"/>
        <c:crosses val="autoZero"/>
        <c:auto val="1"/>
        <c:lblAlgn val="ctr"/>
        <c:lblOffset val="100"/>
        <c:noMultiLvlLbl val="0"/>
      </c:catAx>
      <c:valAx>
        <c:axId val="1852945008"/>
        <c:scaling>
          <c:orientation val="minMax"/>
        </c:scaling>
        <c:delete val="1"/>
        <c:axPos val="l"/>
        <c:numFmt formatCode="General" sourceLinked="1"/>
        <c:majorTickMark val="none"/>
        <c:minorTickMark val="none"/>
        <c:tickLblPos val="nextTo"/>
        <c:crossAx val="18529435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6.8176998829744651E-2"/>
          <c:y val="5.6927235367725031E-2"/>
          <c:w val="0.86973525809273844"/>
          <c:h val="0.76770741009178833"/>
        </c:manualLayout>
      </c:layout>
      <c:barChart>
        <c:barDir val="col"/>
        <c:grouping val="stacked"/>
        <c:varyColors val="0"/>
        <c:ser>
          <c:idx val="0"/>
          <c:order val="0"/>
          <c:spPr>
            <a:solidFill>
              <a:schemeClr val="accent2"/>
            </a:solidFill>
            <a:ln>
              <a:noFill/>
            </a:ln>
            <a:effectLst/>
          </c:spPr>
          <c:invertIfNegative val="0"/>
          <c:dLbls>
            <c:dLbl>
              <c:idx val="0"/>
              <c:layout>
                <c:manualLayout>
                  <c:x val="-2.2222222222222222E-3"/>
                  <c:y val="-4.659310988280863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7A-4AC4-9671-3BF9F772708C}"/>
                </c:ext>
              </c:extLst>
            </c:dLbl>
            <c:dLbl>
              <c:idx val="1"/>
              <c:layout>
                <c:manualLayout>
                  <c:x val="0"/>
                  <c:y val="-9.2481398756932759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6.277777777777778E-2"/>
                      <c:h val="3.9931296738715552E-2"/>
                    </c:manualLayout>
                  </c15:layout>
                </c:ext>
                <c:ext xmlns:c16="http://schemas.microsoft.com/office/drawing/2014/chart" uri="{C3380CC4-5D6E-409C-BE32-E72D297353CC}">
                  <c16:uniqueId val="{00000001-EB7A-4AC4-9671-3BF9F772708C}"/>
                </c:ext>
              </c:extLst>
            </c:dLbl>
            <c:dLbl>
              <c:idx val="2"/>
              <c:layout>
                <c:manualLayout>
                  <c:x val="0"/>
                  <c:y val="-1.157470890644953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7A-4AC4-9671-3BF9F772708C}"/>
                </c:ext>
              </c:extLst>
            </c:dLbl>
            <c:dLbl>
              <c:idx val="3"/>
              <c:layout>
                <c:manualLayout>
                  <c:x val="-8.1480540211327956E-17"/>
                  <c:y val="-8.288214422030280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7A-4AC4-9671-3BF9F772708C}"/>
                </c:ext>
              </c:extLst>
            </c:dLbl>
            <c:dLbl>
              <c:idx val="4"/>
              <c:layout>
                <c:manualLayout>
                  <c:x val="-8.1480540211327956E-17"/>
                  <c:y val="1.016459567329678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7A-4AC4-9671-3BF9F772708C}"/>
                </c:ext>
              </c:extLst>
            </c:dLbl>
            <c:dLbl>
              <c:idx val="5"/>
              <c:layout>
                <c:manualLayout>
                  <c:x val="-1.6296108042265591E-16"/>
                  <c:y val="-1.598835154582447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B7A-4AC4-9671-3BF9F772708C}"/>
                </c:ext>
              </c:extLst>
            </c:dLbl>
            <c:dLbl>
              <c:idx val="6"/>
              <c:layout>
                <c:manualLayout>
                  <c:x val="-4.4444444444446075E-3"/>
                  <c:y val="-4.491157635816278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B7A-4AC4-9671-3BF9F772708C}"/>
                </c:ext>
              </c:extLst>
            </c:dLbl>
            <c:dLbl>
              <c:idx val="7"/>
              <c:layout>
                <c:manualLayout>
                  <c:x val="0"/>
                  <c:y val="-0.1027514289618645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B7A-4AC4-9671-3BF9F772708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Sheet1!$E$6:$E$13</c:f>
              <c:strCache>
                <c:ptCount val="8"/>
                <c:pt idx="0">
                  <c:v>Malaria</c:v>
                </c:pt>
                <c:pt idx="1">
                  <c:v>Acute viral Hepatitis</c:v>
                </c:pt>
                <c:pt idx="2">
                  <c:v>Acute Diarrhoeal Diseases</c:v>
                </c:pt>
                <c:pt idx="3">
                  <c:v>Dengue Fever</c:v>
                </c:pt>
                <c:pt idx="4">
                  <c:v>Chikungunya</c:v>
                </c:pt>
                <c:pt idx="5">
                  <c:v>Measles</c:v>
                </c:pt>
                <c:pt idx="6">
                  <c:v>Acute Encephalitis syndrome</c:v>
                </c:pt>
                <c:pt idx="7">
                  <c:v>Others</c:v>
                </c:pt>
              </c:strCache>
            </c:strRef>
          </c:cat>
          <c:val>
            <c:numRef>
              <c:f>Sheet1!$F$6:$F$13</c:f>
              <c:numCache>
                <c:formatCode>General</c:formatCode>
                <c:ptCount val="8"/>
                <c:pt idx="0">
                  <c:v>18.59</c:v>
                </c:pt>
                <c:pt idx="1">
                  <c:v>28.51</c:v>
                </c:pt>
                <c:pt idx="2">
                  <c:v>4.8600000000000003</c:v>
                </c:pt>
                <c:pt idx="3">
                  <c:v>11.43</c:v>
                </c:pt>
                <c:pt idx="4">
                  <c:v>10.11</c:v>
                </c:pt>
                <c:pt idx="5">
                  <c:v>1.72</c:v>
                </c:pt>
                <c:pt idx="6">
                  <c:v>1.24</c:v>
                </c:pt>
                <c:pt idx="7">
                  <c:v>23.54</c:v>
                </c:pt>
              </c:numCache>
            </c:numRef>
          </c:val>
          <c:extLst>
            <c:ext xmlns:c16="http://schemas.microsoft.com/office/drawing/2014/chart" uri="{C3380CC4-5D6E-409C-BE32-E72D297353CC}">
              <c16:uniqueId val="{00000008-EB7A-4AC4-9671-3BF9F772708C}"/>
            </c:ext>
          </c:extLst>
        </c:ser>
        <c:dLbls>
          <c:dLblPos val="ctr"/>
          <c:showLegendKey val="0"/>
          <c:showVal val="1"/>
          <c:showCatName val="0"/>
          <c:showSerName val="0"/>
          <c:showPercent val="0"/>
          <c:showBubbleSize val="0"/>
        </c:dLbls>
        <c:gapWidth val="150"/>
        <c:overlap val="100"/>
        <c:axId val="65667056"/>
        <c:axId val="65674256"/>
      </c:barChart>
      <c:catAx>
        <c:axId val="6566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5674256"/>
        <c:crosses val="autoZero"/>
        <c:auto val="1"/>
        <c:lblAlgn val="ctr"/>
        <c:lblOffset val="100"/>
        <c:noMultiLvlLbl val="0"/>
      </c:catAx>
      <c:valAx>
        <c:axId val="65674256"/>
        <c:scaling>
          <c:orientation val="minMax"/>
          <c:min val="0"/>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b="1">
                    <a:latin typeface="Times New Roman" panose="02020603050405020304" pitchFamily="18" charset="0"/>
                    <a:cs typeface="Times New Roman" panose="02020603050405020304" pitchFamily="18" charset="0"/>
                  </a:rPr>
                  <a:t>Incidence</a:t>
                </a:r>
                <a:r>
                  <a:rPr lang="en-IN" sz="1200" b="1" baseline="0">
                    <a:latin typeface="Times New Roman" panose="02020603050405020304" pitchFamily="18" charset="0"/>
                    <a:cs typeface="Times New Roman" panose="02020603050405020304" pitchFamily="18" charset="0"/>
                  </a:rPr>
                  <a:t> rate (%)</a:t>
                </a:r>
                <a:endParaRPr lang="en-IN" sz="1200"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IN"/>
            </a:p>
          </c:txPr>
        </c:title>
        <c:numFmt formatCode="General" sourceLinked="1"/>
        <c:majorTickMark val="none"/>
        <c:minorTickMark val="none"/>
        <c:tickLblPos val="nextTo"/>
        <c:crossAx val="65667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76029-C63F-4CD1-8F18-93C3D3BC9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3141</TotalTime>
  <Pages>21</Pages>
  <Words>14687</Words>
  <Characters>83717</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rohit kumar</dc:creator>
  <cp:keywords/>
  <dc:description/>
  <cp:lastModifiedBy>rohit kumar</cp:lastModifiedBy>
  <cp:revision>664</cp:revision>
  <dcterms:created xsi:type="dcterms:W3CDTF">2025-05-04T09:19:00Z</dcterms:created>
  <dcterms:modified xsi:type="dcterms:W3CDTF">2025-06-08T12:16:00Z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id="jLsA0e3y"/&gt;&lt;style id="http://www.zotero.org/styles/vancouver" locale="en-US" hasBibliography="1" bibliographyStyleHasBeenSet="1"/&gt;&lt;prefs&gt;&lt;pref name="fieldType" value="Field"/&gt;&lt;/prefs&gt;&lt;/data&gt;</vt:lpwstr>
  </property>
  <property fmtid="{D5CDD505-2E9C-101B-9397-08002B2CF9AE}" pid="3" name="GrammarlyDocumentId">
    <vt:lpwstr>c70b2598-86e1-4163-bc67-4f96f217766b</vt:lpwstr>
  </property>
</Properties>
</file>