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178E" w14:textId="77777777" w:rsidR="00D647DB" w:rsidRPr="00D647DB" w:rsidRDefault="00D647DB" w:rsidP="00524B0A">
      <w:pPr>
        <w:spacing w:line="360" w:lineRule="auto"/>
        <w:jc w:val="both"/>
        <w:rPr>
          <w:rFonts w:ascii="Times New Roman" w:eastAsia="Aptos" w:hAnsi="Times New Roman"/>
          <w:b/>
          <w:bCs/>
          <w:i/>
          <w:iCs/>
          <w:color w:val="000000"/>
          <w:spacing w:val="2"/>
          <w:sz w:val="28"/>
          <w:szCs w:val="28"/>
          <w:u w:val="single"/>
          <w:shd w:val="clear" w:color="auto" w:fill="FFFFFF"/>
          <w:lang w:eastAsia="fr-FR"/>
        </w:rPr>
      </w:pPr>
      <w:r w:rsidRPr="00D647DB">
        <w:rPr>
          <w:rFonts w:ascii="Times New Roman" w:eastAsia="Aptos" w:hAnsi="Times New Roman"/>
          <w:b/>
          <w:bCs/>
          <w:i/>
          <w:iCs/>
          <w:color w:val="000000"/>
          <w:spacing w:val="2"/>
          <w:sz w:val="28"/>
          <w:szCs w:val="28"/>
          <w:u w:val="single"/>
          <w:shd w:val="clear" w:color="auto" w:fill="FFFFFF"/>
          <w:lang w:eastAsia="fr-FR"/>
        </w:rPr>
        <w:t>Original Research Article</w:t>
      </w:r>
    </w:p>
    <w:p w14:paraId="6C32098C" w14:textId="0A438566" w:rsidR="00910EDB" w:rsidRDefault="00AD23C6" w:rsidP="00524B0A">
      <w:pPr>
        <w:spacing w:line="360" w:lineRule="auto"/>
        <w:jc w:val="both"/>
        <w:rPr>
          <w:rFonts w:ascii="Times New Roman" w:eastAsia="Aptos" w:hAnsi="Times New Roman"/>
          <w:b/>
          <w:bCs/>
          <w:iCs/>
          <w:color w:val="000000"/>
          <w:spacing w:val="2"/>
          <w:sz w:val="28"/>
          <w:szCs w:val="28"/>
          <w:shd w:val="clear" w:color="auto" w:fill="FFFFFF"/>
          <w:lang w:eastAsia="fr-FR"/>
        </w:rPr>
      </w:pPr>
      <w:r w:rsidRPr="00AD23C6">
        <w:rPr>
          <w:rFonts w:ascii="Times New Roman" w:eastAsia="Aptos" w:hAnsi="Times New Roman"/>
          <w:b/>
          <w:bCs/>
          <w:iCs/>
          <w:color w:val="000000"/>
          <w:spacing w:val="2"/>
          <w:sz w:val="28"/>
          <w:szCs w:val="28"/>
          <w:highlight w:val="yellow"/>
          <w:shd w:val="clear" w:color="auto" w:fill="FFFFFF"/>
          <w:lang w:eastAsia="fr-FR"/>
        </w:rPr>
        <w:t xml:space="preserve">Prevalence of antibiotics prescribed by doctors </w:t>
      </w:r>
      <w:r w:rsidR="00910EDB" w:rsidRPr="00AD23C6">
        <w:rPr>
          <w:rFonts w:ascii="Times New Roman" w:eastAsia="Aptos" w:hAnsi="Times New Roman"/>
          <w:b/>
          <w:bCs/>
          <w:iCs/>
          <w:color w:val="000000"/>
          <w:spacing w:val="2"/>
          <w:sz w:val="28"/>
          <w:szCs w:val="28"/>
          <w:highlight w:val="yellow"/>
          <w:shd w:val="clear" w:color="auto" w:fill="FFFFFF"/>
          <w:lang w:eastAsia="fr-FR"/>
        </w:rPr>
        <w:t>in medical emergencies in a tertiary hospital</w:t>
      </w:r>
      <w:r w:rsidRPr="00AD23C6">
        <w:rPr>
          <w:rFonts w:ascii="Times New Roman" w:eastAsia="Aptos" w:hAnsi="Times New Roman"/>
          <w:b/>
          <w:bCs/>
          <w:iCs/>
          <w:color w:val="000000"/>
          <w:spacing w:val="2"/>
          <w:sz w:val="28"/>
          <w:szCs w:val="28"/>
          <w:highlight w:val="yellow"/>
          <w:shd w:val="clear" w:color="auto" w:fill="FFFFFF"/>
          <w:lang w:eastAsia="fr-FR"/>
        </w:rPr>
        <w:t xml:space="preserve">, </w:t>
      </w:r>
      <w:r w:rsidR="00910EDB" w:rsidRPr="00AD23C6">
        <w:rPr>
          <w:rFonts w:ascii="Times New Roman" w:eastAsia="Aptos" w:hAnsi="Times New Roman"/>
          <w:b/>
          <w:bCs/>
          <w:iCs/>
          <w:color w:val="000000"/>
          <w:spacing w:val="2"/>
          <w:sz w:val="28"/>
          <w:szCs w:val="28"/>
          <w:highlight w:val="yellow"/>
          <w:shd w:val="clear" w:color="auto" w:fill="FFFFFF"/>
          <w:lang w:eastAsia="fr-FR"/>
        </w:rPr>
        <w:t>Burkina Faso</w:t>
      </w:r>
    </w:p>
    <w:p w14:paraId="53162A99" w14:textId="77777777" w:rsidR="002C57D2" w:rsidRPr="00FB3A86" w:rsidRDefault="002C57D2" w:rsidP="00524B0A">
      <w:pPr>
        <w:pStyle w:val="Affiliation"/>
        <w:spacing w:after="0" w:line="240" w:lineRule="auto"/>
        <w:jc w:val="both"/>
        <w:rPr>
          <w:rFonts w:ascii="Arial" w:hAnsi="Arial" w:cs="Arial"/>
        </w:rPr>
      </w:pPr>
    </w:p>
    <w:p w14:paraId="146D1FD4" w14:textId="379DE46C" w:rsidR="00B01FCD" w:rsidRPr="00FB3A86" w:rsidRDefault="00B01FCD" w:rsidP="00524B0A">
      <w:pPr>
        <w:pStyle w:val="Copyright"/>
        <w:spacing w:after="0" w:line="240" w:lineRule="auto"/>
        <w:jc w:val="both"/>
        <w:rPr>
          <w:rFonts w:ascii="Arial" w:hAnsi="Arial" w:cs="Arial"/>
        </w:rPr>
        <w:sectPr w:rsidR="00B01FCD" w:rsidRPr="00FB3A86" w:rsidSect="001927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6ABF3D" w14:textId="77777777" w:rsidR="00B01FCD" w:rsidRDefault="00B01FCD" w:rsidP="00524B0A">
      <w:pPr>
        <w:pStyle w:val="AbstHead"/>
        <w:spacing w:after="0"/>
        <w:jc w:val="both"/>
        <w:rPr>
          <w:rFonts w:ascii="Arial" w:hAnsi="Arial" w:cs="Arial"/>
        </w:rPr>
      </w:pPr>
    </w:p>
    <w:p w14:paraId="4F375BFA" w14:textId="77777777" w:rsidR="00790ADA" w:rsidRPr="00FB3A86" w:rsidRDefault="00790ADA" w:rsidP="00524B0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9077856" w14:textId="77777777" w:rsidTr="001E44FE">
        <w:tc>
          <w:tcPr>
            <w:tcW w:w="9576" w:type="dxa"/>
            <w:shd w:val="clear" w:color="auto" w:fill="F2F2F2"/>
          </w:tcPr>
          <w:p w14:paraId="19D07757" w14:textId="77777777" w:rsidR="00A84071" w:rsidRDefault="00A84071" w:rsidP="00524B0A">
            <w:pPr>
              <w:pStyle w:val="Body"/>
              <w:spacing w:after="0"/>
              <w:rPr>
                <w:rFonts w:ascii="Arial" w:eastAsia="Calibri" w:hAnsi="Arial" w:cs="Arial"/>
                <w:szCs w:val="22"/>
              </w:rPr>
            </w:pPr>
          </w:p>
          <w:p w14:paraId="3026FDDB" w14:textId="56E48A47" w:rsidR="00A17AFD" w:rsidRDefault="00A17AFD" w:rsidP="00524B0A">
            <w:pPr>
              <w:pStyle w:val="Body"/>
              <w:spacing w:after="0"/>
              <w:rPr>
                <w:rFonts w:ascii="Arial" w:eastAsia="Calibri" w:hAnsi="Arial" w:cs="Arial"/>
                <w:b/>
                <w:szCs w:val="22"/>
              </w:rPr>
            </w:pPr>
            <w:r w:rsidRPr="00A17AFD">
              <w:rPr>
                <w:rFonts w:ascii="Arial" w:eastAsia="Calibri" w:hAnsi="Arial" w:cs="Arial"/>
                <w:b/>
                <w:szCs w:val="22"/>
                <w:highlight w:val="yellow"/>
              </w:rPr>
              <w:t xml:space="preserve">Background: </w:t>
            </w:r>
            <w:r w:rsidRPr="00A17AFD">
              <w:rPr>
                <w:rFonts w:ascii="Arial" w:eastAsia="Calibri" w:hAnsi="Arial" w:cs="Arial"/>
                <w:szCs w:val="22"/>
                <w:highlight w:val="yellow"/>
              </w:rPr>
              <w:t>The prescription of antibiotics in these departments must be the result of medical reasoning leading to a strong clinical suspicion of bacterial infection.</w:t>
            </w:r>
            <w:r w:rsidRPr="00A17AFD">
              <w:rPr>
                <w:highlight w:val="yellow"/>
              </w:rPr>
              <w:t xml:space="preserve"> E</w:t>
            </w:r>
            <w:r w:rsidRPr="00A17AFD">
              <w:rPr>
                <w:rFonts w:ascii="Arial" w:eastAsia="Calibri" w:hAnsi="Arial" w:cs="Arial"/>
                <w:szCs w:val="22"/>
                <w:highlight w:val="yellow"/>
              </w:rPr>
              <w:t>mergency antibiotic therapy is a key factor in the fight against antimicrobial resistance. Many countries have set up national action plans to combat antimicrobial resistance (AMR), in which the proper use of antimicrobials is a key priority.</w:t>
            </w:r>
          </w:p>
          <w:p w14:paraId="6D7EFF32" w14:textId="1FD027C6" w:rsidR="00BA1B01" w:rsidRPr="0092079D" w:rsidRDefault="00BA1B01" w:rsidP="00524B0A">
            <w:pPr>
              <w:pStyle w:val="Body"/>
              <w:spacing w:after="0"/>
              <w:rPr>
                <w:rFonts w:ascii="Arial" w:eastAsia="Calibri" w:hAnsi="Arial" w:cs="Arial"/>
                <w:szCs w:val="22"/>
                <w:highlight w:val="yellow"/>
              </w:rPr>
            </w:pPr>
            <w:r w:rsidRPr="00BA1B01">
              <w:rPr>
                <w:rFonts w:ascii="Arial" w:eastAsia="Calibri" w:hAnsi="Arial" w:cs="Arial"/>
                <w:b/>
                <w:szCs w:val="22"/>
              </w:rPr>
              <w:t>Aims:</w:t>
            </w:r>
            <w:r w:rsidR="0005249B" w:rsidRPr="0005249B">
              <w:rPr>
                <w:rFonts w:ascii="Arial" w:hAnsi="Arial" w:cs="Arial"/>
                <w:color w:val="231F20"/>
                <w:highlight w:val="yellow"/>
                <w:lang w:eastAsia="fr-FR"/>
              </w:rPr>
              <w:t xml:space="preserve">The </w:t>
            </w:r>
            <w:r w:rsidR="0005249B" w:rsidRPr="00C0323A">
              <w:rPr>
                <w:rFonts w:ascii="Arial" w:hAnsi="Arial" w:cs="Arial"/>
                <w:color w:val="231F20"/>
                <w:highlight w:val="yellow"/>
                <w:lang w:eastAsia="fr-FR"/>
              </w:rPr>
              <w:t>present</w:t>
            </w:r>
            <w:r w:rsidR="0005249B" w:rsidRPr="00127624">
              <w:rPr>
                <w:rFonts w:ascii="Arial" w:hAnsi="Arial" w:cs="Arial"/>
                <w:color w:val="231F20"/>
                <w:highlight w:val="yellow"/>
                <w:lang w:eastAsia="fr-FR"/>
              </w:rPr>
              <w:t xml:space="preserve"> study aims to assess the quality</w:t>
            </w:r>
            <w:r w:rsidR="0005249B" w:rsidRPr="0092079D">
              <w:rPr>
                <w:rFonts w:ascii="Arial" w:hAnsi="Arial" w:cs="Arial"/>
                <w:color w:val="231F20"/>
                <w:highlight w:val="yellow"/>
                <w:lang w:eastAsia="fr-FR"/>
              </w:rPr>
              <w:t xml:space="preserve"> of antibiotic prescribing in medical emergencies in order to improve their use in health facilities </w:t>
            </w:r>
            <w:r w:rsidR="0005249B" w:rsidRPr="0092079D">
              <w:rPr>
                <w:rFonts w:ascii="Arial" w:eastAsia="Calibri" w:hAnsi="Arial" w:cs="Arial"/>
                <w:szCs w:val="22"/>
                <w:highlight w:val="yellow"/>
              </w:rPr>
              <w:t>in a medical emergency department of the Gaoua Regional Hospital Centre.</w:t>
            </w:r>
          </w:p>
          <w:p w14:paraId="7879220C" w14:textId="7976F28F" w:rsidR="001207EF" w:rsidRDefault="00BA1B01" w:rsidP="00524B0A">
            <w:pPr>
              <w:jc w:val="both"/>
              <w:rPr>
                <w:rFonts w:ascii="Times New Roman" w:eastAsia="Arial Unicode MS" w:hAnsi="Times New Roman"/>
                <w:sz w:val="28"/>
                <w:szCs w:val="28"/>
              </w:rPr>
            </w:pPr>
            <w:r w:rsidRPr="0092079D">
              <w:rPr>
                <w:rFonts w:ascii="Arial" w:eastAsia="Calibri" w:hAnsi="Arial" w:cs="Arial"/>
                <w:b/>
                <w:bCs/>
                <w:szCs w:val="22"/>
                <w:highlight w:val="yellow"/>
              </w:rPr>
              <w:t>Methodology:</w:t>
            </w:r>
            <w:r w:rsidRPr="0092079D">
              <w:rPr>
                <w:rFonts w:ascii="Arial" w:eastAsia="Calibri" w:hAnsi="Arial" w:cs="Arial"/>
                <w:szCs w:val="22"/>
                <w:highlight w:val="yellow"/>
              </w:rPr>
              <w:t xml:space="preserve"> </w:t>
            </w:r>
            <w:r w:rsidR="00C703B3" w:rsidRPr="0092079D">
              <w:rPr>
                <w:rFonts w:ascii="Arial" w:eastAsia="Calibri" w:hAnsi="Arial" w:cs="Arial"/>
                <w:szCs w:val="22"/>
                <w:highlight w:val="yellow"/>
              </w:rPr>
              <w:t>This was a prospective, descriptive, observational study conducted, from April 1 to May 31, 2021, on the initial prescription of antibiotics, verifying its compliance with the antibiotic therapy reference in Burkina Faso</w:t>
            </w:r>
            <w:r w:rsidR="001207EF" w:rsidRPr="0092079D">
              <w:rPr>
                <w:rFonts w:ascii="Arial" w:eastAsia="Calibri" w:hAnsi="Arial" w:cs="Arial"/>
                <w:szCs w:val="22"/>
                <w:highlight w:val="yellow"/>
              </w:rPr>
              <w:t>.</w:t>
            </w:r>
            <w:r w:rsidR="001207EF" w:rsidRPr="0092079D">
              <w:rPr>
                <w:highlight w:val="yellow"/>
              </w:rPr>
              <w:t xml:space="preserve"> </w:t>
            </w:r>
            <w:r w:rsidR="00725A4E" w:rsidRPr="0092079D">
              <w:rPr>
                <w:highlight w:val="yellow"/>
              </w:rPr>
              <w:t xml:space="preserve">Patients for whom antibiotic therapy was prescribed and administered in the emergency department were included in the study. </w:t>
            </w:r>
            <w:r w:rsidR="00391A79" w:rsidRPr="0092079D">
              <w:rPr>
                <w:rFonts w:ascii="Arial" w:eastAsia="Calibri" w:hAnsi="Arial" w:cs="Arial"/>
                <w:szCs w:val="22"/>
                <w:highlight w:val="yellow"/>
              </w:rPr>
              <w:t xml:space="preserve">The </w:t>
            </w:r>
            <w:r w:rsidR="001207EF" w:rsidRPr="0092079D">
              <w:rPr>
                <w:rFonts w:ascii="Arial" w:eastAsia="Calibri" w:hAnsi="Arial" w:cs="Arial"/>
                <w:szCs w:val="22"/>
                <w:highlight w:val="yellow"/>
              </w:rPr>
              <w:t xml:space="preserve">study population comprised patients over 15 years of age, admitted to the Gaoua </w:t>
            </w:r>
            <w:r w:rsidR="0085353D" w:rsidRPr="0092079D">
              <w:rPr>
                <w:rFonts w:ascii="Arial" w:eastAsia="Calibri" w:hAnsi="Arial" w:cs="Arial"/>
                <w:szCs w:val="22"/>
                <w:highlight w:val="yellow"/>
              </w:rPr>
              <w:t>Medical Emergency D</w:t>
            </w:r>
            <w:r w:rsidR="001207EF" w:rsidRPr="0092079D">
              <w:rPr>
                <w:rFonts w:ascii="Arial" w:eastAsia="Calibri" w:hAnsi="Arial" w:cs="Arial"/>
                <w:szCs w:val="22"/>
                <w:highlight w:val="yellow"/>
              </w:rPr>
              <w:t>epartment</w:t>
            </w:r>
            <w:r w:rsidR="001207EF" w:rsidRPr="001207EF">
              <w:rPr>
                <w:rFonts w:ascii="Arial" w:eastAsia="Calibri" w:hAnsi="Arial" w:cs="Arial"/>
                <w:szCs w:val="22"/>
              </w:rPr>
              <w:t xml:space="preserve"> and receiving one or more antibiotics in the department, and clinicians who prescribed antibiotics during the study period.</w:t>
            </w:r>
            <w:r w:rsidR="001207EF">
              <w:rPr>
                <w:rFonts w:ascii="Arial" w:eastAsia="Calibri" w:hAnsi="Arial" w:cs="Arial"/>
                <w:szCs w:val="22"/>
              </w:rPr>
              <w:t xml:space="preserve">  </w:t>
            </w:r>
            <w:r w:rsidR="00B501B8" w:rsidRPr="0092079D">
              <w:rPr>
                <w:rFonts w:ascii="Arial" w:eastAsia="Calibri" w:hAnsi="Arial" w:cs="Arial"/>
                <w:szCs w:val="22"/>
                <w:highlight w:val="yellow"/>
              </w:rPr>
              <w:t>Qualitative variables were reported as counts and frequencies, and quantitative variables as means (standard deviation).</w:t>
            </w:r>
          </w:p>
          <w:p w14:paraId="5A1C1F24" w14:textId="1BB45BE6" w:rsidR="001207EF" w:rsidRPr="001207EF" w:rsidRDefault="00BA1B01" w:rsidP="00524B0A">
            <w:pPr>
              <w:jc w:val="both"/>
              <w:rPr>
                <w:rFonts w:ascii="Times New Roman" w:hAnsi="Times New Roman"/>
                <w:color w:val="231F20"/>
                <w:sz w:val="24"/>
                <w:szCs w:val="24"/>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1207EF" w:rsidRPr="001207EF">
              <w:rPr>
                <w:rFonts w:ascii="Arial" w:hAnsi="Arial" w:cs="Arial"/>
                <w:color w:val="231F20"/>
                <w:lang w:eastAsia="fr-FR"/>
              </w:rPr>
              <w:t xml:space="preserve">During our study period, 181 out of 382 patients admitted to the emergency department were included. The frequency of antibiotic prescription was 47.38%, the </w:t>
            </w:r>
            <w:r w:rsidR="001207EF" w:rsidRPr="0092079D">
              <w:rPr>
                <w:rFonts w:ascii="Arial" w:hAnsi="Arial" w:cs="Arial"/>
                <w:color w:val="231F20"/>
                <w:highlight w:val="yellow"/>
                <w:lang w:eastAsia="fr-FR"/>
              </w:rPr>
              <w:t xml:space="preserve">population </w:t>
            </w:r>
            <w:r w:rsidR="0085353D" w:rsidRPr="0092079D">
              <w:rPr>
                <w:rFonts w:ascii="Arial" w:hAnsi="Arial" w:cs="Arial"/>
                <w:color w:val="231F20"/>
                <w:highlight w:val="yellow"/>
                <w:lang w:eastAsia="fr-FR"/>
              </w:rPr>
              <w:t xml:space="preserve">was </w:t>
            </w:r>
            <w:r w:rsidR="001207EF" w:rsidRPr="0092079D">
              <w:rPr>
                <w:rFonts w:ascii="Arial" w:hAnsi="Arial" w:cs="Arial"/>
                <w:color w:val="231F20"/>
                <w:highlight w:val="yellow"/>
                <w:lang w:eastAsia="fr-FR"/>
              </w:rPr>
              <w:t>predominantly</w:t>
            </w:r>
            <w:r w:rsidR="001207EF" w:rsidRPr="001207EF">
              <w:rPr>
                <w:rFonts w:ascii="Arial" w:hAnsi="Arial" w:cs="Arial"/>
                <w:color w:val="231F20"/>
                <w:lang w:eastAsia="fr-FR"/>
              </w:rPr>
              <w:t xml:space="preserve"> male (63.54%) with an average age of 45.59 years. On admission, 43.85% of patients received antibiotics, 56.63% of them as mono-antibiotics and 37.35% as bi-antibiotics. Betalactam antibiotics</w:t>
            </w:r>
            <w:r w:rsidR="001207EF" w:rsidRPr="001207EF">
              <w:rPr>
                <w:rFonts w:ascii="Times New Roman" w:hAnsi="Times New Roman"/>
                <w:color w:val="231F20"/>
                <w:sz w:val="24"/>
                <w:szCs w:val="24"/>
                <w:lang w:eastAsia="fr-FR"/>
              </w:rPr>
              <w:t xml:space="preserve"> </w:t>
            </w:r>
            <w:r w:rsidR="001207EF" w:rsidRPr="001207EF">
              <w:rPr>
                <w:rFonts w:ascii="Arial" w:hAnsi="Arial" w:cs="Arial"/>
                <w:color w:val="231F20"/>
                <w:lang w:eastAsia="fr-FR"/>
              </w:rPr>
              <w:t>were the most widely prescribed family of antibiotics. Ninety-two microbiological samples were taken, including 44 patients for coproculture, 31 patients for urine cytobacteriological examination (UCE), 10 patients for cerebrospinal fluid UCE and 7 blood cultures. For 09 patients, the results were adapted to the antibiotic susceptibility test. In the majority (71.30%) of cases, antibiotic therapy had a good indication but did not comply with Burkina Faso's national health directives (73.49% of prescriptions). Eighty percent of staff referred to hyperleukocytosis to institute antibiotic therapy.</w:t>
            </w:r>
          </w:p>
          <w:p w14:paraId="03E3A0CB" w14:textId="77777777" w:rsidR="001207EF" w:rsidRPr="001207EF" w:rsidRDefault="00BA1B01" w:rsidP="00524B0A">
            <w:pPr>
              <w:jc w:val="both"/>
              <w:rPr>
                <w:rFonts w:ascii="Times New Roman" w:hAnsi="Times New Roman"/>
                <w:color w:val="231F20"/>
                <w:sz w:val="24"/>
                <w:szCs w:val="24"/>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1207EF" w:rsidRPr="001207EF">
              <w:rPr>
                <w:rFonts w:ascii="Times New Roman" w:hAnsi="Times New Roman"/>
                <w:color w:val="231F20"/>
                <w:sz w:val="24"/>
                <w:szCs w:val="24"/>
                <w:lang w:eastAsia="fr-FR"/>
              </w:rPr>
              <w:t>This study shows a high level of antibiotic prescribing in Gaoua's medical emergencies. Only a quarter of antibiotic prescriptions were appropriate according to Burkina Faso standards. Ongoing training activities and wide distribution of the prescription guide will help improve the quality of antibiotic prescribing.</w:t>
            </w:r>
          </w:p>
          <w:p w14:paraId="4E9C30C3" w14:textId="77777777" w:rsidR="00505F06" w:rsidRPr="00BA1B01" w:rsidRDefault="00505F06" w:rsidP="00524B0A">
            <w:pPr>
              <w:pStyle w:val="Body"/>
              <w:spacing w:after="0"/>
              <w:rPr>
                <w:rFonts w:ascii="Arial" w:eastAsia="Calibri" w:hAnsi="Arial" w:cs="Arial"/>
                <w:szCs w:val="22"/>
              </w:rPr>
            </w:pPr>
          </w:p>
        </w:tc>
      </w:tr>
    </w:tbl>
    <w:p w14:paraId="0EA070BC" w14:textId="77777777" w:rsidR="00636EB2" w:rsidRDefault="00636EB2" w:rsidP="00524B0A">
      <w:pPr>
        <w:pStyle w:val="Body"/>
        <w:spacing w:after="0"/>
        <w:rPr>
          <w:rFonts w:ascii="Arial" w:hAnsi="Arial" w:cs="Arial"/>
          <w:i/>
        </w:rPr>
      </w:pPr>
    </w:p>
    <w:p w14:paraId="3C118894" w14:textId="18B4292E" w:rsidR="001207EF" w:rsidRPr="00751002" w:rsidRDefault="00A24E7E" w:rsidP="00524B0A">
      <w:pPr>
        <w:pStyle w:val="Body"/>
        <w:spacing w:after="0"/>
        <w:rPr>
          <w:rFonts w:ascii="Arial" w:hAnsi="Arial" w:cs="Arial"/>
          <w:b/>
          <w:bCs/>
          <w:i/>
        </w:rPr>
      </w:pPr>
      <w:r>
        <w:rPr>
          <w:rFonts w:ascii="Arial" w:hAnsi="Arial" w:cs="Arial"/>
          <w:i/>
        </w:rPr>
        <w:t>Keywords:</w:t>
      </w:r>
      <w:r w:rsidR="001207EF" w:rsidRPr="001207EF">
        <w:rPr>
          <w:color w:val="000000"/>
          <w:sz w:val="24"/>
          <w:szCs w:val="24"/>
        </w:rPr>
        <w:t xml:space="preserve"> </w:t>
      </w:r>
      <w:r w:rsidR="001207EF" w:rsidRPr="001207EF">
        <w:rPr>
          <w:rFonts w:ascii="Arial" w:hAnsi="Arial" w:cs="Arial"/>
          <w:color w:val="000000"/>
        </w:rPr>
        <w:t>Infections, Antibiotic therapy, Emergencies</w:t>
      </w:r>
      <w:r w:rsidR="00751002">
        <w:rPr>
          <w:rFonts w:ascii="Arial" w:hAnsi="Arial" w:cs="Arial"/>
          <w:color w:val="000000"/>
        </w:rPr>
        <w:t>,</w:t>
      </w:r>
      <w:r w:rsidR="00751002" w:rsidRPr="00751002">
        <w:t xml:space="preserve"> </w:t>
      </w:r>
      <w:r w:rsidR="00751002" w:rsidRPr="00751002">
        <w:rPr>
          <w:rFonts w:ascii="Arial" w:hAnsi="Arial" w:cs="Arial"/>
          <w:color w:val="000000"/>
        </w:rPr>
        <w:t>antibiotic</w:t>
      </w:r>
      <w:r w:rsidR="00751002">
        <w:rPr>
          <w:rFonts w:ascii="Arial" w:hAnsi="Arial" w:cs="Arial"/>
          <w:b/>
          <w:bCs/>
          <w:color w:val="000000"/>
        </w:rPr>
        <w:t xml:space="preserve">, </w:t>
      </w:r>
      <w:r w:rsidR="00751002" w:rsidRPr="00751002">
        <w:rPr>
          <w:rFonts w:ascii="Arial" w:hAnsi="Arial" w:cs="Arial"/>
          <w:b/>
          <w:bCs/>
          <w:color w:val="000000"/>
        </w:rPr>
        <w:t>healthcare</w:t>
      </w:r>
    </w:p>
    <w:p w14:paraId="07B17D05" w14:textId="77777777" w:rsidR="001207EF" w:rsidRDefault="001207EF" w:rsidP="00524B0A">
      <w:pPr>
        <w:pStyle w:val="Body"/>
        <w:spacing w:after="0"/>
        <w:rPr>
          <w:rFonts w:ascii="Arial" w:hAnsi="Arial" w:cs="Arial"/>
          <w:i/>
        </w:rPr>
      </w:pPr>
    </w:p>
    <w:p w14:paraId="3F15E7D5" w14:textId="77777777" w:rsidR="001207EF" w:rsidRDefault="001207EF" w:rsidP="00524B0A">
      <w:pPr>
        <w:pStyle w:val="Body"/>
        <w:spacing w:after="0"/>
        <w:rPr>
          <w:rFonts w:ascii="Arial" w:hAnsi="Arial" w:cs="Arial"/>
          <w:i/>
        </w:rPr>
      </w:pPr>
    </w:p>
    <w:p w14:paraId="466BA700" w14:textId="77777777" w:rsidR="00505F06" w:rsidRPr="00A24E7E" w:rsidRDefault="00505F06" w:rsidP="00524B0A">
      <w:pPr>
        <w:pStyle w:val="Body"/>
        <w:spacing w:after="0"/>
        <w:rPr>
          <w:rFonts w:ascii="Arial" w:hAnsi="Arial" w:cs="Arial"/>
          <w:i/>
        </w:rPr>
      </w:pPr>
    </w:p>
    <w:p w14:paraId="2AF295ED" w14:textId="77777777" w:rsidR="007F7B32" w:rsidRDefault="00B01FCD" w:rsidP="00524B0A">
      <w:pPr>
        <w:pStyle w:val="AbstHead"/>
        <w:numPr>
          <w:ilvl w:val="0"/>
          <w:numId w:val="31"/>
        </w:numPr>
        <w:spacing w:after="0"/>
        <w:jc w:val="both"/>
        <w:rPr>
          <w:rFonts w:ascii="Arial" w:hAnsi="Arial" w:cs="Arial"/>
        </w:rPr>
      </w:pPr>
      <w:r w:rsidRPr="00FB3A86">
        <w:rPr>
          <w:rFonts w:ascii="Arial" w:hAnsi="Arial" w:cs="Arial"/>
        </w:rPr>
        <w:t>INTRODUCTION</w:t>
      </w:r>
      <w:r w:rsidR="0086419B">
        <w:rPr>
          <w:rFonts w:ascii="Arial" w:hAnsi="Arial" w:cs="Arial"/>
        </w:rPr>
        <w:t xml:space="preserve"> </w:t>
      </w:r>
    </w:p>
    <w:p w14:paraId="376E604B" w14:textId="77777777" w:rsidR="0086419B" w:rsidRDefault="0086419B" w:rsidP="00524B0A">
      <w:pPr>
        <w:pStyle w:val="AbstHead"/>
        <w:spacing w:after="0"/>
        <w:ind w:left="720"/>
        <w:jc w:val="both"/>
        <w:rPr>
          <w:rFonts w:ascii="Arial" w:hAnsi="Arial" w:cs="Arial"/>
        </w:rPr>
      </w:pPr>
    </w:p>
    <w:p w14:paraId="2070E3C2" w14:textId="62399D31" w:rsidR="0086419B" w:rsidRPr="00DF65B2" w:rsidRDefault="008F20FF" w:rsidP="00524B0A">
      <w:pPr>
        <w:jc w:val="both"/>
        <w:rPr>
          <w:rFonts w:ascii="Arial" w:hAnsi="Arial" w:cs="Arial"/>
          <w:color w:val="231F20"/>
          <w:lang w:eastAsia="fr-FR"/>
        </w:rPr>
      </w:pPr>
      <w:r w:rsidRPr="0092079D">
        <w:rPr>
          <w:rFonts w:ascii="Arial" w:hAnsi="Arial" w:cs="Arial"/>
          <w:color w:val="231F20"/>
          <w:highlight w:val="yellow"/>
          <w:lang w:eastAsia="fr-FR"/>
        </w:rPr>
        <w:t>Interventions to improve antibiotic use should target all community-level healthcare or medicine providers substantially contributing to community-wide antibiotic use. Knowledge of indications that trigger antibiotic use, antibiotic dose or treatment duration could guide antibiotic stewardship intervention options. In Burkina Faso, primary health centres should be patients’ first contact when seeking healthcare. Nevertheless, in a prior study, 27% of patients admitted to hospital had used antibiotics without a prior health centre visit</w:t>
      </w:r>
      <w:r w:rsidRPr="008F20FF">
        <w:rPr>
          <w:rFonts w:ascii="Arial" w:hAnsi="Arial" w:cs="Arial"/>
          <w:color w:val="231F20"/>
          <w:highlight w:val="yellow"/>
          <w:lang w:eastAsia="fr-FR"/>
        </w:rPr>
        <w:t xml:space="preserve"> (</w:t>
      </w:r>
      <w:r w:rsidRPr="0092079D">
        <w:rPr>
          <w:rFonts w:ascii="Arial" w:hAnsi="Arial" w:cs="Arial"/>
          <w:color w:val="231F20"/>
          <w:highlight w:val="yellow"/>
          <w:lang w:eastAsia="fr-FR"/>
        </w:rPr>
        <w:t>Valia et al., 2024</w:t>
      </w:r>
      <w:r w:rsidR="00127624">
        <w:rPr>
          <w:rFonts w:ascii="Arial" w:hAnsi="Arial" w:cs="Arial"/>
          <w:color w:val="231F20"/>
          <w:highlight w:val="yellow"/>
          <w:lang w:eastAsia="fr-FR"/>
        </w:rPr>
        <w:t xml:space="preserve">; </w:t>
      </w:r>
      <w:r w:rsidR="00127624" w:rsidRPr="0092079D">
        <w:rPr>
          <w:rFonts w:ascii="Arial" w:hAnsi="Arial" w:cs="Arial"/>
          <w:color w:val="333333"/>
          <w:szCs w:val="27"/>
          <w:highlight w:val="yellow"/>
        </w:rPr>
        <w:t>Ramanath et al., 2024</w:t>
      </w:r>
      <w:r w:rsidRPr="008F20FF">
        <w:rPr>
          <w:rFonts w:ascii="Arial" w:hAnsi="Arial" w:cs="Arial"/>
          <w:color w:val="231F20"/>
          <w:highlight w:val="yellow"/>
          <w:lang w:eastAsia="fr-FR"/>
        </w:rPr>
        <w:t>)</w:t>
      </w:r>
      <w:r w:rsidRPr="0092079D">
        <w:rPr>
          <w:rFonts w:ascii="Arial" w:hAnsi="Arial" w:cs="Arial"/>
          <w:color w:val="231F20"/>
          <w:highlight w:val="yellow"/>
          <w:lang w:eastAsia="fr-FR"/>
        </w:rPr>
        <w:t>.</w:t>
      </w:r>
      <w:r w:rsidRPr="008F20FF">
        <w:rPr>
          <w:rFonts w:ascii="Arial" w:hAnsi="Arial" w:cs="Arial"/>
          <w:color w:val="231F20"/>
          <w:lang w:eastAsia="fr-FR"/>
        </w:rPr>
        <w:t xml:space="preserve"> </w:t>
      </w:r>
      <w:r w:rsidR="0086419B" w:rsidRPr="00DF65B2">
        <w:rPr>
          <w:rFonts w:ascii="Arial" w:hAnsi="Arial" w:cs="Arial"/>
          <w:color w:val="231F20"/>
          <w:lang w:eastAsia="fr-FR"/>
        </w:rPr>
        <w:t xml:space="preserve">Bacterial infections are a frequent reason for consultations and antibiotic prescriptions in everyday practice. The excessive and/or inappropriate use </w:t>
      </w:r>
      <w:r w:rsidR="0086419B" w:rsidRPr="00DF65B2">
        <w:rPr>
          <w:rFonts w:ascii="Arial" w:hAnsi="Arial" w:cs="Arial"/>
          <w:color w:val="231F20"/>
          <w:lang w:eastAsia="fr-FR"/>
        </w:rPr>
        <w:lastRenderedPageBreak/>
        <w:t xml:space="preserve">of antibiotics in the treatment of these infections is at the root of the emergence and dissemination of multi-resistant bacteria in our countries [1]. Antibiotic treatment in medical emergencies is frequent due to the high prevalence of infectious diseases. </w:t>
      </w:r>
      <w:r w:rsidRPr="0092079D">
        <w:rPr>
          <w:rFonts w:ascii="Arial" w:hAnsi="Arial" w:cs="Arial"/>
          <w:color w:val="231F20"/>
          <w:highlight w:val="yellow"/>
          <w:lang w:eastAsia="fr-FR"/>
        </w:rPr>
        <w:t>The global rise of bacterial resistance to these antibiotics which is attributed to many factors such as inappropriate antibiotic consumption and multifaceted evolution of bacterial genome. Consequently, a vulnerable population finds themselves exposed to infections, necessitating reliance on antibiotics for treatment, all while operating within a framework where the regulation of their usage remains largely deficient (</w:t>
      </w:r>
      <w:r w:rsidR="007B5B6C" w:rsidRPr="0092079D">
        <w:rPr>
          <w:rFonts w:ascii="Arial" w:hAnsi="Arial" w:cs="Arial"/>
          <w:color w:val="333333"/>
          <w:sz w:val="22"/>
          <w:szCs w:val="27"/>
          <w:highlight w:val="yellow"/>
        </w:rPr>
        <w:t>Pasupulati</w:t>
      </w:r>
      <w:r w:rsidR="007B5B6C" w:rsidRPr="0092079D">
        <w:rPr>
          <w:rFonts w:ascii="Arial" w:hAnsi="Arial" w:cs="Arial"/>
          <w:color w:val="231F20"/>
          <w:sz w:val="16"/>
          <w:highlight w:val="yellow"/>
          <w:lang w:eastAsia="fr-FR"/>
        </w:rPr>
        <w:t xml:space="preserve"> et al., 2021; </w:t>
      </w:r>
      <w:r w:rsidRPr="0092079D">
        <w:rPr>
          <w:rFonts w:ascii="Arial" w:hAnsi="Arial" w:cs="Arial"/>
          <w:color w:val="231F20"/>
          <w:highlight w:val="yellow"/>
          <w:lang w:eastAsia="fr-FR"/>
        </w:rPr>
        <w:t>Donkor et al., 2025).</w:t>
      </w:r>
    </w:p>
    <w:p w14:paraId="25DE3A08" w14:textId="7B85F67A" w:rsidR="0086419B" w:rsidRPr="00DF65B2" w:rsidRDefault="0086419B" w:rsidP="00524B0A">
      <w:pPr>
        <w:jc w:val="both"/>
        <w:rPr>
          <w:rFonts w:ascii="Arial" w:hAnsi="Arial" w:cs="Arial"/>
          <w:color w:val="231F20"/>
          <w:lang w:eastAsia="fr-FR"/>
        </w:rPr>
      </w:pPr>
      <w:r w:rsidRPr="00DF65B2">
        <w:rPr>
          <w:rFonts w:ascii="Arial" w:hAnsi="Arial" w:cs="Arial"/>
          <w:color w:val="231F20"/>
          <w:lang w:eastAsia="fr-FR"/>
        </w:rPr>
        <w:t xml:space="preserve">The prescription of antibiotics in these departments must be the result of medical reasoning leading to a strong clinical suspicion of bacterial infection [2]. The clinician's choice is </w:t>
      </w:r>
      <w:r w:rsidRPr="0092079D">
        <w:rPr>
          <w:rFonts w:ascii="Arial" w:hAnsi="Arial" w:cs="Arial"/>
          <w:color w:val="231F20"/>
          <w:highlight w:val="yellow"/>
          <w:lang w:eastAsia="fr-FR"/>
        </w:rPr>
        <w:t xml:space="preserve">based on </w:t>
      </w:r>
      <w:r w:rsidR="00A153BF" w:rsidRPr="0092079D">
        <w:rPr>
          <w:rFonts w:ascii="Arial" w:hAnsi="Arial" w:cs="Arial"/>
          <w:color w:val="231F20"/>
          <w:highlight w:val="yellow"/>
          <w:lang w:eastAsia="fr-FR"/>
        </w:rPr>
        <w:t xml:space="preserve">the </w:t>
      </w:r>
      <w:r w:rsidRPr="0092079D">
        <w:rPr>
          <w:rFonts w:ascii="Arial" w:hAnsi="Arial" w:cs="Arial"/>
          <w:color w:val="231F20"/>
          <w:highlight w:val="yellow"/>
          <w:lang w:eastAsia="fr-FR"/>
        </w:rPr>
        <w:t>identification of the source of infection and of</w:t>
      </w:r>
      <w:r w:rsidRPr="00DF65B2">
        <w:rPr>
          <w:rFonts w:ascii="Arial" w:hAnsi="Arial" w:cs="Arial"/>
          <w:color w:val="231F20"/>
          <w:lang w:eastAsia="fr-FR"/>
        </w:rPr>
        <w:t xml:space="preserve"> the patient's condition. This enables diagnostic hypotheses to be put forward, as well as the treatment accepted to be effective for the disease in question. Emergency departments are the main point of entry for patients to hospitals, where most antibiotic treatments are started without further investigation [2, 3]. In this context, emergency antibiotic therapy is a key factor in the fight against antimicrobial resistance. Many countries have set up national action plans to combat antimicrobial resistance (AMR), in which the proper use of antimicrobials is a key priority [4, 5]. Following the example of these countries, Burkina Faso is committed to the fight against antimicrobial resistance through the adoption of its multisectoral action plan in 2017. A practical guide for the correct prescription of antibiotics was developed in 2019 to harmonize patient management in health facilities [6]. </w:t>
      </w:r>
      <w:r w:rsidR="00140BE7">
        <w:rPr>
          <w:rFonts w:ascii="Arial" w:hAnsi="Arial" w:cs="Arial"/>
          <w:color w:val="231F20"/>
          <w:highlight w:val="yellow"/>
          <w:lang w:eastAsia="fr-FR"/>
        </w:rPr>
        <w:t xml:space="preserve"> The present </w:t>
      </w:r>
      <w:r w:rsidR="00A153BF" w:rsidRPr="0092079D">
        <w:rPr>
          <w:rFonts w:ascii="Arial" w:hAnsi="Arial" w:cs="Arial"/>
          <w:color w:val="231F20"/>
          <w:highlight w:val="yellow"/>
          <w:lang w:eastAsia="fr-FR"/>
        </w:rPr>
        <w:t>study aim</w:t>
      </w:r>
      <w:r w:rsidRPr="0092079D">
        <w:rPr>
          <w:rFonts w:ascii="Arial" w:hAnsi="Arial" w:cs="Arial"/>
          <w:color w:val="231F20"/>
          <w:highlight w:val="yellow"/>
          <w:lang w:eastAsia="fr-FR"/>
        </w:rPr>
        <w:t>s to assess the quality</w:t>
      </w:r>
      <w:r w:rsidRPr="00DF65B2">
        <w:rPr>
          <w:rFonts w:ascii="Arial" w:hAnsi="Arial" w:cs="Arial"/>
          <w:color w:val="231F20"/>
          <w:lang w:eastAsia="fr-FR"/>
        </w:rPr>
        <w:t xml:space="preserve"> of antibiotic prescribing in medical emergencies in order to improve their use in health facilities.</w:t>
      </w:r>
    </w:p>
    <w:p w14:paraId="5965135B" w14:textId="77777777" w:rsidR="00790ADA" w:rsidRPr="00FB3A86" w:rsidRDefault="00790ADA" w:rsidP="00524B0A">
      <w:pPr>
        <w:pStyle w:val="AbstHead"/>
        <w:spacing w:after="0"/>
        <w:jc w:val="both"/>
        <w:rPr>
          <w:rFonts w:ascii="Arial" w:hAnsi="Arial" w:cs="Arial"/>
        </w:rPr>
      </w:pPr>
    </w:p>
    <w:p w14:paraId="15A46AB8" w14:textId="77777777" w:rsidR="00790ADA" w:rsidRPr="00FB3A86" w:rsidRDefault="00790ADA" w:rsidP="00524B0A">
      <w:pPr>
        <w:pStyle w:val="Body"/>
        <w:spacing w:after="0"/>
        <w:rPr>
          <w:rFonts w:ascii="Arial" w:hAnsi="Arial" w:cs="Arial"/>
        </w:rPr>
      </w:pPr>
    </w:p>
    <w:p w14:paraId="5F9ED475" w14:textId="77777777" w:rsidR="007F7B32" w:rsidRDefault="00902823" w:rsidP="00524B0A">
      <w:pPr>
        <w:pStyle w:val="AbstHead"/>
        <w:spacing w:after="0"/>
        <w:jc w:val="both"/>
        <w:rPr>
          <w:rFonts w:ascii="Arial" w:hAnsi="Arial" w:cs="Arial"/>
        </w:rPr>
      </w:pPr>
      <w:r>
        <w:rPr>
          <w:rFonts w:ascii="Arial" w:hAnsi="Arial" w:cs="Arial"/>
        </w:rPr>
        <w:t>2. material and method</w:t>
      </w:r>
      <w:r w:rsidR="00BB4ED2">
        <w:rPr>
          <w:rFonts w:ascii="Arial" w:hAnsi="Arial" w:cs="Arial"/>
        </w:rPr>
        <w:t xml:space="preserve">s </w:t>
      </w:r>
    </w:p>
    <w:p w14:paraId="6B496E82" w14:textId="77777777" w:rsidR="00790ADA" w:rsidRPr="00FB3A86" w:rsidRDefault="00790ADA" w:rsidP="00524B0A">
      <w:pPr>
        <w:pStyle w:val="AbstHead"/>
        <w:spacing w:after="0"/>
        <w:jc w:val="both"/>
        <w:rPr>
          <w:rFonts w:ascii="Arial" w:hAnsi="Arial" w:cs="Arial"/>
        </w:rPr>
      </w:pPr>
    </w:p>
    <w:p w14:paraId="7B21618A" w14:textId="77777777" w:rsidR="0040159A" w:rsidRPr="00672A33" w:rsidRDefault="0040159A" w:rsidP="00524B0A">
      <w:pPr>
        <w:jc w:val="both"/>
        <w:rPr>
          <w:rFonts w:ascii="Arial" w:hAnsi="Arial" w:cs="Arial"/>
          <w:b/>
          <w:color w:val="231F20"/>
          <w:lang w:eastAsia="fr-FR"/>
        </w:rPr>
      </w:pPr>
      <w:r w:rsidRPr="00672A33">
        <w:rPr>
          <w:rFonts w:ascii="Arial" w:hAnsi="Arial" w:cs="Arial"/>
          <w:b/>
          <w:color w:val="231F20"/>
          <w:lang w:eastAsia="fr-FR"/>
        </w:rPr>
        <w:t xml:space="preserve">2.1 Study setting </w:t>
      </w:r>
    </w:p>
    <w:p w14:paraId="4AA7F620" w14:textId="77777777" w:rsidR="0040159A" w:rsidRPr="00672A33" w:rsidRDefault="0040159A" w:rsidP="00524B0A">
      <w:pPr>
        <w:jc w:val="both"/>
        <w:rPr>
          <w:rFonts w:ascii="Arial" w:hAnsi="Arial" w:cs="Arial"/>
          <w:color w:val="231F20"/>
          <w:lang w:eastAsia="fr-FR"/>
        </w:rPr>
      </w:pPr>
      <w:r w:rsidRPr="00672A33">
        <w:rPr>
          <w:rFonts w:ascii="Arial" w:hAnsi="Arial" w:cs="Arial"/>
          <w:color w:val="231F20"/>
          <w:lang w:eastAsia="fr-FR"/>
        </w:rPr>
        <w:t xml:space="preserve">The study was carried out in the town of Gaoua in south-west Burkina Faso, 45 km north of the Ivorian border and 30 km west of the Ghanaian border. The region has two main climatic seasons: a wet season lasting around 7 months from April to October, and a dry season lasting 05 months from November to March. </w:t>
      </w:r>
    </w:p>
    <w:p w14:paraId="289A015E" w14:textId="77777777" w:rsidR="0040159A" w:rsidRPr="00672A33" w:rsidRDefault="0040159A" w:rsidP="00524B0A">
      <w:pPr>
        <w:jc w:val="both"/>
        <w:rPr>
          <w:rFonts w:ascii="Arial" w:hAnsi="Arial" w:cs="Arial"/>
          <w:b/>
          <w:color w:val="231F20"/>
          <w:lang w:eastAsia="fr-FR"/>
        </w:rPr>
      </w:pPr>
      <w:r w:rsidRPr="00672A33">
        <w:rPr>
          <w:rFonts w:ascii="Arial" w:hAnsi="Arial" w:cs="Arial"/>
          <w:b/>
          <w:color w:val="231F20"/>
          <w:lang w:eastAsia="fr-FR"/>
        </w:rPr>
        <w:t>2.2 Study design and patient selection</w:t>
      </w:r>
    </w:p>
    <w:p w14:paraId="37334186" w14:textId="5D4D924A" w:rsidR="0040159A" w:rsidRPr="00672A33" w:rsidRDefault="0040159A" w:rsidP="00524B0A">
      <w:pPr>
        <w:jc w:val="both"/>
        <w:rPr>
          <w:rFonts w:ascii="Arial" w:hAnsi="Arial" w:cs="Arial"/>
          <w:color w:val="231F20"/>
          <w:lang w:eastAsia="fr-FR"/>
        </w:rPr>
      </w:pPr>
      <w:r w:rsidRPr="00672A33">
        <w:rPr>
          <w:rFonts w:ascii="Arial" w:hAnsi="Arial" w:cs="Arial"/>
          <w:color w:val="231F20"/>
          <w:lang w:eastAsia="fr-FR"/>
        </w:rPr>
        <w:t xml:space="preserve">This was a prospective, descriptive, observational study conducted from April 01 to May 31, 2021, on initial antibiotic prescribing in the emergency department of the regional hospital  (CHR) de Gaoua, verifying its adequacy with the antibiotic therapy referential in Burkina Faso (BF) [6]. Our study included patients for whom antibiotic therapy had been prescribed and administered in the department. Antibiotic </w:t>
      </w:r>
      <w:r w:rsidRPr="0092079D">
        <w:rPr>
          <w:rFonts w:ascii="Arial" w:hAnsi="Arial" w:cs="Arial"/>
          <w:color w:val="231F20"/>
          <w:highlight w:val="yellow"/>
          <w:lang w:eastAsia="fr-FR"/>
        </w:rPr>
        <w:t xml:space="preserve">prescriptions </w:t>
      </w:r>
      <w:r w:rsidR="00C71F08" w:rsidRPr="0092079D">
        <w:rPr>
          <w:rFonts w:ascii="Arial" w:hAnsi="Arial" w:cs="Arial"/>
          <w:color w:val="231F20"/>
          <w:highlight w:val="yellow"/>
          <w:lang w:eastAsia="fr-FR"/>
        </w:rPr>
        <w:t xml:space="preserve">were </w:t>
      </w:r>
      <w:r w:rsidRPr="0092079D">
        <w:rPr>
          <w:rFonts w:ascii="Arial" w:hAnsi="Arial" w:cs="Arial"/>
          <w:color w:val="231F20"/>
          <w:highlight w:val="yellow"/>
          <w:lang w:eastAsia="fr-FR"/>
        </w:rPr>
        <w:t>not administ</w:t>
      </w:r>
      <w:r w:rsidRPr="00672A33">
        <w:rPr>
          <w:rFonts w:ascii="Arial" w:hAnsi="Arial" w:cs="Arial"/>
          <w:color w:val="231F20"/>
          <w:lang w:eastAsia="fr-FR"/>
        </w:rPr>
        <w:t>ered on the ward and those who did not give verbal consent were not included. All infections with a presumed bacterial cause requiring an antibiotic prescription as referenced in the guide to good antibiotic prescribing in BF [6] were considered as indicated. All situations to the contrary were considered as not indicated, and the antibiotic(s) prescribed according to their indication, which respected the criteria of the BF recommendations: dosage, route and rhythm of administration, were considered compliant prescriptions. If any of these criteria were not met, the prescription was considered non-compliant.</w:t>
      </w:r>
    </w:p>
    <w:p w14:paraId="44658B5E" w14:textId="77777777" w:rsidR="0040159A" w:rsidRPr="00672A33" w:rsidRDefault="0040159A" w:rsidP="00524B0A">
      <w:pPr>
        <w:jc w:val="both"/>
        <w:rPr>
          <w:rFonts w:ascii="Arial" w:hAnsi="Arial" w:cs="Arial"/>
          <w:b/>
          <w:color w:val="231F20"/>
          <w:lang w:eastAsia="fr-FR"/>
        </w:rPr>
      </w:pPr>
      <w:r w:rsidRPr="00672A33">
        <w:rPr>
          <w:rFonts w:ascii="Arial" w:hAnsi="Arial" w:cs="Arial"/>
          <w:b/>
          <w:color w:val="231F20"/>
          <w:lang w:eastAsia="fr-FR"/>
        </w:rPr>
        <w:t xml:space="preserve">2.3 Data collection and analysis </w:t>
      </w:r>
    </w:p>
    <w:p w14:paraId="06A07F40" w14:textId="77777777" w:rsidR="00AA74E0" w:rsidRPr="00672A33" w:rsidRDefault="0040159A" w:rsidP="00524B0A">
      <w:pPr>
        <w:jc w:val="both"/>
        <w:rPr>
          <w:rFonts w:ascii="Arial" w:hAnsi="Arial" w:cs="Arial"/>
          <w:color w:val="231F20"/>
          <w:lang w:eastAsia="fr-FR"/>
        </w:rPr>
      </w:pPr>
      <w:r w:rsidRPr="00672A33">
        <w:rPr>
          <w:rFonts w:ascii="Arial" w:hAnsi="Arial" w:cs="Arial"/>
          <w:color w:val="231F20"/>
          <w:lang w:eastAsia="fr-FR"/>
        </w:rPr>
        <w:t>Patients meeting the inclusion criteria were systematically recruited using a questionnaire. This questionnaire was drawn up under the direction of an infectiologist in accordance with the recommendations for the proper use of antibiotics of the BF Ministry of Health, version 2019. Each questionnaire was completed by an emergency physician on the ward. The data collected were then evaluated by two infectiologists, who were responsible for indicating any treatment errors and, in the event of erroneous therapy, the ideal treatment in line with the protocol established by BF. The main variables studied concerned treatment modalities: antibiotics prescribed, families, indications, dosage, route of administration, compliance of the prescription with the patient's problem. The data collected were entered using Microsoft Excel spreadsheet version 10 of 2013. There were no corrections for missing data and analyzed using Stata 2013 software. Qualitative variables were reported as counts and frequencies, and quantitative variables as means (standard deviation).</w:t>
      </w:r>
    </w:p>
    <w:p w14:paraId="563E7584" w14:textId="77777777" w:rsidR="00790ADA" w:rsidRPr="00672A33" w:rsidRDefault="00790ADA" w:rsidP="00524B0A">
      <w:pPr>
        <w:pStyle w:val="Body"/>
        <w:spacing w:after="0"/>
        <w:rPr>
          <w:rFonts w:ascii="Arial" w:hAnsi="Arial" w:cs="Arial"/>
        </w:rPr>
      </w:pPr>
    </w:p>
    <w:p w14:paraId="352F3CCB" w14:textId="77777777" w:rsidR="00902823" w:rsidRPr="00672A33" w:rsidRDefault="00000F8F" w:rsidP="00524B0A">
      <w:pPr>
        <w:pStyle w:val="Head1"/>
        <w:numPr>
          <w:ilvl w:val="0"/>
          <w:numId w:val="33"/>
        </w:numPr>
        <w:spacing w:after="0"/>
        <w:jc w:val="both"/>
        <w:rPr>
          <w:rFonts w:ascii="Arial" w:hAnsi="Arial" w:cs="Arial"/>
          <w:sz w:val="20"/>
        </w:rPr>
      </w:pPr>
      <w:r w:rsidRPr="00672A33">
        <w:rPr>
          <w:rFonts w:ascii="Arial" w:hAnsi="Arial" w:cs="Arial"/>
          <w:sz w:val="20"/>
        </w:rPr>
        <w:t>results and discussion</w:t>
      </w:r>
    </w:p>
    <w:p w14:paraId="4A6D4552" w14:textId="77777777" w:rsidR="00790ADA" w:rsidRDefault="00790ADA" w:rsidP="00524B0A">
      <w:pPr>
        <w:pStyle w:val="Head1"/>
        <w:spacing w:after="0"/>
        <w:jc w:val="both"/>
        <w:rPr>
          <w:rFonts w:ascii="Arial" w:hAnsi="Arial" w:cs="Arial"/>
        </w:rPr>
      </w:pPr>
    </w:p>
    <w:p w14:paraId="5D0937EC" w14:textId="77777777" w:rsidR="001B41A5" w:rsidRPr="00FB3A86" w:rsidRDefault="001B41A5" w:rsidP="00524B0A">
      <w:pPr>
        <w:pStyle w:val="Head1"/>
        <w:spacing w:after="0"/>
        <w:jc w:val="both"/>
        <w:rPr>
          <w:rFonts w:ascii="Arial" w:hAnsi="Arial" w:cs="Arial"/>
        </w:rPr>
      </w:pPr>
    </w:p>
    <w:p w14:paraId="45B35078" w14:textId="77777777" w:rsidR="00182D59" w:rsidRPr="00182D59" w:rsidRDefault="00182D59" w:rsidP="00524B0A">
      <w:pPr>
        <w:pStyle w:val="Body"/>
        <w:rPr>
          <w:rFonts w:ascii="Arial" w:hAnsi="Arial" w:cs="Arial"/>
          <w:b/>
        </w:rPr>
      </w:pPr>
      <w:r w:rsidRPr="00182D59">
        <w:rPr>
          <w:rFonts w:ascii="Arial" w:hAnsi="Arial" w:cs="Arial"/>
          <w:b/>
        </w:rPr>
        <w:t>3.1</w:t>
      </w:r>
      <w:r w:rsidR="00DF65B2">
        <w:rPr>
          <w:rFonts w:ascii="Arial" w:hAnsi="Arial" w:cs="Arial"/>
          <w:b/>
        </w:rPr>
        <w:t>.1</w:t>
      </w:r>
      <w:r w:rsidRPr="00182D59">
        <w:rPr>
          <w:rFonts w:ascii="Arial" w:hAnsi="Arial" w:cs="Arial"/>
          <w:b/>
        </w:rPr>
        <w:t xml:space="preserve"> General data </w:t>
      </w:r>
    </w:p>
    <w:p w14:paraId="0B22EF7A" w14:textId="77777777" w:rsidR="00182D59" w:rsidRDefault="00182D59" w:rsidP="00524B0A">
      <w:pPr>
        <w:pStyle w:val="Body"/>
        <w:rPr>
          <w:rFonts w:ascii="Arial" w:hAnsi="Arial" w:cs="Arial"/>
        </w:rPr>
      </w:pPr>
      <w:r w:rsidRPr="00182D59">
        <w:rPr>
          <w:rFonts w:ascii="Arial" w:hAnsi="Arial" w:cs="Arial"/>
        </w:rPr>
        <w:t xml:space="preserve">During our study period, 181 of the 382 patients admitted to the emergency department were included (figure 1). </w:t>
      </w:r>
    </w:p>
    <w:p w14:paraId="5649D3AA" w14:textId="77777777" w:rsidR="001B41A5" w:rsidRDefault="001B41A5" w:rsidP="00524B0A">
      <w:pPr>
        <w:pStyle w:val="Body"/>
        <w:rPr>
          <w:rFonts w:ascii="Arial" w:hAnsi="Arial" w:cs="Arial"/>
        </w:rPr>
      </w:pPr>
    </w:p>
    <w:p w14:paraId="694A115F" w14:textId="77777777" w:rsidR="001B41A5" w:rsidRDefault="001B41A5" w:rsidP="00524B0A">
      <w:pPr>
        <w:pStyle w:val="Body"/>
        <w:rPr>
          <w:rFonts w:ascii="Arial" w:hAnsi="Arial" w:cs="Arial"/>
        </w:rPr>
      </w:pPr>
    </w:p>
    <w:p w14:paraId="598969F0" w14:textId="77777777" w:rsidR="001B41A5" w:rsidRDefault="001B41A5" w:rsidP="00524B0A">
      <w:pPr>
        <w:pStyle w:val="Body"/>
        <w:rPr>
          <w:rFonts w:ascii="Arial" w:hAnsi="Arial" w:cs="Arial"/>
        </w:rPr>
      </w:pPr>
    </w:p>
    <w:p w14:paraId="07B202C5" w14:textId="77777777" w:rsidR="001B41A5" w:rsidRDefault="001B41A5" w:rsidP="00524B0A">
      <w:pPr>
        <w:pStyle w:val="Body"/>
        <w:rPr>
          <w:rFonts w:ascii="Arial" w:hAnsi="Arial" w:cs="Arial"/>
        </w:rPr>
      </w:pPr>
    </w:p>
    <w:p w14:paraId="5320E63B" w14:textId="77777777" w:rsidR="001B41A5" w:rsidRDefault="001B41A5" w:rsidP="00524B0A">
      <w:pPr>
        <w:pStyle w:val="Body"/>
        <w:rPr>
          <w:rFonts w:ascii="Arial" w:hAnsi="Arial" w:cs="Arial"/>
        </w:rPr>
      </w:pPr>
    </w:p>
    <w:p w14:paraId="302D34C9" w14:textId="77777777" w:rsidR="001B41A5" w:rsidRPr="00182D59" w:rsidRDefault="001B41A5" w:rsidP="00524B0A">
      <w:pPr>
        <w:pStyle w:val="Body"/>
        <w:rPr>
          <w:rFonts w:ascii="Arial" w:hAnsi="Arial" w:cs="Arial"/>
        </w:rPr>
      </w:pPr>
    </w:p>
    <w:p w14:paraId="514EC435" w14:textId="77777777" w:rsidR="00DF65B2" w:rsidRPr="006F4602" w:rsidRDefault="00DF65B2" w:rsidP="00524B0A">
      <w:pPr>
        <w:spacing w:line="360" w:lineRule="auto"/>
        <w:jc w:val="both"/>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59264" behindDoc="0" locked="0" layoutInCell="1" allowOverlap="1" wp14:anchorId="0A86991D" wp14:editId="68ACB0E5">
                <wp:simplePos x="0" y="0"/>
                <wp:positionH relativeFrom="column">
                  <wp:posOffset>1767987</wp:posOffset>
                </wp:positionH>
                <wp:positionV relativeFrom="paragraph">
                  <wp:posOffset>245305</wp:posOffset>
                </wp:positionV>
                <wp:extent cx="2171700" cy="52387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2171700" cy="523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C7CBE" id="Rectangle 6" o:spid="_x0000_s1026" style="position:absolute;margin-left:139.2pt;margin-top:19.3pt;width:171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" filled="f" strokecolor="windowText" strokeweight="3pt"/>
            </w:pict>
          </mc:Fallback>
        </mc:AlternateContent>
      </w:r>
    </w:p>
    <w:p w14:paraId="55CA0024" w14:textId="77777777" w:rsidR="00DF65B2" w:rsidRDefault="00DF65B2" w:rsidP="00524B0A">
      <w:pPr>
        <w:tabs>
          <w:tab w:val="left" w:pos="3768"/>
        </w:tabs>
        <w:spacing w:line="360" w:lineRule="auto"/>
        <w:jc w:val="both"/>
        <w:rPr>
          <w:rFonts w:ascii="Times New Roman" w:hAnsi="Times New Roman"/>
          <w:sz w:val="24"/>
          <w:szCs w:val="24"/>
        </w:rPr>
      </w:pPr>
      <w:r w:rsidRPr="006F4602">
        <w:rPr>
          <w:rFonts w:ascii="Times New Roman" w:hAnsi="Times New Roman"/>
          <w:sz w:val="24"/>
          <w:szCs w:val="24"/>
        </w:rPr>
        <w:tab/>
        <w:t>382</w:t>
      </w:r>
    </w:p>
    <w:p w14:paraId="41744B95" w14:textId="77777777" w:rsidR="00DF65B2" w:rsidRPr="00E541AA" w:rsidRDefault="00DF65B2" w:rsidP="00524B0A">
      <w:pPr>
        <w:tabs>
          <w:tab w:val="left" w:pos="3768"/>
        </w:tabs>
        <w:spacing w:line="360" w:lineRule="auto"/>
        <w:jc w:val="both"/>
        <w:rPr>
          <w:rFonts w:ascii="Times New Roman" w:hAnsi="Times New Roman"/>
          <w:sz w:val="24"/>
          <w:szCs w:val="24"/>
        </w:rPr>
      </w:pPr>
    </w:p>
    <w:p w14:paraId="25845930" w14:textId="77777777" w:rsidR="00DF65B2" w:rsidRPr="006F4602" w:rsidRDefault="00DF65B2" w:rsidP="00524B0A">
      <w:pPr>
        <w:spacing w:line="360" w:lineRule="auto"/>
        <w:jc w:val="both"/>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4384" behindDoc="0" locked="0" layoutInCell="1" allowOverlap="1" wp14:anchorId="440B2658" wp14:editId="7ACAE00C">
                <wp:simplePos x="0" y="0"/>
                <wp:positionH relativeFrom="column">
                  <wp:posOffset>2818667</wp:posOffset>
                </wp:positionH>
                <wp:positionV relativeFrom="paragraph">
                  <wp:posOffset>5422</wp:posOffset>
                </wp:positionV>
                <wp:extent cx="0" cy="504825"/>
                <wp:effectExtent l="19050" t="0" r="19050" b="28575"/>
                <wp:wrapNone/>
                <wp:docPr id="9" name="Connecteur droit 9"/>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DF24F" id="Connecteur droit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5pt,.45pt" to="221.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" strokecolor="windowText" strokeweight="2.5pt">
                <v:stroke joinstyle="miter"/>
              </v:line>
            </w:pict>
          </mc:Fallback>
        </mc:AlternateContent>
      </w:r>
    </w:p>
    <w:p w14:paraId="615E59E8" w14:textId="77777777" w:rsidR="00DF65B2" w:rsidRPr="006F4602" w:rsidRDefault="00DF65B2" w:rsidP="00524B0A">
      <w:pPr>
        <w:spacing w:line="360" w:lineRule="auto"/>
        <w:jc w:val="both"/>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1312" behindDoc="0" locked="0" layoutInCell="1" allowOverlap="1" wp14:anchorId="540223A5" wp14:editId="711E515F">
                <wp:simplePos x="0" y="0"/>
                <wp:positionH relativeFrom="column">
                  <wp:posOffset>1231900</wp:posOffset>
                </wp:positionH>
                <wp:positionV relativeFrom="paragraph">
                  <wp:posOffset>259080</wp:posOffset>
                </wp:positionV>
                <wp:extent cx="3314700" cy="9525"/>
                <wp:effectExtent l="19050" t="19050" r="19050" b="28575"/>
                <wp:wrapNone/>
                <wp:docPr id="5" name="Connecteur droit 5"/>
                <wp:cNvGraphicFramePr/>
                <a:graphic xmlns:a="http://schemas.openxmlformats.org/drawingml/2006/main">
                  <a:graphicData uri="http://schemas.microsoft.com/office/word/2010/wordprocessingShape">
                    <wps:wsp>
                      <wps:cNvCnPr/>
                      <wps:spPr>
                        <a:xfrm flipH="1" flipV="1">
                          <a:off x="0" y="0"/>
                          <a:ext cx="331470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DB620" id="Connecteur droit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20.4pt" to="35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" strokecolor="windowText" strokeweight="2.25pt">
                <v:stroke joinstyle="miter"/>
              </v:line>
            </w:pict>
          </mc:Fallback>
        </mc:AlternateContent>
      </w:r>
    </w:p>
    <w:p w14:paraId="7BAC0074" w14:textId="77777777" w:rsidR="00DF65B2" w:rsidRPr="006F4602" w:rsidRDefault="001B41A5" w:rsidP="00524B0A">
      <w:pPr>
        <w:spacing w:line="360" w:lineRule="auto"/>
        <w:jc w:val="both"/>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2336" behindDoc="0" locked="0" layoutInCell="1" allowOverlap="1" wp14:anchorId="3324A0F3" wp14:editId="1F3F5270">
                <wp:simplePos x="0" y="0"/>
                <wp:positionH relativeFrom="column">
                  <wp:posOffset>1253637</wp:posOffset>
                </wp:positionH>
                <wp:positionV relativeFrom="paragraph">
                  <wp:posOffset>7278</wp:posOffset>
                </wp:positionV>
                <wp:extent cx="0" cy="504825"/>
                <wp:effectExtent l="19050" t="0" r="19050" b="28575"/>
                <wp:wrapNone/>
                <wp:docPr id="14" name="Connecteur droit 14"/>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6C4E52" id="Connecteur droit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55pt" to="98.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3360" behindDoc="0" locked="0" layoutInCell="1" allowOverlap="1" wp14:anchorId="5B4A4317" wp14:editId="4AFCB03B">
                <wp:simplePos x="0" y="0"/>
                <wp:positionH relativeFrom="column">
                  <wp:posOffset>4517780</wp:posOffset>
                </wp:positionH>
                <wp:positionV relativeFrom="paragraph">
                  <wp:posOffset>7180</wp:posOffset>
                </wp:positionV>
                <wp:extent cx="0" cy="504825"/>
                <wp:effectExtent l="19050" t="0" r="19050" b="28575"/>
                <wp:wrapNone/>
                <wp:docPr id="8" name="Connecteur droit 8"/>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9124F" id="Connecteur droit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5pt,.55pt" to="355.7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" strokecolor="windowText" strokeweight="2.5pt">
                <v:stroke joinstyle="miter"/>
              </v:line>
            </w:pict>
          </mc:Fallback>
        </mc:AlternateContent>
      </w:r>
    </w:p>
    <w:p w14:paraId="109A66EB" w14:textId="77777777" w:rsidR="00182D59" w:rsidRPr="00182D59" w:rsidRDefault="001B41A5" w:rsidP="00524B0A">
      <w:pPr>
        <w:pStyle w:val="Body"/>
        <w:rPr>
          <w:rFonts w:ascii="Arial" w:hAnsi="Arial" w:cs="Arial"/>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0288" behindDoc="0" locked="0" layoutInCell="1" allowOverlap="1" wp14:anchorId="5B01B055" wp14:editId="6AD6921B">
                <wp:simplePos x="0" y="0"/>
                <wp:positionH relativeFrom="margin">
                  <wp:posOffset>138479</wp:posOffset>
                </wp:positionH>
                <wp:positionV relativeFrom="paragraph">
                  <wp:posOffset>239591</wp:posOffset>
                </wp:positionV>
                <wp:extent cx="2171700" cy="523875"/>
                <wp:effectExtent l="19050" t="19050" r="19050" b="28575"/>
                <wp:wrapNone/>
                <wp:docPr id="7" name="Rectangle 7"/>
                <wp:cNvGraphicFramePr/>
                <a:graphic xmlns:a="http://schemas.openxmlformats.org/drawingml/2006/main">
                  <a:graphicData uri="http://schemas.microsoft.com/office/word/2010/wordprocessingShape">
                    <wps:wsp>
                      <wps:cNvSpPr/>
                      <wps:spPr>
                        <a:xfrm>
                          <a:off x="0" y="0"/>
                          <a:ext cx="2171700" cy="523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DC997" id="Rectangle 7" o:spid="_x0000_s1026" style="position:absolute;margin-left:10.9pt;margin-top:18.85pt;width:171pt;height:41.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" filled="f" strokecolor="windowText" strokeweight="3pt">
                <w10:wrap anchorx="margin"/>
              </v:rect>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8480" behindDoc="0" locked="0" layoutInCell="1" allowOverlap="1" wp14:anchorId="44AFFEDC" wp14:editId="2ED10AE0">
                <wp:simplePos x="0" y="0"/>
                <wp:positionH relativeFrom="column">
                  <wp:posOffset>3471985</wp:posOffset>
                </wp:positionH>
                <wp:positionV relativeFrom="paragraph">
                  <wp:posOffset>266504</wp:posOffset>
                </wp:positionV>
                <wp:extent cx="0" cy="504825"/>
                <wp:effectExtent l="19050" t="0" r="19050" b="28575"/>
                <wp:wrapNone/>
                <wp:docPr id="13" name="Connecteur droit 13"/>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20C65" id="Connecteur droit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pt,21pt" to="273.4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6432" behindDoc="0" locked="0" layoutInCell="1" allowOverlap="1" wp14:anchorId="249AFBC2" wp14:editId="68B906C8">
                <wp:simplePos x="0" y="0"/>
                <wp:positionH relativeFrom="column">
                  <wp:posOffset>2426189</wp:posOffset>
                </wp:positionH>
                <wp:positionV relativeFrom="paragraph">
                  <wp:posOffset>769620</wp:posOffset>
                </wp:positionV>
                <wp:extent cx="1905000" cy="466725"/>
                <wp:effectExtent l="19050" t="19050" r="19050" b="28575"/>
                <wp:wrapNone/>
                <wp:docPr id="11" name="Rectangle 11"/>
                <wp:cNvGraphicFramePr/>
                <a:graphic xmlns:a="http://schemas.openxmlformats.org/drawingml/2006/main">
                  <a:graphicData uri="http://schemas.microsoft.com/office/word/2010/wordprocessingShape">
                    <wps:wsp>
                      <wps:cNvSpPr/>
                      <wps:spPr>
                        <a:xfrm>
                          <a:off x="0" y="0"/>
                          <a:ext cx="1905000" cy="4667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F9D5" id="Rectangle 11" o:spid="_x0000_s1026" style="position:absolute;margin-left:191.05pt;margin-top:60.6pt;width:150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" filled="f" strokecolor="windowText" strokeweight="3pt"/>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9504" behindDoc="0" locked="0" layoutInCell="1" allowOverlap="1" wp14:anchorId="1D462789" wp14:editId="2767766E">
                <wp:simplePos x="0" y="0"/>
                <wp:positionH relativeFrom="column">
                  <wp:posOffset>5583115</wp:posOffset>
                </wp:positionH>
                <wp:positionV relativeFrom="paragraph">
                  <wp:posOffset>265235</wp:posOffset>
                </wp:positionV>
                <wp:extent cx="0" cy="504825"/>
                <wp:effectExtent l="19050" t="0" r="19050" b="28575"/>
                <wp:wrapNone/>
                <wp:docPr id="3" name="Connecteur droit 3"/>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5BE77B" id="Connecteur droit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6pt,20.9pt" to="439.6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5408" behindDoc="0" locked="0" layoutInCell="1" allowOverlap="1" wp14:anchorId="473734A0" wp14:editId="2BEAAFB9">
                <wp:simplePos x="0" y="0"/>
                <wp:positionH relativeFrom="margin">
                  <wp:posOffset>3458406</wp:posOffset>
                </wp:positionH>
                <wp:positionV relativeFrom="paragraph">
                  <wp:posOffset>268263</wp:posOffset>
                </wp:positionV>
                <wp:extent cx="2133600" cy="0"/>
                <wp:effectExtent l="19050" t="19050" r="0" b="19050"/>
                <wp:wrapNone/>
                <wp:docPr id="10" name="Connecteur droit 10"/>
                <wp:cNvGraphicFramePr/>
                <a:graphic xmlns:a="http://schemas.openxmlformats.org/drawingml/2006/main">
                  <a:graphicData uri="http://schemas.microsoft.com/office/word/2010/wordprocessingShape">
                    <wps:wsp>
                      <wps:cNvCnPr/>
                      <wps:spPr>
                        <a:xfrm flipH="1" flipV="1">
                          <a:off x="0" y="0"/>
                          <a:ext cx="213360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710E3" id="Connecteur droit 10"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3pt,21.1pt" to="440.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" strokecolor="windowText" strokeweight="2.5pt">
                <v:stroke joinstyle="miter"/>
                <w10:wrap anchorx="margin"/>
              </v:line>
            </w:pict>
          </mc:Fallback>
        </mc:AlternateContent>
      </w:r>
    </w:p>
    <w:p w14:paraId="0E6AF3C1" w14:textId="77777777" w:rsidR="001B41A5" w:rsidRDefault="001B41A5" w:rsidP="00524B0A">
      <w:pPr>
        <w:pStyle w:val="Body"/>
        <w:rPr>
          <w:rFonts w:ascii="Arial" w:hAnsi="Arial" w:cs="Arial"/>
        </w:rPr>
      </w:pPr>
      <w:r>
        <w:rPr>
          <w:rFonts w:ascii="Arial" w:hAnsi="Arial" w:cs="Arial"/>
        </w:rPr>
        <w:t xml:space="preserve">               </w:t>
      </w:r>
    </w:p>
    <w:p w14:paraId="3815F74D" w14:textId="77777777" w:rsidR="00182D59" w:rsidRPr="00182D59" w:rsidRDefault="001B41A5" w:rsidP="00524B0A">
      <w:pPr>
        <w:pStyle w:val="Body"/>
        <w:rPr>
          <w:rFonts w:ascii="Arial" w:hAnsi="Arial" w:cs="Arial"/>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7456" behindDoc="0" locked="0" layoutInCell="1" allowOverlap="1" wp14:anchorId="65641EA0" wp14:editId="4CF7D8D6">
                <wp:simplePos x="0" y="0"/>
                <wp:positionH relativeFrom="column">
                  <wp:posOffset>4428978</wp:posOffset>
                </wp:positionH>
                <wp:positionV relativeFrom="paragraph">
                  <wp:posOffset>172964</wp:posOffset>
                </wp:positionV>
                <wp:extent cx="1905000" cy="466725"/>
                <wp:effectExtent l="19050" t="19050" r="19050" b="28575"/>
                <wp:wrapNone/>
                <wp:docPr id="12" name="Rectangle 12"/>
                <wp:cNvGraphicFramePr/>
                <a:graphic xmlns:a="http://schemas.openxmlformats.org/drawingml/2006/main">
                  <a:graphicData uri="http://schemas.microsoft.com/office/word/2010/wordprocessingShape">
                    <wps:wsp>
                      <wps:cNvSpPr/>
                      <wps:spPr>
                        <a:xfrm>
                          <a:off x="0" y="0"/>
                          <a:ext cx="1905000" cy="4667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B9A9C" id="Rectangle 12" o:spid="_x0000_s1026" style="position:absolute;margin-left:348.75pt;margin-top:13.6pt;width:150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" filled="f" strokecolor="windowText" strokeweight="3pt"/>
            </w:pict>
          </mc:Fallback>
        </mc:AlternateContent>
      </w:r>
      <w:r>
        <w:rPr>
          <w:rFonts w:ascii="Arial" w:hAnsi="Arial" w:cs="Arial"/>
        </w:rPr>
        <w:t xml:space="preserve">            </w:t>
      </w:r>
      <w:r w:rsidRPr="001B41A5">
        <w:rPr>
          <w:rFonts w:ascii="Arial" w:hAnsi="Arial" w:cs="Arial"/>
        </w:rPr>
        <w:t>153  Without antibiotics</w:t>
      </w:r>
    </w:p>
    <w:p w14:paraId="3DBD03B0" w14:textId="77777777" w:rsidR="00182D59" w:rsidRPr="001B41A5" w:rsidRDefault="001B41A5" w:rsidP="00524B0A">
      <w:pPr>
        <w:pStyle w:val="Body"/>
        <w:rPr>
          <w:rFonts w:ascii="Arial" w:hAnsi="Arial" w:cs="Arial"/>
        </w:rPr>
      </w:pPr>
      <w:r>
        <w:rPr>
          <w:rFonts w:ascii="Arial" w:hAnsi="Arial" w:cs="Arial"/>
        </w:rPr>
        <w:t xml:space="preserve">                                                                               </w:t>
      </w:r>
      <w:r w:rsidRPr="001B41A5">
        <w:rPr>
          <w:rFonts w:ascii="Arial" w:hAnsi="Arial" w:cs="Arial"/>
        </w:rPr>
        <w:t xml:space="preserve">48  ambulatory                            </w:t>
      </w:r>
      <w:r>
        <w:rPr>
          <w:rFonts w:ascii="Arial" w:hAnsi="Arial" w:cs="Arial"/>
        </w:rPr>
        <w:t xml:space="preserve"> </w:t>
      </w:r>
      <w:r w:rsidRPr="001B41A5">
        <w:rPr>
          <w:rFonts w:ascii="Arial" w:hAnsi="Arial" w:cs="Arial"/>
          <w:lang w:eastAsia="fr-FR"/>
        </w:rPr>
        <w:t>181 included</w:t>
      </w:r>
    </w:p>
    <w:p w14:paraId="1743520E" w14:textId="77777777" w:rsidR="00182D59" w:rsidRPr="00182D59" w:rsidRDefault="00182D59" w:rsidP="00524B0A">
      <w:pPr>
        <w:pStyle w:val="Body"/>
        <w:rPr>
          <w:rFonts w:ascii="Arial" w:hAnsi="Arial" w:cs="Arial"/>
        </w:rPr>
      </w:pPr>
    </w:p>
    <w:p w14:paraId="0CAF91C5" w14:textId="77777777" w:rsidR="001B41A5" w:rsidRPr="001B41A5" w:rsidRDefault="001B41A5" w:rsidP="00524B0A">
      <w:pPr>
        <w:jc w:val="both"/>
        <w:rPr>
          <w:rFonts w:ascii="Arial" w:hAnsi="Arial" w:cs="Arial"/>
        </w:rPr>
      </w:pPr>
      <w:r w:rsidRPr="001B41A5">
        <w:rPr>
          <w:rFonts w:ascii="Arial" w:hAnsi="Arial" w:cs="Arial"/>
          <w:b/>
        </w:rPr>
        <w:t>Figure 1:</w:t>
      </w:r>
      <w:r w:rsidRPr="001B41A5">
        <w:rPr>
          <w:rFonts w:ascii="Arial" w:hAnsi="Arial" w:cs="Arial"/>
        </w:rPr>
        <w:t xml:space="preserve"> Distribution of patients admitted to medical emergencies</w:t>
      </w:r>
    </w:p>
    <w:p w14:paraId="4677EC43" w14:textId="77777777" w:rsidR="00182D59" w:rsidRPr="00182D59" w:rsidRDefault="00182D59" w:rsidP="00524B0A">
      <w:pPr>
        <w:pStyle w:val="Body"/>
        <w:rPr>
          <w:rFonts w:ascii="Arial" w:hAnsi="Arial" w:cs="Arial"/>
        </w:rPr>
      </w:pPr>
    </w:p>
    <w:p w14:paraId="01AF9AF0" w14:textId="77777777" w:rsidR="00182D59" w:rsidRPr="00182D59" w:rsidRDefault="00182D59" w:rsidP="00524B0A">
      <w:pPr>
        <w:pStyle w:val="Body"/>
        <w:rPr>
          <w:rFonts w:ascii="Arial" w:hAnsi="Arial" w:cs="Arial"/>
        </w:rPr>
      </w:pPr>
    </w:p>
    <w:p w14:paraId="48D79F6F" w14:textId="367CBAF2" w:rsidR="00182D59" w:rsidRPr="00182D59" w:rsidRDefault="00182D59" w:rsidP="00524B0A">
      <w:pPr>
        <w:pStyle w:val="Body"/>
        <w:rPr>
          <w:rFonts w:ascii="Arial" w:hAnsi="Arial" w:cs="Arial"/>
        </w:rPr>
      </w:pPr>
      <w:r w:rsidRPr="00182D59">
        <w:rPr>
          <w:rFonts w:ascii="Arial" w:hAnsi="Arial" w:cs="Arial"/>
        </w:rPr>
        <w:t xml:space="preserve">The prevalence of antibiotic </w:t>
      </w:r>
      <w:r w:rsidRPr="0092079D">
        <w:rPr>
          <w:rFonts w:ascii="Arial" w:hAnsi="Arial" w:cs="Arial"/>
          <w:highlight w:val="yellow"/>
        </w:rPr>
        <w:t>prescription</w:t>
      </w:r>
      <w:r w:rsidR="00F20BFE" w:rsidRPr="0092079D">
        <w:rPr>
          <w:rFonts w:ascii="Arial" w:hAnsi="Arial" w:cs="Arial"/>
          <w:highlight w:val="yellow"/>
        </w:rPr>
        <w:t>s</w:t>
      </w:r>
      <w:r w:rsidRPr="0092079D">
        <w:rPr>
          <w:rFonts w:ascii="Arial" w:hAnsi="Arial" w:cs="Arial"/>
          <w:highlight w:val="yellow"/>
        </w:rPr>
        <w:t xml:space="preserve"> was 47.38</w:t>
      </w:r>
      <w:r w:rsidRPr="00182D59">
        <w:rPr>
          <w:rFonts w:ascii="Arial" w:hAnsi="Arial" w:cs="Arial"/>
        </w:rPr>
        <w:t>%. The average age of patients was 45.59 years, with extremes of 15 and 93 years, and they were predominantly male (63.54%).</w:t>
      </w:r>
    </w:p>
    <w:p w14:paraId="130C52A6" w14:textId="77777777" w:rsidR="00182D59" w:rsidRPr="00182D59" w:rsidRDefault="00182D59" w:rsidP="00524B0A">
      <w:pPr>
        <w:pStyle w:val="Body"/>
        <w:rPr>
          <w:rFonts w:ascii="Arial" w:hAnsi="Arial" w:cs="Arial"/>
        </w:rPr>
      </w:pPr>
    </w:p>
    <w:p w14:paraId="5ACB754E" w14:textId="77777777" w:rsidR="00182D59" w:rsidRPr="00182D59" w:rsidRDefault="00182D59" w:rsidP="00524B0A">
      <w:pPr>
        <w:pStyle w:val="Body"/>
        <w:rPr>
          <w:rFonts w:ascii="Arial" w:hAnsi="Arial" w:cs="Arial"/>
          <w:b/>
        </w:rPr>
      </w:pPr>
      <w:r w:rsidRPr="00182D59">
        <w:rPr>
          <w:rFonts w:ascii="Arial" w:hAnsi="Arial" w:cs="Arial"/>
          <w:b/>
        </w:rPr>
        <w:t>3.</w:t>
      </w:r>
      <w:r w:rsidR="00DF65B2">
        <w:rPr>
          <w:rFonts w:ascii="Arial" w:hAnsi="Arial" w:cs="Arial"/>
          <w:b/>
        </w:rPr>
        <w:t xml:space="preserve"> 1. 2 </w:t>
      </w:r>
      <w:r w:rsidRPr="00182D59">
        <w:rPr>
          <w:rFonts w:ascii="Arial" w:hAnsi="Arial" w:cs="Arial"/>
          <w:b/>
        </w:rPr>
        <w:t xml:space="preserve"> Clinical characteristics</w:t>
      </w:r>
    </w:p>
    <w:p w14:paraId="4A602AB8" w14:textId="77777777" w:rsidR="00182D59" w:rsidRPr="00182D59" w:rsidRDefault="00182D59" w:rsidP="00524B0A">
      <w:pPr>
        <w:pStyle w:val="Body"/>
        <w:rPr>
          <w:rFonts w:ascii="Arial" w:hAnsi="Arial" w:cs="Arial"/>
        </w:rPr>
      </w:pPr>
      <w:r w:rsidRPr="00182D59">
        <w:rPr>
          <w:rFonts w:ascii="Arial" w:hAnsi="Arial" w:cs="Arial"/>
        </w:rPr>
        <w:t xml:space="preserve">The majority of patients admitted to the emergency department were referred from peripheral health facilities in the western region of BF (67.96% of cases). </w:t>
      </w:r>
    </w:p>
    <w:p w14:paraId="6653B892" w14:textId="77777777" w:rsidR="00182D59" w:rsidRPr="00182D59" w:rsidRDefault="00182D59" w:rsidP="00524B0A">
      <w:pPr>
        <w:pStyle w:val="Body"/>
        <w:rPr>
          <w:rFonts w:ascii="Arial" w:hAnsi="Arial" w:cs="Arial"/>
        </w:rPr>
      </w:pPr>
      <w:r w:rsidRPr="00182D59">
        <w:rPr>
          <w:rFonts w:ascii="Arial" w:hAnsi="Arial" w:cs="Arial"/>
        </w:rPr>
        <w:t xml:space="preserve">On admission, 43.85% of patients received antibiotic therapy, of which 56.63% were treated with mono-antibiotics and 37.35% with bi-antibiotics (12.15%). Reasons for admission varied, dominated by digestive symptoms (39.22%), neurological symptoms (28.72%) and followed by respiratory symptoms in 23.30% of cases. </w:t>
      </w:r>
    </w:p>
    <w:p w14:paraId="34DCB02D" w14:textId="77777777" w:rsidR="001C0AC9" w:rsidRPr="00BB4ED2" w:rsidRDefault="00182D59" w:rsidP="00524B0A">
      <w:pPr>
        <w:pStyle w:val="Body"/>
        <w:rPr>
          <w:rFonts w:ascii="Arial" w:hAnsi="Arial" w:cs="Arial"/>
        </w:rPr>
      </w:pPr>
      <w:r w:rsidRPr="00182D59">
        <w:rPr>
          <w:rFonts w:ascii="Arial" w:hAnsi="Arial" w:cs="Arial"/>
        </w:rPr>
        <w:t>Fever was present in 18.80% of patients. Some patients (14.91%) had co-morbidities: arterial hypertension (9.94%), diabetes (9.94%) and HIV immunodepression (4.97%). Our patients had no known allergy to antibiotics. Prescriptions were made by general practitioners (62.3%), compared with 37.7% of prescriptions by the department's nurses. These prescriptions concerned digestive tract infections (38.70%), bronchopulmonary infections (18.77) and bacteremia in 6.62% of cases (figure 2).</w:t>
      </w:r>
    </w:p>
    <w:p w14:paraId="115F80D9" w14:textId="77777777" w:rsidR="001B41A5" w:rsidRPr="00182D59" w:rsidRDefault="001C0AC9" w:rsidP="00524B0A">
      <w:pPr>
        <w:pStyle w:val="Body"/>
        <w:rPr>
          <w:rFonts w:ascii="Arial" w:hAnsi="Arial" w:cs="Arial"/>
        </w:rPr>
      </w:pPr>
      <w:r>
        <w:rPr>
          <w:noProof/>
          <w:lang w:val="fr-FR" w:eastAsia="fr-FR"/>
        </w:rPr>
        <w:lastRenderedPageBreak/>
        <w:drawing>
          <wp:inline distT="0" distB="0" distL="0" distR="0" wp14:anchorId="5B46551E" wp14:editId="343C55C3">
            <wp:extent cx="5212080" cy="3040380"/>
            <wp:effectExtent l="0" t="0" r="7620" b="762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EB7C9" w14:textId="77777777" w:rsidR="001C0AC9" w:rsidRDefault="001C0AC9" w:rsidP="00524B0A">
      <w:pPr>
        <w:pStyle w:val="Body"/>
        <w:rPr>
          <w:rFonts w:ascii="Arial" w:hAnsi="Arial" w:cs="Arial"/>
        </w:rPr>
      </w:pPr>
      <w:r w:rsidRPr="001C0AC9">
        <w:rPr>
          <w:rFonts w:ascii="Arial" w:hAnsi="Arial" w:cs="Arial"/>
          <w:b/>
        </w:rPr>
        <w:t xml:space="preserve">Figure 2 : </w:t>
      </w:r>
      <w:r w:rsidRPr="001C0AC9">
        <w:rPr>
          <w:rFonts w:ascii="Arial" w:hAnsi="Arial" w:cs="Arial"/>
        </w:rPr>
        <w:t>Distribution of patients according to diagnostic orientations on admission</w:t>
      </w:r>
    </w:p>
    <w:p w14:paraId="563D6146" w14:textId="77777777" w:rsidR="00182D59" w:rsidRDefault="00182D59" w:rsidP="00524B0A">
      <w:pPr>
        <w:pStyle w:val="Body"/>
        <w:rPr>
          <w:rFonts w:ascii="Arial" w:hAnsi="Arial" w:cs="Arial"/>
        </w:rPr>
      </w:pPr>
      <w:r w:rsidRPr="00182D59">
        <w:rPr>
          <w:rFonts w:ascii="Arial" w:hAnsi="Arial" w:cs="Arial"/>
        </w:rPr>
        <w:t>Betalactam antibiotics were the most prescribed antibiotic families. Cephremia accounted for 82.27% of prescriptions, followed by penems with 17.73%. Aminoglycosides, on the other hand, were used very little (figure 3).</w:t>
      </w:r>
    </w:p>
    <w:p w14:paraId="0BC9B0AC" w14:textId="77777777" w:rsidR="00BB4ED2" w:rsidRDefault="00BB4ED2" w:rsidP="00524B0A">
      <w:pPr>
        <w:jc w:val="both"/>
      </w:pPr>
      <w:r>
        <w:rPr>
          <w:noProof/>
          <w:lang w:val="fr-FR" w:eastAsia="fr-FR"/>
        </w:rPr>
        <w:drawing>
          <wp:inline distT="0" distB="0" distL="0" distR="0" wp14:anchorId="09B2E8F8" wp14:editId="2FA01E61">
            <wp:extent cx="6423660" cy="3223260"/>
            <wp:effectExtent l="0" t="0" r="15240" b="1524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8B5BB9" w14:textId="77777777" w:rsidR="00BB4ED2" w:rsidRPr="00BB4ED2" w:rsidRDefault="00BB4ED2" w:rsidP="00524B0A">
      <w:pPr>
        <w:pStyle w:val="HTMLPreformatted"/>
        <w:jc w:val="both"/>
        <w:rPr>
          <w:rFonts w:ascii="Arial" w:hAnsi="Arial" w:cs="Arial"/>
        </w:rPr>
      </w:pPr>
      <w:bookmarkStart w:id="0" w:name="_Toc115696342"/>
      <w:bookmarkStart w:id="1" w:name="_Toc115698502"/>
      <w:r w:rsidRPr="006F4602">
        <w:rPr>
          <w:rFonts w:ascii="Times New Roman" w:hAnsi="Times New Roman" w:cs="Times New Roman"/>
          <w:b/>
          <w:bCs/>
          <w:sz w:val="24"/>
          <w:szCs w:val="24"/>
        </w:rPr>
        <w:t>Figure 3</w:t>
      </w:r>
      <w:r w:rsidRPr="006F4602">
        <w:rPr>
          <w:rFonts w:ascii="Times New Roman" w:hAnsi="Times New Roman" w:cs="Times New Roman"/>
          <w:sz w:val="24"/>
          <w:szCs w:val="24"/>
        </w:rPr>
        <w:t xml:space="preserve"> </w:t>
      </w:r>
      <w:r w:rsidRPr="00427290">
        <w:rPr>
          <w:rFonts w:ascii="Times New Roman" w:hAnsi="Times New Roman" w:cs="Times New Roman"/>
          <w:sz w:val="24"/>
          <w:szCs w:val="24"/>
        </w:rPr>
        <w:t xml:space="preserve">: </w:t>
      </w:r>
      <w:bookmarkEnd w:id="0"/>
      <w:bookmarkEnd w:id="1"/>
      <w:r w:rsidRPr="00BB4ED2">
        <w:rPr>
          <w:rFonts w:ascii="Arial" w:hAnsi="Arial" w:cs="Arial"/>
          <w:lang w:val="en"/>
        </w:rPr>
        <w:t>Distribution of different antibiotics prescribed to patients</w:t>
      </w:r>
    </w:p>
    <w:p w14:paraId="244AAC9D" w14:textId="77777777" w:rsidR="00BB4ED2" w:rsidRDefault="00BB4ED2" w:rsidP="00524B0A">
      <w:pPr>
        <w:pStyle w:val="Body"/>
        <w:rPr>
          <w:rFonts w:ascii="Arial" w:hAnsi="Arial" w:cs="Arial"/>
        </w:rPr>
      </w:pPr>
    </w:p>
    <w:p w14:paraId="5FCCC5CB" w14:textId="77777777" w:rsidR="00BB4ED2" w:rsidRPr="00182D59" w:rsidRDefault="00BB4ED2" w:rsidP="00524B0A">
      <w:pPr>
        <w:pStyle w:val="Body"/>
        <w:rPr>
          <w:rFonts w:ascii="Arial" w:hAnsi="Arial" w:cs="Arial"/>
        </w:rPr>
      </w:pPr>
    </w:p>
    <w:p w14:paraId="4DCCF6E1" w14:textId="77777777" w:rsidR="00182D59" w:rsidRPr="00182D59" w:rsidRDefault="00182D59" w:rsidP="00524B0A">
      <w:pPr>
        <w:pStyle w:val="Body"/>
        <w:rPr>
          <w:rFonts w:ascii="Arial" w:hAnsi="Arial" w:cs="Arial"/>
        </w:rPr>
      </w:pPr>
      <w:r w:rsidRPr="00182D59">
        <w:rPr>
          <w:rFonts w:ascii="Arial" w:hAnsi="Arial" w:cs="Arial"/>
        </w:rPr>
        <w:t xml:space="preserve">Mono-antibiotic therapy was used in 48.06% of cases, followed by bi-antibiotic therapy (47.51%) and </w:t>
      </w:r>
      <w:r>
        <w:rPr>
          <w:rFonts w:ascii="Arial" w:hAnsi="Arial" w:cs="Arial"/>
        </w:rPr>
        <w:t>tri-antibiotic therapy (4.41%).</w:t>
      </w:r>
    </w:p>
    <w:p w14:paraId="4B27F26D" w14:textId="77777777" w:rsidR="00182D59" w:rsidRPr="00182D59" w:rsidRDefault="00DF65B2" w:rsidP="00524B0A">
      <w:pPr>
        <w:pStyle w:val="Body"/>
        <w:rPr>
          <w:rFonts w:ascii="Arial" w:hAnsi="Arial" w:cs="Arial"/>
          <w:b/>
        </w:rPr>
      </w:pPr>
      <w:r>
        <w:rPr>
          <w:rFonts w:ascii="Arial" w:hAnsi="Arial" w:cs="Arial"/>
          <w:b/>
        </w:rPr>
        <w:t>3.1.3</w:t>
      </w:r>
      <w:r w:rsidR="00182D59" w:rsidRPr="00182D59">
        <w:rPr>
          <w:rFonts w:ascii="Arial" w:hAnsi="Arial" w:cs="Arial"/>
          <w:b/>
        </w:rPr>
        <w:t xml:space="preserve"> Biological characteristics </w:t>
      </w:r>
    </w:p>
    <w:p w14:paraId="568C0D86" w14:textId="77777777" w:rsidR="00182D59" w:rsidRPr="00182D59" w:rsidRDefault="00182D59" w:rsidP="00524B0A">
      <w:pPr>
        <w:pStyle w:val="Body"/>
        <w:rPr>
          <w:rFonts w:ascii="Arial" w:hAnsi="Arial" w:cs="Arial"/>
        </w:rPr>
      </w:pPr>
      <w:r w:rsidRPr="00182D59">
        <w:rPr>
          <w:rFonts w:ascii="Arial" w:hAnsi="Arial" w:cs="Arial"/>
        </w:rPr>
        <w:lastRenderedPageBreak/>
        <w:t>Ninety-two microbiological samples were taken. Of these, 44 were taken for coproculture, 31 for UCE, 10 CSF</w:t>
      </w:r>
      <w:r w:rsidR="001C0AC9" w:rsidRPr="00182D59">
        <w:rPr>
          <w:rFonts w:ascii="Arial" w:hAnsi="Arial" w:cs="Arial"/>
        </w:rPr>
        <w:t>, UCE</w:t>
      </w:r>
      <w:r w:rsidRPr="00182D59">
        <w:rPr>
          <w:rFonts w:ascii="Arial" w:hAnsi="Arial" w:cs="Arial"/>
        </w:rPr>
        <w:t xml:space="preserve"> and 7 for blood cultures. Nineteen germs were isolated: nine Gram-positive cocci (4 Staphylococcus aureus, 3 Streptococcus pneumoniae and 2 enterococci spp.) and 10 Gram-negative bacilli (7 Escherichia coli and 3 Klebsiella spp.). For 9 patients, the results were adapted to the antibiogram. In the remaining case, a narrower-spectrum antibiotic could have been prescribed. No microbiological samples were taken during bronchopulmonary infections.  </w:t>
      </w:r>
    </w:p>
    <w:p w14:paraId="55EFA3EC" w14:textId="77777777" w:rsidR="00182D59" w:rsidRPr="00DF65B2" w:rsidRDefault="00DF65B2" w:rsidP="00524B0A">
      <w:pPr>
        <w:pStyle w:val="Body"/>
        <w:rPr>
          <w:rFonts w:ascii="Arial" w:hAnsi="Arial" w:cs="Arial"/>
          <w:b/>
        </w:rPr>
      </w:pPr>
      <w:r w:rsidRPr="00DF65B2">
        <w:rPr>
          <w:rFonts w:ascii="Arial" w:hAnsi="Arial" w:cs="Arial"/>
          <w:b/>
        </w:rPr>
        <w:t>3.1.4</w:t>
      </w:r>
      <w:r w:rsidR="00182D59" w:rsidRPr="00DF65B2">
        <w:rPr>
          <w:rFonts w:ascii="Arial" w:hAnsi="Arial" w:cs="Arial"/>
          <w:b/>
        </w:rPr>
        <w:t xml:space="preserve"> Prescribers' knowledge of antibiotic therapy </w:t>
      </w:r>
    </w:p>
    <w:p w14:paraId="65707132" w14:textId="77777777" w:rsidR="00182D59" w:rsidRPr="00182D59" w:rsidRDefault="00182D59" w:rsidP="00524B0A">
      <w:pPr>
        <w:pStyle w:val="Body"/>
        <w:rPr>
          <w:rFonts w:ascii="Arial" w:hAnsi="Arial" w:cs="Arial"/>
        </w:rPr>
      </w:pPr>
      <w:r w:rsidRPr="00182D59">
        <w:rPr>
          <w:rFonts w:ascii="Arial" w:hAnsi="Arial" w:cs="Arial"/>
        </w:rPr>
        <w:t xml:space="preserve">A total of 25 emergency medical staff participated in the study, i.e. a 100% participation rate. Of these, 76% had less than 5 years' seniority, 20% between [5 - 10 years] and 4% more than 10 years. Only 48% said they had not been trained in antibiotics. Among these medical staff, 64% acknowledged that they were not sufficiently informed about antibiotics, and 56% said they were not aware of the existence of a practical guide to the correct prescription of antibiotics in BF.  In the majority (71.30%) of cases, antibiotic therapy had a good indication. However, 73.49% of prescriptions did not comply with Burkina Faso's national health directives. Non-compliance errors were divided between dosage (34.61%), the use of non-recommended combinations (28.84) and the absence of infection (23.07%).  </w:t>
      </w:r>
    </w:p>
    <w:p w14:paraId="25B36A8D" w14:textId="77777777" w:rsidR="00182D59" w:rsidRDefault="00182D59" w:rsidP="00524B0A">
      <w:pPr>
        <w:pStyle w:val="Body"/>
        <w:rPr>
          <w:rFonts w:ascii="Arial" w:hAnsi="Arial" w:cs="Arial"/>
        </w:rPr>
      </w:pPr>
      <w:r w:rsidRPr="00182D59">
        <w:rPr>
          <w:rFonts w:ascii="Arial" w:hAnsi="Arial" w:cs="Arial"/>
        </w:rPr>
        <w:t>As for the reasons for antibiotic therapy during an infection, 80% of staff referred to hyperleukocytosis to institute antibiotic therapy, while 36% said they referred to fever (figure 4).</w:t>
      </w:r>
    </w:p>
    <w:p w14:paraId="6F0B5F76" w14:textId="77777777" w:rsidR="00BB4ED2" w:rsidRDefault="00BB4ED2" w:rsidP="00524B0A">
      <w:pPr>
        <w:jc w:val="both"/>
      </w:pPr>
      <w:r>
        <w:rPr>
          <w:noProof/>
          <w:lang w:val="fr-FR" w:eastAsia="fr-FR"/>
        </w:rPr>
        <w:drawing>
          <wp:inline distT="0" distB="0" distL="0" distR="0" wp14:anchorId="2CBA3021" wp14:editId="7DD52100">
            <wp:extent cx="5943600" cy="342900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5A3392" w14:textId="77777777" w:rsidR="00BB4ED2" w:rsidRDefault="00BB4ED2" w:rsidP="00524B0A">
      <w:pPr>
        <w:spacing w:after="200" w:line="360" w:lineRule="auto"/>
        <w:jc w:val="both"/>
        <w:rPr>
          <w:rFonts w:ascii="Arial" w:eastAsia="Calibri" w:hAnsi="Arial" w:cs="Arial"/>
          <w:b/>
          <w:bCs/>
        </w:rPr>
      </w:pPr>
      <w:bookmarkStart w:id="2" w:name="_Toc115698505"/>
      <w:bookmarkStart w:id="3" w:name="_Toc115696345"/>
    </w:p>
    <w:p w14:paraId="79792BB2" w14:textId="77777777" w:rsidR="00BB4ED2" w:rsidRPr="00BB4ED2" w:rsidRDefault="00BB4ED2" w:rsidP="00524B0A">
      <w:pPr>
        <w:spacing w:after="200" w:line="360" w:lineRule="auto"/>
        <w:jc w:val="both"/>
        <w:rPr>
          <w:rFonts w:ascii="Arial" w:hAnsi="Arial" w:cs="Arial"/>
        </w:rPr>
      </w:pPr>
      <w:r w:rsidRPr="00BB4ED2">
        <w:rPr>
          <w:rFonts w:ascii="Arial" w:eastAsia="Calibri" w:hAnsi="Arial" w:cs="Arial"/>
          <w:b/>
          <w:bCs/>
        </w:rPr>
        <w:t>Figure 4</w:t>
      </w:r>
      <w:r w:rsidRPr="00BB4ED2">
        <w:rPr>
          <w:rFonts w:ascii="Arial" w:eastAsia="Calibri" w:hAnsi="Arial" w:cs="Arial"/>
          <w:b/>
          <w:bCs/>
          <w:color w:val="000000"/>
        </w:rPr>
        <w:t xml:space="preserve">: </w:t>
      </w:r>
      <w:bookmarkEnd w:id="2"/>
      <w:bookmarkEnd w:id="3"/>
      <w:r w:rsidRPr="00BB4ED2">
        <w:rPr>
          <w:rFonts w:ascii="Arial" w:eastAsia="Calibri" w:hAnsi="Arial" w:cs="Arial"/>
          <w:color w:val="000000"/>
        </w:rPr>
        <w:t>Distribution of reasons for prescribing antibiotic therapy</w:t>
      </w:r>
    </w:p>
    <w:p w14:paraId="388E4CB1" w14:textId="77777777" w:rsidR="00182D59" w:rsidRDefault="00182D59" w:rsidP="00524B0A">
      <w:pPr>
        <w:pStyle w:val="Body"/>
        <w:spacing w:after="0"/>
        <w:rPr>
          <w:rFonts w:ascii="Arial" w:hAnsi="Arial" w:cs="Arial"/>
        </w:rPr>
      </w:pPr>
      <w:r w:rsidRPr="00182D59">
        <w:rPr>
          <w:rFonts w:ascii="Arial" w:hAnsi="Arial" w:cs="Arial"/>
        </w:rPr>
        <w:t>In 76% of cases, it was personal knowledge of antibiotics that motivated their choice of prescription. Furthermore, in 68% of cases, the visit of the medical representatives influenced their antibiotic prescription.</w:t>
      </w:r>
    </w:p>
    <w:p w14:paraId="4620F40C" w14:textId="77777777" w:rsidR="00182D59" w:rsidRDefault="00182D59" w:rsidP="00524B0A">
      <w:pPr>
        <w:pStyle w:val="Body"/>
        <w:spacing w:after="0"/>
        <w:rPr>
          <w:rFonts w:ascii="Arial" w:hAnsi="Arial" w:cs="Arial"/>
        </w:rPr>
      </w:pPr>
    </w:p>
    <w:p w14:paraId="793F50B7" w14:textId="77777777" w:rsidR="00182D59" w:rsidRDefault="00182D59" w:rsidP="00524B0A">
      <w:pPr>
        <w:pStyle w:val="Body"/>
        <w:spacing w:after="0"/>
        <w:rPr>
          <w:rFonts w:ascii="Arial" w:hAnsi="Arial" w:cs="Arial"/>
        </w:rPr>
      </w:pPr>
    </w:p>
    <w:p w14:paraId="0D086CF4" w14:textId="77777777" w:rsidR="00182D59" w:rsidRPr="00182D59" w:rsidRDefault="00DF65B2" w:rsidP="00524B0A">
      <w:pPr>
        <w:spacing w:line="360" w:lineRule="auto"/>
        <w:jc w:val="both"/>
        <w:outlineLvl w:val="0"/>
        <w:rPr>
          <w:rFonts w:ascii="Times New Roman" w:hAnsi="Times New Roman"/>
          <w:b/>
          <w:color w:val="000000"/>
          <w:sz w:val="22"/>
          <w:szCs w:val="22"/>
          <w:lang w:eastAsia="fr-FR"/>
        </w:rPr>
      </w:pPr>
      <w:r>
        <w:rPr>
          <w:rFonts w:ascii="Times New Roman" w:eastAsia="TimesNewRomanPSMT" w:hAnsi="Times New Roman"/>
          <w:b/>
          <w:color w:val="000000"/>
          <w:sz w:val="22"/>
          <w:szCs w:val="22"/>
          <w:lang w:eastAsia="fr-FR"/>
        </w:rPr>
        <w:t xml:space="preserve">3.2 </w:t>
      </w:r>
      <w:r w:rsidR="00182D59" w:rsidRPr="00BB4ED2">
        <w:rPr>
          <w:rFonts w:ascii="Arial" w:eastAsia="TimesNewRomanPSMT" w:hAnsi="Arial" w:cs="Arial"/>
          <w:b/>
          <w:color w:val="000000"/>
          <w:sz w:val="22"/>
          <w:szCs w:val="22"/>
          <w:lang w:eastAsia="fr-FR"/>
        </w:rPr>
        <w:t>Discussion</w:t>
      </w:r>
    </w:p>
    <w:p w14:paraId="1748727B" w14:textId="77777777" w:rsidR="00182D59" w:rsidRPr="00BB4ED2"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 xml:space="preserve">The frequency of antibiotic prescriptions found in our study is relatively high (47.38%), but lower than that reported by Elbouti [7] and Elkharrat [8] (55% and 80.6% respectively). This high frequency of antibiotic prescriptions in our study could be explained by the fact that the country's health situation is mainly determined by infectious diseases, as in the Yunquera-Romero study [9] . Even if fever is not always synonymous with infection, it is nevertheless the main symptom of infectious pathology. In our study, the mean temperature was 37.5°C. A similar result was found by Elkharrat et al. with a temperature </w:t>
      </w:r>
      <w:r w:rsidRPr="00BB4ED2">
        <w:rPr>
          <w:rFonts w:ascii="Arial" w:hAnsi="Arial" w:cs="Arial"/>
          <w:color w:val="231F20"/>
          <w:lang w:eastAsia="fr-FR"/>
        </w:rPr>
        <w:lastRenderedPageBreak/>
        <w:t xml:space="preserve">of 37.6 ± 1°C [8].  Fever was found in only 18.78% of cases. This percentage is well below that found in other studies [7, 9]. This may be explained by the fact that the majority of patients in our study had received treatment prior to admission, as most of our patients (43.85%) had previously received antibiotic treatment in their original facilities. </w:t>
      </w:r>
    </w:p>
    <w:p w14:paraId="515CA81B" w14:textId="77777777" w:rsidR="00182D59" w:rsidRPr="00BB4ED2"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Compared with other studies, the infections found were predominantly digestive (38.70%) and pulmonary (12.70%). These results are similar to those of Elkharrat et al, who found respiratory (37.6%) and urinary (20.8%) infections [7]. On the other hand, Gennai et al found more urinary (25.6%) and pulmonary (24.2%) infections [10]. These differences may be explained by the fact that these studies were carried out at different times of the year in terms of the prevalence of certain pathologies. In line with the literature [3, 5], β-lactam antibiotics were the most widely prescribed drug family for most of these infections. In our study, the majority of infections were digestive (60.77%). These data are lower than those of previous studies [12, 13], with frequencies of 44% and 26% respectively. This could be explained by the predominance of digestive infections in our study; also, beta-lactams represent a family of antibiotics with good availability, sensitivity and tolerance in the management of this type of infection.</w:t>
      </w:r>
    </w:p>
    <w:p w14:paraId="6AAA0253" w14:textId="77777777" w:rsidR="00182D59" w:rsidRPr="00BB4ED2"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Compared with our study, Elkharrat et al. and Asseray et al. also found a predominance of beta-lactam prescriptions in 57.2% and 64% of cases respectively. However, respiratory infections predominated in their series [12, 14]. Ceftriaxone (53.04%) was the leading antibiotic prescribed in emergency departments. These results are comparable to those found by Fortes, 53% of ceftriaxone prescriptions [3]. In addition, other molecular studies have shown amoxicillin to be prescribed in 35.1% of cases with Atif [5] and amoxicillin-clavulanic acid in 40% of cases with Asseray et al [14].</w:t>
      </w:r>
    </w:p>
    <w:p w14:paraId="17282749" w14:textId="79766B79" w:rsidR="00182D59" w:rsidRPr="00BB4ED2"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 xml:space="preserve">For microbiology, 24.30% of coproculture </w:t>
      </w:r>
      <w:r w:rsidR="00F20BFE" w:rsidRPr="0092079D">
        <w:rPr>
          <w:rFonts w:ascii="Arial" w:hAnsi="Arial" w:cs="Arial"/>
          <w:color w:val="231F20"/>
          <w:highlight w:val="yellow"/>
          <w:lang w:eastAsia="fr-FR"/>
        </w:rPr>
        <w:t xml:space="preserve">was </w:t>
      </w:r>
      <w:r w:rsidRPr="0092079D">
        <w:rPr>
          <w:rFonts w:ascii="Arial" w:hAnsi="Arial" w:cs="Arial"/>
          <w:color w:val="231F20"/>
          <w:highlight w:val="yellow"/>
          <w:lang w:eastAsia="fr-FR"/>
        </w:rPr>
        <w:t>performe</w:t>
      </w:r>
      <w:r w:rsidRPr="00BB4ED2">
        <w:rPr>
          <w:rFonts w:ascii="Arial" w:hAnsi="Arial" w:cs="Arial"/>
          <w:color w:val="231F20"/>
          <w:lang w:eastAsia="fr-FR"/>
        </w:rPr>
        <w:t>d, UCE (17.12%) and blood cultures (3.86%). This result is very different from that of Elkharrat et al. where 56% UCE and 18% hemocultures were performed [8]. This finding may be explained by the difficulty of carrying out emergency microbiological examinations in our context.</w:t>
      </w:r>
    </w:p>
    <w:p w14:paraId="7A77DC08" w14:textId="4F05FF5C" w:rsidR="00182D59" w:rsidRPr="00BB4ED2"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 xml:space="preserve">During our survey, more than half (71.27%) of prescriptions were indicated.  This result is close to those found in the literature, with Kra et al: 76% [15] and Armel et al: 84.9% [16]. In our study, ceftriaxone and metronidazole were frequently prescribed for digestive and pulmonary infections, as well as for malaria. However, the sustained use of these antibiotics could be related to real diagnostic difficulties, to the prescriber's </w:t>
      </w:r>
      <w:r w:rsidRPr="0092079D">
        <w:rPr>
          <w:rFonts w:ascii="Arial" w:hAnsi="Arial" w:cs="Arial"/>
          <w:color w:val="231F20"/>
          <w:highlight w:val="yellow"/>
          <w:lang w:eastAsia="fr-FR"/>
        </w:rPr>
        <w:t>qualifications, or a lack of</w:t>
      </w:r>
      <w:r w:rsidRPr="00BB4ED2">
        <w:rPr>
          <w:rFonts w:ascii="Arial" w:hAnsi="Arial" w:cs="Arial"/>
          <w:color w:val="231F20"/>
          <w:lang w:eastAsia="fr-FR"/>
        </w:rPr>
        <w:t xml:space="preserve"> information on antibiotics. These prescriptions were deemed non-compliant in 73.49% of cases. This result is higher than that found by Atif, with 49% of cases [17]. These non-conformities in antibiotic prescriptions are relatively high, and could probably be explained by the non-availability of the national guide in the emergency department, or by the fact that in 76% of cases, personal knowledge of antibiotics was the reason for prescribing them, resulting in a mismatch between the choice of antibiotic and the pathology treated. This results in a risk of selection of bacterial resistance.</w:t>
      </w:r>
    </w:p>
    <w:p w14:paraId="634107CE" w14:textId="77777777" w:rsidR="00182D59" w:rsidRPr="00E951A4" w:rsidRDefault="00182D59" w:rsidP="00524B0A">
      <w:pPr>
        <w:spacing w:line="360" w:lineRule="auto"/>
        <w:jc w:val="both"/>
        <w:rPr>
          <w:rFonts w:ascii="Arial" w:hAnsi="Arial" w:cs="Arial"/>
          <w:color w:val="231F20"/>
          <w:lang w:eastAsia="fr-FR"/>
        </w:rPr>
      </w:pPr>
      <w:r w:rsidRPr="00BB4ED2">
        <w:rPr>
          <w:rFonts w:ascii="Arial" w:hAnsi="Arial" w:cs="Arial"/>
          <w:color w:val="231F20"/>
          <w:lang w:eastAsia="fr-FR"/>
        </w:rPr>
        <w:t>The survey of 20 nurses and 5 doctors, 76% of whom had been working in the field for less than 5 years, showed that 48% had not received any training in antibiotics, and 64% acknowledged that they were not sufficiently informed about antibiotics. These data corroborate a survey of practices carried out among 286 Burkinabe healthcare professionals on the use of official standards and guides from the Burkinabe Ministry of Health and the WHO in the management of non-malarial acute febrile illnesses. The results showed that almost 50% of participants had expressed a need for training in at least one of the points raised in the clinical vignettes. This study demonstrates the need to reinforce healthcare providers' skills in prescribing and using antibiotics [18].</w:t>
      </w:r>
    </w:p>
    <w:p w14:paraId="50D54F10" w14:textId="77777777" w:rsidR="00790ADA" w:rsidRPr="00FB3A86" w:rsidRDefault="00790ADA" w:rsidP="00524B0A">
      <w:pPr>
        <w:pStyle w:val="Body"/>
        <w:spacing w:after="0"/>
        <w:rPr>
          <w:rFonts w:ascii="Arial" w:hAnsi="Arial" w:cs="Arial"/>
        </w:rPr>
      </w:pPr>
    </w:p>
    <w:p w14:paraId="224701DD" w14:textId="77777777" w:rsidR="00182D59" w:rsidRDefault="00000F8F" w:rsidP="00524B0A">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1F4817" w14:textId="77777777" w:rsidR="00182D59" w:rsidRPr="00752667" w:rsidRDefault="00182D59" w:rsidP="00524B0A">
      <w:pPr>
        <w:pStyle w:val="ConcHead"/>
        <w:spacing w:after="0"/>
        <w:jc w:val="both"/>
        <w:rPr>
          <w:rFonts w:ascii="Arial" w:hAnsi="Arial" w:cs="Arial"/>
          <w:b w:val="0"/>
          <w:sz w:val="20"/>
        </w:rPr>
      </w:pPr>
      <w:r w:rsidRPr="00752667">
        <w:rPr>
          <w:rFonts w:ascii="Arial" w:hAnsi="Arial" w:cs="Arial"/>
          <w:b w:val="0"/>
          <w:caps w:val="0"/>
          <w:sz w:val="20"/>
        </w:rPr>
        <w:t>Our study shows a high rat</w:t>
      </w:r>
      <w:r w:rsidR="00752667">
        <w:rPr>
          <w:rFonts w:ascii="Arial" w:hAnsi="Arial" w:cs="Arial"/>
          <w:b w:val="0"/>
          <w:caps w:val="0"/>
          <w:sz w:val="20"/>
        </w:rPr>
        <w:t>e of antibiotic prescribing in G</w:t>
      </w:r>
      <w:r w:rsidRPr="00752667">
        <w:rPr>
          <w:rFonts w:ascii="Arial" w:hAnsi="Arial" w:cs="Arial"/>
          <w:b w:val="0"/>
          <w:caps w:val="0"/>
          <w:sz w:val="20"/>
        </w:rPr>
        <w:t xml:space="preserve">aoua's medical emergencies.  Only 26.51% of antibiotic prescriptions were appropriate for the indications listed in the burkina faso guidelines. Dissemination of the antibiotic </w:t>
      </w:r>
      <w:r w:rsidRPr="00752667">
        <w:rPr>
          <w:rFonts w:ascii="Arial" w:hAnsi="Arial" w:cs="Arial"/>
          <w:b w:val="0"/>
          <w:caps w:val="0"/>
          <w:sz w:val="20"/>
        </w:rPr>
        <w:lastRenderedPageBreak/>
        <w:t>prescribing guide to hospital practitioners, the appointment of a referral physician for antibiotic therapy and ongoing training activities will help improve the quality of antibiotic prescribing.</w:t>
      </w:r>
    </w:p>
    <w:p w14:paraId="601D54CC" w14:textId="77777777" w:rsidR="00790ADA" w:rsidRPr="00FB3A86" w:rsidRDefault="00790ADA" w:rsidP="00524B0A">
      <w:pPr>
        <w:pStyle w:val="Body"/>
        <w:spacing w:after="0"/>
        <w:rPr>
          <w:rFonts w:ascii="Arial" w:hAnsi="Arial" w:cs="Arial"/>
        </w:rPr>
      </w:pPr>
    </w:p>
    <w:p w14:paraId="0AE38A29" w14:textId="77777777" w:rsidR="002B685A" w:rsidRDefault="002B685A" w:rsidP="00524B0A">
      <w:pPr>
        <w:pStyle w:val="ReferHead"/>
        <w:spacing w:after="0"/>
        <w:jc w:val="both"/>
        <w:rPr>
          <w:rFonts w:ascii="Arial" w:hAnsi="Arial" w:cs="Arial"/>
          <w:bCs/>
        </w:rPr>
      </w:pPr>
      <w:r w:rsidRPr="002B685A">
        <w:rPr>
          <w:rFonts w:ascii="Arial" w:hAnsi="Arial" w:cs="Arial"/>
          <w:bCs/>
        </w:rPr>
        <w:t>Consent</w:t>
      </w:r>
      <w:r w:rsidR="00E951A4">
        <w:rPr>
          <w:rFonts w:ascii="Arial" w:hAnsi="Arial" w:cs="Arial"/>
          <w:bCs/>
        </w:rPr>
        <w:t xml:space="preserve"> </w:t>
      </w:r>
    </w:p>
    <w:p w14:paraId="563801B6" w14:textId="77777777" w:rsidR="00F71D0C" w:rsidRDefault="00E951A4" w:rsidP="00524B0A">
      <w:pPr>
        <w:pStyle w:val="ReferHead"/>
        <w:spacing w:after="0"/>
        <w:jc w:val="both"/>
        <w:rPr>
          <w:rFonts w:ascii="Arial" w:hAnsi="Arial" w:cs="Arial"/>
          <w:b w:val="0"/>
          <w:caps w:val="0"/>
          <w:sz w:val="20"/>
        </w:rPr>
      </w:pPr>
      <w:r w:rsidRPr="00E951A4">
        <w:rPr>
          <w:rFonts w:ascii="Arial" w:hAnsi="Arial" w:cs="Arial"/>
          <w:b w:val="0"/>
          <w:caps w:val="0"/>
          <w:sz w:val="20"/>
        </w:rPr>
        <w:t>All authors declare that patients have given verbal and informed consent for publication and accompanying images</w:t>
      </w:r>
      <w:r w:rsidR="00E07222">
        <w:rPr>
          <w:rFonts w:ascii="Arial" w:hAnsi="Arial" w:cs="Arial"/>
          <w:b w:val="0"/>
          <w:caps w:val="0"/>
          <w:sz w:val="20"/>
        </w:rPr>
        <w:t xml:space="preserve">. </w:t>
      </w:r>
    </w:p>
    <w:p w14:paraId="3DA69383" w14:textId="77777777" w:rsidR="00F71D0C" w:rsidRDefault="00F71D0C" w:rsidP="00524B0A">
      <w:pPr>
        <w:pStyle w:val="ReferHead"/>
        <w:spacing w:after="0"/>
        <w:jc w:val="both"/>
        <w:rPr>
          <w:rFonts w:ascii="Arial" w:hAnsi="Arial" w:cs="Arial"/>
          <w:b w:val="0"/>
          <w:caps w:val="0"/>
          <w:sz w:val="20"/>
        </w:rPr>
      </w:pPr>
    </w:p>
    <w:p w14:paraId="3A75CDC0" w14:textId="77777777" w:rsidR="005C784C" w:rsidRDefault="005C784C" w:rsidP="00524B0A">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4630B53" w14:textId="77777777" w:rsidR="00E951A4" w:rsidRDefault="00E951A4" w:rsidP="00524B0A">
      <w:pPr>
        <w:pStyle w:val="ReferHead"/>
        <w:spacing w:after="0"/>
        <w:jc w:val="both"/>
        <w:rPr>
          <w:rFonts w:ascii="Arial" w:hAnsi="Arial" w:cs="Arial"/>
          <w:b w:val="0"/>
          <w:caps w:val="0"/>
          <w:sz w:val="20"/>
        </w:rPr>
      </w:pPr>
      <w:r w:rsidRPr="00F71D0C">
        <w:rPr>
          <w:rFonts w:ascii="Arial" w:hAnsi="Arial" w:cs="Arial"/>
          <w:b w:val="0"/>
          <w:caps w:val="0"/>
          <w:sz w:val="20"/>
        </w:rPr>
        <w:t>The study was carried out after obtaining authorization from the local ethics committee, and all data collected during the study remained confidential</w:t>
      </w:r>
      <w:r w:rsidRPr="00E951A4">
        <w:rPr>
          <w:rFonts w:ascii="Arial" w:hAnsi="Arial" w:cs="Arial"/>
          <w:b w:val="0"/>
          <w:caps w:val="0"/>
          <w:sz w:val="20"/>
        </w:rPr>
        <w:t>. A copy of the local written authorization is available for review by the editorial office/editor-in-chief/editorial board members of this journal.</w:t>
      </w:r>
    </w:p>
    <w:p w14:paraId="2BF798C0" w14:textId="77777777" w:rsidR="00825349" w:rsidRDefault="00825349" w:rsidP="00524B0A">
      <w:pPr>
        <w:pStyle w:val="ReferHead"/>
        <w:spacing w:after="0"/>
        <w:jc w:val="both"/>
        <w:rPr>
          <w:rFonts w:ascii="Arial" w:hAnsi="Arial" w:cs="Arial"/>
          <w:b w:val="0"/>
          <w:caps w:val="0"/>
          <w:sz w:val="20"/>
        </w:rPr>
      </w:pPr>
    </w:p>
    <w:p w14:paraId="56F4E1F8" w14:textId="77777777" w:rsidR="00825349" w:rsidRDefault="00825349" w:rsidP="00524B0A">
      <w:pPr>
        <w:pStyle w:val="DefAcrHead"/>
        <w:spacing w:after="0"/>
        <w:jc w:val="both"/>
        <w:rPr>
          <w:rFonts w:ascii="Arial" w:hAnsi="Arial" w:cs="Arial"/>
        </w:rPr>
      </w:pPr>
      <w:r w:rsidRPr="00FB3A86">
        <w:rPr>
          <w:rFonts w:ascii="Arial" w:hAnsi="Arial" w:cs="Arial"/>
        </w:rPr>
        <w:t>Abbreviations</w:t>
      </w:r>
    </w:p>
    <w:p w14:paraId="0B8DCC53" w14:textId="77777777" w:rsidR="00825349" w:rsidRPr="00FF2506" w:rsidRDefault="00825349" w:rsidP="00524B0A">
      <w:pPr>
        <w:pStyle w:val="DefAcrHead"/>
        <w:spacing w:after="0"/>
        <w:jc w:val="both"/>
        <w:rPr>
          <w:rFonts w:ascii="Arial" w:hAnsi="Arial" w:cs="Arial"/>
          <w:b w:val="0"/>
        </w:rPr>
      </w:pPr>
      <w:r>
        <w:rPr>
          <w:rFonts w:ascii="Arial" w:hAnsi="Arial" w:cs="Arial"/>
        </w:rPr>
        <w:t xml:space="preserve">AMR: </w:t>
      </w:r>
      <w:r w:rsidRPr="00FF2506">
        <w:rPr>
          <w:rFonts w:ascii="Arial" w:hAnsi="Arial" w:cs="Arial"/>
          <w:b w:val="0"/>
        </w:rPr>
        <w:t xml:space="preserve">antimicrobial </w:t>
      </w:r>
    </w:p>
    <w:p w14:paraId="59E44ED6" w14:textId="77777777" w:rsidR="00825349" w:rsidRPr="00FF2506" w:rsidRDefault="00825349" w:rsidP="00524B0A">
      <w:pPr>
        <w:pStyle w:val="DefAcrHead"/>
        <w:spacing w:after="0"/>
        <w:jc w:val="both"/>
        <w:rPr>
          <w:rFonts w:ascii="Arial" w:hAnsi="Arial" w:cs="Arial"/>
          <w:b w:val="0"/>
        </w:rPr>
      </w:pPr>
      <w:r>
        <w:rPr>
          <w:rFonts w:ascii="Arial" w:hAnsi="Arial" w:cs="Arial"/>
        </w:rPr>
        <w:t xml:space="preserve">BF: </w:t>
      </w:r>
      <w:r w:rsidRPr="00FF2506">
        <w:rPr>
          <w:rFonts w:ascii="Arial" w:hAnsi="Arial" w:cs="Arial"/>
          <w:b w:val="0"/>
        </w:rPr>
        <w:t xml:space="preserve">Burkina faso </w:t>
      </w:r>
    </w:p>
    <w:p w14:paraId="26B15AE9" w14:textId="77777777" w:rsidR="00825349" w:rsidRDefault="00825349" w:rsidP="00524B0A">
      <w:pPr>
        <w:pStyle w:val="DefAcrHead"/>
        <w:spacing w:after="0"/>
        <w:jc w:val="both"/>
        <w:rPr>
          <w:rFonts w:ascii="Arial" w:hAnsi="Arial" w:cs="Arial"/>
        </w:rPr>
      </w:pPr>
      <w:r>
        <w:rPr>
          <w:rFonts w:ascii="Arial" w:hAnsi="Arial" w:cs="Arial"/>
        </w:rPr>
        <w:t xml:space="preserve">CHR: </w:t>
      </w:r>
      <w:r w:rsidRPr="00FF2506">
        <w:rPr>
          <w:rFonts w:ascii="Arial" w:hAnsi="Arial" w:cs="Arial"/>
          <w:b w:val="0"/>
        </w:rPr>
        <w:t>regional hospital</w:t>
      </w:r>
    </w:p>
    <w:p w14:paraId="7CF95716" w14:textId="77777777" w:rsidR="00825349" w:rsidRDefault="00825349" w:rsidP="00524B0A">
      <w:pPr>
        <w:pStyle w:val="DefAcrHead"/>
        <w:spacing w:after="0"/>
        <w:jc w:val="both"/>
        <w:rPr>
          <w:rFonts w:ascii="Arial" w:hAnsi="Arial" w:cs="Arial"/>
        </w:rPr>
      </w:pPr>
      <w:r>
        <w:rPr>
          <w:rFonts w:ascii="Arial" w:hAnsi="Arial" w:cs="Arial"/>
        </w:rPr>
        <w:t xml:space="preserve">HIV: </w:t>
      </w:r>
      <w:r w:rsidRPr="00FF2506">
        <w:rPr>
          <w:rFonts w:ascii="Arial" w:hAnsi="Arial" w:cs="Arial"/>
          <w:b w:val="0"/>
        </w:rPr>
        <w:t>human immunodeficiency virus</w:t>
      </w:r>
    </w:p>
    <w:p w14:paraId="048EDAE9" w14:textId="77777777" w:rsidR="00825349" w:rsidRDefault="00825349" w:rsidP="00524B0A">
      <w:pPr>
        <w:pStyle w:val="DefAcrHead"/>
        <w:jc w:val="both"/>
        <w:rPr>
          <w:rFonts w:ascii="Arial" w:hAnsi="Arial" w:cs="Arial"/>
        </w:rPr>
      </w:pPr>
      <w:r>
        <w:rPr>
          <w:rFonts w:ascii="Arial" w:hAnsi="Arial" w:cs="Arial"/>
        </w:rPr>
        <w:t>who</w:t>
      </w:r>
      <w:r w:rsidRPr="00FF2506">
        <w:rPr>
          <w:rFonts w:ascii="Arial" w:hAnsi="Arial" w:cs="Arial"/>
          <w:b w:val="0"/>
        </w:rPr>
        <w:t>: World Health Organization</w:t>
      </w:r>
    </w:p>
    <w:p w14:paraId="3FDCBB57"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bookmarkStart w:id="4" w:name="_Hlk190852809"/>
      <w:r w:rsidRPr="001521D9">
        <w:rPr>
          <w:rFonts w:ascii="Calibri" w:eastAsia="Calibri" w:hAnsi="Calibri"/>
          <w:kern w:val="2"/>
          <w:sz w:val="22"/>
          <w:szCs w:val="22"/>
          <w:highlight w:val="yellow"/>
          <w14:ligatures w14:val="standardContextual"/>
        </w:rPr>
        <w:t>Disclaimer (Artificial intelligence)</w:t>
      </w:r>
    </w:p>
    <w:p w14:paraId="120BD346"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 xml:space="preserve">Option 1: </w:t>
      </w:r>
    </w:p>
    <w:p w14:paraId="6AB4CFA9"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58F7F2E"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 xml:space="preserve">Option 2: </w:t>
      </w:r>
    </w:p>
    <w:p w14:paraId="5D0EDA0E"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D03CD4"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Details of the AI usage are given below:</w:t>
      </w:r>
    </w:p>
    <w:p w14:paraId="58BA6083"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1.</w:t>
      </w:r>
    </w:p>
    <w:p w14:paraId="01157715" w14:textId="77777777" w:rsidR="001521D9" w:rsidRPr="001521D9" w:rsidRDefault="001521D9" w:rsidP="00524B0A">
      <w:pPr>
        <w:spacing w:after="200" w:line="276" w:lineRule="auto"/>
        <w:jc w:val="both"/>
        <w:rPr>
          <w:rFonts w:ascii="Calibri" w:eastAsia="Calibri" w:hAnsi="Calibri"/>
          <w:kern w:val="2"/>
          <w:sz w:val="22"/>
          <w:szCs w:val="22"/>
          <w:highlight w:val="yellow"/>
          <w14:ligatures w14:val="standardContextual"/>
        </w:rPr>
      </w:pPr>
      <w:r w:rsidRPr="001521D9">
        <w:rPr>
          <w:rFonts w:ascii="Calibri" w:eastAsia="Calibri" w:hAnsi="Calibri"/>
          <w:kern w:val="2"/>
          <w:sz w:val="22"/>
          <w:szCs w:val="22"/>
          <w:highlight w:val="yellow"/>
          <w14:ligatures w14:val="standardContextual"/>
        </w:rPr>
        <w:t>2.</w:t>
      </w:r>
    </w:p>
    <w:p w14:paraId="2F860CEA" w14:textId="77777777" w:rsidR="001521D9" w:rsidRPr="001521D9" w:rsidRDefault="001521D9" w:rsidP="00524B0A">
      <w:pPr>
        <w:spacing w:after="200" w:line="276" w:lineRule="auto"/>
        <w:jc w:val="both"/>
        <w:rPr>
          <w:rFonts w:ascii="Calibri" w:eastAsia="Calibri" w:hAnsi="Calibri"/>
          <w:kern w:val="2"/>
          <w:sz w:val="22"/>
          <w:szCs w:val="22"/>
          <w14:ligatures w14:val="standardContextual"/>
        </w:rPr>
      </w:pPr>
      <w:r w:rsidRPr="001521D9">
        <w:rPr>
          <w:rFonts w:ascii="Calibri" w:eastAsia="Calibri" w:hAnsi="Calibri"/>
          <w:kern w:val="2"/>
          <w:sz w:val="22"/>
          <w:szCs w:val="22"/>
          <w:highlight w:val="yellow"/>
          <w14:ligatures w14:val="standardContextual"/>
        </w:rPr>
        <w:t>3.</w:t>
      </w:r>
    </w:p>
    <w:bookmarkEnd w:id="4"/>
    <w:p w14:paraId="3AC8C166" w14:textId="77777777" w:rsidR="00825349" w:rsidRDefault="00825349" w:rsidP="00524B0A">
      <w:pPr>
        <w:pStyle w:val="ReferHead"/>
        <w:spacing w:after="0"/>
        <w:jc w:val="both"/>
        <w:rPr>
          <w:rFonts w:ascii="Arial" w:hAnsi="Arial" w:cs="Arial"/>
          <w:b w:val="0"/>
          <w:caps w:val="0"/>
          <w:sz w:val="20"/>
        </w:rPr>
      </w:pPr>
    </w:p>
    <w:p w14:paraId="76B6616A" w14:textId="77777777" w:rsidR="00E951A4" w:rsidRDefault="00E951A4" w:rsidP="00524B0A">
      <w:pPr>
        <w:pStyle w:val="ReferHead"/>
        <w:spacing w:after="0"/>
        <w:jc w:val="both"/>
        <w:rPr>
          <w:rFonts w:ascii="Arial" w:hAnsi="Arial" w:cs="Arial"/>
          <w:b w:val="0"/>
          <w:caps w:val="0"/>
          <w:sz w:val="20"/>
        </w:rPr>
      </w:pPr>
    </w:p>
    <w:p w14:paraId="4DC41FC9" w14:textId="77777777" w:rsidR="00860000" w:rsidRDefault="00860000" w:rsidP="00524B0A">
      <w:pPr>
        <w:pStyle w:val="ReferHead"/>
        <w:spacing w:after="0"/>
        <w:jc w:val="both"/>
        <w:rPr>
          <w:rFonts w:ascii="Arial" w:hAnsi="Arial" w:cs="Arial"/>
        </w:rPr>
      </w:pPr>
    </w:p>
    <w:p w14:paraId="78043AA8" w14:textId="77777777" w:rsidR="00B01FCD" w:rsidRDefault="00B01FCD" w:rsidP="00524B0A">
      <w:pPr>
        <w:pStyle w:val="ReferHead"/>
        <w:spacing w:after="0"/>
        <w:jc w:val="both"/>
        <w:rPr>
          <w:rFonts w:ascii="Arial" w:hAnsi="Arial" w:cs="Arial"/>
        </w:rPr>
      </w:pPr>
      <w:r w:rsidRPr="00FB3A86">
        <w:rPr>
          <w:rFonts w:ascii="Arial" w:hAnsi="Arial" w:cs="Arial"/>
        </w:rPr>
        <w:t>References</w:t>
      </w:r>
    </w:p>
    <w:p w14:paraId="554B3AA9" w14:textId="77777777" w:rsidR="00F71D0C" w:rsidRDefault="00F71D0C" w:rsidP="00524B0A">
      <w:pPr>
        <w:pStyle w:val="ReferHead"/>
        <w:spacing w:after="0"/>
        <w:jc w:val="both"/>
        <w:rPr>
          <w:rFonts w:ascii="Arial" w:hAnsi="Arial" w:cs="Arial"/>
        </w:rPr>
      </w:pPr>
    </w:p>
    <w:p w14:paraId="42165A82"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hyperlink r:id="rId17" w:history="1">
        <w:r w:rsidRPr="002C0EA3">
          <w:rPr>
            <w:rFonts w:ascii="Arial" w:hAnsi="Arial" w:cs="Arial"/>
            <w:color w:val="000000" w:themeColor="text1"/>
            <w:highlight w:val="yellow"/>
            <w:lang w:eastAsia="fr-FR"/>
          </w:rPr>
          <w:t>AS Ouédraogo</w:t>
        </w:r>
      </w:hyperlink>
      <w:r w:rsidRPr="002C0EA3">
        <w:rPr>
          <w:rFonts w:ascii="Arial" w:hAnsi="Arial" w:cs="Arial"/>
          <w:color w:val="000000" w:themeColor="text1"/>
          <w:highlight w:val="yellow"/>
          <w:shd w:val="clear" w:color="auto" w:fill="FFFFFF"/>
          <w:vertAlign w:val="superscript"/>
          <w:lang w:eastAsia="fr-FR"/>
        </w:rPr>
        <w:t> </w:t>
      </w:r>
      <w:r w:rsidRPr="002C0EA3">
        <w:rPr>
          <w:rFonts w:ascii="Arial" w:hAnsi="Arial" w:cs="Arial"/>
          <w:color w:val="000000" w:themeColor="text1"/>
          <w:highlight w:val="yellow"/>
          <w:shd w:val="clear" w:color="auto" w:fill="FFFFFF"/>
          <w:lang w:eastAsia="fr-FR"/>
        </w:rPr>
        <w:t>, </w:t>
      </w:r>
      <w:hyperlink r:id="rId18" w:history="1">
        <w:r w:rsidRPr="002C0EA3">
          <w:rPr>
            <w:rFonts w:ascii="Arial" w:hAnsi="Arial" w:cs="Arial"/>
            <w:color w:val="000000" w:themeColor="text1"/>
            <w:highlight w:val="yellow"/>
            <w:lang w:eastAsia="fr-FR"/>
          </w:rPr>
          <w:t>H Jean Pierre</w:t>
        </w:r>
      </w:hyperlink>
      <w:r w:rsidRPr="002C0EA3">
        <w:rPr>
          <w:rFonts w:ascii="Arial" w:hAnsi="Arial" w:cs="Arial"/>
          <w:color w:val="000000" w:themeColor="text1"/>
          <w:highlight w:val="yellow"/>
          <w:shd w:val="clear" w:color="auto" w:fill="FFFFFF"/>
          <w:vertAlign w:val="superscript"/>
          <w:lang w:eastAsia="fr-FR"/>
        </w:rPr>
        <w:t xml:space="preserve"> </w:t>
      </w:r>
      <w:r w:rsidRPr="002C0EA3">
        <w:rPr>
          <w:rFonts w:ascii="Arial" w:hAnsi="Arial" w:cs="Arial"/>
          <w:color w:val="000000" w:themeColor="text1"/>
          <w:highlight w:val="yellow"/>
          <w:shd w:val="clear" w:color="auto" w:fill="FFFFFF"/>
          <w:lang w:eastAsia="fr-FR"/>
        </w:rPr>
        <w:t>, </w:t>
      </w:r>
      <w:hyperlink r:id="rId19" w:history="1">
        <w:r w:rsidRPr="002C0EA3">
          <w:rPr>
            <w:rFonts w:ascii="Arial" w:hAnsi="Arial" w:cs="Arial"/>
            <w:color w:val="000000" w:themeColor="text1"/>
            <w:highlight w:val="yellow"/>
            <w:lang w:eastAsia="fr-FR"/>
          </w:rPr>
          <w:t>AL Bañuls</w:t>
        </w:r>
      </w:hyperlink>
      <w:r w:rsidRPr="002C0EA3">
        <w:rPr>
          <w:rFonts w:ascii="Arial" w:hAnsi="Arial" w:cs="Arial"/>
          <w:color w:val="000000" w:themeColor="text1"/>
          <w:highlight w:val="yellow"/>
          <w:shd w:val="clear" w:color="auto" w:fill="FFFFFF"/>
          <w:vertAlign w:val="superscript"/>
          <w:lang w:eastAsia="fr-FR"/>
        </w:rPr>
        <w:t> </w:t>
      </w:r>
      <w:r w:rsidRPr="002C0EA3">
        <w:rPr>
          <w:rFonts w:ascii="Arial" w:hAnsi="Arial" w:cs="Arial"/>
          <w:color w:val="000000" w:themeColor="text1"/>
          <w:highlight w:val="yellow"/>
          <w:shd w:val="clear" w:color="auto" w:fill="FFFFFF"/>
          <w:lang w:eastAsia="fr-FR"/>
        </w:rPr>
        <w:t>, </w:t>
      </w:r>
      <w:hyperlink r:id="rId20" w:history="1">
        <w:r w:rsidRPr="002C0EA3">
          <w:rPr>
            <w:rFonts w:ascii="Arial" w:hAnsi="Arial" w:cs="Arial"/>
            <w:color w:val="000000" w:themeColor="text1"/>
            <w:highlight w:val="yellow"/>
            <w:lang w:eastAsia="fr-FR"/>
          </w:rPr>
          <w:t>R Ouédraogo</w:t>
        </w:r>
      </w:hyperlink>
      <w:r w:rsidRPr="002C0EA3">
        <w:rPr>
          <w:rFonts w:ascii="Arial" w:hAnsi="Arial" w:cs="Arial"/>
          <w:color w:val="000000" w:themeColor="text1"/>
          <w:highlight w:val="yellow"/>
          <w:shd w:val="clear" w:color="auto" w:fill="FFFFFF"/>
          <w:vertAlign w:val="superscript"/>
          <w:lang w:eastAsia="fr-FR"/>
        </w:rPr>
        <w:t> </w:t>
      </w:r>
      <w:r w:rsidRPr="002C0EA3">
        <w:rPr>
          <w:rFonts w:ascii="Arial" w:hAnsi="Arial" w:cs="Arial"/>
          <w:color w:val="000000" w:themeColor="text1"/>
          <w:highlight w:val="yellow"/>
          <w:shd w:val="clear" w:color="auto" w:fill="FFFFFF"/>
          <w:lang w:eastAsia="fr-FR"/>
        </w:rPr>
        <w:t>, </w:t>
      </w:r>
      <w:hyperlink r:id="rId21" w:history="1">
        <w:r w:rsidRPr="002C0EA3">
          <w:rPr>
            <w:rFonts w:ascii="Arial" w:hAnsi="Arial" w:cs="Arial"/>
            <w:color w:val="000000" w:themeColor="text1"/>
            <w:highlight w:val="yellow"/>
            <w:u w:val="single"/>
            <w:lang w:eastAsia="fr-FR"/>
          </w:rPr>
          <w:t>S Godreuil</w:t>
        </w:r>
      </w:hyperlink>
      <w:r w:rsidRPr="002C0EA3">
        <w:rPr>
          <w:rFonts w:ascii="Arial" w:hAnsi="Arial" w:cs="Arial"/>
          <w:color w:val="000000" w:themeColor="text1"/>
          <w:highlight w:val="yellow"/>
          <w:shd w:val="clear" w:color="auto" w:fill="FFFFFF"/>
          <w:vertAlign w:val="superscript"/>
          <w:lang w:eastAsia="fr-FR"/>
        </w:rPr>
        <w:t> </w:t>
      </w:r>
      <w:r w:rsidRPr="002C0EA3">
        <w:rPr>
          <w:rFonts w:ascii="Arial" w:hAnsi="Arial" w:cs="Arial"/>
          <w:color w:val="000000" w:themeColor="text1"/>
          <w:highlight w:val="yellow"/>
          <w:lang w:eastAsia="fr-FR"/>
        </w:rPr>
        <w:t xml:space="preserve"> (2017)</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Emergence and spread of antibiotic resistance in West Africa: drivers and threat assessment. Med Sante Trop ;27(2):147-154. doi: 10.1684/mst.2017.0678</w:t>
      </w:r>
    </w:p>
    <w:p w14:paraId="1A242CDF" w14:textId="655AFF81"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 xml:space="preserve">Atif M, Azeem M, Sarwar MR, Shahid S, Javaid S, Ikram H Baig U ,   Scahill S  ( 2016) WHO/INRUD prescribing indicators and prescribing trends of antibiotics in the Accident and Emergency Department of Bahawal Victoria Hospital  Pakistan, OMS/INRUD : Springerplus ; 5 ( 1 ):1928 DOI : 10.1186/s40064-016-3615-1 </w:t>
      </w:r>
    </w:p>
    <w:p w14:paraId="62597D87"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lastRenderedPageBreak/>
        <w:t>Elbouti A, Rafai M, Chouaib N, Jidane S, Belkouch A, Bakkali H , Belyamani  L ( 2016)   Evaluation of antibiotic prescriptions in the Emergency Department of the Military Hospital of Instruction Mohammed V (HMIMV)</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Pan African Medical Journal 25:162 doi:10.11604/pamj.2016.25.162.7080</w:t>
      </w:r>
    </w:p>
    <w:p w14:paraId="1E3198DC"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Elkharrat D, Brun-Ney D, Cordier B, Goldstein F, Péan Y, Sanson-Le-Pors M J,   Viso P.M,   Zarka M,  .  Debatisse A ,  Scheimberg A (2003)</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Antibiotic prescriptions in 34 French emergency departments . Médecine Mal Infect ;33(2) :70</w:t>
      </w:r>
      <w:r w:rsidRPr="002C0EA3">
        <w:rPr>
          <w:rFonts w:ascii="Cambria Math" w:hAnsi="Cambria Math" w:cs="Cambria Math"/>
          <w:color w:val="000000" w:themeColor="text1"/>
          <w:highlight w:val="yellow"/>
          <w:lang w:eastAsia="fr-FR"/>
        </w:rPr>
        <w:t>‑</w:t>
      </w:r>
      <w:r w:rsidRPr="002C0EA3">
        <w:rPr>
          <w:rFonts w:ascii="Arial" w:hAnsi="Arial" w:cs="Arial"/>
          <w:color w:val="000000" w:themeColor="text1"/>
          <w:highlight w:val="yellow"/>
          <w:lang w:eastAsia="fr-FR"/>
        </w:rPr>
        <w:t>7.</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Doi : 10.1016/S0399-077X(02)00008-2</w:t>
      </w:r>
    </w:p>
    <w:p w14:paraId="6FC1EA37" w14:textId="77777777" w:rsidR="00F71D0C" w:rsidRPr="00011722" w:rsidRDefault="00F71D0C" w:rsidP="00524B0A">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  </w:t>
      </w:r>
      <w:r w:rsidRPr="002C0EA3">
        <w:rPr>
          <w:rFonts w:ascii="Arial" w:hAnsi="Arial" w:cs="Arial"/>
          <w:color w:val="000000" w:themeColor="text1"/>
          <w:highlight w:val="yellow"/>
          <w:lang w:eastAsia="fr-FR"/>
        </w:rPr>
        <w:t>Yunquera-Romero L , Márquez-Gómez I  , Henares-López A ,  Morales-Lara MJ , Gallego Fernández C ,  Asensi-Díez R  ( 2018 ) Appropriateness of antimicrobial prescriptions in the emergency department of a tertiary hospital. Rév. Esp Quimioter 31(3):209-216.</w:t>
      </w:r>
    </w:p>
    <w:p w14:paraId="7D4325F4"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Gennai S, Pavese P, Vittoz JP, Decouchon C, Remy S, Dumont O, Carpentier F , François P (2008)  Evaluation of the quality of antibiotic prescriptions in the emergency department of a general hospital . La Presse Med  ; 37(1) :6-13.</w:t>
      </w:r>
    </w:p>
    <w:p w14:paraId="14140A17"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011722">
        <w:rPr>
          <w:rFonts w:ascii="Arial" w:hAnsi="Arial" w:cs="Arial"/>
          <w:color w:val="000000" w:themeColor="text1"/>
          <w:lang w:eastAsia="fr-FR"/>
        </w:rPr>
        <w:t xml:space="preserve"> </w:t>
      </w:r>
      <w:r w:rsidRPr="002C0EA3">
        <w:rPr>
          <w:rFonts w:ascii="Arial" w:hAnsi="Arial" w:cs="Arial"/>
          <w:color w:val="000000" w:themeColor="text1"/>
          <w:highlight w:val="yellow"/>
          <w:lang w:eastAsia="fr-FR"/>
        </w:rPr>
        <w:t>Jernigan J A, Hatfield K M, Wolford H, Nelson R E, Olubajo B, Reddy S C , McCarthy N, Paul P, McDonaldL C, Kallen A, FioreA, Craig M, Baggs J (2020)  Multidrug-Resistant Bacterial Infections in U.S. Hospitalized Patients, 2012-2017. N Engl J Med ;382(14):1309-1319. doi: 10.1056/NEJMoa1914433.</w:t>
      </w:r>
    </w:p>
    <w:p w14:paraId="5FD3BEFD"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OECD. Stemming the superbug tide. (2018). Available from: https://www.oecd.org/health/stemming-the-superbug-tide-9789264307599-en.htm</w:t>
      </w:r>
    </w:p>
    <w:p w14:paraId="5952D74F"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Antimicrobial Resistance Collaborators (2022) Global burden of bacterial antimicrobial resistance in 2019: a systematic analysis .  The Lancet,;399 (10325) :629</w:t>
      </w:r>
      <w:r w:rsidRPr="002C0EA3">
        <w:rPr>
          <w:rFonts w:ascii="Cambria Math" w:hAnsi="Cambria Math" w:cs="Cambria Math"/>
          <w:color w:val="000000" w:themeColor="text1"/>
          <w:highlight w:val="yellow"/>
          <w:lang w:eastAsia="fr-FR"/>
        </w:rPr>
        <w:t>‑</w:t>
      </w:r>
      <w:r w:rsidRPr="002C0EA3">
        <w:rPr>
          <w:rFonts w:ascii="Arial" w:hAnsi="Arial" w:cs="Arial"/>
          <w:color w:val="000000" w:themeColor="text1"/>
          <w:highlight w:val="yellow"/>
          <w:lang w:eastAsia="fr-FR"/>
        </w:rPr>
        <w:t>55.</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doi.org/10.1016/S0140-6736(21)02724-0</w:t>
      </w:r>
    </w:p>
    <w:p w14:paraId="5A1AE503"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Asseray N, Bleher Y, Poirier Y, Hoff J (2009) Use of antibiotics in emergency units: Qualitative and quantitative assessment . Med Mal Infect ;39 (3) :203 8.</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doi.org/10.1016/j.medmal.2008.10.020</w:t>
      </w:r>
    </w:p>
    <w:p w14:paraId="23CF8A3D" w14:textId="77777777"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Goulet H, Daneluzzi V, Dupont C, Page B, Heym B, Auvert B  , Elkharrat D,  Rouveix  E (2009) Aprospective study of antibiotic prescribing in an emergency care unit Med Mal Infect ;39(1) :48-54.</w:t>
      </w:r>
      <w:r w:rsidRPr="002C0EA3">
        <w:rPr>
          <w:rFonts w:ascii="Arial" w:hAnsi="Arial" w:cs="Arial"/>
          <w:color w:val="231F20"/>
          <w:highlight w:val="yellow"/>
          <w:lang w:eastAsia="fr-FR"/>
        </w:rPr>
        <w:t xml:space="preserve"> </w:t>
      </w:r>
      <w:r w:rsidRPr="002C0EA3">
        <w:rPr>
          <w:rFonts w:ascii="Arial" w:hAnsi="Arial" w:cs="Arial"/>
          <w:color w:val="000000" w:themeColor="text1"/>
          <w:highlight w:val="yellow"/>
          <w:lang w:eastAsia="fr-FR"/>
        </w:rPr>
        <w:t>doi.org/10.1016/j.medmal.2008.09.022</w:t>
      </w:r>
    </w:p>
    <w:p w14:paraId="6BF709D1" w14:textId="1923E91D" w:rsidR="00F71D0C" w:rsidRPr="002C0EA3" w:rsidRDefault="00F71D0C"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2C0EA3">
        <w:rPr>
          <w:rFonts w:ascii="Arial" w:hAnsi="Arial" w:cs="Arial"/>
          <w:color w:val="000000" w:themeColor="text1"/>
          <w:highlight w:val="yellow"/>
          <w:lang w:eastAsia="fr-FR"/>
        </w:rPr>
        <w:t>Bottger Garcia C G (2018) Analysis of health professionals' practice towards non-malarial acute febrile illness in Burkina Faso. [Thesis] university of  Montréal</w:t>
      </w:r>
    </w:p>
    <w:p w14:paraId="11B2CBC3" w14:textId="0069B9E6" w:rsidR="008F20FF" w:rsidRDefault="008F20FF"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92079D">
        <w:rPr>
          <w:rFonts w:ascii="Arial" w:hAnsi="Arial" w:cs="Arial"/>
          <w:color w:val="000000" w:themeColor="text1"/>
          <w:highlight w:val="yellow"/>
          <w:lang w:eastAsia="fr-FR"/>
        </w:rPr>
        <w:t>Valia, D., Ingelbeen, B., Nassa, G. J. W., Kaboré, B., Kiemdé, F., Rouamba, T., ... &amp; Tinto, H. (2024). Antibiotic use by clinical presentation across all healthcare providers in rural Burkina Faso: a healthcare visit exit survey. Journal of Antimicrobial Chemotherapy, 79(10), 2534-2542.</w:t>
      </w:r>
    </w:p>
    <w:p w14:paraId="730D64F9" w14:textId="18C7408C" w:rsidR="008F20FF" w:rsidRDefault="008F20FF" w:rsidP="00524B0A">
      <w:pPr>
        <w:numPr>
          <w:ilvl w:val="0"/>
          <w:numId w:val="32"/>
        </w:numPr>
        <w:spacing w:after="160" w:line="360" w:lineRule="auto"/>
        <w:contextualSpacing/>
        <w:jc w:val="both"/>
        <w:rPr>
          <w:rFonts w:ascii="Arial" w:hAnsi="Arial" w:cs="Arial"/>
          <w:color w:val="000000" w:themeColor="text1"/>
          <w:highlight w:val="yellow"/>
          <w:lang w:eastAsia="fr-FR"/>
        </w:rPr>
      </w:pPr>
      <w:r w:rsidRPr="0092079D">
        <w:rPr>
          <w:rFonts w:ascii="Arial" w:hAnsi="Arial" w:cs="Arial"/>
          <w:color w:val="000000" w:themeColor="text1"/>
          <w:highlight w:val="yellow"/>
          <w:lang w:eastAsia="fr-FR"/>
        </w:rPr>
        <w:t>Donkor, E. S., Osman, A. H., Aglomasa, B. C., Awere-Duodu, A., Odoom, A., Opoku-Asare, B., &amp; Lazarus, G. (2025). Improving antibiotic utilization in West Africa: enhancing interventions through systematic review and evidence synthesis. Antimicrobial Resistance &amp; Infection Control, 14(1), 5.</w:t>
      </w:r>
    </w:p>
    <w:p w14:paraId="6DC33A98" w14:textId="510D2EDF" w:rsidR="00127624" w:rsidRPr="0092079D" w:rsidRDefault="00127624" w:rsidP="00524B0A">
      <w:pPr>
        <w:pStyle w:val="ListParagraph"/>
        <w:numPr>
          <w:ilvl w:val="0"/>
          <w:numId w:val="32"/>
        </w:numPr>
        <w:shd w:val="clear" w:color="auto" w:fill="FFFFFF"/>
        <w:jc w:val="both"/>
        <w:rPr>
          <w:rFonts w:ascii="Arial" w:hAnsi="Arial" w:cs="Arial"/>
          <w:color w:val="333333"/>
          <w:sz w:val="24"/>
          <w:szCs w:val="27"/>
          <w:highlight w:val="yellow"/>
        </w:rPr>
      </w:pPr>
      <w:r w:rsidRPr="0092079D">
        <w:rPr>
          <w:rFonts w:ascii="Arial" w:hAnsi="Arial" w:cs="Arial"/>
          <w:color w:val="333333"/>
          <w:sz w:val="24"/>
          <w:szCs w:val="27"/>
          <w:highlight w:val="yellow"/>
        </w:rPr>
        <w:t>Ramanath, K. V., . Harshitha, . Chamundi, Penumaka Rina Supriya, R. Sai Krishnan, and V. Channaraya. 2022. “Prescribing Pattern of Antibiotics in Bacterial Infectious Diseases in a Corporate Care Hospital”. </w:t>
      </w:r>
      <w:r w:rsidRPr="0092079D">
        <w:rPr>
          <w:rFonts w:ascii="Arial" w:hAnsi="Arial" w:cs="Arial"/>
          <w:i/>
          <w:iCs/>
          <w:color w:val="333333"/>
          <w:sz w:val="24"/>
          <w:szCs w:val="27"/>
          <w:highlight w:val="yellow"/>
        </w:rPr>
        <w:t>Asian Journal of Research in Infectious Diseases</w:t>
      </w:r>
      <w:r w:rsidRPr="0092079D">
        <w:rPr>
          <w:rFonts w:ascii="Arial" w:hAnsi="Arial" w:cs="Arial"/>
          <w:color w:val="333333"/>
          <w:sz w:val="24"/>
          <w:szCs w:val="27"/>
          <w:highlight w:val="yellow"/>
        </w:rPr>
        <w:t xml:space="preserve"> 10 (1):34-53. </w:t>
      </w:r>
    </w:p>
    <w:p w14:paraId="2F040171" w14:textId="77777777" w:rsidR="00127624" w:rsidRDefault="00127624" w:rsidP="00524B0A">
      <w:pPr>
        <w:spacing w:after="160" w:line="360" w:lineRule="auto"/>
        <w:ind w:left="720"/>
        <w:contextualSpacing/>
        <w:jc w:val="both"/>
        <w:rPr>
          <w:rFonts w:ascii="Arial" w:hAnsi="Arial" w:cs="Arial"/>
          <w:color w:val="000000" w:themeColor="text1"/>
          <w:highlight w:val="yellow"/>
          <w:lang w:eastAsia="fr-FR"/>
        </w:rPr>
      </w:pPr>
    </w:p>
    <w:p w14:paraId="417A7CB6" w14:textId="2CCE3822" w:rsidR="00127624" w:rsidRPr="0092079D" w:rsidRDefault="00127624" w:rsidP="00524B0A">
      <w:pPr>
        <w:pStyle w:val="ListParagraph"/>
        <w:numPr>
          <w:ilvl w:val="0"/>
          <w:numId w:val="32"/>
        </w:numPr>
        <w:shd w:val="clear" w:color="auto" w:fill="FFFFFF"/>
        <w:spacing w:after="160" w:line="360" w:lineRule="auto"/>
        <w:jc w:val="both"/>
        <w:rPr>
          <w:rFonts w:ascii="Arial" w:hAnsi="Arial" w:cs="Arial"/>
          <w:color w:val="000000" w:themeColor="text1"/>
          <w:sz w:val="27"/>
          <w:szCs w:val="27"/>
          <w:highlight w:val="yellow"/>
          <w:lang w:eastAsia="fr-FR"/>
        </w:rPr>
      </w:pPr>
      <w:r w:rsidRPr="0092079D">
        <w:rPr>
          <w:rFonts w:ascii="Arial" w:hAnsi="Arial" w:cs="Arial"/>
          <w:color w:val="333333"/>
          <w:sz w:val="27"/>
          <w:szCs w:val="27"/>
          <w:highlight w:val="yellow"/>
        </w:rPr>
        <w:lastRenderedPageBreak/>
        <w:t>Pasupulati, H., Avadhanula, V., Mamilla, A., Bamini, M. and Padi, S. S. V. (2021) “Antibiotic Prescribing Practices in Primary Care Settings Using 2019 WHO AWaRe Framework”, </w:t>
      </w:r>
      <w:r w:rsidRPr="0092079D">
        <w:rPr>
          <w:rFonts w:ascii="Arial" w:hAnsi="Arial" w:cs="Arial"/>
          <w:i/>
          <w:iCs/>
          <w:color w:val="333333"/>
          <w:sz w:val="27"/>
          <w:szCs w:val="27"/>
          <w:highlight w:val="yellow"/>
        </w:rPr>
        <w:t>Journal of Pharmaceutical Research International</w:t>
      </w:r>
      <w:r w:rsidRPr="0092079D">
        <w:rPr>
          <w:rFonts w:ascii="Arial" w:hAnsi="Arial" w:cs="Arial"/>
          <w:color w:val="333333"/>
          <w:sz w:val="27"/>
          <w:szCs w:val="27"/>
          <w:highlight w:val="yellow"/>
        </w:rPr>
        <w:t>, 33(37A), pp. 58–68.</w:t>
      </w:r>
    </w:p>
    <w:p w14:paraId="6FB81E51" w14:textId="77777777" w:rsidR="00127624" w:rsidRPr="0092079D" w:rsidRDefault="00127624" w:rsidP="00F12FCC">
      <w:pPr>
        <w:spacing w:after="160" w:line="360" w:lineRule="auto"/>
        <w:ind w:left="720"/>
        <w:contextualSpacing/>
        <w:jc w:val="both"/>
        <w:rPr>
          <w:rFonts w:ascii="Arial" w:hAnsi="Arial" w:cs="Arial"/>
          <w:color w:val="000000" w:themeColor="text1"/>
          <w:highlight w:val="yellow"/>
          <w:lang w:eastAsia="fr-FR"/>
        </w:rPr>
      </w:pPr>
    </w:p>
    <w:p w14:paraId="48AF898D" w14:textId="77777777" w:rsidR="008B7B10" w:rsidRDefault="008B7B10" w:rsidP="00524B0A">
      <w:pPr>
        <w:pStyle w:val="DefAcrHead"/>
        <w:spacing w:after="0"/>
        <w:jc w:val="both"/>
        <w:rPr>
          <w:rFonts w:ascii="Arial" w:hAnsi="Arial" w:cs="Arial"/>
        </w:rPr>
      </w:pPr>
    </w:p>
    <w:p w14:paraId="113CCADB" w14:textId="77777777" w:rsidR="00B01FCD" w:rsidRPr="00FB3A86" w:rsidRDefault="00B01FCD" w:rsidP="00524B0A">
      <w:pPr>
        <w:pStyle w:val="Appendix"/>
        <w:spacing w:after="0"/>
        <w:jc w:val="both"/>
        <w:rPr>
          <w:rFonts w:ascii="Arial" w:hAnsi="Arial" w:cs="Arial"/>
          <w:b w:val="0"/>
        </w:rPr>
      </w:pPr>
    </w:p>
    <w:sectPr w:rsidR="00B01FCD" w:rsidRPr="00FB3A86" w:rsidSect="0019274D">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7237" w14:textId="77777777" w:rsidR="00165A0B" w:rsidRDefault="00165A0B" w:rsidP="00C37E61">
      <w:r>
        <w:separator/>
      </w:r>
    </w:p>
  </w:endnote>
  <w:endnote w:type="continuationSeparator" w:id="0">
    <w:p w14:paraId="757890B7" w14:textId="77777777" w:rsidR="00165A0B" w:rsidRDefault="00165A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CA11" w14:textId="77777777" w:rsidR="003008B0" w:rsidRDefault="0030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08DA" w14:textId="77777777" w:rsidR="003008B0" w:rsidRDefault="0030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F861" w14:textId="77777777" w:rsidR="009E048A" w:rsidRDefault="009E048A">
    <w:pPr>
      <w:pStyle w:val="Footer"/>
      <w:rPr>
        <w:rFonts w:ascii="Arial" w:hAnsi="Arial" w:cs="Arial"/>
        <w:sz w:val="16"/>
      </w:rPr>
    </w:pPr>
  </w:p>
  <w:p w14:paraId="63755B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427684" w14:textId="77777777" w:rsidR="009E048A" w:rsidRDefault="009E048A">
    <w:pPr>
      <w:pStyle w:val="Footer"/>
      <w:rPr>
        <w:rFonts w:ascii="Arial" w:hAnsi="Arial" w:cs="Arial"/>
        <w:sz w:val="16"/>
      </w:rPr>
    </w:pPr>
  </w:p>
  <w:p w14:paraId="18C965B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0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DEB9" w14:textId="77777777" w:rsidR="00165A0B" w:rsidRDefault="00165A0B" w:rsidP="00C37E61">
      <w:r>
        <w:separator/>
      </w:r>
    </w:p>
  </w:footnote>
  <w:footnote w:type="continuationSeparator" w:id="0">
    <w:p w14:paraId="6ADEBEAF" w14:textId="77777777" w:rsidR="00165A0B" w:rsidRDefault="00165A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284" w14:textId="72CA18B1" w:rsidR="003008B0" w:rsidRDefault="00000000">
    <w:pPr>
      <w:pStyle w:val="Header"/>
    </w:pPr>
    <w:r>
      <w:rPr>
        <w:noProof/>
      </w:rPr>
      <w:pict w14:anchorId="3A4B3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F3B2" w14:textId="2E1A9418" w:rsidR="003008B0" w:rsidRDefault="00000000">
    <w:pPr>
      <w:pStyle w:val="Header"/>
    </w:pPr>
    <w:r>
      <w:rPr>
        <w:noProof/>
      </w:rPr>
      <w:pict w14:anchorId="00AAA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A3F3" w14:textId="57045DD9" w:rsidR="00296529" w:rsidRPr="00296529" w:rsidRDefault="00000000" w:rsidP="00296529">
    <w:pPr>
      <w:ind w:left="2160"/>
      <w:jc w:val="center"/>
      <w:rPr>
        <w:rFonts w:ascii="Times New Roman" w:eastAsia="Calibri" w:hAnsi="Times New Roman"/>
        <w:i/>
        <w:sz w:val="18"/>
        <w:szCs w:val="22"/>
      </w:rPr>
    </w:pPr>
    <w:r>
      <w:rPr>
        <w:noProof/>
      </w:rPr>
      <w:pict w14:anchorId="1376F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0F71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74B0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AE59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E7F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378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CF31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B9F4" w14:textId="6DC40248" w:rsidR="003008B0" w:rsidRDefault="00000000">
    <w:pPr>
      <w:pStyle w:val="Header"/>
    </w:pPr>
    <w:r>
      <w:rPr>
        <w:noProof/>
      </w:rPr>
      <w:pict w14:anchorId="0E765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CF72" w14:textId="2219F971" w:rsidR="003008B0" w:rsidRDefault="00000000">
    <w:pPr>
      <w:pStyle w:val="Header"/>
    </w:pPr>
    <w:r>
      <w:rPr>
        <w:noProof/>
      </w:rPr>
      <w:pict w14:anchorId="6BA1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7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7C44" w14:textId="3D0E5B66" w:rsidR="003008B0" w:rsidRDefault="00000000">
    <w:pPr>
      <w:pStyle w:val="Header"/>
    </w:pPr>
    <w:r>
      <w:rPr>
        <w:noProof/>
      </w:rPr>
      <w:pict w14:anchorId="560C9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D3D99"/>
    <w:multiLevelType w:val="hybridMultilevel"/>
    <w:tmpl w:val="050E3996"/>
    <w:lvl w:ilvl="0" w:tplc="65B8E404">
      <w:start w:val="1"/>
      <w:numFmt w:val="decimal"/>
      <w:lvlText w:val="%1."/>
      <w:lvlJc w:val="left"/>
      <w:pPr>
        <w:ind w:left="720" w:hanging="360"/>
      </w:pPr>
      <w:rPr>
        <w:rFonts w:ascii="Segoe UI" w:hAnsi="Segoe UI"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FB3A5D"/>
    <w:multiLevelType w:val="hybridMultilevel"/>
    <w:tmpl w:val="0A18BDEC"/>
    <w:lvl w:ilvl="0" w:tplc="91480AF0">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345D8"/>
    <w:multiLevelType w:val="hybridMultilevel"/>
    <w:tmpl w:val="7354D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47490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2538817">
    <w:abstractNumId w:val="16"/>
  </w:num>
  <w:num w:numId="3" w16cid:durableId="454492658">
    <w:abstractNumId w:val="26"/>
  </w:num>
  <w:num w:numId="4" w16cid:durableId="14612602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72342623">
    <w:abstractNumId w:val="8"/>
  </w:num>
  <w:num w:numId="6" w16cid:durableId="977996942">
    <w:abstractNumId w:val="6"/>
  </w:num>
  <w:num w:numId="7" w16cid:durableId="738794914">
    <w:abstractNumId w:val="1"/>
  </w:num>
  <w:num w:numId="8" w16cid:durableId="869687487">
    <w:abstractNumId w:val="13"/>
  </w:num>
  <w:num w:numId="9" w16cid:durableId="77290275">
    <w:abstractNumId w:val="28"/>
  </w:num>
  <w:num w:numId="10" w16cid:durableId="988480712">
    <w:abstractNumId w:val="2"/>
  </w:num>
  <w:num w:numId="11" w16cid:durableId="796024058">
    <w:abstractNumId w:val="19"/>
  </w:num>
  <w:num w:numId="12" w16cid:durableId="784616480">
    <w:abstractNumId w:val="3"/>
  </w:num>
  <w:num w:numId="13" w16cid:durableId="208999287">
    <w:abstractNumId w:val="18"/>
  </w:num>
  <w:num w:numId="14" w16cid:durableId="1135172609">
    <w:abstractNumId w:val="9"/>
  </w:num>
  <w:num w:numId="15" w16cid:durableId="222646169">
    <w:abstractNumId w:val="24"/>
  </w:num>
  <w:num w:numId="16" w16cid:durableId="1647271627">
    <w:abstractNumId w:val="5"/>
  </w:num>
  <w:num w:numId="17" w16cid:durableId="1376739198">
    <w:abstractNumId w:val="25"/>
  </w:num>
  <w:num w:numId="18" w16cid:durableId="1235165216">
    <w:abstractNumId w:val="15"/>
  </w:num>
  <w:num w:numId="19" w16cid:durableId="462622352">
    <w:abstractNumId w:val="31"/>
  </w:num>
  <w:num w:numId="20" w16cid:durableId="1209295761">
    <w:abstractNumId w:val="12"/>
  </w:num>
  <w:num w:numId="21" w16cid:durableId="1973517735">
    <w:abstractNumId w:val="10"/>
  </w:num>
  <w:num w:numId="22" w16cid:durableId="1872104844">
    <w:abstractNumId w:val="14"/>
  </w:num>
  <w:num w:numId="23" w16cid:durableId="1220365880">
    <w:abstractNumId w:val="21"/>
  </w:num>
  <w:num w:numId="24" w16cid:durableId="393432247">
    <w:abstractNumId w:val="29"/>
  </w:num>
  <w:num w:numId="25" w16cid:durableId="911737947">
    <w:abstractNumId w:val="4"/>
  </w:num>
  <w:num w:numId="26" w16cid:durableId="1824196334">
    <w:abstractNumId w:val="17"/>
  </w:num>
  <w:num w:numId="27" w16cid:durableId="1412432136">
    <w:abstractNumId w:val="22"/>
  </w:num>
  <w:num w:numId="28" w16cid:durableId="551306924">
    <w:abstractNumId w:val="30"/>
  </w:num>
  <w:num w:numId="29" w16cid:durableId="1246064619">
    <w:abstractNumId w:val="27"/>
  </w:num>
  <w:num w:numId="30" w16cid:durableId="709958641">
    <w:abstractNumId w:val="11"/>
  </w:num>
  <w:num w:numId="31" w16cid:durableId="1222060699">
    <w:abstractNumId w:val="23"/>
  </w:num>
  <w:num w:numId="32" w16cid:durableId="1940067279">
    <w:abstractNumId w:val="7"/>
  </w:num>
  <w:num w:numId="33" w16cid:durableId="16377582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tTS2MLE0MTawNDdW0lEKTi0uzszPAykwrAUAihKUHiwAAAA="/>
  </w:docVars>
  <w:rsids>
    <w:rsidRoot w:val="00AA6219"/>
    <w:rsid w:val="00000F8F"/>
    <w:rsid w:val="00011722"/>
    <w:rsid w:val="00030174"/>
    <w:rsid w:val="0004579C"/>
    <w:rsid w:val="0005249B"/>
    <w:rsid w:val="000A47FA"/>
    <w:rsid w:val="000A65D3"/>
    <w:rsid w:val="000B1E33"/>
    <w:rsid w:val="000C0C73"/>
    <w:rsid w:val="000D689F"/>
    <w:rsid w:val="000E7B7B"/>
    <w:rsid w:val="000E7D62"/>
    <w:rsid w:val="00103357"/>
    <w:rsid w:val="001207EF"/>
    <w:rsid w:val="00123C9F"/>
    <w:rsid w:val="00126190"/>
    <w:rsid w:val="00127624"/>
    <w:rsid w:val="00130F17"/>
    <w:rsid w:val="001320BF"/>
    <w:rsid w:val="00140BE7"/>
    <w:rsid w:val="001521D9"/>
    <w:rsid w:val="00163BC4"/>
    <w:rsid w:val="00165A0B"/>
    <w:rsid w:val="00181953"/>
    <w:rsid w:val="00182D59"/>
    <w:rsid w:val="00191062"/>
    <w:rsid w:val="0019274D"/>
    <w:rsid w:val="00192B72"/>
    <w:rsid w:val="001A29D8"/>
    <w:rsid w:val="001A5CAA"/>
    <w:rsid w:val="001B0427"/>
    <w:rsid w:val="001B41A5"/>
    <w:rsid w:val="001C0AC9"/>
    <w:rsid w:val="001D3A51"/>
    <w:rsid w:val="001E10D2"/>
    <w:rsid w:val="001E25B4"/>
    <w:rsid w:val="001E44FE"/>
    <w:rsid w:val="00200595"/>
    <w:rsid w:val="00204835"/>
    <w:rsid w:val="00227B10"/>
    <w:rsid w:val="00231920"/>
    <w:rsid w:val="0023195C"/>
    <w:rsid w:val="0024282C"/>
    <w:rsid w:val="002460DC"/>
    <w:rsid w:val="00250985"/>
    <w:rsid w:val="002556F6"/>
    <w:rsid w:val="00283105"/>
    <w:rsid w:val="00284C4C"/>
    <w:rsid w:val="00287E68"/>
    <w:rsid w:val="00296529"/>
    <w:rsid w:val="002B27FB"/>
    <w:rsid w:val="002B685A"/>
    <w:rsid w:val="002C0EA3"/>
    <w:rsid w:val="002C57D2"/>
    <w:rsid w:val="002E0D56"/>
    <w:rsid w:val="003008B0"/>
    <w:rsid w:val="00315186"/>
    <w:rsid w:val="0033343E"/>
    <w:rsid w:val="003512C2"/>
    <w:rsid w:val="003650AA"/>
    <w:rsid w:val="00371FB6"/>
    <w:rsid w:val="003763C1"/>
    <w:rsid w:val="00376BBE"/>
    <w:rsid w:val="00391A79"/>
    <w:rsid w:val="0039224F"/>
    <w:rsid w:val="003A43A4"/>
    <w:rsid w:val="003A7E18"/>
    <w:rsid w:val="003C4C86"/>
    <w:rsid w:val="003C6258"/>
    <w:rsid w:val="003E2904"/>
    <w:rsid w:val="0040159A"/>
    <w:rsid w:val="00401927"/>
    <w:rsid w:val="0041027F"/>
    <w:rsid w:val="00410F7F"/>
    <w:rsid w:val="00412475"/>
    <w:rsid w:val="00415F72"/>
    <w:rsid w:val="00423789"/>
    <w:rsid w:val="00440F43"/>
    <w:rsid w:val="00441B6F"/>
    <w:rsid w:val="00446221"/>
    <w:rsid w:val="00450E62"/>
    <w:rsid w:val="004539DB"/>
    <w:rsid w:val="00471A80"/>
    <w:rsid w:val="004D305E"/>
    <w:rsid w:val="004D4277"/>
    <w:rsid w:val="00502516"/>
    <w:rsid w:val="00505F06"/>
    <w:rsid w:val="00506828"/>
    <w:rsid w:val="0051496D"/>
    <w:rsid w:val="00524B0A"/>
    <w:rsid w:val="0053056E"/>
    <w:rsid w:val="00541934"/>
    <w:rsid w:val="00554FDA"/>
    <w:rsid w:val="00574436"/>
    <w:rsid w:val="005C784C"/>
    <w:rsid w:val="005D17F6"/>
    <w:rsid w:val="005E1654"/>
    <w:rsid w:val="005E5539"/>
    <w:rsid w:val="00602BF5"/>
    <w:rsid w:val="00617FDD"/>
    <w:rsid w:val="00633614"/>
    <w:rsid w:val="00633F68"/>
    <w:rsid w:val="00636EB2"/>
    <w:rsid w:val="006375B8"/>
    <w:rsid w:val="00644C0A"/>
    <w:rsid w:val="0066510A"/>
    <w:rsid w:val="00672A33"/>
    <w:rsid w:val="00673F9F"/>
    <w:rsid w:val="00686953"/>
    <w:rsid w:val="00687DEA"/>
    <w:rsid w:val="00687E67"/>
    <w:rsid w:val="006967F7"/>
    <w:rsid w:val="006A250C"/>
    <w:rsid w:val="006B21D3"/>
    <w:rsid w:val="006B49E3"/>
    <w:rsid w:val="006B57D0"/>
    <w:rsid w:val="006D30FF"/>
    <w:rsid w:val="006D581E"/>
    <w:rsid w:val="006D6940"/>
    <w:rsid w:val="006F11EC"/>
    <w:rsid w:val="006F6C83"/>
    <w:rsid w:val="0070082C"/>
    <w:rsid w:val="00725A4E"/>
    <w:rsid w:val="007369E6"/>
    <w:rsid w:val="00743F8A"/>
    <w:rsid w:val="00746E59"/>
    <w:rsid w:val="00751002"/>
    <w:rsid w:val="00752667"/>
    <w:rsid w:val="00754C9A"/>
    <w:rsid w:val="0075599A"/>
    <w:rsid w:val="00761D52"/>
    <w:rsid w:val="0077749E"/>
    <w:rsid w:val="00790ADA"/>
    <w:rsid w:val="007B5B6C"/>
    <w:rsid w:val="007D2288"/>
    <w:rsid w:val="007E088F"/>
    <w:rsid w:val="007F7B32"/>
    <w:rsid w:val="00804BC2"/>
    <w:rsid w:val="0081431A"/>
    <w:rsid w:val="00825349"/>
    <w:rsid w:val="008302EF"/>
    <w:rsid w:val="0083216F"/>
    <w:rsid w:val="0083248D"/>
    <w:rsid w:val="0085353D"/>
    <w:rsid w:val="00860000"/>
    <w:rsid w:val="00863BD3"/>
    <w:rsid w:val="0086419B"/>
    <w:rsid w:val="008641ED"/>
    <w:rsid w:val="00866D66"/>
    <w:rsid w:val="008671C6"/>
    <w:rsid w:val="00875803"/>
    <w:rsid w:val="00882F41"/>
    <w:rsid w:val="008B459E"/>
    <w:rsid w:val="008B7B10"/>
    <w:rsid w:val="008E13AE"/>
    <w:rsid w:val="008E1506"/>
    <w:rsid w:val="008E710C"/>
    <w:rsid w:val="008F20FF"/>
    <w:rsid w:val="008F69D6"/>
    <w:rsid w:val="00902823"/>
    <w:rsid w:val="00910EDB"/>
    <w:rsid w:val="00915CA6"/>
    <w:rsid w:val="0092079D"/>
    <w:rsid w:val="00927834"/>
    <w:rsid w:val="009500A6"/>
    <w:rsid w:val="0095550D"/>
    <w:rsid w:val="00957C18"/>
    <w:rsid w:val="009659BA"/>
    <w:rsid w:val="0097370B"/>
    <w:rsid w:val="00983040"/>
    <w:rsid w:val="0098574D"/>
    <w:rsid w:val="009B3FB9"/>
    <w:rsid w:val="009C2465"/>
    <w:rsid w:val="009D35A0"/>
    <w:rsid w:val="009D7EB7"/>
    <w:rsid w:val="009E048A"/>
    <w:rsid w:val="009E08E9"/>
    <w:rsid w:val="009E3DB9"/>
    <w:rsid w:val="009E6E35"/>
    <w:rsid w:val="009F0EDA"/>
    <w:rsid w:val="00A03B96"/>
    <w:rsid w:val="00A05B19"/>
    <w:rsid w:val="00A1134E"/>
    <w:rsid w:val="00A153BF"/>
    <w:rsid w:val="00A17AFD"/>
    <w:rsid w:val="00A24E7E"/>
    <w:rsid w:val="00A258C3"/>
    <w:rsid w:val="00A347C0"/>
    <w:rsid w:val="00A51431"/>
    <w:rsid w:val="00A539AD"/>
    <w:rsid w:val="00A64996"/>
    <w:rsid w:val="00A84071"/>
    <w:rsid w:val="00A94063"/>
    <w:rsid w:val="00AA6219"/>
    <w:rsid w:val="00AA74E0"/>
    <w:rsid w:val="00AB58C3"/>
    <w:rsid w:val="00AB703F"/>
    <w:rsid w:val="00AC6BB8"/>
    <w:rsid w:val="00AD23C6"/>
    <w:rsid w:val="00AE008F"/>
    <w:rsid w:val="00AE35D3"/>
    <w:rsid w:val="00B01FCD"/>
    <w:rsid w:val="00B1776C"/>
    <w:rsid w:val="00B501B8"/>
    <w:rsid w:val="00B52583"/>
    <w:rsid w:val="00B52896"/>
    <w:rsid w:val="00B5787D"/>
    <w:rsid w:val="00B646E3"/>
    <w:rsid w:val="00B95236"/>
    <w:rsid w:val="00B96BD9"/>
    <w:rsid w:val="00BA1B01"/>
    <w:rsid w:val="00BA2641"/>
    <w:rsid w:val="00BB37AA"/>
    <w:rsid w:val="00BB4ED2"/>
    <w:rsid w:val="00BC53A0"/>
    <w:rsid w:val="00BE62AD"/>
    <w:rsid w:val="00BF121F"/>
    <w:rsid w:val="00BF1F80"/>
    <w:rsid w:val="00C0323A"/>
    <w:rsid w:val="00C13B5A"/>
    <w:rsid w:val="00C166EF"/>
    <w:rsid w:val="00C17EB0"/>
    <w:rsid w:val="00C27F5F"/>
    <w:rsid w:val="00C30A0F"/>
    <w:rsid w:val="00C37E61"/>
    <w:rsid w:val="00C703B3"/>
    <w:rsid w:val="00C70F1B"/>
    <w:rsid w:val="00C71A47"/>
    <w:rsid w:val="00C71F08"/>
    <w:rsid w:val="00C7464C"/>
    <w:rsid w:val="00C85588"/>
    <w:rsid w:val="00CD6755"/>
    <w:rsid w:val="00CD6856"/>
    <w:rsid w:val="00CE0089"/>
    <w:rsid w:val="00CE793C"/>
    <w:rsid w:val="00CF193C"/>
    <w:rsid w:val="00D173F1"/>
    <w:rsid w:val="00D25B6D"/>
    <w:rsid w:val="00D647DB"/>
    <w:rsid w:val="00D71063"/>
    <w:rsid w:val="00D74CB0"/>
    <w:rsid w:val="00D8295D"/>
    <w:rsid w:val="00DA10AF"/>
    <w:rsid w:val="00DC2A65"/>
    <w:rsid w:val="00DE15F0"/>
    <w:rsid w:val="00DE5663"/>
    <w:rsid w:val="00DE78AA"/>
    <w:rsid w:val="00DF65B2"/>
    <w:rsid w:val="00E053D0"/>
    <w:rsid w:val="00E07222"/>
    <w:rsid w:val="00E15994"/>
    <w:rsid w:val="00E3114E"/>
    <w:rsid w:val="00E31A70"/>
    <w:rsid w:val="00E35B02"/>
    <w:rsid w:val="00E66496"/>
    <w:rsid w:val="00E66B35"/>
    <w:rsid w:val="00E66E10"/>
    <w:rsid w:val="00E769F6"/>
    <w:rsid w:val="00E8407C"/>
    <w:rsid w:val="00E84F3C"/>
    <w:rsid w:val="00E951A4"/>
    <w:rsid w:val="00EA012C"/>
    <w:rsid w:val="00EB0725"/>
    <w:rsid w:val="00EC6A55"/>
    <w:rsid w:val="00ED0288"/>
    <w:rsid w:val="00EE52CB"/>
    <w:rsid w:val="00EF581D"/>
    <w:rsid w:val="00EF7FD8"/>
    <w:rsid w:val="00F06F59"/>
    <w:rsid w:val="00F12FCC"/>
    <w:rsid w:val="00F17988"/>
    <w:rsid w:val="00F20BFE"/>
    <w:rsid w:val="00F469F0"/>
    <w:rsid w:val="00F53273"/>
    <w:rsid w:val="00F70062"/>
    <w:rsid w:val="00F71D0C"/>
    <w:rsid w:val="00F755E4"/>
    <w:rsid w:val="00F77D02"/>
    <w:rsid w:val="00FB3A86"/>
    <w:rsid w:val="00FD36C8"/>
    <w:rsid w:val="00FD3F6C"/>
    <w:rsid w:val="00FF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2F0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1D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Normal1">
    <w:name w:val="Table Normal1"/>
    <w:rsid w:val="00910EDB"/>
    <w:pPr>
      <w:jc w:val="both"/>
    </w:pPr>
    <w:rPr>
      <w:color w:val="231F20"/>
      <w:sz w:val="22"/>
      <w:szCs w:val="22"/>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F71D0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1C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1C0AC9"/>
    <w:rPr>
      <w:rFonts w:ascii="Courier New" w:hAnsi="Courier New" w:cs="Courier New"/>
      <w:lang w:val="fr-FR" w:eastAsia="fr-FR"/>
    </w:rPr>
  </w:style>
  <w:style w:type="character" w:customStyle="1" w:styleId="y2iqfc">
    <w:name w:val="y2iqfc"/>
    <w:basedOn w:val="DefaultParagraphFont"/>
    <w:rsid w:val="001C0AC9"/>
  </w:style>
  <w:style w:type="paragraph" w:styleId="ListParagraph">
    <w:name w:val="List Paragraph"/>
    <w:basedOn w:val="Normal"/>
    <w:uiPriority w:val="34"/>
    <w:qFormat/>
    <w:rsid w:val="00127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3967171">
      <w:bodyDiv w:val="1"/>
      <w:marLeft w:val="0"/>
      <w:marRight w:val="0"/>
      <w:marTop w:val="0"/>
      <w:marBottom w:val="0"/>
      <w:divBdr>
        <w:top w:val="none" w:sz="0" w:space="0" w:color="auto"/>
        <w:left w:val="none" w:sz="0" w:space="0" w:color="auto"/>
        <w:bottom w:val="none" w:sz="0" w:space="0" w:color="auto"/>
        <w:right w:val="none" w:sz="0" w:space="0" w:color="auto"/>
      </w:divBdr>
      <w:divsChild>
        <w:div w:id="154807727">
          <w:marLeft w:val="0"/>
          <w:marRight w:val="0"/>
          <w:marTop w:val="0"/>
          <w:marBottom w:val="0"/>
          <w:divBdr>
            <w:top w:val="none" w:sz="0" w:space="0" w:color="auto"/>
            <w:left w:val="none" w:sz="0" w:space="0" w:color="auto"/>
            <w:bottom w:val="none" w:sz="0" w:space="0" w:color="auto"/>
            <w:right w:val="none" w:sz="0" w:space="0" w:color="auto"/>
          </w:divBdr>
          <w:divsChild>
            <w:div w:id="1583560588">
              <w:marLeft w:val="0"/>
              <w:marRight w:val="0"/>
              <w:marTop w:val="0"/>
              <w:marBottom w:val="0"/>
              <w:divBdr>
                <w:top w:val="none" w:sz="0" w:space="0" w:color="auto"/>
                <w:left w:val="none" w:sz="0" w:space="0" w:color="auto"/>
                <w:bottom w:val="none" w:sz="0" w:space="0" w:color="auto"/>
                <w:right w:val="none" w:sz="0" w:space="0" w:color="auto"/>
              </w:divBdr>
              <w:divsChild>
                <w:div w:id="1352142106">
                  <w:marLeft w:val="0"/>
                  <w:marRight w:val="0"/>
                  <w:marTop w:val="0"/>
                  <w:marBottom w:val="0"/>
                  <w:divBdr>
                    <w:top w:val="none" w:sz="0" w:space="0" w:color="auto"/>
                    <w:left w:val="none" w:sz="0" w:space="0" w:color="auto"/>
                    <w:bottom w:val="none" w:sz="0" w:space="0" w:color="auto"/>
                    <w:right w:val="none" w:sz="0" w:space="0" w:color="auto"/>
                  </w:divBdr>
                </w:div>
                <w:div w:id="177622804">
                  <w:marLeft w:val="0"/>
                  <w:marRight w:val="0"/>
                  <w:marTop w:val="0"/>
                  <w:marBottom w:val="0"/>
                  <w:divBdr>
                    <w:top w:val="none" w:sz="0" w:space="0" w:color="auto"/>
                    <w:left w:val="none" w:sz="0" w:space="0" w:color="auto"/>
                    <w:bottom w:val="none" w:sz="0" w:space="0" w:color="auto"/>
                    <w:right w:val="none" w:sz="0" w:space="0" w:color="auto"/>
                  </w:divBdr>
                  <w:divsChild>
                    <w:div w:id="17935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076730">
      <w:bodyDiv w:val="1"/>
      <w:marLeft w:val="0"/>
      <w:marRight w:val="0"/>
      <w:marTop w:val="0"/>
      <w:marBottom w:val="0"/>
      <w:divBdr>
        <w:top w:val="none" w:sz="0" w:space="0" w:color="auto"/>
        <w:left w:val="none" w:sz="0" w:space="0" w:color="auto"/>
        <w:bottom w:val="none" w:sz="0" w:space="0" w:color="auto"/>
        <w:right w:val="none" w:sz="0" w:space="0" w:color="auto"/>
      </w:divBdr>
      <w:divsChild>
        <w:div w:id="510027051">
          <w:marLeft w:val="0"/>
          <w:marRight w:val="0"/>
          <w:marTop w:val="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none" w:sz="0" w:space="0" w:color="auto"/>
                <w:right w:val="none" w:sz="0" w:space="0" w:color="auto"/>
              </w:divBdr>
              <w:divsChild>
                <w:div w:id="962156411">
                  <w:marLeft w:val="0"/>
                  <w:marRight w:val="0"/>
                  <w:marTop w:val="0"/>
                  <w:marBottom w:val="0"/>
                  <w:divBdr>
                    <w:top w:val="none" w:sz="0" w:space="0" w:color="auto"/>
                    <w:left w:val="none" w:sz="0" w:space="0" w:color="auto"/>
                    <w:bottom w:val="none" w:sz="0" w:space="0" w:color="auto"/>
                    <w:right w:val="none" w:sz="0" w:space="0" w:color="auto"/>
                  </w:divBdr>
                  <w:divsChild>
                    <w:div w:id="3581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8954264">
      <w:bodyDiv w:val="1"/>
      <w:marLeft w:val="0"/>
      <w:marRight w:val="0"/>
      <w:marTop w:val="0"/>
      <w:marBottom w:val="0"/>
      <w:divBdr>
        <w:top w:val="none" w:sz="0" w:space="0" w:color="auto"/>
        <w:left w:val="none" w:sz="0" w:space="0" w:color="auto"/>
        <w:bottom w:val="none" w:sz="0" w:space="0" w:color="auto"/>
        <w:right w:val="none" w:sz="0" w:space="0" w:color="auto"/>
      </w:divBdr>
      <w:divsChild>
        <w:div w:id="1286305346">
          <w:marLeft w:val="0"/>
          <w:marRight w:val="0"/>
          <w:marTop w:val="0"/>
          <w:marBottom w:val="0"/>
          <w:divBdr>
            <w:top w:val="none" w:sz="0" w:space="0" w:color="auto"/>
            <w:left w:val="none" w:sz="0" w:space="0" w:color="auto"/>
            <w:bottom w:val="none" w:sz="0" w:space="0" w:color="auto"/>
            <w:right w:val="none" w:sz="0" w:space="0" w:color="auto"/>
          </w:divBdr>
          <w:divsChild>
            <w:div w:id="647705105">
              <w:marLeft w:val="0"/>
              <w:marRight w:val="0"/>
              <w:marTop w:val="0"/>
              <w:marBottom w:val="0"/>
              <w:divBdr>
                <w:top w:val="none" w:sz="0" w:space="0" w:color="auto"/>
                <w:left w:val="none" w:sz="0" w:space="0" w:color="auto"/>
                <w:bottom w:val="none" w:sz="0" w:space="0" w:color="auto"/>
                <w:right w:val="none" w:sz="0" w:space="0" w:color="auto"/>
              </w:divBdr>
              <w:divsChild>
                <w:div w:id="1280338789">
                  <w:marLeft w:val="0"/>
                  <w:marRight w:val="0"/>
                  <w:marTop w:val="0"/>
                  <w:marBottom w:val="0"/>
                  <w:divBdr>
                    <w:top w:val="none" w:sz="0" w:space="0" w:color="auto"/>
                    <w:left w:val="none" w:sz="0" w:space="0" w:color="auto"/>
                    <w:bottom w:val="none" w:sz="0" w:space="0" w:color="auto"/>
                    <w:right w:val="none" w:sz="0" w:space="0" w:color="auto"/>
                  </w:divBdr>
                  <w:divsChild>
                    <w:div w:id="6804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046804">
      <w:bodyDiv w:val="1"/>
      <w:marLeft w:val="0"/>
      <w:marRight w:val="0"/>
      <w:marTop w:val="0"/>
      <w:marBottom w:val="0"/>
      <w:divBdr>
        <w:top w:val="none" w:sz="0" w:space="0" w:color="auto"/>
        <w:left w:val="none" w:sz="0" w:space="0" w:color="auto"/>
        <w:bottom w:val="none" w:sz="0" w:space="0" w:color="auto"/>
        <w:right w:val="none" w:sz="0" w:space="0" w:color="auto"/>
      </w:divBdr>
      <w:divsChild>
        <w:div w:id="1316957741">
          <w:marLeft w:val="0"/>
          <w:marRight w:val="0"/>
          <w:marTop w:val="0"/>
          <w:marBottom w:val="0"/>
          <w:divBdr>
            <w:top w:val="none" w:sz="0" w:space="0" w:color="auto"/>
            <w:left w:val="none" w:sz="0" w:space="0" w:color="auto"/>
            <w:bottom w:val="none" w:sz="0" w:space="0" w:color="auto"/>
            <w:right w:val="none" w:sz="0" w:space="0" w:color="auto"/>
          </w:divBdr>
          <w:divsChild>
            <w:div w:id="512768166">
              <w:marLeft w:val="0"/>
              <w:marRight w:val="0"/>
              <w:marTop w:val="0"/>
              <w:marBottom w:val="0"/>
              <w:divBdr>
                <w:top w:val="none" w:sz="0" w:space="0" w:color="auto"/>
                <w:left w:val="none" w:sz="0" w:space="0" w:color="auto"/>
                <w:bottom w:val="none" w:sz="0" w:space="0" w:color="auto"/>
                <w:right w:val="none" w:sz="0" w:space="0" w:color="auto"/>
              </w:divBdr>
              <w:divsChild>
                <w:div w:id="1460494043">
                  <w:marLeft w:val="0"/>
                  <w:marRight w:val="0"/>
                  <w:marTop w:val="0"/>
                  <w:marBottom w:val="0"/>
                  <w:divBdr>
                    <w:top w:val="none" w:sz="0" w:space="0" w:color="auto"/>
                    <w:left w:val="none" w:sz="0" w:space="0" w:color="auto"/>
                    <w:bottom w:val="none" w:sz="0" w:space="0" w:color="auto"/>
                    <w:right w:val="none" w:sz="0" w:space="0" w:color="auto"/>
                  </w:divBdr>
                  <w:divsChild>
                    <w:div w:id="2717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term=Jean+Pierre+H&amp;cauthor_id=286556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med.ncbi.nlm.nih.gov/?term=Godreuil+S&amp;cauthor_id=286556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term=Ouedraogo+AS&amp;cauthor_id=2865567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pubmed.ncbi.nlm.nih.gov/?term=Ou%C3%A9draogo+R&amp;cauthor_id=28655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pubmed.ncbi.nlm.nih.gov/?term=Ba%C3%B1uls+AL&amp;cauthor_id=286556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Ventes</c:v>
                </c:pt>
              </c:strCache>
            </c:strRef>
          </c:tx>
          <c:explosion val="4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D-B5BB-4466-8228-9A57F8099FF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336-4B3B-B51D-7B491D1518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336-4B3B-B51D-7B491D15182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336-4B3B-B51D-7B491D15182F}"/>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A-B5BB-4466-8228-9A57F8099FF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336-4B3B-B51D-7B491D15182F}"/>
              </c:ext>
            </c:extLst>
          </c:dPt>
          <c:dPt>
            <c:idx val="6"/>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B-B5BB-4466-8228-9A57F8099FF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336-4B3B-B51D-7B491D15182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ect">
                    <a:avLst/>
                  </a:prstGeom>
                  <a:noFill/>
                  <a:ln>
                    <a:noFill/>
                  </a:ln>
                </c15:spPr>
              </c:ext>
            </c:extLst>
          </c:dLbls>
          <c:cat>
            <c:strRef>
              <c:f>Feuil1!$A$2:$A$9</c:f>
              <c:strCache>
                <c:ptCount val="8"/>
                <c:pt idx="0">
                  <c:v>Digestive infections</c:v>
                </c:pt>
                <c:pt idx="1">
                  <c:v>Pneumonia </c:v>
                </c:pt>
                <c:pt idx="2">
                  <c:v>Sepsis </c:v>
                </c:pt>
                <c:pt idx="3">
                  <c:v>Malaria </c:v>
                </c:pt>
                <c:pt idx="4">
                  <c:v>Others </c:v>
                </c:pt>
                <c:pt idx="5">
                  <c:v>Heart diseases </c:v>
                </c:pt>
                <c:pt idx="6">
                  <c:v>Hepathopaties</c:v>
                </c:pt>
                <c:pt idx="7">
                  <c:v>Nephrapathies </c:v>
                </c:pt>
              </c:strCache>
            </c:strRef>
          </c:cat>
          <c:val>
            <c:numRef>
              <c:f>Feuil1!$B$2:$B$9</c:f>
              <c:numCache>
                <c:formatCode>0.00%</c:formatCode>
                <c:ptCount val="8"/>
                <c:pt idx="0">
                  <c:v>0.38700000000000001</c:v>
                </c:pt>
                <c:pt idx="1">
                  <c:v>0.127</c:v>
                </c:pt>
                <c:pt idx="2">
                  <c:v>6.6199999999999995E-2</c:v>
                </c:pt>
                <c:pt idx="3">
                  <c:v>6.6199999999999995E-2</c:v>
                </c:pt>
                <c:pt idx="4">
                  <c:v>0.17680000000000001</c:v>
                </c:pt>
                <c:pt idx="5">
                  <c:v>6.0699999999999997E-2</c:v>
                </c:pt>
                <c:pt idx="6">
                  <c:v>7.7399999999999997E-2</c:v>
                </c:pt>
                <c:pt idx="7">
                  <c:v>3.8699999999999998E-2</c:v>
                </c:pt>
              </c:numCache>
            </c:numRef>
          </c:val>
          <c:extLst>
            <c:ext xmlns:c16="http://schemas.microsoft.com/office/drawing/2014/chart" uri="{C3380CC4-5D6E-409C-BE32-E72D297353CC}">
              <c16:uniqueId val="{00000000-B5BB-4466-8228-9A57F8099FFD}"/>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solidFill>
            <a:sysClr val="windowText" lastClr="000000"/>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Série 1</c:v>
                </c:pt>
              </c:strCache>
            </c:strRef>
          </c:tx>
          <c:spPr>
            <a:solidFill>
              <a:schemeClr val="accent1"/>
            </a:solidFill>
            <a:ln w="0">
              <a:noFill/>
            </a:ln>
            <a:effectLst>
              <a:softEdge rad="0"/>
            </a:effectLst>
          </c:spPr>
          <c:invertIfNegative val="0"/>
          <c:dPt>
            <c:idx val="0"/>
            <c:invertIfNegative val="0"/>
            <c:bubble3D val="0"/>
            <c:spPr>
              <a:solidFill>
                <a:srgbClr val="C00000"/>
              </a:solidFill>
              <a:ln w="0">
                <a:noFill/>
              </a:ln>
              <a:effectLst>
                <a:softEdge rad="0"/>
              </a:effectLst>
            </c:spPr>
            <c:extLst>
              <c:ext xmlns:c16="http://schemas.microsoft.com/office/drawing/2014/chart" uri="{C3380CC4-5D6E-409C-BE32-E72D297353CC}">
                <c16:uniqueId val="{00000001-158F-4D59-86CD-6D44A9A61D54}"/>
              </c:ext>
            </c:extLst>
          </c:dPt>
          <c:dPt>
            <c:idx val="1"/>
            <c:invertIfNegative val="0"/>
            <c:bubble3D val="0"/>
            <c:spPr>
              <a:solidFill>
                <a:schemeClr val="accent1">
                  <a:lumMod val="75000"/>
                </a:schemeClr>
              </a:solidFill>
              <a:ln w="0">
                <a:noFill/>
              </a:ln>
              <a:effectLst>
                <a:softEdge rad="0"/>
              </a:effectLst>
            </c:spPr>
            <c:extLst>
              <c:ext xmlns:c16="http://schemas.microsoft.com/office/drawing/2014/chart" uri="{C3380CC4-5D6E-409C-BE32-E72D297353CC}">
                <c16:uniqueId val="{00000003-158F-4D59-86CD-6D44A9A61D54}"/>
              </c:ext>
            </c:extLst>
          </c:dPt>
          <c:dPt>
            <c:idx val="2"/>
            <c:invertIfNegative val="0"/>
            <c:bubble3D val="0"/>
            <c:spPr>
              <a:solidFill>
                <a:srgbClr val="7030A0"/>
              </a:solidFill>
              <a:ln w="0">
                <a:noFill/>
              </a:ln>
              <a:effectLst>
                <a:softEdge rad="0"/>
              </a:effectLst>
            </c:spPr>
            <c:extLst>
              <c:ext xmlns:c16="http://schemas.microsoft.com/office/drawing/2014/chart" uri="{C3380CC4-5D6E-409C-BE32-E72D297353CC}">
                <c16:uniqueId val="{00000005-158F-4D59-86CD-6D44A9A61D54}"/>
              </c:ext>
            </c:extLst>
          </c:dPt>
          <c:dPt>
            <c:idx val="3"/>
            <c:invertIfNegative val="0"/>
            <c:bubble3D val="0"/>
            <c:spPr>
              <a:solidFill>
                <a:srgbClr val="00B050"/>
              </a:solidFill>
              <a:ln w="0">
                <a:noFill/>
              </a:ln>
              <a:effectLst>
                <a:softEdge rad="0"/>
              </a:effectLst>
            </c:spPr>
            <c:extLst>
              <c:ext xmlns:c16="http://schemas.microsoft.com/office/drawing/2014/chart" uri="{C3380CC4-5D6E-409C-BE32-E72D297353CC}">
                <c16:uniqueId val="{00000007-158F-4D59-86CD-6D44A9A61D54}"/>
              </c:ext>
            </c:extLst>
          </c:dPt>
          <c:dPt>
            <c:idx val="4"/>
            <c:invertIfNegative val="0"/>
            <c:bubble3D val="0"/>
            <c:spPr>
              <a:solidFill>
                <a:schemeClr val="accent1">
                  <a:lumMod val="50000"/>
                </a:schemeClr>
              </a:solidFill>
              <a:ln w="0">
                <a:noFill/>
              </a:ln>
              <a:effectLst>
                <a:softEdge rad="0"/>
              </a:effectLst>
            </c:spPr>
            <c:extLst>
              <c:ext xmlns:c16="http://schemas.microsoft.com/office/drawing/2014/chart" uri="{C3380CC4-5D6E-409C-BE32-E72D297353CC}">
                <c16:uniqueId val="{00000009-158F-4D59-86CD-6D44A9A61D54}"/>
              </c:ext>
            </c:extLst>
          </c:dPt>
          <c:dPt>
            <c:idx val="5"/>
            <c:invertIfNegative val="0"/>
            <c:bubble3D val="0"/>
            <c:spPr>
              <a:solidFill>
                <a:schemeClr val="tx2"/>
              </a:solidFill>
              <a:ln w="0">
                <a:noFill/>
              </a:ln>
              <a:effectLst>
                <a:softEdge rad="0"/>
              </a:effectLst>
            </c:spPr>
            <c:extLst>
              <c:ext xmlns:c16="http://schemas.microsoft.com/office/drawing/2014/chart" uri="{C3380CC4-5D6E-409C-BE32-E72D297353CC}">
                <c16:uniqueId val="{0000000B-158F-4D59-86CD-6D44A9A61D54}"/>
              </c:ext>
            </c:extLst>
          </c:dPt>
          <c:dPt>
            <c:idx val="6"/>
            <c:invertIfNegative val="0"/>
            <c:bubble3D val="0"/>
            <c:spPr>
              <a:solidFill>
                <a:schemeClr val="accent4"/>
              </a:solidFill>
              <a:ln w="0">
                <a:noFill/>
              </a:ln>
              <a:effectLst>
                <a:softEdge rad="0"/>
              </a:effectLst>
            </c:spPr>
            <c:extLst>
              <c:ext xmlns:c16="http://schemas.microsoft.com/office/drawing/2014/chart" uri="{C3380CC4-5D6E-409C-BE32-E72D297353CC}">
                <c16:uniqueId val="{0000000D-158F-4D59-86CD-6D44A9A61D54}"/>
              </c:ext>
            </c:extLst>
          </c:dPt>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Feuil1!$B$2:$B$8</c:f>
              <c:numCache>
                <c:formatCode>0.00%</c:formatCode>
                <c:ptCount val="7"/>
                <c:pt idx="0">
                  <c:v>0.53039999999999998</c:v>
                </c:pt>
                <c:pt idx="1">
                  <c:v>0.23200000000000001</c:v>
                </c:pt>
                <c:pt idx="2">
                  <c:v>0.1103</c:v>
                </c:pt>
                <c:pt idx="3">
                  <c:v>5.5199999999999999E-2</c:v>
                </c:pt>
                <c:pt idx="4">
                  <c:v>2.1999999999999999E-2</c:v>
                </c:pt>
                <c:pt idx="5">
                  <c:v>2.76E-2</c:v>
                </c:pt>
                <c:pt idx="6">
                  <c:v>2.1999999999999999E-2</c:v>
                </c:pt>
              </c:numCache>
            </c:numRef>
          </c:val>
          <c:extLst>
            <c:ext xmlns:c16="http://schemas.microsoft.com/office/drawing/2014/chart" uri="{C3380CC4-5D6E-409C-BE32-E72D297353CC}">
              <c16:uniqueId val="{0000000E-158F-4D59-86CD-6D44A9A61D54}"/>
            </c:ext>
          </c:extLst>
        </c:ser>
        <c:ser>
          <c:idx val="1"/>
          <c:order val="1"/>
          <c:tx>
            <c:strRef>
              <c:f>Feuil1!$C$1</c:f>
              <c:strCache>
                <c:ptCount val="1"/>
                <c:pt idx="0">
                  <c:v>Colonne1</c:v>
                </c:pt>
              </c:strCache>
            </c:strRef>
          </c:tx>
          <c:spPr>
            <a:solidFill>
              <a:schemeClr val="accent2"/>
            </a:solidFill>
            <a:ln>
              <a:noFill/>
            </a:ln>
            <a:effectLst/>
          </c:spPr>
          <c:invertIfNegative val="0"/>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Feuil1!$C$2:$C$8</c:f>
              <c:numCache>
                <c:formatCode>General</c:formatCode>
                <c:ptCount val="7"/>
              </c:numCache>
            </c:numRef>
          </c:val>
          <c:extLst>
            <c:ext xmlns:c16="http://schemas.microsoft.com/office/drawing/2014/chart" uri="{C3380CC4-5D6E-409C-BE32-E72D297353CC}">
              <c16:uniqueId val="{0000000F-158F-4D59-86CD-6D44A9A61D54}"/>
            </c:ext>
          </c:extLst>
        </c:ser>
        <c:ser>
          <c:idx val="2"/>
          <c:order val="2"/>
          <c:tx>
            <c:strRef>
              <c:f>Feuil1!$D$1</c:f>
              <c:strCache>
                <c:ptCount val="1"/>
                <c:pt idx="0">
                  <c:v>Colonne2</c:v>
                </c:pt>
              </c:strCache>
            </c:strRef>
          </c:tx>
          <c:spPr>
            <a:solidFill>
              <a:schemeClr val="accent3"/>
            </a:solidFill>
            <a:ln>
              <a:noFill/>
            </a:ln>
            <a:effectLst/>
          </c:spPr>
          <c:invertIfNegative val="0"/>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Feuil1!$D$2:$D$8</c:f>
              <c:numCache>
                <c:formatCode>General</c:formatCode>
                <c:ptCount val="7"/>
              </c:numCache>
            </c:numRef>
          </c:val>
          <c:extLst>
            <c:ext xmlns:c16="http://schemas.microsoft.com/office/drawing/2014/chart" uri="{C3380CC4-5D6E-409C-BE32-E72D297353CC}">
              <c16:uniqueId val="{00000010-158F-4D59-86CD-6D44A9A61D54}"/>
            </c:ext>
          </c:extLst>
        </c:ser>
        <c:dLbls>
          <c:showLegendKey val="0"/>
          <c:showVal val="0"/>
          <c:showCatName val="0"/>
          <c:showSerName val="0"/>
          <c:showPercent val="0"/>
          <c:showBubbleSize val="0"/>
        </c:dLbls>
        <c:gapWidth val="234"/>
        <c:overlap val="100"/>
        <c:axId val="16434672"/>
        <c:axId val="332425408"/>
      </c:barChart>
      <c:catAx>
        <c:axId val="1643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425408"/>
        <c:crossesAt val="0"/>
        <c:auto val="1"/>
        <c:lblAlgn val="ctr"/>
        <c:lblOffset val="100"/>
        <c:noMultiLvlLbl val="0"/>
      </c:catAx>
      <c:valAx>
        <c:axId val="3324254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Colonne1</c:v>
                </c:pt>
              </c:strCache>
            </c:strRef>
          </c:tx>
          <c:spPr>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dPt>
            <c:idx val="0"/>
            <c:bubble3D val="0"/>
            <c:spPr>
              <a:solidFill>
                <a:schemeClr val="accent1"/>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1-7414-449D-AB64-B005DFB5D723}"/>
              </c:ext>
            </c:extLst>
          </c:dPt>
          <c:dPt>
            <c:idx val="1"/>
            <c:bubble3D val="0"/>
            <c:spPr>
              <a:solidFill>
                <a:schemeClr val="accent2"/>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3-B5BE-4DB7-B09C-66D5398765AF}"/>
              </c:ext>
            </c:extLst>
          </c:dPt>
          <c:dPt>
            <c:idx val="2"/>
            <c:bubble3D val="0"/>
            <c:spPr>
              <a:solidFill>
                <a:schemeClr val="accent3"/>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5-B5BE-4DB7-B09C-66D5398765AF}"/>
              </c:ext>
            </c:extLst>
          </c:dPt>
          <c:dPt>
            <c:idx val="3"/>
            <c:bubble3D val="0"/>
            <c:spPr>
              <a:solidFill>
                <a:schemeClr val="accent4"/>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7-B5BE-4DB7-B09C-66D5398765AF}"/>
              </c:ext>
            </c:extLst>
          </c:dPt>
          <c:dPt>
            <c:idx val="4"/>
            <c:bubble3D val="0"/>
            <c:spPr>
              <a:solidFill>
                <a:schemeClr val="accent5"/>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9-B5BE-4DB7-B09C-66D5398765AF}"/>
              </c:ext>
            </c:extLst>
          </c:dPt>
          <c:dPt>
            <c:idx val="5"/>
            <c:bubble3D val="0"/>
            <c:spPr>
              <a:solidFill>
                <a:schemeClr val="accent6"/>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B-B5BE-4DB7-B09C-66D5398765AF}"/>
              </c:ext>
            </c:extLst>
          </c:dPt>
          <c:dPt>
            <c:idx val="6"/>
            <c:bubble3D val="0"/>
            <c:spPr>
              <a:solidFill>
                <a:schemeClr val="accent1">
                  <a:lumMod val="60000"/>
                </a:schemeClr>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D-B5BE-4DB7-B09C-66D5398765AF}"/>
              </c:ext>
            </c:extLst>
          </c:dPt>
          <c:dPt>
            <c:idx val="7"/>
            <c:bubble3D val="0"/>
            <c:spPr>
              <a:solidFill>
                <a:schemeClr val="accent2">
                  <a:lumMod val="60000"/>
                </a:schemeClr>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F-B5BE-4DB7-B09C-66D5398765AF}"/>
              </c:ext>
            </c:extLst>
          </c:dPt>
          <c:dLbls>
            <c:spPr>
              <a:pattFill prst="pct75">
                <a:fgClr>
                  <a:sysClr val="windowText" lastClr="000000">
                    <a:lumMod val="75000"/>
                    <a:lumOff val="25000"/>
                  </a:sysClr>
                </a:fgClr>
                <a:bgClr>
                  <a:sysClr val="windowText" lastClr="000000">
                    <a:lumMod val="65000"/>
                    <a:lumOff val="35000"/>
                  </a:sysClr>
                </a:bgClr>
              </a:pattFill>
              <a:ln>
                <a:solidFill>
                  <a:sysClr val="window" lastClr="FFFFFF"/>
                </a:solidFill>
              </a:ln>
              <a:effectLst>
                <a:outerShdw blurRad="50800" dist="50800" dir="5400000" algn="ctr" rotWithShape="0">
                  <a:sysClr val="windowText" lastClr="000000">
                    <a:lumMod val="95000"/>
                    <a:lumOff val="5000"/>
                  </a:sysClr>
                </a:outerShdw>
                <a:softEdge rad="317500"/>
              </a:effectLst>
            </c:spPr>
            <c:txPr>
              <a:bodyPr rot="0" spcFirstLastPara="1" vertOverflow="clip" horzOverflow="clip" vert="horz" wrap="square" lIns="36576" tIns="18288" rIns="36576" bIns="18288" anchor="ctr" anchorCtr="1">
                <a:spAutoFit/>
              </a:bodyPr>
              <a:lstStyle/>
              <a:p>
                <a:pPr>
                  <a:defRPr sz="1000" b="1" i="0" u="none" strike="noStrike" kern="1200" baseline="0">
                    <a:ln w="9525">
                      <a:solidFill>
                        <a:sysClr val="windowText" lastClr="000000">
                          <a:lumMod val="25000"/>
                          <a:lumOff val="75000"/>
                        </a:sysClr>
                      </a:solidFill>
                    </a:ln>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accentCallout2">
                    <a:avLst/>
                  </a:prstGeom>
                  <a:pattFill prst="pct75">
                    <a:fgClr>
                      <a:schemeClr val="dk1">
                        <a:lumMod val="75000"/>
                        <a:lumOff val="25000"/>
                      </a:schemeClr>
                    </a:fgClr>
                    <a:bgClr>
                      <a:schemeClr val="dk1">
                        <a:lumMod val="65000"/>
                        <a:lumOff val="35000"/>
                      </a:schemeClr>
                    </a:bgClr>
                  </a:pattFill>
                  <a:ln>
                    <a:noFill/>
                  </a:ln>
                </c15:spPr>
              </c:ext>
            </c:extLst>
          </c:dLbls>
          <c:cat>
            <c:strRef>
              <c:f>Feuil1!$A$2:$A$9</c:f>
              <c:strCache>
                <c:ptCount val="8"/>
                <c:pt idx="0">
                  <c:v>Fever</c:v>
                </c:pt>
                <c:pt idx="1">
                  <c:v>Hypothermia</c:v>
                </c:pt>
                <c:pt idx="2">
                  <c:v>Leukocystosis</c:v>
                </c:pt>
                <c:pt idx="3">
                  <c:v>Leucopenia</c:v>
                </c:pt>
                <c:pt idx="4">
                  <c:v>Non-obvious front door</c:v>
                </c:pt>
                <c:pt idx="5">
                  <c:v>Terrain (Existence of defect)</c:v>
                </c:pt>
                <c:pt idx="6">
                  <c:v>In the face of signs of seriousness</c:v>
                </c:pt>
                <c:pt idx="7">
                  <c:v>germ with unknown cause </c:v>
                </c:pt>
              </c:strCache>
            </c:strRef>
          </c:cat>
          <c:val>
            <c:numRef>
              <c:f>Feuil1!$B$2:$B$9</c:f>
              <c:numCache>
                <c:formatCode>0%</c:formatCode>
                <c:ptCount val="8"/>
                <c:pt idx="0">
                  <c:v>0.36</c:v>
                </c:pt>
                <c:pt idx="1">
                  <c:v>0.12</c:v>
                </c:pt>
                <c:pt idx="2">
                  <c:v>0.8</c:v>
                </c:pt>
                <c:pt idx="3">
                  <c:v>0.4</c:v>
                </c:pt>
                <c:pt idx="4">
                  <c:v>0.24</c:v>
                </c:pt>
                <c:pt idx="5">
                  <c:v>0.24</c:v>
                </c:pt>
                <c:pt idx="6">
                  <c:v>0.32</c:v>
                </c:pt>
              </c:numCache>
            </c:numRef>
          </c:val>
          <c:extLst>
            <c:ext xmlns:c16="http://schemas.microsoft.com/office/drawing/2014/chart" uri="{C3380CC4-5D6E-409C-BE32-E72D297353CC}">
              <c16:uniqueId val="{00000000-7414-449D-AB64-B005DFB5D72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w="9525">
                <a:solidFill>
                  <a:sysClr val="windowText" lastClr="000000">
                    <a:lumMod val="25000"/>
                    <a:lumOff val="75000"/>
                  </a:sysClr>
                </a:solidFill>
              </a:ln>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w="9525">
            <a:solidFill>
              <a:sysClr val="windowText" lastClr="000000">
                <a:lumMod val="25000"/>
                <a:lumOff val="75000"/>
              </a:sysClr>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E197-8B8D-4552-877C-5DE443F4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9</Pages>
  <Words>3452</Words>
  <Characters>19680</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46</cp:revision>
  <cp:lastPrinted>1999-07-06T11:00:00Z</cp:lastPrinted>
  <dcterms:created xsi:type="dcterms:W3CDTF">2025-04-21T19:11:00Z</dcterms:created>
  <dcterms:modified xsi:type="dcterms:W3CDTF">2025-05-03T06:49:00Z</dcterms:modified>
</cp:coreProperties>
</file>