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5CF8" w14:textId="646C772B" w:rsidR="006800F6" w:rsidRPr="002B0FB4" w:rsidRDefault="00E664CE" w:rsidP="001870DA">
      <w:pPr>
        <w:spacing w:after="0" w:line="240" w:lineRule="auto"/>
        <w:jc w:val="center"/>
        <w:rPr>
          <w:rFonts w:ascii="Times New Roman" w:hAnsi="Times New Roman" w:cs="Times New Roman"/>
          <w:b/>
          <w:sz w:val="20"/>
          <w:szCs w:val="20"/>
        </w:rPr>
      </w:pPr>
      <w:r w:rsidRPr="007050D3">
        <w:rPr>
          <w:rFonts w:ascii="Times New Roman" w:hAnsi="Times New Roman" w:cs="Times New Roman"/>
          <w:b/>
          <w:sz w:val="36"/>
          <w:szCs w:val="32"/>
          <w:highlight w:val="yellow"/>
        </w:rPr>
        <w:t xml:space="preserve">Exploring the Neuroprotective Effects of </w:t>
      </w:r>
      <w:r w:rsidR="007050D3" w:rsidRPr="007050D3">
        <w:rPr>
          <w:rFonts w:ascii="Times New Roman" w:hAnsi="Times New Roman" w:cs="Times New Roman"/>
          <w:b/>
          <w:sz w:val="36"/>
          <w:szCs w:val="32"/>
          <w:highlight w:val="yellow"/>
        </w:rPr>
        <w:t xml:space="preserve">some </w:t>
      </w:r>
      <w:bookmarkStart w:id="0" w:name="_GoBack"/>
      <w:bookmarkEnd w:id="0"/>
      <w:r w:rsidR="007050D3" w:rsidRPr="007050D3">
        <w:rPr>
          <w:rFonts w:ascii="Times New Roman" w:hAnsi="Times New Roman" w:cs="Times New Roman"/>
          <w:b/>
          <w:sz w:val="36"/>
          <w:szCs w:val="32"/>
          <w:highlight w:val="yellow"/>
        </w:rPr>
        <w:t xml:space="preserve">new </w:t>
      </w:r>
      <w:r w:rsidRPr="007050D3">
        <w:rPr>
          <w:rFonts w:ascii="Times New Roman" w:hAnsi="Times New Roman" w:cs="Times New Roman"/>
          <w:b/>
          <w:sz w:val="36"/>
          <w:szCs w:val="32"/>
          <w:highlight w:val="yellow"/>
        </w:rPr>
        <w:t>Quinoxalines:</w:t>
      </w:r>
      <w:r w:rsidRPr="007C3200">
        <w:rPr>
          <w:rFonts w:ascii="Times New Roman" w:hAnsi="Times New Roman" w:cs="Times New Roman"/>
          <w:b/>
          <w:sz w:val="36"/>
          <w:szCs w:val="32"/>
        </w:rPr>
        <w:t xml:space="preserve"> A Novel Approach to Alzheimer's Disease Management</w:t>
      </w:r>
      <w:r w:rsidR="002B0FB4">
        <w:rPr>
          <w:rFonts w:ascii="Times New Roman" w:hAnsi="Times New Roman" w:cs="Times New Roman"/>
          <w:b/>
          <w:sz w:val="36"/>
          <w:szCs w:val="32"/>
        </w:rPr>
        <w:br/>
      </w:r>
      <w:r w:rsidR="002B0FB4">
        <w:rPr>
          <w:rFonts w:ascii="Times New Roman" w:hAnsi="Times New Roman" w:cs="Times New Roman"/>
          <w:b/>
          <w:sz w:val="36"/>
          <w:szCs w:val="32"/>
        </w:rPr>
        <w:br/>
      </w:r>
    </w:p>
    <w:p w14:paraId="73B93DEB" w14:textId="77777777" w:rsidR="002B0FB4" w:rsidRPr="002B0FB4" w:rsidRDefault="002B0FB4" w:rsidP="002B0FB4">
      <w:pPr>
        <w:spacing w:after="0" w:line="240" w:lineRule="auto"/>
        <w:jc w:val="center"/>
        <w:rPr>
          <w:rFonts w:ascii="Times New Roman" w:hAnsi="Times New Roman" w:cs="Times New Roman"/>
          <w:b/>
          <w:sz w:val="20"/>
          <w:szCs w:val="20"/>
        </w:rPr>
      </w:pPr>
    </w:p>
    <w:p w14:paraId="5C36707D" w14:textId="77777777" w:rsidR="00E664CE" w:rsidRPr="002B0FB4" w:rsidRDefault="00D26F49" w:rsidP="002B0FB4">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w14:anchorId="3EB82CD5">
          <v:rect id="_x0000_i1025" style="width:0;height:1.5pt" o:hralign="center" o:hrstd="t" o:hr="t" fillcolor="#a0a0a0" stroked="f"/>
        </w:pict>
      </w:r>
    </w:p>
    <w:p w14:paraId="2F865A75" w14:textId="77777777" w:rsidR="00D90775" w:rsidRPr="00A404BE" w:rsidRDefault="00D90775" w:rsidP="00A404BE">
      <w:pPr>
        <w:spacing w:line="360" w:lineRule="auto"/>
        <w:jc w:val="both"/>
        <w:rPr>
          <w:rStyle w:val="Strong"/>
          <w:rFonts w:ascii="Times New Roman" w:eastAsia="Times New Roman" w:hAnsi="Times New Roman" w:cs="Times New Roman"/>
          <w:sz w:val="28"/>
          <w:szCs w:val="24"/>
          <w:lang w:bidi="hi-IN"/>
        </w:rPr>
      </w:pPr>
      <w:r w:rsidRPr="00A404BE">
        <w:rPr>
          <w:rStyle w:val="Strong"/>
          <w:rFonts w:ascii="Times New Roman" w:eastAsia="Times New Roman" w:hAnsi="Times New Roman" w:cs="Times New Roman"/>
          <w:sz w:val="28"/>
          <w:szCs w:val="24"/>
          <w:lang w:bidi="hi-IN"/>
        </w:rPr>
        <w:t>ABSTRACT</w:t>
      </w:r>
    </w:p>
    <w:p w14:paraId="5048F552" w14:textId="77AA752F" w:rsidR="00E664CE" w:rsidRPr="00A404BE" w:rsidRDefault="00D90775" w:rsidP="00A404BE">
      <w:pPr>
        <w:spacing w:line="360" w:lineRule="auto"/>
        <w:jc w:val="both"/>
        <w:rPr>
          <w:rFonts w:ascii="Times New Roman" w:hAnsi="Times New Roman" w:cs="Times New Roman"/>
          <w:sz w:val="24"/>
          <w:szCs w:val="24"/>
        </w:rPr>
      </w:pPr>
      <w:r w:rsidRPr="00A404BE">
        <w:rPr>
          <w:rStyle w:val="Strong"/>
          <w:rFonts w:ascii="Times New Roman" w:eastAsia="Times New Roman" w:hAnsi="Times New Roman" w:cs="Times New Roman"/>
          <w:b w:val="0"/>
          <w:bCs w:val="0"/>
          <w:sz w:val="24"/>
          <w:szCs w:val="24"/>
          <w:lang w:bidi="hi-IN"/>
        </w:rPr>
        <w:t>Alzheimer's disease (AD) is a disabling neurodegenerative disorder characterized by irreversible cognitive decline, extracellular deposition of β-amyloid plaques, hyperphosphorylation of tau protein, oxidative stress, and neuroinflammation. Symptoms are all that present-day drugs offer, and they are powerless against arresting the progress of the disease. Recent studies indicate that quinoxalines—nitrogen-heterocyclic compounds—display neuroprotective effects by acting on several pathogenic mechanisms of AD. In the current research, new quinoxaline derivatives were prepared and screened for their antioxidant activity, AChE inhibitory activity, and anti-inflammatory activity both in vitro (PC12 cell line) and in vivo (APP/PS1 transgenic mice model). Results show that some derivatives, most notably QX-4 and QX-6, substantially enhanced neuronal viability, blocked Aβ-induced toxicity, decreased intracellular reactive oxygen species (ROS), and downregulated inflammatory cytokines. These results substantiate the therapeutic potential of quinoxalines in redressing the course of Alzheimer's disease.</w:t>
      </w:r>
      <w:r w:rsidR="007050D3" w:rsidRPr="007050D3">
        <w:t xml:space="preserve"> </w:t>
      </w:r>
      <w:r w:rsidR="007050D3" w:rsidRPr="007050D3">
        <w:rPr>
          <w:rStyle w:val="Strong"/>
          <w:rFonts w:ascii="Times New Roman" w:eastAsia="Times New Roman" w:hAnsi="Times New Roman" w:cs="Times New Roman"/>
          <w:b w:val="0"/>
          <w:bCs w:val="0"/>
          <w:sz w:val="24"/>
          <w:szCs w:val="24"/>
          <w:highlight w:val="yellow"/>
          <w:lang w:bidi="hi-IN"/>
        </w:rPr>
        <w:t>The antioxidant, anti-inflammatory, and cholinesterase-inhibiting activities combined in quinoxalines, especially QX-4, make them prime candidates for disease-modifying therapy in Alzheimer's. Their compact size and synthetic tractability are particularly advantageous, as they allow further SAR optimization and structure-activity relationship studies, which are in progress in our laboratory.</w:t>
      </w:r>
    </w:p>
    <w:p w14:paraId="19F83B2F" w14:textId="77777777" w:rsidR="00566AA9" w:rsidRPr="00566AA9" w:rsidRDefault="00D26F49" w:rsidP="00566AA9">
      <w:pPr>
        <w:spacing w:line="360" w:lineRule="auto"/>
        <w:jc w:val="both"/>
        <w:rPr>
          <w:rStyle w:val="Strong"/>
          <w:rFonts w:ascii="Times New Roman" w:hAnsi="Times New Roman" w:cs="Times New Roman"/>
          <w:bCs w:val="0"/>
          <w:sz w:val="28"/>
          <w:szCs w:val="24"/>
        </w:rPr>
      </w:pPr>
      <w:r>
        <w:rPr>
          <w:rFonts w:ascii="Times New Roman" w:hAnsi="Times New Roman" w:cs="Times New Roman"/>
          <w:b/>
          <w:noProof/>
          <w:sz w:val="28"/>
          <w:szCs w:val="24"/>
        </w:rPr>
        <w:pict w14:anchorId="3A17904C">
          <v:rect id="_x0000_i1026" style="width:0;height:1.5pt" o:hralign="center" o:hrstd="t" o:hr="t" fillcolor="#a0a0a0" stroked="f"/>
        </w:pict>
      </w:r>
    </w:p>
    <w:p w14:paraId="63033F3B" w14:textId="77777777" w:rsidR="00E664CE" w:rsidRPr="00A404BE" w:rsidRDefault="00E664CE" w:rsidP="007C3200">
      <w:pPr>
        <w:pStyle w:val="NormalWeb"/>
        <w:spacing w:line="360" w:lineRule="auto"/>
        <w:jc w:val="both"/>
      </w:pPr>
      <w:r w:rsidRPr="00A404BE">
        <w:rPr>
          <w:rStyle w:val="Strong"/>
        </w:rPr>
        <w:t>Keywords:</w:t>
      </w:r>
      <w:r w:rsidR="00A404BE">
        <w:t xml:space="preserve"> </w:t>
      </w:r>
      <w:r w:rsidRPr="00A404BE">
        <w:t>Quinoxalines; Alzheimer’s disease; β-amyloid; oxidative stress; acetylcholinesterase; neuroinflammation.</w:t>
      </w:r>
    </w:p>
    <w:p w14:paraId="0E9DAD60" w14:textId="77777777" w:rsidR="00AD1CA5" w:rsidRPr="00A404BE" w:rsidRDefault="00AD1CA5" w:rsidP="00A404BE">
      <w:pPr>
        <w:pStyle w:val="Heading2"/>
        <w:spacing w:line="360" w:lineRule="auto"/>
        <w:jc w:val="both"/>
        <w:rPr>
          <w:rStyle w:val="Strong"/>
          <w:rFonts w:ascii="Times New Roman" w:hAnsi="Times New Roman" w:cs="Times New Roman"/>
          <w:bCs/>
          <w:sz w:val="24"/>
          <w:szCs w:val="24"/>
        </w:rPr>
        <w:sectPr w:rsidR="00AD1CA5" w:rsidRPr="00A404BE" w:rsidSect="009A38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21107C7" w14:textId="77777777" w:rsidR="00566AA9" w:rsidRDefault="00D26F49" w:rsidP="00A404BE">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pict w14:anchorId="0A98C05A">
          <v:rect id="_x0000_i1027" style="width:0;height:1.5pt" o:hralign="center" o:hrstd="t" o:hr="t" fillcolor="#a0a0a0" stroked="f"/>
        </w:pict>
      </w:r>
    </w:p>
    <w:p w14:paraId="72643734" w14:textId="77777777" w:rsidR="00566AA9" w:rsidRDefault="00566AA9" w:rsidP="00A404BE">
      <w:pPr>
        <w:spacing w:line="360" w:lineRule="auto"/>
        <w:jc w:val="both"/>
        <w:rPr>
          <w:rFonts w:ascii="Times New Roman" w:hAnsi="Times New Roman" w:cs="Times New Roman"/>
          <w:b/>
          <w:sz w:val="28"/>
          <w:szCs w:val="24"/>
        </w:rPr>
        <w:sectPr w:rsidR="00566AA9" w:rsidSect="009A3843">
          <w:type w:val="continuous"/>
          <w:pgSz w:w="12240" w:h="15840"/>
          <w:pgMar w:top="1440" w:right="1440" w:bottom="1440" w:left="1440" w:header="720" w:footer="720" w:gutter="0"/>
          <w:cols w:space="720"/>
          <w:docGrid w:linePitch="360"/>
        </w:sectPr>
      </w:pPr>
    </w:p>
    <w:p w14:paraId="09A6C4E6" w14:textId="77777777" w:rsidR="00D90775" w:rsidRPr="00A404BE" w:rsidRDefault="00D90775" w:rsidP="00A404BE">
      <w:pPr>
        <w:spacing w:line="360" w:lineRule="auto"/>
        <w:jc w:val="both"/>
        <w:rPr>
          <w:rFonts w:ascii="Times New Roman" w:hAnsi="Times New Roman" w:cs="Times New Roman"/>
          <w:b/>
          <w:sz w:val="28"/>
          <w:szCs w:val="24"/>
        </w:rPr>
      </w:pPr>
      <w:r w:rsidRPr="00A404BE">
        <w:rPr>
          <w:rFonts w:ascii="Times New Roman" w:hAnsi="Times New Roman" w:cs="Times New Roman"/>
          <w:b/>
          <w:sz w:val="28"/>
          <w:szCs w:val="24"/>
        </w:rPr>
        <w:t>1. INTRODUCTION</w:t>
      </w:r>
    </w:p>
    <w:p w14:paraId="5DDC5A89" w14:textId="32BCA20F" w:rsidR="00D90775" w:rsidRPr="00A404BE" w:rsidRDefault="000060F1" w:rsidP="00A404BE">
      <w:pPr>
        <w:spacing w:line="360" w:lineRule="auto"/>
        <w:jc w:val="both"/>
        <w:rPr>
          <w:rFonts w:ascii="Times New Roman" w:hAnsi="Times New Roman" w:cs="Times New Roman"/>
          <w:sz w:val="24"/>
          <w:szCs w:val="24"/>
        </w:rPr>
      </w:pPr>
      <w:r w:rsidRPr="00721669">
        <w:rPr>
          <w:rFonts w:ascii="Times New Roman" w:hAnsi="Times New Roman" w:cs="Times New Roman"/>
          <w:sz w:val="24"/>
          <w:szCs w:val="24"/>
          <w:highlight w:val="yellow"/>
        </w:rPr>
        <w:lastRenderedPageBreak/>
        <w:t>Heterocyclic compounds play a crucial role in medicinal chemistry due to their versatile structures and ability to interact with biological targets, making them integral to drug design. Their unique ring systems, often incorporating atoms like nitrogen, oxygen, or sulfur, enhance molecular stability and reactivity. Nitrogen-containing heterocycles are particularly significant, as nitrogen contributes to key interactions with enzymes and receptors, improving drug-likeness and pharmacokinetic properties. Quinoxaline derivatives have garnered significant attention due to their wide-ranging therapeutic applications</w:t>
      </w:r>
      <w:r w:rsidR="001028DA" w:rsidRPr="00DA69B7">
        <w:rPr>
          <w:rFonts w:ascii="Times New Roman" w:hAnsi="Times New Roman" w:cs="Times New Roman"/>
          <w:sz w:val="24"/>
          <w:szCs w:val="24"/>
          <w:highlight w:val="yellow"/>
        </w:rPr>
        <w:t xml:space="preserve"> (</w:t>
      </w:r>
      <w:r w:rsidR="001028DA" w:rsidRPr="00721669">
        <w:rPr>
          <w:rFonts w:ascii="Times New Roman" w:hAnsi="Times New Roman" w:cs="Times New Roman"/>
          <w:sz w:val="24"/>
          <w:szCs w:val="24"/>
          <w:highlight w:val="yellow"/>
        </w:rPr>
        <w:t>Waseem et al., 2024</w:t>
      </w:r>
      <w:r w:rsidR="00DA69B7" w:rsidRPr="00721669">
        <w:rPr>
          <w:rFonts w:ascii="Times New Roman" w:hAnsi="Times New Roman" w:cs="Times New Roman"/>
          <w:sz w:val="24"/>
          <w:szCs w:val="24"/>
          <w:highlight w:val="yellow"/>
        </w:rPr>
        <w:t>; Mo et al., 2024</w:t>
      </w:r>
      <w:r w:rsidR="001028DA" w:rsidRPr="00DA69B7">
        <w:rPr>
          <w:rFonts w:ascii="Times New Roman" w:hAnsi="Times New Roman" w:cs="Times New Roman"/>
          <w:sz w:val="24"/>
          <w:szCs w:val="24"/>
          <w:highlight w:val="yellow"/>
        </w:rPr>
        <w:t>)</w:t>
      </w:r>
      <w:r w:rsidRPr="00721669">
        <w:rPr>
          <w:rFonts w:ascii="Times New Roman" w:hAnsi="Times New Roman" w:cs="Times New Roman"/>
          <w:sz w:val="24"/>
          <w:szCs w:val="24"/>
          <w:highlight w:val="yellow"/>
        </w:rPr>
        <w:t>.</w:t>
      </w:r>
      <w:r w:rsidRPr="000060F1">
        <w:rPr>
          <w:rFonts w:ascii="Times New Roman" w:hAnsi="Times New Roman" w:cs="Times New Roman"/>
          <w:sz w:val="24"/>
          <w:szCs w:val="24"/>
        </w:rPr>
        <w:t xml:space="preserve"> </w:t>
      </w:r>
      <w:r w:rsidR="00D90775" w:rsidRPr="00A404BE">
        <w:rPr>
          <w:rFonts w:ascii="Times New Roman" w:hAnsi="Times New Roman" w:cs="Times New Roman"/>
          <w:sz w:val="24"/>
          <w:szCs w:val="24"/>
        </w:rPr>
        <w:t>Alzheimer's disease (AD), a neurodegenerative disorder most common in the elderly, is defined by increasing memory loss, cognitive impairment, and behavioral abnormalities. Its neuropathological markers are amyloid-beta (Aβ) plaque deposition, hyperphosphorylation of tau protein, oxidative stress, mitochondrial impairment, and neuroinflammation (Selkoe &amp; Hardy, 2016). In spite of an enormous international research effort, therapeutic interventions are mostly palliative.</w:t>
      </w:r>
      <w:r w:rsidR="00DA69B7">
        <w:rPr>
          <w:rFonts w:ascii="Times New Roman" w:hAnsi="Times New Roman" w:cs="Times New Roman"/>
          <w:sz w:val="24"/>
          <w:szCs w:val="24"/>
        </w:rPr>
        <w:t xml:space="preserve"> </w:t>
      </w:r>
      <w:r w:rsidR="00DA69B7" w:rsidRPr="00721669">
        <w:rPr>
          <w:rFonts w:ascii="Times New Roman" w:hAnsi="Times New Roman" w:cs="Times New Roman"/>
          <w:sz w:val="24"/>
          <w:szCs w:val="24"/>
          <w:highlight w:val="yellow"/>
        </w:rPr>
        <w:t>Exploring quinoxaline derivatives in the context of antiviral therapy is a logical extension, considering the urgency to develop agents that can contend with viral infections, particularly those of the respiratory tract. The exploration of quinoxaline derivatives for antiviral activity is not accidental but a result of a systematic approach, leveraging the knowledge of their chemical properties and prior therapeutic applications. Their mechanisms of action against cancer cells provide valuable insight into how quinoxaline derivatives might be structured to interfere with viral replication or protein function. By drawing parallels between the structural requirements for antitumor and antiviral efficacy, researchers can tailor quinoxaline scaffolds to target specific viral proteins or pathways</w:t>
      </w:r>
      <w:r w:rsidR="00DA69B7" w:rsidRPr="00421F0F">
        <w:rPr>
          <w:rFonts w:ascii="Times New Roman" w:hAnsi="Times New Roman" w:cs="Times New Roman"/>
          <w:sz w:val="24"/>
          <w:szCs w:val="24"/>
          <w:highlight w:val="yellow"/>
        </w:rPr>
        <w:t xml:space="preserve"> (</w:t>
      </w:r>
      <w:r w:rsidR="00421F0F" w:rsidRPr="00721669">
        <w:rPr>
          <w:rFonts w:ascii="Times New Roman" w:hAnsi="Times New Roman" w:cs="Times New Roman"/>
          <w:sz w:val="24"/>
          <w:szCs w:val="24"/>
          <w:highlight w:val="yellow"/>
        </w:rPr>
        <w:t>Taiwo</w:t>
      </w:r>
      <w:r w:rsidR="00421F0F" w:rsidRPr="00421F0F">
        <w:rPr>
          <w:rFonts w:ascii="Times New Roman" w:hAnsi="Times New Roman" w:cs="Times New Roman"/>
          <w:sz w:val="24"/>
          <w:szCs w:val="24"/>
          <w:highlight w:val="yellow"/>
        </w:rPr>
        <w:t xml:space="preserve"> et al</w:t>
      </w:r>
      <w:r w:rsidR="00421F0F">
        <w:rPr>
          <w:rFonts w:ascii="Times New Roman" w:hAnsi="Times New Roman" w:cs="Times New Roman"/>
          <w:sz w:val="24"/>
          <w:szCs w:val="24"/>
          <w:highlight w:val="yellow"/>
        </w:rPr>
        <w:t xml:space="preserve">., 2021; </w:t>
      </w:r>
      <w:proofErr w:type="spellStart"/>
      <w:r w:rsidR="00DA69B7" w:rsidRPr="00721669">
        <w:rPr>
          <w:rFonts w:ascii="Times New Roman" w:hAnsi="Times New Roman" w:cs="Times New Roman"/>
          <w:sz w:val="24"/>
          <w:szCs w:val="24"/>
          <w:highlight w:val="yellow"/>
        </w:rPr>
        <w:t>Dehnavi</w:t>
      </w:r>
      <w:proofErr w:type="spellEnd"/>
      <w:r w:rsidR="00DA69B7" w:rsidRPr="00721669">
        <w:rPr>
          <w:rFonts w:ascii="Times New Roman" w:hAnsi="Times New Roman" w:cs="Times New Roman"/>
          <w:sz w:val="24"/>
          <w:szCs w:val="24"/>
          <w:highlight w:val="yellow"/>
        </w:rPr>
        <w:t xml:space="preserve"> et al., 2024</w:t>
      </w:r>
      <w:r w:rsidR="00DA69B7" w:rsidRPr="00DA69B7">
        <w:rPr>
          <w:rFonts w:ascii="Times New Roman" w:hAnsi="Times New Roman" w:cs="Times New Roman"/>
          <w:sz w:val="24"/>
          <w:szCs w:val="24"/>
          <w:highlight w:val="yellow"/>
        </w:rPr>
        <w:t>)</w:t>
      </w:r>
      <w:r w:rsidR="00DA69B7" w:rsidRPr="00721669">
        <w:rPr>
          <w:rFonts w:ascii="Times New Roman" w:hAnsi="Times New Roman" w:cs="Times New Roman"/>
          <w:sz w:val="24"/>
          <w:szCs w:val="24"/>
          <w:highlight w:val="yellow"/>
        </w:rPr>
        <w:t>.</w:t>
      </w:r>
    </w:p>
    <w:p w14:paraId="698A0F56" w14:textId="77777777" w:rsidR="00E664CE" w:rsidRPr="00A404BE" w:rsidRDefault="00D90775"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Quinoxaline derivatives are privileged scaffolds in medicinal chemistry because of their structural diversity and broad spectrum of bioactivities. Current investigations describe their utility in neuropharmacology, particularly as antioxidants, AChE inhibitors, and anti-inflammatories (Patel et al., 2022). Their multimodal activities make them appealing candidates for the development of AD drugs. The present work was designed to assess the neuroprotective activity of newly designed quinoxaline compounds through cellular and animal models of AD.</w:t>
      </w:r>
    </w:p>
    <w:p w14:paraId="707B40B6" w14:textId="77777777" w:rsidR="00566AA9" w:rsidRPr="00A404BE" w:rsidRDefault="00D26F49" w:rsidP="00566AA9">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pict w14:anchorId="05B6D485">
          <v:rect id="_x0000_i1028" style="width:0;height:1.5pt" o:hralign="center" o:hrstd="t" o:hr="t" fillcolor="#a0a0a0" stroked="f"/>
        </w:pict>
      </w:r>
    </w:p>
    <w:p w14:paraId="436E8A97" w14:textId="77777777" w:rsidR="00E664CE" w:rsidRPr="00A404BE" w:rsidRDefault="00E664CE" w:rsidP="00A404BE">
      <w:pPr>
        <w:spacing w:line="360" w:lineRule="auto"/>
        <w:jc w:val="both"/>
        <w:rPr>
          <w:b/>
          <w:sz w:val="24"/>
        </w:rPr>
      </w:pPr>
      <w:r w:rsidRPr="00A404BE">
        <w:rPr>
          <w:rFonts w:ascii="Times New Roman" w:hAnsi="Times New Roman" w:cs="Times New Roman"/>
          <w:b/>
          <w:sz w:val="28"/>
          <w:szCs w:val="24"/>
        </w:rPr>
        <w:t>2. MATERIALS AND METHODS</w:t>
      </w:r>
    </w:p>
    <w:p w14:paraId="02C7A218" w14:textId="77777777" w:rsidR="00566AA9" w:rsidRPr="00A404BE" w:rsidRDefault="00D26F49" w:rsidP="00566AA9">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lastRenderedPageBreak/>
        <w:pict w14:anchorId="51C37B92">
          <v:rect id="_x0000_i1029" style="width:0;height:1.5pt" o:hralign="center" o:hrstd="t" o:hr="t" fillcolor="#a0a0a0" stroked="f"/>
        </w:pict>
      </w:r>
    </w:p>
    <w:p w14:paraId="3FA22106" w14:textId="77777777" w:rsidR="00E664CE" w:rsidRPr="00A404BE" w:rsidRDefault="00E664CE" w:rsidP="00A404BE">
      <w:pPr>
        <w:pStyle w:val="Heading3"/>
        <w:spacing w:line="360" w:lineRule="auto"/>
        <w:jc w:val="both"/>
        <w:rPr>
          <w:b w:val="0"/>
          <w:sz w:val="28"/>
          <w:szCs w:val="24"/>
        </w:rPr>
      </w:pPr>
      <w:r w:rsidRPr="00A404BE">
        <w:rPr>
          <w:rStyle w:val="Strong"/>
          <w:b/>
          <w:bCs/>
          <w:sz w:val="28"/>
          <w:szCs w:val="24"/>
        </w:rPr>
        <w:t>2.1 Materials</w:t>
      </w:r>
    </w:p>
    <w:p w14:paraId="49D9C6C3" w14:textId="77777777" w:rsidR="00D90775" w:rsidRPr="00A404BE" w:rsidRDefault="00D90775" w:rsidP="00A404BE">
      <w:pPr>
        <w:pStyle w:val="NormalWeb"/>
        <w:spacing w:line="360" w:lineRule="auto"/>
        <w:jc w:val="both"/>
      </w:pPr>
      <w:r w:rsidRPr="00A404BE">
        <w:t>All reagents were of analytical grade and from Sigma-Aldrich, USA. Quinoxaline derivatives (QX-1 to QX-6) were prepared and purified at the Organic Chemistry Laboratory, Faculty of Science and Technology, Marien Ngouabi University, Brazzaville. PC12 cells, a rat pheochromocytoma cell line, were supplied by the Central African Biomedical Research Consortium and grown under routine conditions. Transgenic APP/PS1 mice, 12 weeks old, and genetically engineered to carry human amyloid precursor protein and presenilin-1 mutations were used in in vivo experiments.</w:t>
      </w:r>
    </w:p>
    <w:p w14:paraId="42AB00AE" w14:textId="77777777" w:rsidR="00D90775" w:rsidRPr="00A404BE" w:rsidRDefault="00D90775" w:rsidP="00A404BE">
      <w:pPr>
        <w:pStyle w:val="NormalWeb"/>
        <w:spacing w:line="360" w:lineRule="auto"/>
        <w:jc w:val="both"/>
        <w:rPr>
          <w:b/>
          <w:sz w:val="28"/>
        </w:rPr>
      </w:pPr>
      <w:r w:rsidRPr="00A404BE">
        <w:rPr>
          <w:b/>
          <w:sz w:val="28"/>
        </w:rPr>
        <w:t>2.2 Synthesis of Quinoxaline Derivatives</w:t>
      </w:r>
    </w:p>
    <w:p w14:paraId="3545E4E2" w14:textId="77777777" w:rsidR="00E664CE" w:rsidRDefault="00D90775" w:rsidP="00A404BE">
      <w:pPr>
        <w:pStyle w:val="NormalWeb"/>
        <w:spacing w:line="360" w:lineRule="auto"/>
        <w:jc w:val="both"/>
      </w:pPr>
      <w:r w:rsidRPr="00A404BE">
        <w:t>Six quinoxaline derivatives were prepared through condensation of o-phenylenediamine with different 1,2-dicarbonyl compounds (Scheme 1). Each compound was purified through recrystallization and characterized by NMR, IR, and mass spectrometry.</w:t>
      </w:r>
    </w:p>
    <w:p w14:paraId="01C68FC6" w14:textId="32B6924E" w:rsidR="009A3843" w:rsidRPr="00AD1AA0" w:rsidRDefault="009A3843" w:rsidP="00A404BE">
      <w:pPr>
        <w:pStyle w:val="NormalWeb"/>
        <w:spacing w:line="360" w:lineRule="auto"/>
        <w:jc w:val="both"/>
        <w:rPr>
          <w:b/>
          <w:bCs/>
        </w:rPr>
      </w:pPr>
      <w:r w:rsidRPr="00AD1AA0">
        <w:rPr>
          <w:b/>
          <w:bCs/>
        </w:rPr>
        <w:t xml:space="preserve">List 1: </w:t>
      </w:r>
      <w:r w:rsidR="00AB2321" w:rsidRPr="00AD1AA0">
        <w:rPr>
          <w:b/>
          <w:bCs/>
        </w:rPr>
        <w:t>Preparation of six quinoxaline derivatives through condensation of o-phenylenediamine with different 1,2-dicarbonyl compounds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3"/>
        <w:gridCol w:w="2229"/>
        <w:gridCol w:w="2509"/>
        <w:gridCol w:w="1022"/>
        <w:gridCol w:w="1837"/>
      </w:tblGrid>
      <w:tr w:rsidR="00E664CE" w:rsidRPr="00A404BE" w14:paraId="3A735792" w14:textId="77777777" w:rsidTr="00A404BE">
        <w:trPr>
          <w:tblHeader/>
          <w:tblCellSpacing w:w="15" w:type="dxa"/>
        </w:trPr>
        <w:tc>
          <w:tcPr>
            <w:tcW w:w="0" w:type="auto"/>
            <w:vAlign w:val="center"/>
            <w:hideMark/>
          </w:tcPr>
          <w:p w14:paraId="556A8B7D"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Compound Code</w:t>
            </w:r>
          </w:p>
        </w:tc>
        <w:tc>
          <w:tcPr>
            <w:tcW w:w="0" w:type="auto"/>
            <w:vAlign w:val="center"/>
            <w:hideMark/>
          </w:tcPr>
          <w:p w14:paraId="73762EFF"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Substituent (R Group)</w:t>
            </w:r>
          </w:p>
        </w:tc>
        <w:tc>
          <w:tcPr>
            <w:tcW w:w="0" w:type="auto"/>
            <w:vAlign w:val="center"/>
            <w:hideMark/>
          </w:tcPr>
          <w:p w14:paraId="17F5DEC1"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Molecular Weight (g/mol)</w:t>
            </w:r>
          </w:p>
        </w:tc>
        <w:tc>
          <w:tcPr>
            <w:tcW w:w="0" w:type="auto"/>
            <w:vAlign w:val="center"/>
            <w:hideMark/>
          </w:tcPr>
          <w:p w14:paraId="4E6F5E2A"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Yield (%)</w:t>
            </w:r>
          </w:p>
        </w:tc>
        <w:tc>
          <w:tcPr>
            <w:tcW w:w="0" w:type="auto"/>
            <w:vAlign w:val="center"/>
            <w:hideMark/>
          </w:tcPr>
          <w:p w14:paraId="217C591C"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Melting Point (°C)</w:t>
            </w:r>
          </w:p>
        </w:tc>
      </w:tr>
      <w:tr w:rsidR="00E664CE" w:rsidRPr="00A404BE" w14:paraId="598EAE5A" w14:textId="77777777" w:rsidTr="00A404BE">
        <w:trPr>
          <w:tblCellSpacing w:w="15" w:type="dxa"/>
        </w:trPr>
        <w:tc>
          <w:tcPr>
            <w:tcW w:w="0" w:type="auto"/>
            <w:vAlign w:val="center"/>
            <w:hideMark/>
          </w:tcPr>
          <w:p w14:paraId="75F3520E"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QX-1</w:t>
            </w:r>
          </w:p>
        </w:tc>
        <w:tc>
          <w:tcPr>
            <w:tcW w:w="0" w:type="auto"/>
            <w:vAlign w:val="center"/>
            <w:hideMark/>
          </w:tcPr>
          <w:p w14:paraId="129FD102"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-CH3</w:t>
            </w:r>
          </w:p>
        </w:tc>
        <w:tc>
          <w:tcPr>
            <w:tcW w:w="0" w:type="auto"/>
            <w:vAlign w:val="center"/>
            <w:hideMark/>
          </w:tcPr>
          <w:p w14:paraId="1821FF30"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215.22</w:t>
            </w:r>
          </w:p>
        </w:tc>
        <w:tc>
          <w:tcPr>
            <w:tcW w:w="0" w:type="auto"/>
            <w:vAlign w:val="center"/>
            <w:hideMark/>
          </w:tcPr>
          <w:p w14:paraId="6B47968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78%</w:t>
            </w:r>
          </w:p>
        </w:tc>
        <w:tc>
          <w:tcPr>
            <w:tcW w:w="0" w:type="auto"/>
            <w:vAlign w:val="center"/>
            <w:hideMark/>
          </w:tcPr>
          <w:p w14:paraId="3466747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183</w:t>
            </w:r>
          </w:p>
        </w:tc>
      </w:tr>
      <w:tr w:rsidR="00E664CE" w:rsidRPr="00A404BE" w14:paraId="60E67951" w14:textId="77777777" w:rsidTr="00A404BE">
        <w:trPr>
          <w:tblCellSpacing w:w="15" w:type="dxa"/>
        </w:trPr>
        <w:tc>
          <w:tcPr>
            <w:tcW w:w="0" w:type="auto"/>
            <w:vAlign w:val="center"/>
            <w:hideMark/>
          </w:tcPr>
          <w:p w14:paraId="51C3AA94"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QX-2</w:t>
            </w:r>
          </w:p>
        </w:tc>
        <w:tc>
          <w:tcPr>
            <w:tcW w:w="0" w:type="auto"/>
            <w:vAlign w:val="center"/>
            <w:hideMark/>
          </w:tcPr>
          <w:p w14:paraId="5A73E19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-OCH3</w:t>
            </w:r>
          </w:p>
        </w:tc>
        <w:tc>
          <w:tcPr>
            <w:tcW w:w="0" w:type="auto"/>
            <w:vAlign w:val="center"/>
            <w:hideMark/>
          </w:tcPr>
          <w:p w14:paraId="2AA1E799"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231.24</w:t>
            </w:r>
          </w:p>
        </w:tc>
        <w:tc>
          <w:tcPr>
            <w:tcW w:w="0" w:type="auto"/>
            <w:vAlign w:val="center"/>
            <w:hideMark/>
          </w:tcPr>
          <w:p w14:paraId="203EA39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75%</w:t>
            </w:r>
          </w:p>
        </w:tc>
        <w:tc>
          <w:tcPr>
            <w:tcW w:w="0" w:type="auto"/>
            <w:vAlign w:val="center"/>
            <w:hideMark/>
          </w:tcPr>
          <w:p w14:paraId="1E168484"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195</w:t>
            </w:r>
          </w:p>
        </w:tc>
      </w:tr>
      <w:tr w:rsidR="00E664CE" w:rsidRPr="00A404BE" w14:paraId="5FB93E3F" w14:textId="77777777" w:rsidTr="00A404BE">
        <w:trPr>
          <w:tblCellSpacing w:w="15" w:type="dxa"/>
        </w:trPr>
        <w:tc>
          <w:tcPr>
            <w:tcW w:w="0" w:type="auto"/>
            <w:vAlign w:val="center"/>
            <w:hideMark/>
          </w:tcPr>
          <w:p w14:paraId="04C90F9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QX-3</w:t>
            </w:r>
          </w:p>
        </w:tc>
        <w:tc>
          <w:tcPr>
            <w:tcW w:w="0" w:type="auto"/>
            <w:vAlign w:val="center"/>
            <w:hideMark/>
          </w:tcPr>
          <w:p w14:paraId="3066D9CF"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-Cl</w:t>
            </w:r>
          </w:p>
        </w:tc>
        <w:tc>
          <w:tcPr>
            <w:tcW w:w="0" w:type="auto"/>
            <w:vAlign w:val="center"/>
            <w:hideMark/>
          </w:tcPr>
          <w:p w14:paraId="74BEB383"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232.63</w:t>
            </w:r>
          </w:p>
        </w:tc>
        <w:tc>
          <w:tcPr>
            <w:tcW w:w="0" w:type="auto"/>
            <w:vAlign w:val="center"/>
            <w:hideMark/>
          </w:tcPr>
          <w:p w14:paraId="52F9963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71%</w:t>
            </w:r>
          </w:p>
        </w:tc>
        <w:tc>
          <w:tcPr>
            <w:tcW w:w="0" w:type="auto"/>
            <w:vAlign w:val="center"/>
            <w:hideMark/>
          </w:tcPr>
          <w:p w14:paraId="4C04659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205</w:t>
            </w:r>
          </w:p>
        </w:tc>
      </w:tr>
      <w:tr w:rsidR="00E664CE" w:rsidRPr="00A404BE" w14:paraId="2663AD0C" w14:textId="77777777" w:rsidTr="00A404BE">
        <w:trPr>
          <w:tblCellSpacing w:w="15" w:type="dxa"/>
        </w:trPr>
        <w:tc>
          <w:tcPr>
            <w:tcW w:w="0" w:type="auto"/>
            <w:vAlign w:val="center"/>
            <w:hideMark/>
          </w:tcPr>
          <w:p w14:paraId="6095D72B"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QX-4</w:t>
            </w:r>
          </w:p>
        </w:tc>
        <w:tc>
          <w:tcPr>
            <w:tcW w:w="0" w:type="auto"/>
            <w:vAlign w:val="center"/>
            <w:hideMark/>
          </w:tcPr>
          <w:p w14:paraId="6F6C761E"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-NO2</w:t>
            </w:r>
          </w:p>
        </w:tc>
        <w:tc>
          <w:tcPr>
            <w:tcW w:w="0" w:type="auto"/>
            <w:vAlign w:val="center"/>
            <w:hideMark/>
          </w:tcPr>
          <w:p w14:paraId="2EFC5383"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246.20</w:t>
            </w:r>
          </w:p>
        </w:tc>
        <w:tc>
          <w:tcPr>
            <w:tcW w:w="0" w:type="auto"/>
            <w:vAlign w:val="center"/>
            <w:hideMark/>
          </w:tcPr>
          <w:p w14:paraId="211C90BF"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84%</w:t>
            </w:r>
          </w:p>
        </w:tc>
        <w:tc>
          <w:tcPr>
            <w:tcW w:w="0" w:type="auto"/>
            <w:vAlign w:val="center"/>
            <w:hideMark/>
          </w:tcPr>
          <w:p w14:paraId="5FE9C627"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215</w:t>
            </w:r>
          </w:p>
        </w:tc>
      </w:tr>
      <w:tr w:rsidR="00E664CE" w:rsidRPr="00A404BE" w14:paraId="3EB3E351" w14:textId="77777777" w:rsidTr="00A404BE">
        <w:trPr>
          <w:tblCellSpacing w:w="15" w:type="dxa"/>
        </w:trPr>
        <w:tc>
          <w:tcPr>
            <w:tcW w:w="0" w:type="auto"/>
            <w:vAlign w:val="center"/>
            <w:hideMark/>
          </w:tcPr>
          <w:p w14:paraId="58F267E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QX-5</w:t>
            </w:r>
          </w:p>
        </w:tc>
        <w:tc>
          <w:tcPr>
            <w:tcW w:w="0" w:type="auto"/>
            <w:vAlign w:val="center"/>
            <w:hideMark/>
          </w:tcPr>
          <w:p w14:paraId="6688A16B"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-OH</w:t>
            </w:r>
          </w:p>
        </w:tc>
        <w:tc>
          <w:tcPr>
            <w:tcW w:w="0" w:type="auto"/>
            <w:vAlign w:val="center"/>
            <w:hideMark/>
          </w:tcPr>
          <w:p w14:paraId="22A56EEC"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217.21</w:t>
            </w:r>
          </w:p>
        </w:tc>
        <w:tc>
          <w:tcPr>
            <w:tcW w:w="0" w:type="auto"/>
            <w:vAlign w:val="center"/>
            <w:hideMark/>
          </w:tcPr>
          <w:p w14:paraId="3F9D2089"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76%</w:t>
            </w:r>
          </w:p>
        </w:tc>
        <w:tc>
          <w:tcPr>
            <w:tcW w:w="0" w:type="auto"/>
            <w:vAlign w:val="center"/>
            <w:hideMark/>
          </w:tcPr>
          <w:p w14:paraId="09F6089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192</w:t>
            </w:r>
          </w:p>
        </w:tc>
      </w:tr>
      <w:tr w:rsidR="00E664CE" w:rsidRPr="00A404BE" w14:paraId="244F450E" w14:textId="77777777" w:rsidTr="00A404BE">
        <w:trPr>
          <w:tblCellSpacing w:w="15" w:type="dxa"/>
        </w:trPr>
        <w:tc>
          <w:tcPr>
            <w:tcW w:w="0" w:type="auto"/>
            <w:vAlign w:val="center"/>
            <w:hideMark/>
          </w:tcPr>
          <w:p w14:paraId="1624743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lastRenderedPageBreak/>
              <w:t>QX-6</w:t>
            </w:r>
          </w:p>
        </w:tc>
        <w:tc>
          <w:tcPr>
            <w:tcW w:w="0" w:type="auto"/>
            <w:vAlign w:val="center"/>
            <w:hideMark/>
          </w:tcPr>
          <w:p w14:paraId="0F8A4682"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-Br</w:t>
            </w:r>
          </w:p>
        </w:tc>
        <w:tc>
          <w:tcPr>
            <w:tcW w:w="0" w:type="auto"/>
            <w:vAlign w:val="center"/>
            <w:hideMark/>
          </w:tcPr>
          <w:p w14:paraId="46BFA060"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277.05</w:t>
            </w:r>
          </w:p>
        </w:tc>
        <w:tc>
          <w:tcPr>
            <w:tcW w:w="0" w:type="auto"/>
            <w:vAlign w:val="center"/>
            <w:hideMark/>
          </w:tcPr>
          <w:p w14:paraId="407850BA"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72%</w:t>
            </w:r>
          </w:p>
        </w:tc>
        <w:tc>
          <w:tcPr>
            <w:tcW w:w="0" w:type="auto"/>
            <w:vAlign w:val="center"/>
            <w:hideMark/>
          </w:tcPr>
          <w:p w14:paraId="62BDBED8"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200</w:t>
            </w:r>
          </w:p>
        </w:tc>
      </w:tr>
    </w:tbl>
    <w:p w14:paraId="1018E2BC" w14:textId="01C658FF" w:rsidR="009479A8" w:rsidRPr="00AD1AA0" w:rsidRDefault="009A3843" w:rsidP="00A404BE">
      <w:pPr>
        <w:spacing w:before="100" w:beforeAutospacing="1" w:after="100" w:afterAutospacing="1" w:line="360" w:lineRule="auto"/>
        <w:jc w:val="both"/>
        <w:outlineLvl w:val="2"/>
        <w:rPr>
          <w:rFonts w:ascii="Times New Roman" w:eastAsia="Times New Roman" w:hAnsi="Times New Roman" w:cs="Times New Roman"/>
          <w:b/>
          <w:sz w:val="24"/>
          <w:szCs w:val="24"/>
          <w:lang w:bidi="hi-IN"/>
        </w:rPr>
      </w:pPr>
      <w:r w:rsidRPr="00AD1AA0">
        <w:rPr>
          <w:rFonts w:ascii="Times New Roman" w:eastAsia="Times New Roman" w:hAnsi="Times New Roman" w:cs="Times New Roman"/>
          <w:b/>
          <w:sz w:val="24"/>
          <w:szCs w:val="24"/>
          <w:lang w:bidi="hi-IN"/>
        </w:rPr>
        <w:t>Fig</w:t>
      </w:r>
      <w:r w:rsidR="001C52E7" w:rsidRPr="00AD1AA0">
        <w:rPr>
          <w:rFonts w:ascii="Times New Roman" w:eastAsia="Times New Roman" w:hAnsi="Times New Roman" w:cs="Times New Roman"/>
          <w:b/>
          <w:sz w:val="24"/>
          <w:szCs w:val="24"/>
          <w:lang w:bidi="hi-IN"/>
        </w:rPr>
        <w:t>.</w:t>
      </w:r>
      <w:r w:rsidRPr="00AD1AA0">
        <w:rPr>
          <w:rFonts w:ascii="Times New Roman" w:eastAsia="Times New Roman" w:hAnsi="Times New Roman" w:cs="Times New Roman"/>
          <w:b/>
          <w:sz w:val="24"/>
          <w:szCs w:val="24"/>
          <w:lang w:bidi="hi-IN"/>
        </w:rPr>
        <w:t xml:space="preserve"> 1: </w:t>
      </w:r>
      <w:r w:rsidR="00CD254E" w:rsidRPr="00AD1AA0">
        <w:rPr>
          <w:rFonts w:ascii="Times New Roman" w:eastAsia="Times New Roman" w:hAnsi="Times New Roman" w:cs="Times New Roman"/>
          <w:b/>
          <w:sz w:val="24"/>
          <w:szCs w:val="24"/>
          <w:lang w:bidi="hi-IN"/>
        </w:rPr>
        <w:t>Graph showing m</w:t>
      </w:r>
      <w:r w:rsidR="000C3E81" w:rsidRPr="00AD1AA0">
        <w:rPr>
          <w:rFonts w:ascii="Times New Roman" w:eastAsia="Times New Roman" w:hAnsi="Times New Roman" w:cs="Times New Roman"/>
          <w:b/>
          <w:sz w:val="24"/>
          <w:szCs w:val="24"/>
          <w:lang w:bidi="hi-IN"/>
        </w:rPr>
        <w:t>olecular weight and corresponding melting point of</w:t>
      </w:r>
      <w:r w:rsidR="001C52E7" w:rsidRPr="00AD1AA0">
        <w:rPr>
          <w:rFonts w:ascii="Times New Roman" w:eastAsia="Times New Roman" w:hAnsi="Times New Roman" w:cs="Times New Roman"/>
          <w:b/>
          <w:sz w:val="24"/>
          <w:szCs w:val="24"/>
          <w:lang w:bidi="hi-IN"/>
        </w:rPr>
        <w:t xml:space="preserve"> </w:t>
      </w:r>
      <w:r w:rsidR="001C52E7" w:rsidRPr="00AD1AA0">
        <w:rPr>
          <w:rFonts w:ascii="Times New Roman" w:hAnsi="Times New Roman" w:cs="Times New Roman"/>
          <w:b/>
          <w:sz w:val="24"/>
          <w:szCs w:val="24"/>
        </w:rPr>
        <w:t xml:space="preserve">six quinoxaline derivatives </w:t>
      </w:r>
    </w:p>
    <w:p w14:paraId="25BF0610" w14:textId="77777777" w:rsidR="009479A8" w:rsidRPr="00A404BE" w:rsidRDefault="009479A8" w:rsidP="00A404BE">
      <w:pPr>
        <w:spacing w:before="100" w:beforeAutospacing="1" w:after="100" w:afterAutospacing="1" w:line="360" w:lineRule="auto"/>
        <w:jc w:val="both"/>
        <w:outlineLvl w:val="2"/>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noProof/>
          <w:sz w:val="24"/>
          <w:szCs w:val="24"/>
        </w:rPr>
        <w:drawing>
          <wp:inline distT="0" distB="0" distL="0" distR="0" wp14:anchorId="4F3189C1" wp14:editId="3A7E8569">
            <wp:extent cx="3105150" cy="3556000"/>
            <wp:effectExtent l="19050" t="0" r="190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585D65"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2.3. Cell Viability Assay</w:t>
      </w:r>
    </w:p>
    <w:p w14:paraId="5503AD67"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To assess the neuroprotective activity of the synthesized quinoxaline derivatives against Aβ-induced cytotoxicity, a 3-(4,5-dimethylthiazol-2-yl)-2,5-diphenyltetrazolium bromide (MTT) assay was carried out on rat pheochromocytoma (PC12) cells.</w:t>
      </w:r>
    </w:p>
    <w:p w14:paraId="09202DBA"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Cell Culture Conditions</w:t>
      </w:r>
    </w:p>
    <w:p w14:paraId="3286DBDD"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4"/>
          <w:szCs w:val="24"/>
          <w:lang w:bidi="hi-IN"/>
        </w:rPr>
      </w:pPr>
      <w:r w:rsidRPr="00A404BE">
        <w:rPr>
          <w:rFonts w:ascii="Times New Roman" w:eastAsia="Times New Roman" w:hAnsi="Times New Roman" w:cs="Times New Roman"/>
          <w:b/>
          <w:bCs/>
          <w:sz w:val="24"/>
          <w:szCs w:val="24"/>
          <w:lang w:bidi="hi-IN"/>
        </w:rPr>
        <w:t>PC12 cells were grown in Dulbecco's Modified Eagle Medium (DMEM) supplemented with:</w:t>
      </w:r>
    </w:p>
    <w:p w14:paraId="7AAD75F6"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lastRenderedPageBreak/>
        <w:t xml:space="preserve">• </w:t>
      </w:r>
      <w:r w:rsidR="00D90775" w:rsidRPr="00A404BE">
        <w:rPr>
          <w:rFonts w:ascii="Times New Roman" w:eastAsia="Times New Roman" w:hAnsi="Times New Roman" w:cs="Times New Roman"/>
          <w:bCs/>
          <w:sz w:val="24"/>
          <w:szCs w:val="24"/>
          <w:lang w:bidi="hi-IN"/>
        </w:rPr>
        <w:t>10% heat-inactivated fetal bovine serum (FBS),</w:t>
      </w:r>
    </w:p>
    <w:p w14:paraId="6B9365E9"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1% penicillin-streptomycin solution,</w:t>
      </w:r>
    </w:p>
    <w:p w14:paraId="10B98C1D"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1% L-glutamine.</w:t>
      </w:r>
    </w:p>
    <w:p w14:paraId="394100BD" w14:textId="6256AB98"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Cells were incubated at 37°C in a humidified air of 5</w:t>
      </w:r>
      <w:r w:rsidRPr="00721669">
        <w:rPr>
          <w:rFonts w:ascii="Times New Roman" w:eastAsia="Times New Roman" w:hAnsi="Times New Roman" w:cs="Times New Roman"/>
          <w:bCs/>
          <w:sz w:val="24"/>
          <w:szCs w:val="24"/>
          <w:highlight w:val="yellow"/>
          <w:lang w:bidi="hi-IN"/>
        </w:rPr>
        <w:t xml:space="preserve">% CO₂ and </w:t>
      </w:r>
      <w:proofErr w:type="spellStart"/>
      <w:r w:rsidRPr="00721669">
        <w:rPr>
          <w:rFonts w:ascii="Times New Roman" w:eastAsia="Times New Roman" w:hAnsi="Times New Roman" w:cs="Times New Roman"/>
          <w:bCs/>
          <w:sz w:val="24"/>
          <w:szCs w:val="24"/>
          <w:highlight w:val="yellow"/>
          <w:lang w:bidi="hi-IN"/>
        </w:rPr>
        <w:t>subcultured</w:t>
      </w:r>
      <w:proofErr w:type="spellEnd"/>
      <w:r w:rsidRPr="00721669">
        <w:rPr>
          <w:rFonts w:ascii="Times New Roman" w:eastAsia="Times New Roman" w:hAnsi="Times New Roman" w:cs="Times New Roman"/>
          <w:bCs/>
          <w:sz w:val="24"/>
          <w:szCs w:val="24"/>
          <w:highlight w:val="yellow"/>
          <w:lang w:bidi="hi-IN"/>
        </w:rPr>
        <w:t xml:space="preserve"> ev</w:t>
      </w:r>
      <w:r w:rsidR="00A404BE" w:rsidRPr="00721669">
        <w:rPr>
          <w:rFonts w:ascii="Times New Roman" w:eastAsia="Times New Roman" w:hAnsi="Times New Roman" w:cs="Times New Roman"/>
          <w:bCs/>
          <w:sz w:val="24"/>
          <w:szCs w:val="24"/>
          <w:highlight w:val="yellow"/>
          <w:lang w:bidi="hi-IN"/>
        </w:rPr>
        <w:t>ery</w:t>
      </w:r>
      <w:r w:rsidR="00A404BE">
        <w:rPr>
          <w:rFonts w:ascii="Times New Roman" w:eastAsia="Times New Roman" w:hAnsi="Times New Roman" w:cs="Times New Roman"/>
          <w:bCs/>
          <w:sz w:val="24"/>
          <w:szCs w:val="24"/>
          <w:lang w:bidi="hi-IN"/>
        </w:rPr>
        <w:t xml:space="preserve"> 2–3 days when they reached </w:t>
      </w:r>
      <w:r w:rsidRPr="00A404BE">
        <w:rPr>
          <w:rFonts w:ascii="Times New Roman" w:eastAsia="Times New Roman" w:hAnsi="Times New Roman" w:cs="Times New Roman"/>
          <w:bCs/>
          <w:sz w:val="24"/>
          <w:szCs w:val="24"/>
          <w:lang w:bidi="hi-IN"/>
        </w:rPr>
        <w:t>80% confluency.</w:t>
      </w:r>
    </w:p>
    <w:p w14:paraId="0DC62216"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Seeding and Treatment Protocol</w:t>
      </w:r>
    </w:p>
    <w:p w14:paraId="05166E27"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PC12 cells were seeded into sterile, flat-bottomed 96-well plates at a density of 1 × 10⁴ cells per well in 100 µL of complete DMEM and incubated for 24 h. After that, cells were treated as described:</w:t>
      </w:r>
    </w:p>
    <w:p w14:paraId="488C7E92"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Cells were pre-treated with different concentrations (1, 5, 10, and 20 µM) of each quinoxaline derivative (QX-1 to QX-6) in DMSO (final concentration of DMSO ≤ 0.1%) for 2 hours.</w:t>
      </w:r>
    </w:p>
    <w:p w14:paraId="50E08DEA" w14:textId="219556DF"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 xml:space="preserve">The medium was gently aspirated and replaced </w:t>
      </w:r>
      <w:r w:rsidR="00D90775" w:rsidRPr="00721669">
        <w:rPr>
          <w:rFonts w:ascii="Times New Roman" w:eastAsia="Times New Roman" w:hAnsi="Times New Roman" w:cs="Times New Roman"/>
          <w:bCs/>
          <w:sz w:val="24"/>
          <w:szCs w:val="24"/>
          <w:highlight w:val="yellow"/>
          <w:lang w:bidi="hi-IN"/>
        </w:rPr>
        <w:t xml:space="preserve">with </w:t>
      </w:r>
      <w:r w:rsidR="00421F0F" w:rsidRPr="00721669">
        <w:rPr>
          <w:rFonts w:ascii="Times New Roman" w:eastAsia="Times New Roman" w:hAnsi="Times New Roman" w:cs="Times New Roman"/>
          <w:bCs/>
          <w:sz w:val="24"/>
          <w:szCs w:val="24"/>
          <w:highlight w:val="yellow"/>
          <w:lang w:bidi="hi-IN"/>
        </w:rPr>
        <w:t xml:space="preserve">a </w:t>
      </w:r>
      <w:r w:rsidR="00D90775" w:rsidRPr="00721669">
        <w:rPr>
          <w:rFonts w:ascii="Times New Roman" w:eastAsia="Times New Roman" w:hAnsi="Times New Roman" w:cs="Times New Roman"/>
          <w:bCs/>
          <w:sz w:val="24"/>
          <w:szCs w:val="24"/>
          <w:highlight w:val="yellow"/>
          <w:lang w:bidi="hi-IN"/>
        </w:rPr>
        <w:t>new medium</w:t>
      </w:r>
      <w:r w:rsidR="00D90775" w:rsidRPr="00A404BE">
        <w:rPr>
          <w:rFonts w:ascii="Times New Roman" w:eastAsia="Times New Roman" w:hAnsi="Times New Roman" w:cs="Times New Roman"/>
          <w:bCs/>
          <w:sz w:val="24"/>
          <w:szCs w:val="24"/>
          <w:lang w:bidi="hi-IN"/>
        </w:rPr>
        <w:t xml:space="preserve"> with 25 µM of oligomeric Aβ₁–₄₂.</w:t>
      </w:r>
    </w:p>
    <w:p w14:paraId="51B132E8" w14:textId="77777777" w:rsidR="00F43A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The cells were incubated further for 24 hours under standard conditions.</w:t>
      </w:r>
      <w:r w:rsidR="00F43A75" w:rsidRPr="00A404BE">
        <w:rPr>
          <w:rFonts w:ascii="Times New Roman" w:eastAsia="Times New Roman" w:hAnsi="Times New Roman" w:cs="Times New Roman"/>
          <w:bCs/>
          <w:sz w:val="24"/>
          <w:szCs w:val="24"/>
          <w:lang w:bidi="hi-IN"/>
        </w:rPr>
        <w:t>Preparation of Aβ₁–₄₂ Peptide</w:t>
      </w:r>
    </w:p>
    <w:p w14:paraId="15FAD383"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Aβ₁–₄₂ (Sigma-Aldrich, USA) was pre-aggregated by dissolving in sterile DMSO to a concentration of 1 mM, followed by dilution in PBS to 100 µM and incubation at </w:t>
      </w:r>
      <w:r w:rsidRPr="00A404BE">
        <w:rPr>
          <w:rFonts w:ascii="Times New Roman" w:eastAsia="Times New Roman" w:hAnsi="Times New Roman" w:cs="Times New Roman"/>
          <w:bCs/>
          <w:sz w:val="24"/>
          <w:szCs w:val="24"/>
          <w:lang w:bidi="hi-IN"/>
        </w:rPr>
        <w:t>37°C for 24 h</w:t>
      </w:r>
      <w:r w:rsidRPr="00A404BE">
        <w:rPr>
          <w:rFonts w:ascii="Times New Roman" w:eastAsia="Times New Roman" w:hAnsi="Times New Roman" w:cs="Times New Roman"/>
          <w:sz w:val="24"/>
          <w:szCs w:val="24"/>
          <w:lang w:bidi="hi-IN"/>
        </w:rPr>
        <w:t xml:space="preserve"> to induce oligomer formation before use in the assay.</w:t>
      </w:r>
    </w:p>
    <w:p w14:paraId="52910B46" w14:textId="77777777" w:rsidR="00F43A75" w:rsidRPr="00A404BE" w:rsidRDefault="00F43A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MTT Assay Procedure</w:t>
      </w:r>
    </w:p>
    <w:p w14:paraId="216A6F99"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sz w:val="24"/>
          <w:szCs w:val="24"/>
          <w:lang w:bidi="hi-IN"/>
        </w:rPr>
        <w:t>Following the 24-hour Aβ₁–₄₂ exposure:</w:t>
      </w:r>
    </w:p>
    <w:p w14:paraId="0B47FB08"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bCs/>
          <w:sz w:val="24"/>
          <w:szCs w:val="24"/>
          <w:lang w:bidi="hi-IN"/>
        </w:rPr>
        <w:t>10 µL of MTT solution (5 mg/mL in PBS)</w:t>
      </w:r>
      <w:r w:rsidRPr="00A404BE">
        <w:rPr>
          <w:rFonts w:ascii="Times New Roman" w:eastAsia="Times New Roman" w:hAnsi="Times New Roman" w:cs="Times New Roman"/>
          <w:sz w:val="24"/>
          <w:szCs w:val="24"/>
          <w:lang w:bidi="hi-IN"/>
        </w:rPr>
        <w:t xml:space="preserve"> was added to each well.</w:t>
      </w:r>
    </w:p>
    <w:p w14:paraId="63760918"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Plates were incubated for </w:t>
      </w:r>
      <w:r w:rsidRPr="00A404BE">
        <w:rPr>
          <w:rFonts w:ascii="Times New Roman" w:eastAsia="Times New Roman" w:hAnsi="Times New Roman" w:cs="Times New Roman"/>
          <w:bCs/>
          <w:sz w:val="24"/>
          <w:szCs w:val="24"/>
          <w:lang w:bidi="hi-IN"/>
        </w:rPr>
        <w:t>4 hours</w:t>
      </w:r>
      <w:r w:rsidRPr="00A404BE">
        <w:rPr>
          <w:rFonts w:ascii="Times New Roman" w:eastAsia="Times New Roman" w:hAnsi="Times New Roman" w:cs="Times New Roman"/>
          <w:sz w:val="24"/>
          <w:szCs w:val="24"/>
          <w:lang w:bidi="hi-IN"/>
        </w:rPr>
        <w:t xml:space="preserve"> at 37°C.</w:t>
      </w:r>
    </w:p>
    <w:p w14:paraId="4247B77C"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 xml:space="preserve">After incubation, the medium was carefully removed and </w:t>
      </w:r>
      <w:r w:rsidRPr="00A404BE">
        <w:rPr>
          <w:rFonts w:ascii="Times New Roman" w:eastAsia="Times New Roman" w:hAnsi="Times New Roman" w:cs="Times New Roman"/>
          <w:bCs/>
          <w:sz w:val="24"/>
          <w:szCs w:val="24"/>
          <w:lang w:bidi="hi-IN"/>
        </w:rPr>
        <w:t>100 µL of DMSO</w:t>
      </w:r>
      <w:r w:rsidRPr="00A404BE">
        <w:rPr>
          <w:rFonts w:ascii="Times New Roman" w:eastAsia="Times New Roman" w:hAnsi="Times New Roman" w:cs="Times New Roman"/>
          <w:sz w:val="24"/>
          <w:szCs w:val="24"/>
          <w:lang w:bidi="hi-IN"/>
        </w:rPr>
        <w:t xml:space="preserve"> was added to each well to solubilize the purple formazan crystals formed by viable cells.</w:t>
      </w:r>
    </w:p>
    <w:p w14:paraId="5456DAC0"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Plates were gently shaken for 10 minutes to ensure complete solubilization.</w:t>
      </w:r>
    </w:p>
    <w:p w14:paraId="2312D543"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The absorbance was measured at </w:t>
      </w:r>
      <w:r w:rsidRPr="00A404BE">
        <w:rPr>
          <w:rFonts w:ascii="Times New Roman" w:eastAsia="Times New Roman" w:hAnsi="Times New Roman" w:cs="Times New Roman"/>
          <w:bCs/>
          <w:sz w:val="24"/>
          <w:szCs w:val="24"/>
          <w:lang w:bidi="hi-IN"/>
        </w:rPr>
        <w:t>570 nm</w:t>
      </w:r>
      <w:r w:rsidRPr="00A404BE">
        <w:rPr>
          <w:rFonts w:ascii="Times New Roman" w:eastAsia="Times New Roman" w:hAnsi="Times New Roman" w:cs="Times New Roman"/>
          <w:sz w:val="24"/>
          <w:szCs w:val="24"/>
          <w:lang w:bidi="hi-IN"/>
        </w:rPr>
        <w:t xml:space="preserve"> using a microplate reader (Bio-Rad iMark™ or equivalent).</w:t>
      </w:r>
    </w:p>
    <w:p w14:paraId="248C3931"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Cell viability was calculated as a percentage relative to the </w:t>
      </w:r>
      <w:r w:rsidRPr="00A404BE">
        <w:rPr>
          <w:rFonts w:ascii="Times New Roman" w:eastAsia="Times New Roman" w:hAnsi="Times New Roman" w:cs="Times New Roman"/>
          <w:bCs/>
          <w:sz w:val="24"/>
          <w:szCs w:val="24"/>
          <w:lang w:bidi="hi-IN"/>
        </w:rPr>
        <w:t>untreated control group (100%)</w:t>
      </w:r>
      <w:r w:rsidRPr="00A404BE">
        <w:rPr>
          <w:rFonts w:ascii="Times New Roman" w:eastAsia="Times New Roman" w:hAnsi="Times New Roman" w:cs="Times New Roman"/>
          <w:sz w:val="24"/>
          <w:szCs w:val="24"/>
          <w:lang w:bidi="hi-IN"/>
        </w:rPr>
        <w:t xml:space="preserve"> using the following formula:</w:t>
      </w:r>
    </w:p>
    <w:p w14:paraId="327ADC13" w14:textId="77777777" w:rsidR="00F43A75" w:rsidRPr="00566AA9" w:rsidRDefault="00F43A75" w:rsidP="0074296C">
      <w:pPr>
        <w:spacing w:before="100" w:beforeAutospacing="1" w:after="100" w:afterAutospacing="1" w:line="360" w:lineRule="auto"/>
        <w:jc w:val="center"/>
        <w:rPr>
          <w:rStyle w:val="mord"/>
          <w:rFonts w:ascii="Times New Roman" w:hAnsi="Times New Roman" w:cs="Times New Roman"/>
          <w:b/>
          <w:i/>
          <w:iCs/>
          <w:sz w:val="20"/>
          <w:szCs w:val="20"/>
        </w:rPr>
      </w:pPr>
      <w:r w:rsidRPr="00566AA9">
        <w:rPr>
          <w:rStyle w:val="mord"/>
          <w:rFonts w:ascii="Times New Roman" w:hAnsi="Times New Roman" w:cs="Times New Roman"/>
          <w:b/>
          <w:i/>
          <w:iCs/>
          <w:sz w:val="20"/>
          <w:szCs w:val="20"/>
        </w:rPr>
        <w:t>Cell Viability (%)</w:t>
      </w:r>
      <w:r w:rsidRPr="00566AA9">
        <w:rPr>
          <w:rStyle w:val="mrel"/>
          <w:rFonts w:ascii="Times New Roman" w:hAnsi="Times New Roman" w:cs="Times New Roman"/>
          <w:b/>
          <w:i/>
          <w:iCs/>
          <w:sz w:val="20"/>
          <w:szCs w:val="20"/>
        </w:rPr>
        <w:t>=</w:t>
      </w:r>
      <w:r w:rsidR="004019D8" w:rsidRPr="00566AA9">
        <w:rPr>
          <w:rStyle w:val="delimsizing"/>
          <w:rFonts w:ascii="Times New Roman" w:hAnsi="Times New Roman" w:cs="Times New Roman"/>
          <w:b/>
          <w:i/>
          <w:iCs/>
          <w:sz w:val="20"/>
          <w:szCs w:val="20"/>
        </w:rPr>
        <w:t xml:space="preserve">  </w:t>
      </w:r>
      <m:oMath>
        <m:f>
          <m:fPr>
            <m:ctrlPr>
              <w:rPr>
                <w:rStyle w:val="delimsizing"/>
                <w:rFonts w:ascii="Cambria Math" w:hAnsi="Times New Roman" w:cs="Times New Roman"/>
                <w:b/>
                <w:i/>
                <w:iCs/>
                <w:sz w:val="20"/>
                <w:szCs w:val="20"/>
              </w:rPr>
            </m:ctrlPr>
          </m:fPr>
          <m:num>
            <m:r>
              <m:rPr>
                <m:sty m:val="bi"/>
              </m:rPr>
              <w:rPr>
                <w:rStyle w:val="mord"/>
                <w:rFonts w:ascii="Cambria Math" w:hAnsi="Cambria Math" w:cs="Times New Roman"/>
                <w:sz w:val="20"/>
                <w:szCs w:val="20"/>
              </w:rPr>
              <m:t>OD</m:t>
            </m:r>
            <m:r>
              <m:rPr>
                <m:sty m:val="bi"/>
              </m:rPr>
              <w:rPr>
                <w:rStyle w:val="mord"/>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Cambria Math" w:cs="Times New Roman"/>
                      <w:sz w:val="20"/>
                      <w:szCs w:val="20"/>
                    </w:rPr>
                    <m:t>SAMPLE</m:t>
                  </m:r>
                </m:e>
                <m:e>
                  <m:r>
                    <m:rPr>
                      <m:sty m:val="bi"/>
                    </m:rPr>
                    <w:rPr>
                      <w:rStyle w:val="mord"/>
                      <w:rFonts w:ascii="Cambria Math" w:hAnsi="Cambria Math" w:cs="Times New Roman"/>
                      <w:sz w:val="20"/>
                      <w:szCs w:val="20"/>
                    </w:rPr>
                    <m:t>-</m:t>
                  </m:r>
                </m:e>
              </m:mr>
            </m:m>
            <m:r>
              <m:rPr>
                <m:sty m:val="bi"/>
              </m:rPr>
              <w:rPr>
                <w:rStyle w:val="mord"/>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Times New Roman" w:cs="Times New Roman"/>
                      <w:sz w:val="20"/>
                      <w:szCs w:val="20"/>
                    </w:rPr>
                    <m:t>OD</m:t>
                  </m:r>
                </m:e>
                <m:e>
                  <m:r>
                    <m:rPr>
                      <m:sty m:val="bi"/>
                    </m:rPr>
                    <w:rPr>
                      <w:rStyle w:val="mord"/>
                      <w:rFonts w:ascii="Cambria Math" w:hAnsi="Times New Roman" w:cs="Times New Roman"/>
                      <w:sz w:val="20"/>
                      <w:szCs w:val="20"/>
                    </w:rPr>
                    <m:t xml:space="preserve">BLANK </m:t>
                  </m:r>
                </m:e>
              </m:mr>
            </m:m>
          </m:num>
          <m:den>
            <m:r>
              <m:rPr>
                <m:sty m:val="bi"/>
              </m:rPr>
              <w:rPr>
                <w:rStyle w:val="delimsizing"/>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Cambria Math" w:cs="Times New Roman"/>
                      <w:sz w:val="20"/>
                      <w:szCs w:val="20"/>
                    </w:rPr>
                    <m:t>OD</m:t>
                  </m:r>
                </m:e>
                <m:e>
                  <m:r>
                    <m:rPr>
                      <m:sty m:val="bi"/>
                    </m:rPr>
                    <w:rPr>
                      <w:rStyle w:val="mord"/>
                      <w:rFonts w:ascii="Cambria Math" w:hAnsi="Cambria Math" w:cs="Times New Roman"/>
                      <w:sz w:val="20"/>
                      <w:szCs w:val="20"/>
                    </w:rPr>
                    <m:t>control</m:t>
                  </m:r>
                </m:e>
              </m:mr>
            </m:m>
            <m:r>
              <m:rPr>
                <m:sty m:val="bi"/>
              </m:rPr>
              <w:rPr>
                <w:rStyle w:val="delimsizing"/>
                <w:rFonts w:ascii="Cambria Math" w:hAnsi="Cambria Math" w:cs="Times New Roman"/>
                <w:sz w:val="20"/>
                <w:szCs w:val="20"/>
              </w:rPr>
              <m:t>-</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Times New Roman" w:cs="Times New Roman"/>
                      <w:sz w:val="20"/>
                      <w:szCs w:val="20"/>
                    </w:rPr>
                    <m:t>OD</m:t>
                  </m:r>
                </m:e>
                <m:e>
                  <m:r>
                    <m:rPr>
                      <m:sty m:val="bi"/>
                    </m:rPr>
                    <w:rPr>
                      <w:rStyle w:val="mord"/>
                      <w:rFonts w:ascii="Cambria Math" w:hAnsi="Times New Roman" w:cs="Times New Roman"/>
                      <w:sz w:val="20"/>
                      <w:szCs w:val="20"/>
                    </w:rPr>
                    <m:t xml:space="preserve">BLANK </m:t>
                  </m:r>
                </m:e>
              </m:mr>
            </m:m>
          </m:den>
        </m:f>
      </m:oMath>
      <w:r w:rsidR="004019D8" w:rsidRPr="00566AA9">
        <w:rPr>
          <w:rStyle w:val="delimsizing"/>
          <w:rFonts w:ascii="Times New Roman" w:hAnsi="Times New Roman" w:cs="Times New Roman"/>
          <w:b/>
          <w:i/>
          <w:iCs/>
          <w:sz w:val="20"/>
          <w:szCs w:val="20"/>
        </w:rPr>
        <w:t xml:space="preserve">         </w:t>
      </w:r>
      <w:r w:rsidRPr="00566AA9">
        <w:rPr>
          <w:rStyle w:val="mbin"/>
          <w:rFonts w:ascii="Times New Roman" w:hAnsi="Times New Roman" w:cs="Times New Roman"/>
          <w:b/>
          <w:i/>
          <w:iCs/>
          <w:sz w:val="20"/>
          <w:szCs w:val="20"/>
        </w:rPr>
        <w:t>×</w:t>
      </w:r>
      <w:r w:rsidRPr="00566AA9">
        <w:rPr>
          <w:rStyle w:val="mord"/>
          <w:rFonts w:ascii="Times New Roman" w:hAnsi="Times New Roman" w:cs="Times New Roman"/>
          <w:b/>
          <w:i/>
          <w:iCs/>
          <w:sz w:val="20"/>
          <w:szCs w:val="20"/>
        </w:rPr>
        <w:t>100</w:t>
      </w:r>
    </w:p>
    <w:p w14:paraId="2E59A57C"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Each experimental condition was performed in </w:t>
      </w:r>
      <w:r w:rsidRPr="00A404BE">
        <w:rPr>
          <w:rFonts w:ascii="Times New Roman" w:eastAsia="Times New Roman" w:hAnsi="Times New Roman" w:cs="Times New Roman"/>
          <w:bCs/>
          <w:sz w:val="24"/>
          <w:szCs w:val="24"/>
          <w:lang w:bidi="hi-IN"/>
        </w:rPr>
        <w:t>triplicate wells</w:t>
      </w:r>
      <w:r w:rsidRPr="00A404BE">
        <w:rPr>
          <w:rFonts w:ascii="Times New Roman" w:eastAsia="Times New Roman" w:hAnsi="Times New Roman" w:cs="Times New Roman"/>
          <w:sz w:val="24"/>
          <w:szCs w:val="24"/>
          <w:lang w:bidi="hi-IN"/>
        </w:rPr>
        <w:t xml:space="preserve"> per treatment group, and the entire experiment was repeated </w:t>
      </w:r>
      <w:r w:rsidRPr="00A404BE">
        <w:rPr>
          <w:rFonts w:ascii="Times New Roman" w:eastAsia="Times New Roman" w:hAnsi="Times New Roman" w:cs="Times New Roman"/>
          <w:bCs/>
          <w:sz w:val="24"/>
          <w:szCs w:val="24"/>
          <w:lang w:bidi="hi-IN"/>
        </w:rPr>
        <w:t>three independent times</w:t>
      </w:r>
      <w:r w:rsidRPr="00A404BE">
        <w:rPr>
          <w:rFonts w:ascii="Times New Roman" w:eastAsia="Times New Roman" w:hAnsi="Times New Roman" w:cs="Times New Roman"/>
          <w:sz w:val="24"/>
          <w:szCs w:val="24"/>
          <w:lang w:bidi="hi-IN"/>
        </w:rPr>
        <w:t xml:space="preserve"> to ensure reproducibility.</w:t>
      </w:r>
    </w:p>
    <w:p w14:paraId="402E650E" w14:textId="77777777" w:rsidR="00F43A75" w:rsidRPr="00A404BE" w:rsidRDefault="00F43A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Statistical Analysis</w:t>
      </w:r>
    </w:p>
    <w:p w14:paraId="4EE7B036"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Data were expressed as </w:t>
      </w:r>
      <w:r w:rsidRPr="00A404BE">
        <w:rPr>
          <w:rFonts w:ascii="Times New Roman" w:eastAsia="Times New Roman" w:hAnsi="Times New Roman" w:cs="Times New Roman"/>
          <w:bCs/>
          <w:sz w:val="24"/>
          <w:szCs w:val="24"/>
          <w:lang w:bidi="hi-IN"/>
        </w:rPr>
        <w:t>mean ± standard deviation (SD)</w:t>
      </w:r>
      <w:r w:rsidRPr="00A404BE">
        <w:rPr>
          <w:rFonts w:ascii="Times New Roman" w:eastAsia="Times New Roman" w:hAnsi="Times New Roman" w:cs="Times New Roman"/>
          <w:sz w:val="24"/>
          <w:szCs w:val="24"/>
          <w:lang w:bidi="hi-IN"/>
        </w:rPr>
        <w:t xml:space="preserve">. Statistical significance was determined by </w:t>
      </w:r>
      <w:r w:rsidRPr="00A404BE">
        <w:rPr>
          <w:rFonts w:ascii="Times New Roman" w:eastAsia="Times New Roman" w:hAnsi="Times New Roman" w:cs="Times New Roman"/>
          <w:bCs/>
          <w:sz w:val="24"/>
          <w:szCs w:val="24"/>
          <w:lang w:bidi="hi-IN"/>
        </w:rPr>
        <w:t>one-way analysis of variance (ANOVA)</w:t>
      </w:r>
      <w:r w:rsidRPr="00A404BE">
        <w:rPr>
          <w:rFonts w:ascii="Times New Roman" w:eastAsia="Times New Roman" w:hAnsi="Times New Roman" w:cs="Times New Roman"/>
          <w:sz w:val="24"/>
          <w:szCs w:val="24"/>
          <w:lang w:bidi="hi-IN"/>
        </w:rPr>
        <w:t xml:space="preserve"> followed by </w:t>
      </w:r>
      <w:r w:rsidRPr="00A404BE">
        <w:rPr>
          <w:rFonts w:ascii="Times New Roman" w:eastAsia="Times New Roman" w:hAnsi="Times New Roman" w:cs="Times New Roman"/>
          <w:bCs/>
          <w:sz w:val="24"/>
          <w:szCs w:val="24"/>
          <w:lang w:bidi="hi-IN"/>
        </w:rPr>
        <w:t>Tukey’s post hoc test</w:t>
      </w:r>
      <w:r w:rsidRPr="00A404BE">
        <w:rPr>
          <w:rFonts w:ascii="Times New Roman" w:eastAsia="Times New Roman" w:hAnsi="Times New Roman" w:cs="Times New Roman"/>
          <w:sz w:val="24"/>
          <w:szCs w:val="24"/>
          <w:lang w:bidi="hi-IN"/>
        </w:rPr>
        <w:t xml:space="preserve"> using SPSS v22.0 software. A value of </w:t>
      </w:r>
      <w:r w:rsidRPr="00A404BE">
        <w:rPr>
          <w:rFonts w:ascii="Times New Roman" w:eastAsia="Times New Roman" w:hAnsi="Times New Roman" w:cs="Times New Roman"/>
          <w:bCs/>
          <w:sz w:val="24"/>
          <w:szCs w:val="24"/>
          <w:lang w:bidi="hi-IN"/>
        </w:rPr>
        <w:t>p &lt; 0.05</w:t>
      </w:r>
      <w:r w:rsidRPr="00A404BE">
        <w:rPr>
          <w:rFonts w:ascii="Times New Roman" w:eastAsia="Times New Roman" w:hAnsi="Times New Roman" w:cs="Times New Roman"/>
          <w:sz w:val="24"/>
          <w:szCs w:val="24"/>
          <w:lang w:bidi="hi-IN"/>
        </w:rPr>
        <w:t xml:space="preserve"> was considered statistically significant.</w:t>
      </w:r>
    </w:p>
    <w:p w14:paraId="295FF790" w14:textId="77777777" w:rsidR="00F43A75" w:rsidRPr="00A404BE" w:rsidRDefault="00F43A75" w:rsidP="00A404BE">
      <w:pPr>
        <w:spacing w:before="100" w:beforeAutospacing="1" w:after="100" w:afterAutospacing="1" w:line="360" w:lineRule="auto"/>
        <w:jc w:val="both"/>
        <w:outlineLvl w:val="2"/>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2.4. Measurement of Intracellular Reactive Oxygen Species (ROS)</w:t>
      </w:r>
    </w:p>
    <w:p w14:paraId="61A91106" w14:textId="79327536"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To investigate the antioxidant capacity of the quinoxaline derivatives, intracellular ROS levels were measured using the fluorescent probe 2′,7′-dichlorofluorescin diacetate (DCFH-DA). PC12 cells were seeded in black-walled 96-well plates at a density of 1 × 10⁴ cells per well and allowed to adhere for 24 hours. After pre-treatment with quinoxaline derivatives (1, 5, 10, 20 µM) for 2 hours, cells were exposed to 25 µM Aβ₁–₄₂ for an additional 24 hours. Following this, cells were washed with phosphate-buffered saline (PBS) and incubated with 10 µM DCFH-DA in serum-free medium for 30 minutes at 37°C in the dark. The non-fluorescent DCFH-DA is de-esterified intracellularly and oxidized by ROS into the fluorescent compound 2′,7′-dichlorofluorescein (DCF), allowing quantification of ROS levels. After incubation, cells were washed again to remove </w:t>
      </w:r>
      <w:r w:rsidR="00421F0F">
        <w:rPr>
          <w:rFonts w:ascii="Times New Roman" w:eastAsia="Times New Roman" w:hAnsi="Times New Roman" w:cs="Times New Roman"/>
          <w:sz w:val="24"/>
          <w:szCs w:val="24"/>
          <w:lang w:bidi="hi-IN"/>
        </w:rPr>
        <w:t xml:space="preserve">the </w:t>
      </w:r>
      <w:r w:rsidRPr="00721669">
        <w:rPr>
          <w:rFonts w:ascii="Times New Roman" w:eastAsia="Times New Roman" w:hAnsi="Times New Roman" w:cs="Times New Roman"/>
          <w:sz w:val="24"/>
          <w:szCs w:val="24"/>
          <w:highlight w:val="yellow"/>
          <w:lang w:bidi="hi-IN"/>
        </w:rPr>
        <w:t>excess probe, and fluorescence</w:t>
      </w:r>
      <w:r w:rsidRPr="00A404BE">
        <w:rPr>
          <w:rFonts w:ascii="Times New Roman" w:eastAsia="Times New Roman" w:hAnsi="Times New Roman" w:cs="Times New Roman"/>
          <w:sz w:val="24"/>
          <w:szCs w:val="24"/>
          <w:lang w:bidi="hi-IN"/>
        </w:rPr>
        <w:t xml:space="preserve"> intensity was measured using a microplate reader with excitation/emission wavelengths of 485/528 nm. Fluorescence values were expressed as a </w:t>
      </w:r>
      <w:r w:rsidRPr="00A404BE">
        <w:rPr>
          <w:rFonts w:ascii="Times New Roman" w:eastAsia="Times New Roman" w:hAnsi="Times New Roman" w:cs="Times New Roman"/>
          <w:sz w:val="24"/>
          <w:szCs w:val="24"/>
          <w:lang w:bidi="hi-IN"/>
        </w:rPr>
        <w:lastRenderedPageBreak/>
        <w:t>percentage of the untreated control group. Each experimental condition was conducted in triplicate, and data were analyzed by one-way ANOVA followed by Tukey’s multiple comparisons test. A p-value less than 0.05 was considered statistically significant.</w:t>
      </w:r>
    </w:p>
    <w:p w14:paraId="2DFEF87C" w14:textId="77777777" w:rsidR="00F43A75" w:rsidRPr="00A404BE" w:rsidRDefault="00F43A75" w:rsidP="00A404BE">
      <w:pPr>
        <w:spacing w:before="100" w:beforeAutospacing="1" w:after="100" w:afterAutospacing="1" w:line="360" w:lineRule="auto"/>
        <w:jc w:val="both"/>
        <w:outlineLvl w:val="2"/>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2.5. Acetylcholinesterase Inhibition Assay</w:t>
      </w:r>
    </w:p>
    <w:p w14:paraId="298F76B4" w14:textId="77777777" w:rsidR="00615660"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The inhibitory effects of quinoxaline derivatives on acetylcholinesterase (AChE) activity were determined using Ellman’s colorimetric method, a widely used assay for quantifying cholinesterase activity. In this assay, the enzyme hydrolyzes the substrate acetylthiocholine iodide to release thiocholine, which reacts with 5,5′-dithiobis(2-nitrobenzoic acid) (DTNB), producing a yellow-colored 5-thio-2-nitrobenzoate anion detectable at 412 nm. Briefly, the reaction mixture consisted of 140 µL of 0.1 M phosphate buffer (pH 8.0), 20 µL of DTNB (0.5 mM), 20 µL of the test compound at different concentrations (1, 5, 10, 20 µM), and 20 µL of AChE enzyme solution (0.1 U/mL). After pre-incubation at 37°C for 15 minutes, the reaction was initiated by adding 10 µL of acetylthiocholine iodide (0.5 mM). The increase in absorbance was monitored immediately at 412 nm using a microplate reader for up to 10 minutes. Donepezil, a standard AChE inhibitor, was used as a positive control for comparison. The percentage of AChE inhibition was calculated using the formula:</w:t>
      </w:r>
    </w:p>
    <w:p w14:paraId="7FC9A011" w14:textId="77777777" w:rsidR="00F43A75" w:rsidRPr="00566AA9" w:rsidRDefault="00F43A75" w:rsidP="00566AA9">
      <w:pPr>
        <w:spacing w:before="100" w:beforeAutospacing="1" w:after="100" w:afterAutospacing="1" w:line="360" w:lineRule="auto"/>
        <w:jc w:val="center"/>
        <w:rPr>
          <w:rStyle w:val="mord"/>
          <w:rFonts w:ascii="Times New Roman" w:eastAsia="Times New Roman" w:hAnsi="Times New Roman" w:cs="Times New Roman"/>
          <w:b/>
          <w:sz w:val="24"/>
          <w:szCs w:val="24"/>
          <w:lang w:bidi="hi-IN"/>
        </w:rPr>
      </w:pPr>
      <w:r w:rsidRPr="00566AA9">
        <w:rPr>
          <w:rStyle w:val="mord"/>
          <w:rFonts w:ascii="Times New Roman" w:hAnsi="Times New Roman" w:cs="Times New Roman"/>
          <w:b/>
          <w:sz w:val="24"/>
          <w:szCs w:val="24"/>
        </w:rPr>
        <w:t>Inhibition </w:t>
      </w:r>
      <m:oMath>
        <m:d>
          <m:dPr>
            <m:ctrlPr>
              <w:rPr>
                <w:rStyle w:val="mord"/>
                <w:rFonts w:ascii="Cambria Math" w:hAnsi="Times New Roman" w:cs="Times New Roman"/>
                <w:b/>
                <w:i/>
                <w:sz w:val="24"/>
                <w:szCs w:val="24"/>
              </w:rPr>
            </m:ctrlPr>
          </m:dPr>
          <m:e>
            <m:r>
              <m:rPr>
                <m:sty m:val="bi"/>
              </m:rPr>
              <w:rPr>
                <w:rStyle w:val="mord"/>
                <w:rFonts w:ascii="Cambria Math" w:hAnsi="Times New Roman" w:cs="Times New Roman"/>
                <w:sz w:val="24"/>
                <w:szCs w:val="24"/>
              </w:rPr>
              <m:t>%</m:t>
            </m:r>
          </m:e>
        </m:d>
      </m:oMath>
      <w:r w:rsidR="00615660" w:rsidRPr="00566AA9">
        <w:rPr>
          <w:rStyle w:val="mord"/>
          <w:rFonts w:ascii="Times New Roman" w:eastAsiaTheme="minorEastAsia" w:hAnsi="Times New Roman" w:cs="Times New Roman"/>
          <w:b/>
          <w:sz w:val="24"/>
          <w:szCs w:val="24"/>
        </w:rPr>
        <w:t xml:space="preserve"> :-  </w:t>
      </w:r>
      <m:oMath>
        <m:f>
          <m:fPr>
            <m:ctrlPr>
              <w:rPr>
                <w:rStyle w:val="mord"/>
                <w:rFonts w:ascii="Cambria Math" w:eastAsiaTheme="minorEastAsia" w:hAnsi="Times New Roman" w:cs="Times New Roman"/>
                <w:b/>
                <w:i/>
                <w:sz w:val="24"/>
                <w:szCs w:val="24"/>
              </w:rPr>
            </m:ctrlPr>
          </m:fPr>
          <m:num>
            <m:r>
              <m:rPr>
                <m:sty m:val="bi"/>
              </m:rPr>
              <w:rPr>
                <w:rStyle w:val="mord"/>
                <w:rFonts w:ascii="Cambria Math" w:eastAsiaTheme="minorEastAsia" w:hAnsi="Cambria Math" w:cs="Times New Roman"/>
                <w:sz w:val="24"/>
                <w:szCs w:val="24"/>
              </w:rPr>
              <m:t>Abs</m:t>
            </m:r>
            <m:r>
              <m:rPr>
                <m:sty m:val="bi"/>
              </m:rPr>
              <w:rPr>
                <w:rStyle w:val="mord"/>
                <w:rFonts w:ascii="Cambria Math" w:eastAsiaTheme="minorEastAsia" w:hAnsi="Times New Roman" w:cs="Times New Roman"/>
                <w:sz w:val="24"/>
                <w:szCs w:val="24"/>
              </w:rPr>
              <m:t xml:space="preserve"> </m:t>
            </m:r>
            <m:r>
              <m:rPr>
                <m:sty m:val="bi"/>
              </m:rPr>
              <w:rPr>
                <w:rStyle w:val="mord"/>
                <w:rFonts w:ascii="Cambria Math" w:eastAsiaTheme="minorEastAsia" w:hAnsi="Cambria Math" w:cs="Times New Roman"/>
                <w:sz w:val="24"/>
                <w:szCs w:val="24"/>
              </w:rPr>
              <m:t>sample</m:t>
            </m:r>
            <m:r>
              <m:rPr>
                <m:sty m:val="bi"/>
              </m:rPr>
              <w:rPr>
                <w:rStyle w:val="mord"/>
                <w:rFonts w:ascii="Cambria Math" w:eastAsiaTheme="minorEastAsia" w:hAnsi="Times New Roman" w:cs="Times New Roman"/>
                <w:sz w:val="24"/>
                <w:szCs w:val="24"/>
              </w:rPr>
              <m:t xml:space="preserve"> </m:t>
            </m:r>
          </m:num>
          <m:den>
            <m:r>
              <m:rPr>
                <m:sty m:val="bi"/>
              </m:rPr>
              <w:rPr>
                <w:rStyle w:val="mord"/>
                <w:rFonts w:ascii="Cambria Math" w:eastAsiaTheme="minorEastAsia" w:hAnsi="Cambria Math" w:cs="Times New Roman"/>
                <w:sz w:val="24"/>
                <w:szCs w:val="24"/>
              </w:rPr>
              <m:t>Abs</m:t>
            </m:r>
            <m:r>
              <m:rPr>
                <m:sty m:val="bi"/>
              </m:rPr>
              <w:rPr>
                <w:rStyle w:val="mord"/>
                <w:rFonts w:ascii="Cambria Math" w:eastAsiaTheme="minorEastAsia" w:hAnsi="Times New Roman" w:cs="Times New Roman"/>
                <w:sz w:val="24"/>
                <w:szCs w:val="24"/>
              </w:rPr>
              <m:t xml:space="preserve">  </m:t>
            </m:r>
            <m:r>
              <m:rPr>
                <m:sty m:val="bi"/>
              </m:rPr>
              <w:rPr>
                <w:rStyle w:val="mord"/>
                <w:rFonts w:ascii="Cambria Math" w:eastAsiaTheme="minorEastAsia" w:hAnsi="Cambria Math" w:cs="Times New Roman"/>
                <w:sz w:val="24"/>
                <w:szCs w:val="24"/>
              </w:rPr>
              <m:t>control</m:t>
            </m:r>
            <m:r>
              <m:rPr>
                <m:sty m:val="bi"/>
              </m:rPr>
              <w:rPr>
                <w:rStyle w:val="mord"/>
                <w:rFonts w:ascii="Cambria Math" w:eastAsiaTheme="minorEastAsia" w:hAnsi="Times New Roman" w:cs="Times New Roman"/>
                <w:sz w:val="24"/>
                <w:szCs w:val="24"/>
              </w:rPr>
              <m:t xml:space="preserve">  </m:t>
            </m:r>
          </m:den>
        </m:f>
        <m:r>
          <m:rPr>
            <m:sty m:val="bi"/>
          </m:rPr>
          <w:rPr>
            <w:rStyle w:val="mord"/>
            <w:rFonts w:ascii="Cambria Math" w:eastAsiaTheme="minorEastAsia" w:hAnsi="Times New Roman" w:cs="Times New Roman"/>
            <w:sz w:val="24"/>
            <w:szCs w:val="24"/>
          </w:rPr>
          <m:t xml:space="preserve"> </m:t>
        </m:r>
        <m:d>
          <m:dPr>
            <m:ctrlPr>
              <w:rPr>
                <w:rStyle w:val="mord"/>
                <w:rFonts w:ascii="Cambria Math" w:eastAsiaTheme="minorEastAsia" w:hAnsi="Times New Roman" w:cs="Times New Roman"/>
                <w:b/>
                <w:i/>
                <w:sz w:val="24"/>
                <w:szCs w:val="24"/>
              </w:rPr>
            </m:ctrlPr>
          </m:dPr>
          <m:e>
            <m:r>
              <m:rPr>
                <m:sty m:val="b"/>
              </m:rPr>
              <w:rPr>
                <w:rStyle w:val="mbin"/>
                <w:rFonts w:ascii="Cambria Math" w:hAnsi="Times New Roman" w:cs="Times New Roman"/>
                <w:sz w:val="24"/>
                <w:szCs w:val="24"/>
              </w:rPr>
              <m:t>×</m:t>
            </m:r>
            <m:r>
              <m:rPr>
                <m:sty m:val="b"/>
              </m:rPr>
              <w:rPr>
                <w:rStyle w:val="mord"/>
                <w:rFonts w:ascii="Cambria Math" w:hAnsi="Cambria Math" w:cs="Times New Roman"/>
                <w:sz w:val="24"/>
                <w:szCs w:val="24"/>
              </w:rPr>
              <m:t>100</m:t>
            </m:r>
          </m:e>
        </m:d>
      </m:oMath>
    </w:p>
    <w:p w14:paraId="750EB3B8"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All measurements were done in triplicate, and values were given as mean ± SD. Statistical significance was determined by one-way ANOVA followed by Tukey's post hoc test, with p &lt; 0.05 being considered as significant difference.</w:t>
      </w:r>
    </w:p>
    <w:p w14:paraId="50118A4F"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sz w:val="28"/>
          <w:szCs w:val="24"/>
          <w:lang w:bidi="hi-IN"/>
        </w:rPr>
      </w:pPr>
      <w:r w:rsidRPr="00A404BE">
        <w:rPr>
          <w:rFonts w:ascii="Times New Roman" w:eastAsia="Times New Roman" w:hAnsi="Times New Roman" w:cs="Times New Roman"/>
          <w:b/>
          <w:sz w:val="28"/>
          <w:szCs w:val="24"/>
          <w:lang w:bidi="hi-IN"/>
        </w:rPr>
        <w:t>2.6. In Vivo Behavioral and Biochemical Assessment</w:t>
      </w:r>
    </w:p>
    <w:p w14:paraId="4BF3EB44"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To assess the neuroprotective activity of the quinoxaline derivative QX-4 in an Alzheimer's disease model, in vivo experiments were performed using transgenic APP/PS1 mice. A total of 24 male mice aged 6 months were randomly divided into four groups (n = 6 per group): Control (non-transgenic, vehicle-treated), Aβ (APP/PS1 transgenic, vehicle-treated), QX-4 (APP/PS1 treated with quinoxaline derivative QX-4 at 10 mg/kg), and Donepezil (APP/PS1 treated with 5 mg/kg </w:t>
      </w:r>
      <w:r w:rsidRPr="00A404BE">
        <w:rPr>
          <w:rFonts w:ascii="Times New Roman" w:eastAsia="Times New Roman" w:hAnsi="Times New Roman" w:cs="Times New Roman"/>
          <w:sz w:val="24"/>
          <w:szCs w:val="24"/>
          <w:lang w:bidi="hi-IN"/>
        </w:rPr>
        <w:lastRenderedPageBreak/>
        <w:t>Donepezil, serving as the standard therapeutic comparator). All treatments were administered orally via gavage once daily for 30 consecutive days.</w:t>
      </w:r>
    </w:p>
    <w:p w14:paraId="67955F20" w14:textId="3E94536D"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After the treatment period, spatial learning and memory performance were evaluated using the Morris Water Maze (MWM) test. The task was performed in a circular water pool, and mice were trained to find a hidden platform submerged below the surface. Mice were trained four times a day for five consecutive days. Escape latency, </w:t>
      </w:r>
      <w:r w:rsidRPr="00721669">
        <w:rPr>
          <w:rFonts w:ascii="Times New Roman" w:eastAsia="Times New Roman" w:hAnsi="Times New Roman" w:cs="Times New Roman"/>
          <w:sz w:val="24"/>
          <w:szCs w:val="24"/>
          <w:highlight w:val="yellow"/>
          <w:lang w:bidi="hi-IN"/>
        </w:rPr>
        <w:t xml:space="preserve">that is, </w:t>
      </w:r>
      <w:r w:rsidR="00421F0F" w:rsidRPr="00721669">
        <w:rPr>
          <w:rFonts w:ascii="Times New Roman" w:eastAsia="Times New Roman" w:hAnsi="Times New Roman" w:cs="Times New Roman"/>
          <w:sz w:val="24"/>
          <w:szCs w:val="24"/>
          <w:highlight w:val="yellow"/>
          <w:lang w:bidi="hi-IN"/>
        </w:rPr>
        <w:t xml:space="preserve">the </w:t>
      </w:r>
      <w:r w:rsidRPr="00721669">
        <w:rPr>
          <w:rFonts w:ascii="Times New Roman" w:eastAsia="Times New Roman" w:hAnsi="Times New Roman" w:cs="Times New Roman"/>
          <w:sz w:val="24"/>
          <w:szCs w:val="24"/>
          <w:highlight w:val="yellow"/>
          <w:lang w:bidi="hi-IN"/>
        </w:rPr>
        <w:t xml:space="preserve">time taken </w:t>
      </w:r>
      <w:r w:rsidRPr="00A404BE">
        <w:rPr>
          <w:rFonts w:ascii="Times New Roman" w:eastAsia="Times New Roman" w:hAnsi="Times New Roman" w:cs="Times New Roman"/>
          <w:sz w:val="24"/>
          <w:szCs w:val="24"/>
          <w:lang w:bidi="hi-IN"/>
        </w:rPr>
        <w:t>to find the hidden platform, was measured. On day 6, a probe trial was performed where the platform was taken away, and the time spent in the target quadrant was recorded to evaluate memory retention.</w:t>
      </w:r>
    </w:p>
    <w:p w14:paraId="686F3D24" w14:textId="3201D530"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Following </w:t>
      </w:r>
      <w:r w:rsidRPr="00721669">
        <w:rPr>
          <w:rFonts w:ascii="Times New Roman" w:eastAsia="Times New Roman" w:hAnsi="Times New Roman" w:cs="Times New Roman"/>
          <w:sz w:val="24"/>
          <w:szCs w:val="24"/>
          <w:highlight w:val="yellow"/>
          <w:lang w:bidi="hi-IN"/>
        </w:rPr>
        <w:t>behavioral testing, mice were deeply an</w:t>
      </w:r>
      <w:r w:rsidR="00421F0F" w:rsidRPr="00721669">
        <w:rPr>
          <w:rFonts w:ascii="Times New Roman" w:eastAsia="Times New Roman" w:hAnsi="Times New Roman" w:cs="Times New Roman"/>
          <w:sz w:val="24"/>
          <w:szCs w:val="24"/>
          <w:highlight w:val="yellow"/>
          <w:lang w:bidi="hi-IN"/>
        </w:rPr>
        <w:t>a</w:t>
      </w:r>
      <w:r w:rsidRPr="00721669">
        <w:rPr>
          <w:rFonts w:ascii="Times New Roman" w:eastAsia="Times New Roman" w:hAnsi="Times New Roman" w:cs="Times New Roman"/>
          <w:sz w:val="24"/>
          <w:szCs w:val="24"/>
          <w:highlight w:val="yellow"/>
          <w:lang w:bidi="hi-IN"/>
        </w:rPr>
        <w:t>esthetized and euthanized</w:t>
      </w:r>
      <w:r w:rsidRPr="00A404BE">
        <w:rPr>
          <w:rFonts w:ascii="Times New Roman" w:eastAsia="Times New Roman" w:hAnsi="Times New Roman" w:cs="Times New Roman"/>
          <w:sz w:val="24"/>
          <w:szCs w:val="24"/>
          <w:lang w:bidi="hi-IN"/>
        </w:rPr>
        <w:t xml:space="preserve">, and brain tissues were collected immediately, weighed, and homogenized in cold phosphate-buffered saline. The supernatant of centrifuged brain homogenates was subjected to biochemical analyses. Levels of the pro-inflammatory </w:t>
      </w:r>
      <w:proofErr w:type="gramStart"/>
      <w:r w:rsidRPr="00A404BE">
        <w:rPr>
          <w:rFonts w:ascii="Times New Roman" w:eastAsia="Times New Roman" w:hAnsi="Times New Roman" w:cs="Times New Roman"/>
          <w:sz w:val="24"/>
          <w:szCs w:val="24"/>
          <w:lang w:bidi="hi-IN"/>
        </w:rPr>
        <w:t>cytokines</w:t>
      </w:r>
      <w:proofErr w:type="gramEnd"/>
      <w:r w:rsidRPr="00A404BE">
        <w:rPr>
          <w:rFonts w:ascii="Times New Roman" w:eastAsia="Times New Roman" w:hAnsi="Times New Roman" w:cs="Times New Roman"/>
          <w:sz w:val="24"/>
          <w:szCs w:val="24"/>
          <w:lang w:bidi="hi-IN"/>
        </w:rPr>
        <w:t xml:space="preserve"> interleukin-1 beta (IL-1β</w:t>
      </w:r>
      <w:r w:rsidRPr="00721669">
        <w:rPr>
          <w:rFonts w:ascii="Times New Roman" w:eastAsia="Times New Roman" w:hAnsi="Times New Roman" w:cs="Times New Roman"/>
          <w:sz w:val="24"/>
          <w:szCs w:val="24"/>
          <w:highlight w:val="yellow"/>
          <w:lang w:bidi="hi-IN"/>
        </w:rPr>
        <w:t>) tumor necrosis</w:t>
      </w:r>
      <w:r w:rsidRPr="00A404BE">
        <w:rPr>
          <w:rFonts w:ascii="Times New Roman" w:eastAsia="Times New Roman" w:hAnsi="Times New Roman" w:cs="Times New Roman"/>
          <w:sz w:val="24"/>
          <w:szCs w:val="24"/>
          <w:lang w:bidi="hi-IN"/>
        </w:rPr>
        <w:t xml:space="preserve"> factor-alpha (TNF-α), and amyloid-beta 42 (Aβ₄₂) were measured using commercially available enzyme-linked immunosorbent assay (ELISA) kits following the manufacturer's protocols (e.g., Thermo Fisher Scientific, USA). Concentrations were adjusted for protein content measured by the Bradford method. All experiments were approved by the institutional animal care and ethics committee, and attempts were made to minimize animal suffering and reduce the number of animals used.</w:t>
      </w:r>
    </w:p>
    <w:p w14:paraId="0E898B36"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2.7 Statistical Analysis</w:t>
      </w:r>
    </w:p>
    <w:p w14:paraId="4DAE5721"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Data were expressed as mean ± SD. One-way ANOVA followed by the Student–Newman–Keuls test was applied for intergroup comparison. Statistical significance was taken at p &lt; 0.05. SPSS 22.0 software was employed for analysis.</w:t>
      </w:r>
    </w:p>
    <w:p w14:paraId="345175E4" w14:textId="77777777" w:rsidR="00566AA9" w:rsidRDefault="00D26F49"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195D2034">
          <v:rect id="_x0000_i1030" style="width:3in;height:1.5pt" o:hralign="center" o:hrstd="t" o:hr="t" fillcolor="#a0a0a0" stroked="f"/>
        </w:pict>
      </w:r>
    </w:p>
    <w:p w14:paraId="34246AB2" w14:textId="77777777" w:rsidR="004032A2"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 RESULTS</w:t>
      </w:r>
    </w:p>
    <w:p w14:paraId="741DF159" w14:textId="77777777" w:rsidR="00566AA9" w:rsidRPr="00566AA9" w:rsidRDefault="00D26F49"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59AF9F82">
          <v:rect id="_x0000_i1031" style="width:468pt;height:1.5pt" o:hralign="center" o:hrstd="t" o:hr="t" fillcolor="#a0a0a0" stroked="f"/>
        </w:pict>
      </w:r>
    </w:p>
    <w:p w14:paraId="3BC0D67F"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3.1. Quinoxalines Increase Neuronal Viability</w:t>
      </w:r>
    </w:p>
    <w:p w14:paraId="6FF1A704" w14:textId="77777777" w:rsidR="004B1C07"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To assess the protective efficacy of quinoxaline derivatives against Aβ-induced neurotoxicity, the MTT assay was conducted on PC12 cells. Cells treated with 25 µM Aβ₁–₄₂ alone exhibited a significant loss of viability, with survival rates reduced to 47.2% ± 2.1%, reflecting extensive cytotoxicity. Pre-treatment with the quinoxaline derivative QX-2 (10 µM) reversed this partially, enhancing viability to 66.7% ± 2.9%. Yet, the most significant neuroprotective effect was seen with QX-4, which reversed cell viability to 81.5% ± 2.7% at the same dose—nearly reaching the protection level of the control drug Donepezil, which achieved 78.9% ± 3.2% cell viability. These data indicate that QX-4 strongly reduces Aβ-induced neuronal injury and potentially could be considered a candidate for further preclinical development.</w:t>
      </w:r>
    </w:p>
    <w:p w14:paraId="24A13F56"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1. Effect of Quinoxaline Derivatives on PC12 Cell Viability After Aβ Exposure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4"/>
        <w:gridCol w:w="2387"/>
      </w:tblGrid>
      <w:tr w:rsidR="00F43A75" w:rsidRPr="00A404BE" w14:paraId="1744947D" w14:textId="77777777" w:rsidTr="004B1C07">
        <w:trPr>
          <w:tblHeader/>
          <w:tblCellSpacing w:w="15" w:type="dxa"/>
          <w:jc w:val="center"/>
        </w:trPr>
        <w:tc>
          <w:tcPr>
            <w:tcW w:w="0" w:type="auto"/>
            <w:vAlign w:val="center"/>
            <w:hideMark/>
          </w:tcPr>
          <w:p w14:paraId="59079BE2"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Treatment</w:t>
            </w:r>
          </w:p>
        </w:tc>
        <w:tc>
          <w:tcPr>
            <w:tcW w:w="0" w:type="auto"/>
            <w:vAlign w:val="center"/>
            <w:hideMark/>
          </w:tcPr>
          <w:p w14:paraId="13F41E8C"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Cell Viability (% ± SD)</w:t>
            </w:r>
          </w:p>
        </w:tc>
      </w:tr>
      <w:tr w:rsidR="00F43A75" w:rsidRPr="00A404BE" w14:paraId="2FE1F1B0" w14:textId="77777777" w:rsidTr="004B1C07">
        <w:trPr>
          <w:tblCellSpacing w:w="15" w:type="dxa"/>
          <w:jc w:val="center"/>
        </w:trPr>
        <w:tc>
          <w:tcPr>
            <w:tcW w:w="0" w:type="auto"/>
            <w:vAlign w:val="center"/>
            <w:hideMark/>
          </w:tcPr>
          <w:p w14:paraId="3D0138A8"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Control</w:t>
            </w:r>
          </w:p>
        </w:tc>
        <w:tc>
          <w:tcPr>
            <w:tcW w:w="0" w:type="auto"/>
            <w:vAlign w:val="center"/>
            <w:hideMark/>
          </w:tcPr>
          <w:p w14:paraId="72E7562D"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100 ± 3.4</w:t>
            </w:r>
          </w:p>
        </w:tc>
      </w:tr>
      <w:tr w:rsidR="00F43A75" w:rsidRPr="00A404BE" w14:paraId="38E2E4F4" w14:textId="77777777" w:rsidTr="004B1C07">
        <w:trPr>
          <w:tblCellSpacing w:w="15" w:type="dxa"/>
          <w:jc w:val="center"/>
        </w:trPr>
        <w:tc>
          <w:tcPr>
            <w:tcW w:w="0" w:type="auto"/>
            <w:vAlign w:val="center"/>
            <w:hideMark/>
          </w:tcPr>
          <w:p w14:paraId="0A01B1A6"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Aβ only</w:t>
            </w:r>
          </w:p>
        </w:tc>
        <w:tc>
          <w:tcPr>
            <w:tcW w:w="0" w:type="auto"/>
            <w:vAlign w:val="center"/>
            <w:hideMark/>
          </w:tcPr>
          <w:p w14:paraId="7E08F66E"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47.2 ± 2.1</w:t>
            </w:r>
          </w:p>
        </w:tc>
      </w:tr>
      <w:tr w:rsidR="00F43A75" w:rsidRPr="00A404BE" w14:paraId="3EDDD583" w14:textId="77777777" w:rsidTr="004B1C07">
        <w:trPr>
          <w:tblCellSpacing w:w="15" w:type="dxa"/>
          <w:jc w:val="center"/>
        </w:trPr>
        <w:tc>
          <w:tcPr>
            <w:tcW w:w="0" w:type="auto"/>
            <w:vAlign w:val="center"/>
            <w:hideMark/>
          </w:tcPr>
          <w:p w14:paraId="73763C6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QX-2 (10 µM)</w:t>
            </w:r>
          </w:p>
        </w:tc>
        <w:tc>
          <w:tcPr>
            <w:tcW w:w="0" w:type="auto"/>
            <w:vAlign w:val="center"/>
            <w:hideMark/>
          </w:tcPr>
          <w:p w14:paraId="19F749FB"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66.7 ± 2.9</w:t>
            </w:r>
          </w:p>
        </w:tc>
      </w:tr>
      <w:tr w:rsidR="00F43A75" w:rsidRPr="00A404BE" w14:paraId="5F20CF7E" w14:textId="77777777" w:rsidTr="004B1C07">
        <w:trPr>
          <w:tblCellSpacing w:w="15" w:type="dxa"/>
          <w:jc w:val="center"/>
        </w:trPr>
        <w:tc>
          <w:tcPr>
            <w:tcW w:w="0" w:type="auto"/>
            <w:vAlign w:val="center"/>
            <w:hideMark/>
          </w:tcPr>
          <w:p w14:paraId="5F54C653"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 (10 µM)</w:t>
            </w:r>
          </w:p>
        </w:tc>
        <w:tc>
          <w:tcPr>
            <w:tcW w:w="0" w:type="auto"/>
            <w:vAlign w:val="center"/>
            <w:hideMark/>
          </w:tcPr>
          <w:p w14:paraId="52493FC8"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81.5 ± 2.7</w:t>
            </w:r>
          </w:p>
        </w:tc>
      </w:tr>
      <w:tr w:rsidR="00F43A75" w:rsidRPr="00A404BE" w14:paraId="43B9B571" w14:textId="77777777" w:rsidTr="004B1C07">
        <w:trPr>
          <w:tblCellSpacing w:w="15" w:type="dxa"/>
          <w:jc w:val="center"/>
        </w:trPr>
        <w:tc>
          <w:tcPr>
            <w:tcW w:w="0" w:type="auto"/>
            <w:vAlign w:val="center"/>
            <w:hideMark/>
          </w:tcPr>
          <w:p w14:paraId="08C50DF0"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Donepezil</w:t>
            </w:r>
          </w:p>
        </w:tc>
        <w:tc>
          <w:tcPr>
            <w:tcW w:w="0" w:type="auto"/>
            <w:vAlign w:val="center"/>
            <w:hideMark/>
          </w:tcPr>
          <w:p w14:paraId="0AB458A7"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78.9 ± 3.2</w:t>
            </w:r>
          </w:p>
        </w:tc>
      </w:tr>
    </w:tbl>
    <w:p w14:paraId="4672816C"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Statistical comparison indicated a considerable difference (p &lt; 0.05) between the Aβ-only treatment and all the treatment groups, especially QX-4, affirming its protective role against Aβ-induced cytotoxicity.</w:t>
      </w:r>
    </w:p>
    <w:p w14:paraId="31DBF01D"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sz w:val="28"/>
          <w:szCs w:val="24"/>
          <w:lang w:bidi="hi-IN"/>
        </w:rPr>
      </w:pPr>
      <w:r w:rsidRPr="00A404BE">
        <w:rPr>
          <w:rFonts w:ascii="Times New Roman" w:eastAsia="Times New Roman" w:hAnsi="Times New Roman" w:cs="Times New Roman"/>
          <w:b/>
          <w:sz w:val="28"/>
          <w:szCs w:val="24"/>
          <w:lang w:bidi="hi-IN"/>
        </w:rPr>
        <w:t>3.2. Antioxidant Properties of Quinoxalines</w:t>
      </w:r>
    </w:p>
    <w:p w14:paraId="5D97673E" w14:textId="77777777" w:rsidR="00A6539D"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The effect of quinoxaline derivatives on oxidative stress was assessed by quantifying intracellular reactive oxygen species (ROS) levels in Aβ-treated PC12 cells. The Aβ-alone treated group showed a marked increase in ROS generation (189% ± 4.3% compared to control), indicating the oxidative damage caused by Aβ. Conversely, pre-treatment with QX-4 (10 µM) led to a significant decrease in ROS levels, with a 58% reduction from the Aβ group, reducing ROS levels to 121% ± 2.8% of control. Likewise, treatment with QX-6 (10 µM) also decreased ROS levels to 130% ± </w:t>
      </w:r>
      <w:r w:rsidRPr="00A404BE">
        <w:rPr>
          <w:rFonts w:ascii="Times New Roman" w:eastAsia="Times New Roman" w:hAnsi="Times New Roman" w:cs="Times New Roman"/>
          <w:sz w:val="24"/>
          <w:szCs w:val="24"/>
          <w:lang w:bidi="hi-IN"/>
        </w:rPr>
        <w:lastRenderedPageBreak/>
        <w:t>3.1% of control, although not as significantly as QX-4. The positive control, N-acetylcysteine (NAC), which is an antioxidant, also exhibited a moderate decrease in ROS levels (115% ± 2.5%), further establishing the antioxidant activity of the quinoxaline derivatives.</w:t>
      </w:r>
    </w:p>
    <w:p w14:paraId="1460A625"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2. Effect of Quinoxaline Derivatives on Intracellular ROS Production</w:t>
      </w:r>
    </w:p>
    <w:tbl>
      <w:tblPr>
        <w:tblW w:w="428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4"/>
        <w:gridCol w:w="2093"/>
      </w:tblGrid>
      <w:tr w:rsidR="00A6539D" w:rsidRPr="00A404BE" w14:paraId="1C56EE0F" w14:textId="77777777" w:rsidTr="00726437">
        <w:trPr>
          <w:trHeight w:val="171"/>
          <w:tblHeader/>
          <w:tblCellSpacing w:w="15" w:type="dxa"/>
          <w:jc w:val="center"/>
        </w:trPr>
        <w:tc>
          <w:tcPr>
            <w:tcW w:w="2149" w:type="dxa"/>
            <w:vAlign w:val="center"/>
            <w:hideMark/>
          </w:tcPr>
          <w:p w14:paraId="5AD28D24"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p>
        </w:tc>
        <w:tc>
          <w:tcPr>
            <w:tcW w:w="0" w:type="auto"/>
            <w:vAlign w:val="center"/>
            <w:hideMark/>
          </w:tcPr>
          <w:p w14:paraId="5A7D84A7"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 ROS (Relative to Control)</w:t>
            </w:r>
          </w:p>
        </w:tc>
      </w:tr>
      <w:tr w:rsidR="00A6539D" w:rsidRPr="00A404BE" w14:paraId="5DB1C748" w14:textId="77777777" w:rsidTr="00726437">
        <w:trPr>
          <w:trHeight w:val="83"/>
          <w:tblCellSpacing w:w="15" w:type="dxa"/>
          <w:jc w:val="center"/>
        </w:trPr>
        <w:tc>
          <w:tcPr>
            <w:tcW w:w="2149" w:type="dxa"/>
            <w:vAlign w:val="center"/>
            <w:hideMark/>
          </w:tcPr>
          <w:p w14:paraId="4DF784CC"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Control</w:t>
            </w:r>
          </w:p>
        </w:tc>
        <w:tc>
          <w:tcPr>
            <w:tcW w:w="0" w:type="auto"/>
            <w:vAlign w:val="center"/>
            <w:hideMark/>
          </w:tcPr>
          <w:p w14:paraId="2BAE6DA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100</w:t>
            </w:r>
          </w:p>
        </w:tc>
      </w:tr>
      <w:tr w:rsidR="00A6539D" w:rsidRPr="00A404BE" w14:paraId="6F255D9C" w14:textId="77777777" w:rsidTr="00726437">
        <w:trPr>
          <w:trHeight w:val="87"/>
          <w:tblCellSpacing w:w="15" w:type="dxa"/>
          <w:jc w:val="center"/>
        </w:trPr>
        <w:tc>
          <w:tcPr>
            <w:tcW w:w="2149" w:type="dxa"/>
            <w:vAlign w:val="center"/>
            <w:hideMark/>
          </w:tcPr>
          <w:p w14:paraId="0836FBA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Aβ only</w:t>
            </w:r>
          </w:p>
        </w:tc>
        <w:tc>
          <w:tcPr>
            <w:tcW w:w="0" w:type="auto"/>
            <w:vAlign w:val="center"/>
            <w:hideMark/>
          </w:tcPr>
          <w:p w14:paraId="40614874"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189 ± 4.3</w:t>
            </w:r>
          </w:p>
        </w:tc>
      </w:tr>
      <w:tr w:rsidR="00A6539D" w:rsidRPr="00A404BE" w14:paraId="4B918623" w14:textId="77777777" w:rsidTr="00726437">
        <w:trPr>
          <w:trHeight w:val="87"/>
          <w:tblCellSpacing w:w="15" w:type="dxa"/>
          <w:jc w:val="center"/>
        </w:trPr>
        <w:tc>
          <w:tcPr>
            <w:tcW w:w="2149" w:type="dxa"/>
            <w:vAlign w:val="center"/>
            <w:hideMark/>
          </w:tcPr>
          <w:p w14:paraId="078510DA"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 (10 µM)</w:t>
            </w:r>
          </w:p>
        </w:tc>
        <w:tc>
          <w:tcPr>
            <w:tcW w:w="0" w:type="auto"/>
            <w:vAlign w:val="center"/>
            <w:hideMark/>
          </w:tcPr>
          <w:p w14:paraId="16E43352"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121 ± 2.8</w:t>
            </w:r>
          </w:p>
        </w:tc>
      </w:tr>
      <w:tr w:rsidR="00A6539D" w:rsidRPr="00A404BE" w14:paraId="05D9C600" w14:textId="77777777" w:rsidTr="00726437">
        <w:trPr>
          <w:trHeight w:val="83"/>
          <w:tblCellSpacing w:w="15" w:type="dxa"/>
          <w:jc w:val="center"/>
        </w:trPr>
        <w:tc>
          <w:tcPr>
            <w:tcW w:w="2149" w:type="dxa"/>
            <w:vAlign w:val="center"/>
            <w:hideMark/>
          </w:tcPr>
          <w:p w14:paraId="28D3D325"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QX-6 (10 µM)</w:t>
            </w:r>
          </w:p>
        </w:tc>
        <w:tc>
          <w:tcPr>
            <w:tcW w:w="0" w:type="auto"/>
            <w:vAlign w:val="center"/>
            <w:hideMark/>
          </w:tcPr>
          <w:p w14:paraId="6157F188"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130 ± 3.1</w:t>
            </w:r>
          </w:p>
        </w:tc>
      </w:tr>
      <w:tr w:rsidR="00A6539D" w:rsidRPr="00A404BE" w14:paraId="34DAF6C0" w14:textId="77777777" w:rsidTr="00726437">
        <w:trPr>
          <w:trHeight w:val="87"/>
          <w:tblCellSpacing w:w="15" w:type="dxa"/>
          <w:jc w:val="center"/>
        </w:trPr>
        <w:tc>
          <w:tcPr>
            <w:tcW w:w="2149" w:type="dxa"/>
            <w:vAlign w:val="center"/>
            <w:hideMark/>
          </w:tcPr>
          <w:p w14:paraId="0E8DAE71"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NAC (Positive Control)</w:t>
            </w:r>
          </w:p>
        </w:tc>
        <w:tc>
          <w:tcPr>
            <w:tcW w:w="0" w:type="auto"/>
            <w:vAlign w:val="center"/>
            <w:hideMark/>
          </w:tcPr>
          <w:p w14:paraId="6C69E09E"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115 ± 2.5</w:t>
            </w:r>
          </w:p>
        </w:tc>
      </w:tr>
    </w:tbl>
    <w:p w14:paraId="4F38E610"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These findings indicate that both QX-4 and QX-6 significantly mitigate oxidative stress induced by Aβ, with QX-4 demonstrating the most potent antioxidant effect.</w:t>
      </w:r>
    </w:p>
    <w:p w14:paraId="54DEC422" w14:textId="77777777" w:rsidR="00A6539D" w:rsidRPr="00A404BE" w:rsidRDefault="00A6539D"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3.3. Inhibition of Acetylcholinesterase Activity</w:t>
      </w:r>
    </w:p>
    <w:p w14:paraId="011741C5" w14:textId="0B5C6CA8"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The inhibitory effects of quinoxaline derivatives on acetylcholinesterase (AChE) activity were assessed to evaluate their potential as therapeutic agents for Alzheimer's disease. Among the tested compounds, QX-4 and QX-6 demonstrated strong AChE inhibition, with IC₅₀ values of 6.3 µM and 7.1 µM, respectively. </w:t>
      </w:r>
      <w:r w:rsidRPr="00721669">
        <w:rPr>
          <w:rFonts w:ascii="Times New Roman" w:eastAsia="Times New Roman" w:hAnsi="Times New Roman" w:cs="Times New Roman"/>
          <w:sz w:val="24"/>
          <w:szCs w:val="24"/>
          <w:highlight w:val="yellow"/>
          <w:lang w:bidi="hi-IN"/>
        </w:rPr>
        <w:t xml:space="preserve">These results indicate that both quinoxalines are potent inhibitors of AChE, suggesting their potential </w:t>
      </w:r>
      <w:r w:rsidR="00421F0F" w:rsidRPr="00721669">
        <w:rPr>
          <w:rFonts w:ascii="Times New Roman" w:eastAsia="Times New Roman" w:hAnsi="Times New Roman" w:cs="Times New Roman"/>
          <w:sz w:val="24"/>
          <w:szCs w:val="24"/>
          <w:highlight w:val="yellow"/>
          <w:lang w:bidi="hi-IN"/>
        </w:rPr>
        <w:t>to enhance</w:t>
      </w:r>
      <w:r w:rsidRPr="00721669">
        <w:rPr>
          <w:rFonts w:ascii="Times New Roman" w:eastAsia="Times New Roman" w:hAnsi="Times New Roman" w:cs="Times New Roman"/>
          <w:sz w:val="24"/>
          <w:szCs w:val="24"/>
          <w:highlight w:val="yellow"/>
          <w:lang w:bidi="hi-IN"/>
        </w:rPr>
        <w:t xml:space="preserve"> cholinergic transmission, a hallmark strategy for Alzheimer's disease treatment. In comparison, the standard AChE</w:t>
      </w:r>
      <w:r w:rsidRPr="00A404BE">
        <w:rPr>
          <w:rFonts w:ascii="Times New Roman" w:eastAsia="Times New Roman" w:hAnsi="Times New Roman" w:cs="Times New Roman"/>
          <w:sz w:val="24"/>
          <w:szCs w:val="24"/>
          <w:lang w:bidi="hi-IN"/>
        </w:rPr>
        <w:t xml:space="preserve"> inhibitor Donepezil exhibited a lower IC₅₀ of 4.2 µM, which is consistent with its well-known efficacy in clinical settings. QX-1, on the other hand, showed a relatively higher IC₅₀ value of 18.2 µM, indicating weaker AChE inhibitory activity.</w:t>
      </w:r>
    </w:p>
    <w:p w14:paraId="7442C7E1"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3. Acetylcholinesterase Inhibition (IC₅₀ Values) of Quinoxaline Derivatives</w:t>
      </w:r>
    </w:p>
    <w:tbl>
      <w:tblPr>
        <w:tblW w:w="334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7"/>
        <w:gridCol w:w="1587"/>
      </w:tblGrid>
      <w:tr w:rsidR="00A6539D" w:rsidRPr="00A404BE" w14:paraId="542597B4" w14:textId="77777777" w:rsidTr="00566AA9">
        <w:trPr>
          <w:trHeight w:val="461"/>
          <w:tblHeader/>
          <w:tblCellSpacing w:w="15" w:type="dxa"/>
          <w:jc w:val="center"/>
        </w:trPr>
        <w:tc>
          <w:tcPr>
            <w:tcW w:w="0" w:type="auto"/>
            <w:vAlign w:val="center"/>
            <w:hideMark/>
          </w:tcPr>
          <w:p w14:paraId="40FAEE1D"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lastRenderedPageBreak/>
              <w:t>Compound</w:t>
            </w:r>
          </w:p>
        </w:tc>
        <w:tc>
          <w:tcPr>
            <w:tcW w:w="0" w:type="auto"/>
            <w:vAlign w:val="center"/>
            <w:hideMark/>
          </w:tcPr>
          <w:p w14:paraId="758D98A3"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IC₅₀ (µM)</w:t>
            </w:r>
          </w:p>
        </w:tc>
      </w:tr>
      <w:tr w:rsidR="00A6539D" w:rsidRPr="00A404BE" w14:paraId="63C8B995" w14:textId="77777777" w:rsidTr="00566AA9">
        <w:trPr>
          <w:trHeight w:val="461"/>
          <w:tblCellSpacing w:w="15" w:type="dxa"/>
          <w:jc w:val="center"/>
        </w:trPr>
        <w:tc>
          <w:tcPr>
            <w:tcW w:w="0" w:type="auto"/>
            <w:vAlign w:val="center"/>
            <w:hideMark/>
          </w:tcPr>
          <w:p w14:paraId="4139C336"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QX-1</w:t>
            </w:r>
          </w:p>
        </w:tc>
        <w:tc>
          <w:tcPr>
            <w:tcW w:w="0" w:type="auto"/>
            <w:vAlign w:val="center"/>
            <w:hideMark/>
          </w:tcPr>
          <w:p w14:paraId="6002BAE4"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18.2</w:t>
            </w:r>
          </w:p>
        </w:tc>
      </w:tr>
      <w:tr w:rsidR="00A6539D" w:rsidRPr="00A404BE" w14:paraId="32A8C36E" w14:textId="77777777" w:rsidTr="00566AA9">
        <w:trPr>
          <w:trHeight w:val="461"/>
          <w:tblCellSpacing w:w="15" w:type="dxa"/>
          <w:jc w:val="center"/>
        </w:trPr>
        <w:tc>
          <w:tcPr>
            <w:tcW w:w="0" w:type="auto"/>
            <w:vAlign w:val="center"/>
            <w:hideMark/>
          </w:tcPr>
          <w:p w14:paraId="26847387"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w:t>
            </w:r>
          </w:p>
        </w:tc>
        <w:tc>
          <w:tcPr>
            <w:tcW w:w="0" w:type="auto"/>
            <w:vAlign w:val="center"/>
            <w:hideMark/>
          </w:tcPr>
          <w:p w14:paraId="4250D92F"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6.3</w:t>
            </w:r>
          </w:p>
        </w:tc>
      </w:tr>
      <w:tr w:rsidR="00A6539D" w:rsidRPr="00A404BE" w14:paraId="7B7176EB" w14:textId="77777777" w:rsidTr="00566AA9">
        <w:trPr>
          <w:trHeight w:val="479"/>
          <w:tblCellSpacing w:w="15" w:type="dxa"/>
          <w:jc w:val="center"/>
        </w:trPr>
        <w:tc>
          <w:tcPr>
            <w:tcW w:w="0" w:type="auto"/>
            <w:vAlign w:val="center"/>
            <w:hideMark/>
          </w:tcPr>
          <w:p w14:paraId="0F5E2742"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QX-6</w:t>
            </w:r>
          </w:p>
        </w:tc>
        <w:tc>
          <w:tcPr>
            <w:tcW w:w="0" w:type="auto"/>
            <w:vAlign w:val="center"/>
            <w:hideMark/>
          </w:tcPr>
          <w:p w14:paraId="2A14CFB7"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7.1</w:t>
            </w:r>
          </w:p>
        </w:tc>
      </w:tr>
      <w:tr w:rsidR="00A6539D" w:rsidRPr="00A404BE" w14:paraId="5338A3B6" w14:textId="77777777" w:rsidTr="00566AA9">
        <w:trPr>
          <w:trHeight w:val="479"/>
          <w:tblCellSpacing w:w="15" w:type="dxa"/>
          <w:jc w:val="center"/>
        </w:trPr>
        <w:tc>
          <w:tcPr>
            <w:tcW w:w="0" w:type="auto"/>
            <w:vAlign w:val="center"/>
            <w:hideMark/>
          </w:tcPr>
          <w:p w14:paraId="4AEC149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Donepezil</w:t>
            </w:r>
          </w:p>
        </w:tc>
        <w:tc>
          <w:tcPr>
            <w:tcW w:w="0" w:type="auto"/>
            <w:vAlign w:val="center"/>
            <w:hideMark/>
          </w:tcPr>
          <w:p w14:paraId="5DDF1BC1"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4.2</w:t>
            </w:r>
          </w:p>
        </w:tc>
      </w:tr>
    </w:tbl>
    <w:p w14:paraId="4356B740" w14:textId="48725E14" w:rsidR="00875B7A" w:rsidRPr="00A404BE" w:rsidRDefault="009A3843" w:rsidP="00875B7A">
      <w:pPr>
        <w:spacing w:before="100" w:beforeAutospacing="1" w:after="100" w:afterAutospacing="1" w:line="360" w:lineRule="auto"/>
        <w:jc w:val="both"/>
        <w:rPr>
          <w:rFonts w:ascii="Times New Roman" w:eastAsia="Times New Roman" w:hAnsi="Times New Roman" w:cs="Times New Roman"/>
          <w:b/>
          <w:sz w:val="24"/>
          <w:szCs w:val="24"/>
          <w:lang w:bidi="hi-IN"/>
        </w:rPr>
      </w:pPr>
      <w:r w:rsidRPr="00BC086D">
        <w:rPr>
          <w:rFonts w:ascii="Times New Roman" w:eastAsia="Times New Roman" w:hAnsi="Times New Roman" w:cs="Times New Roman"/>
          <w:b/>
          <w:bCs/>
          <w:sz w:val="24"/>
          <w:szCs w:val="24"/>
          <w:lang w:bidi="hi-IN"/>
        </w:rPr>
        <w:t>Fig</w:t>
      </w:r>
      <w:r w:rsidR="00875B7A" w:rsidRPr="00BC086D">
        <w:rPr>
          <w:rFonts w:ascii="Times New Roman" w:eastAsia="Times New Roman" w:hAnsi="Times New Roman" w:cs="Times New Roman"/>
          <w:b/>
          <w:bCs/>
          <w:sz w:val="24"/>
          <w:szCs w:val="24"/>
          <w:lang w:bidi="hi-IN"/>
        </w:rPr>
        <w:t>.</w:t>
      </w:r>
      <w:r w:rsidRPr="00BC086D">
        <w:rPr>
          <w:rFonts w:ascii="Times New Roman" w:eastAsia="Times New Roman" w:hAnsi="Times New Roman" w:cs="Times New Roman"/>
          <w:b/>
          <w:bCs/>
          <w:sz w:val="24"/>
          <w:szCs w:val="24"/>
          <w:lang w:bidi="hi-IN"/>
        </w:rPr>
        <w:t xml:space="preserve"> 2: </w:t>
      </w:r>
      <w:r w:rsidR="008F156A" w:rsidRPr="00BC086D">
        <w:rPr>
          <w:rFonts w:ascii="Times New Roman" w:eastAsia="Times New Roman" w:hAnsi="Times New Roman" w:cs="Times New Roman"/>
          <w:b/>
          <w:bCs/>
          <w:sz w:val="24"/>
          <w:szCs w:val="24"/>
          <w:lang w:bidi="hi-IN"/>
        </w:rPr>
        <w:t>Graph showing</w:t>
      </w:r>
      <w:r w:rsidR="008F156A">
        <w:rPr>
          <w:rFonts w:ascii="Times New Roman" w:eastAsia="Times New Roman" w:hAnsi="Times New Roman" w:cs="Times New Roman"/>
          <w:sz w:val="24"/>
          <w:szCs w:val="24"/>
          <w:lang w:bidi="hi-IN"/>
        </w:rPr>
        <w:t xml:space="preserve"> </w:t>
      </w:r>
      <w:r w:rsidR="00875B7A" w:rsidRPr="00A404BE">
        <w:rPr>
          <w:rFonts w:ascii="Times New Roman" w:eastAsia="Times New Roman" w:hAnsi="Times New Roman" w:cs="Times New Roman"/>
          <w:b/>
          <w:bCs/>
          <w:sz w:val="24"/>
          <w:szCs w:val="24"/>
          <w:lang w:bidi="hi-IN"/>
        </w:rPr>
        <w:t>Acetylcholinesterase Inhibition (IC₅₀ Values) of Quinoxaline Derivatives</w:t>
      </w:r>
    </w:p>
    <w:p w14:paraId="3EED6CD6" w14:textId="70C0D828" w:rsidR="009479A8" w:rsidRPr="00A404BE" w:rsidRDefault="009479A8" w:rsidP="00A404BE">
      <w:pPr>
        <w:spacing w:before="100" w:beforeAutospacing="1" w:after="100" w:afterAutospacing="1" w:line="360" w:lineRule="auto"/>
        <w:jc w:val="both"/>
        <w:rPr>
          <w:rFonts w:ascii="Times New Roman" w:eastAsia="Times New Roman" w:hAnsi="Times New Roman" w:cs="Times New Roman"/>
          <w:sz w:val="24"/>
          <w:szCs w:val="24"/>
          <w:lang w:bidi="hi-IN"/>
        </w:rPr>
      </w:pPr>
    </w:p>
    <w:p w14:paraId="357520EA" w14:textId="77777777" w:rsidR="009479A8" w:rsidRPr="00A404BE" w:rsidRDefault="009479A8"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noProof/>
          <w:sz w:val="24"/>
          <w:szCs w:val="24"/>
        </w:rPr>
        <w:drawing>
          <wp:inline distT="0" distB="0" distL="0" distR="0" wp14:anchorId="6AD671D1" wp14:editId="3FD94EA5">
            <wp:extent cx="2825750" cy="2743200"/>
            <wp:effectExtent l="1905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C7C4F" w14:textId="77777777" w:rsidR="004032A2" w:rsidRPr="00A404BE" w:rsidRDefault="004032A2" w:rsidP="00A404BE">
      <w:pPr>
        <w:pStyle w:val="NormalWeb"/>
        <w:spacing w:line="360" w:lineRule="auto"/>
        <w:jc w:val="both"/>
      </w:pPr>
      <w:r w:rsidRPr="00A404BE">
        <w:t>These results indicate that QX-4 and QX-6 possess potential AChE inhibitory activity, possibly providing a therapeutic benefit in treating cognitive impairment in Alzheimer's disease.</w:t>
      </w:r>
    </w:p>
    <w:p w14:paraId="67B9D197" w14:textId="77777777" w:rsidR="004032A2" w:rsidRPr="00A404BE" w:rsidRDefault="004032A2" w:rsidP="00A404BE">
      <w:pPr>
        <w:pStyle w:val="NormalWeb"/>
        <w:spacing w:line="360" w:lineRule="auto"/>
        <w:jc w:val="both"/>
        <w:rPr>
          <w:b/>
          <w:sz w:val="28"/>
        </w:rPr>
      </w:pPr>
      <w:r w:rsidRPr="00A404BE">
        <w:rPr>
          <w:b/>
          <w:sz w:val="28"/>
        </w:rPr>
        <w:t>3.4. Cognitive Enhancement in APP/PS1 Mice</w:t>
      </w:r>
    </w:p>
    <w:p w14:paraId="5EAA8776" w14:textId="73FFD27B" w:rsidR="004032A2" w:rsidRPr="00A404BE" w:rsidRDefault="004032A2" w:rsidP="00A404BE">
      <w:pPr>
        <w:pStyle w:val="NormalWeb"/>
        <w:spacing w:line="360" w:lineRule="auto"/>
        <w:jc w:val="both"/>
      </w:pPr>
      <w:r w:rsidRPr="00A404BE">
        <w:t>In vivo</w:t>
      </w:r>
      <w:r w:rsidR="00421F0F">
        <w:t>,</w:t>
      </w:r>
      <w:r w:rsidRPr="00A404BE">
        <w:t xml:space="preserve"> cognitive function was evaluated by the Morris Water Maze, a commonly employed test for assessing spatial learning and memory. Escape latency in QX-4-treated mice significantly improved, reflecting improved spatial memory. The mean escape latency in the Aβ-treated group </w:t>
      </w:r>
      <w:r w:rsidRPr="00A404BE">
        <w:lastRenderedPageBreak/>
        <w:t>was 38.7 ± 3.5 seconds, which was significantly decreased to 22.4 ± 2.8 seconds in the QX-4-treated group. This decrease indicates that QX-4 treatment improved cognitive impairments caused by Aβ deposition, demonstrating its therapeutic potential as a cognitive enhancer in Alzheimer's disease models.</w:t>
      </w:r>
    </w:p>
    <w:p w14:paraId="4F1BB280" w14:textId="73C110D1" w:rsidR="004032A2" w:rsidRPr="00A404BE" w:rsidRDefault="004032A2" w:rsidP="00A404BE">
      <w:pPr>
        <w:pStyle w:val="NormalWeb"/>
        <w:spacing w:line="360" w:lineRule="auto"/>
        <w:jc w:val="both"/>
      </w:pPr>
      <w:r w:rsidRPr="00A404BE">
        <w:t xml:space="preserve">These findings are in agreement with the therapeutic effects of QX-4 on other areas of the study, including its neuroprotective effect in cell viability and anti-oxidative stress. The marked enhancement of escape latency validates the potential of QX-4 in affecting cognitive function and </w:t>
      </w:r>
      <w:r w:rsidR="00421F0F" w:rsidRPr="00721669">
        <w:rPr>
          <w:highlight w:val="yellow"/>
        </w:rPr>
        <w:t>provid</w:t>
      </w:r>
      <w:r w:rsidR="00421F0F" w:rsidRPr="00721669">
        <w:rPr>
          <w:highlight w:val="yellow"/>
        </w:rPr>
        <w:t>es</w:t>
      </w:r>
      <w:r w:rsidR="00421F0F" w:rsidRPr="00721669">
        <w:rPr>
          <w:highlight w:val="yellow"/>
        </w:rPr>
        <w:t xml:space="preserve"> </w:t>
      </w:r>
      <w:r w:rsidRPr="00721669">
        <w:rPr>
          <w:highlight w:val="yellow"/>
        </w:rPr>
        <w:t>a promising</w:t>
      </w:r>
      <w:r w:rsidRPr="00A404BE">
        <w:t xml:space="preserve"> method to reverse the cognitive impairment related to Alzheimer's disease.</w:t>
      </w:r>
    </w:p>
    <w:p w14:paraId="749BC345" w14:textId="77777777" w:rsidR="004032A2" w:rsidRPr="00A404BE" w:rsidRDefault="004032A2" w:rsidP="00A404BE">
      <w:pPr>
        <w:pStyle w:val="NormalWeb"/>
        <w:spacing w:line="360" w:lineRule="auto"/>
        <w:jc w:val="both"/>
        <w:rPr>
          <w:b/>
          <w:sz w:val="28"/>
        </w:rPr>
      </w:pPr>
      <w:r w:rsidRPr="00A404BE">
        <w:rPr>
          <w:b/>
          <w:sz w:val="28"/>
        </w:rPr>
        <w:t>3.5. Inhibition of Inflammatory Cytokines and Aβ</w:t>
      </w:r>
    </w:p>
    <w:p w14:paraId="169F280D" w14:textId="77777777" w:rsidR="004032A2" w:rsidRPr="00A404BE" w:rsidRDefault="004032A2" w:rsidP="00A404BE">
      <w:pPr>
        <w:pStyle w:val="NormalWeb"/>
        <w:spacing w:line="360" w:lineRule="auto"/>
        <w:jc w:val="both"/>
      </w:pPr>
      <w:r w:rsidRPr="00A404BE">
        <w:t>The decrease in inflammatory markers and amyloid plaque burden was assessed by ELISA assays of the hippocampal IL-1β, TNF-α, and Aβ42 content. The levels of these biomarkers were reduced significantly by QX-4 treatment compared to the Aβ-only group. In particular, the level of IL-1β in the QX-4 group was decreased by about 39% compared to the Aβ-only group (112.5 ± 5.8 pg/mg vs. 68.2 ± 4.7 pg/mg, p &lt; 0.001). Likewise, TNF-α levels were significantly decreased from 135.1 ± 6.4 pg/mg in the Aβ-only group to 73.9 ± 4.9 pg/mg in the QX-4-treated group (p &lt; 0.001). Aβ42 levels were also significantly reduced, from 1.56 ± 0.08 ng/mg in the Aβ-only group to 0.88 ± 0.05 ng/mg in the QX-4 group (p &lt; 0.001).</w:t>
      </w:r>
    </w:p>
    <w:p w14:paraId="72D04978" w14:textId="42A573F4" w:rsidR="00E664CE" w:rsidRDefault="004032A2" w:rsidP="00A404BE">
      <w:pPr>
        <w:pStyle w:val="NormalWeb"/>
        <w:spacing w:line="360" w:lineRule="auto"/>
        <w:jc w:val="both"/>
      </w:pPr>
      <w:r w:rsidRPr="00A404BE">
        <w:t xml:space="preserve">These findings underscore the anti-inflammatory and amyloid-reducing effects of QX-4, further corroborating its therapeutic promise in Alzheimer's disease. Through the modulation of neuroinflammatory processes and amyloid plaque burden reduction, QX-4 </w:t>
      </w:r>
      <w:r w:rsidRPr="00721669">
        <w:rPr>
          <w:highlight w:val="yellow"/>
        </w:rPr>
        <w:t xml:space="preserve">shows </w:t>
      </w:r>
      <w:r w:rsidR="00421F0F" w:rsidRPr="00721669">
        <w:rPr>
          <w:highlight w:val="yellow"/>
        </w:rPr>
        <w:t xml:space="preserve">the </w:t>
      </w:r>
      <w:r w:rsidRPr="00721669">
        <w:rPr>
          <w:highlight w:val="yellow"/>
        </w:rPr>
        <w:t>potential t</w:t>
      </w:r>
      <w:r w:rsidRPr="00A404BE">
        <w:t>o mitigate the underpinning pathophysiologic mechanisms of cognitive impairment.</w:t>
      </w:r>
    </w:p>
    <w:p w14:paraId="0A33015D" w14:textId="499DA947" w:rsidR="009A3843" w:rsidRPr="00256D88" w:rsidRDefault="009A3843" w:rsidP="00A404BE">
      <w:pPr>
        <w:pStyle w:val="NormalWeb"/>
        <w:spacing w:line="360" w:lineRule="auto"/>
        <w:jc w:val="both"/>
        <w:rPr>
          <w:b/>
          <w:bCs/>
        </w:rPr>
      </w:pPr>
      <w:r w:rsidRPr="00256D88">
        <w:rPr>
          <w:b/>
          <w:bCs/>
        </w:rPr>
        <w:t>List 2:</w:t>
      </w:r>
      <w:r w:rsidR="00E155B2" w:rsidRPr="00256D88">
        <w:rPr>
          <w:b/>
          <w:bCs/>
        </w:rPr>
        <w:t xml:space="preserve"> </w:t>
      </w:r>
      <w:r w:rsidRPr="00256D88">
        <w:rPr>
          <w:b/>
          <w:bCs/>
        </w:rPr>
        <w:t xml:space="preserve"> </w:t>
      </w:r>
      <w:r w:rsidR="00CD6073" w:rsidRPr="00256D88">
        <w:rPr>
          <w:b/>
          <w:bCs/>
        </w:rPr>
        <w:t xml:space="preserve">Comparison of </w:t>
      </w:r>
      <w:r w:rsidR="005F0170" w:rsidRPr="00256D88">
        <w:rPr>
          <w:b/>
          <w:bCs/>
        </w:rPr>
        <w:t>ELISA assays of the hippocampal IL-1β, TNF-α, and Aβ42 content b</w:t>
      </w:r>
      <w:r w:rsidR="00CD6073" w:rsidRPr="00256D88">
        <w:rPr>
          <w:b/>
          <w:bCs/>
        </w:rPr>
        <w:t>etween Aβ and QX-4 Treated Groups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8"/>
        <w:gridCol w:w="1172"/>
        <w:gridCol w:w="1300"/>
        <w:gridCol w:w="831"/>
      </w:tblGrid>
      <w:tr w:rsidR="00F43A75" w:rsidRPr="00A404BE" w14:paraId="5515502A" w14:textId="77777777" w:rsidTr="00AD1CA5">
        <w:trPr>
          <w:tblHeader/>
          <w:tblCellSpacing w:w="15" w:type="dxa"/>
        </w:trPr>
        <w:tc>
          <w:tcPr>
            <w:tcW w:w="0" w:type="auto"/>
            <w:vAlign w:val="center"/>
            <w:hideMark/>
          </w:tcPr>
          <w:p w14:paraId="3B9F7D20"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Parameter</w:t>
            </w:r>
          </w:p>
        </w:tc>
        <w:tc>
          <w:tcPr>
            <w:tcW w:w="0" w:type="auto"/>
            <w:vAlign w:val="center"/>
            <w:hideMark/>
          </w:tcPr>
          <w:p w14:paraId="70900A1E"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Aβ Group</w:t>
            </w:r>
          </w:p>
        </w:tc>
        <w:tc>
          <w:tcPr>
            <w:tcW w:w="0" w:type="auto"/>
            <w:vAlign w:val="center"/>
            <w:hideMark/>
          </w:tcPr>
          <w:p w14:paraId="60E10467"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QX-4 Group</w:t>
            </w:r>
          </w:p>
        </w:tc>
        <w:tc>
          <w:tcPr>
            <w:tcW w:w="0" w:type="auto"/>
            <w:vAlign w:val="center"/>
            <w:hideMark/>
          </w:tcPr>
          <w:p w14:paraId="3372C5A6"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p-value</w:t>
            </w:r>
          </w:p>
        </w:tc>
      </w:tr>
      <w:tr w:rsidR="00F43A75" w:rsidRPr="00A404BE" w14:paraId="302B4BFF" w14:textId="77777777" w:rsidTr="00AD1CA5">
        <w:trPr>
          <w:tblCellSpacing w:w="15" w:type="dxa"/>
        </w:trPr>
        <w:tc>
          <w:tcPr>
            <w:tcW w:w="0" w:type="auto"/>
            <w:vAlign w:val="center"/>
            <w:hideMark/>
          </w:tcPr>
          <w:p w14:paraId="2DB13373"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IL-1β (pg/mg)</w:t>
            </w:r>
          </w:p>
        </w:tc>
        <w:tc>
          <w:tcPr>
            <w:tcW w:w="0" w:type="auto"/>
            <w:vAlign w:val="center"/>
            <w:hideMark/>
          </w:tcPr>
          <w:p w14:paraId="020F949A"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112.5 ± 5.8</w:t>
            </w:r>
          </w:p>
        </w:tc>
        <w:tc>
          <w:tcPr>
            <w:tcW w:w="0" w:type="auto"/>
            <w:vAlign w:val="center"/>
            <w:hideMark/>
          </w:tcPr>
          <w:p w14:paraId="2AC498E9"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68.2 ± 4.7</w:t>
            </w:r>
          </w:p>
        </w:tc>
        <w:tc>
          <w:tcPr>
            <w:tcW w:w="0" w:type="auto"/>
            <w:vAlign w:val="center"/>
            <w:hideMark/>
          </w:tcPr>
          <w:p w14:paraId="532AE8A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r w:rsidR="00F43A75" w:rsidRPr="00A404BE" w14:paraId="1EBDC3B4" w14:textId="77777777" w:rsidTr="00AD1CA5">
        <w:trPr>
          <w:tblCellSpacing w:w="15" w:type="dxa"/>
        </w:trPr>
        <w:tc>
          <w:tcPr>
            <w:tcW w:w="0" w:type="auto"/>
            <w:vAlign w:val="center"/>
            <w:hideMark/>
          </w:tcPr>
          <w:p w14:paraId="080F3182"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TNF-α (pg/mg)</w:t>
            </w:r>
          </w:p>
        </w:tc>
        <w:tc>
          <w:tcPr>
            <w:tcW w:w="0" w:type="auto"/>
            <w:vAlign w:val="center"/>
            <w:hideMark/>
          </w:tcPr>
          <w:p w14:paraId="49EB00B9"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135.1 ± 6.4</w:t>
            </w:r>
          </w:p>
        </w:tc>
        <w:tc>
          <w:tcPr>
            <w:tcW w:w="0" w:type="auto"/>
            <w:vAlign w:val="center"/>
            <w:hideMark/>
          </w:tcPr>
          <w:p w14:paraId="57879166"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73.9 ± 4.9</w:t>
            </w:r>
          </w:p>
        </w:tc>
        <w:tc>
          <w:tcPr>
            <w:tcW w:w="0" w:type="auto"/>
            <w:vAlign w:val="center"/>
            <w:hideMark/>
          </w:tcPr>
          <w:p w14:paraId="06E1C7E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r w:rsidR="00F43A75" w:rsidRPr="00A404BE" w14:paraId="4B5D7EF9" w14:textId="77777777" w:rsidTr="00AD1CA5">
        <w:trPr>
          <w:tblCellSpacing w:w="15" w:type="dxa"/>
        </w:trPr>
        <w:tc>
          <w:tcPr>
            <w:tcW w:w="0" w:type="auto"/>
            <w:vAlign w:val="center"/>
            <w:hideMark/>
          </w:tcPr>
          <w:p w14:paraId="7109965F"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Aβ42 (ng/mg)</w:t>
            </w:r>
          </w:p>
        </w:tc>
        <w:tc>
          <w:tcPr>
            <w:tcW w:w="0" w:type="auto"/>
            <w:vAlign w:val="center"/>
            <w:hideMark/>
          </w:tcPr>
          <w:p w14:paraId="17DAAD6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1.56 ± 0.08</w:t>
            </w:r>
          </w:p>
        </w:tc>
        <w:tc>
          <w:tcPr>
            <w:tcW w:w="0" w:type="auto"/>
            <w:vAlign w:val="center"/>
            <w:hideMark/>
          </w:tcPr>
          <w:p w14:paraId="3B3A273F"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0.88 ± 0.05</w:t>
            </w:r>
          </w:p>
        </w:tc>
        <w:tc>
          <w:tcPr>
            <w:tcW w:w="0" w:type="auto"/>
            <w:vAlign w:val="center"/>
            <w:hideMark/>
          </w:tcPr>
          <w:p w14:paraId="410080E4"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bl>
    <w:p w14:paraId="5CDCEF9F" w14:textId="77777777" w:rsidR="00F43A75" w:rsidRPr="00A404BE" w:rsidRDefault="00F43A75" w:rsidP="00A404BE">
      <w:pPr>
        <w:spacing w:line="360" w:lineRule="auto"/>
        <w:jc w:val="both"/>
        <w:rPr>
          <w:rFonts w:ascii="Times New Roman" w:hAnsi="Times New Roman" w:cs="Times New Roman"/>
          <w:sz w:val="24"/>
          <w:szCs w:val="24"/>
        </w:rPr>
      </w:pPr>
    </w:p>
    <w:p w14:paraId="22E18672" w14:textId="77777777" w:rsidR="007C3200" w:rsidRDefault="00D26F49"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B25C5A1">
          <v:rect id="_x0000_i1032" style="width:3in;height:1.5pt" o:hralign="center" o:hrstd="t" o:hr="t" fillcolor="#a0a0a0" stroked="f"/>
        </w:pict>
      </w:r>
    </w:p>
    <w:p w14:paraId="40EF9B88" w14:textId="77777777" w:rsidR="000D3F0E" w:rsidRDefault="000D3F0E" w:rsidP="00A404BE">
      <w:pPr>
        <w:spacing w:line="360" w:lineRule="auto"/>
        <w:jc w:val="both"/>
        <w:rPr>
          <w:rFonts w:ascii="Times New Roman" w:hAnsi="Times New Roman" w:cs="Times New Roman"/>
          <w:b/>
          <w:sz w:val="28"/>
        </w:rPr>
      </w:pPr>
      <w:r w:rsidRPr="00813441">
        <w:rPr>
          <w:rFonts w:ascii="Times New Roman" w:hAnsi="Times New Roman" w:cs="Times New Roman"/>
          <w:b/>
          <w:sz w:val="28"/>
        </w:rPr>
        <w:t>4. DISCUSSION</w:t>
      </w:r>
    </w:p>
    <w:p w14:paraId="432E7B42" w14:textId="77777777" w:rsidR="007C3200" w:rsidRPr="007C3200" w:rsidRDefault="00D26F49"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A3738E3">
          <v:rect id="_x0000_i1033" style="width:3in;height:1.5pt" o:hralign="center" o:hrstd="t" o:hr="t" fillcolor="#a0a0a0" stroked="f"/>
        </w:pict>
      </w:r>
    </w:p>
    <w:p w14:paraId="693B7E6C"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The current research investigated the neuroprotective activity of newly developed quinoxaline derivatives in in vitro and in vivo models of Alzheimer's disease. The results validate the potential of quinoxalines as promising multifunctional compounds with the ability to modulate multiple pathogenic pathways in AD.</w:t>
      </w:r>
    </w:p>
    <w:p w14:paraId="2A6DE135" w14:textId="50AF0D13"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 xml:space="preserve">The quinoxaline derivative QX-4 showed the highest neuroprotective activity, increasing PC12 cell survival and reducing significantly ROS </w:t>
      </w:r>
      <w:r w:rsidRPr="00721669">
        <w:rPr>
          <w:rFonts w:ascii="Times New Roman" w:hAnsi="Times New Roman" w:cs="Times New Roman"/>
          <w:sz w:val="24"/>
          <w:highlight w:val="yellow"/>
        </w:rPr>
        <w:t xml:space="preserve">production caused by Aβ toxicity. These results indicate a potential role </w:t>
      </w:r>
      <w:r w:rsidR="00421F0F" w:rsidRPr="00721669">
        <w:rPr>
          <w:rFonts w:ascii="Times New Roman" w:hAnsi="Times New Roman" w:cs="Times New Roman"/>
          <w:sz w:val="24"/>
          <w:highlight w:val="yellow"/>
        </w:rPr>
        <w:t>in</w:t>
      </w:r>
      <w:r w:rsidR="00421F0F" w:rsidRPr="00721669">
        <w:rPr>
          <w:rFonts w:ascii="Times New Roman" w:hAnsi="Times New Roman" w:cs="Times New Roman"/>
          <w:sz w:val="24"/>
          <w:highlight w:val="yellow"/>
        </w:rPr>
        <w:t xml:space="preserve"> </w:t>
      </w:r>
      <w:r w:rsidRPr="00721669">
        <w:rPr>
          <w:rFonts w:ascii="Times New Roman" w:hAnsi="Times New Roman" w:cs="Times New Roman"/>
          <w:sz w:val="24"/>
          <w:highlight w:val="yellow"/>
        </w:rPr>
        <w:t>the mitigation</w:t>
      </w:r>
      <w:r w:rsidRPr="00A404BE">
        <w:rPr>
          <w:rFonts w:ascii="Times New Roman" w:hAnsi="Times New Roman" w:cs="Times New Roman"/>
          <w:sz w:val="24"/>
        </w:rPr>
        <w:t xml:space="preserve"> of oxidative stress, an established early mechanism of AD pathogenesis (Butterfield &amp; Halliwell, 2019). Quinoxalines have been reported to act as free radical scavengers through their electron-dense heterocyclic system, and the present results confirm previous findings by Patel et al. (2022) of antioxidant activity of substituted quinoxalines in neuroblastoma cells.</w:t>
      </w:r>
    </w:p>
    <w:p w14:paraId="54657E47"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Additionally, QX-4 and QX-6 exhibited potent AChE inhibition with IC₅₀ values near donepezil, which is an AD drug with clinical approval. AChE inhibition elevates the amount of acetylcholine in the cleft, thus enhancing cholinergic transmission—a significant mechanism of symptomatic AD treatment (Greig et al., 2005). Significantly, QX-4 was also linked to in vivo cognitive benefit in APP/PS1 mice, as evidenced by the Morris Water Maze test.</w:t>
      </w:r>
    </w:p>
    <w:p w14:paraId="54AA4355"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Biochemical examination also showed a significant decrease in neuroinflammatory markers like IL-1β and TNF-α in QX-4 treated mice, suggesting that the compound could downregulate the pro-inflammatory signaling cascade induced by amyloid plaques. This is important, as neuroinflammation is directly associated with synaptic dysfunction and neuronal loss in AD (Heneka et al., 2015).</w:t>
      </w:r>
    </w:p>
    <w:p w14:paraId="22E5F00B"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lastRenderedPageBreak/>
        <w:t>The antioxidant, anti-inflammatory, and cholinesterase-inhibiting activities combined in quinoxalines, especially QX-4, make them prime candidates for disease-modifying therapy in Alzheimer's. Their compact size and synthetic tractability are particularly advantageous, as they allow further SAR optimization and structure-activity relationship studies, which are in progress in our laboratory.</w:t>
      </w:r>
    </w:p>
    <w:p w14:paraId="6A369981" w14:textId="77777777" w:rsidR="00566AA9" w:rsidRDefault="00D26F49"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5533D76">
          <v:rect id="_x0000_i1034" style="width:3in;height:1.5pt" o:hralign="center" o:hrstd="t" o:hr="t" fillcolor="#a0a0a0" stroked="f"/>
        </w:pict>
      </w:r>
    </w:p>
    <w:p w14:paraId="4BABDCF4" w14:textId="77777777" w:rsidR="00566AA9" w:rsidRDefault="000D3F0E" w:rsidP="00A404BE">
      <w:pPr>
        <w:spacing w:line="360" w:lineRule="auto"/>
        <w:jc w:val="both"/>
        <w:rPr>
          <w:rFonts w:ascii="Times New Roman" w:hAnsi="Times New Roman" w:cs="Times New Roman"/>
          <w:b/>
          <w:sz w:val="28"/>
        </w:rPr>
      </w:pPr>
      <w:r w:rsidRPr="00813441">
        <w:rPr>
          <w:rFonts w:ascii="Times New Roman" w:hAnsi="Times New Roman" w:cs="Times New Roman"/>
          <w:b/>
          <w:sz w:val="28"/>
        </w:rPr>
        <w:t>5. Conclusion</w:t>
      </w:r>
    </w:p>
    <w:p w14:paraId="1B48567B" w14:textId="77777777" w:rsidR="00566AA9" w:rsidRPr="00566AA9" w:rsidRDefault="00D26F49"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0F27B6C1">
          <v:rect id="_x0000_i1035" style="width:3in;height:1.5pt" o:hralign="center" o:hrstd="t" o:hr="t" fillcolor="#a0a0a0" stroked="f"/>
        </w:pict>
      </w:r>
    </w:p>
    <w:p w14:paraId="412A7E5B" w14:textId="77777777" w:rsidR="000D3F0E" w:rsidRPr="00566AA9" w:rsidRDefault="000D3F0E" w:rsidP="00A404BE">
      <w:pPr>
        <w:spacing w:line="360" w:lineRule="auto"/>
        <w:jc w:val="both"/>
        <w:rPr>
          <w:rFonts w:ascii="Times New Roman" w:hAnsi="Times New Roman" w:cs="Times New Roman"/>
          <w:b/>
          <w:sz w:val="28"/>
        </w:rPr>
      </w:pPr>
      <w:r w:rsidRPr="00A404BE">
        <w:rPr>
          <w:rFonts w:ascii="Times New Roman" w:hAnsi="Times New Roman" w:cs="Times New Roman"/>
          <w:sz w:val="24"/>
        </w:rPr>
        <w:t>This research offers strong evidence that quinoxaline derivatives, and especially QX-4 and QX-6, possess a variety of neuroprotective actions highly applicable to the treatment of Alzheimer's disease (AD). Major findings are:</w:t>
      </w:r>
    </w:p>
    <w:p w14:paraId="163E4273"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sidRPr="00813441">
        <w:rPr>
          <w:rFonts w:ascii="Times New Roman" w:hAnsi="Times New Roman" w:cs="Times New Roman"/>
          <w:b/>
          <w:sz w:val="24"/>
        </w:rPr>
        <w:t xml:space="preserve"> </w:t>
      </w:r>
      <w:r w:rsidR="000D3F0E" w:rsidRPr="00813441">
        <w:rPr>
          <w:rFonts w:ascii="Times New Roman" w:hAnsi="Times New Roman" w:cs="Times New Roman"/>
          <w:b/>
          <w:sz w:val="24"/>
        </w:rPr>
        <w:t>Restoration of neuronal viability:</w:t>
      </w:r>
      <w:r w:rsidR="000D3F0E" w:rsidRPr="00A404BE">
        <w:rPr>
          <w:rFonts w:ascii="Times New Roman" w:hAnsi="Times New Roman" w:cs="Times New Roman"/>
          <w:sz w:val="24"/>
        </w:rPr>
        <w:t xml:space="preserve"> Both QX-4 and QX-6 considerably enhance cell survival in Aβ-induced stress in PC12 cells, indicating their possible use to shield neurons from amyloid toxicity.</w:t>
      </w:r>
    </w:p>
    <w:p w14:paraId="6D880400"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Oxidative stress reduction:</w:t>
      </w:r>
      <w:r w:rsidR="000D3F0E" w:rsidRPr="00A404BE">
        <w:rPr>
          <w:rFonts w:ascii="Times New Roman" w:hAnsi="Times New Roman" w:cs="Times New Roman"/>
          <w:sz w:val="24"/>
        </w:rPr>
        <w:t xml:space="preserve"> QX-4 treatment significantly diminished intracellular reactive oxygen species (ROS), reflecting its antioxidant activity and ability to counteract oxidative damage, a major facilitator of AD pathology.</w:t>
      </w:r>
    </w:p>
    <w:p w14:paraId="160E661E" w14:textId="51A4E2A4"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Inhibition of acetylcholinesterase:</w:t>
      </w:r>
      <w:r w:rsidR="000D3F0E" w:rsidRPr="00A404BE">
        <w:rPr>
          <w:rFonts w:ascii="Times New Roman" w:hAnsi="Times New Roman" w:cs="Times New Roman"/>
          <w:sz w:val="24"/>
        </w:rPr>
        <w:t xml:space="preserve"> The quinoxaline derivatives, particularly QX-4, exhibited significant inhibition of acetylcholinesterase (AChE), an enzyme responsible for the breakdown of acetylcholine, essential in </w:t>
      </w:r>
      <w:r w:rsidR="000D3F0E" w:rsidRPr="00721669">
        <w:rPr>
          <w:rFonts w:ascii="Times New Roman" w:hAnsi="Times New Roman" w:cs="Times New Roman"/>
          <w:sz w:val="24"/>
          <w:highlight w:val="yellow"/>
        </w:rPr>
        <w:t xml:space="preserve">resuscitating </w:t>
      </w:r>
      <w:r w:rsidR="00421F0F" w:rsidRPr="00721669">
        <w:rPr>
          <w:rFonts w:ascii="Times New Roman" w:hAnsi="Times New Roman" w:cs="Times New Roman"/>
          <w:sz w:val="24"/>
          <w:highlight w:val="yellow"/>
        </w:rPr>
        <w:t xml:space="preserve">the </w:t>
      </w:r>
      <w:r w:rsidR="000D3F0E" w:rsidRPr="00721669">
        <w:rPr>
          <w:rFonts w:ascii="Times New Roman" w:hAnsi="Times New Roman" w:cs="Times New Roman"/>
          <w:sz w:val="24"/>
          <w:highlight w:val="yellow"/>
        </w:rPr>
        <w:t>c</w:t>
      </w:r>
      <w:r w:rsidR="000D3F0E" w:rsidRPr="00A404BE">
        <w:rPr>
          <w:rFonts w:ascii="Times New Roman" w:hAnsi="Times New Roman" w:cs="Times New Roman"/>
          <w:sz w:val="24"/>
        </w:rPr>
        <w:t>ognitive function of AD patients.</w:t>
      </w:r>
    </w:p>
    <w:p w14:paraId="417058F3"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Pro-inflammatory cytokine suppression:</w:t>
      </w:r>
      <w:r w:rsidR="000D3F0E" w:rsidRPr="00A404BE">
        <w:rPr>
          <w:rFonts w:ascii="Times New Roman" w:hAnsi="Times New Roman" w:cs="Times New Roman"/>
          <w:sz w:val="24"/>
        </w:rPr>
        <w:t xml:space="preserve"> In vivo experiments in APP/PS1 mice showed that QX-4 lowered levels of major inflammatory cytokines, such as IL-1β and TNF-α, proving its capacity to regulate neuroinflammation, a characteristic of AD.</w:t>
      </w:r>
    </w:p>
    <w:p w14:paraId="0E114A22"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Cognitive improvement:</w:t>
      </w:r>
      <w:r w:rsidR="000D3F0E" w:rsidRPr="00A404BE">
        <w:rPr>
          <w:rFonts w:ascii="Times New Roman" w:hAnsi="Times New Roman" w:cs="Times New Roman"/>
          <w:sz w:val="24"/>
        </w:rPr>
        <w:t xml:space="preserve"> QX-4 treatment greatly enhanced cognitive performance in the Morris Water Maze test, showing its potential to improve memory and spatial learning, which are usually compromised in AD.</w:t>
      </w:r>
    </w:p>
    <w:p w14:paraId="4855A463" w14:textId="66956226" w:rsidR="00A6539D"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lastRenderedPageBreak/>
        <w:t xml:space="preserve">All taken together, these findings imply that quinoxalines, especially QX-4, present a new and promising option for the treatment of Alzheimer's disease. Their </w:t>
      </w:r>
      <w:r w:rsidR="00180EA1" w:rsidRPr="00721669">
        <w:rPr>
          <w:rFonts w:ascii="Times New Roman" w:hAnsi="Times New Roman" w:cs="Times New Roman"/>
          <w:sz w:val="24"/>
          <w:highlight w:val="yellow"/>
        </w:rPr>
        <w:t>multiplicit</w:t>
      </w:r>
      <w:r w:rsidR="00180EA1" w:rsidRPr="00721669">
        <w:rPr>
          <w:rFonts w:ascii="Times New Roman" w:hAnsi="Times New Roman" w:cs="Times New Roman"/>
          <w:sz w:val="24"/>
          <w:highlight w:val="yellow"/>
        </w:rPr>
        <w:t>y</w:t>
      </w:r>
      <w:r w:rsidR="00180EA1" w:rsidRPr="00A404BE">
        <w:rPr>
          <w:rFonts w:ascii="Times New Roman" w:hAnsi="Times New Roman" w:cs="Times New Roman"/>
          <w:sz w:val="24"/>
        </w:rPr>
        <w:t xml:space="preserve"> </w:t>
      </w:r>
      <w:r w:rsidRPr="00A404BE">
        <w:rPr>
          <w:rFonts w:ascii="Times New Roman" w:hAnsi="Times New Roman" w:cs="Times New Roman"/>
          <w:sz w:val="24"/>
        </w:rPr>
        <w:t>mechanisms of action, from neuroprotection and antioxidant activities to anti-inflammatory and cognition-enhancing activities, render them compelling subjects for exploration.</w:t>
      </w:r>
    </w:p>
    <w:p w14:paraId="1B92C794" w14:textId="68FF3109" w:rsidR="004875EA" w:rsidRDefault="004875EA" w:rsidP="00A404BE">
      <w:pPr>
        <w:spacing w:line="360" w:lineRule="auto"/>
        <w:jc w:val="both"/>
        <w:rPr>
          <w:rFonts w:ascii="Times New Roman" w:hAnsi="Times New Roman" w:cs="Times New Roman"/>
          <w:sz w:val="24"/>
        </w:rPr>
      </w:pPr>
    </w:p>
    <w:p w14:paraId="15E72FD9"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Disclaimer (Artificial intelligence)</w:t>
      </w:r>
    </w:p>
    <w:p w14:paraId="61234A42"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 xml:space="preserve">Option 1: </w:t>
      </w:r>
    </w:p>
    <w:p w14:paraId="21E4A92F"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4875EA">
        <w:rPr>
          <w:rFonts w:ascii="Calibri" w:eastAsia="Calibri" w:hAnsi="Calibri" w:cs="Times New Roman"/>
          <w:kern w:val="2"/>
          <w:highlight w:val="yellow"/>
          <w14:ligatures w14:val="standardContextual"/>
        </w:rPr>
        <w:t>ChatGPT</w:t>
      </w:r>
      <w:proofErr w:type="spellEnd"/>
      <w:r w:rsidRPr="004875EA">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5C3B366E"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 xml:space="preserve">Option 2: </w:t>
      </w:r>
    </w:p>
    <w:p w14:paraId="66A4094D"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05CC07"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Details of the AI usage are given below:</w:t>
      </w:r>
    </w:p>
    <w:p w14:paraId="7F710873"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1.</w:t>
      </w:r>
    </w:p>
    <w:p w14:paraId="2E5E10CD" w14:textId="77777777" w:rsidR="004875EA" w:rsidRPr="004875EA" w:rsidRDefault="004875EA" w:rsidP="004875EA">
      <w:pPr>
        <w:rPr>
          <w:rFonts w:ascii="Calibri" w:eastAsia="Calibri" w:hAnsi="Calibri" w:cs="Times New Roman"/>
          <w:kern w:val="2"/>
          <w:highlight w:val="yellow"/>
          <w14:ligatures w14:val="standardContextual"/>
        </w:rPr>
      </w:pPr>
      <w:r w:rsidRPr="004875EA">
        <w:rPr>
          <w:rFonts w:ascii="Calibri" w:eastAsia="Calibri" w:hAnsi="Calibri" w:cs="Times New Roman"/>
          <w:kern w:val="2"/>
          <w:highlight w:val="yellow"/>
          <w14:ligatures w14:val="standardContextual"/>
        </w:rPr>
        <w:t>2.</w:t>
      </w:r>
    </w:p>
    <w:p w14:paraId="69B74709" w14:textId="77777777" w:rsidR="004875EA" w:rsidRPr="004875EA" w:rsidRDefault="004875EA" w:rsidP="004875EA">
      <w:pPr>
        <w:rPr>
          <w:rFonts w:ascii="Calibri" w:eastAsia="Calibri" w:hAnsi="Calibri" w:cs="Times New Roman"/>
          <w:kern w:val="2"/>
          <w14:ligatures w14:val="standardContextual"/>
        </w:rPr>
      </w:pPr>
      <w:r w:rsidRPr="004875EA">
        <w:rPr>
          <w:rFonts w:ascii="Calibri" w:eastAsia="Calibri" w:hAnsi="Calibri" w:cs="Times New Roman"/>
          <w:kern w:val="2"/>
          <w:highlight w:val="yellow"/>
          <w14:ligatures w14:val="standardContextual"/>
        </w:rPr>
        <w:t>3.</w:t>
      </w:r>
    </w:p>
    <w:p w14:paraId="372D17CF" w14:textId="77777777" w:rsidR="004875EA" w:rsidRPr="004875EA" w:rsidRDefault="004875EA" w:rsidP="004875EA">
      <w:pPr>
        <w:rPr>
          <w:rFonts w:ascii="Calibri" w:eastAsia="Calibri" w:hAnsi="Calibri" w:cs="Times New Roman"/>
          <w:kern w:val="2"/>
          <w14:ligatures w14:val="standardContextual"/>
        </w:rPr>
      </w:pPr>
    </w:p>
    <w:p w14:paraId="21090FEC" w14:textId="77777777" w:rsidR="004875EA" w:rsidRPr="00A404BE" w:rsidRDefault="004875EA" w:rsidP="00A404BE">
      <w:pPr>
        <w:spacing w:line="360" w:lineRule="auto"/>
        <w:jc w:val="both"/>
        <w:rPr>
          <w:rFonts w:ascii="Times New Roman" w:hAnsi="Times New Roman" w:cs="Times New Roman"/>
          <w:sz w:val="24"/>
        </w:rPr>
      </w:pPr>
    </w:p>
    <w:p w14:paraId="18903FFC" w14:textId="77777777" w:rsidR="00566AA9" w:rsidRDefault="00566AA9" w:rsidP="00A404BE">
      <w:pPr>
        <w:spacing w:line="360" w:lineRule="auto"/>
        <w:jc w:val="both"/>
        <w:rPr>
          <w:rFonts w:ascii="Times New Roman" w:hAnsi="Times New Roman" w:cs="Times New Roman"/>
          <w:b/>
          <w:sz w:val="28"/>
        </w:rPr>
      </w:pPr>
    </w:p>
    <w:p w14:paraId="70F36E1A" w14:textId="77777777" w:rsidR="007C3200" w:rsidRDefault="00D26F49"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353B516A">
          <v:rect id="_x0000_i1036" style="width:468pt;height:1.5pt" o:hralign="center" o:hrstd="t" o:hr="t" fillcolor="#a0a0a0" stroked="f"/>
        </w:pict>
      </w:r>
    </w:p>
    <w:p w14:paraId="45D3C731" w14:textId="77777777" w:rsidR="00F43A75" w:rsidRDefault="00F43A75" w:rsidP="007C3200">
      <w:pPr>
        <w:spacing w:line="360" w:lineRule="auto"/>
        <w:jc w:val="center"/>
        <w:rPr>
          <w:rFonts w:ascii="Times New Roman" w:hAnsi="Times New Roman" w:cs="Times New Roman"/>
          <w:b/>
          <w:sz w:val="28"/>
        </w:rPr>
      </w:pPr>
      <w:r w:rsidRPr="00813441">
        <w:rPr>
          <w:rFonts w:ascii="Times New Roman" w:hAnsi="Times New Roman" w:cs="Times New Roman"/>
          <w:b/>
          <w:sz w:val="28"/>
        </w:rPr>
        <w:t>REFERENCES</w:t>
      </w:r>
    </w:p>
    <w:p w14:paraId="688D8448" w14:textId="77777777" w:rsidR="007C3200" w:rsidRPr="007C3200" w:rsidRDefault="00D26F49"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2544B01F">
          <v:rect id="_x0000_i1037" style="width:3in;height:1.5pt" o:hralign="center" o:hrstd="t" o:hr="t" fillcolor="#a0a0a0" stroked="f"/>
        </w:pict>
      </w:r>
    </w:p>
    <w:p w14:paraId="1818A410" w14:textId="77777777" w:rsidR="00F43A75" w:rsidRPr="00A404BE" w:rsidRDefault="00F43A75" w:rsidP="00A404BE">
      <w:pPr>
        <w:pStyle w:val="NormalWeb"/>
        <w:numPr>
          <w:ilvl w:val="0"/>
          <w:numId w:val="3"/>
        </w:numPr>
        <w:spacing w:line="360" w:lineRule="auto"/>
        <w:jc w:val="both"/>
      </w:pPr>
      <w:r w:rsidRPr="00A404BE">
        <w:lastRenderedPageBreak/>
        <w:t xml:space="preserve">Butterfield, D. A., &amp; Halliwell, B. (2019). Oxidative stress, dysfunctional glucose metabolism and Alzheimer disease. </w:t>
      </w:r>
      <w:r w:rsidRPr="00A404BE">
        <w:rPr>
          <w:rStyle w:val="Emphasis"/>
        </w:rPr>
        <w:t>Nature Reviews Neuroscience</w:t>
      </w:r>
      <w:r w:rsidRPr="00A404BE">
        <w:t xml:space="preserve">, 20(3), 148–160. </w:t>
      </w:r>
      <w:hyperlink r:id="rId15" w:history="1">
        <w:r w:rsidRPr="00A404BE">
          <w:rPr>
            <w:rStyle w:val="Hyperlink"/>
          </w:rPr>
          <w:t>https://doi.org/10.1038/s41583-019-0132-6</w:t>
        </w:r>
      </w:hyperlink>
    </w:p>
    <w:p w14:paraId="045AAE7E" w14:textId="77777777" w:rsidR="00F43A75" w:rsidRPr="00A404BE" w:rsidRDefault="00F43A75" w:rsidP="00A404BE">
      <w:pPr>
        <w:pStyle w:val="NormalWeb"/>
        <w:numPr>
          <w:ilvl w:val="0"/>
          <w:numId w:val="3"/>
        </w:numPr>
        <w:spacing w:line="360" w:lineRule="auto"/>
        <w:jc w:val="both"/>
      </w:pPr>
      <w:r w:rsidRPr="00813441">
        <w:rPr>
          <w:b/>
        </w:rPr>
        <w:t>Greig, N. H., Utsuki, T., Yu, Q. S., Zhu, X., Holloway, H. W., Perry, T., &amp; Lahiri, D. K. (2005). A new therapeutic target in Alzheimer's disease treatment:</w:t>
      </w:r>
      <w:r w:rsidRPr="00A404BE">
        <w:t xml:space="preserve"> attention to butyrylcholinesterase. </w:t>
      </w:r>
      <w:r w:rsidRPr="00A404BE">
        <w:rPr>
          <w:rStyle w:val="Emphasis"/>
        </w:rPr>
        <w:t>Current Medicinal Chemistry</w:t>
      </w:r>
      <w:r w:rsidRPr="00A404BE">
        <w:t>, 12(3), 321–329.</w:t>
      </w:r>
    </w:p>
    <w:p w14:paraId="25E4BF7D" w14:textId="77777777" w:rsidR="00F43A75" w:rsidRPr="00A404BE" w:rsidRDefault="00F43A75" w:rsidP="00A404BE">
      <w:pPr>
        <w:pStyle w:val="NormalWeb"/>
        <w:numPr>
          <w:ilvl w:val="0"/>
          <w:numId w:val="3"/>
        </w:numPr>
        <w:spacing w:line="360" w:lineRule="auto"/>
        <w:jc w:val="both"/>
      </w:pPr>
      <w:r w:rsidRPr="00A404BE">
        <w:t xml:space="preserve">Heneka, M. T., Carson, M. J., Khoury, J. E., Landreth, G. E., Brosseron, F., Feinstein, D. L., ... &amp; Kummer, M. P. (2015). Neuroinflammation in Alzheimer’s disease. </w:t>
      </w:r>
      <w:r w:rsidRPr="00A404BE">
        <w:rPr>
          <w:rStyle w:val="Emphasis"/>
        </w:rPr>
        <w:t>The Lancet Neurology</w:t>
      </w:r>
      <w:r w:rsidRPr="00A404BE">
        <w:t xml:space="preserve">, 14(4), 388–405. </w:t>
      </w:r>
      <w:hyperlink r:id="rId16" w:history="1">
        <w:r w:rsidRPr="00A404BE">
          <w:rPr>
            <w:rStyle w:val="Hyperlink"/>
          </w:rPr>
          <w:t>https://doi.org/10.1016/S1474-4422(15)70016-5</w:t>
        </w:r>
      </w:hyperlink>
    </w:p>
    <w:p w14:paraId="5392DC3A" w14:textId="77777777" w:rsidR="00F43A75" w:rsidRPr="00A404BE" w:rsidRDefault="00F43A75" w:rsidP="00A404BE">
      <w:pPr>
        <w:pStyle w:val="NormalWeb"/>
        <w:numPr>
          <w:ilvl w:val="0"/>
          <w:numId w:val="3"/>
        </w:numPr>
        <w:spacing w:line="360" w:lineRule="auto"/>
        <w:jc w:val="both"/>
      </w:pPr>
      <w:r w:rsidRPr="00813441">
        <w:rPr>
          <w:b/>
        </w:rPr>
        <w:t>Patel, R. M., Tiwari, V., &amp; Patel, D. H. (2022). Quinoxaline derivatives:</w:t>
      </w:r>
      <w:r w:rsidRPr="00A404BE">
        <w:t xml:space="preserve"> a versatile scaffold for multi-targeted drug development. </w:t>
      </w:r>
      <w:r w:rsidRPr="00A404BE">
        <w:rPr>
          <w:rStyle w:val="Emphasis"/>
        </w:rPr>
        <w:t>European Journal of Medicinal Chemistry</w:t>
      </w:r>
      <w:r w:rsidRPr="00A404BE">
        <w:t xml:space="preserve">, 231, 114142. </w:t>
      </w:r>
      <w:hyperlink r:id="rId17" w:history="1">
        <w:r w:rsidRPr="00A404BE">
          <w:rPr>
            <w:rStyle w:val="Hyperlink"/>
          </w:rPr>
          <w:t>https://doi.org/10.1016/j.ejmech.2022.114142</w:t>
        </w:r>
      </w:hyperlink>
    </w:p>
    <w:p w14:paraId="4417714A" w14:textId="77777777" w:rsidR="00F43A75" w:rsidRPr="00A404BE" w:rsidRDefault="00F43A75" w:rsidP="00A404BE">
      <w:pPr>
        <w:pStyle w:val="NormalWeb"/>
        <w:numPr>
          <w:ilvl w:val="0"/>
          <w:numId w:val="3"/>
        </w:numPr>
        <w:spacing w:line="360" w:lineRule="auto"/>
        <w:jc w:val="both"/>
      </w:pPr>
      <w:r w:rsidRPr="00A404BE">
        <w:t xml:space="preserve">Selkoe, D. J., &amp; Hardy, J. (2016). The amyloid hypothesis of Alzheimer’s disease at 25 years. </w:t>
      </w:r>
      <w:r w:rsidRPr="00A404BE">
        <w:rPr>
          <w:rStyle w:val="Emphasis"/>
        </w:rPr>
        <w:t>EMBO Molecular Medicine</w:t>
      </w:r>
      <w:r w:rsidRPr="00A404BE">
        <w:t xml:space="preserve">, 8(6), 595–608. </w:t>
      </w:r>
      <w:hyperlink r:id="rId18" w:history="1">
        <w:r w:rsidRPr="00A404BE">
          <w:rPr>
            <w:rStyle w:val="Hyperlink"/>
          </w:rPr>
          <w:t>https://doi.org/10.15252/emmm.201606210</w:t>
        </w:r>
      </w:hyperlink>
    </w:p>
    <w:p w14:paraId="52620404" w14:textId="77777777" w:rsidR="00E664CE"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Elhag</w:t>
      </w:r>
      <w:proofErr w:type="spellEnd"/>
      <w:r w:rsidRPr="00AB2321">
        <w:rPr>
          <w:rFonts w:ascii="Times New Roman" w:hAnsi="Times New Roman" w:cs="Times New Roman"/>
          <w:color w:val="222222"/>
          <w:sz w:val="24"/>
          <w:szCs w:val="24"/>
          <w:shd w:val="clear" w:color="auto" w:fill="FFFFFF"/>
          <w:lang w:val="es-US"/>
        </w:rPr>
        <w:t xml:space="preserve">, M., </w:t>
      </w:r>
      <w:proofErr w:type="spellStart"/>
      <w:r w:rsidRPr="00AB2321">
        <w:rPr>
          <w:rFonts w:ascii="Times New Roman" w:hAnsi="Times New Roman" w:cs="Times New Roman"/>
          <w:color w:val="222222"/>
          <w:sz w:val="24"/>
          <w:szCs w:val="24"/>
          <w:shd w:val="clear" w:color="auto" w:fill="FFFFFF"/>
          <w:lang w:val="es-US"/>
        </w:rPr>
        <w:t>Abdelwahab</w:t>
      </w:r>
      <w:proofErr w:type="spellEnd"/>
      <w:r w:rsidRPr="00AB2321">
        <w:rPr>
          <w:rFonts w:ascii="Times New Roman" w:hAnsi="Times New Roman" w:cs="Times New Roman"/>
          <w:color w:val="222222"/>
          <w:sz w:val="24"/>
          <w:szCs w:val="24"/>
          <w:shd w:val="clear" w:color="auto" w:fill="FFFFFF"/>
          <w:lang w:val="es-US"/>
        </w:rPr>
        <w:t xml:space="preserve">, H. E., El </w:t>
      </w:r>
      <w:proofErr w:type="spellStart"/>
      <w:r w:rsidRPr="00AB2321">
        <w:rPr>
          <w:rFonts w:ascii="Times New Roman" w:hAnsi="Times New Roman" w:cs="Times New Roman"/>
          <w:color w:val="222222"/>
          <w:sz w:val="24"/>
          <w:szCs w:val="24"/>
          <w:shd w:val="clear" w:color="auto" w:fill="FFFFFF"/>
          <w:lang w:val="es-US"/>
        </w:rPr>
        <w:t>Sadek</w:t>
      </w:r>
      <w:proofErr w:type="spellEnd"/>
      <w:r w:rsidRPr="00AB2321">
        <w:rPr>
          <w:rFonts w:ascii="Times New Roman" w:hAnsi="Times New Roman" w:cs="Times New Roman"/>
          <w:color w:val="222222"/>
          <w:sz w:val="24"/>
          <w:szCs w:val="24"/>
          <w:shd w:val="clear" w:color="auto" w:fill="FFFFFF"/>
          <w:lang w:val="es-US"/>
        </w:rPr>
        <w:t xml:space="preserve">, M. M., </w:t>
      </w:r>
      <w:proofErr w:type="spellStart"/>
      <w:r w:rsidRPr="00AB2321">
        <w:rPr>
          <w:rFonts w:ascii="Times New Roman" w:hAnsi="Times New Roman" w:cs="Times New Roman"/>
          <w:color w:val="222222"/>
          <w:sz w:val="24"/>
          <w:szCs w:val="24"/>
          <w:shd w:val="clear" w:color="auto" w:fill="FFFFFF"/>
          <w:lang w:val="es-US"/>
        </w:rPr>
        <w:t>Hamed</w:t>
      </w:r>
      <w:proofErr w:type="spellEnd"/>
      <w:r w:rsidRPr="00AB2321">
        <w:rPr>
          <w:rFonts w:ascii="Times New Roman" w:hAnsi="Times New Roman" w:cs="Times New Roman"/>
          <w:color w:val="222222"/>
          <w:sz w:val="24"/>
          <w:szCs w:val="24"/>
          <w:shd w:val="clear" w:color="auto" w:fill="FFFFFF"/>
          <w:lang w:val="es-US"/>
        </w:rPr>
        <w:t xml:space="preserve">, E. A., </w:t>
      </w:r>
      <w:proofErr w:type="spellStart"/>
      <w:r w:rsidRPr="00AB2321">
        <w:rPr>
          <w:rFonts w:ascii="Times New Roman" w:hAnsi="Times New Roman" w:cs="Times New Roman"/>
          <w:color w:val="222222"/>
          <w:sz w:val="24"/>
          <w:szCs w:val="24"/>
          <w:shd w:val="clear" w:color="auto" w:fill="FFFFFF"/>
          <w:lang w:val="es-US"/>
        </w:rPr>
        <w:t>Dambruoso</w:t>
      </w:r>
      <w:proofErr w:type="spellEnd"/>
      <w:r w:rsidRPr="00AB2321">
        <w:rPr>
          <w:rFonts w:ascii="Times New Roman" w:hAnsi="Times New Roman" w:cs="Times New Roman"/>
          <w:color w:val="222222"/>
          <w:sz w:val="24"/>
          <w:szCs w:val="24"/>
          <w:shd w:val="clear" w:color="auto" w:fill="FFFFFF"/>
          <w:lang w:val="es-US"/>
        </w:rPr>
        <w:t xml:space="preserve">, P., </w:t>
      </w:r>
      <w:proofErr w:type="spellStart"/>
      <w:r w:rsidRPr="00AB2321">
        <w:rPr>
          <w:rFonts w:ascii="Times New Roman" w:hAnsi="Times New Roman" w:cs="Times New Roman"/>
          <w:color w:val="222222"/>
          <w:sz w:val="24"/>
          <w:szCs w:val="24"/>
          <w:shd w:val="clear" w:color="auto" w:fill="FFFFFF"/>
          <w:lang w:val="es-US"/>
        </w:rPr>
        <w:t>Casapullo</w:t>
      </w:r>
      <w:proofErr w:type="spellEnd"/>
      <w:r w:rsidRPr="00AB2321">
        <w:rPr>
          <w:rFonts w:ascii="Times New Roman" w:hAnsi="Times New Roman" w:cs="Times New Roman"/>
          <w:color w:val="222222"/>
          <w:sz w:val="24"/>
          <w:szCs w:val="24"/>
          <w:shd w:val="clear" w:color="auto" w:fill="FFFFFF"/>
          <w:lang w:val="es-US"/>
        </w:rPr>
        <w:t xml:space="preserve">, A., ... </w:t>
      </w:r>
      <w:r w:rsidRPr="00A404BE">
        <w:rPr>
          <w:rFonts w:ascii="Times New Roman" w:hAnsi="Times New Roman" w:cs="Times New Roman"/>
          <w:color w:val="222222"/>
          <w:sz w:val="24"/>
          <w:szCs w:val="24"/>
          <w:shd w:val="clear" w:color="auto" w:fill="FFFFFF"/>
        </w:rPr>
        <w:t>&amp; El-</w:t>
      </w:r>
      <w:proofErr w:type="spellStart"/>
      <w:r w:rsidRPr="00A404BE">
        <w:rPr>
          <w:rFonts w:ascii="Times New Roman" w:hAnsi="Times New Roman" w:cs="Times New Roman"/>
          <w:color w:val="222222"/>
          <w:sz w:val="24"/>
          <w:szCs w:val="24"/>
          <w:shd w:val="clear" w:color="auto" w:fill="FFFFFF"/>
        </w:rPr>
        <w:t>Zawawy</w:t>
      </w:r>
      <w:proofErr w:type="spellEnd"/>
      <w:r w:rsidRPr="00A404BE">
        <w:rPr>
          <w:rFonts w:ascii="Times New Roman" w:hAnsi="Times New Roman" w:cs="Times New Roman"/>
          <w:color w:val="222222"/>
          <w:sz w:val="24"/>
          <w:szCs w:val="24"/>
          <w:shd w:val="clear" w:color="auto" w:fill="FFFFFF"/>
        </w:rPr>
        <w:t>, R. O. (2025). Microwave-assisted synthesis of indoloquinoxaline derivatives as promising anti-alzheimer agents: DFT and molecular docking study. </w:t>
      </w:r>
      <w:r w:rsidRPr="00A404BE">
        <w:rPr>
          <w:rFonts w:ascii="Times New Roman" w:hAnsi="Times New Roman" w:cs="Times New Roman"/>
          <w:i/>
          <w:iCs/>
          <w:color w:val="222222"/>
          <w:sz w:val="24"/>
          <w:szCs w:val="24"/>
          <w:shd w:val="clear" w:color="auto" w:fill="FFFFFF"/>
        </w:rPr>
        <w:t>Journal of Molecular Structure</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1321</w:t>
      </w:r>
      <w:r w:rsidRPr="00A404BE">
        <w:rPr>
          <w:rFonts w:ascii="Times New Roman" w:hAnsi="Times New Roman" w:cs="Times New Roman"/>
          <w:color w:val="222222"/>
          <w:sz w:val="24"/>
          <w:szCs w:val="24"/>
          <w:shd w:val="clear" w:color="auto" w:fill="FFFFFF"/>
        </w:rPr>
        <w:t>, 140126.</w:t>
      </w:r>
    </w:p>
    <w:p w14:paraId="1540E905"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Kanhed, A. M., Patel, D. V., Patel, N. R., Sinha, A., Thakor, P. S., Patel, K. B., ... &amp; Yadav, M. R. (2022). Indoloquinoxaline derivatives as promising multi-functional anti-Alzheimer agents. </w:t>
      </w:r>
      <w:r w:rsidRPr="00A404BE">
        <w:rPr>
          <w:rFonts w:ascii="Times New Roman" w:hAnsi="Times New Roman" w:cs="Times New Roman"/>
          <w:i/>
          <w:iCs/>
          <w:color w:val="222222"/>
          <w:sz w:val="24"/>
          <w:szCs w:val="24"/>
          <w:shd w:val="clear" w:color="auto" w:fill="FFFFFF"/>
        </w:rPr>
        <w:t>Journal of Biomolecular Structure and Dynamics</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40</w:t>
      </w:r>
      <w:r w:rsidRPr="00A404BE">
        <w:rPr>
          <w:rFonts w:ascii="Times New Roman" w:hAnsi="Times New Roman" w:cs="Times New Roman"/>
          <w:color w:val="222222"/>
          <w:sz w:val="24"/>
          <w:szCs w:val="24"/>
          <w:shd w:val="clear" w:color="auto" w:fill="FFFFFF"/>
        </w:rPr>
        <w:t>(6), 2498-2515.</w:t>
      </w:r>
    </w:p>
    <w:p w14:paraId="763816F1"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Reddy, M. V. K., Rao, K. Y., Anusha, G., Kumar, G. M., Damu, A. G., Reddy, K. R., ... &amp; Reddy, P. V. G. (2021). In-vitro evaluation of antioxidant and anticholinesterase activities of novel pyridine, quinoxaline and s-triazine derivatives. </w:t>
      </w:r>
      <w:r w:rsidRPr="00A404BE">
        <w:rPr>
          <w:rFonts w:ascii="Times New Roman" w:hAnsi="Times New Roman" w:cs="Times New Roman"/>
          <w:i/>
          <w:iCs/>
          <w:color w:val="222222"/>
          <w:sz w:val="24"/>
          <w:szCs w:val="24"/>
          <w:shd w:val="clear" w:color="auto" w:fill="FFFFFF"/>
        </w:rPr>
        <w:t>Environmental Research</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199</w:t>
      </w:r>
      <w:r w:rsidRPr="00A404BE">
        <w:rPr>
          <w:rFonts w:ascii="Times New Roman" w:hAnsi="Times New Roman" w:cs="Times New Roman"/>
          <w:color w:val="222222"/>
          <w:sz w:val="24"/>
          <w:szCs w:val="24"/>
          <w:shd w:val="clear" w:color="auto" w:fill="FFFFFF"/>
        </w:rPr>
        <w:t>, 111320.</w:t>
      </w:r>
    </w:p>
    <w:p w14:paraId="60D5093E"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t xml:space="preserve">Kumar Jain, A., Gupta, A., Karthikeyan, C., Trivedi, P., &amp; Dutt Konar, A. (2021). Unravelling the Selectivity of 6, 7‐Dimethyl Quinoxaline Analogs for Kinase Inhibition: </w:t>
      </w:r>
      <w:r w:rsidRPr="00A404BE">
        <w:rPr>
          <w:rFonts w:ascii="Times New Roman" w:hAnsi="Times New Roman" w:cs="Times New Roman"/>
          <w:color w:val="222222"/>
          <w:sz w:val="24"/>
          <w:szCs w:val="24"/>
          <w:shd w:val="clear" w:color="auto" w:fill="FFFFFF"/>
        </w:rPr>
        <w:t>An Insight towards the Development of Alzheimer's Therapeutics. </w:t>
      </w:r>
      <w:r w:rsidRPr="00A404BE">
        <w:rPr>
          <w:rFonts w:ascii="Times New Roman" w:hAnsi="Times New Roman" w:cs="Times New Roman"/>
          <w:i/>
          <w:iCs/>
          <w:color w:val="222222"/>
          <w:sz w:val="24"/>
          <w:szCs w:val="24"/>
          <w:shd w:val="clear" w:color="auto" w:fill="FFFFFF"/>
        </w:rPr>
        <w:t>Chemistry &amp; Biodiversity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18</w:t>
      </w:r>
      <w:r w:rsidRPr="00A404BE">
        <w:rPr>
          <w:rFonts w:ascii="Times New Roman" w:hAnsi="Times New Roman" w:cs="Times New Roman"/>
          <w:color w:val="222222"/>
          <w:sz w:val="24"/>
          <w:szCs w:val="24"/>
          <w:shd w:val="clear" w:color="auto" w:fill="FFFFFF"/>
        </w:rPr>
        <w:t>(11), e2100364.</w:t>
      </w:r>
    </w:p>
    <w:p w14:paraId="67D08CBA"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lastRenderedPageBreak/>
        <w:t>Yelamanda Rao, K., Chandran, R., Dileep, K. V., Gorantla, S. C., Jeelan Basha, S., Mothukuru, S., ... &amp; Damu, A. G. (2024). Quinazolinone–Hydrazine Cyanoacetamide Hybrids as Potent Multitarget-Directed Druggable Therapeutics against Alzheimer’s Disease:</w:t>
      </w:r>
      <w:r w:rsidRPr="00A404BE">
        <w:rPr>
          <w:rFonts w:ascii="Times New Roman" w:hAnsi="Times New Roman" w:cs="Times New Roman"/>
          <w:color w:val="222222"/>
          <w:sz w:val="24"/>
          <w:szCs w:val="24"/>
          <w:shd w:val="clear" w:color="auto" w:fill="FFFFFF"/>
        </w:rPr>
        <w:t xml:space="preserve"> Design, Synthesis, and Biochemical, In Silico, and Mechanistic Analyses. </w:t>
      </w:r>
      <w:r w:rsidRPr="00A404BE">
        <w:rPr>
          <w:rFonts w:ascii="Times New Roman" w:hAnsi="Times New Roman" w:cs="Times New Roman"/>
          <w:i/>
          <w:iCs/>
          <w:color w:val="222222"/>
          <w:sz w:val="24"/>
          <w:szCs w:val="24"/>
          <w:shd w:val="clear" w:color="auto" w:fill="FFFFFF"/>
        </w:rPr>
        <w:t>ACS Chemical Neuroscience</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15</w:t>
      </w:r>
      <w:r w:rsidRPr="00A404BE">
        <w:rPr>
          <w:rFonts w:ascii="Times New Roman" w:hAnsi="Times New Roman" w:cs="Times New Roman"/>
          <w:color w:val="222222"/>
          <w:sz w:val="24"/>
          <w:szCs w:val="24"/>
          <w:shd w:val="clear" w:color="auto" w:fill="FFFFFF"/>
        </w:rPr>
        <w:t>(18), 3401-3420.</w:t>
      </w:r>
    </w:p>
    <w:p w14:paraId="46B3A96A"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Tristan</w:t>
      </w:r>
      <w:proofErr w:type="spellEnd"/>
      <w:r w:rsidRPr="00AB2321">
        <w:rPr>
          <w:rFonts w:ascii="Times New Roman" w:hAnsi="Times New Roman" w:cs="Times New Roman"/>
          <w:color w:val="222222"/>
          <w:sz w:val="24"/>
          <w:szCs w:val="24"/>
          <w:shd w:val="clear" w:color="auto" w:fill="FFFFFF"/>
          <w:lang w:val="es-US"/>
        </w:rPr>
        <w:t xml:space="preserve">-Manzano, M., Guirado, A., Martínez-Esparza, M., </w:t>
      </w:r>
      <w:proofErr w:type="spellStart"/>
      <w:r w:rsidRPr="00AB2321">
        <w:rPr>
          <w:rFonts w:ascii="Times New Roman" w:hAnsi="Times New Roman" w:cs="Times New Roman"/>
          <w:color w:val="222222"/>
          <w:sz w:val="24"/>
          <w:szCs w:val="24"/>
          <w:shd w:val="clear" w:color="auto" w:fill="FFFFFF"/>
          <w:lang w:val="es-US"/>
        </w:rPr>
        <w:t>Galvez</w:t>
      </w:r>
      <w:proofErr w:type="spellEnd"/>
      <w:r w:rsidRPr="00AB2321">
        <w:rPr>
          <w:rFonts w:ascii="Times New Roman" w:hAnsi="Times New Roman" w:cs="Times New Roman"/>
          <w:color w:val="222222"/>
          <w:sz w:val="24"/>
          <w:szCs w:val="24"/>
          <w:shd w:val="clear" w:color="auto" w:fill="FFFFFF"/>
          <w:lang w:val="es-US"/>
        </w:rPr>
        <w:t xml:space="preserve">, J., </w:t>
      </w:r>
      <w:proofErr w:type="spellStart"/>
      <w:r w:rsidRPr="00AB2321">
        <w:rPr>
          <w:rFonts w:ascii="Times New Roman" w:hAnsi="Times New Roman" w:cs="Times New Roman"/>
          <w:color w:val="222222"/>
          <w:sz w:val="24"/>
          <w:szCs w:val="24"/>
          <w:shd w:val="clear" w:color="auto" w:fill="FFFFFF"/>
          <w:lang w:val="es-US"/>
        </w:rPr>
        <w:t>Garcia-Penarrubia</w:t>
      </w:r>
      <w:proofErr w:type="spellEnd"/>
      <w:r w:rsidRPr="00AB2321">
        <w:rPr>
          <w:rFonts w:ascii="Times New Roman" w:hAnsi="Times New Roman" w:cs="Times New Roman"/>
          <w:color w:val="222222"/>
          <w:sz w:val="24"/>
          <w:szCs w:val="24"/>
          <w:shd w:val="clear" w:color="auto" w:fill="FFFFFF"/>
          <w:lang w:val="es-US"/>
        </w:rPr>
        <w:t xml:space="preserve">, P., &amp; J Ruiz-Alcaraz, A. (2015). </w:t>
      </w:r>
      <w:r w:rsidRPr="00A404BE">
        <w:rPr>
          <w:rFonts w:ascii="Times New Roman" w:hAnsi="Times New Roman" w:cs="Times New Roman"/>
          <w:color w:val="222222"/>
          <w:sz w:val="24"/>
          <w:szCs w:val="24"/>
          <w:shd w:val="clear" w:color="auto" w:fill="FFFFFF"/>
        </w:rPr>
        <w:t>Quinoxalines potential to target pathologies. </w:t>
      </w:r>
      <w:r w:rsidRPr="00A404BE">
        <w:rPr>
          <w:rFonts w:ascii="Times New Roman" w:hAnsi="Times New Roman" w:cs="Times New Roman"/>
          <w:i/>
          <w:iCs/>
          <w:color w:val="222222"/>
          <w:sz w:val="24"/>
          <w:szCs w:val="24"/>
          <w:shd w:val="clear" w:color="auto" w:fill="FFFFFF"/>
        </w:rPr>
        <w:t>Current Medicinal Chemistry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22</w:t>
      </w:r>
      <w:r w:rsidRPr="00A404BE">
        <w:rPr>
          <w:rFonts w:ascii="Times New Roman" w:hAnsi="Times New Roman" w:cs="Times New Roman"/>
          <w:color w:val="222222"/>
          <w:sz w:val="24"/>
          <w:szCs w:val="24"/>
          <w:shd w:val="clear" w:color="auto" w:fill="FFFFFF"/>
        </w:rPr>
        <w:t>(26), 3075-3108.</w:t>
      </w:r>
    </w:p>
    <w:p w14:paraId="75772C49"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Kanhed, A. M., Patel, D. V., Patel, N. R., Sinha, A., Thakor, P. S., Patel, K. B., ... &amp; Yadav, M. R. (2022). Indoloquinoxaline derivatives as promising multi-functional anti-Alzheimer agents. </w:t>
      </w:r>
      <w:r w:rsidRPr="00A404BE">
        <w:rPr>
          <w:rFonts w:ascii="Times New Roman" w:hAnsi="Times New Roman" w:cs="Times New Roman"/>
          <w:i/>
          <w:iCs/>
          <w:color w:val="222222"/>
          <w:sz w:val="24"/>
          <w:szCs w:val="24"/>
          <w:shd w:val="clear" w:color="auto" w:fill="FFFFFF"/>
        </w:rPr>
        <w:t>Journal of Biomolecular Structure and Dynamics</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40</w:t>
      </w:r>
      <w:r w:rsidRPr="00A404BE">
        <w:rPr>
          <w:rFonts w:ascii="Times New Roman" w:hAnsi="Times New Roman" w:cs="Times New Roman"/>
          <w:color w:val="222222"/>
          <w:sz w:val="24"/>
          <w:szCs w:val="24"/>
          <w:shd w:val="clear" w:color="auto" w:fill="FFFFFF"/>
        </w:rPr>
        <w:t>(6), 2498-2515.</w:t>
      </w:r>
    </w:p>
    <w:p w14:paraId="77EAD21F"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Reddy, M. V. K., Rao, K. Y., Anusha, G., Kumar, G. M., Damu, A. G., Reddy, K. R., ... &amp; Reddy, P. V. G. (2021). In-vitro evaluation of antioxidant and anticholinesterase activities of novel pyridine, quinoxaline and s-triazine derivatives. </w:t>
      </w:r>
      <w:r w:rsidRPr="00A404BE">
        <w:rPr>
          <w:rFonts w:ascii="Times New Roman" w:hAnsi="Times New Roman" w:cs="Times New Roman"/>
          <w:i/>
          <w:iCs/>
          <w:color w:val="222222"/>
          <w:sz w:val="24"/>
          <w:szCs w:val="24"/>
          <w:shd w:val="clear" w:color="auto" w:fill="FFFFFF"/>
        </w:rPr>
        <w:t>Environmental Research</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199</w:t>
      </w:r>
      <w:r w:rsidRPr="00A404BE">
        <w:rPr>
          <w:rFonts w:ascii="Times New Roman" w:hAnsi="Times New Roman" w:cs="Times New Roman"/>
          <w:color w:val="222222"/>
          <w:sz w:val="24"/>
          <w:szCs w:val="24"/>
          <w:shd w:val="clear" w:color="auto" w:fill="FFFFFF"/>
        </w:rPr>
        <w:t>, 111320.</w:t>
      </w:r>
    </w:p>
    <w:p w14:paraId="068BD4CB"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Sagar</w:t>
      </w:r>
      <w:proofErr w:type="spellEnd"/>
      <w:r w:rsidRPr="00AB2321">
        <w:rPr>
          <w:rFonts w:ascii="Times New Roman" w:hAnsi="Times New Roman" w:cs="Times New Roman"/>
          <w:color w:val="222222"/>
          <w:sz w:val="24"/>
          <w:szCs w:val="24"/>
          <w:shd w:val="clear" w:color="auto" w:fill="FFFFFF"/>
          <w:lang w:val="es-US"/>
        </w:rPr>
        <w:t xml:space="preserve">, S. R., Singh, D. P., Das, R. D., </w:t>
      </w:r>
      <w:proofErr w:type="spellStart"/>
      <w:r w:rsidRPr="00AB2321">
        <w:rPr>
          <w:rFonts w:ascii="Times New Roman" w:hAnsi="Times New Roman" w:cs="Times New Roman"/>
          <w:color w:val="222222"/>
          <w:sz w:val="24"/>
          <w:szCs w:val="24"/>
          <w:shd w:val="clear" w:color="auto" w:fill="FFFFFF"/>
          <w:lang w:val="es-US"/>
        </w:rPr>
        <w:t>Panchal</w:t>
      </w:r>
      <w:proofErr w:type="spellEnd"/>
      <w:r w:rsidRPr="00AB2321">
        <w:rPr>
          <w:rFonts w:ascii="Times New Roman" w:hAnsi="Times New Roman" w:cs="Times New Roman"/>
          <w:color w:val="222222"/>
          <w:sz w:val="24"/>
          <w:szCs w:val="24"/>
          <w:shd w:val="clear" w:color="auto" w:fill="FFFFFF"/>
          <w:lang w:val="es-US"/>
        </w:rPr>
        <w:t xml:space="preserve">, N. B., </w:t>
      </w:r>
      <w:proofErr w:type="spellStart"/>
      <w:r w:rsidRPr="00AB2321">
        <w:rPr>
          <w:rFonts w:ascii="Times New Roman" w:hAnsi="Times New Roman" w:cs="Times New Roman"/>
          <w:color w:val="222222"/>
          <w:sz w:val="24"/>
          <w:szCs w:val="24"/>
          <w:shd w:val="clear" w:color="auto" w:fill="FFFFFF"/>
          <w:lang w:val="es-US"/>
        </w:rPr>
        <w:t>Sudarsanam</w:t>
      </w:r>
      <w:proofErr w:type="spellEnd"/>
      <w:r w:rsidRPr="00AB2321">
        <w:rPr>
          <w:rFonts w:ascii="Times New Roman" w:hAnsi="Times New Roman" w:cs="Times New Roman"/>
          <w:color w:val="222222"/>
          <w:sz w:val="24"/>
          <w:szCs w:val="24"/>
          <w:shd w:val="clear" w:color="auto" w:fill="FFFFFF"/>
          <w:lang w:val="es-US"/>
        </w:rPr>
        <w:t xml:space="preserve">, V., </w:t>
      </w:r>
      <w:proofErr w:type="spellStart"/>
      <w:r w:rsidRPr="00AB2321">
        <w:rPr>
          <w:rFonts w:ascii="Times New Roman" w:hAnsi="Times New Roman" w:cs="Times New Roman"/>
          <w:color w:val="222222"/>
          <w:sz w:val="24"/>
          <w:szCs w:val="24"/>
          <w:shd w:val="clear" w:color="auto" w:fill="FFFFFF"/>
          <w:lang w:val="es-US"/>
        </w:rPr>
        <w:t>Nivsarkar</w:t>
      </w:r>
      <w:proofErr w:type="spellEnd"/>
      <w:r w:rsidRPr="00AB2321">
        <w:rPr>
          <w:rFonts w:ascii="Times New Roman" w:hAnsi="Times New Roman" w:cs="Times New Roman"/>
          <w:color w:val="222222"/>
          <w:sz w:val="24"/>
          <w:szCs w:val="24"/>
          <w:shd w:val="clear" w:color="auto" w:fill="FFFFFF"/>
          <w:lang w:val="es-US"/>
        </w:rPr>
        <w:t xml:space="preserve">, M., &amp; Vasu, K. K. (2019). </w:t>
      </w:r>
      <w:r w:rsidRPr="00A404BE">
        <w:rPr>
          <w:rFonts w:ascii="Times New Roman" w:hAnsi="Times New Roman" w:cs="Times New Roman"/>
          <w:color w:val="222222"/>
          <w:sz w:val="24"/>
          <w:szCs w:val="24"/>
          <w:shd w:val="clear" w:color="auto" w:fill="FFFFFF"/>
        </w:rPr>
        <w:t>Pharmacological investigation of quinoxaline-</w:t>
      </w:r>
      <w:proofErr w:type="spellStart"/>
      <w:r w:rsidRPr="00A404BE">
        <w:rPr>
          <w:rFonts w:ascii="Times New Roman" w:hAnsi="Times New Roman" w:cs="Times New Roman"/>
          <w:color w:val="222222"/>
          <w:sz w:val="24"/>
          <w:szCs w:val="24"/>
          <w:shd w:val="clear" w:color="auto" w:fill="FFFFFF"/>
        </w:rPr>
        <w:t>bisthiazoles</w:t>
      </w:r>
      <w:proofErr w:type="spellEnd"/>
      <w:r w:rsidRPr="00A404BE">
        <w:rPr>
          <w:rFonts w:ascii="Times New Roman" w:hAnsi="Times New Roman" w:cs="Times New Roman"/>
          <w:color w:val="222222"/>
          <w:sz w:val="24"/>
          <w:szCs w:val="24"/>
          <w:shd w:val="clear" w:color="auto" w:fill="FFFFFF"/>
        </w:rPr>
        <w:t xml:space="preserve"> as multitarget-directed ligands for the treatment of Alzheimer’s disease. </w:t>
      </w:r>
      <w:r w:rsidRPr="00A404BE">
        <w:rPr>
          <w:rFonts w:ascii="Times New Roman" w:hAnsi="Times New Roman" w:cs="Times New Roman"/>
          <w:i/>
          <w:iCs/>
          <w:color w:val="222222"/>
          <w:sz w:val="24"/>
          <w:szCs w:val="24"/>
          <w:shd w:val="clear" w:color="auto" w:fill="FFFFFF"/>
        </w:rPr>
        <w:t>Bioorganic chemistry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89</w:t>
      </w:r>
      <w:r w:rsidRPr="00A404BE">
        <w:rPr>
          <w:rFonts w:ascii="Times New Roman" w:hAnsi="Times New Roman" w:cs="Times New Roman"/>
          <w:color w:val="222222"/>
          <w:sz w:val="24"/>
          <w:szCs w:val="24"/>
          <w:shd w:val="clear" w:color="auto" w:fill="FFFFFF"/>
        </w:rPr>
        <w:t>, 102992.</w:t>
      </w:r>
    </w:p>
    <w:p w14:paraId="3D6F2805" w14:textId="77777777" w:rsidR="00A6539D" w:rsidRPr="00A404BE" w:rsidRDefault="009479A8"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Gontijo</w:t>
      </w:r>
      <w:proofErr w:type="spellEnd"/>
      <w:r w:rsidRPr="00AB2321">
        <w:rPr>
          <w:rFonts w:ascii="Times New Roman" w:hAnsi="Times New Roman" w:cs="Times New Roman"/>
          <w:color w:val="222222"/>
          <w:sz w:val="24"/>
          <w:szCs w:val="24"/>
          <w:shd w:val="clear" w:color="auto" w:fill="FFFFFF"/>
          <w:lang w:val="es-US"/>
        </w:rPr>
        <w:t xml:space="preserve">, V. S., Viegas, F. P. D., Ortiz, C. J., de Freitas Silva, M., </w:t>
      </w:r>
      <w:proofErr w:type="spellStart"/>
      <w:r w:rsidRPr="00AB2321">
        <w:rPr>
          <w:rFonts w:ascii="Times New Roman" w:hAnsi="Times New Roman" w:cs="Times New Roman"/>
          <w:color w:val="222222"/>
          <w:sz w:val="24"/>
          <w:szCs w:val="24"/>
          <w:shd w:val="clear" w:color="auto" w:fill="FFFFFF"/>
          <w:lang w:val="es-US"/>
        </w:rPr>
        <w:t>Damasio</w:t>
      </w:r>
      <w:proofErr w:type="spellEnd"/>
      <w:r w:rsidRPr="00AB2321">
        <w:rPr>
          <w:rFonts w:ascii="Times New Roman" w:hAnsi="Times New Roman" w:cs="Times New Roman"/>
          <w:color w:val="222222"/>
          <w:sz w:val="24"/>
          <w:szCs w:val="24"/>
          <w:shd w:val="clear" w:color="auto" w:fill="FFFFFF"/>
          <w:lang w:val="es-US"/>
        </w:rPr>
        <w:t xml:space="preserve">, C. M., Rosa, M. C., ... </w:t>
      </w:r>
      <w:r w:rsidRPr="00A404BE">
        <w:rPr>
          <w:rFonts w:ascii="Times New Roman" w:hAnsi="Times New Roman" w:cs="Times New Roman"/>
          <w:color w:val="222222"/>
          <w:sz w:val="24"/>
          <w:szCs w:val="24"/>
          <w:shd w:val="clear" w:color="auto" w:fill="FFFFFF"/>
        </w:rPr>
        <w:t>&amp; Viegas, C. (2020). Molecular hybridization as a tool in the design of multi-target directed drug candidates for neurodegenerative diseases. </w:t>
      </w:r>
      <w:r w:rsidRPr="00A404BE">
        <w:rPr>
          <w:rFonts w:ascii="Times New Roman" w:hAnsi="Times New Roman" w:cs="Times New Roman"/>
          <w:i/>
          <w:iCs/>
          <w:color w:val="222222"/>
          <w:sz w:val="24"/>
          <w:szCs w:val="24"/>
          <w:shd w:val="clear" w:color="auto" w:fill="FFFFFF"/>
        </w:rPr>
        <w:t>Current neuropharmacology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18</w:t>
      </w:r>
      <w:r w:rsidRPr="00A404BE">
        <w:rPr>
          <w:rFonts w:ascii="Times New Roman" w:hAnsi="Times New Roman" w:cs="Times New Roman"/>
          <w:color w:val="222222"/>
          <w:sz w:val="24"/>
          <w:szCs w:val="24"/>
          <w:shd w:val="clear" w:color="auto" w:fill="FFFFFF"/>
        </w:rPr>
        <w:t>(5), 348-407.</w:t>
      </w:r>
    </w:p>
    <w:p w14:paraId="6C5F0B1A" w14:textId="77777777" w:rsidR="009479A8" w:rsidRPr="00A404BE" w:rsidRDefault="009479A8"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t>Tanaka, M., Szatmári, I., &amp; Vécsei, L. (2025). Quinoline Quest:</w:t>
      </w:r>
      <w:r w:rsidRPr="00A404BE">
        <w:rPr>
          <w:rFonts w:ascii="Times New Roman" w:hAnsi="Times New Roman" w:cs="Times New Roman"/>
          <w:color w:val="222222"/>
          <w:sz w:val="24"/>
          <w:szCs w:val="24"/>
          <w:shd w:val="clear" w:color="auto" w:fill="FFFFFF"/>
        </w:rPr>
        <w:t xml:space="preserve"> Kynurenic Acid Strategies for Next-Generation Therapeutics via Rational Drug Design.</w:t>
      </w:r>
    </w:p>
    <w:p w14:paraId="63EC80C3" w14:textId="233613D8" w:rsidR="00A404BE" w:rsidRDefault="009479A8" w:rsidP="000550B3">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0550B3">
        <w:rPr>
          <w:rFonts w:ascii="Times New Roman" w:hAnsi="Times New Roman" w:cs="Times New Roman"/>
          <w:color w:val="222222"/>
          <w:sz w:val="24"/>
          <w:szCs w:val="24"/>
          <w:shd w:val="clear" w:color="auto" w:fill="FFFFFF"/>
        </w:rPr>
        <w:t>Suwanhom, P., Saetang, J., Khongkow, P., Nualnoi, T., Tipmanee, V., &amp; Lomlim, L. (2021). Synthesis, biological evaluation, and in silico studies of new acetylcholinesterase inhibitors based on quinoxaline</w:t>
      </w:r>
      <w:r w:rsidR="000550B3" w:rsidRPr="000550B3">
        <w:rPr>
          <w:rFonts w:ascii="Times New Roman" w:hAnsi="Times New Roman" w:cs="Times New Roman"/>
          <w:color w:val="222222"/>
          <w:sz w:val="24"/>
          <w:szCs w:val="24"/>
          <w:shd w:val="clear" w:color="auto" w:fill="FFFFFF"/>
        </w:rPr>
        <w:t>s</w:t>
      </w:r>
      <w:r w:rsidR="000550B3">
        <w:rPr>
          <w:rFonts w:ascii="Times New Roman" w:hAnsi="Times New Roman" w:cs="Times New Roman"/>
          <w:color w:val="222222"/>
          <w:sz w:val="24"/>
          <w:szCs w:val="24"/>
          <w:shd w:val="clear" w:color="auto" w:fill="FFFFFF"/>
        </w:rPr>
        <w:t xml:space="preserve"> </w:t>
      </w:r>
      <w:proofErr w:type="spellStart"/>
      <w:r w:rsidRPr="000550B3">
        <w:rPr>
          <w:rFonts w:ascii="Times New Roman" w:hAnsi="Times New Roman" w:cs="Times New Roman"/>
          <w:color w:val="222222"/>
          <w:sz w:val="24"/>
          <w:szCs w:val="24"/>
          <w:shd w:val="clear" w:color="auto" w:fill="FFFFFF"/>
        </w:rPr>
        <w:t>caffold</w:t>
      </w:r>
      <w:proofErr w:type="spellEnd"/>
      <w:r w:rsidRPr="000550B3">
        <w:rPr>
          <w:rFonts w:ascii="Times New Roman" w:hAnsi="Times New Roman" w:cs="Times New Roman"/>
          <w:color w:val="222222"/>
          <w:sz w:val="24"/>
          <w:szCs w:val="24"/>
          <w:shd w:val="clear" w:color="auto" w:fill="FFFFFF"/>
        </w:rPr>
        <w:t>. </w:t>
      </w:r>
      <w:r w:rsidRPr="000550B3">
        <w:rPr>
          <w:rFonts w:ascii="Times New Roman" w:hAnsi="Times New Roman" w:cs="Times New Roman"/>
          <w:i/>
          <w:iCs/>
          <w:color w:val="222222"/>
          <w:sz w:val="24"/>
          <w:szCs w:val="24"/>
          <w:shd w:val="clear" w:color="auto" w:fill="FFFFFF"/>
        </w:rPr>
        <w:t>Molecules</w:t>
      </w:r>
      <w:r w:rsidRPr="000550B3">
        <w:rPr>
          <w:rFonts w:ascii="Times New Roman" w:hAnsi="Times New Roman" w:cs="Times New Roman"/>
          <w:color w:val="222222"/>
          <w:sz w:val="24"/>
          <w:szCs w:val="24"/>
          <w:shd w:val="clear" w:color="auto" w:fill="FFFFFF"/>
        </w:rPr>
        <w:t>, </w:t>
      </w:r>
      <w:r w:rsidRPr="000550B3">
        <w:rPr>
          <w:rFonts w:ascii="Times New Roman" w:hAnsi="Times New Roman" w:cs="Times New Roman"/>
          <w:i/>
          <w:iCs/>
          <w:color w:val="222222"/>
          <w:sz w:val="24"/>
          <w:szCs w:val="24"/>
          <w:shd w:val="clear" w:color="auto" w:fill="FFFFFF"/>
        </w:rPr>
        <w:t>26</w:t>
      </w:r>
      <w:r w:rsidRPr="000550B3">
        <w:rPr>
          <w:rFonts w:ascii="Times New Roman" w:hAnsi="Times New Roman" w:cs="Times New Roman"/>
          <w:color w:val="222222"/>
          <w:sz w:val="24"/>
          <w:szCs w:val="24"/>
          <w:shd w:val="clear" w:color="auto" w:fill="FFFFFF"/>
        </w:rPr>
        <w:t xml:space="preserve">(16), 4895. </w:t>
      </w:r>
    </w:p>
    <w:p w14:paraId="6CA405FB" w14:textId="5098056B" w:rsidR="000550B3" w:rsidRDefault="000550B3" w:rsidP="000550B3">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highlight w:val="yellow"/>
          <w:shd w:val="clear" w:color="auto" w:fill="FFFFFF"/>
        </w:rPr>
      </w:pPr>
      <w:r w:rsidRPr="00721669">
        <w:rPr>
          <w:rFonts w:ascii="Times New Roman" w:hAnsi="Times New Roman" w:cs="Times New Roman"/>
          <w:color w:val="222222"/>
          <w:sz w:val="24"/>
          <w:szCs w:val="24"/>
          <w:highlight w:val="yellow"/>
          <w:shd w:val="clear" w:color="auto" w:fill="FFFFFF"/>
        </w:rPr>
        <w:t xml:space="preserve">Waseem, A. M., </w:t>
      </w:r>
      <w:proofErr w:type="spellStart"/>
      <w:r w:rsidRPr="00721669">
        <w:rPr>
          <w:rFonts w:ascii="Times New Roman" w:hAnsi="Times New Roman" w:cs="Times New Roman"/>
          <w:color w:val="222222"/>
          <w:sz w:val="24"/>
          <w:szCs w:val="24"/>
          <w:highlight w:val="yellow"/>
          <w:shd w:val="clear" w:color="auto" w:fill="FFFFFF"/>
        </w:rPr>
        <w:t>Elmagzoub</w:t>
      </w:r>
      <w:proofErr w:type="spellEnd"/>
      <w:r w:rsidRPr="00721669">
        <w:rPr>
          <w:rFonts w:ascii="Times New Roman" w:hAnsi="Times New Roman" w:cs="Times New Roman"/>
          <w:color w:val="222222"/>
          <w:sz w:val="24"/>
          <w:szCs w:val="24"/>
          <w:highlight w:val="yellow"/>
          <w:shd w:val="clear" w:color="auto" w:fill="FFFFFF"/>
        </w:rPr>
        <w:t xml:space="preserve">, R. M., </w:t>
      </w:r>
      <w:proofErr w:type="spellStart"/>
      <w:r w:rsidRPr="00721669">
        <w:rPr>
          <w:rFonts w:ascii="Times New Roman" w:hAnsi="Times New Roman" w:cs="Times New Roman"/>
          <w:color w:val="222222"/>
          <w:sz w:val="24"/>
          <w:szCs w:val="24"/>
          <w:highlight w:val="yellow"/>
          <w:shd w:val="clear" w:color="auto" w:fill="FFFFFF"/>
        </w:rPr>
        <w:t>Abdelgadir</w:t>
      </w:r>
      <w:proofErr w:type="spellEnd"/>
      <w:r w:rsidRPr="00721669">
        <w:rPr>
          <w:rFonts w:ascii="Times New Roman" w:hAnsi="Times New Roman" w:cs="Times New Roman"/>
          <w:color w:val="222222"/>
          <w:sz w:val="24"/>
          <w:szCs w:val="24"/>
          <w:highlight w:val="yellow"/>
          <w:shd w:val="clear" w:color="auto" w:fill="FFFFFF"/>
        </w:rPr>
        <w:t>, M. M. M., Al Bahir, A., Abd EL-</w:t>
      </w:r>
      <w:proofErr w:type="spellStart"/>
      <w:r w:rsidRPr="00721669">
        <w:rPr>
          <w:rFonts w:ascii="Times New Roman" w:hAnsi="Times New Roman" w:cs="Times New Roman"/>
          <w:color w:val="222222"/>
          <w:sz w:val="24"/>
          <w:szCs w:val="24"/>
          <w:highlight w:val="yellow"/>
          <w:shd w:val="clear" w:color="auto" w:fill="FFFFFF"/>
        </w:rPr>
        <w:t>Gawaad</w:t>
      </w:r>
      <w:proofErr w:type="spellEnd"/>
      <w:r w:rsidRPr="00721669">
        <w:rPr>
          <w:rFonts w:ascii="Times New Roman" w:hAnsi="Times New Roman" w:cs="Times New Roman"/>
          <w:color w:val="222222"/>
          <w:sz w:val="24"/>
          <w:szCs w:val="24"/>
          <w:highlight w:val="yellow"/>
          <w:shd w:val="clear" w:color="auto" w:fill="FFFFFF"/>
        </w:rPr>
        <w:t>, N. S., Abdel-</w:t>
      </w:r>
      <w:proofErr w:type="spellStart"/>
      <w:r w:rsidRPr="00721669">
        <w:rPr>
          <w:rFonts w:ascii="Times New Roman" w:hAnsi="Times New Roman" w:cs="Times New Roman"/>
          <w:color w:val="222222"/>
          <w:sz w:val="24"/>
          <w:szCs w:val="24"/>
          <w:highlight w:val="yellow"/>
          <w:shd w:val="clear" w:color="auto" w:fill="FFFFFF"/>
        </w:rPr>
        <w:t>Samea</w:t>
      </w:r>
      <w:proofErr w:type="spellEnd"/>
      <w:r w:rsidRPr="00721669">
        <w:rPr>
          <w:rFonts w:ascii="Times New Roman" w:hAnsi="Times New Roman" w:cs="Times New Roman"/>
          <w:color w:val="222222"/>
          <w:sz w:val="24"/>
          <w:szCs w:val="24"/>
          <w:highlight w:val="yellow"/>
          <w:shd w:val="clear" w:color="auto" w:fill="FFFFFF"/>
        </w:rPr>
        <w:t xml:space="preserve">, A. S., ... &amp; Hashem, H. (2024). An insight into the therapeutic impact </w:t>
      </w:r>
      <w:r w:rsidRPr="00721669">
        <w:rPr>
          <w:rFonts w:ascii="Times New Roman" w:hAnsi="Times New Roman" w:cs="Times New Roman"/>
          <w:color w:val="222222"/>
          <w:sz w:val="24"/>
          <w:szCs w:val="24"/>
          <w:highlight w:val="yellow"/>
          <w:shd w:val="clear" w:color="auto" w:fill="FFFFFF"/>
        </w:rPr>
        <w:lastRenderedPageBreak/>
        <w:t>of quinoxaline derivatives: Recent advances in biological activities (2020–2024). Results in Chemistry, 101989.</w:t>
      </w:r>
    </w:p>
    <w:p w14:paraId="7314B009" w14:textId="00DF00EB" w:rsidR="00DA69B7" w:rsidRDefault="00DA69B7" w:rsidP="000550B3">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highlight w:val="yellow"/>
          <w:shd w:val="clear" w:color="auto" w:fill="FFFFFF"/>
        </w:rPr>
      </w:pPr>
      <w:r w:rsidRPr="00721669">
        <w:rPr>
          <w:rFonts w:ascii="Times New Roman" w:hAnsi="Times New Roman" w:cs="Times New Roman"/>
          <w:color w:val="222222"/>
          <w:sz w:val="24"/>
          <w:szCs w:val="24"/>
          <w:highlight w:val="yellow"/>
          <w:shd w:val="clear" w:color="auto" w:fill="FFFFFF"/>
        </w:rPr>
        <w:t>Mo, X., Rao, D. P., Kaur, K., Hassan, R., Abdel-</w:t>
      </w:r>
      <w:proofErr w:type="spellStart"/>
      <w:r w:rsidRPr="00721669">
        <w:rPr>
          <w:rFonts w:ascii="Times New Roman" w:hAnsi="Times New Roman" w:cs="Times New Roman"/>
          <w:color w:val="222222"/>
          <w:sz w:val="24"/>
          <w:szCs w:val="24"/>
          <w:highlight w:val="yellow"/>
          <w:shd w:val="clear" w:color="auto" w:fill="FFFFFF"/>
        </w:rPr>
        <w:t>Samea</w:t>
      </w:r>
      <w:proofErr w:type="spellEnd"/>
      <w:r w:rsidRPr="00721669">
        <w:rPr>
          <w:rFonts w:ascii="Times New Roman" w:hAnsi="Times New Roman" w:cs="Times New Roman"/>
          <w:color w:val="222222"/>
          <w:sz w:val="24"/>
          <w:szCs w:val="24"/>
          <w:highlight w:val="yellow"/>
          <w:shd w:val="clear" w:color="auto" w:fill="FFFFFF"/>
        </w:rPr>
        <w:t>, A. S., Farhan, S. M., ... &amp; Hashem, H. (2024). Indole derivatives: a versatile scaffold in modern drug discovery—an updated review on their multifaceted therapeutic applications (2020–2024). Molecules, 29(19), 4770.</w:t>
      </w:r>
    </w:p>
    <w:p w14:paraId="0632F86A" w14:textId="162BC801" w:rsidR="00DA69B7" w:rsidRDefault="00DA69B7" w:rsidP="000550B3">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highlight w:val="yellow"/>
          <w:shd w:val="clear" w:color="auto" w:fill="FFFFFF"/>
        </w:rPr>
      </w:pPr>
      <w:proofErr w:type="spellStart"/>
      <w:r w:rsidRPr="00721669">
        <w:rPr>
          <w:rFonts w:ascii="Times New Roman" w:hAnsi="Times New Roman" w:cs="Times New Roman"/>
          <w:color w:val="222222"/>
          <w:sz w:val="24"/>
          <w:szCs w:val="24"/>
          <w:highlight w:val="yellow"/>
          <w:shd w:val="clear" w:color="auto" w:fill="FFFFFF"/>
        </w:rPr>
        <w:t>Dehnavi</w:t>
      </w:r>
      <w:proofErr w:type="spellEnd"/>
      <w:r w:rsidRPr="00721669">
        <w:rPr>
          <w:rFonts w:ascii="Times New Roman" w:hAnsi="Times New Roman" w:cs="Times New Roman"/>
          <w:color w:val="222222"/>
          <w:sz w:val="24"/>
          <w:szCs w:val="24"/>
          <w:highlight w:val="yellow"/>
          <w:shd w:val="clear" w:color="auto" w:fill="FFFFFF"/>
        </w:rPr>
        <w:t xml:space="preserve">, F., </w:t>
      </w:r>
      <w:proofErr w:type="spellStart"/>
      <w:r w:rsidRPr="00721669">
        <w:rPr>
          <w:rFonts w:ascii="Times New Roman" w:hAnsi="Times New Roman" w:cs="Times New Roman"/>
          <w:color w:val="222222"/>
          <w:sz w:val="24"/>
          <w:szCs w:val="24"/>
          <w:highlight w:val="yellow"/>
          <w:shd w:val="clear" w:color="auto" w:fill="FFFFFF"/>
        </w:rPr>
        <w:t>Akhavan</w:t>
      </w:r>
      <w:proofErr w:type="spellEnd"/>
      <w:r w:rsidRPr="00721669">
        <w:rPr>
          <w:rFonts w:ascii="Times New Roman" w:hAnsi="Times New Roman" w:cs="Times New Roman"/>
          <w:color w:val="222222"/>
          <w:sz w:val="24"/>
          <w:szCs w:val="24"/>
          <w:highlight w:val="yellow"/>
          <w:shd w:val="clear" w:color="auto" w:fill="FFFFFF"/>
        </w:rPr>
        <w:t xml:space="preserve">, M., &amp; </w:t>
      </w:r>
      <w:proofErr w:type="spellStart"/>
      <w:r w:rsidRPr="00721669">
        <w:rPr>
          <w:rFonts w:ascii="Times New Roman" w:hAnsi="Times New Roman" w:cs="Times New Roman"/>
          <w:color w:val="222222"/>
          <w:sz w:val="24"/>
          <w:szCs w:val="24"/>
          <w:highlight w:val="yellow"/>
          <w:shd w:val="clear" w:color="auto" w:fill="FFFFFF"/>
        </w:rPr>
        <w:t>Bekhradnia</w:t>
      </w:r>
      <w:proofErr w:type="spellEnd"/>
      <w:r w:rsidRPr="00721669">
        <w:rPr>
          <w:rFonts w:ascii="Times New Roman" w:hAnsi="Times New Roman" w:cs="Times New Roman"/>
          <w:color w:val="222222"/>
          <w:sz w:val="24"/>
          <w:szCs w:val="24"/>
          <w:highlight w:val="yellow"/>
          <w:shd w:val="clear" w:color="auto" w:fill="FFFFFF"/>
        </w:rPr>
        <w:t>, A. (2024). Advances in quinoxaline derivatives: synthetic routes and antiviral efficacy against respiratory pathogens. RSC advances, 14(48), 35400-35423.</w:t>
      </w:r>
    </w:p>
    <w:p w14:paraId="28A49B2B" w14:textId="2CD29E27" w:rsidR="00421F0F" w:rsidRPr="00721669" w:rsidRDefault="00421F0F" w:rsidP="000550B3">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highlight w:val="yellow"/>
          <w:shd w:val="clear" w:color="auto" w:fill="FFFFFF"/>
        </w:rPr>
      </w:pPr>
      <w:r w:rsidRPr="00721669">
        <w:rPr>
          <w:rFonts w:ascii="Times New Roman" w:hAnsi="Times New Roman" w:cs="Times New Roman"/>
          <w:color w:val="222222"/>
          <w:sz w:val="24"/>
          <w:szCs w:val="24"/>
          <w:highlight w:val="yellow"/>
          <w:shd w:val="clear" w:color="auto" w:fill="FFFFFF"/>
        </w:rPr>
        <w:t xml:space="preserve">Taiwo, F. O., A. Obafemi, C. and A. </w:t>
      </w:r>
      <w:proofErr w:type="spellStart"/>
      <w:r w:rsidRPr="00721669">
        <w:rPr>
          <w:rFonts w:ascii="Times New Roman" w:hAnsi="Times New Roman" w:cs="Times New Roman"/>
          <w:color w:val="222222"/>
          <w:sz w:val="24"/>
          <w:szCs w:val="24"/>
          <w:highlight w:val="yellow"/>
          <w:shd w:val="clear" w:color="auto" w:fill="FFFFFF"/>
        </w:rPr>
        <w:t>Akinpelu</w:t>
      </w:r>
      <w:proofErr w:type="spellEnd"/>
      <w:r w:rsidRPr="00721669">
        <w:rPr>
          <w:rFonts w:ascii="Times New Roman" w:hAnsi="Times New Roman" w:cs="Times New Roman"/>
          <w:color w:val="222222"/>
          <w:sz w:val="24"/>
          <w:szCs w:val="24"/>
          <w:highlight w:val="yellow"/>
          <w:shd w:val="clear" w:color="auto" w:fill="FFFFFF"/>
        </w:rPr>
        <w:t xml:space="preserve">, D. (2021) “Synthesis of Some Quinoxaline Sulfonamides as a Potential Antibacterial Agent”, Journal of Pharmaceutical Research International, 33(51B), pp. 116–132. </w:t>
      </w:r>
      <w:proofErr w:type="spellStart"/>
      <w:r w:rsidRPr="00721669">
        <w:rPr>
          <w:rFonts w:ascii="Times New Roman" w:hAnsi="Times New Roman" w:cs="Times New Roman"/>
          <w:color w:val="222222"/>
          <w:sz w:val="24"/>
          <w:szCs w:val="24"/>
          <w:highlight w:val="yellow"/>
          <w:shd w:val="clear" w:color="auto" w:fill="FFFFFF"/>
        </w:rPr>
        <w:t>doi</w:t>
      </w:r>
      <w:proofErr w:type="spellEnd"/>
      <w:r w:rsidRPr="00721669">
        <w:rPr>
          <w:rFonts w:ascii="Times New Roman" w:hAnsi="Times New Roman" w:cs="Times New Roman"/>
          <w:color w:val="222222"/>
          <w:sz w:val="24"/>
          <w:szCs w:val="24"/>
          <w:highlight w:val="yellow"/>
          <w:shd w:val="clear" w:color="auto" w:fill="FFFFFF"/>
        </w:rPr>
        <w:t>: 10.9734/</w:t>
      </w:r>
      <w:proofErr w:type="spellStart"/>
      <w:r w:rsidRPr="00721669">
        <w:rPr>
          <w:rFonts w:ascii="Times New Roman" w:hAnsi="Times New Roman" w:cs="Times New Roman"/>
          <w:color w:val="222222"/>
          <w:sz w:val="24"/>
          <w:szCs w:val="24"/>
          <w:highlight w:val="yellow"/>
          <w:shd w:val="clear" w:color="auto" w:fill="FFFFFF"/>
        </w:rPr>
        <w:t>jpri</w:t>
      </w:r>
      <w:proofErr w:type="spellEnd"/>
      <w:r w:rsidRPr="00721669">
        <w:rPr>
          <w:rFonts w:ascii="Times New Roman" w:hAnsi="Times New Roman" w:cs="Times New Roman"/>
          <w:color w:val="222222"/>
          <w:sz w:val="24"/>
          <w:szCs w:val="24"/>
          <w:highlight w:val="yellow"/>
          <w:shd w:val="clear" w:color="auto" w:fill="FFFFFF"/>
        </w:rPr>
        <w:t>/2021/v33i51B33521.</w:t>
      </w:r>
    </w:p>
    <w:sectPr w:rsidR="00421F0F" w:rsidRPr="00721669" w:rsidSect="009A38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F734" w14:textId="77777777" w:rsidR="00D26F49" w:rsidRDefault="00D26F49" w:rsidP="001870DA">
      <w:pPr>
        <w:spacing w:after="0" w:line="240" w:lineRule="auto"/>
      </w:pPr>
      <w:r>
        <w:separator/>
      </w:r>
    </w:p>
  </w:endnote>
  <w:endnote w:type="continuationSeparator" w:id="0">
    <w:p w14:paraId="1B10FA2A" w14:textId="77777777" w:rsidR="00D26F49" w:rsidRDefault="00D26F49" w:rsidP="0018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968C" w14:textId="77777777" w:rsidR="001870DA" w:rsidRDefault="0018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9D51" w14:textId="77777777" w:rsidR="001870DA" w:rsidRDefault="00187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8CB5" w14:textId="77777777" w:rsidR="001870DA" w:rsidRDefault="0018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2FD6" w14:textId="77777777" w:rsidR="00D26F49" w:rsidRDefault="00D26F49" w:rsidP="001870DA">
      <w:pPr>
        <w:spacing w:after="0" w:line="240" w:lineRule="auto"/>
      </w:pPr>
      <w:r>
        <w:separator/>
      </w:r>
    </w:p>
  </w:footnote>
  <w:footnote w:type="continuationSeparator" w:id="0">
    <w:p w14:paraId="4CD08399" w14:textId="77777777" w:rsidR="00D26F49" w:rsidRDefault="00D26F49" w:rsidP="0018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C012" w14:textId="51856FC4" w:rsidR="001870DA" w:rsidRDefault="00D26F49">
    <w:pPr>
      <w:pStyle w:val="Header"/>
    </w:pPr>
    <w:r>
      <w:rPr>
        <w:noProof/>
      </w:rPr>
      <w:pict w14:anchorId="7186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6C2" w14:textId="2BE811EE" w:rsidR="001870DA" w:rsidRDefault="00D26F49">
    <w:pPr>
      <w:pStyle w:val="Header"/>
    </w:pPr>
    <w:r>
      <w:rPr>
        <w:noProof/>
      </w:rPr>
      <w:pict w14:anchorId="03CB5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2A0E" w14:textId="0A9C9590" w:rsidR="001870DA" w:rsidRDefault="00D26F49">
    <w:pPr>
      <w:pStyle w:val="Header"/>
    </w:pPr>
    <w:r>
      <w:rPr>
        <w:noProof/>
      </w:rPr>
      <w:pict w14:anchorId="75EC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69AB"/>
    <w:multiLevelType w:val="multilevel"/>
    <w:tmpl w:val="1B12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1617B"/>
    <w:multiLevelType w:val="multilevel"/>
    <w:tmpl w:val="0E3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7BDB"/>
    <w:multiLevelType w:val="multilevel"/>
    <w:tmpl w:val="C51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D2D74"/>
    <w:multiLevelType w:val="multilevel"/>
    <w:tmpl w:val="122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E1AE0"/>
    <w:multiLevelType w:val="multilevel"/>
    <w:tmpl w:val="6BEA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F05F7"/>
    <w:multiLevelType w:val="multilevel"/>
    <w:tmpl w:val="F892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63513"/>
    <w:multiLevelType w:val="multilevel"/>
    <w:tmpl w:val="C56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MLUwNjG1MDMwNDdQ0lEKTi0uzszPAykwqgUAO/s3USwAAAA="/>
  </w:docVars>
  <w:rsids>
    <w:rsidRoot w:val="00E664CE"/>
    <w:rsid w:val="000060F1"/>
    <w:rsid w:val="000550B3"/>
    <w:rsid w:val="000C3E81"/>
    <w:rsid w:val="000D3F0E"/>
    <w:rsid w:val="001028DA"/>
    <w:rsid w:val="001546A0"/>
    <w:rsid w:val="0017286D"/>
    <w:rsid w:val="00180EA1"/>
    <w:rsid w:val="001870DA"/>
    <w:rsid w:val="001A776E"/>
    <w:rsid w:val="001C52E7"/>
    <w:rsid w:val="001F55A0"/>
    <w:rsid w:val="002567C0"/>
    <w:rsid w:val="00256D88"/>
    <w:rsid w:val="002B0FB4"/>
    <w:rsid w:val="002C3446"/>
    <w:rsid w:val="004019D8"/>
    <w:rsid w:val="004032A2"/>
    <w:rsid w:val="00421F0F"/>
    <w:rsid w:val="00475D60"/>
    <w:rsid w:val="004875EA"/>
    <w:rsid w:val="004B1C07"/>
    <w:rsid w:val="00566AA9"/>
    <w:rsid w:val="005F0170"/>
    <w:rsid w:val="00615660"/>
    <w:rsid w:val="006800F6"/>
    <w:rsid w:val="007050D3"/>
    <w:rsid w:val="00721669"/>
    <w:rsid w:val="00726437"/>
    <w:rsid w:val="0074296C"/>
    <w:rsid w:val="007C3200"/>
    <w:rsid w:val="007F4264"/>
    <w:rsid w:val="00813441"/>
    <w:rsid w:val="008215B6"/>
    <w:rsid w:val="00875B7A"/>
    <w:rsid w:val="00894245"/>
    <w:rsid w:val="008F156A"/>
    <w:rsid w:val="009479A8"/>
    <w:rsid w:val="00953D7A"/>
    <w:rsid w:val="009A3843"/>
    <w:rsid w:val="009D0D44"/>
    <w:rsid w:val="00A404BE"/>
    <w:rsid w:val="00A6539D"/>
    <w:rsid w:val="00AA5B07"/>
    <w:rsid w:val="00AB2321"/>
    <w:rsid w:val="00AD1AA0"/>
    <w:rsid w:val="00AD1CA5"/>
    <w:rsid w:val="00BA2D4A"/>
    <w:rsid w:val="00BC086D"/>
    <w:rsid w:val="00BF786E"/>
    <w:rsid w:val="00CD254E"/>
    <w:rsid w:val="00CD6073"/>
    <w:rsid w:val="00D26F49"/>
    <w:rsid w:val="00D90775"/>
    <w:rsid w:val="00DA69B7"/>
    <w:rsid w:val="00DD25D1"/>
    <w:rsid w:val="00E155B2"/>
    <w:rsid w:val="00E664CE"/>
    <w:rsid w:val="00EA66C9"/>
    <w:rsid w:val="00EB05DD"/>
    <w:rsid w:val="00F3619A"/>
    <w:rsid w:val="00F43A75"/>
    <w:rsid w:val="00F518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15CB77"/>
  <w15:docId w15:val="{484C623D-1B53-4B49-A7ED-00BDCB0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B7A"/>
  </w:style>
  <w:style w:type="paragraph" w:styleId="Heading2">
    <w:name w:val="heading 2"/>
    <w:basedOn w:val="Normal"/>
    <w:next w:val="Normal"/>
    <w:link w:val="Heading2Char"/>
    <w:uiPriority w:val="9"/>
    <w:semiHidden/>
    <w:unhideWhenUsed/>
    <w:qFormat/>
    <w:rsid w:val="00E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664CE"/>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E664CE"/>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4CE"/>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E664CE"/>
    <w:rPr>
      <w:rFonts w:ascii="Times New Roman" w:eastAsia="Times New Roman" w:hAnsi="Times New Roman" w:cs="Times New Roman"/>
      <w:b/>
      <w:bCs/>
      <w:sz w:val="24"/>
      <w:szCs w:val="24"/>
      <w:lang w:bidi="hi-IN"/>
    </w:rPr>
  </w:style>
  <w:style w:type="paragraph" w:styleId="NormalWeb">
    <w:name w:val="Normal (Web)"/>
    <w:basedOn w:val="Normal"/>
    <w:uiPriority w:val="99"/>
    <w:unhideWhenUsed/>
    <w:rsid w:val="00E664C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664CE"/>
    <w:rPr>
      <w:b/>
      <w:bCs/>
    </w:rPr>
  </w:style>
  <w:style w:type="character" w:styleId="Emphasis">
    <w:name w:val="Emphasis"/>
    <w:basedOn w:val="DefaultParagraphFont"/>
    <w:uiPriority w:val="20"/>
    <w:qFormat/>
    <w:rsid w:val="00E664CE"/>
    <w:rPr>
      <w:i/>
      <w:iCs/>
    </w:rPr>
  </w:style>
  <w:style w:type="character" w:styleId="Hyperlink">
    <w:name w:val="Hyperlink"/>
    <w:basedOn w:val="DefaultParagraphFont"/>
    <w:uiPriority w:val="99"/>
    <w:unhideWhenUsed/>
    <w:rsid w:val="00E664CE"/>
    <w:rPr>
      <w:color w:val="0000FF"/>
      <w:u w:val="single"/>
    </w:rPr>
  </w:style>
  <w:style w:type="character" w:customStyle="1" w:styleId="Heading2Char">
    <w:name w:val="Heading 2 Char"/>
    <w:basedOn w:val="DefaultParagraphFont"/>
    <w:link w:val="Heading2"/>
    <w:uiPriority w:val="9"/>
    <w:semiHidden/>
    <w:rsid w:val="00E664CE"/>
    <w:rPr>
      <w:rFonts w:asciiTheme="majorHAnsi" w:eastAsiaTheme="majorEastAsia" w:hAnsiTheme="majorHAnsi" w:cstheme="majorBidi"/>
      <w:b/>
      <w:bCs/>
      <w:color w:val="4F81BD" w:themeColor="accent1"/>
      <w:sz w:val="26"/>
      <w:szCs w:val="26"/>
    </w:rPr>
  </w:style>
  <w:style w:type="character" w:customStyle="1" w:styleId="katex">
    <w:name w:val="katex"/>
    <w:basedOn w:val="DefaultParagraphFont"/>
    <w:rsid w:val="00F43A75"/>
  </w:style>
  <w:style w:type="character" w:customStyle="1" w:styleId="mord">
    <w:name w:val="mord"/>
    <w:basedOn w:val="DefaultParagraphFont"/>
    <w:rsid w:val="00F43A75"/>
  </w:style>
  <w:style w:type="character" w:customStyle="1" w:styleId="mrel">
    <w:name w:val="mrel"/>
    <w:basedOn w:val="DefaultParagraphFont"/>
    <w:rsid w:val="00F43A75"/>
  </w:style>
  <w:style w:type="character" w:customStyle="1" w:styleId="delimsizing">
    <w:name w:val="delimsizing"/>
    <w:basedOn w:val="DefaultParagraphFont"/>
    <w:rsid w:val="00F43A75"/>
  </w:style>
  <w:style w:type="character" w:customStyle="1" w:styleId="vlist-s">
    <w:name w:val="vlist-s"/>
    <w:basedOn w:val="DefaultParagraphFont"/>
    <w:rsid w:val="00F43A75"/>
  </w:style>
  <w:style w:type="character" w:customStyle="1" w:styleId="mbin">
    <w:name w:val="mbin"/>
    <w:basedOn w:val="DefaultParagraphFont"/>
    <w:rsid w:val="00F43A75"/>
  </w:style>
  <w:style w:type="paragraph" w:styleId="ListParagraph">
    <w:name w:val="List Paragraph"/>
    <w:basedOn w:val="Normal"/>
    <w:uiPriority w:val="34"/>
    <w:qFormat/>
    <w:rsid w:val="009479A8"/>
    <w:pPr>
      <w:ind w:left="720"/>
      <w:contextualSpacing/>
    </w:pPr>
  </w:style>
  <w:style w:type="paragraph" w:styleId="BalloonText">
    <w:name w:val="Balloon Text"/>
    <w:basedOn w:val="Normal"/>
    <w:link w:val="BalloonTextChar"/>
    <w:uiPriority w:val="99"/>
    <w:semiHidden/>
    <w:unhideWhenUsed/>
    <w:rsid w:val="0094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A8"/>
    <w:rPr>
      <w:rFonts w:ascii="Tahoma" w:hAnsi="Tahoma" w:cs="Tahoma"/>
      <w:sz w:val="16"/>
      <w:szCs w:val="16"/>
    </w:rPr>
  </w:style>
  <w:style w:type="character" w:styleId="PlaceholderText">
    <w:name w:val="Placeholder Text"/>
    <w:basedOn w:val="DefaultParagraphFont"/>
    <w:uiPriority w:val="99"/>
    <w:semiHidden/>
    <w:rsid w:val="004019D8"/>
    <w:rPr>
      <w:color w:val="808080"/>
    </w:rPr>
  </w:style>
  <w:style w:type="character" w:customStyle="1" w:styleId="UnresolvedMention1">
    <w:name w:val="Unresolved Mention1"/>
    <w:basedOn w:val="DefaultParagraphFont"/>
    <w:uiPriority w:val="99"/>
    <w:semiHidden/>
    <w:unhideWhenUsed/>
    <w:rsid w:val="006800F6"/>
    <w:rPr>
      <w:color w:val="605E5C"/>
      <w:shd w:val="clear" w:color="auto" w:fill="E1DFDD"/>
    </w:rPr>
  </w:style>
  <w:style w:type="paragraph" w:styleId="Header">
    <w:name w:val="header"/>
    <w:basedOn w:val="Normal"/>
    <w:link w:val="HeaderChar"/>
    <w:uiPriority w:val="99"/>
    <w:unhideWhenUsed/>
    <w:rsid w:val="0018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DA"/>
  </w:style>
  <w:style w:type="paragraph" w:styleId="Footer">
    <w:name w:val="footer"/>
    <w:basedOn w:val="Normal"/>
    <w:link w:val="FooterChar"/>
    <w:uiPriority w:val="99"/>
    <w:unhideWhenUsed/>
    <w:rsid w:val="0018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149">
      <w:bodyDiv w:val="1"/>
      <w:marLeft w:val="0"/>
      <w:marRight w:val="0"/>
      <w:marTop w:val="0"/>
      <w:marBottom w:val="0"/>
      <w:divBdr>
        <w:top w:val="none" w:sz="0" w:space="0" w:color="auto"/>
        <w:left w:val="none" w:sz="0" w:space="0" w:color="auto"/>
        <w:bottom w:val="none" w:sz="0" w:space="0" w:color="auto"/>
        <w:right w:val="none" w:sz="0" w:space="0" w:color="auto"/>
      </w:divBdr>
      <w:divsChild>
        <w:div w:id="1523470669">
          <w:marLeft w:val="0"/>
          <w:marRight w:val="0"/>
          <w:marTop w:val="0"/>
          <w:marBottom w:val="0"/>
          <w:divBdr>
            <w:top w:val="none" w:sz="0" w:space="0" w:color="auto"/>
            <w:left w:val="none" w:sz="0" w:space="0" w:color="auto"/>
            <w:bottom w:val="none" w:sz="0" w:space="0" w:color="auto"/>
            <w:right w:val="none" w:sz="0" w:space="0" w:color="auto"/>
          </w:divBdr>
          <w:divsChild>
            <w:div w:id="1756439156">
              <w:marLeft w:val="0"/>
              <w:marRight w:val="0"/>
              <w:marTop w:val="0"/>
              <w:marBottom w:val="0"/>
              <w:divBdr>
                <w:top w:val="none" w:sz="0" w:space="0" w:color="auto"/>
                <w:left w:val="none" w:sz="0" w:space="0" w:color="auto"/>
                <w:bottom w:val="none" w:sz="0" w:space="0" w:color="auto"/>
                <w:right w:val="none" w:sz="0" w:space="0" w:color="auto"/>
              </w:divBdr>
              <w:divsChild>
                <w:div w:id="992417659">
                  <w:marLeft w:val="0"/>
                  <w:marRight w:val="0"/>
                  <w:marTop w:val="0"/>
                  <w:marBottom w:val="0"/>
                  <w:divBdr>
                    <w:top w:val="none" w:sz="0" w:space="0" w:color="auto"/>
                    <w:left w:val="none" w:sz="0" w:space="0" w:color="auto"/>
                    <w:bottom w:val="none" w:sz="0" w:space="0" w:color="auto"/>
                    <w:right w:val="none" w:sz="0" w:space="0" w:color="auto"/>
                  </w:divBdr>
                  <w:divsChild>
                    <w:div w:id="4326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6060">
      <w:bodyDiv w:val="1"/>
      <w:marLeft w:val="0"/>
      <w:marRight w:val="0"/>
      <w:marTop w:val="0"/>
      <w:marBottom w:val="0"/>
      <w:divBdr>
        <w:top w:val="none" w:sz="0" w:space="0" w:color="auto"/>
        <w:left w:val="none" w:sz="0" w:space="0" w:color="auto"/>
        <w:bottom w:val="none" w:sz="0" w:space="0" w:color="auto"/>
        <w:right w:val="none" w:sz="0" w:space="0" w:color="auto"/>
      </w:divBdr>
    </w:div>
    <w:div w:id="442462822">
      <w:bodyDiv w:val="1"/>
      <w:marLeft w:val="0"/>
      <w:marRight w:val="0"/>
      <w:marTop w:val="0"/>
      <w:marBottom w:val="0"/>
      <w:divBdr>
        <w:top w:val="none" w:sz="0" w:space="0" w:color="auto"/>
        <w:left w:val="none" w:sz="0" w:space="0" w:color="auto"/>
        <w:bottom w:val="none" w:sz="0" w:space="0" w:color="auto"/>
        <w:right w:val="none" w:sz="0" w:space="0" w:color="auto"/>
      </w:divBdr>
    </w:div>
    <w:div w:id="489098455">
      <w:bodyDiv w:val="1"/>
      <w:marLeft w:val="0"/>
      <w:marRight w:val="0"/>
      <w:marTop w:val="0"/>
      <w:marBottom w:val="0"/>
      <w:divBdr>
        <w:top w:val="none" w:sz="0" w:space="0" w:color="auto"/>
        <w:left w:val="none" w:sz="0" w:space="0" w:color="auto"/>
        <w:bottom w:val="none" w:sz="0" w:space="0" w:color="auto"/>
        <w:right w:val="none" w:sz="0" w:space="0" w:color="auto"/>
      </w:divBdr>
      <w:divsChild>
        <w:div w:id="1086193955">
          <w:marLeft w:val="0"/>
          <w:marRight w:val="0"/>
          <w:marTop w:val="0"/>
          <w:marBottom w:val="200"/>
          <w:divBdr>
            <w:top w:val="none" w:sz="0" w:space="0" w:color="auto"/>
            <w:left w:val="none" w:sz="0" w:space="0" w:color="auto"/>
            <w:bottom w:val="none" w:sz="0" w:space="0" w:color="auto"/>
            <w:right w:val="none" w:sz="0" w:space="0" w:color="auto"/>
          </w:divBdr>
        </w:div>
      </w:divsChild>
    </w:div>
    <w:div w:id="679350713">
      <w:bodyDiv w:val="1"/>
      <w:marLeft w:val="0"/>
      <w:marRight w:val="0"/>
      <w:marTop w:val="0"/>
      <w:marBottom w:val="0"/>
      <w:divBdr>
        <w:top w:val="none" w:sz="0" w:space="0" w:color="auto"/>
        <w:left w:val="none" w:sz="0" w:space="0" w:color="auto"/>
        <w:bottom w:val="none" w:sz="0" w:space="0" w:color="auto"/>
        <w:right w:val="none" w:sz="0" w:space="0" w:color="auto"/>
      </w:divBdr>
    </w:div>
    <w:div w:id="774133141">
      <w:bodyDiv w:val="1"/>
      <w:marLeft w:val="0"/>
      <w:marRight w:val="0"/>
      <w:marTop w:val="0"/>
      <w:marBottom w:val="0"/>
      <w:divBdr>
        <w:top w:val="none" w:sz="0" w:space="0" w:color="auto"/>
        <w:left w:val="none" w:sz="0" w:space="0" w:color="auto"/>
        <w:bottom w:val="none" w:sz="0" w:space="0" w:color="auto"/>
        <w:right w:val="none" w:sz="0" w:space="0" w:color="auto"/>
      </w:divBdr>
    </w:div>
    <w:div w:id="777604027">
      <w:bodyDiv w:val="1"/>
      <w:marLeft w:val="0"/>
      <w:marRight w:val="0"/>
      <w:marTop w:val="0"/>
      <w:marBottom w:val="0"/>
      <w:divBdr>
        <w:top w:val="none" w:sz="0" w:space="0" w:color="auto"/>
        <w:left w:val="none" w:sz="0" w:space="0" w:color="auto"/>
        <w:bottom w:val="none" w:sz="0" w:space="0" w:color="auto"/>
        <w:right w:val="none" w:sz="0" w:space="0" w:color="auto"/>
      </w:divBdr>
      <w:divsChild>
        <w:div w:id="1398439055">
          <w:marLeft w:val="0"/>
          <w:marRight w:val="0"/>
          <w:marTop w:val="0"/>
          <w:marBottom w:val="200"/>
          <w:divBdr>
            <w:top w:val="none" w:sz="0" w:space="0" w:color="auto"/>
            <w:left w:val="none" w:sz="0" w:space="0" w:color="auto"/>
            <w:bottom w:val="none" w:sz="0" w:space="0" w:color="auto"/>
            <w:right w:val="none" w:sz="0" w:space="0" w:color="auto"/>
          </w:divBdr>
        </w:div>
      </w:divsChild>
    </w:div>
    <w:div w:id="908269965">
      <w:bodyDiv w:val="1"/>
      <w:marLeft w:val="0"/>
      <w:marRight w:val="0"/>
      <w:marTop w:val="0"/>
      <w:marBottom w:val="0"/>
      <w:divBdr>
        <w:top w:val="none" w:sz="0" w:space="0" w:color="auto"/>
        <w:left w:val="none" w:sz="0" w:space="0" w:color="auto"/>
        <w:bottom w:val="none" w:sz="0" w:space="0" w:color="auto"/>
        <w:right w:val="none" w:sz="0" w:space="0" w:color="auto"/>
      </w:divBdr>
    </w:div>
    <w:div w:id="970356303">
      <w:bodyDiv w:val="1"/>
      <w:marLeft w:val="0"/>
      <w:marRight w:val="0"/>
      <w:marTop w:val="0"/>
      <w:marBottom w:val="0"/>
      <w:divBdr>
        <w:top w:val="none" w:sz="0" w:space="0" w:color="auto"/>
        <w:left w:val="none" w:sz="0" w:space="0" w:color="auto"/>
        <w:bottom w:val="none" w:sz="0" w:space="0" w:color="auto"/>
        <w:right w:val="none" w:sz="0" w:space="0" w:color="auto"/>
      </w:divBdr>
    </w:div>
    <w:div w:id="993144218">
      <w:bodyDiv w:val="1"/>
      <w:marLeft w:val="0"/>
      <w:marRight w:val="0"/>
      <w:marTop w:val="0"/>
      <w:marBottom w:val="0"/>
      <w:divBdr>
        <w:top w:val="none" w:sz="0" w:space="0" w:color="auto"/>
        <w:left w:val="none" w:sz="0" w:space="0" w:color="auto"/>
        <w:bottom w:val="none" w:sz="0" w:space="0" w:color="auto"/>
        <w:right w:val="none" w:sz="0" w:space="0" w:color="auto"/>
      </w:divBdr>
      <w:divsChild>
        <w:div w:id="2094816094">
          <w:marLeft w:val="0"/>
          <w:marRight w:val="0"/>
          <w:marTop w:val="0"/>
          <w:marBottom w:val="200"/>
          <w:divBdr>
            <w:top w:val="none" w:sz="0" w:space="0" w:color="auto"/>
            <w:left w:val="none" w:sz="0" w:space="0" w:color="auto"/>
            <w:bottom w:val="none" w:sz="0" w:space="0" w:color="auto"/>
            <w:right w:val="none" w:sz="0" w:space="0" w:color="auto"/>
          </w:divBdr>
        </w:div>
      </w:divsChild>
    </w:div>
    <w:div w:id="1036543776">
      <w:bodyDiv w:val="1"/>
      <w:marLeft w:val="0"/>
      <w:marRight w:val="0"/>
      <w:marTop w:val="0"/>
      <w:marBottom w:val="0"/>
      <w:divBdr>
        <w:top w:val="none" w:sz="0" w:space="0" w:color="auto"/>
        <w:left w:val="none" w:sz="0" w:space="0" w:color="auto"/>
        <w:bottom w:val="none" w:sz="0" w:space="0" w:color="auto"/>
        <w:right w:val="none" w:sz="0" w:space="0" w:color="auto"/>
      </w:divBdr>
      <w:divsChild>
        <w:div w:id="1693727496">
          <w:marLeft w:val="0"/>
          <w:marRight w:val="0"/>
          <w:marTop w:val="0"/>
          <w:marBottom w:val="200"/>
          <w:divBdr>
            <w:top w:val="none" w:sz="0" w:space="0" w:color="auto"/>
            <w:left w:val="none" w:sz="0" w:space="0" w:color="auto"/>
            <w:bottom w:val="none" w:sz="0" w:space="0" w:color="auto"/>
            <w:right w:val="none" w:sz="0" w:space="0" w:color="auto"/>
          </w:divBdr>
        </w:div>
      </w:divsChild>
    </w:div>
    <w:div w:id="1066303220">
      <w:bodyDiv w:val="1"/>
      <w:marLeft w:val="0"/>
      <w:marRight w:val="0"/>
      <w:marTop w:val="0"/>
      <w:marBottom w:val="0"/>
      <w:divBdr>
        <w:top w:val="none" w:sz="0" w:space="0" w:color="auto"/>
        <w:left w:val="none" w:sz="0" w:space="0" w:color="auto"/>
        <w:bottom w:val="none" w:sz="0" w:space="0" w:color="auto"/>
        <w:right w:val="none" w:sz="0" w:space="0" w:color="auto"/>
      </w:divBdr>
    </w:div>
    <w:div w:id="1075398662">
      <w:bodyDiv w:val="1"/>
      <w:marLeft w:val="0"/>
      <w:marRight w:val="0"/>
      <w:marTop w:val="0"/>
      <w:marBottom w:val="0"/>
      <w:divBdr>
        <w:top w:val="none" w:sz="0" w:space="0" w:color="auto"/>
        <w:left w:val="none" w:sz="0" w:space="0" w:color="auto"/>
        <w:bottom w:val="none" w:sz="0" w:space="0" w:color="auto"/>
        <w:right w:val="none" w:sz="0" w:space="0" w:color="auto"/>
      </w:divBdr>
    </w:div>
    <w:div w:id="1244023552">
      <w:bodyDiv w:val="1"/>
      <w:marLeft w:val="0"/>
      <w:marRight w:val="0"/>
      <w:marTop w:val="0"/>
      <w:marBottom w:val="0"/>
      <w:divBdr>
        <w:top w:val="none" w:sz="0" w:space="0" w:color="auto"/>
        <w:left w:val="none" w:sz="0" w:space="0" w:color="auto"/>
        <w:bottom w:val="none" w:sz="0" w:space="0" w:color="auto"/>
        <w:right w:val="none" w:sz="0" w:space="0" w:color="auto"/>
      </w:divBdr>
    </w:div>
    <w:div w:id="1264722693">
      <w:bodyDiv w:val="1"/>
      <w:marLeft w:val="0"/>
      <w:marRight w:val="0"/>
      <w:marTop w:val="0"/>
      <w:marBottom w:val="0"/>
      <w:divBdr>
        <w:top w:val="none" w:sz="0" w:space="0" w:color="auto"/>
        <w:left w:val="none" w:sz="0" w:space="0" w:color="auto"/>
        <w:bottom w:val="none" w:sz="0" w:space="0" w:color="auto"/>
        <w:right w:val="none" w:sz="0" w:space="0" w:color="auto"/>
      </w:divBdr>
    </w:div>
    <w:div w:id="1272858368">
      <w:bodyDiv w:val="1"/>
      <w:marLeft w:val="0"/>
      <w:marRight w:val="0"/>
      <w:marTop w:val="0"/>
      <w:marBottom w:val="0"/>
      <w:divBdr>
        <w:top w:val="none" w:sz="0" w:space="0" w:color="auto"/>
        <w:left w:val="none" w:sz="0" w:space="0" w:color="auto"/>
        <w:bottom w:val="none" w:sz="0" w:space="0" w:color="auto"/>
        <w:right w:val="none" w:sz="0" w:space="0" w:color="auto"/>
      </w:divBdr>
      <w:divsChild>
        <w:div w:id="1945651811">
          <w:marLeft w:val="0"/>
          <w:marRight w:val="0"/>
          <w:marTop w:val="0"/>
          <w:marBottom w:val="200"/>
          <w:divBdr>
            <w:top w:val="none" w:sz="0" w:space="0" w:color="auto"/>
            <w:left w:val="none" w:sz="0" w:space="0" w:color="auto"/>
            <w:bottom w:val="none" w:sz="0" w:space="0" w:color="auto"/>
            <w:right w:val="none" w:sz="0" w:space="0" w:color="auto"/>
          </w:divBdr>
        </w:div>
      </w:divsChild>
    </w:div>
    <w:div w:id="1312292919">
      <w:bodyDiv w:val="1"/>
      <w:marLeft w:val="0"/>
      <w:marRight w:val="0"/>
      <w:marTop w:val="0"/>
      <w:marBottom w:val="0"/>
      <w:divBdr>
        <w:top w:val="none" w:sz="0" w:space="0" w:color="auto"/>
        <w:left w:val="none" w:sz="0" w:space="0" w:color="auto"/>
        <w:bottom w:val="none" w:sz="0" w:space="0" w:color="auto"/>
        <w:right w:val="none" w:sz="0" w:space="0" w:color="auto"/>
      </w:divBdr>
      <w:divsChild>
        <w:div w:id="816844323">
          <w:marLeft w:val="0"/>
          <w:marRight w:val="0"/>
          <w:marTop w:val="0"/>
          <w:marBottom w:val="200"/>
          <w:divBdr>
            <w:top w:val="none" w:sz="0" w:space="0" w:color="auto"/>
            <w:left w:val="none" w:sz="0" w:space="0" w:color="auto"/>
            <w:bottom w:val="none" w:sz="0" w:space="0" w:color="auto"/>
            <w:right w:val="none" w:sz="0" w:space="0" w:color="auto"/>
          </w:divBdr>
        </w:div>
      </w:divsChild>
    </w:div>
    <w:div w:id="1331447988">
      <w:bodyDiv w:val="1"/>
      <w:marLeft w:val="0"/>
      <w:marRight w:val="0"/>
      <w:marTop w:val="0"/>
      <w:marBottom w:val="0"/>
      <w:divBdr>
        <w:top w:val="none" w:sz="0" w:space="0" w:color="auto"/>
        <w:left w:val="none" w:sz="0" w:space="0" w:color="auto"/>
        <w:bottom w:val="none" w:sz="0" w:space="0" w:color="auto"/>
        <w:right w:val="none" w:sz="0" w:space="0" w:color="auto"/>
      </w:divBdr>
    </w:div>
    <w:div w:id="1648240700">
      <w:bodyDiv w:val="1"/>
      <w:marLeft w:val="0"/>
      <w:marRight w:val="0"/>
      <w:marTop w:val="0"/>
      <w:marBottom w:val="0"/>
      <w:divBdr>
        <w:top w:val="none" w:sz="0" w:space="0" w:color="auto"/>
        <w:left w:val="none" w:sz="0" w:space="0" w:color="auto"/>
        <w:bottom w:val="none" w:sz="0" w:space="0" w:color="auto"/>
        <w:right w:val="none" w:sz="0" w:space="0" w:color="auto"/>
      </w:divBdr>
    </w:div>
    <w:div w:id="1948535733">
      <w:bodyDiv w:val="1"/>
      <w:marLeft w:val="0"/>
      <w:marRight w:val="0"/>
      <w:marTop w:val="0"/>
      <w:marBottom w:val="0"/>
      <w:divBdr>
        <w:top w:val="none" w:sz="0" w:space="0" w:color="auto"/>
        <w:left w:val="none" w:sz="0" w:space="0" w:color="auto"/>
        <w:bottom w:val="none" w:sz="0" w:space="0" w:color="auto"/>
        <w:right w:val="none" w:sz="0" w:space="0" w:color="auto"/>
      </w:divBdr>
      <w:divsChild>
        <w:div w:id="928199019">
          <w:marLeft w:val="0"/>
          <w:marRight w:val="0"/>
          <w:marTop w:val="0"/>
          <w:marBottom w:val="200"/>
          <w:divBdr>
            <w:top w:val="none" w:sz="0" w:space="0" w:color="auto"/>
            <w:left w:val="none" w:sz="0" w:space="0" w:color="auto"/>
            <w:bottom w:val="none" w:sz="0" w:space="0" w:color="auto"/>
            <w:right w:val="none" w:sz="0" w:space="0" w:color="auto"/>
          </w:divBdr>
        </w:div>
      </w:divsChild>
    </w:div>
    <w:div w:id="1988434448">
      <w:bodyDiv w:val="1"/>
      <w:marLeft w:val="0"/>
      <w:marRight w:val="0"/>
      <w:marTop w:val="0"/>
      <w:marBottom w:val="0"/>
      <w:divBdr>
        <w:top w:val="none" w:sz="0" w:space="0" w:color="auto"/>
        <w:left w:val="none" w:sz="0" w:space="0" w:color="auto"/>
        <w:bottom w:val="none" w:sz="0" w:space="0" w:color="auto"/>
        <w:right w:val="none" w:sz="0" w:space="0" w:color="auto"/>
      </w:divBdr>
    </w:div>
    <w:div w:id="2113167319">
      <w:bodyDiv w:val="1"/>
      <w:marLeft w:val="0"/>
      <w:marRight w:val="0"/>
      <w:marTop w:val="0"/>
      <w:marBottom w:val="0"/>
      <w:divBdr>
        <w:top w:val="none" w:sz="0" w:space="0" w:color="auto"/>
        <w:left w:val="none" w:sz="0" w:space="0" w:color="auto"/>
        <w:bottom w:val="none" w:sz="0" w:space="0" w:color="auto"/>
        <w:right w:val="none" w:sz="0" w:space="0" w:color="auto"/>
      </w:divBdr>
      <w:divsChild>
        <w:div w:id="1428043713">
          <w:marLeft w:val="0"/>
          <w:marRight w:val="0"/>
          <w:marTop w:val="0"/>
          <w:marBottom w:val="200"/>
          <w:divBdr>
            <w:top w:val="none" w:sz="0" w:space="0" w:color="auto"/>
            <w:left w:val="none" w:sz="0" w:space="0" w:color="auto"/>
            <w:bottom w:val="none" w:sz="0" w:space="0" w:color="auto"/>
            <w:right w:val="none" w:sz="0" w:space="0" w:color="auto"/>
          </w:divBdr>
        </w:div>
      </w:divsChild>
    </w:div>
    <w:div w:id="21453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5252/emmm.20160621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ejmech.2022.114142" TargetMode="External"/><Relationship Id="rId2" Type="http://schemas.openxmlformats.org/officeDocument/2006/relationships/styles" Target="styles.xml"/><Relationship Id="rId16" Type="http://schemas.openxmlformats.org/officeDocument/2006/relationships/hyperlink" Target="https://doi.org/10.1016/S1474-4422(15)7001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38/s41583-019-0132-6"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Sheet1!$C$1:$C$6</c:f>
              <c:numCache>
                <c:formatCode>General</c:formatCode>
                <c:ptCount val="6"/>
                <c:pt idx="0">
                  <c:v>215.22</c:v>
                </c:pt>
                <c:pt idx="1">
                  <c:v>231.23999999999998</c:v>
                </c:pt>
                <c:pt idx="2">
                  <c:v>232.63</c:v>
                </c:pt>
                <c:pt idx="3">
                  <c:v>246.2</c:v>
                </c:pt>
                <c:pt idx="4">
                  <c:v>217.20999999999998</c:v>
                </c:pt>
                <c:pt idx="5">
                  <c:v>277.05</c:v>
                </c:pt>
              </c:numCache>
            </c:numRef>
          </c:val>
          <c:extLst>
            <c:ext xmlns:c16="http://schemas.microsoft.com/office/drawing/2014/chart" uri="{C3380CC4-5D6E-409C-BE32-E72D297353CC}">
              <c16:uniqueId val="{00000000-275C-8F4B-BB47-1E1FBB301C4D}"/>
            </c:ext>
          </c:extLst>
        </c:ser>
        <c:ser>
          <c:idx val="1"/>
          <c:order val="1"/>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Sheet1!$D$1:$D$6</c:f>
              <c:numCache>
                <c:formatCode>0%</c:formatCode>
                <c:ptCount val="6"/>
                <c:pt idx="0">
                  <c:v>0.78</c:v>
                </c:pt>
                <c:pt idx="1">
                  <c:v>0.75000000000000089</c:v>
                </c:pt>
                <c:pt idx="2">
                  <c:v>0.71000000000000063</c:v>
                </c:pt>
                <c:pt idx="3">
                  <c:v>0.84000000000000064</c:v>
                </c:pt>
                <c:pt idx="4">
                  <c:v>0.7600000000000009</c:v>
                </c:pt>
                <c:pt idx="5">
                  <c:v>0.72000000000000064</c:v>
                </c:pt>
              </c:numCache>
            </c:numRef>
          </c:val>
          <c:extLst>
            <c:ext xmlns:c16="http://schemas.microsoft.com/office/drawing/2014/chart" uri="{C3380CC4-5D6E-409C-BE32-E72D297353CC}">
              <c16:uniqueId val="{00000001-275C-8F4B-BB47-1E1FBB301C4D}"/>
            </c:ext>
          </c:extLst>
        </c:ser>
        <c:ser>
          <c:idx val="2"/>
          <c:order val="2"/>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Sheet1!$E$1:$E$6</c:f>
              <c:numCache>
                <c:formatCode>General</c:formatCode>
                <c:ptCount val="6"/>
                <c:pt idx="0">
                  <c:v>183</c:v>
                </c:pt>
                <c:pt idx="1">
                  <c:v>195</c:v>
                </c:pt>
                <c:pt idx="2">
                  <c:v>205</c:v>
                </c:pt>
                <c:pt idx="3">
                  <c:v>215</c:v>
                </c:pt>
                <c:pt idx="4">
                  <c:v>192</c:v>
                </c:pt>
                <c:pt idx="5">
                  <c:v>200</c:v>
                </c:pt>
              </c:numCache>
            </c:numRef>
          </c:val>
          <c:extLst>
            <c:ext xmlns:c16="http://schemas.microsoft.com/office/drawing/2014/chart" uri="{C3380CC4-5D6E-409C-BE32-E72D297353CC}">
              <c16:uniqueId val="{00000002-275C-8F4B-BB47-1E1FBB301C4D}"/>
            </c:ext>
          </c:extLst>
        </c:ser>
        <c:dLbls>
          <c:showLegendKey val="0"/>
          <c:showVal val="0"/>
          <c:showCatName val="0"/>
          <c:showSerName val="0"/>
          <c:showPercent val="0"/>
          <c:showBubbleSize val="0"/>
        </c:dLbls>
        <c:gapWidth val="150"/>
        <c:shape val="box"/>
        <c:axId val="75615232"/>
        <c:axId val="104760064"/>
        <c:axId val="0"/>
      </c:bar3DChart>
      <c:catAx>
        <c:axId val="75615232"/>
        <c:scaling>
          <c:orientation val="minMax"/>
        </c:scaling>
        <c:delete val="0"/>
        <c:axPos val="b"/>
        <c:numFmt formatCode="General" sourceLinked="0"/>
        <c:majorTickMark val="out"/>
        <c:minorTickMark val="none"/>
        <c:tickLblPos val="nextTo"/>
        <c:crossAx val="104760064"/>
        <c:crosses val="autoZero"/>
        <c:auto val="1"/>
        <c:lblAlgn val="ctr"/>
        <c:lblOffset val="100"/>
        <c:noMultiLvlLbl val="0"/>
      </c:catAx>
      <c:valAx>
        <c:axId val="104760064"/>
        <c:scaling>
          <c:orientation val="minMax"/>
        </c:scaling>
        <c:delete val="0"/>
        <c:axPos val="l"/>
        <c:majorGridlines/>
        <c:numFmt formatCode="General" sourceLinked="1"/>
        <c:majorTickMark val="out"/>
        <c:minorTickMark val="none"/>
        <c:tickLblPos val="nextTo"/>
        <c:crossAx val="75615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Sheet1!$B$16</c:f>
              <c:strCache>
                <c:ptCount val="1"/>
                <c:pt idx="0">
                  <c:v>IC₅₀ (µM)</c:v>
                </c:pt>
              </c:strCache>
            </c:strRef>
          </c:tx>
          <c:invertIfNegative val="0"/>
          <c:cat>
            <c:strRef>
              <c:f>Sheet1!$A$17:$A$20</c:f>
              <c:strCache>
                <c:ptCount val="4"/>
                <c:pt idx="0">
                  <c:v>QX-1</c:v>
                </c:pt>
                <c:pt idx="1">
                  <c:v>QX-4</c:v>
                </c:pt>
                <c:pt idx="2">
                  <c:v>QX-6</c:v>
                </c:pt>
                <c:pt idx="3">
                  <c:v>Donepezil</c:v>
                </c:pt>
              </c:strCache>
            </c:strRef>
          </c:cat>
          <c:val>
            <c:numRef>
              <c:f>Sheet1!$B$17:$B$20</c:f>
              <c:numCache>
                <c:formatCode>General</c:formatCode>
                <c:ptCount val="4"/>
                <c:pt idx="0">
                  <c:v>18.2</c:v>
                </c:pt>
                <c:pt idx="1">
                  <c:v>6.3</c:v>
                </c:pt>
                <c:pt idx="2">
                  <c:v>7.1</c:v>
                </c:pt>
                <c:pt idx="3">
                  <c:v>4.2</c:v>
                </c:pt>
              </c:numCache>
            </c:numRef>
          </c:val>
          <c:extLst>
            <c:ext xmlns:c16="http://schemas.microsoft.com/office/drawing/2014/chart" uri="{C3380CC4-5D6E-409C-BE32-E72D297353CC}">
              <c16:uniqueId val="{00000000-1305-A440-9838-17193C0FF4CC}"/>
            </c:ext>
          </c:extLst>
        </c:ser>
        <c:dLbls>
          <c:showLegendKey val="0"/>
          <c:showVal val="0"/>
          <c:showCatName val="0"/>
          <c:showSerName val="0"/>
          <c:showPercent val="0"/>
          <c:showBubbleSize val="0"/>
        </c:dLbls>
        <c:gapWidth val="150"/>
        <c:shape val="box"/>
        <c:axId val="152961024"/>
        <c:axId val="152962560"/>
        <c:axId val="0"/>
      </c:bar3DChart>
      <c:catAx>
        <c:axId val="152961024"/>
        <c:scaling>
          <c:orientation val="minMax"/>
        </c:scaling>
        <c:delete val="0"/>
        <c:axPos val="b"/>
        <c:numFmt formatCode="General" sourceLinked="0"/>
        <c:majorTickMark val="out"/>
        <c:minorTickMark val="none"/>
        <c:tickLblPos val="nextTo"/>
        <c:crossAx val="152962560"/>
        <c:crosses val="autoZero"/>
        <c:auto val="1"/>
        <c:lblAlgn val="ctr"/>
        <c:lblOffset val="100"/>
        <c:noMultiLvlLbl val="0"/>
      </c:catAx>
      <c:valAx>
        <c:axId val="152962560"/>
        <c:scaling>
          <c:orientation val="minMax"/>
        </c:scaling>
        <c:delete val="0"/>
        <c:axPos val="l"/>
        <c:majorGridlines/>
        <c:numFmt formatCode="General" sourceLinked="1"/>
        <c:majorTickMark val="out"/>
        <c:minorTickMark val="none"/>
        <c:tickLblPos val="nextTo"/>
        <c:crossAx val="1529610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PC New 16</cp:lastModifiedBy>
  <cp:revision>28</cp:revision>
  <dcterms:created xsi:type="dcterms:W3CDTF">2025-05-21T11:27:00Z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f7564291-4f41-49fa-b872-99068840fce6</vt:lpwstr>
  </property>
</Properties>
</file>