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D3A22" w14:textId="77777777" w:rsidR="007F21A6" w:rsidRDefault="007F21A6" w:rsidP="006052A0">
      <w:pPr>
        <w:spacing w:before="60" w:line="256" w:lineRule="auto"/>
        <w:ind w:right="863"/>
        <w:jc w:val="both"/>
        <w:rPr>
          <w:rFonts w:ascii="Times New Roman" w:hAnsi="Times New Roman" w:cs="Times New Roman"/>
          <w:b/>
          <w:sz w:val="28"/>
        </w:rPr>
      </w:pPr>
    </w:p>
    <w:p w14:paraId="14FD31BB" w14:textId="59E49B0D" w:rsidR="00222090" w:rsidRPr="00825CDA" w:rsidRDefault="00BC1526" w:rsidP="006052A0">
      <w:pPr>
        <w:spacing w:before="60" w:line="276" w:lineRule="auto"/>
        <w:ind w:left="720" w:right="863"/>
        <w:jc w:val="center"/>
        <w:rPr>
          <w:rFonts w:ascii="Times New Roman" w:hAnsi="Times New Roman" w:cs="Times New Roman"/>
          <w:b/>
          <w:sz w:val="32"/>
          <w:szCs w:val="32"/>
        </w:rPr>
      </w:pPr>
      <w:r w:rsidRPr="00825CDA">
        <w:rPr>
          <w:rFonts w:ascii="Times New Roman" w:hAnsi="Times New Roman" w:cs="Times New Roman"/>
          <w:b/>
          <w:sz w:val="32"/>
          <w:szCs w:val="32"/>
        </w:rPr>
        <w:t xml:space="preserve">Study on drug utilization </w:t>
      </w:r>
      <w:r w:rsidR="00AE6CC5" w:rsidRPr="00825CDA">
        <w:rPr>
          <w:rFonts w:ascii="Times New Roman" w:hAnsi="Times New Roman" w:cs="Times New Roman"/>
          <w:b/>
          <w:sz w:val="32"/>
          <w:szCs w:val="32"/>
        </w:rPr>
        <w:t>pattern of acute gastroenteritis</w:t>
      </w:r>
      <w:r w:rsidR="001716C0" w:rsidRPr="00825CDA">
        <w:rPr>
          <w:rFonts w:ascii="Times New Roman" w:hAnsi="Times New Roman" w:cs="Times New Roman"/>
          <w:b/>
          <w:sz w:val="32"/>
          <w:szCs w:val="32"/>
        </w:rPr>
        <w:t xml:space="preserve"> in</w:t>
      </w:r>
      <w:r w:rsidR="00AE6CC5" w:rsidRPr="00825CDA">
        <w:rPr>
          <w:rFonts w:ascii="Times New Roman" w:hAnsi="Times New Roman" w:cs="Times New Roman"/>
          <w:b/>
          <w:sz w:val="32"/>
          <w:szCs w:val="32"/>
        </w:rPr>
        <w:t xml:space="preserve"> children </w:t>
      </w:r>
      <w:r w:rsidR="0077614D" w:rsidRPr="00825CDA">
        <w:rPr>
          <w:rFonts w:ascii="Times New Roman" w:hAnsi="Times New Roman" w:cs="Times New Roman"/>
          <w:b/>
          <w:sz w:val="32"/>
          <w:szCs w:val="32"/>
        </w:rPr>
        <w:t>aged 1 to 12 years</w:t>
      </w:r>
      <w:r w:rsidR="00222090" w:rsidRPr="00825CDA">
        <w:rPr>
          <w:rFonts w:ascii="Times New Roman" w:hAnsi="Times New Roman" w:cs="Times New Roman"/>
          <w:b/>
          <w:spacing w:val="-11"/>
          <w:sz w:val="32"/>
          <w:szCs w:val="32"/>
        </w:rPr>
        <w:t xml:space="preserve"> </w:t>
      </w:r>
      <w:r w:rsidR="00222090" w:rsidRPr="00825CDA">
        <w:rPr>
          <w:rFonts w:ascii="Times New Roman" w:hAnsi="Times New Roman" w:cs="Times New Roman"/>
          <w:b/>
          <w:sz w:val="32"/>
          <w:szCs w:val="32"/>
        </w:rPr>
        <w:t>in tertiary care teaching hospital</w:t>
      </w:r>
    </w:p>
    <w:p w14:paraId="0A1A190C" w14:textId="77777777" w:rsidR="00FD7FC3" w:rsidRDefault="00FD7FC3" w:rsidP="00222090">
      <w:pPr>
        <w:spacing w:after="0"/>
        <w:jc w:val="both"/>
        <w:rPr>
          <w:rFonts w:ascii="Times New Roman" w:hAnsi="Times New Roman" w:cs="Times New Roman"/>
          <w:b/>
          <w:bCs/>
          <w:sz w:val="28"/>
          <w:szCs w:val="28"/>
        </w:rPr>
      </w:pPr>
    </w:p>
    <w:p w14:paraId="41BA36D1" w14:textId="2695A416" w:rsidR="00436A30" w:rsidRPr="006052A0" w:rsidRDefault="006052A0" w:rsidP="00222090">
      <w:pPr>
        <w:spacing w:after="0"/>
        <w:jc w:val="both"/>
        <w:rPr>
          <w:rFonts w:ascii="Times New Roman" w:hAnsi="Times New Roman" w:cs="Times New Roman"/>
          <w:b/>
          <w:bCs/>
          <w:sz w:val="28"/>
          <w:szCs w:val="28"/>
          <w:u w:val="single"/>
        </w:rPr>
      </w:pPr>
      <w:r w:rsidRPr="006052A0">
        <w:rPr>
          <w:rFonts w:ascii="Times New Roman" w:hAnsi="Times New Roman" w:cs="Times New Roman"/>
          <w:b/>
          <w:bCs/>
          <w:sz w:val="28"/>
          <w:szCs w:val="28"/>
          <w:u w:val="single"/>
        </w:rPr>
        <w:t>ABSTRACT</w:t>
      </w:r>
    </w:p>
    <w:p w14:paraId="7ECBC080" w14:textId="77777777" w:rsidR="00436A30" w:rsidRPr="00AF4F7F" w:rsidRDefault="00436A30" w:rsidP="00AF4F7F">
      <w:pPr>
        <w:spacing w:after="0" w:line="360" w:lineRule="auto"/>
        <w:jc w:val="both"/>
        <w:rPr>
          <w:rFonts w:ascii="Times New Roman" w:hAnsi="Times New Roman" w:cs="Times New Roman"/>
          <w:b/>
          <w:bCs/>
          <w:sz w:val="24"/>
          <w:szCs w:val="24"/>
        </w:rPr>
      </w:pPr>
    </w:p>
    <w:p w14:paraId="1AE08136" w14:textId="77777777" w:rsidR="00173418" w:rsidRDefault="00AF4F7F" w:rsidP="00173418">
      <w:pPr>
        <w:spacing w:after="0" w:line="360" w:lineRule="auto"/>
        <w:jc w:val="both"/>
        <w:rPr>
          <w:rFonts w:ascii="Times New Roman" w:hAnsi="Times New Roman" w:cs="Times New Roman"/>
          <w:b/>
          <w:bCs/>
          <w:sz w:val="24"/>
          <w:szCs w:val="24"/>
        </w:rPr>
      </w:pPr>
      <w:r w:rsidRPr="00477BC9">
        <w:rPr>
          <w:rFonts w:ascii="Times New Roman" w:hAnsi="Times New Roman" w:cs="Times New Roman"/>
          <w:b/>
          <w:bCs/>
          <w:sz w:val="24"/>
          <w:szCs w:val="24"/>
        </w:rPr>
        <w:t>Background:</w:t>
      </w:r>
      <w:r w:rsidR="00AE1D12" w:rsidRPr="00477BC9">
        <w:rPr>
          <w:rFonts w:ascii="Times New Roman" w:hAnsi="Times New Roman" w:cs="Times New Roman"/>
          <w:sz w:val="24"/>
          <w:szCs w:val="24"/>
        </w:rPr>
        <w:t xml:space="preserve"> </w:t>
      </w:r>
      <w:r w:rsidR="00173418" w:rsidRPr="00410D96">
        <w:rPr>
          <w:rFonts w:ascii="Times New Roman" w:hAnsi="Times New Roman" w:cs="Times New Roman"/>
          <w:sz w:val="24"/>
          <w:szCs w:val="24"/>
        </w:rPr>
        <w:t xml:space="preserve">Acute gastroenteritis is one of the primary causes of pediatric morbidity in developing countries (AGE). Appropriate drug therapy and supportive care are essential to reducing the disease's severity and consequences. </w:t>
      </w:r>
      <w:r w:rsidR="00173418" w:rsidRPr="00410D96">
        <w:rPr>
          <w:rFonts w:ascii="Times New Roman" w:hAnsi="Times New Roman" w:cs="Times New Roman"/>
          <w:b/>
          <w:bCs/>
          <w:sz w:val="24"/>
          <w:szCs w:val="24"/>
        </w:rPr>
        <w:t>Objective:</w:t>
      </w:r>
      <w:r w:rsidR="00173418" w:rsidRPr="00410D96">
        <w:rPr>
          <w:rFonts w:ascii="Times New Roman" w:hAnsi="Times New Roman" w:cs="Times New Roman"/>
          <w:sz w:val="24"/>
          <w:szCs w:val="24"/>
        </w:rPr>
        <w:t xml:space="preserve"> To assess the drug utilization patterns in children aged 1 to 12 years diagnosed with acute gastroenteritis at a tertiary care teaching hospital. </w:t>
      </w:r>
      <w:r w:rsidR="00173418" w:rsidRPr="00410D96">
        <w:rPr>
          <w:rFonts w:ascii="Times New Roman" w:hAnsi="Times New Roman" w:cs="Times New Roman"/>
          <w:b/>
          <w:bCs/>
          <w:sz w:val="24"/>
          <w:szCs w:val="24"/>
        </w:rPr>
        <w:t>Methods:</w:t>
      </w:r>
      <w:r w:rsidR="00173418" w:rsidRPr="00410D96">
        <w:rPr>
          <w:rFonts w:ascii="Times New Roman" w:hAnsi="Times New Roman" w:cs="Times New Roman"/>
          <w:sz w:val="24"/>
          <w:szCs w:val="24"/>
        </w:rPr>
        <w:t xml:space="preserve"> This was a prospective observational study conducted from November 2023 to April 2024 in the Pediatric Department of Government </w:t>
      </w:r>
      <w:proofErr w:type="spellStart"/>
      <w:r w:rsidR="00173418" w:rsidRPr="00410D96">
        <w:rPr>
          <w:rFonts w:ascii="Times New Roman" w:hAnsi="Times New Roman" w:cs="Times New Roman"/>
          <w:sz w:val="24"/>
          <w:szCs w:val="24"/>
        </w:rPr>
        <w:t>Cuddalore</w:t>
      </w:r>
      <w:proofErr w:type="spellEnd"/>
      <w:r w:rsidR="00173418" w:rsidRPr="00410D96">
        <w:rPr>
          <w:rFonts w:ascii="Times New Roman" w:hAnsi="Times New Roman" w:cs="Times New Roman"/>
          <w:sz w:val="24"/>
          <w:szCs w:val="24"/>
        </w:rPr>
        <w:t xml:space="preserve"> Medical College and Hospital. A total of 100 pediatric inpatients aged 1–12 years without comorbid conditions were enrolled after obtaining ethical approval and informed consent. Data on demographics, clinical presentations, prescribed medications, and treatment outcomes were collected and analyzed. </w:t>
      </w:r>
      <w:r w:rsidR="00173418" w:rsidRPr="00EE40B3">
        <w:rPr>
          <w:rFonts w:ascii="Times New Roman" w:hAnsi="Times New Roman" w:cs="Times New Roman"/>
          <w:b/>
          <w:bCs/>
          <w:sz w:val="24"/>
          <w:szCs w:val="24"/>
        </w:rPr>
        <w:t>Results:</w:t>
      </w:r>
      <w:r w:rsidR="00173418" w:rsidRPr="00410D96">
        <w:rPr>
          <w:rFonts w:ascii="Times New Roman" w:hAnsi="Times New Roman" w:cs="Times New Roman"/>
          <w:sz w:val="24"/>
          <w:szCs w:val="24"/>
        </w:rPr>
        <w:t xml:space="preserve"> 59% of the 100 children were male, and 45% of the patients were between the ages of 1 and 3. Zinc and ORS therapy were recommended in 71% and 84% of instances, respectively. Commonly utilized medications were IV fluids (97%), antiemetics (87%), anti-</w:t>
      </w:r>
      <w:proofErr w:type="spellStart"/>
      <w:r w:rsidR="00173418" w:rsidRPr="00410D96">
        <w:rPr>
          <w:rFonts w:ascii="Times New Roman" w:hAnsi="Times New Roman" w:cs="Times New Roman"/>
          <w:sz w:val="24"/>
          <w:szCs w:val="24"/>
        </w:rPr>
        <w:t>ulcerants</w:t>
      </w:r>
      <w:proofErr w:type="spellEnd"/>
      <w:r w:rsidR="00173418" w:rsidRPr="00410D96">
        <w:rPr>
          <w:rFonts w:ascii="Times New Roman" w:hAnsi="Times New Roman" w:cs="Times New Roman"/>
          <w:sz w:val="24"/>
          <w:szCs w:val="24"/>
        </w:rPr>
        <w:t xml:space="preserve"> (87%). Dextrose Normal Saline (DNS) was the most commonly utilized IV fluid (63.39%). Antibiotics that were most frequently administered were nitroimidazoles (28.15%) and cephalosporins (56.31%). While 34% of patients received monotherapy of antibiotics and 25% of patients received combination therapy of antibiotics. 30% of patients had completely recovered, while 62% of patients exhibited clinically improved. </w:t>
      </w:r>
      <w:r w:rsidR="00173418" w:rsidRPr="00EE40B3">
        <w:rPr>
          <w:rFonts w:ascii="Times New Roman" w:hAnsi="Times New Roman" w:cs="Times New Roman"/>
          <w:b/>
          <w:bCs/>
          <w:sz w:val="24"/>
          <w:szCs w:val="24"/>
        </w:rPr>
        <w:t>Conclusions:</w:t>
      </w:r>
      <w:r w:rsidR="00173418" w:rsidRPr="00410D96">
        <w:rPr>
          <w:rFonts w:ascii="Times New Roman" w:hAnsi="Times New Roman" w:cs="Times New Roman"/>
          <w:sz w:val="24"/>
          <w:szCs w:val="24"/>
        </w:rPr>
        <w:t xml:space="preserve"> The study highlights the value of probiotics, zinc supplements, and ORS as first therapies for pediatric AGE. Depending on how severe the symptoms are, supportive therapy including IV fluids and antibiotics are used. Standard treatment procedures can improve results and encourage responsible drug usage in children's care.</w:t>
      </w:r>
      <w:r w:rsidR="00173418" w:rsidRPr="001457D6">
        <w:rPr>
          <w:rFonts w:ascii="Times New Roman" w:hAnsi="Times New Roman" w:cs="Times New Roman"/>
          <w:b/>
          <w:bCs/>
          <w:sz w:val="24"/>
          <w:szCs w:val="24"/>
        </w:rPr>
        <w:t xml:space="preserve"> </w:t>
      </w:r>
    </w:p>
    <w:p w14:paraId="31C9AA44" w14:textId="77777777" w:rsidR="00173418" w:rsidRPr="008A1F38" w:rsidRDefault="00173418" w:rsidP="00173418">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Keywords: </w:t>
      </w:r>
      <w:r>
        <w:rPr>
          <w:rFonts w:ascii="Times New Roman" w:hAnsi="Times New Roman" w:cs="Times New Roman"/>
          <w:sz w:val="24"/>
          <w:szCs w:val="24"/>
        </w:rPr>
        <w:t>Acute gastroenteritis, Drug utilization, Pediatric, Antibiotics, Dehydration, Zinc supplementation.</w:t>
      </w:r>
    </w:p>
    <w:p w14:paraId="2095CEA4" w14:textId="77777777" w:rsidR="00173418" w:rsidRDefault="00173418" w:rsidP="00173418">
      <w:pPr>
        <w:spacing w:after="0" w:line="360" w:lineRule="auto"/>
        <w:jc w:val="both"/>
        <w:rPr>
          <w:rFonts w:ascii="Times New Roman" w:hAnsi="Times New Roman" w:cs="Times New Roman"/>
          <w:b/>
          <w:bCs/>
          <w:sz w:val="24"/>
          <w:szCs w:val="24"/>
          <w:u w:val="single"/>
        </w:rPr>
      </w:pPr>
    </w:p>
    <w:p w14:paraId="4C6B8989" w14:textId="77777777" w:rsidR="00173418" w:rsidRDefault="00173418" w:rsidP="00173418">
      <w:pPr>
        <w:spacing w:after="0" w:line="360" w:lineRule="auto"/>
        <w:jc w:val="both"/>
        <w:rPr>
          <w:rFonts w:ascii="Times New Roman" w:hAnsi="Times New Roman" w:cs="Times New Roman"/>
          <w:b/>
          <w:bCs/>
          <w:sz w:val="24"/>
          <w:szCs w:val="24"/>
          <w:u w:val="single"/>
        </w:rPr>
      </w:pPr>
    </w:p>
    <w:p w14:paraId="0882A639" w14:textId="77777777" w:rsidR="00173418" w:rsidRDefault="00173418" w:rsidP="00173418">
      <w:pPr>
        <w:spacing w:after="0" w:line="360" w:lineRule="auto"/>
        <w:jc w:val="both"/>
        <w:rPr>
          <w:rFonts w:ascii="Times New Roman" w:hAnsi="Times New Roman" w:cs="Times New Roman"/>
          <w:b/>
          <w:bCs/>
          <w:sz w:val="24"/>
          <w:szCs w:val="24"/>
          <w:u w:val="single"/>
        </w:rPr>
      </w:pPr>
    </w:p>
    <w:p w14:paraId="2E253E8C" w14:textId="548835BE" w:rsidR="00173418" w:rsidRPr="006052A0" w:rsidRDefault="00173418" w:rsidP="00173418">
      <w:pPr>
        <w:spacing w:after="0" w:line="360" w:lineRule="auto"/>
        <w:jc w:val="both"/>
        <w:rPr>
          <w:rFonts w:ascii="Times New Roman" w:hAnsi="Times New Roman" w:cs="Times New Roman"/>
          <w:b/>
          <w:bCs/>
          <w:sz w:val="24"/>
          <w:szCs w:val="24"/>
          <w:u w:val="single"/>
        </w:rPr>
      </w:pPr>
      <w:r w:rsidRPr="006052A0">
        <w:rPr>
          <w:rFonts w:ascii="Times New Roman" w:hAnsi="Times New Roman" w:cs="Times New Roman"/>
          <w:b/>
          <w:bCs/>
          <w:sz w:val="24"/>
          <w:szCs w:val="24"/>
          <w:u w:val="single"/>
        </w:rPr>
        <w:lastRenderedPageBreak/>
        <w:t>INTRODUCTION</w:t>
      </w:r>
    </w:p>
    <w:p w14:paraId="65DD59F2" w14:textId="77777777" w:rsidR="00173418" w:rsidRPr="00E85353" w:rsidRDefault="00173418" w:rsidP="00173418">
      <w:pPr>
        <w:spacing w:after="0" w:line="360" w:lineRule="auto"/>
        <w:jc w:val="both"/>
        <w:rPr>
          <w:rFonts w:ascii="Times New Roman" w:hAnsi="Times New Roman" w:cs="Times New Roman"/>
          <w:sz w:val="24"/>
          <w:szCs w:val="24"/>
          <w:lang w:val="en-IN"/>
        </w:rPr>
      </w:pPr>
      <w:r w:rsidRPr="00475188">
        <w:rPr>
          <w:rFonts w:ascii="Times New Roman" w:hAnsi="Times New Roman" w:cs="Times New Roman"/>
          <w:sz w:val="24"/>
          <w:szCs w:val="24"/>
          <w:lang w:val="en-IN"/>
        </w:rPr>
        <w:t xml:space="preserve">Acute gastroenteritis is one of the primary causes of morbidity and mortality among children in low and middle-income countries. </w:t>
      </w:r>
      <w:r w:rsidRPr="00E85353">
        <w:rPr>
          <w:rFonts w:ascii="Times New Roman" w:hAnsi="Times New Roman" w:cs="Times New Roman"/>
          <w:sz w:val="24"/>
          <w:szCs w:val="24"/>
          <w:lang w:val="en-IN"/>
        </w:rPr>
        <w:t>Every year, it causes millions of fatalities, mostly in developing nations [1]. AGE is a diarrheal illness that develops quickly and is unrelated to chronic illnesses</w:t>
      </w:r>
      <w:r>
        <w:rPr>
          <w:rFonts w:ascii="Times New Roman" w:hAnsi="Times New Roman" w:cs="Times New Roman"/>
          <w:sz w:val="24"/>
          <w:szCs w:val="24"/>
          <w:lang w:val="en-IN"/>
        </w:rPr>
        <w:t xml:space="preserve">. </w:t>
      </w:r>
      <w:r w:rsidRPr="00451A7A">
        <w:rPr>
          <w:rFonts w:ascii="Times New Roman" w:hAnsi="Times New Roman" w:cs="Times New Roman"/>
          <w:sz w:val="24"/>
          <w:szCs w:val="24"/>
          <w:lang w:val="en-IN"/>
        </w:rPr>
        <w:t>Its defining traits include altered consistency or increased frequency of bowel movements</w:t>
      </w:r>
      <w:r w:rsidRPr="00E85353">
        <w:rPr>
          <w:rFonts w:ascii="Times New Roman" w:hAnsi="Times New Roman" w:cs="Times New Roman"/>
          <w:sz w:val="24"/>
          <w:szCs w:val="24"/>
          <w:lang w:val="en-IN"/>
        </w:rPr>
        <w:t>. It is essential to develop and market affordable, user-friendly oral rehydration treatments</w:t>
      </w:r>
      <w:r>
        <w:rPr>
          <w:rFonts w:ascii="Times New Roman" w:hAnsi="Times New Roman" w:cs="Times New Roman"/>
          <w:sz w:val="24"/>
          <w:szCs w:val="24"/>
          <w:lang w:val="en-IN"/>
        </w:rPr>
        <w:t xml:space="preserve"> </w:t>
      </w:r>
      <w:r w:rsidRPr="00E85353">
        <w:rPr>
          <w:rFonts w:ascii="Times New Roman" w:hAnsi="Times New Roman" w:cs="Times New Roman"/>
          <w:sz w:val="24"/>
          <w:szCs w:val="24"/>
          <w:lang w:val="en-IN"/>
        </w:rPr>
        <w:t>[</w:t>
      </w:r>
      <w:r>
        <w:rPr>
          <w:rFonts w:ascii="Times New Roman" w:hAnsi="Times New Roman" w:cs="Times New Roman"/>
          <w:sz w:val="24"/>
          <w:szCs w:val="24"/>
          <w:lang w:val="en-IN"/>
        </w:rPr>
        <w:t>2</w:t>
      </w:r>
      <w:r w:rsidRPr="00E85353">
        <w:rPr>
          <w:rFonts w:ascii="Times New Roman" w:hAnsi="Times New Roman" w:cs="Times New Roman"/>
          <w:sz w:val="24"/>
          <w:szCs w:val="24"/>
          <w:lang w:val="en-IN"/>
        </w:rPr>
        <w:t>]</w:t>
      </w:r>
      <w:r>
        <w:rPr>
          <w:rFonts w:ascii="Times New Roman" w:hAnsi="Times New Roman" w:cs="Times New Roman"/>
          <w:sz w:val="24"/>
          <w:szCs w:val="24"/>
          <w:lang w:val="en-IN"/>
        </w:rPr>
        <w:t>.</w:t>
      </w:r>
    </w:p>
    <w:p w14:paraId="77D097FD" w14:textId="77777777" w:rsidR="00173418" w:rsidRPr="00E85353" w:rsidRDefault="00173418" w:rsidP="00173418">
      <w:pPr>
        <w:spacing w:after="0" w:line="360" w:lineRule="auto"/>
        <w:jc w:val="both"/>
        <w:rPr>
          <w:rFonts w:ascii="Times New Roman" w:hAnsi="Times New Roman" w:cs="Times New Roman"/>
          <w:sz w:val="24"/>
          <w:szCs w:val="24"/>
          <w:lang w:val="en-IN"/>
        </w:rPr>
      </w:pPr>
      <w:r w:rsidRPr="00E85353">
        <w:rPr>
          <w:rFonts w:ascii="Times New Roman" w:hAnsi="Times New Roman" w:cs="Times New Roman"/>
          <w:color w:val="212121"/>
          <w:sz w:val="24"/>
          <w:szCs w:val="24"/>
        </w:rPr>
        <w:t>Symptoms include</w:t>
      </w:r>
      <w:r>
        <w:rPr>
          <w:rFonts w:ascii="Times New Roman" w:hAnsi="Times New Roman" w:cs="Times New Roman"/>
          <w:b/>
          <w:bCs/>
          <w:color w:val="212121"/>
          <w:sz w:val="24"/>
          <w:szCs w:val="24"/>
        </w:rPr>
        <w:t xml:space="preserve"> </w:t>
      </w:r>
      <w:r w:rsidRPr="00E85353">
        <w:rPr>
          <w:rFonts w:ascii="Times New Roman" w:hAnsi="Times New Roman" w:cs="Times New Roman"/>
          <w:color w:val="212121"/>
          <w:sz w:val="24"/>
          <w:szCs w:val="24"/>
        </w:rPr>
        <w:t xml:space="preserve">Vomiting, Abdominal pain or cramps, Diarrhea, </w:t>
      </w:r>
      <w:hyperlink r:id="rId7" w:history="1">
        <w:r w:rsidRPr="00E85353">
          <w:rPr>
            <w:rStyle w:val="Hyperlink"/>
            <w:rFonts w:ascii="Times New Roman" w:hAnsi="Times New Roman" w:cs="Times New Roman"/>
            <w:color w:val="auto"/>
            <w:sz w:val="24"/>
            <w:szCs w:val="24"/>
            <w:u w:val="none"/>
          </w:rPr>
          <w:t>Nausea</w:t>
        </w:r>
      </w:hyperlink>
      <w:r w:rsidRPr="00E85353">
        <w:rPr>
          <w:rFonts w:ascii="Times New Roman" w:hAnsi="Times New Roman" w:cs="Times New Roman"/>
          <w:sz w:val="24"/>
          <w:szCs w:val="24"/>
        </w:rPr>
        <w:t xml:space="preserve">, </w:t>
      </w:r>
      <w:r w:rsidRPr="00E85353">
        <w:rPr>
          <w:rFonts w:ascii="Times New Roman" w:hAnsi="Times New Roman" w:cs="Times New Roman"/>
          <w:color w:val="212121"/>
          <w:sz w:val="24"/>
          <w:szCs w:val="24"/>
        </w:rPr>
        <w:t>Fever and Chills, Weakness, Muscle pain, Weight loss, Decreased appetite [</w:t>
      </w:r>
      <w:r>
        <w:rPr>
          <w:rFonts w:ascii="Times New Roman" w:hAnsi="Times New Roman" w:cs="Times New Roman"/>
          <w:color w:val="212121"/>
          <w:sz w:val="24"/>
          <w:szCs w:val="24"/>
        </w:rPr>
        <w:t>3</w:t>
      </w:r>
      <w:r w:rsidRPr="00E85353">
        <w:rPr>
          <w:rFonts w:ascii="Times New Roman" w:hAnsi="Times New Roman" w:cs="Times New Roman"/>
          <w:color w:val="212121"/>
          <w:sz w:val="24"/>
          <w:szCs w:val="24"/>
        </w:rPr>
        <w:t>]</w:t>
      </w:r>
      <w:r w:rsidRPr="00E85353">
        <w:rPr>
          <w:rFonts w:ascii="Times New Roman" w:hAnsi="Times New Roman" w:cs="Times New Roman"/>
          <w:sz w:val="24"/>
          <w:szCs w:val="24"/>
          <w:lang w:val="en-IN"/>
        </w:rPr>
        <w:t xml:space="preserve">. Acute gastroenteritis in children is covered in this article, with an emphasis on common infections such as foodborne, antibiotic-associated, and </w:t>
      </w:r>
      <w:proofErr w:type="spellStart"/>
      <w:r w:rsidRPr="00E85353">
        <w:rPr>
          <w:rFonts w:ascii="Times New Roman" w:hAnsi="Times New Roman" w:cs="Times New Roman"/>
          <w:sz w:val="24"/>
          <w:szCs w:val="24"/>
          <w:lang w:val="en-IN"/>
        </w:rPr>
        <w:t>traveler's</w:t>
      </w:r>
      <w:proofErr w:type="spellEnd"/>
      <w:r w:rsidRPr="00E85353">
        <w:rPr>
          <w:rFonts w:ascii="Times New Roman" w:hAnsi="Times New Roman" w:cs="Times New Roman"/>
          <w:sz w:val="24"/>
          <w:szCs w:val="24"/>
          <w:lang w:val="en-IN"/>
        </w:rPr>
        <w:t xml:space="preserve"> gastroenteritis</w:t>
      </w:r>
      <w:r>
        <w:rPr>
          <w:rFonts w:ascii="Times New Roman" w:hAnsi="Times New Roman" w:cs="Times New Roman"/>
          <w:sz w:val="24"/>
          <w:szCs w:val="24"/>
          <w:lang w:val="en-IN"/>
        </w:rPr>
        <w:t xml:space="preserve"> </w:t>
      </w:r>
      <w:r w:rsidRPr="00E85353">
        <w:rPr>
          <w:rFonts w:ascii="Times New Roman" w:hAnsi="Times New Roman" w:cs="Times New Roman"/>
          <w:sz w:val="24"/>
          <w:szCs w:val="24"/>
          <w:lang w:val="en-IN"/>
        </w:rPr>
        <w:t>[</w:t>
      </w:r>
      <w:r>
        <w:rPr>
          <w:rFonts w:ascii="Times New Roman" w:hAnsi="Times New Roman" w:cs="Times New Roman"/>
          <w:sz w:val="24"/>
          <w:szCs w:val="24"/>
          <w:lang w:val="en-IN"/>
        </w:rPr>
        <w:t>4</w:t>
      </w:r>
      <w:r w:rsidRPr="00E85353">
        <w:rPr>
          <w:rFonts w:ascii="Times New Roman" w:hAnsi="Times New Roman" w:cs="Times New Roman"/>
          <w:sz w:val="24"/>
          <w:szCs w:val="24"/>
          <w:lang w:val="en-IN"/>
        </w:rPr>
        <w:t>]</w:t>
      </w:r>
      <w:r>
        <w:rPr>
          <w:rFonts w:ascii="Times New Roman" w:hAnsi="Times New Roman" w:cs="Times New Roman"/>
          <w:sz w:val="24"/>
          <w:szCs w:val="24"/>
          <w:lang w:val="en-IN"/>
        </w:rPr>
        <w:t>.</w:t>
      </w:r>
      <w:r w:rsidRPr="00E85353">
        <w:rPr>
          <w:rFonts w:ascii="Times New Roman" w:hAnsi="Times New Roman" w:cs="Times New Roman"/>
          <w:sz w:val="24"/>
          <w:szCs w:val="24"/>
          <w:lang w:val="en-IN"/>
        </w:rPr>
        <w:t xml:space="preserve"> It recommends replacing fluids at home, and for mild to moderate dehydration, commercial ORS solutions are advised. Steer clear of popular home beverages because they have low Na+ and K content and high osmolality.</w:t>
      </w:r>
    </w:p>
    <w:p w14:paraId="1863C783" w14:textId="77777777" w:rsidR="00173418" w:rsidRPr="00E85353" w:rsidRDefault="00173418" w:rsidP="00173418">
      <w:pPr>
        <w:spacing w:after="0" w:line="360" w:lineRule="auto"/>
        <w:jc w:val="both"/>
        <w:rPr>
          <w:rFonts w:ascii="Times New Roman" w:hAnsi="Times New Roman" w:cs="Times New Roman"/>
          <w:sz w:val="24"/>
          <w:szCs w:val="24"/>
          <w:lang w:val="en-IN"/>
        </w:rPr>
      </w:pPr>
      <w:r w:rsidRPr="00E85353">
        <w:rPr>
          <w:rFonts w:ascii="Times New Roman" w:eastAsia="Times New Roman" w:hAnsi="Times New Roman" w:cs="Times New Roman"/>
          <w:color w:val="auto"/>
          <w:kern w:val="0"/>
          <w:sz w:val="24"/>
          <w:szCs w:val="24"/>
          <w:lang w:val="en-IN" w:eastAsia="en-IN"/>
          <w14:ligatures w14:val="none"/>
        </w:rPr>
        <w:t xml:space="preserve">Acute gastroenteritis in children can be managed </w:t>
      </w:r>
      <w:proofErr w:type="spellStart"/>
      <w:r w:rsidRPr="00E85353">
        <w:rPr>
          <w:rFonts w:ascii="Times New Roman" w:eastAsia="Times New Roman" w:hAnsi="Times New Roman" w:cs="Times New Roman"/>
          <w:color w:val="auto"/>
          <w:kern w:val="0"/>
          <w:sz w:val="24"/>
          <w:szCs w:val="24"/>
          <w:lang w:val="en-IN" w:eastAsia="en-IN"/>
          <w14:ligatures w14:val="none"/>
        </w:rPr>
        <w:t>outpatiently</w:t>
      </w:r>
      <w:proofErr w:type="spellEnd"/>
      <w:r w:rsidRPr="00E85353">
        <w:rPr>
          <w:rFonts w:ascii="Times New Roman" w:eastAsia="Times New Roman" w:hAnsi="Times New Roman" w:cs="Times New Roman"/>
          <w:color w:val="auto"/>
          <w:kern w:val="0"/>
          <w:sz w:val="24"/>
          <w:szCs w:val="24"/>
          <w:lang w:val="en-IN" w:eastAsia="en-IN"/>
          <w14:ligatures w14:val="none"/>
        </w:rPr>
        <w:t>, but admission must consider risk factors like prematurity, young maternal age, lack of healthcare access, and socio-economic stressors</w:t>
      </w:r>
      <w:r>
        <w:rPr>
          <w:rFonts w:ascii="Times New Roman" w:eastAsia="Times New Roman" w:hAnsi="Times New Roman" w:cs="Times New Roman"/>
          <w:color w:val="auto"/>
          <w:kern w:val="0"/>
          <w:sz w:val="24"/>
          <w:szCs w:val="24"/>
          <w:lang w:val="en-IN" w:eastAsia="en-IN"/>
          <w14:ligatures w14:val="none"/>
        </w:rPr>
        <w:t xml:space="preserve"> </w:t>
      </w:r>
      <w:r w:rsidRPr="00E85353">
        <w:rPr>
          <w:rFonts w:ascii="Times New Roman" w:eastAsia="Times New Roman" w:hAnsi="Times New Roman" w:cs="Times New Roman"/>
          <w:color w:val="auto"/>
          <w:kern w:val="0"/>
          <w:sz w:val="24"/>
          <w:szCs w:val="24"/>
          <w:lang w:val="en-IN" w:eastAsia="en-IN"/>
          <w14:ligatures w14:val="none"/>
        </w:rPr>
        <w:t>[</w:t>
      </w:r>
      <w:r>
        <w:rPr>
          <w:rFonts w:ascii="Times New Roman" w:eastAsia="Times New Roman" w:hAnsi="Times New Roman" w:cs="Times New Roman"/>
          <w:color w:val="auto"/>
          <w:kern w:val="0"/>
          <w:sz w:val="24"/>
          <w:szCs w:val="24"/>
          <w:lang w:val="en-IN" w:eastAsia="en-IN"/>
          <w14:ligatures w14:val="none"/>
        </w:rPr>
        <w:t>5</w:t>
      </w:r>
      <w:r w:rsidRPr="00E85353">
        <w:rPr>
          <w:rFonts w:ascii="Times New Roman" w:eastAsia="Times New Roman" w:hAnsi="Times New Roman" w:cs="Times New Roman"/>
          <w:color w:val="auto"/>
          <w:kern w:val="0"/>
          <w:sz w:val="24"/>
          <w:szCs w:val="24"/>
          <w:lang w:val="en-IN" w:eastAsia="en-IN"/>
          <w14:ligatures w14:val="none"/>
        </w:rPr>
        <w:t>]</w:t>
      </w:r>
      <w:r>
        <w:rPr>
          <w:rFonts w:ascii="Times New Roman" w:eastAsia="Times New Roman" w:hAnsi="Times New Roman" w:cs="Times New Roman"/>
          <w:color w:val="auto"/>
          <w:kern w:val="0"/>
          <w:sz w:val="24"/>
          <w:szCs w:val="24"/>
          <w:lang w:val="en-IN" w:eastAsia="en-IN"/>
          <w14:ligatures w14:val="none"/>
        </w:rPr>
        <w:t>.</w:t>
      </w:r>
      <w:r w:rsidRPr="00E85353">
        <w:rPr>
          <w:rFonts w:ascii="Times New Roman" w:eastAsia="Times New Roman" w:hAnsi="Times New Roman" w:cs="Times New Roman"/>
          <w:color w:val="auto"/>
          <w:kern w:val="0"/>
          <w:sz w:val="24"/>
          <w:szCs w:val="24"/>
          <w:lang w:val="en-IN" w:eastAsia="en-IN"/>
          <w14:ligatures w14:val="none"/>
        </w:rPr>
        <w:t xml:space="preserve"> Clinical indications for hospital management include intractable emesis, poor ORS tolerance, severe dehydration, young age, irritability, uncertain diagnosis, underlying illness, ORS treatment failure, and concerns about adequate care at home by caretakers</w:t>
      </w:r>
      <w:r>
        <w:rPr>
          <w:rFonts w:ascii="Times New Roman" w:eastAsia="Times New Roman" w:hAnsi="Times New Roman" w:cs="Times New Roman"/>
          <w:color w:val="auto"/>
          <w:kern w:val="0"/>
          <w:sz w:val="24"/>
          <w:szCs w:val="24"/>
          <w:lang w:val="en-IN" w:eastAsia="en-IN"/>
          <w14:ligatures w14:val="none"/>
        </w:rPr>
        <w:t xml:space="preserve"> </w:t>
      </w:r>
      <w:r w:rsidRPr="00E85353">
        <w:rPr>
          <w:rFonts w:ascii="Times New Roman" w:eastAsia="Times New Roman" w:hAnsi="Times New Roman" w:cs="Times New Roman"/>
          <w:color w:val="auto"/>
          <w:kern w:val="0"/>
          <w:sz w:val="24"/>
          <w:szCs w:val="24"/>
          <w:lang w:val="en-IN" w:eastAsia="en-IN"/>
          <w14:ligatures w14:val="none"/>
        </w:rPr>
        <w:t>[</w:t>
      </w:r>
      <w:r>
        <w:rPr>
          <w:rFonts w:ascii="Times New Roman" w:eastAsia="Times New Roman" w:hAnsi="Times New Roman" w:cs="Times New Roman"/>
          <w:color w:val="auto"/>
          <w:kern w:val="0"/>
          <w:sz w:val="24"/>
          <w:szCs w:val="24"/>
          <w:lang w:val="en-IN" w:eastAsia="en-IN"/>
          <w14:ligatures w14:val="none"/>
        </w:rPr>
        <w:t>6</w:t>
      </w:r>
      <w:r w:rsidRPr="00E85353">
        <w:rPr>
          <w:rFonts w:ascii="Times New Roman" w:eastAsia="Times New Roman" w:hAnsi="Times New Roman" w:cs="Times New Roman"/>
          <w:color w:val="auto"/>
          <w:kern w:val="0"/>
          <w:sz w:val="24"/>
          <w:szCs w:val="24"/>
          <w:lang w:val="en-IN" w:eastAsia="en-IN"/>
          <w14:ligatures w14:val="none"/>
        </w:rPr>
        <w:t>]</w:t>
      </w:r>
      <w:r>
        <w:rPr>
          <w:rFonts w:ascii="Times New Roman" w:eastAsia="Times New Roman" w:hAnsi="Times New Roman" w:cs="Times New Roman"/>
          <w:color w:val="auto"/>
          <w:kern w:val="0"/>
          <w:sz w:val="24"/>
          <w:szCs w:val="24"/>
          <w:lang w:val="en-IN" w:eastAsia="en-IN"/>
          <w14:ligatures w14:val="none"/>
        </w:rPr>
        <w:t>.</w:t>
      </w:r>
    </w:p>
    <w:p w14:paraId="46E9B725" w14:textId="77777777" w:rsidR="00173418" w:rsidRDefault="00173418" w:rsidP="00173418">
      <w:pPr>
        <w:autoSpaceDE w:val="0"/>
        <w:autoSpaceDN w:val="0"/>
        <w:adjustRightInd w:val="0"/>
        <w:spacing w:line="360" w:lineRule="auto"/>
        <w:jc w:val="both"/>
        <w:rPr>
          <w:rFonts w:ascii="Times New Roman" w:hAnsi="Times New Roman" w:cs="Times New Roman"/>
          <w:kern w:val="0"/>
          <w:sz w:val="24"/>
          <w:szCs w:val="24"/>
        </w:rPr>
      </w:pPr>
      <w:r w:rsidRPr="00E85353">
        <w:rPr>
          <w:rFonts w:ascii="Times New Roman" w:hAnsi="Times New Roman" w:cs="Times New Roman"/>
          <w:kern w:val="0"/>
          <w:sz w:val="24"/>
          <w:szCs w:val="24"/>
        </w:rPr>
        <w:t xml:space="preserve">Pharmacological therapy includes antimicrobial agents, </w:t>
      </w:r>
      <w:r w:rsidRPr="00E85353">
        <w:rPr>
          <w:rFonts w:ascii="Times New Roman" w:eastAsia="Times New Roman" w:hAnsi="Times New Roman" w:cs="Times New Roman"/>
          <w:color w:val="222222"/>
          <w:kern w:val="0"/>
          <w:sz w:val="24"/>
          <w:szCs w:val="24"/>
          <w:lang w:eastAsia="en-IN"/>
          <w14:ligatures w14:val="none"/>
        </w:rPr>
        <w:t xml:space="preserve">probiotics, </w:t>
      </w:r>
      <w:r w:rsidRPr="00E85353">
        <w:rPr>
          <w:rFonts w:ascii="Times New Roman" w:hAnsi="Times New Roman" w:cs="Times New Roman"/>
          <w:kern w:val="0"/>
          <w:sz w:val="24"/>
          <w:szCs w:val="24"/>
        </w:rPr>
        <w:t xml:space="preserve">supplemental zinc therapy, and </w:t>
      </w:r>
      <w:r w:rsidRPr="00E85353">
        <w:rPr>
          <w:rFonts w:ascii="Times New Roman" w:eastAsia="Times New Roman" w:hAnsi="Times New Roman" w:cs="Times New Roman"/>
          <w:color w:val="222222"/>
          <w:kern w:val="0"/>
          <w:sz w:val="24"/>
          <w:szCs w:val="24"/>
          <w:lang w:eastAsia="en-IN"/>
          <w14:ligatures w14:val="none"/>
        </w:rPr>
        <w:t>dietary modifications.</w:t>
      </w:r>
      <w:r w:rsidRPr="00E85353">
        <w:rPr>
          <w:rFonts w:ascii="Times New Roman" w:hAnsi="Times New Roman" w:cs="Times New Roman"/>
          <w:kern w:val="0"/>
          <w:sz w:val="24"/>
          <w:szCs w:val="24"/>
        </w:rPr>
        <w:t xml:space="preserve"> </w:t>
      </w:r>
      <w:r w:rsidRPr="00E85353">
        <w:rPr>
          <w:rFonts w:ascii="Times New Roman" w:hAnsi="Times New Roman" w:cs="Times New Roman"/>
          <w:color w:val="212121"/>
          <w:sz w:val="24"/>
          <w:szCs w:val="24"/>
          <w:shd w:val="clear" w:color="auto" w:fill="FFFFFF"/>
          <w:lang w:val="en-IN"/>
        </w:rPr>
        <w:t>The systematic process of drug utilization evaluation involves reviewing and improving medication use patterns, giving clinicians feedback, creating optimal use criteria, encouraging appropriate use through interventions and education, and determining appropriate</w:t>
      </w:r>
      <w:r>
        <w:rPr>
          <w:rFonts w:ascii="Times New Roman" w:hAnsi="Times New Roman" w:cs="Times New Roman"/>
          <w:color w:val="212121"/>
          <w:sz w:val="24"/>
          <w:szCs w:val="24"/>
          <w:shd w:val="clear" w:color="auto" w:fill="FFFFFF"/>
          <w:lang w:val="en-IN"/>
        </w:rPr>
        <w:t xml:space="preserve"> use</w:t>
      </w:r>
      <w:r w:rsidRPr="00E85353">
        <w:rPr>
          <w:rFonts w:ascii="Times New Roman" w:hAnsi="Times New Roman" w:cs="Times New Roman"/>
          <w:color w:val="212121"/>
          <w:sz w:val="24"/>
          <w:szCs w:val="24"/>
          <w:shd w:val="clear" w:color="auto" w:fill="FFFFFF"/>
          <w:lang w:val="en-IN"/>
        </w:rPr>
        <w:t xml:space="preserve"> based on drug interactions, concomitant diseases, and treatment indications.</w:t>
      </w:r>
    </w:p>
    <w:p w14:paraId="0F23D605" w14:textId="77777777" w:rsidR="00173418" w:rsidRPr="00536952" w:rsidRDefault="00173418" w:rsidP="00173418">
      <w:pPr>
        <w:autoSpaceDE w:val="0"/>
        <w:autoSpaceDN w:val="0"/>
        <w:adjustRightInd w:val="0"/>
        <w:spacing w:line="360" w:lineRule="auto"/>
        <w:jc w:val="both"/>
        <w:rPr>
          <w:rFonts w:ascii="Times New Roman" w:hAnsi="Times New Roman" w:cs="Times New Roman"/>
          <w:kern w:val="0"/>
          <w:sz w:val="24"/>
          <w:szCs w:val="24"/>
        </w:rPr>
      </w:pPr>
      <w:r w:rsidRPr="006052A0">
        <w:rPr>
          <w:rFonts w:ascii="Times New Roman" w:hAnsi="Times New Roman" w:cs="Times New Roman"/>
          <w:b/>
          <w:bCs/>
          <w:sz w:val="24"/>
          <w:szCs w:val="24"/>
          <w:u w:val="single"/>
        </w:rPr>
        <w:t>MATERIALS AND METHODS</w:t>
      </w:r>
    </w:p>
    <w:p w14:paraId="6CD62D8B" w14:textId="77777777" w:rsidR="00173418" w:rsidRPr="006052A0" w:rsidRDefault="00173418" w:rsidP="00173418">
      <w:pPr>
        <w:spacing w:after="0" w:line="360" w:lineRule="auto"/>
        <w:jc w:val="both"/>
        <w:rPr>
          <w:rFonts w:ascii="Times New Roman" w:hAnsi="Times New Roman" w:cs="Times New Roman"/>
          <w:sz w:val="24"/>
          <w:szCs w:val="24"/>
          <w:u w:val="single"/>
        </w:rPr>
      </w:pPr>
      <w:r w:rsidRPr="00E85353">
        <w:rPr>
          <w:rFonts w:ascii="Times New Roman" w:hAnsi="Times New Roman" w:cs="Times New Roman"/>
          <w:sz w:val="24"/>
          <w:szCs w:val="24"/>
        </w:rPr>
        <w:t xml:space="preserve">This prospective observational study was conducted from November 2023 to April 2024 in the </w:t>
      </w:r>
      <w:proofErr w:type="spellStart"/>
      <w:r w:rsidRPr="00E85353">
        <w:rPr>
          <w:rFonts w:ascii="Times New Roman" w:hAnsi="Times New Roman" w:cs="Times New Roman"/>
          <w:sz w:val="24"/>
          <w:szCs w:val="24"/>
        </w:rPr>
        <w:t>Paediatric</w:t>
      </w:r>
      <w:proofErr w:type="spellEnd"/>
      <w:r w:rsidRPr="00E85353">
        <w:rPr>
          <w:rFonts w:ascii="Times New Roman" w:hAnsi="Times New Roman" w:cs="Times New Roman"/>
          <w:sz w:val="24"/>
          <w:szCs w:val="24"/>
        </w:rPr>
        <w:t xml:space="preserve"> department of the Government </w:t>
      </w:r>
      <w:proofErr w:type="spellStart"/>
      <w:r w:rsidRPr="00E85353">
        <w:rPr>
          <w:rFonts w:ascii="Times New Roman" w:hAnsi="Times New Roman" w:cs="Times New Roman"/>
          <w:sz w:val="24"/>
          <w:szCs w:val="24"/>
        </w:rPr>
        <w:t>Cuddalore</w:t>
      </w:r>
      <w:proofErr w:type="spellEnd"/>
      <w:r w:rsidRPr="00E85353">
        <w:rPr>
          <w:rFonts w:ascii="Times New Roman" w:hAnsi="Times New Roman" w:cs="Times New Roman"/>
          <w:sz w:val="24"/>
          <w:szCs w:val="24"/>
        </w:rPr>
        <w:t xml:space="preserve"> Medical College and Hospital in Chidambaram, India. Around 100 patients of aged 1 to 12 years without any co-morbidities from the inpatient department of pediatrics were included after receiving approval from the institutional ethical committee. The patient’s representative received appropriate counselling before the procedure, and their written parental informed permission was obtained. The socio-demographic information, clinical history, and other required tests were gathered together with their review reports. All of the patients had the necessary laboratory tests performed after being </w:t>
      </w:r>
      <w:r w:rsidRPr="00E85353">
        <w:rPr>
          <w:rFonts w:ascii="Times New Roman" w:hAnsi="Times New Roman" w:cs="Times New Roman"/>
          <w:sz w:val="24"/>
          <w:szCs w:val="24"/>
        </w:rPr>
        <w:lastRenderedPageBreak/>
        <w:t xml:space="preserve">admitted. A vital factor to examine before giving treatment was the electrolytes level. If the patient had severe dehydration, the main treatment will be given following the IV fluids as supportive therapy. Patients received intravenous antibiotics for the respective symptoms like cold, cough, fever. The dose was administered based on the result of anthropometry. Subjects with any other co-morbidities were not allowed to participate in the study. It examines the real- </w:t>
      </w:r>
      <w:r w:rsidRPr="00E85353">
        <w:rPr>
          <w:rFonts w:ascii="Times New Roman" w:hAnsi="Times New Roman" w:cs="Times New Roman"/>
          <w:w w:val="105"/>
          <w:sz w:val="24"/>
          <w:szCs w:val="24"/>
        </w:rPr>
        <w:t>world application of AGE therapy in healthcare settings, identifying areas for</w:t>
      </w:r>
      <w:r w:rsidRPr="00E85353">
        <w:rPr>
          <w:rFonts w:ascii="Times New Roman" w:hAnsi="Times New Roman" w:cs="Times New Roman"/>
          <w:spacing w:val="-2"/>
          <w:w w:val="105"/>
          <w:sz w:val="24"/>
          <w:szCs w:val="24"/>
        </w:rPr>
        <w:t xml:space="preserve"> </w:t>
      </w:r>
      <w:r w:rsidRPr="00E85353">
        <w:rPr>
          <w:rFonts w:ascii="Times New Roman" w:hAnsi="Times New Roman" w:cs="Times New Roman"/>
          <w:w w:val="105"/>
          <w:sz w:val="24"/>
          <w:szCs w:val="24"/>
        </w:rPr>
        <w:t xml:space="preserve">optimization and </w:t>
      </w:r>
      <w:r w:rsidRPr="00E85353">
        <w:rPr>
          <w:rFonts w:ascii="Times New Roman" w:hAnsi="Times New Roman" w:cs="Times New Roman"/>
          <w:sz w:val="24"/>
          <w:szCs w:val="24"/>
        </w:rPr>
        <w:t>ensuring safe use of ORS therapy, Zinc supplementation and probiotics.</w:t>
      </w:r>
    </w:p>
    <w:p w14:paraId="6F9E2262" w14:textId="77777777" w:rsidR="00173418" w:rsidRDefault="00173418" w:rsidP="00173418">
      <w:pPr>
        <w:spacing w:after="0" w:line="360" w:lineRule="auto"/>
        <w:jc w:val="both"/>
        <w:rPr>
          <w:rFonts w:ascii="Times New Roman" w:hAnsi="Times New Roman" w:cs="Times New Roman"/>
          <w:b/>
          <w:bCs/>
          <w:sz w:val="24"/>
          <w:szCs w:val="24"/>
          <w:u w:val="single"/>
        </w:rPr>
      </w:pPr>
    </w:p>
    <w:p w14:paraId="2099F13B" w14:textId="77777777" w:rsidR="00173418" w:rsidRDefault="00173418" w:rsidP="00173418">
      <w:pPr>
        <w:spacing w:after="0" w:line="360" w:lineRule="auto"/>
        <w:jc w:val="both"/>
        <w:rPr>
          <w:rFonts w:ascii="Times New Roman" w:hAnsi="Times New Roman" w:cs="Times New Roman"/>
          <w:b/>
          <w:bCs/>
          <w:sz w:val="24"/>
          <w:szCs w:val="24"/>
          <w:u w:val="single"/>
        </w:rPr>
      </w:pPr>
      <w:r w:rsidRPr="00C8012B">
        <w:rPr>
          <w:rFonts w:ascii="Times New Roman" w:hAnsi="Times New Roman" w:cs="Times New Roman"/>
          <w:b/>
          <w:bCs/>
          <w:sz w:val="24"/>
          <w:szCs w:val="24"/>
          <w:u w:val="single"/>
        </w:rPr>
        <w:t>RESULTS</w:t>
      </w:r>
    </w:p>
    <w:p w14:paraId="4CC82000" w14:textId="77777777" w:rsidR="00173418" w:rsidRDefault="00173418" w:rsidP="00173418">
      <w:pPr>
        <w:spacing w:line="360" w:lineRule="auto"/>
        <w:jc w:val="both"/>
        <w:rPr>
          <w:rFonts w:ascii="Times New Roman" w:hAnsi="Times New Roman" w:cs="Times New Roman"/>
          <w:sz w:val="24"/>
          <w:szCs w:val="24"/>
        </w:rPr>
      </w:pPr>
      <w:r w:rsidRPr="0053046A">
        <w:rPr>
          <w:rFonts w:ascii="Times New Roman" w:hAnsi="Times New Roman" w:cs="Times New Roman"/>
          <w:sz w:val="24"/>
          <w:szCs w:val="24"/>
        </w:rPr>
        <w:t>In this study, 100 p</w:t>
      </w:r>
      <w:r>
        <w:rPr>
          <w:rFonts w:ascii="Times New Roman" w:hAnsi="Times New Roman" w:cs="Times New Roman"/>
          <w:sz w:val="24"/>
          <w:szCs w:val="24"/>
        </w:rPr>
        <w:t>ediatric patients diagnosed with AGE</w:t>
      </w:r>
      <w:r w:rsidRPr="0053046A">
        <w:rPr>
          <w:rFonts w:ascii="Times New Roman" w:hAnsi="Times New Roman" w:cs="Times New Roman"/>
          <w:sz w:val="24"/>
          <w:szCs w:val="24"/>
        </w:rPr>
        <w:t xml:space="preserve"> were included</w:t>
      </w:r>
      <w:r>
        <w:rPr>
          <w:rFonts w:ascii="Times New Roman" w:hAnsi="Times New Roman" w:cs="Times New Roman"/>
          <w:sz w:val="24"/>
          <w:szCs w:val="24"/>
        </w:rPr>
        <w:t>.</w:t>
      </w:r>
      <w:r w:rsidRPr="0053046A">
        <w:rPr>
          <w:rFonts w:ascii="Times New Roman" w:hAnsi="Times New Roman" w:cs="Times New Roman"/>
          <w:sz w:val="24"/>
          <w:szCs w:val="24"/>
        </w:rPr>
        <w:t xml:space="preserve"> </w:t>
      </w:r>
      <w:r>
        <w:rPr>
          <w:rFonts w:ascii="Times New Roman" w:hAnsi="Times New Roman" w:cs="Times New Roman"/>
          <w:sz w:val="24"/>
          <w:szCs w:val="24"/>
        </w:rPr>
        <w:t>A</w:t>
      </w:r>
      <w:r w:rsidRPr="0053046A">
        <w:rPr>
          <w:rFonts w:ascii="Times New Roman" w:hAnsi="Times New Roman" w:cs="Times New Roman"/>
          <w:sz w:val="24"/>
          <w:szCs w:val="24"/>
        </w:rPr>
        <w:t xml:space="preserve">mong them, 59% </w:t>
      </w:r>
      <w:r>
        <w:rPr>
          <w:rFonts w:ascii="Times New Roman" w:hAnsi="Times New Roman" w:cs="Times New Roman"/>
          <w:sz w:val="24"/>
          <w:szCs w:val="24"/>
        </w:rPr>
        <w:t>were</w:t>
      </w:r>
      <w:r w:rsidRPr="0053046A">
        <w:rPr>
          <w:rFonts w:ascii="Times New Roman" w:hAnsi="Times New Roman" w:cs="Times New Roman"/>
          <w:sz w:val="24"/>
          <w:szCs w:val="24"/>
        </w:rPr>
        <w:t xml:space="preserve"> male</w:t>
      </w:r>
      <w:r>
        <w:rPr>
          <w:rFonts w:ascii="Times New Roman" w:hAnsi="Times New Roman" w:cs="Times New Roman"/>
          <w:sz w:val="24"/>
          <w:szCs w:val="24"/>
        </w:rPr>
        <w:t xml:space="preserve"> children</w:t>
      </w:r>
      <w:r w:rsidRPr="0053046A">
        <w:rPr>
          <w:rFonts w:ascii="Times New Roman" w:hAnsi="Times New Roman" w:cs="Times New Roman"/>
          <w:sz w:val="24"/>
          <w:szCs w:val="24"/>
        </w:rPr>
        <w:t xml:space="preserve"> and 41% w</w:t>
      </w:r>
      <w:r>
        <w:rPr>
          <w:rFonts w:ascii="Times New Roman" w:hAnsi="Times New Roman" w:cs="Times New Roman"/>
          <w:sz w:val="24"/>
          <w:szCs w:val="24"/>
        </w:rPr>
        <w:t>ere</w:t>
      </w:r>
      <w:r w:rsidRPr="0053046A">
        <w:rPr>
          <w:rFonts w:ascii="Times New Roman" w:hAnsi="Times New Roman" w:cs="Times New Roman"/>
          <w:sz w:val="24"/>
          <w:szCs w:val="24"/>
        </w:rPr>
        <w:t> female</w:t>
      </w:r>
      <w:r>
        <w:rPr>
          <w:rFonts w:ascii="Times New Roman" w:hAnsi="Times New Roman" w:cs="Times New Roman"/>
          <w:sz w:val="24"/>
          <w:szCs w:val="24"/>
        </w:rPr>
        <w:t xml:space="preserve"> children (Figure 1)</w:t>
      </w:r>
      <w:r w:rsidRPr="0053046A">
        <w:rPr>
          <w:rFonts w:ascii="Times New Roman" w:hAnsi="Times New Roman" w:cs="Times New Roman"/>
          <w:sz w:val="24"/>
          <w:szCs w:val="24"/>
        </w:rPr>
        <w:t>.</w:t>
      </w:r>
      <w:r>
        <w:rPr>
          <w:rFonts w:ascii="Times New Roman" w:hAnsi="Times New Roman" w:cs="Times New Roman"/>
          <w:sz w:val="24"/>
          <w:szCs w:val="24"/>
        </w:rPr>
        <w:t xml:space="preserve"> </w:t>
      </w:r>
      <w:r w:rsidRPr="00C8012B">
        <w:rPr>
          <w:rFonts w:ascii="Times New Roman" w:hAnsi="Times New Roman" w:cs="Times New Roman"/>
          <w:sz w:val="24"/>
          <w:szCs w:val="24"/>
        </w:rPr>
        <w:t>The majority of the patients belonged to the age group of 1-3 years (45%)</w:t>
      </w:r>
      <w:r>
        <w:rPr>
          <w:rFonts w:ascii="Times New Roman" w:hAnsi="Times New Roman" w:cs="Times New Roman"/>
          <w:sz w:val="24"/>
          <w:szCs w:val="24"/>
        </w:rPr>
        <w:t xml:space="preserve">, followed by 29% in the 3-6 years age group and 26% in the 6-12 years age group (Table 1). In terms of previous hospitalization, </w:t>
      </w:r>
      <w:r w:rsidRPr="00C8012B">
        <w:rPr>
          <w:rFonts w:ascii="Times New Roman" w:hAnsi="Times New Roman" w:cs="Times New Roman"/>
          <w:sz w:val="24"/>
          <w:szCs w:val="24"/>
        </w:rPr>
        <w:t>43% of patients had a history of previous hospitalization.</w:t>
      </w:r>
      <w:r>
        <w:rPr>
          <w:rFonts w:ascii="Times New Roman" w:hAnsi="Times New Roman" w:cs="Times New Roman"/>
          <w:sz w:val="24"/>
          <w:szCs w:val="24"/>
        </w:rPr>
        <w:t xml:space="preserve"> Immunization history revealed that </w:t>
      </w:r>
      <w:r w:rsidRPr="00C8012B">
        <w:rPr>
          <w:rFonts w:ascii="Times New Roman" w:hAnsi="Times New Roman" w:cs="Times New Roman"/>
          <w:sz w:val="24"/>
          <w:szCs w:val="24"/>
        </w:rPr>
        <w:t>91 patients were immunized up to their age.</w:t>
      </w:r>
      <w:r>
        <w:rPr>
          <w:rFonts w:ascii="Times New Roman" w:hAnsi="Times New Roman" w:cs="Times New Roman"/>
          <w:sz w:val="24"/>
          <w:szCs w:val="24"/>
        </w:rPr>
        <w:t xml:space="preserve"> The average duration of hospital stay was 2.43 days.</w:t>
      </w:r>
    </w:p>
    <w:p w14:paraId="3480895A" w14:textId="77777777" w:rsidR="00173418" w:rsidRDefault="00173418" w:rsidP="00173418">
      <w:pPr>
        <w:spacing w:line="360" w:lineRule="auto"/>
        <w:jc w:val="both"/>
        <w:rPr>
          <w:rFonts w:ascii="Times New Roman" w:hAnsi="Times New Roman" w:cs="Times New Roman"/>
          <w:sz w:val="24"/>
          <w:szCs w:val="24"/>
        </w:rPr>
      </w:pPr>
    </w:p>
    <w:p w14:paraId="42220402" w14:textId="77777777" w:rsidR="00173418" w:rsidRDefault="00173418" w:rsidP="00173418">
      <w:pPr>
        <w:spacing w:line="360" w:lineRule="auto"/>
        <w:jc w:val="both"/>
        <w:rPr>
          <w:rFonts w:ascii="Times New Roman" w:hAnsi="Times New Roman" w:cs="Times New Roman"/>
          <w:sz w:val="24"/>
          <w:szCs w:val="24"/>
        </w:rPr>
      </w:pPr>
      <w:r>
        <w:rPr>
          <w:noProof/>
        </w:rPr>
        <w:drawing>
          <wp:inline distT="0" distB="0" distL="0" distR="0" wp14:anchorId="49F7F6DA" wp14:editId="48C5E38F">
            <wp:extent cx="5715000" cy="2743200"/>
            <wp:effectExtent l="0" t="0" r="0" b="0"/>
            <wp:docPr id="1390523078" name="Chart 1">
              <a:extLst xmlns:a="http://schemas.openxmlformats.org/drawingml/2006/main">
                <a:ext uri="{FF2B5EF4-FFF2-40B4-BE49-F238E27FC236}">
                  <a16:creationId xmlns:a16="http://schemas.microsoft.com/office/drawing/2014/main" id="{85238B52-4881-D6D8-12CD-A442B8E705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E00910D" w14:textId="77777777" w:rsidR="00173418" w:rsidRDefault="00173418" w:rsidP="0017341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FIGURE 1: GENDERWISE DISTRIBUTION</w:t>
      </w:r>
    </w:p>
    <w:p w14:paraId="66C96EC5" w14:textId="77777777" w:rsidR="00173418" w:rsidRDefault="00173418" w:rsidP="00173418">
      <w:pPr>
        <w:spacing w:line="360" w:lineRule="auto"/>
        <w:jc w:val="both"/>
        <w:rPr>
          <w:rFonts w:ascii="Times New Roman" w:hAnsi="Times New Roman" w:cs="Times New Roman"/>
          <w:b/>
          <w:bCs/>
          <w:sz w:val="24"/>
          <w:szCs w:val="24"/>
        </w:rPr>
      </w:pPr>
    </w:p>
    <w:p w14:paraId="58AB6D9B" w14:textId="77777777" w:rsidR="00173418" w:rsidRDefault="00173418" w:rsidP="00173418">
      <w:pPr>
        <w:spacing w:line="360" w:lineRule="auto"/>
        <w:jc w:val="both"/>
        <w:rPr>
          <w:rFonts w:ascii="Times New Roman" w:hAnsi="Times New Roman" w:cs="Times New Roman"/>
          <w:b/>
          <w:bCs/>
          <w:sz w:val="24"/>
          <w:szCs w:val="24"/>
        </w:rPr>
      </w:pPr>
      <w:r w:rsidRPr="00C01CF8">
        <w:rPr>
          <w:rFonts w:ascii="Times New Roman" w:hAnsi="Times New Roman" w:cs="Times New Roman"/>
          <w:b/>
          <w:bCs/>
          <w:sz w:val="24"/>
          <w:szCs w:val="24"/>
        </w:rPr>
        <w:t xml:space="preserve">TABLE </w:t>
      </w:r>
      <w:r>
        <w:rPr>
          <w:rFonts w:ascii="Times New Roman" w:hAnsi="Times New Roman" w:cs="Times New Roman"/>
          <w:b/>
          <w:bCs/>
          <w:sz w:val="24"/>
          <w:szCs w:val="24"/>
        </w:rPr>
        <w:t>1</w:t>
      </w:r>
      <w:r w:rsidRPr="00C01CF8">
        <w:rPr>
          <w:rFonts w:ascii="Times New Roman" w:hAnsi="Times New Roman" w:cs="Times New Roman"/>
          <w:b/>
          <w:bCs/>
          <w:sz w:val="24"/>
          <w:szCs w:val="24"/>
        </w:rPr>
        <w:t xml:space="preserve">: </w:t>
      </w:r>
      <w:r>
        <w:rPr>
          <w:rFonts w:ascii="Times New Roman" w:hAnsi="Times New Roman" w:cs="Times New Roman"/>
          <w:b/>
          <w:bCs/>
          <w:sz w:val="24"/>
          <w:szCs w:val="24"/>
        </w:rPr>
        <w:t xml:space="preserve">AGE GROUP </w:t>
      </w:r>
      <w:r w:rsidRPr="00C01CF8">
        <w:rPr>
          <w:rFonts w:ascii="Times New Roman" w:hAnsi="Times New Roman" w:cs="Times New Roman"/>
          <w:b/>
          <w:bCs/>
          <w:sz w:val="24"/>
          <w:szCs w:val="24"/>
        </w:rPr>
        <w:t>WISE DISTRIBUTION</w:t>
      </w:r>
    </w:p>
    <w:tbl>
      <w:tblPr>
        <w:tblStyle w:val="TableGridLight"/>
        <w:tblW w:w="0" w:type="auto"/>
        <w:tblLook w:val="0420" w:firstRow="1" w:lastRow="0" w:firstColumn="0" w:lastColumn="0" w:noHBand="0" w:noVBand="1"/>
      </w:tblPr>
      <w:tblGrid>
        <w:gridCol w:w="3539"/>
        <w:gridCol w:w="2453"/>
        <w:gridCol w:w="2997"/>
      </w:tblGrid>
      <w:tr w:rsidR="00173418" w14:paraId="71819CC9" w14:textId="77777777" w:rsidTr="00970F83">
        <w:trPr>
          <w:trHeight w:val="477"/>
        </w:trPr>
        <w:tc>
          <w:tcPr>
            <w:tcW w:w="3539" w:type="dxa"/>
          </w:tcPr>
          <w:p w14:paraId="4398BEAE" w14:textId="77777777" w:rsidR="00173418" w:rsidRPr="008E5B5A" w:rsidRDefault="00173418" w:rsidP="00970F83">
            <w:pPr>
              <w:spacing w:line="360" w:lineRule="auto"/>
              <w:jc w:val="both"/>
              <w:rPr>
                <w:rFonts w:ascii="Times New Roman" w:hAnsi="Times New Roman" w:cs="Times New Roman"/>
                <w:b/>
                <w:bCs/>
                <w:sz w:val="24"/>
                <w:szCs w:val="24"/>
              </w:rPr>
            </w:pPr>
            <w:r w:rsidRPr="008E5B5A">
              <w:rPr>
                <w:rFonts w:ascii="Times New Roman" w:hAnsi="Times New Roman" w:cs="Times New Roman"/>
                <w:b/>
                <w:bCs/>
                <w:sz w:val="24"/>
                <w:szCs w:val="24"/>
              </w:rPr>
              <w:t>AGE GROUP</w:t>
            </w:r>
          </w:p>
        </w:tc>
        <w:tc>
          <w:tcPr>
            <w:tcW w:w="2453" w:type="dxa"/>
          </w:tcPr>
          <w:p w14:paraId="55D7FE37" w14:textId="77777777" w:rsidR="00173418" w:rsidRPr="008E5B5A" w:rsidRDefault="00173418" w:rsidP="00970F83">
            <w:pPr>
              <w:spacing w:line="360" w:lineRule="auto"/>
              <w:jc w:val="both"/>
              <w:rPr>
                <w:rFonts w:ascii="Times New Roman" w:hAnsi="Times New Roman" w:cs="Times New Roman"/>
                <w:b/>
                <w:bCs/>
                <w:sz w:val="24"/>
                <w:szCs w:val="24"/>
              </w:rPr>
            </w:pPr>
            <w:r w:rsidRPr="008E5B5A">
              <w:rPr>
                <w:rFonts w:ascii="Times New Roman" w:hAnsi="Times New Roman" w:cs="Times New Roman"/>
                <w:b/>
                <w:bCs/>
                <w:sz w:val="24"/>
                <w:szCs w:val="24"/>
              </w:rPr>
              <w:t>NO. OF PATIENTS</w:t>
            </w:r>
          </w:p>
        </w:tc>
        <w:tc>
          <w:tcPr>
            <w:tcW w:w="2997" w:type="dxa"/>
          </w:tcPr>
          <w:p w14:paraId="5A405820" w14:textId="77777777" w:rsidR="00173418" w:rsidRPr="008E5B5A" w:rsidRDefault="00173418" w:rsidP="00970F83">
            <w:pPr>
              <w:spacing w:line="360" w:lineRule="auto"/>
              <w:jc w:val="both"/>
              <w:rPr>
                <w:rFonts w:ascii="Times New Roman" w:hAnsi="Times New Roman" w:cs="Times New Roman"/>
                <w:b/>
                <w:bCs/>
                <w:sz w:val="24"/>
                <w:szCs w:val="24"/>
              </w:rPr>
            </w:pPr>
            <w:r w:rsidRPr="008E5B5A">
              <w:rPr>
                <w:rFonts w:ascii="Times New Roman" w:hAnsi="Times New Roman" w:cs="Times New Roman"/>
                <w:b/>
                <w:bCs/>
                <w:sz w:val="24"/>
                <w:szCs w:val="24"/>
              </w:rPr>
              <w:t>PERCENTAGE</w:t>
            </w:r>
          </w:p>
        </w:tc>
      </w:tr>
      <w:tr w:rsidR="00173418" w14:paraId="367F956C" w14:textId="77777777" w:rsidTr="00970F83">
        <w:trPr>
          <w:trHeight w:val="661"/>
        </w:trPr>
        <w:tc>
          <w:tcPr>
            <w:tcW w:w="3539" w:type="dxa"/>
          </w:tcPr>
          <w:p w14:paraId="1468D112" w14:textId="77777777" w:rsidR="00173418" w:rsidRPr="008E5B5A" w:rsidRDefault="00173418" w:rsidP="00970F83">
            <w:pPr>
              <w:spacing w:line="360" w:lineRule="auto"/>
              <w:jc w:val="both"/>
              <w:rPr>
                <w:rFonts w:ascii="Times New Roman" w:hAnsi="Times New Roman" w:cs="Times New Roman"/>
                <w:sz w:val="24"/>
                <w:szCs w:val="24"/>
              </w:rPr>
            </w:pPr>
            <w:r w:rsidRPr="008E5B5A">
              <w:rPr>
                <w:rFonts w:ascii="Times New Roman" w:hAnsi="Times New Roman" w:cs="Times New Roman"/>
                <w:sz w:val="24"/>
                <w:szCs w:val="24"/>
              </w:rPr>
              <w:lastRenderedPageBreak/>
              <w:t>1-3 YEARS (TODDLER)</w:t>
            </w:r>
          </w:p>
        </w:tc>
        <w:tc>
          <w:tcPr>
            <w:tcW w:w="2453" w:type="dxa"/>
          </w:tcPr>
          <w:p w14:paraId="1429515F" w14:textId="77777777" w:rsidR="00173418" w:rsidRPr="00381329" w:rsidRDefault="00173418" w:rsidP="00970F83">
            <w:pPr>
              <w:spacing w:line="360" w:lineRule="auto"/>
              <w:jc w:val="both"/>
              <w:rPr>
                <w:rFonts w:ascii="Times New Roman" w:hAnsi="Times New Roman" w:cs="Times New Roman"/>
                <w:sz w:val="24"/>
                <w:szCs w:val="24"/>
              </w:rPr>
            </w:pPr>
            <w:r>
              <w:rPr>
                <w:rFonts w:ascii="Times New Roman" w:hAnsi="Times New Roman" w:cs="Times New Roman"/>
                <w:sz w:val="24"/>
                <w:szCs w:val="24"/>
              </w:rPr>
              <w:t>45</w:t>
            </w:r>
          </w:p>
        </w:tc>
        <w:tc>
          <w:tcPr>
            <w:tcW w:w="2997" w:type="dxa"/>
          </w:tcPr>
          <w:p w14:paraId="102354F9" w14:textId="77777777" w:rsidR="00173418" w:rsidRPr="00381329" w:rsidRDefault="00173418" w:rsidP="00970F83">
            <w:pPr>
              <w:spacing w:line="360" w:lineRule="auto"/>
              <w:jc w:val="both"/>
              <w:rPr>
                <w:rFonts w:ascii="Times New Roman" w:hAnsi="Times New Roman" w:cs="Times New Roman"/>
                <w:sz w:val="24"/>
                <w:szCs w:val="24"/>
              </w:rPr>
            </w:pPr>
            <w:r>
              <w:rPr>
                <w:rFonts w:ascii="Times New Roman" w:hAnsi="Times New Roman" w:cs="Times New Roman"/>
                <w:sz w:val="24"/>
                <w:szCs w:val="24"/>
              </w:rPr>
              <w:t>45</w:t>
            </w:r>
            <w:r w:rsidRPr="00381329">
              <w:rPr>
                <w:rFonts w:ascii="Times New Roman" w:hAnsi="Times New Roman" w:cs="Times New Roman"/>
                <w:sz w:val="24"/>
                <w:szCs w:val="24"/>
              </w:rPr>
              <w:t>%</w:t>
            </w:r>
          </w:p>
        </w:tc>
      </w:tr>
      <w:tr w:rsidR="00173418" w14:paraId="749AE03C" w14:textId="77777777" w:rsidTr="00970F83">
        <w:trPr>
          <w:trHeight w:val="661"/>
        </w:trPr>
        <w:tc>
          <w:tcPr>
            <w:tcW w:w="3539" w:type="dxa"/>
          </w:tcPr>
          <w:p w14:paraId="57941637" w14:textId="77777777" w:rsidR="00173418" w:rsidRPr="008E5B5A" w:rsidRDefault="00173418" w:rsidP="00970F83">
            <w:pPr>
              <w:spacing w:line="360" w:lineRule="auto"/>
              <w:jc w:val="both"/>
              <w:rPr>
                <w:rFonts w:ascii="Times New Roman" w:hAnsi="Times New Roman" w:cs="Times New Roman"/>
                <w:sz w:val="24"/>
                <w:szCs w:val="24"/>
              </w:rPr>
            </w:pPr>
            <w:r w:rsidRPr="008E5B5A">
              <w:rPr>
                <w:rFonts w:ascii="Times New Roman" w:hAnsi="Times New Roman" w:cs="Times New Roman"/>
                <w:sz w:val="24"/>
                <w:szCs w:val="24"/>
              </w:rPr>
              <w:t>3-6 YEARS (PRE SCHOOL)</w:t>
            </w:r>
          </w:p>
        </w:tc>
        <w:tc>
          <w:tcPr>
            <w:tcW w:w="2453" w:type="dxa"/>
          </w:tcPr>
          <w:p w14:paraId="67252ED8" w14:textId="77777777" w:rsidR="00173418" w:rsidRPr="00381329" w:rsidRDefault="00173418" w:rsidP="00970F83">
            <w:pPr>
              <w:spacing w:line="360" w:lineRule="auto"/>
              <w:jc w:val="both"/>
              <w:rPr>
                <w:rFonts w:ascii="Times New Roman" w:hAnsi="Times New Roman" w:cs="Times New Roman"/>
                <w:sz w:val="24"/>
                <w:szCs w:val="24"/>
              </w:rPr>
            </w:pPr>
            <w:r>
              <w:rPr>
                <w:rFonts w:ascii="Times New Roman" w:hAnsi="Times New Roman" w:cs="Times New Roman"/>
                <w:sz w:val="24"/>
                <w:szCs w:val="24"/>
              </w:rPr>
              <w:t>29</w:t>
            </w:r>
          </w:p>
        </w:tc>
        <w:tc>
          <w:tcPr>
            <w:tcW w:w="2997" w:type="dxa"/>
          </w:tcPr>
          <w:p w14:paraId="1882FFC5" w14:textId="77777777" w:rsidR="00173418" w:rsidRPr="00381329" w:rsidRDefault="00173418" w:rsidP="00970F83">
            <w:pPr>
              <w:spacing w:line="360" w:lineRule="auto"/>
              <w:jc w:val="both"/>
              <w:rPr>
                <w:rFonts w:ascii="Times New Roman" w:hAnsi="Times New Roman" w:cs="Times New Roman"/>
                <w:sz w:val="24"/>
                <w:szCs w:val="24"/>
              </w:rPr>
            </w:pPr>
            <w:r>
              <w:rPr>
                <w:rFonts w:ascii="Times New Roman" w:hAnsi="Times New Roman" w:cs="Times New Roman"/>
                <w:sz w:val="24"/>
                <w:szCs w:val="24"/>
              </w:rPr>
              <w:t>29</w:t>
            </w:r>
            <w:r w:rsidRPr="00381329">
              <w:rPr>
                <w:rFonts w:ascii="Times New Roman" w:hAnsi="Times New Roman" w:cs="Times New Roman"/>
                <w:sz w:val="24"/>
                <w:szCs w:val="24"/>
              </w:rPr>
              <w:t>%</w:t>
            </w:r>
          </w:p>
        </w:tc>
      </w:tr>
      <w:tr w:rsidR="00173418" w14:paraId="7FE930FE" w14:textId="77777777" w:rsidTr="00970F83">
        <w:trPr>
          <w:trHeight w:val="632"/>
        </w:trPr>
        <w:tc>
          <w:tcPr>
            <w:tcW w:w="3539" w:type="dxa"/>
          </w:tcPr>
          <w:p w14:paraId="74995C6C" w14:textId="77777777" w:rsidR="00173418" w:rsidRPr="008E5B5A" w:rsidRDefault="00173418" w:rsidP="00970F83">
            <w:pPr>
              <w:spacing w:line="360" w:lineRule="auto"/>
              <w:jc w:val="both"/>
              <w:rPr>
                <w:rFonts w:ascii="Times New Roman" w:hAnsi="Times New Roman" w:cs="Times New Roman"/>
                <w:sz w:val="24"/>
                <w:szCs w:val="24"/>
              </w:rPr>
            </w:pPr>
            <w:r w:rsidRPr="008E5B5A">
              <w:rPr>
                <w:rFonts w:ascii="Times New Roman" w:hAnsi="Times New Roman" w:cs="Times New Roman"/>
                <w:sz w:val="24"/>
                <w:szCs w:val="24"/>
              </w:rPr>
              <w:t>6-12 YEARS (SCHOOL)</w:t>
            </w:r>
          </w:p>
        </w:tc>
        <w:tc>
          <w:tcPr>
            <w:tcW w:w="2453" w:type="dxa"/>
          </w:tcPr>
          <w:p w14:paraId="3A7B9A8A" w14:textId="77777777" w:rsidR="00173418" w:rsidRPr="00381329" w:rsidRDefault="00173418" w:rsidP="00970F83">
            <w:pPr>
              <w:spacing w:line="36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2997" w:type="dxa"/>
          </w:tcPr>
          <w:p w14:paraId="32E46AFD" w14:textId="77777777" w:rsidR="00173418" w:rsidRPr="00381329" w:rsidRDefault="00173418" w:rsidP="00970F83">
            <w:pPr>
              <w:spacing w:line="360" w:lineRule="auto"/>
              <w:jc w:val="both"/>
              <w:rPr>
                <w:rFonts w:ascii="Times New Roman" w:hAnsi="Times New Roman" w:cs="Times New Roman"/>
                <w:sz w:val="24"/>
                <w:szCs w:val="24"/>
              </w:rPr>
            </w:pPr>
            <w:r>
              <w:rPr>
                <w:rFonts w:ascii="Times New Roman" w:hAnsi="Times New Roman" w:cs="Times New Roman"/>
                <w:sz w:val="24"/>
                <w:szCs w:val="24"/>
              </w:rPr>
              <w:t>26</w:t>
            </w:r>
            <w:r w:rsidRPr="00381329">
              <w:rPr>
                <w:rFonts w:ascii="Times New Roman" w:hAnsi="Times New Roman" w:cs="Times New Roman"/>
                <w:sz w:val="24"/>
                <w:szCs w:val="24"/>
              </w:rPr>
              <w:t>%</w:t>
            </w:r>
          </w:p>
        </w:tc>
      </w:tr>
    </w:tbl>
    <w:p w14:paraId="30096C3F" w14:textId="77777777" w:rsidR="00173418" w:rsidRDefault="00173418" w:rsidP="00173418">
      <w:pPr>
        <w:spacing w:line="360" w:lineRule="auto"/>
        <w:jc w:val="both"/>
        <w:rPr>
          <w:rFonts w:ascii="Times New Roman" w:hAnsi="Times New Roman" w:cs="Times New Roman"/>
          <w:sz w:val="24"/>
          <w:szCs w:val="24"/>
        </w:rPr>
      </w:pPr>
    </w:p>
    <w:p w14:paraId="748A7CFB" w14:textId="77777777" w:rsidR="00173418" w:rsidRPr="008E5B5A" w:rsidRDefault="00173418" w:rsidP="00173418">
      <w:pPr>
        <w:spacing w:line="360" w:lineRule="auto"/>
        <w:jc w:val="both"/>
        <w:rPr>
          <w:rFonts w:ascii="Times New Roman" w:hAnsi="Times New Roman" w:cs="Times New Roman"/>
          <w:b/>
          <w:bCs/>
          <w:sz w:val="24"/>
          <w:szCs w:val="24"/>
        </w:rPr>
      </w:pPr>
      <w:r w:rsidRPr="00C8012B">
        <w:rPr>
          <w:rFonts w:ascii="Times New Roman" w:hAnsi="Times New Roman" w:cs="Times New Roman"/>
          <w:b/>
          <w:bCs/>
          <w:sz w:val="24"/>
          <w:szCs w:val="24"/>
        </w:rPr>
        <w:t xml:space="preserve">PRESCRIPTION </w:t>
      </w:r>
      <w:r>
        <w:rPr>
          <w:rFonts w:ascii="Times New Roman" w:hAnsi="Times New Roman" w:cs="Times New Roman"/>
          <w:b/>
          <w:bCs/>
          <w:sz w:val="24"/>
          <w:szCs w:val="24"/>
        </w:rPr>
        <w:t>PATTERN OF DRUGS BASED ON CLASS</w:t>
      </w:r>
      <w:r w:rsidRPr="00C8012B">
        <w:rPr>
          <w:rFonts w:ascii="Times New Roman" w:hAnsi="Times New Roman" w:cs="Times New Roman"/>
          <w:b/>
          <w:bCs/>
          <w:sz w:val="24"/>
          <w:szCs w:val="24"/>
        </w:rPr>
        <w:t>:</w:t>
      </w:r>
    </w:p>
    <w:p w14:paraId="7FE9B00D" w14:textId="77777777" w:rsidR="00173418" w:rsidRPr="004F1760" w:rsidRDefault="00173418" w:rsidP="00173418">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 xml:space="preserve"> The commonly prescribed class of drugs were I</w:t>
      </w:r>
      <w:r>
        <w:rPr>
          <w:sz w:val="24"/>
          <w:szCs w:val="24"/>
        </w:rPr>
        <w:t>V</w:t>
      </w:r>
      <w:r w:rsidRPr="00E85353">
        <w:rPr>
          <w:rFonts w:ascii="Times New Roman" w:hAnsi="Times New Roman" w:cs="Times New Roman"/>
          <w:sz w:val="24"/>
          <w:szCs w:val="24"/>
        </w:rPr>
        <w:t xml:space="preserve"> fluids (</w:t>
      </w:r>
      <w:r>
        <w:rPr>
          <w:rFonts w:ascii="Times New Roman" w:hAnsi="Times New Roman" w:cs="Times New Roman"/>
          <w:sz w:val="24"/>
          <w:szCs w:val="24"/>
        </w:rPr>
        <w:t>97</w:t>
      </w:r>
      <w:r w:rsidRPr="00E85353">
        <w:rPr>
          <w:rFonts w:ascii="Times New Roman" w:hAnsi="Times New Roman" w:cs="Times New Roman"/>
          <w:sz w:val="24"/>
          <w:szCs w:val="24"/>
        </w:rPr>
        <w:t xml:space="preserve">%), </w:t>
      </w:r>
      <w:r>
        <w:rPr>
          <w:rFonts w:ascii="Times New Roman" w:hAnsi="Times New Roman" w:cs="Times New Roman"/>
          <w:sz w:val="24"/>
          <w:szCs w:val="24"/>
        </w:rPr>
        <w:t>a</w:t>
      </w:r>
      <w:r w:rsidRPr="00E85353">
        <w:rPr>
          <w:rFonts w:ascii="Times New Roman" w:hAnsi="Times New Roman" w:cs="Times New Roman"/>
          <w:sz w:val="24"/>
          <w:szCs w:val="24"/>
        </w:rPr>
        <w:t>ntiemetics (</w:t>
      </w:r>
      <w:r>
        <w:rPr>
          <w:rFonts w:ascii="Times New Roman" w:hAnsi="Times New Roman" w:cs="Times New Roman"/>
          <w:sz w:val="24"/>
          <w:szCs w:val="24"/>
        </w:rPr>
        <w:t>87</w:t>
      </w:r>
      <w:r w:rsidRPr="00E85353">
        <w:rPr>
          <w:rFonts w:ascii="Times New Roman" w:hAnsi="Times New Roman" w:cs="Times New Roman"/>
          <w:sz w:val="24"/>
          <w:szCs w:val="24"/>
        </w:rPr>
        <w:t>%), anti</w:t>
      </w:r>
      <w:r>
        <w:rPr>
          <w:sz w:val="24"/>
          <w:szCs w:val="24"/>
        </w:rPr>
        <w:t>-</w:t>
      </w:r>
      <w:proofErr w:type="spellStart"/>
      <w:r w:rsidRPr="00E85353">
        <w:rPr>
          <w:rFonts w:ascii="Times New Roman" w:hAnsi="Times New Roman" w:cs="Times New Roman"/>
          <w:sz w:val="24"/>
          <w:szCs w:val="24"/>
        </w:rPr>
        <w:t>ulcerants</w:t>
      </w:r>
      <w:proofErr w:type="spellEnd"/>
      <w:r w:rsidRPr="00E85353">
        <w:rPr>
          <w:rFonts w:ascii="Times New Roman" w:hAnsi="Times New Roman" w:cs="Times New Roman"/>
          <w:sz w:val="24"/>
          <w:szCs w:val="24"/>
        </w:rPr>
        <w:t xml:space="preserve"> (</w:t>
      </w:r>
      <w:r>
        <w:rPr>
          <w:rFonts w:ascii="Times New Roman" w:hAnsi="Times New Roman" w:cs="Times New Roman"/>
          <w:sz w:val="24"/>
          <w:szCs w:val="24"/>
        </w:rPr>
        <w:t>87</w:t>
      </w:r>
      <w:r w:rsidRPr="00E85353">
        <w:rPr>
          <w:rFonts w:ascii="Times New Roman" w:hAnsi="Times New Roman" w:cs="Times New Roman"/>
          <w:sz w:val="24"/>
          <w:szCs w:val="24"/>
        </w:rPr>
        <w:t>%) followed by ORS therapy</w:t>
      </w:r>
      <w:r>
        <w:rPr>
          <w:rFonts w:ascii="Times New Roman" w:hAnsi="Times New Roman" w:cs="Times New Roman"/>
          <w:sz w:val="24"/>
          <w:szCs w:val="24"/>
        </w:rPr>
        <w:t xml:space="preserve"> (84%)</w:t>
      </w:r>
      <w:r w:rsidRPr="00E85353">
        <w:rPr>
          <w:rFonts w:ascii="Times New Roman" w:hAnsi="Times New Roman" w:cs="Times New Roman"/>
          <w:sz w:val="24"/>
          <w:szCs w:val="24"/>
        </w:rPr>
        <w:t>, antipyretics</w:t>
      </w:r>
      <w:r>
        <w:rPr>
          <w:rFonts w:ascii="Times New Roman" w:hAnsi="Times New Roman" w:cs="Times New Roman"/>
          <w:sz w:val="24"/>
          <w:szCs w:val="24"/>
        </w:rPr>
        <w:t xml:space="preserve"> (79%)</w:t>
      </w:r>
      <w:r w:rsidRPr="00E85353">
        <w:rPr>
          <w:rFonts w:ascii="Times New Roman" w:hAnsi="Times New Roman" w:cs="Times New Roman"/>
          <w:sz w:val="24"/>
          <w:szCs w:val="24"/>
        </w:rPr>
        <w:t>, probiotics</w:t>
      </w:r>
      <w:r>
        <w:rPr>
          <w:rFonts w:ascii="Times New Roman" w:hAnsi="Times New Roman" w:cs="Times New Roman"/>
          <w:sz w:val="24"/>
          <w:szCs w:val="24"/>
        </w:rPr>
        <w:t xml:space="preserve"> (67%)</w:t>
      </w:r>
      <w:r w:rsidRPr="00E85353">
        <w:rPr>
          <w:rFonts w:ascii="Times New Roman" w:hAnsi="Times New Roman" w:cs="Times New Roman"/>
          <w:sz w:val="24"/>
          <w:szCs w:val="24"/>
        </w:rPr>
        <w:t>, zinc</w:t>
      </w:r>
      <w:r>
        <w:rPr>
          <w:rFonts w:ascii="Times New Roman" w:hAnsi="Times New Roman" w:cs="Times New Roman"/>
          <w:sz w:val="24"/>
          <w:szCs w:val="24"/>
        </w:rPr>
        <w:t xml:space="preserve"> (71%)</w:t>
      </w:r>
      <w:r w:rsidRPr="00E85353">
        <w:rPr>
          <w:rFonts w:ascii="Times New Roman" w:hAnsi="Times New Roman" w:cs="Times New Roman"/>
          <w:sz w:val="24"/>
          <w:szCs w:val="24"/>
        </w:rPr>
        <w:t> and antibiotics</w:t>
      </w:r>
      <w:r>
        <w:rPr>
          <w:rFonts w:ascii="Times New Roman" w:hAnsi="Times New Roman" w:cs="Times New Roman"/>
          <w:sz w:val="24"/>
          <w:szCs w:val="24"/>
        </w:rPr>
        <w:t xml:space="preserve"> (63%)</w:t>
      </w:r>
      <w:r w:rsidRPr="00E85353">
        <w:rPr>
          <w:rFonts w:ascii="Times New Roman" w:hAnsi="Times New Roman" w:cs="Times New Roman"/>
          <w:sz w:val="24"/>
          <w:szCs w:val="24"/>
        </w:rPr>
        <w:t>.</w:t>
      </w:r>
    </w:p>
    <w:p w14:paraId="4313E120" w14:textId="77777777" w:rsidR="00173418" w:rsidRPr="00E85353" w:rsidRDefault="00173418" w:rsidP="00173418">
      <w:pPr>
        <w:spacing w:line="360" w:lineRule="auto"/>
        <w:jc w:val="both"/>
        <w:rPr>
          <w:rFonts w:ascii="Times New Roman" w:hAnsi="Times New Roman" w:cs="Times New Roman"/>
          <w:b/>
          <w:bCs/>
          <w:sz w:val="24"/>
          <w:szCs w:val="24"/>
        </w:rPr>
      </w:pPr>
      <w:r w:rsidRPr="00E85353">
        <w:rPr>
          <w:rFonts w:ascii="Times New Roman" w:hAnsi="Times New Roman" w:cs="Times New Roman"/>
          <w:noProof/>
          <w:sz w:val="24"/>
          <w:szCs w:val="24"/>
        </w:rPr>
        <w:drawing>
          <wp:inline distT="0" distB="0" distL="0" distR="0" wp14:anchorId="6AB7C109" wp14:editId="2675592D">
            <wp:extent cx="5731510" cy="3327758"/>
            <wp:effectExtent l="0" t="0" r="2540" b="6350"/>
            <wp:docPr id="1913938028" name="Chart 1">
              <a:extLst xmlns:a="http://schemas.openxmlformats.org/drawingml/2006/main">
                <a:ext uri="{FF2B5EF4-FFF2-40B4-BE49-F238E27FC236}">
                  <a16:creationId xmlns:a16="http://schemas.microsoft.com/office/drawing/2014/main" id="{7B9BD451-9EA0-8802-46DA-7D9B0DD92C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CB072F2" w14:textId="77777777" w:rsidR="00173418" w:rsidRDefault="00173418" w:rsidP="00173418">
      <w:pPr>
        <w:spacing w:line="360" w:lineRule="auto"/>
        <w:jc w:val="both"/>
        <w:rPr>
          <w:rFonts w:ascii="Times New Roman" w:hAnsi="Times New Roman" w:cs="Times New Roman"/>
          <w:b/>
          <w:bCs/>
          <w:sz w:val="24"/>
          <w:szCs w:val="24"/>
        </w:rPr>
      </w:pPr>
      <w:r w:rsidRPr="00E85353">
        <w:rPr>
          <w:rFonts w:ascii="Times New Roman" w:hAnsi="Times New Roman" w:cs="Times New Roman"/>
          <w:b/>
          <w:bCs/>
          <w:sz w:val="24"/>
          <w:szCs w:val="24"/>
        </w:rPr>
        <w:t xml:space="preserve">FIGURE </w:t>
      </w:r>
      <w:r>
        <w:rPr>
          <w:rFonts w:ascii="Times New Roman" w:hAnsi="Times New Roman" w:cs="Times New Roman"/>
          <w:b/>
          <w:bCs/>
          <w:sz w:val="24"/>
          <w:szCs w:val="24"/>
        </w:rPr>
        <w:t>2</w:t>
      </w:r>
      <w:r w:rsidRPr="00E85353">
        <w:rPr>
          <w:rFonts w:ascii="Times New Roman" w:hAnsi="Times New Roman" w:cs="Times New Roman"/>
          <w:b/>
          <w:bCs/>
          <w:sz w:val="24"/>
          <w:szCs w:val="24"/>
        </w:rPr>
        <w:t>: PRESCRIBED DRUG CLASS</w:t>
      </w:r>
    </w:p>
    <w:p w14:paraId="4836A473" w14:textId="77777777" w:rsidR="00173418" w:rsidRDefault="00173418" w:rsidP="00173418">
      <w:pPr>
        <w:spacing w:after="0" w:line="360" w:lineRule="auto"/>
        <w:jc w:val="both"/>
        <w:rPr>
          <w:rFonts w:ascii="Times New Roman" w:hAnsi="Times New Roman" w:cs="Times New Roman"/>
          <w:b/>
          <w:bCs/>
          <w:sz w:val="24"/>
          <w:szCs w:val="24"/>
        </w:rPr>
      </w:pPr>
    </w:p>
    <w:p w14:paraId="734FB766" w14:textId="77777777" w:rsidR="00173418" w:rsidRPr="00C8012B" w:rsidRDefault="00173418" w:rsidP="00173418">
      <w:pPr>
        <w:spacing w:after="0" w:line="360" w:lineRule="auto"/>
        <w:jc w:val="both"/>
        <w:rPr>
          <w:rFonts w:ascii="Times New Roman" w:hAnsi="Times New Roman" w:cs="Times New Roman"/>
          <w:b/>
          <w:bCs/>
          <w:sz w:val="24"/>
          <w:szCs w:val="24"/>
        </w:rPr>
      </w:pPr>
      <w:r w:rsidRPr="00C8012B">
        <w:rPr>
          <w:rFonts w:ascii="Times New Roman" w:hAnsi="Times New Roman" w:cs="Times New Roman"/>
          <w:b/>
          <w:bCs/>
          <w:sz w:val="24"/>
          <w:szCs w:val="24"/>
        </w:rPr>
        <w:t>PRESCRIPTION OF IV FLUIDS:</w:t>
      </w:r>
    </w:p>
    <w:p w14:paraId="543BCC46" w14:textId="77777777" w:rsidR="00173418" w:rsidRDefault="00173418" w:rsidP="00173418">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Among the IV fluids, commonly prescribed IV fluids were DNS (63.29%) followed by RL (25.89%) and NS (10.7%).</w:t>
      </w:r>
    </w:p>
    <w:p w14:paraId="15187BF7" w14:textId="77777777" w:rsidR="00173418" w:rsidRPr="00C8012B" w:rsidRDefault="00173418" w:rsidP="00173418">
      <w:pPr>
        <w:spacing w:line="360" w:lineRule="auto"/>
        <w:jc w:val="both"/>
        <w:rPr>
          <w:rFonts w:ascii="Times New Roman" w:hAnsi="Times New Roman" w:cs="Times New Roman"/>
          <w:b/>
          <w:bCs/>
          <w:sz w:val="24"/>
          <w:szCs w:val="24"/>
        </w:rPr>
      </w:pPr>
      <w:r w:rsidRPr="00E85353">
        <w:rPr>
          <w:rFonts w:ascii="Times New Roman" w:hAnsi="Times New Roman" w:cs="Times New Roman"/>
          <w:b/>
          <w:bCs/>
          <w:sz w:val="24"/>
          <w:szCs w:val="24"/>
        </w:rPr>
        <w:t xml:space="preserve">TABLE </w:t>
      </w:r>
      <w:r>
        <w:rPr>
          <w:rFonts w:ascii="Times New Roman" w:hAnsi="Times New Roman" w:cs="Times New Roman"/>
          <w:b/>
          <w:bCs/>
          <w:sz w:val="24"/>
          <w:szCs w:val="24"/>
        </w:rPr>
        <w:t>2</w:t>
      </w:r>
      <w:r w:rsidRPr="00E85353">
        <w:rPr>
          <w:rFonts w:ascii="Times New Roman" w:hAnsi="Times New Roman" w:cs="Times New Roman"/>
          <w:b/>
          <w:bCs/>
          <w:sz w:val="24"/>
          <w:szCs w:val="24"/>
        </w:rPr>
        <w:t>: IV FLUIDS DISTRIBUTION</w:t>
      </w:r>
    </w:p>
    <w:tbl>
      <w:tblPr>
        <w:tblStyle w:val="TableGrid"/>
        <w:tblW w:w="0" w:type="auto"/>
        <w:tblLook w:val="0420" w:firstRow="1" w:lastRow="0" w:firstColumn="0" w:lastColumn="0" w:noHBand="0" w:noVBand="1"/>
      </w:tblPr>
      <w:tblGrid>
        <w:gridCol w:w="3823"/>
        <w:gridCol w:w="2409"/>
        <w:gridCol w:w="2772"/>
      </w:tblGrid>
      <w:tr w:rsidR="00173418" w:rsidRPr="00C8012B" w14:paraId="33ACC3D6" w14:textId="77777777" w:rsidTr="00970F83">
        <w:trPr>
          <w:trHeight w:val="489"/>
        </w:trPr>
        <w:tc>
          <w:tcPr>
            <w:tcW w:w="3823" w:type="dxa"/>
          </w:tcPr>
          <w:p w14:paraId="675860BC" w14:textId="77777777" w:rsidR="00173418" w:rsidRPr="00C8012B" w:rsidRDefault="00173418" w:rsidP="00970F83">
            <w:pPr>
              <w:spacing w:line="360" w:lineRule="auto"/>
              <w:jc w:val="both"/>
              <w:rPr>
                <w:rFonts w:ascii="Times New Roman" w:hAnsi="Times New Roman" w:cs="Times New Roman"/>
                <w:b/>
                <w:bCs/>
                <w:sz w:val="24"/>
                <w:szCs w:val="24"/>
              </w:rPr>
            </w:pPr>
            <w:r w:rsidRPr="00C8012B">
              <w:rPr>
                <w:rFonts w:ascii="Times New Roman" w:hAnsi="Times New Roman" w:cs="Times New Roman"/>
                <w:b/>
                <w:bCs/>
                <w:sz w:val="24"/>
                <w:szCs w:val="24"/>
              </w:rPr>
              <w:t>TYPE OF IV FLUIDS</w:t>
            </w:r>
          </w:p>
        </w:tc>
        <w:tc>
          <w:tcPr>
            <w:tcW w:w="2409" w:type="dxa"/>
          </w:tcPr>
          <w:p w14:paraId="4483FA5E" w14:textId="77777777" w:rsidR="00173418" w:rsidRPr="00C8012B" w:rsidRDefault="00173418" w:rsidP="00970F83">
            <w:pPr>
              <w:spacing w:line="360" w:lineRule="auto"/>
              <w:jc w:val="both"/>
              <w:rPr>
                <w:rFonts w:ascii="Times New Roman" w:hAnsi="Times New Roman" w:cs="Times New Roman"/>
                <w:b/>
                <w:bCs/>
                <w:sz w:val="24"/>
                <w:szCs w:val="24"/>
              </w:rPr>
            </w:pPr>
            <w:r w:rsidRPr="00C8012B">
              <w:rPr>
                <w:rFonts w:ascii="Times New Roman" w:hAnsi="Times New Roman" w:cs="Times New Roman"/>
                <w:b/>
                <w:bCs/>
                <w:sz w:val="24"/>
                <w:szCs w:val="24"/>
              </w:rPr>
              <w:t xml:space="preserve">NO. OF </w:t>
            </w:r>
            <w:r>
              <w:rPr>
                <w:rFonts w:ascii="Times New Roman" w:hAnsi="Times New Roman" w:cs="Times New Roman"/>
                <w:b/>
                <w:bCs/>
                <w:sz w:val="24"/>
                <w:szCs w:val="24"/>
              </w:rPr>
              <w:t>TIMES PRESCRIBED</w:t>
            </w:r>
          </w:p>
        </w:tc>
        <w:tc>
          <w:tcPr>
            <w:tcW w:w="2772" w:type="dxa"/>
          </w:tcPr>
          <w:p w14:paraId="1628BB79" w14:textId="77777777" w:rsidR="00173418" w:rsidRPr="00C8012B" w:rsidRDefault="00173418" w:rsidP="00970F83">
            <w:pPr>
              <w:spacing w:line="360" w:lineRule="auto"/>
              <w:jc w:val="both"/>
              <w:rPr>
                <w:rFonts w:ascii="Times New Roman" w:hAnsi="Times New Roman" w:cs="Times New Roman"/>
                <w:b/>
                <w:bCs/>
                <w:sz w:val="24"/>
                <w:szCs w:val="24"/>
              </w:rPr>
            </w:pPr>
            <w:r w:rsidRPr="00C8012B">
              <w:rPr>
                <w:rFonts w:ascii="Times New Roman" w:hAnsi="Times New Roman" w:cs="Times New Roman"/>
                <w:b/>
                <w:bCs/>
                <w:sz w:val="24"/>
                <w:szCs w:val="24"/>
              </w:rPr>
              <w:t>PERCENTAGE</w:t>
            </w:r>
          </w:p>
        </w:tc>
      </w:tr>
      <w:tr w:rsidR="00173418" w:rsidRPr="00E85353" w14:paraId="4BC29B5E" w14:textId="77777777" w:rsidTr="00970F83">
        <w:trPr>
          <w:trHeight w:val="552"/>
        </w:trPr>
        <w:tc>
          <w:tcPr>
            <w:tcW w:w="3823" w:type="dxa"/>
          </w:tcPr>
          <w:p w14:paraId="05E1A909" w14:textId="77777777" w:rsidR="00173418" w:rsidRPr="00C8012B" w:rsidRDefault="00173418" w:rsidP="00970F83">
            <w:pPr>
              <w:spacing w:line="360" w:lineRule="auto"/>
              <w:jc w:val="both"/>
              <w:rPr>
                <w:rFonts w:ascii="Times New Roman" w:hAnsi="Times New Roman" w:cs="Times New Roman"/>
                <w:sz w:val="24"/>
                <w:szCs w:val="24"/>
              </w:rPr>
            </w:pPr>
            <w:r w:rsidRPr="00C8012B">
              <w:rPr>
                <w:rFonts w:ascii="Times New Roman" w:hAnsi="Times New Roman" w:cs="Times New Roman"/>
                <w:sz w:val="24"/>
                <w:szCs w:val="24"/>
              </w:rPr>
              <w:lastRenderedPageBreak/>
              <w:t>NORMAL SALINE</w:t>
            </w:r>
          </w:p>
        </w:tc>
        <w:tc>
          <w:tcPr>
            <w:tcW w:w="2409" w:type="dxa"/>
          </w:tcPr>
          <w:p w14:paraId="3D1E6BE7" w14:textId="77777777" w:rsidR="00173418" w:rsidRPr="00C8012B" w:rsidRDefault="00173418" w:rsidP="00970F83">
            <w:pPr>
              <w:spacing w:line="360" w:lineRule="auto"/>
              <w:jc w:val="both"/>
              <w:rPr>
                <w:rFonts w:ascii="Times New Roman" w:hAnsi="Times New Roman" w:cs="Times New Roman"/>
                <w:sz w:val="24"/>
                <w:szCs w:val="24"/>
              </w:rPr>
            </w:pPr>
            <w:r w:rsidRPr="00C8012B">
              <w:rPr>
                <w:rFonts w:ascii="Times New Roman" w:hAnsi="Times New Roman" w:cs="Times New Roman"/>
                <w:sz w:val="24"/>
                <w:szCs w:val="24"/>
              </w:rPr>
              <w:t>12</w:t>
            </w:r>
          </w:p>
        </w:tc>
        <w:tc>
          <w:tcPr>
            <w:tcW w:w="2772" w:type="dxa"/>
          </w:tcPr>
          <w:p w14:paraId="531E4825" w14:textId="77777777" w:rsidR="00173418" w:rsidRPr="00C8012B" w:rsidRDefault="00173418" w:rsidP="00970F83">
            <w:pPr>
              <w:spacing w:line="360" w:lineRule="auto"/>
              <w:jc w:val="both"/>
              <w:rPr>
                <w:rFonts w:ascii="Times New Roman" w:hAnsi="Times New Roman" w:cs="Times New Roman"/>
                <w:sz w:val="24"/>
                <w:szCs w:val="24"/>
              </w:rPr>
            </w:pPr>
            <w:r w:rsidRPr="00C8012B">
              <w:rPr>
                <w:rFonts w:ascii="Times New Roman" w:hAnsi="Times New Roman" w:cs="Times New Roman"/>
                <w:sz w:val="24"/>
                <w:szCs w:val="24"/>
              </w:rPr>
              <w:t>10.7%</w:t>
            </w:r>
          </w:p>
        </w:tc>
      </w:tr>
      <w:tr w:rsidR="00173418" w:rsidRPr="00E85353" w14:paraId="2C1FC7DA" w14:textId="77777777" w:rsidTr="00970F83">
        <w:trPr>
          <w:trHeight w:val="527"/>
        </w:trPr>
        <w:tc>
          <w:tcPr>
            <w:tcW w:w="3823" w:type="dxa"/>
          </w:tcPr>
          <w:p w14:paraId="03CF3C85" w14:textId="77777777" w:rsidR="00173418" w:rsidRPr="00C8012B" w:rsidRDefault="00173418" w:rsidP="00970F83">
            <w:pPr>
              <w:spacing w:line="360" w:lineRule="auto"/>
              <w:jc w:val="both"/>
              <w:rPr>
                <w:rFonts w:ascii="Times New Roman" w:hAnsi="Times New Roman" w:cs="Times New Roman"/>
                <w:sz w:val="24"/>
                <w:szCs w:val="24"/>
              </w:rPr>
            </w:pPr>
            <w:r w:rsidRPr="00C8012B">
              <w:rPr>
                <w:rFonts w:ascii="Times New Roman" w:hAnsi="Times New Roman" w:cs="Times New Roman"/>
                <w:sz w:val="24"/>
                <w:szCs w:val="24"/>
              </w:rPr>
              <w:t>DEXTROSE NORMAL SALINE</w:t>
            </w:r>
          </w:p>
        </w:tc>
        <w:tc>
          <w:tcPr>
            <w:tcW w:w="2409" w:type="dxa"/>
          </w:tcPr>
          <w:p w14:paraId="405165DA" w14:textId="77777777" w:rsidR="00173418" w:rsidRPr="00C8012B" w:rsidRDefault="00173418" w:rsidP="00970F83">
            <w:pPr>
              <w:spacing w:line="360" w:lineRule="auto"/>
              <w:jc w:val="both"/>
              <w:rPr>
                <w:rFonts w:ascii="Times New Roman" w:hAnsi="Times New Roman" w:cs="Times New Roman"/>
                <w:sz w:val="24"/>
                <w:szCs w:val="24"/>
              </w:rPr>
            </w:pPr>
            <w:r w:rsidRPr="00C8012B">
              <w:rPr>
                <w:rFonts w:ascii="Times New Roman" w:hAnsi="Times New Roman" w:cs="Times New Roman"/>
                <w:sz w:val="24"/>
                <w:szCs w:val="24"/>
              </w:rPr>
              <w:t>71</w:t>
            </w:r>
          </w:p>
        </w:tc>
        <w:tc>
          <w:tcPr>
            <w:tcW w:w="2772" w:type="dxa"/>
          </w:tcPr>
          <w:p w14:paraId="0DBD2421" w14:textId="77777777" w:rsidR="00173418" w:rsidRPr="00C8012B" w:rsidRDefault="00173418" w:rsidP="00970F83">
            <w:pPr>
              <w:spacing w:line="360" w:lineRule="auto"/>
              <w:jc w:val="both"/>
              <w:rPr>
                <w:rFonts w:ascii="Times New Roman" w:hAnsi="Times New Roman" w:cs="Times New Roman"/>
                <w:sz w:val="24"/>
                <w:szCs w:val="24"/>
              </w:rPr>
            </w:pPr>
            <w:r w:rsidRPr="00C8012B">
              <w:rPr>
                <w:rFonts w:ascii="Times New Roman" w:hAnsi="Times New Roman" w:cs="Times New Roman"/>
                <w:sz w:val="24"/>
                <w:szCs w:val="24"/>
              </w:rPr>
              <w:t>63.39%</w:t>
            </w:r>
          </w:p>
        </w:tc>
      </w:tr>
      <w:tr w:rsidR="00173418" w:rsidRPr="00E85353" w14:paraId="74DB20B2" w14:textId="77777777" w:rsidTr="00970F83">
        <w:trPr>
          <w:trHeight w:val="552"/>
        </w:trPr>
        <w:tc>
          <w:tcPr>
            <w:tcW w:w="3823" w:type="dxa"/>
          </w:tcPr>
          <w:p w14:paraId="5A42C312" w14:textId="77777777" w:rsidR="00173418" w:rsidRPr="00C8012B" w:rsidRDefault="00173418" w:rsidP="00970F83">
            <w:pPr>
              <w:spacing w:line="360" w:lineRule="auto"/>
              <w:jc w:val="both"/>
              <w:rPr>
                <w:rFonts w:ascii="Times New Roman" w:hAnsi="Times New Roman" w:cs="Times New Roman"/>
                <w:sz w:val="24"/>
                <w:szCs w:val="24"/>
              </w:rPr>
            </w:pPr>
            <w:r w:rsidRPr="00C8012B">
              <w:rPr>
                <w:rFonts w:ascii="Times New Roman" w:hAnsi="Times New Roman" w:cs="Times New Roman"/>
                <w:sz w:val="24"/>
                <w:szCs w:val="24"/>
              </w:rPr>
              <w:t>RINGER LACTATE</w:t>
            </w:r>
          </w:p>
        </w:tc>
        <w:tc>
          <w:tcPr>
            <w:tcW w:w="2409" w:type="dxa"/>
          </w:tcPr>
          <w:p w14:paraId="4E427150" w14:textId="77777777" w:rsidR="00173418" w:rsidRPr="00C8012B" w:rsidRDefault="00173418" w:rsidP="00970F83">
            <w:pPr>
              <w:spacing w:line="360" w:lineRule="auto"/>
              <w:jc w:val="both"/>
              <w:rPr>
                <w:rFonts w:ascii="Times New Roman" w:hAnsi="Times New Roman" w:cs="Times New Roman"/>
                <w:sz w:val="24"/>
                <w:szCs w:val="24"/>
              </w:rPr>
            </w:pPr>
            <w:r w:rsidRPr="00C8012B">
              <w:rPr>
                <w:rFonts w:ascii="Times New Roman" w:hAnsi="Times New Roman" w:cs="Times New Roman"/>
                <w:sz w:val="24"/>
                <w:szCs w:val="24"/>
              </w:rPr>
              <w:t>29</w:t>
            </w:r>
          </w:p>
        </w:tc>
        <w:tc>
          <w:tcPr>
            <w:tcW w:w="2772" w:type="dxa"/>
          </w:tcPr>
          <w:p w14:paraId="6601F9DA" w14:textId="77777777" w:rsidR="00173418" w:rsidRPr="00C8012B" w:rsidRDefault="00173418" w:rsidP="00970F83">
            <w:pPr>
              <w:spacing w:line="360" w:lineRule="auto"/>
              <w:jc w:val="both"/>
              <w:rPr>
                <w:rFonts w:ascii="Times New Roman" w:hAnsi="Times New Roman" w:cs="Times New Roman"/>
                <w:sz w:val="24"/>
                <w:szCs w:val="24"/>
              </w:rPr>
            </w:pPr>
            <w:r w:rsidRPr="00C8012B">
              <w:rPr>
                <w:rFonts w:ascii="Times New Roman" w:hAnsi="Times New Roman" w:cs="Times New Roman"/>
                <w:sz w:val="24"/>
                <w:szCs w:val="24"/>
              </w:rPr>
              <w:t>25.89%</w:t>
            </w:r>
          </w:p>
        </w:tc>
      </w:tr>
      <w:tr w:rsidR="00173418" w:rsidRPr="00E85353" w14:paraId="7812FD3A" w14:textId="77777777" w:rsidTr="00970F83">
        <w:trPr>
          <w:trHeight w:val="552"/>
        </w:trPr>
        <w:tc>
          <w:tcPr>
            <w:tcW w:w="3823" w:type="dxa"/>
          </w:tcPr>
          <w:p w14:paraId="15823A36" w14:textId="77777777" w:rsidR="00173418" w:rsidRPr="00C8012B" w:rsidRDefault="00173418" w:rsidP="00970F83">
            <w:pPr>
              <w:spacing w:line="360" w:lineRule="auto"/>
              <w:jc w:val="both"/>
              <w:rPr>
                <w:rFonts w:ascii="Times New Roman" w:hAnsi="Times New Roman" w:cs="Times New Roman"/>
                <w:sz w:val="24"/>
                <w:szCs w:val="24"/>
              </w:rPr>
            </w:pPr>
            <w:r w:rsidRPr="00C8012B">
              <w:rPr>
                <w:rFonts w:ascii="Times New Roman" w:hAnsi="Times New Roman" w:cs="Times New Roman"/>
                <w:sz w:val="24"/>
                <w:szCs w:val="24"/>
              </w:rPr>
              <w:t>TOTAL</w:t>
            </w:r>
          </w:p>
        </w:tc>
        <w:tc>
          <w:tcPr>
            <w:tcW w:w="2409" w:type="dxa"/>
          </w:tcPr>
          <w:p w14:paraId="3FFFF2AC" w14:textId="77777777" w:rsidR="00173418" w:rsidRPr="00C8012B" w:rsidRDefault="00173418" w:rsidP="00970F83">
            <w:pPr>
              <w:spacing w:line="360" w:lineRule="auto"/>
              <w:jc w:val="both"/>
              <w:rPr>
                <w:rFonts w:ascii="Times New Roman" w:hAnsi="Times New Roman" w:cs="Times New Roman"/>
                <w:sz w:val="24"/>
                <w:szCs w:val="24"/>
              </w:rPr>
            </w:pPr>
            <w:r w:rsidRPr="00C8012B">
              <w:rPr>
                <w:rFonts w:ascii="Times New Roman" w:hAnsi="Times New Roman" w:cs="Times New Roman"/>
                <w:sz w:val="24"/>
                <w:szCs w:val="24"/>
              </w:rPr>
              <w:t>112</w:t>
            </w:r>
          </w:p>
        </w:tc>
        <w:tc>
          <w:tcPr>
            <w:tcW w:w="2772" w:type="dxa"/>
          </w:tcPr>
          <w:p w14:paraId="590D8E25" w14:textId="77777777" w:rsidR="00173418" w:rsidRPr="00C8012B" w:rsidRDefault="00173418" w:rsidP="00970F83">
            <w:pPr>
              <w:spacing w:line="360" w:lineRule="auto"/>
              <w:jc w:val="both"/>
              <w:rPr>
                <w:rFonts w:ascii="Times New Roman" w:hAnsi="Times New Roman" w:cs="Times New Roman"/>
                <w:sz w:val="24"/>
                <w:szCs w:val="24"/>
              </w:rPr>
            </w:pPr>
            <w:r w:rsidRPr="00C8012B">
              <w:rPr>
                <w:rFonts w:ascii="Times New Roman" w:hAnsi="Times New Roman" w:cs="Times New Roman"/>
                <w:sz w:val="24"/>
                <w:szCs w:val="24"/>
              </w:rPr>
              <w:t>100%</w:t>
            </w:r>
          </w:p>
        </w:tc>
      </w:tr>
    </w:tbl>
    <w:p w14:paraId="54F48947" w14:textId="483FE87E" w:rsidR="00173418" w:rsidRPr="00C810F3" w:rsidRDefault="00173418" w:rsidP="00173418">
      <w:pPr>
        <w:spacing w:line="360" w:lineRule="auto"/>
        <w:jc w:val="both"/>
        <w:rPr>
          <w:rFonts w:ascii="Times New Roman" w:hAnsi="Times New Roman" w:cs="Times New Roman"/>
          <w:sz w:val="24"/>
          <w:szCs w:val="24"/>
        </w:rPr>
      </w:pPr>
    </w:p>
    <w:p w14:paraId="44434C13" w14:textId="77777777" w:rsidR="00173418" w:rsidRPr="00E85353" w:rsidRDefault="00173418" w:rsidP="00173418">
      <w:pPr>
        <w:spacing w:line="360" w:lineRule="auto"/>
        <w:jc w:val="both"/>
        <w:rPr>
          <w:rFonts w:ascii="Times New Roman" w:hAnsi="Times New Roman" w:cs="Times New Roman"/>
          <w:sz w:val="24"/>
          <w:szCs w:val="24"/>
        </w:rPr>
      </w:pPr>
      <w:r w:rsidRPr="00E85353">
        <w:rPr>
          <w:rFonts w:ascii="Times New Roman" w:hAnsi="Times New Roman" w:cs="Times New Roman"/>
          <w:b/>
          <w:bCs/>
          <w:sz w:val="24"/>
          <w:szCs w:val="24"/>
        </w:rPr>
        <w:t>ANTIBIOTICS:</w:t>
      </w:r>
      <w:r w:rsidRPr="00E85353">
        <w:rPr>
          <w:rFonts w:ascii="Times New Roman" w:hAnsi="Times New Roman" w:cs="Times New Roman"/>
          <w:sz w:val="24"/>
          <w:szCs w:val="24"/>
        </w:rPr>
        <w:t xml:space="preserve"> </w:t>
      </w:r>
    </w:p>
    <w:p w14:paraId="64CA423A" w14:textId="77777777" w:rsidR="00173418" w:rsidRPr="00F307F9" w:rsidRDefault="00173418" w:rsidP="00173418">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Cephalosporins (56.31%) and nitroimidazoles (28.15%) were highly prescribed groups among the antibiotics followed by tetracyclines (4.85%), fluroquinolones (3.88%), macrolides (3.88%) whereas aminoglycosides (2.91%) were prescribed to lesser extent.</w:t>
      </w:r>
    </w:p>
    <w:p w14:paraId="3E5B964B" w14:textId="77777777" w:rsidR="00173418" w:rsidRPr="00E85353" w:rsidRDefault="00173418" w:rsidP="00173418">
      <w:pPr>
        <w:spacing w:line="360" w:lineRule="auto"/>
        <w:jc w:val="both"/>
        <w:rPr>
          <w:rFonts w:ascii="Times New Roman" w:hAnsi="Times New Roman" w:cs="Times New Roman"/>
          <w:b/>
          <w:bCs/>
          <w:sz w:val="24"/>
          <w:szCs w:val="24"/>
        </w:rPr>
      </w:pPr>
      <w:r w:rsidRPr="00E85353">
        <w:rPr>
          <w:rFonts w:ascii="Times New Roman" w:hAnsi="Times New Roman" w:cs="Times New Roman"/>
          <w:b/>
          <w:bCs/>
          <w:sz w:val="24"/>
          <w:szCs w:val="24"/>
        </w:rPr>
        <w:t xml:space="preserve">TABLE </w:t>
      </w:r>
      <w:r>
        <w:rPr>
          <w:rFonts w:ascii="Times New Roman" w:hAnsi="Times New Roman" w:cs="Times New Roman"/>
          <w:b/>
          <w:bCs/>
          <w:sz w:val="24"/>
          <w:szCs w:val="24"/>
        </w:rPr>
        <w:t>4</w:t>
      </w:r>
      <w:r w:rsidRPr="00E85353">
        <w:rPr>
          <w:rFonts w:ascii="Times New Roman" w:hAnsi="Times New Roman" w:cs="Times New Roman"/>
          <w:b/>
          <w:bCs/>
          <w:sz w:val="24"/>
          <w:szCs w:val="24"/>
        </w:rPr>
        <w:t>: DISTRIBUTION OF ANTIBIOTICS</w:t>
      </w:r>
    </w:p>
    <w:tbl>
      <w:tblPr>
        <w:tblStyle w:val="TableGrid"/>
        <w:tblpPr w:leftFromText="180" w:rightFromText="180" w:vertAnchor="text" w:horzAnchor="margin" w:tblpXSpec="center" w:tblpY="90"/>
        <w:tblW w:w="8902" w:type="dxa"/>
        <w:tblLook w:val="0420" w:firstRow="1" w:lastRow="0" w:firstColumn="0" w:lastColumn="0" w:noHBand="0" w:noVBand="1"/>
      </w:tblPr>
      <w:tblGrid>
        <w:gridCol w:w="2723"/>
        <w:gridCol w:w="2032"/>
        <w:gridCol w:w="2228"/>
        <w:gridCol w:w="1919"/>
      </w:tblGrid>
      <w:tr w:rsidR="00173418" w:rsidRPr="00E85353" w14:paraId="69BBBF02" w14:textId="77777777" w:rsidTr="00970F83">
        <w:trPr>
          <w:trHeight w:val="817"/>
        </w:trPr>
        <w:tc>
          <w:tcPr>
            <w:tcW w:w="2548" w:type="dxa"/>
          </w:tcPr>
          <w:p w14:paraId="5AA19250" w14:textId="77777777" w:rsidR="00173418" w:rsidRPr="00E85353" w:rsidRDefault="00173418" w:rsidP="00970F83">
            <w:pPr>
              <w:spacing w:line="360" w:lineRule="auto"/>
              <w:jc w:val="both"/>
              <w:rPr>
                <w:rFonts w:ascii="Times New Roman" w:hAnsi="Times New Roman" w:cs="Times New Roman"/>
                <w:b/>
                <w:bCs/>
                <w:sz w:val="24"/>
                <w:szCs w:val="24"/>
              </w:rPr>
            </w:pPr>
            <w:r w:rsidRPr="00E85353">
              <w:rPr>
                <w:rFonts w:ascii="Times New Roman" w:hAnsi="Times New Roman" w:cs="Times New Roman"/>
                <w:b/>
                <w:bCs/>
                <w:sz w:val="24"/>
                <w:szCs w:val="24"/>
              </w:rPr>
              <w:t>CATEGORY</w:t>
            </w:r>
          </w:p>
        </w:tc>
        <w:tc>
          <w:tcPr>
            <w:tcW w:w="2110" w:type="dxa"/>
          </w:tcPr>
          <w:p w14:paraId="0376E374" w14:textId="77777777" w:rsidR="00173418" w:rsidRPr="00E85353" w:rsidRDefault="00173418" w:rsidP="00970F83">
            <w:pPr>
              <w:spacing w:line="360" w:lineRule="auto"/>
              <w:jc w:val="both"/>
              <w:rPr>
                <w:rFonts w:ascii="Times New Roman" w:hAnsi="Times New Roman" w:cs="Times New Roman"/>
                <w:b/>
                <w:bCs/>
                <w:sz w:val="24"/>
                <w:szCs w:val="24"/>
              </w:rPr>
            </w:pPr>
            <w:r w:rsidRPr="00E85353">
              <w:rPr>
                <w:rFonts w:ascii="Times New Roman" w:hAnsi="Times New Roman" w:cs="Times New Roman"/>
                <w:b/>
                <w:bCs/>
                <w:sz w:val="24"/>
                <w:szCs w:val="24"/>
              </w:rPr>
              <w:t>DRUG NAME</w:t>
            </w:r>
          </w:p>
        </w:tc>
        <w:tc>
          <w:tcPr>
            <w:tcW w:w="2315" w:type="dxa"/>
          </w:tcPr>
          <w:p w14:paraId="03008B32" w14:textId="77777777" w:rsidR="00173418" w:rsidRPr="00E85353" w:rsidRDefault="00173418" w:rsidP="00970F83">
            <w:pPr>
              <w:spacing w:line="360" w:lineRule="auto"/>
              <w:jc w:val="both"/>
              <w:rPr>
                <w:rFonts w:ascii="Times New Roman" w:hAnsi="Times New Roman" w:cs="Times New Roman"/>
                <w:b/>
                <w:bCs/>
                <w:sz w:val="24"/>
                <w:szCs w:val="24"/>
              </w:rPr>
            </w:pPr>
            <w:r w:rsidRPr="00E85353">
              <w:rPr>
                <w:rFonts w:ascii="Times New Roman" w:hAnsi="Times New Roman" w:cs="Times New Roman"/>
                <w:b/>
                <w:bCs/>
                <w:sz w:val="24"/>
                <w:szCs w:val="24"/>
              </w:rPr>
              <w:t xml:space="preserve">NO. OF </w:t>
            </w:r>
            <w:r>
              <w:rPr>
                <w:rFonts w:ascii="Times New Roman" w:hAnsi="Times New Roman" w:cs="Times New Roman"/>
                <w:b/>
                <w:bCs/>
                <w:sz w:val="24"/>
                <w:szCs w:val="24"/>
              </w:rPr>
              <w:t>TIMES PRESCRIBED</w:t>
            </w:r>
          </w:p>
        </w:tc>
        <w:tc>
          <w:tcPr>
            <w:tcW w:w="1929" w:type="dxa"/>
          </w:tcPr>
          <w:p w14:paraId="46E8BD87" w14:textId="77777777" w:rsidR="00173418" w:rsidRPr="00E85353" w:rsidRDefault="00173418" w:rsidP="00970F83">
            <w:pPr>
              <w:spacing w:line="360" w:lineRule="auto"/>
              <w:jc w:val="both"/>
              <w:rPr>
                <w:rFonts w:ascii="Times New Roman" w:hAnsi="Times New Roman" w:cs="Times New Roman"/>
                <w:b/>
                <w:bCs/>
                <w:sz w:val="24"/>
                <w:szCs w:val="24"/>
              </w:rPr>
            </w:pPr>
            <w:r w:rsidRPr="00E85353">
              <w:rPr>
                <w:rFonts w:ascii="Times New Roman" w:hAnsi="Times New Roman" w:cs="Times New Roman"/>
                <w:b/>
                <w:bCs/>
                <w:sz w:val="24"/>
                <w:szCs w:val="24"/>
              </w:rPr>
              <w:t>PERCENTAGE</w:t>
            </w:r>
          </w:p>
        </w:tc>
      </w:tr>
      <w:tr w:rsidR="00173418" w:rsidRPr="00E85353" w14:paraId="4218E91C" w14:textId="77777777" w:rsidTr="00970F83">
        <w:trPr>
          <w:trHeight w:val="775"/>
        </w:trPr>
        <w:tc>
          <w:tcPr>
            <w:tcW w:w="2548" w:type="dxa"/>
            <w:vMerge w:val="restart"/>
          </w:tcPr>
          <w:p w14:paraId="629B8DD6" w14:textId="77777777" w:rsidR="00173418" w:rsidRPr="00E85353" w:rsidRDefault="00173418" w:rsidP="00970F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CEPHALOSPORINS</w:t>
            </w:r>
          </w:p>
        </w:tc>
        <w:tc>
          <w:tcPr>
            <w:tcW w:w="2110" w:type="dxa"/>
          </w:tcPr>
          <w:p w14:paraId="049D29FB" w14:textId="77777777" w:rsidR="00173418" w:rsidRPr="00E85353" w:rsidRDefault="00173418" w:rsidP="00970F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 xml:space="preserve">Ceftriaxone </w:t>
            </w:r>
          </w:p>
        </w:tc>
        <w:tc>
          <w:tcPr>
            <w:tcW w:w="2315" w:type="dxa"/>
            <w:vMerge w:val="restart"/>
          </w:tcPr>
          <w:p w14:paraId="1C60307E" w14:textId="77777777" w:rsidR="00173418" w:rsidRPr="00E85353" w:rsidRDefault="00173418" w:rsidP="00970F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58</w:t>
            </w:r>
          </w:p>
        </w:tc>
        <w:tc>
          <w:tcPr>
            <w:tcW w:w="1929" w:type="dxa"/>
            <w:vMerge w:val="restart"/>
          </w:tcPr>
          <w:p w14:paraId="31310EFE" w14:textId="77777777" w:rsidR="00173418" w:rsidRPr="00E85353" w:rsidRDefault="00173418" w:rsidP="00970F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56.31%</w:t>
            </w:r>
          </w:p>
        </w:tc>
      </w:tr>
      <w:tr w:rsidR="00173418" w:rsidRPr="00E85353" w14:paraId="08AA1F94" w14:textId="77777777" w:rsidTr="00970F83">
        <w:trPr>
          <w:trHeight w:val="765"/>
        </w:trPr>
        <w:tc>
          <w:tcPr>
            <w:tcW w:w="2548" w:type="dxa"/>
            <w:vMerge/>
          </w:tcPr>
          <w:p w14:paraId="50B3B1E9" w14:textId="77777777" w:rsidR="00173418" w:rsidRPr="00E85353" w:rsidRDefault="00173418" w:rsidP="00970F83">
            <w:pPr>
              <w:spacing w:line="360" w:lineRule="auto"/>
              <w:jc w:val="both"/>
              <w:rPr>
                <w:rFonts w:ascii="Times New Roman" w:hAnsi="Times New Roman" w:cs="Times New Roman"/>
                <w:sz w:val="24"/>
                <w:szCs w:val="24"/>
              </w:rPr>
            </w:pPr>
          </w:p>
        </w:tc>
        <w:tc>
          <w:tcPr>
            <w:tcW w:w="2110" w:type="dxa"/>
          </w:tcPr>
          <w:p w14:paraId="18BD1036" w14:textId="77777777" w:rsidR="00173418" w:rsidRPr="00E85353" w:rsidRDefault="00173418" w:rsidP="00970F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 xml:space="preserve">Cefotaxime </w:t>
            </w:r>
          </w:p>
        </w:tc>
        <w:tc>
          <w:tcPr>
            <w:tcW w:w="2315" w:type="dxa"/>
            <w:vMerge/>
          </w:tcPr>
          <w:p w14:paraId="2823B5EB" w14:textId="77777777" w:rsidR="00173418" w:rsidRPr="00E85353" w:rsidRDefault="00173418" w:rsidP="00970F83">
            <w:pPr>
              <w:spacing w:line="360" w:lineRule="auto"/>
              <w:jc w:val="both"/>
              <w:rPr>
                <w:rFonts w:ascii="Times New Roman" w:hAnsi="Times New Roman" w:cs="Times New Roman"/>
                <w:sz w:val="24"/>
                <w:szCs w:val="24"/>
              </w:rPr>
            </w:pPr>
          </w:p>
        </w:tc>
        <w:tc>
          <w:tcPr>
            <w:tcW w:w="1929" w:type="dxa"/>
            <w:vMerge/>
          </w:tcPr>
          <w:p w14:paraId="7D06CB17" w14:textId="77777777" w:rsidR="00173418" w:rsidRPr="00E85353" w:rsidRDefault="00173418" w:rsidP="00970F83">
            <w:pPr>
              <w:spacing w:line="360" w:lineRule="auto"/>
              <w:jc w:val="both"/>
              <w:rPr>
                <w:rFonts w:ascii="Times New Roman" w:hAnsi="Times New Roman" w:cs="Times New Roman"/>
                <w:sz w:val="24"/>
                <w:szCs w:val="24"/>
              </w:rPr>
            </w:pPr>
          </w:p>
        </w:tc>
      </w:tr>
      <w:tr w:rsidR="00173418" w:rsidRPr="00E85353" w14:paraId="05FE3454" w14:textId="77777777" w:rsidTr="00970F83">
        <w:trPr>
          <w:trHeight w:val="757"/>
        </w:trPr>
        <w:tc>
          <w:tcPr>
            <w:tcW w:w="2548" w:type="dxa"/>
            <w:vMerge/>
          </w:tcPr>
          <w:p w14:paraId="018A2BBD" w14:textId="77777777" w:rsidR="00173418" w:rsidRPr="00E85353" w:rsidRDefault="00173418" w:rsidP="00970F83">
            <w:pPr>
              <w:spacing w:line="360" w:lineRule="auto"/>
              <w:jc w:val="both"/>
              <w:rPr>
                <w:rFonts w:ascii="Times New Roman" w:hAnsi="Times New Roman" w:cs="Times New Roman"/>
                <w:sz w:val="24"/>
                <w:szCs w:val="24"/>
              </w:rPr>
            </w:pPr>
          </w:p>
        </w:tc>
        <w:tc>
          <w:tcPr>
            <w:tcW w:w="2110" w:type="dxa"/>
          </w:tcPr>
          <w:p w14:paraId="2CBCA344" w14:textId="77777777" w:rsidR="00173418" w:rsidRPr="00E85353" w:rsidRDefault="00173418" w:rsidP="00970F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 xml:space="preserve">Cefixime </w:t>
            </w:r>
          </w:p>
        </w:tc>
        <w:tc>
          <w:tcPr>
            <w:tcW w:w="2315" w:type="dxa"/>
            <w:vMerge/>
          </w:tcPr>
          <w:p w14:paraId="5BD0249F" w14:textId="77777777" w:rsidR="00173418" w:rsidRPr="00E85353" w:rsidRDefault="00173418" w:rsidP="00970F83">
            <w:pPr>
              <w:spacing w:line="360" w:lineRule="auto"/>
              <w:jc w:val="both"/>
              <w:rPr>
                <w:rFonts w:ascii="Times New Roman" w:hAnsi="Times New Roman" w:cs="Times New Roman"/>
                <w:sz w:val="24"/>
                <w:szCs w:val="24"/>
              </w:rPr>
            </w:pPr>
          </w:p>
        </w:tc>
        <w:tc>
          <w:tcPr>
            <w:tcW w:w="1929" w:type="dxa"/>
            <w:vMerge/>
          </w:tcPr>
          <w:p w14:paraId="5B19C096" w14:textId="77777777" w:rsidR="00173418" w:rsidRPr="00E85353" w:rsidRDefault="00173418" w:rsidP="00970F83">
            <w:pPr>
              <w:spacing w:line="360" w:lineRule="auto"/>
              <w:jc w:val="both"/>
              <w:rPr>
                <w:rFonts w:ascii="Times New Roman" w:hAnsi="Times New Roman" w:cs="Times New Roman"/>
                <w:sz w:val="24"/>
                <w:szCs w:val="24"/>
              </w:rPr>
            </w:pPr>
          </w:p>
        </w:tc>
      </w:tr>
      <w:tr w:rsidR="00173418" w:rsidRPr="00E85353" w14:paraId="29DACCBF" w14:textId="77777777" w:rsidTr="00970F83">
        <w:trPr>
          <w:trHeight w:val="774"/>
        </w:trPr>
        <w:tc>
          <w:tcPr>
            <w:tcW w:w="2548" w:type="dxa"/>
          </w:tcPr>
          <w:p w14:paraId="042A3B55" w14:textId="77777777" w:rsidR="00173418" w:rsidRPr="00E85353" w:rsidRDefault="00173418" w:rsidP="00970F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NITROIMIDAZOLES</w:t>
            </w:r>
          </w:p>
        </w:tc>
        <w:tc>
          <w:tcPr>
            <w:tcW w:w="2110" w:type="dxa"/>
          </w:tcPr>
          <w:p w14:paraId="6332E3EC" w14:textId="77777777" w:rsidR="00173418" w:rsidRPr="00E85353" w:rsidRDefault="00173418" w:rsidP="00970F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 xml:space="preserve">Metronidazole </w:t>
            </w:r>
          </w:p>
        </w:tc>
        <w:tc>
          <w:tcPr>
            <w:tcW w:w="2315" w:type="dxa"/>
          </w:tcPr>
          <w:p w14:paraId="325ECFD8" w14:textId="77777777" w:rsidR="00173418" w:rsidRPr="00E85353" w:rsidRDefault="00173418" w:rsidP="00970F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29</w:t>
            </w:r>
          </w:p>
        </w:tc>
        <w:tc>
          <w:tcPr>
            <w:tcW w:w="1929" w:type="dxa"/>
          </w:tcPr>
          <w:p w14:paraId="7A5855A6" w14:textId="77777777" w:rsidR="00173418" w:rsidRPr="00E85353" w:rsidRDefault="00173418" w:rsidP="00970F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28.15%</w:t>
            </w:r>
          </w:p>
        </w:tc>
      </w:tr>
      <w:tr w:rsidR="00173418" w:rsidRPr="00E85353" w14:paraId="3DE49DB2" w14:textId="77777777" w:rsidTr="00970F83">
        <w:trPr>
          <w:trHeight w:val="781"/>
        </w:trPr>
        <w:tc>
          <w:tcPr>
            <w:tcW w:w="2548" w:type="dxa"/>
            <w:vMerge w:val="restart"/>
          </w:tcPr>
          <w:p w14:paraId="49ED9693" w14:textId="77777777" w:rsidR="00173418" w:rsidRPr="00E85353" w:rsidRDefault="00173418" w:rsidP="00970F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FLUOROQUINOLONES</w:t>
            </w:r>
          </w:p>
        </w:tc>
        <w:tc>
          <w:tcPr>
            <w:tcW w:w="2110" w:type="dxa"/>
          </w:tcPr>
          <w:p w14:paraId="3AB6616A" w14:textId="77777777" w:rsidR="00173418" w:rsidRPr="00E85353" w:rsidRDefault="00173418" w:rsidP="00970F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 xml:space="preserve">Ciprofloxacin </w:t>
            </w:r>
          </w:p>
        </w:tc>
        <w:tc>
          <w:tcPr>
            <w:tcW w:w="2315" w:type="dxa"/>
            <w:vMerge w:val="restart"/>
          </w:tcPr>
          <w:p w14:paraId="01C3FB73" w14:textId="77777777" w:rsidR="00173418" w:rsidRPr="00E85353" w:rsidRDefault="00173418" w:rsidP="00970F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4</w:t>
            </w:r>
          </w:p>
        </w:tc>
        <w:tc>
          <w:tcPr>
            <w:tcW w:w="1929" w:type="dxa"/>
            <w:vMerge w:val="restart"/>
          </w:tcPr>
          <w:p w14:paraId="56921962" w14:textId="77777777" w:rsidR="00173418" w:rsidRPr="00E85353" w:rsidRDefault="00173418" w:rsidP="00970F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3.88%</w:t>
            </w:r>
          </w:p>
        </w:tc>
      </w:tr>
      <w:tr w:rsidR="00173418" w:rsidRPr="00E85353" w14:paraId="0F0F48D7" w14:textId="77777777" w:rsidTr="00970F83">
        <w:trPr>
          <w:trHeight w:val="751"/>
        </w:trPr>
        <w:tc>
          <w:tcPr>
            <w:tcW w:w="2548" w:type="dxa"/>
            <w:vMerge/>
          </w:tcPr>
          <w:p w14:paraId="06827F06" w14:textId="77777777" w:rsidR="00173418" w:rsidRPr="00E85353" w:rsidRDefault="00173418" w:rsidP="00970F83">
            <w:pPr>
              <w:spacing w:line="360" w:lineRule="auto"/>
              <w:jc w:val="both"/>
              <w:rPr>
                <w:rFonts w:ascii="Times New Roman" w:hAnsi="Times New Roman" w:cs="Times New Roman"/>
                <w:sz w:val="24"/>
                <w:szCs w:val="24"/>
              </w:rPr>
            </w:pPr>
          </w:p>
        </w:tc>
        <w:tc>
          <w:tcPr>
            <w:tcW w:w="2110" w:type="dxa"/>
          </w:tcPr>
          <w:p w14:paraId="574FB5FC" w14:textId="77777777" w:rsidR="00173418" w:rsidRPr="00E85353" w:rsidRDefault="00173418" w:rsidP="00970F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 xml:space="preserve">Norfloxacin </w:t>
            </w:r>
          </w:p>
        </w:tc>
        <w:tc>
          <w:tcPr>
            <w:tcW w:w="2315" w:type="dxa"/>
            <w:vMerge/>
          </w:tcPr>
          <w:p w14:paraId="28057637" w14:textId="77777777" w:rsidR="00173418" w:rsidRPr="00E85353" w:rsidRDefault="00173418" w:rsidP="00970F83">
            <w:pPr>
              <w:spacing w:line="360" w:lineRule="auto"/>
              <w:jc w:val="both"/>
              <w:rPr>
                <w:rFonts w:ascii="Times New Roman" w:hAnsi="Times New Roman" w:cs="Times New Roman"/>
                <w:sz w:val="24"/>
                <w:szCs w:val="24"/>
              </w:rPr>
            </w:pPr>
          </w:p>
        </w:tc>
        <w:tc>
          <w:tcPr>
            <w:tcW w:w="1929" w:type="dxa"/>
            <w:vMerge/>
          </w:tcPr>
          <w:p w14:paraId="7494E482" w14:textId="77777777" w:rsidR="00173418" w:rsidRPr="00E85353" w:rsidRDefault="00173418" w:rsidP="00970F83">
            <w:pPr>
              <w:spacing w:line="360" w:lineRule="auto"/>
              <w:jc w:val="both"/>
              <w:rPr>
                <w:rFonts w:ascii="Times New Roman" w:hAnsi="Times New Roman" w:cs="Times New Roman"/>
                <w:sz w:val="24"/>
                <w:szCs w:val="24"/>
              </w:rPr>
            </w:pPr>
          </w:p>
        </w:tc>
      </w:tr>
      <w:tr w:rsidR="00173418" w:rsidRPr="00E85353" w14:paraId="1B1DFD52" w14:textId="77777777" w:rsidTr="00970F83">
        <w:trPr>
          <w:trHeight w:val="761"/>
        </w:trPr>
        <w:tc>
          <w:tcPr>
            <w:tcW w:w="2548" w:type="dxa"/>
            <w:vMerge/>
          </w:tcPr>
          <w:p w14:paraId="586A0C16" w14:textId="77777777" w:rsidR="00173418" w:rsidRPr="00E85353" w:rsidRDefault="00173418" w:rsidP="00970F83">
            <w:pPr>
              <w:spacing w:line="360" w:lineRule="auto"/>
              <w:jc w:val="both"/>
              <w:rPr>
                <w:rFonts w:ascii="Times New Roman" w:hAnsi="Times New Roman" w:cs="Times New Roman"/>
                <w:sz w:val="24"/>
                <w:szCs w:val="24"/>
              </w:rPr>
            </w:pPr>
          </w:p>
        </w:tc>
        <w:tc>
          <w:tcPr>
            <w:tcW w:w="2110" w:type="dxa"/>
          </w:tcPr>
          <w:p w14:paraId="775E99BB" w14:textId="77777777" w:rsidR="00173418" w:rsidRPr="00E85353" w:rsidRDefault="00173418" w:rsidP="00970F83">
            <w:pPr>
              <w:spacing w:line="360" w:lineRule="auto"/>
              <w:jc w:val="both"/>
              <w:rPr>
                <w:rFonts w:ascii="Times New Roman" w:hAnsi="Times New Roman" w:cs="Times New Roman"/>
                <w:sz w:val="24"/>
                <w:szCs w:val="24"/>
              </w:rPr>
            </w:pPr>
            <w:proofErr w:type="spellStart"/>
            <w:r w:rsidRPr="00E85353">
              <w:rPr>
                <w:rFonts w:ascii="Times New Roman" w:hAnsi="Times New Roman" w:cs="Times New Roman"/>
                <w:sz w:val="24"/>
                <w:szCs w:val="24"/>
              </w:rPr>
              <w:t>Olfloxacin</w:t>
            </w:r>
            <w:proofErr w:type="spellEnd"/>
            <w:r w:rsidRPr="00E85353">
              <w:rPr>
                <w:rFonts w:ascii="Times New Roman" w:hAnsi="Times New Roman" w:cs="Times New Roman"/>
                <w:sz w:val="24"/>
                <w:szCs w:val="24"/>
              </w:rPr>
              <w:t xml:space="preserve"> </w:t>
            </w:r>
          </w:p>
        </w:tc>
        <w:tc>
          <w:tcPr>
            <w:tcW w:w="2315" w:type="dxa"/>
            <w:vMerge/>
          </w:tcPr>
          <w:p w14:paraId="033C90CD" w14:textId="77777777" w:rsidR="00173418" w:rsidRPr="00E85353" w:rsidRDefault="00173418" w:rsidP="00970F83">
            <w:pPr>
              <w:spacing w:line="360" w:lineRule="auto"/>
              <w:jc w:val="both"/>
              <w:rPr>
                <w:rFonts w:ascii="Times New Roman" w:hAnsi="Times New Roman" w:cs="Times New Roman"/>
                <w:sz w:val="24"/>
                <w:szCs w:val="24"/>
              </w:rPr>
            </w:pPr>
          </w:p>
        </w:tc>
        <w:tc>
          <w:tcPr>
            <w:tcW w:w="1929" w:type="dxa"/>
            <w:vMerge/>
          </w:tcPr>
          <w:p w14:paraId="458BB14F" w14:textId="77777777" w:rsidR="00173418" w:rsidRPr="00E85353" w:rsidRDefault="00173418" w:rsidP="00970F83">
            <w:pPr>
              <w:spacing w:line="360" w:lineRule="auto"/>
              <w:jc w:val="both"/>
              <w:rPr>
                <w:rFonts w:ascii="Times New Roman" w:hAnsi="Times New Roman" w:cs="Times New Roman"/>
                <w:sz w:val="24"/>
                <w:szCs w:val="24"/>
              </w:rPr>
            </w:pPr>
          </w:p>
        </w:tc>
      </w:tr>
      <w:tr w:rsidR="00173418" w:rsidRPr="00E85353" w14:paraId="75CC8366" w14:textId="77777777" w:rsidTr="00970F83">
        <w:trPr>
          <w:trHeight w:val="774"/>
        </w:trPr>
        <w:tc>
          <w:tcPr>
            <w:tcW w:w="2548" w:type="dxa"/>
          </w:tcPr>
          <w:p w14:paraId="688BE032" w14:textId="77777777" w:rsidR="00173418" w:rsidRPr="00E85353" w:rsidRDefault="00173418" w:rsidP="00970F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MACROLIDES</w:t>
            </w:r>
          </w:p>
        </w:tc>
        <w:tc>
          <w:tcPr>
            <w:tcW w:w="2110" w:type="dxa"/>
          </w:tcPr>
          <w:p w14:paraId="5924BAD9" w14:textId="77777777" w:rsidR="00173418" w:rsidRPr="00E85353" w:rsidRDefault="00173418" w:rsidP="00970F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 xml:space="preserve">Azithromycin </w:t>
            </w:r>
          </w:p>
        </w:tc>
        <w:tc>
          <w:tcPr>
            <w:tcW w:w="2315" w:type="dxa"/>
          </w:tcPr>
          <w:p w14:paraId="71210B1E" w14:textId="77777777" w:rsidR="00173418" w:rsidRPr="00E85353" w:rsidRDefault="00173418" w:rsidP="00970F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4</w:t>
            </w:r>
          </w:p>
        </w:tc>
        <w:tc>
          <w:tcPr>
            <w:tcW w:w="1929" w:type="dxa"/>
          </w:tcPr>
          <w:p w14:paraId="1BB47A82" w14:textId="77777777" w:rsidR="00173418" w:rsidRPr="00E85353" w:rsidRDefault="00173418" w:rsidP="00970F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3.88%</w:t>
            </w:r>
          </w:p>
        </w:tc>
      </w:tr>
      <w:tr w:rsidR="00173418" w:rsidRPr="00E85353" w14:paraId="7D8554AE" w14:textId="77777777" w:rsidTr="00970F83">
        <w:trPr>
          <w:trHeight w:val="765"/>
        </w:trPr>
        <w:tc>
          <w:tcPr>
            <w:tcW w:w="2548" w:type="dxa"/>
            <w:vMerge w:val="restart"/>
          </w:tcPr>
          <w:p w14:paraId="41D9C668" w14:textId="77777777" w:rsidR="00173418" w:rsidRPr="00E85353" w:rsidRDefault="00173418" w:rsidP="00970F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AMINOGLYCOSIDES</w:t>
            </w:r>
          </w:p>
        </w:tc>
        <w:tc>
          <w:tcPr>
            <w:tcW w:w="2110" w:type="dxa"/>
          </w:tcPr>
          <w:p w14:paraId="5A9D626A" w14:textId="77777777" w:rsidR="00173418" w:rsidRPr="00E85353" w:rsidRDefault="00173418" w:rsidP="00970F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 xml:space="preserve">Gentamicin </w:t>
            </w:r>
          </w:p>
        </w:tc>
        <w:tc>
          <w:tcPr>
            <w:tcW w:w="2315" w:type="dxa"/>
            <w:vMerge w:val="restart"/>
          </w:tcPr>
          <w:p w14:paraId="62D56628" w14:textId="77777777" w:rsidR="00173418" w:rsidRPr="00E85353" w:rsidRDefault="00173418" w:rsidP="00970F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3</w:t>
            </w:r>
          </w:p>
        </w:tc>
        <w:tc>
          <w:tcPr>
            <w:tcW w:w="1929" w:type="dxa"/>
            <w:vMerge w:val="restart"/>
          </w:tcPr>
          <w:p w14:paraId="2FBCEAB8" w14:textId="77777777" w:rsidR="00173418" w:rsidRPr="00E85353" w:rsidRDefault="00173418" w:rsidP="00970F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2.91%</w:t>
            </w:r>
          </w:p>
        </w:tc>
      </w:tr>
      <w:tr w:rsidR="00173418" w:rsidRPr="00E85353" w14:paraId="0816DA86" w14:textId="77777777" w:rsidTr="00970F83">
        <w:trPr>
          <w:trHeight w:val="757"/>
        </w:trPr>
        <w:tc>
          <w:tcPr>
            <w:tcW w:w="2548" w:type="dxa"/>
            <w:vMerge/>
          </w:tcPr>
          <w:p w14:paraId="7F0E8E1E" w14:textId="77777777" w:rsidR="00173418" w:rsidRPr="00E85353" w:rsidRDefault="00173418" w:rsidP="00970F83">
            <w:pPr>
              <w:spacing w:line="360" w:lineRule="auto"/>
              <w:jc w:val="both"/>
              <w:rPr>
                <w:rFonts w:ascii="Times New Roman" w:hAnsi="Times New Roman" w:cs="Times New Roman"/>
                <w:sz w:val="24"/>
                <w:szCs w:val="24"/>
              </w:rPr>
            </w:pPr>
          </w:p>
        </w:tc>
        <w:tc>
          <w:tcPr>
            <w:tcW w:w="2110" w:type="dxa"/>
          </w:tcPr>
          <w:p w14:paraId="6C6F1F4A" w14:textId="77777777" w:rsidR="00173418" w:rsidRPr="00E85353" w:rsidRDefault="00173418" w:rsidP="00970F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 xml:space="preserve">Amikacin </w:t>
            </w:r>
          </w:p>
        </w:tc>
        <w:tc>
          <w:tcPr>
            <w:tcW w:w="2315" w:type="dxa"/>
            <w:vMerge/>
          </w:tcPr>
          <w:p w14:paraId="7E10469A" w14:textId="77777777" w:rsidR="00173418" w:rsidRPr="00E85353" w:rsidRDefault="00173418" w:rsidP="00970F83">
            <w:pPr>
              <w:spacing w:line="360" w:lineRule="auto"/>
              <w:jc w:val="both"/>
              <w:rPr>
                <w:rFonts w:ascii="Times New Roman" w:hAnsi="Times New Roman" w:cs="Times New Roman"/>
                <w:sz w:val="24"/>
                <w:szCs w:val="24"/>
              </w:rPr>
            </w:pPr>
          </w:p>
        </w:tc>
        <w:tc>
          <w:tcPr>
            <w:tcW w:w="1929" w:type="dxa"/>
            <w:vMerge/>
          </w:tcPr>
          <w:p w14:paraId="5171715D" w14:textId="77777777" w:rsidR="00173418" w:rsidRPr="00E85353" w:rsidRDefault="00173418" w:rsidP="00970F83">
            <w:pPr>
              <w:spacing w:line="360" w:lineRule="auto"/>
              <w:jc w:val="both"/>
              <w:rPr>
                <w:rFonts w:ascii="Times New Roman" w:hAnsi="Times New Roman" w:cs="Times New Roman"/>
                <w:sz w:val="24"/>
                <w:szCs w:val="24"/>
              </w:rPr>
            </w:pPr>
          </w:p>
        </w:tc>
      </w:tr>
      <w:tr w:rsidR="00173418" w:rsidRPr="00E85353" w14:paraId="43EA2828" w14:textId="77777777" w:rsidTr="00970F83">
        <w:trPr>
          <w:trHeight w:val="788"/>
        </w:trPr>
        <w:tc>
          <w:tcPr>
            <w:tcW w:w="2548" w:type="dxa"/>
          </w:tcPr>
          <w:p w14:paraId="6FCA0312" w14:textId="77777777" w:rsidR="00173418" w:rsidRPr="00E85353" w:rsidRDefault="00173418" w:rsidP="00970F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TETRACYCLINES</w:t>
            </w:r>
          </w:p>
        </w:tc>
        <w:tc>
          <w:tcPr>
            <w:tcW w:w="2110" w:type="dxa"/>
          </w:tcPr>
          <w:p w14:paraId="33E4B2D0" w14:textId="77777777" w:rsidR="00173418" w:rsidRPr="00E85353" w:rsidRDefault="00173418" w:rsidP="00970F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Doxycycline</w:t>
            </w:r>
          </w:p>
        </w:tc>
        <w:tc>
          <w:tcPr>
            <w:tcW w:w="2315" w:type="dxa"/>
          </w:tcPr>
          <w:p w14:paraId="67ACB758" w14:textId="77777777" w:rsidR="00173418" w:rsidRPr="00E85353" w:rsidRDefault="00173418" w:rsidP="00970F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5</w:t>
            </w:r>
          </w:p>
        </w:tc>
        <w:tc>
          <w:tcPr>
            <w:tcW w:w="1929" w:type="dxa"/>
          </w:tcPr>
          <w:p w14:paraId="68028661" w14:textId="77777777" w:rsidR="00173418" w:rsidRPr="00E85353" w:rsidRDefault="00173418" w:rsidP="00970F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4.85%</w:t>
            </w:r>
          </w:p>
        </w:tc>
      </w:tr>
      <w:tr w:rsidR="00173418" w:rsidRPr="00E85353" w14:paraId="6C38F3B4" w14:textId="77777777" w:rsidTr="00970F83">
        <w:trPr>
          <w:trHeight w:val="788"/>
        </w:trPr>
        <w:tc>
          <w:tcPr>
            <w:tcW w:w="2548" w:type="dxa"/>
          </w:tcPr>
          <w:p w14:paraId="0913561C" w14:textId="77777777" w:rsidR="00173418" w:rsidRPr="00E85353" w:rsidRDefault="00173418" w:rsidP="00970F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TOTAL</w:t>
            </w:r>
          </w:p>
        </w:tc>
        <w:tc>
          <w:tcPr>
            <w:tcW w:w="2110" w:type="dxa"/>
          </w:tcPr>
          <w:p w14:paraId="45DB1FE7" w14:textId="77777777" w:rsidR="00173418" w:rsidRPr="00E85353" w:rsidRDefault="00173418" w:rsidP="00970F83">
            <w:pPr>
              <w:spacing w:line="360" w:lineRule="auto"/>
              <w:jc w:val="both"/>
              <w:rPr>
                <w:rFonts w:ascii="Times New Roman" w:hAnsi="Times New Roman" w:cs="Times New Roman"/>
                <w:sz w:val="24"/>
                <w:szCs w:val="24"/>
              </w:rPr>
            </w:pPr>
          </w:p>
        </w:tc>
        <w:tc>
          <w:tcPr>
            <w:tcW w:w="2315" w:type="dxa"/>
          </w:tcPr>
          <w:p w14:paraId="0263AF72" w14:textId="77777777" w:rsidR="00173418" w:rsidRPr="00E85353" w:rsidRDefault="00173418" w:rsidP="00970F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103</w:t>
            </w:r>
          </w:p>
        </w:tc>
        <w:tc>
          <w:tcPr>
            <w:tcW w:w="1929" w:type="dxa"/>
          </w:tcPr>
          <w:p w14:paraId="454E69AD" w14:textId="77777777" w:rsidR="00173418" w:rsidRPr="00E85353" w:rsidRDefault="00173418" w:rsidP="00970F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100%</w:t>
            </w:r>
          </w:p>
        </w:tc>
      </w:tr>
    </w:tbl>
    <w:p w14:paraId="5FEA39C6" w14:textId="77777777" w:rsidR="00173418" w:rsidRPr="00E85353" w:rsidRDefault="00173418" w:rsidP="00173418">
      <w:pPr>
        <w:spacing w:line="360" w:lineRule="auto"/>
        <w:jc w:val="both"/>
        <w:rPr>
          <w:rFonts w:ascii="Times New Roman" w:hAnsi="Times New Roman" w:cs="Times New Roman"/>
          <w:b/>
          <w:bCs/>
          <w:sz w:val="24"/>
          <w:szCs w:val="24"/>
        </w:rPr>
      </w:pPr>
    </w:p>
    <w:p w14:paraId="37B744A9" w14:textId="77777777" w:rsidR="00173418" w:rsidRPr="00C8012B" w:rsidRDefault="00173418" w:rsidP="00173418">
      <w:pPr>
        <w:spacing w:after="0" w:line="360" w:lineRule="auto"/>
        <w:jc w:val="both"/>
        <w:rPr>
          <w:rFonts w:ascii="Times New Roman" w:hAnsi="Times New Roman" w:cs="Times New Roman"/>
          <w:b/>
          <w:bCs/>
          <w:sz w:val="24"/>
          <w:szCs w:val="24"/>
        </w:rPr>
      </w:pPr>
      <w:r w:rsidRPr="00C8012B">
        <w:rPr>
          <w:rFonts w:ascii="Times New Roman" w:hAnsi="Times New Roman" w:cs="Times New Roman"/>
          <w:b/>
          <w:bCs/>
          <w:sz w:val="24"/>
          <w:szCs w:val="24"/>
        </w:rPr>
        <w:t>NUMBER OF ANTIBIOTICS PRESCRIBED:</w:t>
      </w:r>
    </w:p>
    <w:p w14:paraId="0CD1D82C" w14:textId="77777777" w:rsidR="00173418" w:rsidRPr="00E85353" w:rsidRDefault="00173418" w:rsidP="00173418">
      <w:pPr>
        <w:spacing w:after="0" w:line="360" w:lineRule="auto"/>
        <w:jc w:val="both"/>
        <w:rPr>
          <w:rFonts w:ascii="Times New Roman" w:hAnsi="Times New Roman" w:cs="Times New Roman"/>
          <w:sz w:val="24"/>
          <w:szCs w:val="24"/>
        </w:rPr>
      </w:pPr>
      <w:r w:rsidRPr="00E85353">
        <w:rPr>
          <w:rFonts w:ascii="Times New Roman" w:hAnsi="Times New Roman" w:cs="Times New Roman"/>
          <w:sz w:val="24"/>
          <w:szCs w:val="24"/>
        </w:rPr>
        <w:t>This graph shows, 34% of patients received monotherapy of antibiotics and 25% of patients received combination therapy of antibiotics.</w:t>
      </w:r>
    </w:p>
    <w:p w14:paraId="695EBC1D" w14:textId="77777777" w:rsidR="00173418" w:rsidRPr="00E85353" w:rsidRDefault="00173418" w:rsidP="00173418">
      <w:pPr>
        <w:spacing w:line="360" w:lineRule="auto"/>
        <w:jc w:val="both"/>
        <w:rPr>
          <w:rFonts w:ascii="Times New Roman" w:hAnsi="Times New Roman" w:cs="Times New Roman"/>
          <w:sz w:val="24"/>
          <w:szCs w:val="24"/>
        </w:rPr>
      </w:pPr>
      <w:r w:rsidRPr="00E85353">
        <w:rPr>
          <w:rFonts w:ascii="Times New Roman" w:hAnsi="Times New Roman" w:cs="Times New Roman"/>
          <w:b/>
          <w:bCs/>
          <w:sz w:val="24"/>
          <w:szCs w:val="24"/>
        </w:rPr>
        <w:t xml:space="preserve">TABLE </w:t>
      </w:r>
      <w:r>
        <w:rPr>
          <w:rFonts w:ascii="Times New Roman" w:hAnsi="Times New Roman" w:cs="Times New Roman"/>
          <w:b/>
          <w:bCs/>
          <w:sz w:val="24"/>
          <w:szCs w:val="24"/>
        </w:rPr>
        <w:t>5</w:t>
      </w:r>
      <w:r w:rsidRPr="00E85353">
        <w:rPr>
          <w:rFonts w:ascii="Times New Roman" w:hAnsi="Times New Roman" w:cs="Times New Roman"/>
          <w:b/>
          <w:bCs/>
          <w:sz w:val="24"/>
          <w:szCs w:val="24"/>
        </w:rPr>
        <w:t>: DISTRIBUTION OF THE NUMBER OF ANTIBIOTICS PRESCRIBED</w:t>
      </w:r>
    </w:p>
    <w:tbl>
      <w:tblPr>
        <w:tblStyle w:val="TableGrid"/>
        <w:tblW w:w="9355" w:type="dxa"/>
        <w:tblLook w:val="0420" w:firstRow="1" w:lastRow="0" w:firstColumn="0" w:lastColumn="0" w:noHBand="0" w:noVBand="1"/>
      </w:tblPr>
      <w:tblGrid>
        <w:gridCol w:w="3195"/>
        <w:gridCol w:w="3195"/>
        <w:gridCol w:w="2965"/>
      </w:tblGrid>
      <w:tr w:rsidR="00173418" w:rsidRPr="00E85353" w14:paraId="7786C9D1" w14:textId="77777777" w:rsidTr="00970F83">
        <w:trPr>
          <w:trHeight w:val="435"/>
        </w:trPr>
        <w:tc>
          <w:tcPr>
            <w:tcW w:w="3195" w:type="dxa"/>
          </w:tcPr>
          <w:p w14:paraId="7263A436" w14:textId="77777777" w:rsidR="00173418" w:rsidRPr="00E85353" w:rsidRDefault="00173418" w:rsidP="00970F83">
            <w:pPr>
              <w:spacing w:line="360" w:lineRule="auto"/>
              <w:jc w:val="both"/>
              <w:rPr>
                <w:rFonts w:ascii="Times New Roman" w:hAnsi="Times New Roman" w:cs="Times New Roman"/>
                <w:b/>
                <w:bCs/>
                <w:sz w:val="24"/>
                <w:szCs w:val="24"/>
              </w:rPr>
            </w:pPr>
            <w:r w:rsidRPr="00E85353">
              <w:rPr>
                <w:rFonts w:ascii="Times New Roman" w:hAnsi="Times New Roman" w:cs="Times New Roman"/>
                <w:b/>
                <w:bCs/>
                <w:sz w:val="24"/>
                <w:szCs w:val="24"/>
              </w:rPr>
              <w:t>NO. OF ANTIBIOTICS</w:t>
            </w:r>
          </w:p>
        </w:tc>
        <w:tc>
          <w:tcPr>
            <w:tcW w:w="3195" w:type="dxa"/>
          </w:tcPr>
          <w:p w14:paraId="739F993C" w14:textId="77777777" w:rsidR="00173418" w:rsidRPr="00E85353" w:rsidRDefault="00173418" w:rsidP="00970F83">
            <w:pPr>
              <w:spacing w:line="360" w:lineRule="auto"/>
              <w:jc w:val="both"/>
              <w:rPr>
                <w:rFonts w:ascii="Times New Roman" w:hAnsi="Times New Roman" w:cs="Times New Roman"/>
                <w:b/>
                <w:bCs/>
                <w:sz w:val="24"/>
                <w:szCs w:val="24"/>
              </w:rPr>
            </w:pPr>
            <w:r w:rsidRPr="00E85353">
              <w:rPr>
                <w:rFonts w:ascii="Times New Roman" w:hAnsi="Times New Roman" w:cs="Times New Roman"/>
                <w:b/>
                <w:bCs/>
                <w:sz w:val="24"/>
                <w:szCs w:val="24"/>
              </w:rPr>
              <w:t>NO. OF ENCOUNTERS</w:t>
            </w:r>
          </w:p>
        </w:tc>
        <w:tc>
          <w:tcPr>
            <w:tcW w:w="2965" w:type="dxa"/>
          </w:tcPr>
          <w:p w14:paraId="4CC6891C" w14:textId="77777777" w:rsidR="00173418" w:rsidRPr="00E85353" w:rsidRDefault="00173418" w:rsidP="00970F83">
            <w:pPr>
              <w:spacing w:line="360" w:lineRule="auto"/>
              <w:jc w:val="both"/>
              <w:rPr>
                <w:rFonts w:ascii="Times New Roman" w:hAnsi="Times New Roman" w:cs="Times New Roman"/>
                <w:b/>
                <w:bCs/>
                <w:sz w:val="24"/>
                <w:szCs w:val="24"/>
              </w:rPr>
            </w:pPr>
            <w:r w:rsidRPr="00E85353">
              <w:rPr>
                <w:rFonts w:ascii="Times New Roman" w:hAnsi="Times New Roman" w:cs="Times New Roman"/>
                <w:b/>
                <w:bCs/>
                <w:sz w:val="24"/>
                <w:szCs w:val="24"/>
              </w:rPr>
              <w:t>PERCENTAGE</w:t>
            </w:r>
          </w:p>
        </w:tc>
      </w:tr>
      <w:tr w:rsidR="00173418" w:rsidRPr="00E85353" w14:paraId="3D993781" w14:textId="77777777" w:rsidTr="00970F83">
        <w:trPr>
          <w:trHeight w:val="545"/>
        </w:trPr>
        <w:tc>
          <w:tcPr>
            <w:tcW w:w="3195" w:type="dxa"/>
          </w:tcPr>
          <w:p w14:paraId="08F93E2E" w14:textId="77777777" w:rsidR="00173418" w:rsidRPr="00E85353" w:rsidRDefault="00173418" w:rsidP="00970F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0</w:t>
            </w:r>
          </w:p>
        </w:tc>
        <w:tc>
          <w:tcPr>
            <w:tcW w:w="3195" w:type="dxa"/>
          </w:tcPr>
          <w:p w14:paraId="5CD329E0" w14:textId="77777777" w:rsidR="00173418" w:rsidRPr="00E85353" w:rsidRDefault="00173418" w:rsidP="00970F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36</w:t>
            </w:r>
          </w:p>
        </w:tc>
        <w:tc>
          <w:tcPr>
            <w:tcW w:w="2965" w:type="dxa"/>
          </w:tcPr>
          <w:p w14:paraId="2BFA54F0" w14:textId="77777777" w:rsidR="00173418" w:rsidRPr="00E85353" w:rsidRDefault="00173418" w:rsidP="00970F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36%</w:t>
            </w:r>
          </w:p>
        </w:tc>
      </w:tr>
      <w:tr w:rsidR="00173418" w:rsidRPr="00E85353" w14:paraId="348D1308" w14:textId="77777777" w:rsidTr="00970F83">
        <w:trPr>
          <w:trHeight w:val="520"/>
        </w:trPr>
        <w:tc>
          <w:tcPr>
            <w:tcW w:w="3195" w:type="dxa"/>
          </w:tcPr>
          <w:p w14:paraId="39F3322B" w14:textId="77777777" w:rsidR="00173418" w:rsidRPr="00E85353" w:rsidRDefault="00173418" w:rsidP="00970F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1</w:t>
            </w:r>
          </w:p>
        </w:tc>
        <w:tc>
          <w:tcPr>
            <w:tcW w:w="3195" w:type="dxa"/>
          </w:tcPr>
          <w:p w14:paraId="41D88173" w14:textId="77777777" w:rsidR="00173418" w:rsidRPr="00E85353" w:rsidRDefault="00173418" w:rsidP="00970F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34</w:t>
            </w:r>
          </w:p>
        </w:tc>
        <w:tc>
          <w:tcPr>
            <w:tcW w:w="2965" w:type="dxa"/>
          </w:tcPr>
          <w:p w14:paraId="29EAECD9" w14:textId="77777777" w:rsidR="00173418" w:rsidRPr="00E85353" w:rsidRDefault="00173418" w:rsidP="00970F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34%</w:t>
            </w:r>
          </w:p>
        </w:tc>
      </w:tr>
      <w:tr w:rsidR="00173418" w:rsidRPr="00E85353" w14:paraId="74AC797B" w14:textId="77777777" w:rsidTr="00970F83">
        <w:trPr>
          <w:trHeight w:val="545"/>
        </w:trPr>
        <w:tc>
          <w:tcPr>
            <w:tcW w:w="3195" w:type="dxa"/>
          </w:tcPr>
          <w:p w14:paraId="231FD759" w14:textId="77777777" w:rsidR="00173418" w:rsidRPr="00E85353" w:rsidRDefault="00173418" w:rsidP="00970F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2</w:t>
            </w:r>
          </w:p>
        </w:tc>
        <w:tc>
          <w:tcPr>
            <w:tcW w:w="3195" w:type="dxa"/>
          </w:tcPr>
          <w:p w14:paraId="17954913" w14:textId="77777777" w:rsidR="00173418" w:rsidRPr="00E85353" w:rsidRDefault="00173418" w:rsidP="00970F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25</w:t>
            </w:r>
          </w:p>
        </w:tc>
        <w:tc>
          <w:tcPr>
            <w:tcW w:w="2965" w:type="dxa"/>
          </w:tcPr>
          <w:p w14:paraId="55212C47" w14:textId="77777777" w:rsidR="00173418" w:rsidRPr="00E85353" w:rsidRDefault="00173418" w:rsidP="00970F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25%</w:t>
            </w:r>
          </w:p>
        </w:tc>
      </w:tr>
      <w:tr w:rsidR="00173418" w:rsidRPr="00E85353" w14:paraId="6E121B37" w14:textId="77777777" w:rsidTr="00970F83">
        <w:trPr>
          <w:trHeight w:val="520"/>
        </w:trPr>
        <w:tc>
          <w:tcPr>
            <w:tcW w:w="3195" w:type="dxa"/>
          </w:tcPr>
          <w:p w14:paraId="17BD4DC9" w14:textId="77777777" w:rsidR="00173418" w:rsidRPr="00E85353" w:rsidRDefault="00173418" w:rsidP="00970F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3</w:t>
            </w:r>
          </w:p>
        </w:tc>
        <w:tc>
          <w:tcPr>
            <w:tcW w:w="3195" w:type="dxa"/>
          </w:tcPr>
          <w:p w14:paraId="545DD349" w14:textId="77777777" w:rsidR="00173418" w:rsidRPr="00E85353" w:rsidRDefault="00173418" w:rsidP="00970F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2</w:t>
            </w:r>
          </w:p>
        </w:tc>
        <w:tc>
          <w:tcPr>
            <w:tcW w:w="2965" w:type="dxa"/>
          </w:tcPr>
          <w:p w14:paraId="2E7F8B5C" w14:textId="77777777" w:rsidR="00173418" w:rsidRPr="00E85353" w:rsidRDefault="00173418" w:rsidP="00970F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2%</w:t>
            </w:r>
          </w:p>
        </w:tc>
      </w:tr>
      <w:tr w:rsidR="00173418" w:rsidRPr="00E85353" w14:paraId="0BBC27B7" w14:textId="77777777" w:rsidTr="00970F83">
        <w:trPr>
          <w:trHeight w:val="520"/>
        </w:trPr>
        <w:tc>
          <w:tcPr>
            <w:tcW w:w="3195" w:type="dxa"/>
          </w:tcPr>
          <w:p w14:paraId="47AB022B" w14:textId="77777777" w:rsidR="00173418" w:rsidRPr="00E85353" w:rsidRDefault="00173418" w:rsidP="00970F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4</w:t>
            </w:r>
          </w:p>
        </w:tc>
        <w:tc>
          <w:tcPr>
            <w:tcW w:w="3195" w:type="dxa"/>
          </w:tcPr>
          <w:p w14:paraId="067F08C3" w14:textId="77777777" w:rsidR="00173418" w:rsidRPr="00E85353" w:rsidRDefault="00173418" w:rsidP="00970F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2</w:t>
            </w:r>
          </w:p>
        </w:tc>
        <w:tc>
          <w:tcPr>
            <w:tcW w:w="2965" w:type="dxa"/>
          </w:tcPr>
          <w:p w14:paraId="527FCBD9" w14:textId="77777777" w:rsidR="00173418" w:rsidRPr="00E85353" w:rsidRDefault="00173418" w:rsidP="00970F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2%</w:t>
            </w:r>
          </w:p>
        </w:tc>
      </w:tr>
      <w:tr w:rsidR="00173418" w:rsidRPr="00E85353" w14:paraId="08897792" w14:textId="77777777" w:rsidTr="00970F83">
        <w:trPr>
          <w:trHeight w:val="520"/>
        </w:trPr>
        <w:tc>
          <w:tcPr>
            <w:tcW w:w="3195" w:type="dxa"/>
          </w:tcPr>
          <w:p w14:paraId="4C4C4FD3" w14:textId="77777777" w:rsidR="00173418" w:rsidRPr="00E85353" w:rsidRDefault="00173418" w:rsidP="00970F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5</w:t>
            </w:r>
          </w:p>
        </w:tc>
        <w:tc>
          <w:tcPr>
            <w:tcW w:w="3195" w:type="dxa"/>
          </w:tcPr>
          <w:p w14:paraId="269F4245" w14:textId="77777777" w:rsidR="00173418" w:rsidRPr="00E85353" w:rsidRDefault="00173418" w:rsidP="00970F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1</w:t>
            </w:r>
          </w:p>
        </w:tc>
        <w:tc>
          <w:tcPr>
            <w:tcW w:w="2965" w:type="dxa"/>
          </w:tcPr>
          <w:p w14:paraId="46BE2B21" w14:textId="77777777" w:rsidR="00173418" w:rsidRPr="00E85353" w:rsidRDefault="00173418" w:rsidP="00970F83">
            <w:pPr>
              <w:spacing w:line="360" w:lineRule="auto"/>
              <w:jc w:val="both"/>
              <w:rPr>
                <w:rFonts w:ascii="Times New Roman" w:hAnsi="Times New Roman" w:cs="Times New Roman"/>
                <w:sz w:val="24"/>
                <w:szCs w:val="24"/>
              </w:rPr>
            </w:pPr>
            <w:r w:rsidRPr="00E85353">
              <w:rPr>
                <w:rFonts w:ascii="Times New Roman" w:hAnsi="Times New Roman" w:cs="Times New Roman"/>
                <w:sz w:val="24"/>
                <w:szCs w:val="24"/>
              </w:rPr>
              <w:t>1%</w:t>
            </w:r>
          </w:p>
        </w:tc>
      </w:tr>
    </w:tbl>
    <w:p w14:paraId="1CBCC2B4" w14:textId="77777777" w:rsidR="00173418" w:rsidRDefault="00173418" w:rsidP="00173418">
      <w:pPr>
        <w:spacing w:line="360" w:lineRule="auto"/>
        <w:jc w:val="both"/>
        <w:rPr>
          <w:rFonts w:ascii="Times New Roman" w:hAnsi="Times New Roman" w:cs="Times New Roman"/>
          <w:b/>
          <w:bCs/>
          <w:sz w:val="24"/>
          <w:szCs w:val="24"/>
        </w:rPr>
      </w:pPr>
    </w:p>
    <w:p w14:paraId="108642BE" w14:textId="77777777" w:rsidR="00173418" w:rsidRDefault="00173418" w:rsidP="00173418">
      <w:pPr>
        <w:spacing w:line="360" w:lineRule="auto"/>
        <w:jc w:val="both"/>
        <w:rPr>
          <w:rFonts w:ascii="Times New Roman" w:hAnsi="Times New Roman" w:cs="Times New Roman"/>
          <w:sz w:val="24"/>
          <w:szCs w:val="24"/>
        </w:rPr>
      </w:pPr>
      <w:r w:rsidRPr="001C0F9E">
        <w:rPr>
          <w:rFonts w:ascii="Times New Roman" w:hAnsi="Times New Roman" w:cs="Times New Roman"/>
          <w:b/>
          <w:bCs/>
          <w:sz w:val="24"/>
          <w:szCs w:val="24"/>
        </w:rPr>
        <w:t>PATIENT OUTCOME:</w:t>
      </w:r>
      <w:r w:rsidRPr="00C865AC">
        <w:rPr>
          <w:rFonts w:ascii="Times New Roman" w:hAnsi="Times New Roman" w:cs="Times New Roman"/>
          <w:sz w:val="24"/>
          <w:szCs w:val="24"/>
        </w:rPr>
        <w:t xml:space="preserve"> </w:t>
      </w:r>
    </w:p>
    <w:p w14:paraId="09BB3437" w14:textId="77777777" w:rsidR="00173418" w:rsidRPr="00C865AC" w:rsidRDefault="00173418" w:rsidP="00173418">
      <w:pPr>
        <w:spacing w:line="360" w:lineRule="auto"/>
        <w:jc w:val="both"/>
        <w:rPr>
          <w:rFonts w:ascii="Times New Roman" w:hAnsi="Times New Roman" w:cs="Times New Roman"/>
          <w:sz w:val="24"/>
          <w:szCs w:val="24"/>
        </w:rPr>
      </w:pPr>
      <w:r w:rsidRPr="00737598">
        <w:rPr>
          <w:rFonts w:ascii="Times New Roman" w:hAnsi="Times New Roman" w:cs="Times New Roman"/>
          <w:sz w:val="24"/>
          <w:szCs w:val="24"/>
        </w:rPr>
        <w:t>Based on the study, about 62% of patient</w:t>
      </w:r>
      <w:r>
        <w:rPr>
          <w:rFonts w:ascii="Times New Roman" w:hAnsi="Times New Roman" w:cs="Times New Roman"/>
          <w:sz w:val="24"/>
          <w:szCs w:val="24"/>
        </w:rPr>
        <w:t>’</w:t>
      </w:r>
      <w:r w:rsidRPr="00737598">
        <w:rPr>
          <w:rFonts w:ascii="Times New Roman" w:hAnsi="Times New Roman" w:cs="Times New Roman"/>
          <w:sz w:val="24"/>
          <w:szCs w:val="24"/>
        </w:rPr>
        <w:t>s conditions were relieved and 30% of patient</w:t>
      </w:r>
      <w:r>
        <w:rPr>
          <w:rFonts w:ascii="Times New Roman" w:hAnsi="Times New Roman" w:cs="Times New Roman"/>
          <w:sz w:val="24"/>
          <w:szCs w:val="24"/>
        </w:rPr>
        <w:t>’</w:t>
      </w:r>
      <w:r w:rsidRPr="00737598">
        <w:rPr>
          <w:rFonts w:ascii="Times New Roman" w:hAnsi="Times New Roman" w:cs="Times New Roman"/>
          <w:sz w:val="24"/>
          <w:szCs w:val="24"/>
        </w:rPr>
        <w:t>s conditions were cured</w:t>
      </w:r>
      <w:r>
        <w:rPr>
          <w:rFonts w:ascii="Times New Roman" w:hAnsi="Times New Roman" w:cs="Times New Roman"/>
          <w:sz w:val="24"/>
          <w:szCs w:val="24"/>
        </w:rPr>
        <w:t xml:space="preserve"> and 8% were referred to higher </w:t>
      </w:r>
      <w:proofErr w:type="spellStart"/>
      <w:r>
        <w:rPr>
          <w:rFonts w:ascii="Times New Roman" w:hAnsi="Times New Roman" w:cs="Times New Roman"/>
          <w:sz w:val="24"/>
          <w:szCs w:val="24"/>
        </w:rPr>
        <w:t>centre</w:t>
      </w:r>
      <w:proofErr w:type="spellEnd"/>
      <w:r>
        <w:rPr>
          <w:rFonts w:ascii="Times New Roman" w:hAnsi="Times New Roman" w:cs="Times New Roman"/>
          <w:sz w:val="24"/>
          <w:szCs w:val="24"/>
        </w:rPr>
        <w:t xml:space="preserve"> for treatment</w:t>
      </w:r>
      <w:r w:rsidRPr="00737598">
        <w:rPr>
          <w:rFonts w:ascii="Times New Roman" w:hAnsi="Times New Roman" w:cs="Times New Roman"/>
          <w:sz w:val="24"/>
          <w:szCs w:val="24"/>
        </w:rPr>
        <w:t>.</w:t>
      </w:r>
    </w:p>
    <w:p w14:paraId="6DCED681" w14:textId="77777777" w:rsidR="00173418" w:rsidRDefault="00173418" w:rsidP="00173418">
      <w:pPr>
        <w:spacing w:line="360" w:lineRule="auto"/>
        <w:jc w:val="both"/>
        <w:rPr>
          <w:rFonts w:ascii="Times New Roman" w:hAnsi="Times New Roman" w:cs="Times New Roman"/>
          <w:b/>
          <w:bCs/>
          <w:sz w:val="24"/>
          <w:szCs w:val="24"/>
        </w:rPr>
      </w:pPr>
      <w:r>
        <w:rPr>
          <w:noProof/>
        </w:rPr>
        <w:lastRenderedPageBreak/>
        <w:drawing>
          <wp:inline distT="0" distB="0" distL="0" distR="0" wp14:anchorId="7EEAE431" wp14:editId="14412BA2">
            <wp:extent cx="4468495" cy="2541674"/>
            <wp:effectExtent l="0" t="0" r="8255" b="11430"/>
            <wp:docPr id="604345930" name="Chart 1">
              <a:extLst xmlns:a="http://schemas.openxmlformats.org/drawingml/2006/main">
                <a:ext uri="{FF2B5EF4-FFF2-40B4-BE49-F238E27FC236}">
                  <a16:creationId xmlns:a16="http://schemas.microsoft.com/office/drawing/2014/main" id="{867C37B6-6C21-897D-E5EB-A546386FE9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B9631BA" w14:textId="0BB339D0" w:rsidR="00173418" w:rsidRDefault="00173418" w:rsidP="0017341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FIGURE 3: DISTRIBUTION BASED ON PATIENT OUTCOME</w:t>
      </w:r>
    </w:p>
    <w:p w14:paraId="03F3A02C" w14:textId="77777777" w:rsidR="00E762D9" w:rsidRDefault="00E762D9" w:rsidP="00173418">
      <w:pPr>
        <w:spacing w:line="360" w:lineRule="auto"/>
        <w:jc w:val="both"/>
        <w:rPr>
          <w:rFonts w:ascii="Times New Roman" w:hAnsi="Times New Roman" w:cs="Times New Roman"/>
          <w:b/>
          <w:bCs/>
          <w:sz w:val="24"/>
          <w:szCs w:val="24"/>
        </w:rPr>
      </w:pPr>
    </w:p>
    <w:p w14:paraId="3BFE6D62" w14:textId="77777777" w:rsidR="00173418" w:rsidRDefault="00173418" w:rsidP="0017341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WHO CORE DRUG USE INDICATORS:</w:t>
      </w:r>
    </w:p>
    <w:p w14:paraId="2AB72703" w14:textId="77777777" w:rsidR="00173418" w:rsidRPr="00FC68AA" w:rsidRDefault="00173418" w:rsidP="00173418">
      <w:pPr>
        <w:spacing w:line="360" w:lineRule="auto"/>
        <w:jc w:val="both"/>
        <w:rPr>
          <w:rFonts w:ascii="Times New Roman" w:hAnsi="Times New Roman" w:cs="Times New Roman"/>
          <w:sz w:val="24"/>
          <w:szCs w:val="24"/>
        </w:rPr>
      </w:pPr>
      <w:r>
        <w:rPr>
          <w:rFonts w:ascii="Times New Roman" w:hAnsi="Times New Roman" w:cs="Times New Roman"/>
          <w:sz w:val="24"/>
          <w:szCs w:val="24"/>
        </w:rPr>
        <w:t>Among 100 prescriptions, the average number of drugs per prescription was 8.17.</w:t>
      </w:r>
      <w:r w:rsidRPr="00BD4F1A">
        <w:rPr>
          <w:rFonts w:ascii="Times New Roman" w:hAnsi="Times New Roman" w:cs="Times New Roman"/>
          <w:sz w:val="24"/>
          <w:szCs w:val="24"/>
        </w:rPr>
        <w:t xml:space="preserve"> </w:t>
      </w:r>
      <w:r>
        <w:rPr>
          <w:rFonts w:ascii="Times New Roman" w:hAnsi="Times New Roman" w:cs="Times New Roman"/>
          <w:sz w:val="24"/>
          <w:szCs w:val="24"/>
        </w:rPr>
        <w:t>The p</w:t>
      </w:r>
      <w:r w:rsidRPr="00B34D5E">
        <w:rPr>
          <w:rFonts w:ascii="Times New Roman" w:hAnsi="Times New Roman" w:cs="Times New Roman"/>
          <w:sz w:val="24"/>
          <w:szCs w:val="24"/>
        </w:rPr>
        <w:t xml:space="preserve">ercentage </w:t>
      </w:r>
      <w:r>
        <w:rPr>
          <w:rFonts w:ascii="Times New Roman" w:hAnsi="Times New Roman" w:cs="Times New Roman"/>
          <w:sz w:val="24"/>
          <w:szCs w:val="24"/>
        </w:rPr>
        <w:t xml:space="preserve">of drugs prescribed by generic name was </w:t>
      </w:r>
      <w:r w:rsidRPr="00BD4F1A">
        <w:rPr>
          <w:rFonts w:ascii="Times New Roman" w:hAnsi="Times New Roman" w:cs="Times New Roman"/>
          <w:sz w:val="24"/>
          <w:szCs w:val="24"/>
        </w:rPr>
        <w:t>66.58%</w:t>
      </w:r>
      <w:r>
        <w:rPr>
          <w:rFonts w:ascii="Times New Roman" w:hAnsi="Times New Roman" w:cs="Times New Roman"/>
          <w:sz w:val="24"/>
          <w:szCs w:val="24"/>
        </w:rPr>
        <w:t>.</w:t>
      </w:r>
      <w:r w:rsidRPr="00BD4F1A">
        <w:rPr>
          <w:rFonts w:ascii="Times New Roman" w:hAnsi="Times New Roman" w:cs="Times New Roman"/>
          <w:sz w:val="24"/>
          <w:szCs w:val="24"/>
        </w:rPr>
        <w:t xml:space="preserve"> </w:t>
      </w:r>
      <w:r>
        <w:rPr>
          <w:rFonts w:ascii="Times New Roman" w:hAnsi="Times New Roman" w:cs="Times New Roman"/>
          <w:sz w:val="24"/>
          <w:szCs w:val="24"/>
        </w:rPr>
        <w:t>The p</w:t>
      </w:r>
      <w:r w:rsidRPr="00B34D5E">
        <w:rPr>
          <w:rFonts w:ascii="Times New Roman" w:hAnsi="Times New Roman" w:cs="Times New Roman"/>
          <w:sz w:val="24"/>
          <w:szCs w:val="24"/>
        </w:rPr>
        <w:t>ercentage</w:t>
      </w:r>
      <w:r>
        <w:rPr>
          <w:rFonts w:ascii="Times New Roman" w:hAnsi="Times New Roman" w:cs="Times New Roman"/>
          <w:sz w:val="24"/>
          <w:szCs w:val="24"/>
        </w:rPr>
        <w:t xml:space="preserve"> of</w:t>
      </w:r>
      <w:r w:rsidRPr="00B34D5E">
        <w:rPr>
          <w:rFonts w:ascii="Times New Roman" w:hAnsi="Times New Roman" w:cs="Times New Roman"/>
          <w:sz w:val="24"/>
          <w:szCs w:val="24"/>
        </w:rPr>
        <w:t xml:space="preserve"> encounter</w:t>
      </w:r>
      <w:r>
        <w:rPr>
          <w:rFonts w:ascii="Times New Roman" w:hAnsi="Times New Roman" w:cs="Times New Roman"/>
          <w:sz w:val="24"/>
          <w:szCs w:val="24"/>
        </w:rPr>
        <w:t xml:space="preserve">s </w:t>
      </w:r>
      <w:r w:rsidRPr="00B34D5E">
        <w:rPr>
          <w:rFonts w:ascii="Times New Roman" w:hAnsi="Times New Roman" w:cs="Times New Roman"/>
          <w:sz w:val="24"/>
          <w:szCs w:val="24"/>
        </w:rPr>
        <w:t xml:space="preserve">with </w:t>
      </w:r>
      <w:r>
        <w:rPr>
          <w:rFonts w:ascii="Times New Roman" w:hAnsi="Times New Roman" w:cs="Times New Roman"/>
          <w:sz w:val="24"/>
          <w:szCs w:val="24"/>
        </w:rPr>
        <w:t xml:space="preserve">an </w:t>
      </w:r>
      <w:r w:rsidRPr="00B34D5E">
        <w:rPr>
          <w:rFonts w:ascii="Times New Roman" w:hAnsi="Times New Roman" w:cs="Times New Roman"/>
          <w:sz w:val="24"/>
          <w:szCs w:val="24"/>
        </w:rPr>
        <w:t>antibiotic</w:t>
      </w:r>
      <w:r>
        <w:rPr>
          <w:rFonts w:ascii="Times New Roman" w:hAnsi="Times New Roman" w:cs="Times New Roman"/>
          <w:sz w:val="24"/>
          <w:szCs w:val="24"/>
        </w:rPr>
        <w:t xml:space="preserve"> prescribed was 63%. The p</w:t>
      </w:r>
      <w:r w:rsidRPr="00B34D5E">
        <w:rPr>
          <w:rFonts w:ascii="Times New Roman" w:hAnsi="Times New Roman" w:cs="Times New Roman"/>
          <w:sz w:val="24"/>
          <w:szCs w:val="24"/>
        </w:rPr>
        <w:t>ercentage</w:t>
      </w:r>
      <w:r>
        <w:rPr>
          <w:rFonts w:ascii="Times New Roman" w:hAnsi="Times New Roman" w:cs="Times New Roman"/>
          <w:sz w:val="24"/>
          <w:szCs w:val="24"/>
        </w:rPr>
        <w:t xml:space="preserve"> of</w:t>
      </w:r>
      <w:r w:rsidRPr="00B34D5E">
        <w:rPr>
          <w:rFonts w:ascii="Times New Roman" w:hAnsi="Times New Roman" w:cs="Times New Roman"/>
          <w:sz w:val="24"/>
          <w:szCs w:val="24"/>
        </w:rPr>
        <w:t xml:space="preserve"> encounter</w:t>
      </w:r>
      <w:r>
        <w:rPr>
          <w:rFonts w:ascii="Times New Roman" w:hAnsi="Times New Roman" w:cs="Times New Roman"/>
          <w:sz w:val="24"/>
          <w:szCs w:val="24"/>
        </w:rPr>
        <w:t xml:space="preserve">s </w:t>
      </w:r>
      <w:r w:rsidRPr="00B34D5E">
        <w:rPr>
          <w:rFonts w:ascii="Times New Roman" w:hAnsi="Times New Roman" w:cs="Times New Roman"/>
          <w:sz w:val="24"/>
          <w:szCs w:val="24"/>
        </w:rPr>
        <w:t xml:space="preserve">with </w:t>
      </w:r>
      <w:r>
        <w:rPr>
          <w:rFonts w:ascii="Times New Roman" w:hAnsi="Times New Roman" w:cs="Times New Roman"/>
          <w:sz w:val="24"/>
          <w:szCs w:val="24"/>
        </w:rPr>
        <w:t>an injection prescribed was 100%. The percentage of drugs prescribed from NLEM (2022) was 89.9% (735).</w:t>
      </w:r>
    </w:p>
    <w:p w14:paraId="4F6072D5" w14:textId="77777777" w:rsidR="00173418" w:rsidRPr="00E85353" w:rsidRDefault="00173418" w:rsidP="00173418">
      <w:pPr>
        <w:spacing w:after="162" w:line="360" w:lineRule="auto"/>
        <w:ind w:right="360"/>
        <w:jc w:val="both"/>
        <w:rPr>
          <w:rFonts w:ascii="Times New Roman" w:hAnsi="Times New Roman" w:cs="Times New Roman"/>
          <w:b/>
          <w:bCs/>
          <w:color w:val="333333"/>
          <w:sz w:val="24"/>
          <w:szCs w:val="24"/>
          <w:u w:val="single"/>
          <w:shd w:val="clear" w:color="auto" w:fill="FFFFFF"/>
        </w:rPr>
      </w:pPr>
      <w:r w:rsidRPr="00E85353">
        <w:rPr>
          <w:rFonts w:ascii="Times New Roman" w:hAnsi="Times New Roman" w:cs="Times New Roman"/>
          <w:b/>
          <w:bCs/>
          <w:color w:val="333333"/>
          <w:sz w:val="24"/>
          <w:szCs w:val="24"/>
          <w:u w:val="single"/>
          <w:shd w:val="clear" w:color="auto" w:fill="FFFFFF"/>
        </w:rPr>
        <w:t>DISCUSSION</w:t>
      </w:r>
    </w:p>
    <w:p w14:paraId="42223FED" w14:textId="2A6420E9" w:rsidR="00173418" w:rsidRDefault="00173418" w:rsidP="00173418">
      <w:pPr>
        <w:spacing w:after="162" w:line="360" w:lineRule="auto"/>
        <w:ind w:right="-46"/>
        <w:jc w:val="both"/>
        <w:rPr>
          <w:rFonts w:ascii="Times New Roman" w:hAnsi="Times New Roman" w:cs="Times New Roman"/>
          <w:color w:val="auto"/>
          <w:sz w:val="24"/>
          <w:szCs w:val="24"/>
          <w:shd w:val="clear" w:color="auto" w:fill="FFFFFF"/>
        </w:rPr>
      </w:pPr>
      <w:r w:rsidRPr="00385F55">
        <w:rPr>
          <w:rFonts w:ascii="Times New Roman" w:hAnsi="Times New Roman" w:cs="Times New Roman"/>
          <w:color w:val="auto"/>
          <w:sz w:val="24"/>
          <w:szCs w:val="24"/>
          <w:shd w:val="clear" w:color="auto" w:fill="FFFFFF"/>
        </w:rPr>
        <w:t>Acute gastroenteritis, characterized by sudden onset of diarrhea with or without vomiting is one of the most common infectious diseases of childhood. In this study, male children (59%) were more prone to AGE than female children (41%). 45 percent of the patients were in the 1–3 age range. This demographic profile presents the findings from the study by Begum N et al (2023) [8].  From the above study, 43% of patients had a history of previous hospitalization. Among 100 patients, 91 patients were immunized up to their age. Oral rehydration solution, zinc supplementation, and probiotics play a major role in the treatment of AGE. The drug utilization analysis showed that IV fluids were the most commonly prescribed drug, followed by antiemetics and anti-</w:t>
      </w:r>
      <w:proofErr w:type="spellStart"/>
      <w:r w:rsidRPr="00385F55">
        <w:rPr>
          <w:rFonts w:ascii="Times New Roman" w:hAnsi="Times New Roman" w:cs="Times New Roman"/>
          <w:color w:val="auto"/>
          <w:sz w:val="24"/>
          <w:szCs w:val="24"/>
          <w:shd w:val="clear" w:color="auto" w:fill="FFFFFF"/>
        </w:rPr>
        <w:t>ulcerants</w:t>
      </w:r>
      <w:proofErr w:type="spellEnd"/>
      <w:r w:rsidRPr="00385F55">
        <w:rPr>
          <w:rFonts w:ascii="Times New Roman" w:hAnsi="Times New Roman" w:cs="Times New Roman"/>
          <w:color w:val="auto"/>
          <w:sz w:val="24"/>
          <w:szCs w:val="24"/>
          <w:shd w:val="clear" w:color="auto" w:fill="FFFFFF"/>
        </w:rPr>
        <w:t>. ORS therapy was administered in 84% of prescriptions and zinc supplements were given to 71 patients.</w:t>
      </w:r>
    </w:p>
    <w:p w14:paraId="36FB4C2D" w14:textId="77777777" w:rsidR="00173418" w:rsidRPr="00385F55" w:rsidRDefault="00173418" w:rsidP="00173418">
      <w:pPr>
        <w:spacing w:after="162" w:line="360" w:lineRule="auto"/>
        <w:ind w:right="-46"/>
        <w:jc w:val="both"/>
        <w:rPr>
          <w:rFonts w:ascii="Times New Roman" w:hAnsi="Times New Roman" w:cs="Times New Roman"/>
          <w:color w:val="auto"/>
          <w:sz w:val="24"/>
          <w:szCs w:val="24"/>
          <w:shd w:val="clear" w:color="auto" w:fill="FFFFFF"/>
        </w:rPr>
      </w:pPr>
      <w:r w:rsidRPr="00385F55">
        <w:rPr>
          <w:rFonts w:ascii="Times New Roman" w:hAnsi="Times New Roman" w:cs="Times New Roman"/>
          <w:color w:val="auto"/>
          <w:sz w:val="24"/>
          <w:szCs w:val="24"/>
          <w:shd w:val="clear" w:color="auto" w:fill="FFFFFF"/>
        </w:rPr>
        <w:t xml:space="preserve">IV fluids and antibiotic therapy were predominantly given to patients as supportive treatment. Among the IV fluids prescribed, DNS was commonly prescribed compared to NS and RL. </w:t>
      </w:r>
      <w:r w:rsidRPr="00385F55">
        <w:rPr>
          <w:rFonts w:ascii="Times New Roman" w:hAnsi="Times New Roman" w:cs="Times New Roman"/>
          <w:color w:val="auto"/>
          <w:sz w:val="24"/>
          <w:szCs w:val="24"/>
          <w:shd w:val="clear" w:color="auto" w:fill="FFFFFF"/>
        </w:rPr>
        <w:lastRenderedPageBreak/>
        <w:t xml:space="preserve">About 63% of patients received the antibiotics with the most commonly prescribed class being cephalosporin, which is similar to a study conducted by </w:t>
      </w:r>
      <w:proofErr w:type="spellStart"/>
      <w:r w:rsidRPr="00385F55">
        <w:rPr>
          <w:rFonts w:ascii="Times New Roman" w:hAnsi="Times New Roman" w:cs="Times New Roman"/>
          <w:color w:val="auto"/>
          <w:sz w:val="24"/>
          <w:szCs w:val="24"/>
          <w:shd w:val="clear" w:color="auto" w:fill="FFFFFF"/>
        </w:rPr>
        <w:t>Bhaveshaikh</w:t>
      </w:r>
      <w:proofErr w:type="spellEnd"/>
      <w:r w:rsidRPr="00385F55">
        <w:rPr>
          <w:rFonts w:ascii="Times New Roman" w:hAnsi="Times New Roman" w:cs="Times New Roman"/>
          <w:color w:val="auto"/>
          <w:sz w:val="24"/>
          <w:szCs w:val="24"/>
          <w:shd w:val="clear" w:color="auto" w:fill="FFFFFF"/>
        </w:rPr>
        <w:t xml:space="preserve"> N et al (2017) [9].  Antibiotic combination therapy was administered to 25% of patients, while monotherapy was administered to 34% of patients (11). The majority of patients received prescriptions for two or more antibiotics, with a maximum of five medicines being utilized. Antibiotic prescriptions averaged 1.03 per prescription. The average duration of hospital stay was approximately 2 ½ days. In this study, 62% of the patient's conditions were improved and relieved and 30% of the patients were completely cured. </w:t>
      </w:r>
    </w:p>
    <w:p w14:paraId="61A63575" w14:textId="77777777" w:rsidR="00173418" w:rsidRPr="00385F55" w:rsidRDefault="00173418" w:rsidP="00173418">
      <w:pPr>
        <w:spacing w:after="162" w:line="360" w:lineRule="auto"/>
        <w:ind w:right="-46"/>
        <w:jc w:val="both"/>
        <w:rPr>
          <w:rFonts w:ascii="Times New Roman" w:hAnsi="Times New Roman" w:cs="Times New Roman"/>
          <w:color w:val="auto"/>
          <w:sz w:val="24"/>
          <w:szCs w:val="24"/>
          <w:shd w:val="clear" w:color="auto" w:fill="FFFFFF"/>
        </w:rPr>
      </w:pPr>
      <w:r w:rsidRPr="00385F55">
        <w:rPr>
          <w:rFonts w:ascii="Times New Roman" w:hAnsi="Times New Roman" w:cs="Times New Roman"/>
          <w:color w:val="auto"/>
          <w:sz w:val="24"/>
          <w:szCs w:val="24"/>
          <w:shd w:val="clear" w:color="auto" w:fill="FFFFFF"/>
        </w:rPr>
        <w:t>The average number of medications per prescription, as determined by the WHO core drug use indicators, was 8.17, indicating an alarming level of polypharmacy which is similar to Panchal JR et al (10). Although hospitalized pediatric patients with acute gastroenteritis who need supportive care are likely to exhibit some degree of polypharmacy, this average is higher than the WHO-recommended range of 1.6 to 1.8, raising the possibility of overprescribing. 66.58% of medications were administered under generic names, which is rather good but less than the optimal level of 100%.  Encouraging generic prescriptions is essential for rational and effective medication use. 63% of encounters resulted in the prescription of antibiotics, which may be indicative of empirical treatment procedures in suspected bacterial illnesses.  But for a disease like gastroenteritis that typically gets better on its own, this number is noticeably high and has to be reviewed in order to avoid excessive antibiotic exposure and the possible development of antibiotic resistance. Due to the inpatient setting and the requirement for rehydration therapy, it is expected that every patient (100%) receives at least one injectable medicine, mostly IV fluids. However, in order to prevent unnecessary invasive procedures, it is important to make sure that injections are used appropriately.</w:t>
      </w:r>
    </w:p>
    <w:p w14:paraId="405DC4E9" w14:textId="77777777" w:rsidR="00173418" w:rsidRDefault="00173418" w:rsidP="00173418">
      <w:pPr>
        <w:spacing w:after="162" w:line="360" w:lineRule="auto"/>
        <w:ind w:right="-46"/>
        <w:jc w:val="both"/>
        <w:rPr>
          <w:rFonts w:ascii="Times New Roman" w:hAnsi="Times New Roman" w:cs="Times New Roman"/>
          <w:color w:val="auto"/>
          <w:sz w:val="24"/>
          <w:szCs w:val="24"/>
          <w:shd w:val="clear" w:color="auto" w:fill="FFFFFF"/>
        </w:rPr>
      </w:pPr>
      <w:r w:rsidRPr="00385F55">
        <w:rPr>
          <w:rFonts w:ascii="Times New Roman" w:hAnsi="Times New Roman" w:cs="Times New Roman"/>
          <w:color w:val="auto"/>
          <w:sz w:val="24"/>
          <w:szCs w:val="24"/>
          <w:shd w:val="clear" w:color="auto" w:fill="FFFFFF"/>
        </w:rPr>
        <w:t>In conclusion, 89.9% of the medications administered were listed on the National List of Essential Medicines (NLEM) 2022, demonstrating a generally high level of adherence to the standards for essential medicines and rational prescription practices. (7)</w:t>
      </w:r>
    </w:p>
    <w:p w14:paraId="6857FEB3" w14:textId="77777777" w:rsidR="00173418" w:rsidRPr="00E85353" w:rsidRDefault="00173418" w:rsidP="00173418">
      <w:pPr>
        <w:spacing w:after="162" w:line="360" w:lineRule="auto"/>
        <w:ind w:right="360"/>
        <w:jc w:val="both"/>
        <w:rPr>
          <w:rFonts w:ascii="Times New Roman" w:hAnsi="Times New Roman" w:cs="Times New Roman"/>
          <w:b/>
          <w:bCs/>
          <w:color w:val="333333"/>
          <w:sz w:val="24"/>
          <w:szCs w:val="24"/>
          <w:u w:val="single"/>
          <w:shd w:val="clear" w:color="auto" w:fill="FFFFFF"/>
        </w:rPr>
      </w:pPr>
      <w:r w:rsidRPr="00E85353">
        <w:rPr>
          <w:rFonts w:ascii="Times New Roman" w:hAnsi="Times New Roman" w:cs="Times New Roman"/>
          <w:b/>
          <w:bCs/>
          <w:color w:val="333333"/>
          <w:sz w:val="24"/>
          <w:szCs w:val="24"/>
          <w:u w:val="single"/>
          <w:shd w:val="clear" w:color="auto" w:fill="FFFFFF"/>
        </w:rPr>
        <w:t>CONCLUSION</w:t>
      </w:r>
    </w:p>
    <w:p w14:paraId="12D313FD" w14:textId="77777777" w:rsidR="00173418" w:rsidRDefault="00173418" w:rsidP="00173418">
      <w:pPr>
        <w:spacing w:line="360" w:lineRule="auto"/>
        <w:jc w:val="both"/>
        <w:rPr>
          <w:rFonts w:ascii="Times New Roman" w:hAnsi="Times New Roman" w:cs="Times New Roman"/>
          <w:color w:val="333333"/>
          <w:sz w:val="24"/>
          <w:szCs w:val="24"/>
          <w:shd w:val="clear" w:color="auto" w:fill="FFFFFF"/>
        </w:rPr>
      </w:pPr>
      <w:r w:rsidRPr="00693E03">
        <w:rPr>
          <w:rFonts w:ascii="Times New Roman" w:hAnsi="Times New Roman" w:cs="Times New Roman"/>
          <w:color w:val="333333"/>
          <w:sz w:val="24"/>
          <w:szCs w:val="24"/>
          <w:shd w:val="clear" w:color="auto" w:fill="FFFFFF"/>
        </w:rPr>
        <w:t xml:space="preserve">Guidelines stress bowel rest, dietary adjustments, and hydration or rehydration. To provide the electrolytes and glucose, the WHO recommends rehydrating using water that contains sodium bicarbonate, glucose, and salt. Treating acute gastroenteritis primarily involves oral rehydration. When there is clear evidence that probiotics are effective in lowering the severity and duration of symptoms, they may be used as an active treatment for diarrhea. Oral zinc </w:t>
      </w:r>
      <w:r w:rsidRPr="00693E03">
        <w:rPr>
          <w:rFonts w:ascii="Times New Roman" w:hAnsi="Times New Roman" w:cs="Times New Roman"/>
          <w:color w:val="333333"/>
          <w:sz w:val="24"/>
          <w:szCs w:val="24"/>
          <w:shd w:val="clear" w:color="auto" w:fill="FFFFFF"/>
        </w:rPr>
        <w:lastRenderedPageBreak/>
        <w:t>supplementation is a simple and effective therapeutic plan for treating acute diarrhea. Zinc supplementation for gastroenteritis in children is a safe and effective measure to reduce illness and complications. Zinc supplementation is therefore an effective treatment for acute gastroenteritis, according to this study. IV rehydration is done with a lactated Ringer's solution or normal saline is an effective treatment of acute gastroenteritis. Antibiotics are considered in certain situations which may also reduce the severity and duration, even the prevention of some complications like the spread of infection. In conclusion, oral rehydration solution, zinc supplementation, and probiotics play a major role in the treatment of children with acute gastroenteritis. Antibiotics and IV fluid play a supporting role in the management of acute gastroenteritis in children.</w:t>
      </w:r>
    </w:p>
    <w:p w14:paraId="30AA3F95" w14:textId="46B28728" w:rsidR="0000041E" w:rsidRDefault="0000041E" w:rsidP="00173418">
      <w:pPr>
        <w:spacing w:after="0" w:line="360" w:lineRule="auto"/>
        <w:ind w:firstLine="720"/>
        <w:jc w:val="both"/>
        <w:rPr>
          <w:rFonts w:ascii="Times New Roman" w:hAnsi="Times New Roman" w:cs="Times New Roman"/>
          <w:color w:val="333333"/>
          <w:sz w:val="24"/>
          <w:szCs w:val="24"/>
          <w:shd w:val="clear" w:color="auto" w:fill="FFFFFF"/>
          <w:lang w:val="en-IN"/>
        </w:rPr>
      </w:pPr>
    </w:p>
    <w:p w14:paraId="765EAE5F" w14:textId="77777777" w:rsidR="0000041E" w:rsidRDefault="0000041E" w:rsidP="0000041E">
      <w:pPr>
        <w:tabs>
          <w:tab w:val="left" w:pos="2696"/>
        </w:tabs>
        <w:rPr>
          <w:rFonts w:ascii="Arial" w:hAnsi="Arial" w:cs="Arial"/>
          <w:sz w:val="20"/>
          <w:szCs w:val="20"/>
        </w:rPr>
      </w:pPr>
      <w:bookmarkStart w:id="0" w:name="_Hlk183685723"/>
      <w:bookmarkStart w:id="1" w:name="_Hlk198899984"/>
    </w:p>
    <w:p w14:paraId="295474D0" w14:textId="77777777" w:rsidR="0000041E" w:rsidRPr="00FE7640" w:rsidRDefault="0000041E" w:rsidP="0000041E">
      <w:pPr>
        <w:rPr>
          <w:rFonts w:cs="Times New Roman"/>
          <w:highlight w:val="yellow"/>
        </w:rPr>
      </w:pPr>
      <w:bookmarkStart w:id="2" w:name="_Hlk193540946"/>
      <w:bookmarkStart w:id="3" w:name="_Hlk180402183"/>
      <w:bookmarkStart w:id="4" w:name="_Hlk183680988"/>
      <w:bookmarkEnd w:id="0"/>
      <w:r w:rsidRPr="00FE7640">
        <w:rPr>
          <w:rFonts w:cs="Times New Roman"/>
          <w:highlight w:val="yellow"/>
        </w:rPr>
        <w:t>Disclaimer (Artificial intelligence)</w:t>
      </w:r>
    </w:p>
    <w:p w14:paraId="2812249C" w14:textId="77777777" w:rsidR="0000041E" w:rsidRPr="009C5487" w:rsidRDefault="0000041E" w:rsidP="0000041E">
      <w:pPr>
        <w:rPr>
          <w:rFonts w:cs="Times New Roman"/>
          <w:highlight w:val="yellow"/>
        </w:rPr>
      </w:pPr>
      <w:r w:rsidRPr="009C5487">
        <w:rPr>
          <w:rFonts w:cs="Times New Roman"/>
          <w:highlight w:val="yellow"/>
        </w:rPr>
        <w:t xml:space="preserve">Option 1: </w:t>
      </w:r>
    </w:p>
    <w:p w14:paraId="5B132E5E" w14:textId="77777777" w:rsidR="0000041E" w:rsidRPr="009C5487" w:rsidRDefault="0000041E" w:rsidP="0000041E">
      <w:pPr>
        <w:rPr>
          <w:rFonts w:cs="Times New Roman"/>
          <w:highlight w:val="yellow"/>
        </w:rPr>
      </w:pPr>
      <w:r w:rsidRPr="009C5487">
        <w:rPr>
          <w:rFonts w:cs="Times New Roman"/>
          <w:highlight w:val="yellow"/>
        </w:rPr>
        <w:t xml:space="preserve">Author(s) hereby declare that NO generative AI technologies such as Large Language Models (ChatGPT, COPILOT, etc.) and text-to-image generators have been used during the writing or editing of this manuscript. </w:t>
      </w:r>
    </w:p>
    <w:p w14:paraId="09E6A0BF" w14:textId="77777777" w:rsidR="0000041E" w:rsidRPr="009C5487" w:rsidRDefault="0000041E" w:rsidP="0000041E">
      <w:pPr>
        <w:rPr>
          <w:rFonts w:cs="Times New Roman"/>
          <w:highlight w:val="yellow"/>
        </w:rPr>
      </w:pPr>
      <w:r w:rsidRPr="009C5487">
        <w:rPr>
          <w:rFonts w:cs="Times New Roman"/>
          <w:highlight w:val="yellow"/>
        </w:rPr>
        <w:t xml:space="preserve">Option 2: </w:t>
      </w:r>
    </w:p>
    <w:p w14:paraId="6FB175A2" w14:textId="77777777" w:rsidR="0000041E" w:rsidRPr="009C5487" w:rsidRDefault="0000041E" w:rsidP="0000041E">
      <w:pPr>
        <w:rPr>
          <w:rFonts w:cs="Times New Roman"/>
          <w:highlight w:val="yellow"/>
        </w:rPr>
      </w:pPr>
      <w:r w:rsidRPr="009C5487">
        <w:rPr>
          <w:rFonts w:cs="Times New Roman"/>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5FAB52D" w14:textId="77777777" w:rsidR="0000041E" w:rsidRPr="009C5487" w:rsidRDefault="0000041E" w:rsidP="0000041E">
      <w:pPr>
        <w:rPr>
          <w:rFonts w:cs="Times New Roman"/>
          <w:highlight w:val="yellow"/>
        </w:rPr>
      </w:pPr>
      <w:r w:rsidRPr="009C5487">
        <w:rPr>
          <w:rFonts w:cs="Times New Roman"/>
          <w:highlight w:val="yellow"/>
        </w:rPr>
        <w:t>Details of the AI usage are given below:</w:t>
      </w:r>
    </w:p>
    <w:p w14:paraId="7E05336B" w14:textId="6FD7DE6D" w:rsidR="0000041E" w:rsidRPr="009C5487" w:rsidRDefault="0000041E" w:rsidP="0000041E">
      <w:pPr>
        <w:rPr>
          <w:rFonts w:cs="Times New Roman"/>
          <w:highlight w:val="yellow"/>
        </w:rPr>
      </w:pPr>
      <w:r w:rsidRPr="009C5487">
        <w:rPr>
          <w:rFonts w:cs="Times New Roman"/>
          <w:highlight w:val="yellow"/>
        </w:rPr>
        <w:t>1.</w:t>
      </w:r>
      <w:r w:rsidR="005E4904">
        <w:rPr>
          <w:rFonts w:cs="Times New Roman"/>
          <w:highlight w:val="yellow"/>
        </w:rPr>
        <w:t xml:space="preserve"> </w:t>
      </w:r>
      <w:proofErr w:type="spellStart"/>
      <w:r w:rsidR="005E4904">
        <w:rPr>
          <w:rFonts w:cs="Times New Roman"/>
          <w:highlight w:val="yellow"/>
        </w:rPr>
        <w:t>Quillb</w:t>
      </w:r>
      <w:r w:rsidR="008F174D">
        <w:rPr>
          <w:rFonts w:cs="Times New Roman"/>
          <w:highlight w:val="yellow"/>
        </w:rPr>
        <w:t>ot’s</w:t>
      </w:r>
      <w:proofErr w:type="spellEnd"/>
      <w:r w:rsidR="008F174D">
        <w:rPr>
          <w:rFonts w:cs="Times New Roman"/>
          <w:highlight w:val="yellow"/>
        </w:rPr>
        <w:t xml:space="preserve"> AI model, v23.16.0</w:t>
      </w:r>
      <w:r w:rsidR="00116167">
        <w:rPr>
          <w:rFonts w:cs="Times New Roman"/>
          <w:highlight w:val="yellow"/>
        </w:rPr>
        <w:t>,</w:t>
      </w:r>
      <w:r w:rsidR="00362C56">
        <w:rPr>
          <w:rFonts w:cs="Times New Roman"/>
          <w:highlight w:val="yellow"/>
        </w:rPr>
        <w:t xml:space="preserve"> </w:t>
      </w:r>
      <w:proofErr w:type="spellStart"/>
      <w:r w:rsidR="00362C56">
        <w:rPr>
          <w:rFonts w:cs="Times New Roman"/>
          <w:highlight w:val="yellow"/>
        </w:rPr>
        <w:t>Quillbot’s</w:t>
      </w:r>
      <w:proofErr w:type="spellEnd"/>
      <w:r w:rsidR="00362C56">
        <w:rPr>
          <w:rFonts w:cs="Times New Roman"/>
          <w:highlight w:val="yellow"/>
        </w:rPr>
        <w:t xml:space="preserve"> official website</w:t>
      </w:r>
      <w:r w:rsidR="00116167">
        <w:rPr>
          <w:rFonts w:cs="Times New Roman"/>
          <w:highlight w:val="yellow"/>
        </w:rPr>
        <w:t xml:space="preserve"> </w:t>
      </w:r>
      <w:r w:rsidR="00E11216">
        <w:rPr>
          <w:rFonts w:cs="Times New Roman"/>
          <w:highlight w:val="yellow"/>
        </w:rPr>
        <w:t xml:space="preserve">- for linguistic polishing. </w:t>
      </w:r>
    </w:p>
    <w:p w14:paraId="2892994B" w14:textId="52A43A44" w:rsidR="0000041E" w:rsidRPr="009C5487" w:rsidRDefault="0000041E" w:rsidP="0000041E">
      <w:pPr>
        <w:rPr>
          <w:rFonts w:cs="Times New Roman"/>
          <w:highlight w:val="yellow"/>
        </w:rPr>
      </w:pPr>
      <w:r w:rsidRPr="009C5487">
        <w:rPr>
          <w:rFonts w:cs="Times New Roman"/>
          <w:highlight w:val="yellow"/>
        </w:rPr>
        <w:t>2.</w:t>
      </w:r>
      <w:r w:rsidR="008B35B2">
        <w:rPr>
          <w:rFonts w:cs="Times New Roman"/>
          <w:highlight w:val="yellow"/>
        </w:rPr>
        <w:t xml:space="preserve"> </w:t>
      </w:r>
      <w:proofErr w:type="spellStart"/>
      <w:r w:rsidR="008B35B2">
        <w:rPr>
          <w:rFonts w:cs="Times New Roman"/>
          <w:highlight w:val="yellow"/>
        </w:rPr>
        <w:t>Small</w:t>
      </w:r>
      <w:r w:rsidR="004B31E9">
        <w:rPr>
          <w:rFonts w:cs="Times New Roman"/>
          <w:highlight w:val="yellow"/>
        </w:rPr>
        <w:t>SEOTools</w:t>
      </w:r>
      <w:proofErr w:type="spellEnd"/>
      <w:r w:rsidR="004B31E9">
        <w:rPr>
          <w:rFonts w:cs="Times New Roman"/>
          <w:highlight w:val="yellow"/>
        </w:rPr>
        <w:t>’ plagiarism checker</w:t>
      </w:r>
      <w:r w:rsidR="00F963DA">
        <w:rPr>
          <w:rFonts w:cs="Times New Roman"/>
          <w:highlight w:val="yellow"/>
        </w:rPr>
        <w:t>,</w:t>
      </w:r>
      <w:r w:rsidR="00A17646">
        <w:rPr>
          <w:rFonts w:cs="Times New Roman"/>
          <w:highlight w:val="yellow"/>
        </w:rPr>
        <w:t xml:space="preserve"> </w:t>
      </w:r>
      <w:r w:rsidR="00A17646" w:rsidRPr="0095551F">
        <w:rPr>
          <w:rFonts w:cs="Times New Roman"/>
          <w:highlight w:val="yellow"/>
        </w:rPr>
        <w:t xml:space="preserve">https://smallseotools.com/plagiarism-checker/ </w:t>
      </w:r>
      <w:r w:rsidR="0095551F" w:rsidRPr="0095551F">
        <w:rPr>
          <w:rFonts w:cs="Times New Roman"/>
          <w:highlight w:val="yellow"/>
        </w:rPr>
        <w:t>- for plagiarism checking</w:t>
      </w:r>
      <w:r w:rsidR="004B31E9" w:rsidRPr="0095551F">
        <w:rPr>
          <w:rFonts w:cs="Times New Roman"/>
          <w:highlight w:val="yellow"/>
        </w:rPr>
        <w:t xml:space="preserve"> </w:t>
      </w:r>
      <w:r w:rsidR="008B35B2" w:rsidRPr="0095551F">
        <w:rPr>
          <w:rFonts w:cs="Times New Roman"/>
          <w:highlight w:val="yellow"/>
        </w:rPr>
        <w:t xml:space="preserve"> </w:t>
      </w:r>
      <w:r w:rsidR="0095551F">
        <w:rPr>
          <w:rFonts w:cs="Times New Roman"/>
          <w:highlight w:val="yellow"/>
        </w:rPr>
        <w:t>.</w:t>
      </w:r>
      <w:r w:rsidR="008B35B2" w:rsidRPr="0095551F">
        <w:rPr>
          <w:rFonts w:cs="Times New Roman"/>
          <w:highlight w:val="yellow"/>
        </w:rPr>
        <w:t xml:space="preserve"> </w:t>
      </w:r>
    </w:p>
    <w:p w14:paraId="1B0F8AD2" w14:textId="77777777" w:rsidR="0000041E" w:rsidRPr="009C5487" w:rsidRDefault="0000041E" w:rsidP="0000041E">
      <w:pPr>
        <w:rPr>
          <w:rFonts w:cs="Times New Roman"/>
        </w:rPr>
      </w:pPr>
      <w:r w:rsidRPr="009C5487">
        <w:rPr>
          <w:rFonts w:cs="Times New Roman"/>
          <w:highlight w:val="yellow"/>
        </w:rPr>
        <w:t>3.</w:t>
      </w:r>
      <w:bookmarkEnd w:id="2"/>
    </w:p>
    <w:bookmarkEnd w:id="1"/>
    <w:bookmarkEnd w:id="3"/>
    <w:bookmarkEnd w:id="4"/>
    <w:p w14:paraId="12A59C02" w14:textId="77777777" w:rsidR="0000041E" w:rsidRPr="002D52E7" w:rsidRDefault="0000041E" w:rsidP="00E85353">
      <w:pPr>
        <w:spacing w:after="162" w:line="360" w:lineRule="auto"/>
        <w:ind w:right="360"/>
        <w:jc w:val="both"/>
        <w:rPr>
          <w:rFonts w:ascii="Times New Roman" w:hAnsi="Times New Roman" w:cs="Times New Roman"/>
          <w:color w:val="333333"/>
          <w:sz w:val="24"/>
          <w:szCs w:val="24"/>
          <w:shd w:val="clear" w:color="auto" w:fill="FFFFFF"/>
          <w:lang w:val="en-IN"/>
        </w:rPr>
      </w:pPr>
    </w:p>
    <w:p w14:paraId="35EA4120" w14:textId="5EC6D0FB" w:rsidR="00677509" w:rsidRDefault="00677509" w:rsidP="00677509">
      <w:pPr>
        <w:rPr>
          <w:rFonts w:ascii="Times New Roman" w:hAnsi="Times New Roman" w:cs="Times New Roman"/>
          <w:b/>
          <w:bCs/>
          <w:color w:val="333333"/>
          <w:sz w:val="24"/>
          <w:szCs w:val="24"/>
          <w:u w:val="single"/>
          <w:shd w:val="clear" w:color="auto" w:fill="FFFFFF"/>
        </w:rPr>
      </w:pPr>
      <w:r w:rsidRPr="00677509">
        <w:rPr>
          <w:rFonts w:ascii="Times New Roman" w:hAnsi="Times New Roman" w:cs="Times New Roman"/>
          <w:b/>
          <w:bCs/>
          <w:color w:val="333333"/>
          <w:sz w:val="24"/>
          <w:szCs w:val="24"/>
          <w:u w:val="single"/>
          <w:shd w:val="clear" w:color="auto" w:fill="FFFFFF"/>
        </w:rPr>
        <w:t>REFERENCE</w:t>
      </w:r>
      <w:r w:rsidR="00636931">
        <w:rPr>
          <w:rFonts w:ascii="Times New Roman" w:hAnsi="Times New Roman" w:cs="Times New Roman"/>
          <w:b/>
          <w:bCs/>
          <w:color w:val="333333"/>
          <w:sz w:val="24"/>
          <w:szCs w:val="24"/>
          <w:u w:val="single"/>
          <w:shd w:val="clear" w:color="auto" w:fill="FFFFFF"/>
        </w:rPr>
        <w:t>S:</w:t>
      </w:r>
    </w:p>
    <w:p w14:paraId="30D17698" w14:textId="77777777" w:rsidR="00CC4746" w:rsidRPr="00DD3390" w:rsidRDefault="00CC4746" w:rsidP="00CC4746">
      <w:pPr>
        <w:pStyle w:val="selectable-text"/>
        <w:numPr>
          <w:ilvl w:val="0"/>
          <w:numId w:val="10"/>
        </w:numPr>
        <w:spacing w:line="360" w:lineRule="auto"/>
        <w:jc w:val="both"/>
        <w:rPr>
          <w:rStyle w:val="selectable-text1"/>
          <w:i/>
          <w:iCs/>
        </w:rPr>
      </w:pPr>
      <w:r w:rsidRPr="00DD3390">
        <w:rPr>
          <w:rStyle w:val="selectable-text1"/>
          <w:rFonts w:eastAsiaTheme="majorEastAsia"/>
          <w:i/>
          <w:iCs/>
        </w:rPr>
        <w:t xml:space="preserve">Elliott EJ. Acute gastroenteritis in children. BMJ [Internet]. 2007;334(7583):35–40. Available from: </w:t>
      </w:r>
      <w:hyperlink r:id="rId11" w:history="1">
        <w:r w:rsidRPr="00DD3390">
          <w:rPr>
            <w:rStyle w:val="Hyperlink"/>
            <w:rFonts w:eastAsiaTheme="majorEastAsia"/>
            <w:i/>
            <w:iCs/>
          </w:rPr>
          <w:t>http://dx.doi.org/10.1136/bmj.39036.406169.80</w:t>
        </w:r>
      </w:hyperlink>
    </w:p>
    <w:p w14:paraId="6EBF6521" w14:textId="77777777" w:rsidR="00CC4746" w:rsidRPr="00DD3390" w:rsidRDefault="00CC4746" w:rsidP="00CC4746">
      <w:pPr>
        <w:pStyle w:val="selectable-text"/>
        <w:numPr>
          <w:ilvl w:val="0"/>
          <w:numId w:val="10"/>
        </w:numPr>
        <w:spacing w:line="360" w:lineRule="auto"/>
        <w:jc w:val="both"/>
        <w:rPr>
          <w:i/>
          <w:iCs/>
        </w:rPr>
      </w:pPr>
      <w:r w:rsidRPr="00DD3390">
        <w:rPr>
          <w:i/>
          <w:iCs/>
        </w:rPr>
        <w:t>Clinical practice guideline: The diagnosis and management of acute gastroenteritis in children. American Academy of Pediatrics. 2016;138(5).</w:t>
      </w:r>
    </w:p>
    <w:p w14:paraId="3F97A0DE" w14:textId="77777777" w:rsidR="00CC4746" w:rsidRPr="00DD3390" w:rsidRDefault="00CC4746" w:rsidP="00CC4746">
      <w:pPr>
        <w:pStyle w:val="selectable-text"/>
        <w:numPr>
          <w:ilvl w:val="0"/>
          <w:numId w:val="10"/>
        </w:numPr>
        <w:spacing w:line="360" w:lineRule="auto"/>
        <w:jc w:val="both"/>
        <w:rPr>
          <w:i/>
          <w:iCs/>
        </w:rPr>
      </w:pPr>
      <w:r w:rsidRPr="00DD3390">
        <w:rPr>
          <w:rStyle w:val="selectable-text1"/>
          <w:rFonts w:eastAsiaTheme="majorEastAsia"/>
          <w:i/>
          <w:iCs/>
        </w:rPr>
        <w:lastRenderedPageBreak/>
        <w:t xml:space="preserve">Guarino A, Ashkenazi S, </w:t>
      </w:r>
      <w:proofErr w:type="spellStart"/>
      <w:r w:rsidRPr="00DD3390">
        <w:rPr>
          <w:rStyle w:val="selectable-text1"/>
          <w:rFonts w:eastAsiaTheme="majorEastAsia"/>
          <w:i/>
          <w:iCs/>
        </w:rPr>
        <w:t>Gendrel</w:t>
      </w:r>
      <w:proofErr w:type="spellEnd"/>
      <w:r w:rsidRPr="00DD3390">
        <w:rPr>
          <w:rStyle w:val="selectable-text1"/>
          <w:rFonts w:eastAsiaTheme="majorEastAsia"/>
          <w:i/>
          <w:iCs/>
        </w:rPr>
        <w:t xml:space="preserve"> D, Lo Vecchio A, Shamir R, </w:t>
      </w:r>
      <w:proofErr w:type="spellStart"/>
      <w:r w:rsidRPr="00DD3390">
        <w:rPr>
          <w:rStyle w:val="selectable-text1"/>
          <w:rFonts w:eastAsiaTheme="majorEastAsia"/>
          <w:i/>
          <w:iCs/>
        </w:rPr>
        <w:t>Szajewska</w:t>
      </w:r>
      <w:proofErr w:type="spellEnd"/>
      <w:r w:rsidRPr="00DD3390">
        <w:rPr>
          <w:rStyle w:val="selectable-text1"/>
          <w:rFonts w:eastAsiaTheme="majorEastAsia"/>
          <w:i/>
          <w:iCs/>
        </w:rPr>
        <w:t xml:space="preserve"> H, et al. European Society for Pediatric Gastroenterology, Hepatology, and Nutrition/European Society for Pediatric Infectious Diseases evidence-based guidelines for the management of acute gastroenteritis in children in Europe: update 2014: Update 2014. J Pediatr Gastroenterol </w:t>
      </w:r>
      <w:proofErr w:type="spellStart"/>
      <w:r w:rsidRPr="00DD3390">
        <w:rPr>
          <w:rStyle w:val="selectable-text1"/>
          <w:rFonts w:eastAsiaTheme="majorEastAsia"/>
          <w:i/>
          <w:iCs/>
        </w:rPr>
        <w:t>Nutr</w:t>
      </w:r>
      <w:proofErr w:type="spellEnd"/>
      <w:r w:rsidRPr="00DD3390">
        <w:rPr>
          <w:rStyle w:val="selectable-text1"/>
          <w:rFonts w:eastAsiaTheme="majorEastAsia"/>
          <w:i/>
          <w:iCs/>
        </w:rPr>
        <w:t xml:space="preserve"> [Internet]. 2014;59(1):132–52. Available from: </w:t>
      </w:r>
      <w:hyperlink r:id="rId12" w:history="1">
        <w:r w:rsidRPr="00DD3390">
          <w:rPr>
            <w:rStyle w:val="Hyperlink"/>
            <w:rFonts w:eastAsiaTheme="majorEastAsia"/>
            <w:i/>
            <w:iCs/>
          </w:rPr>
          <w:t>http://dx.doi.org/10.1097/MPG.0000000000000375</w:t>
        </w:r>
      </w:hyperlink>
    </w:p>
    <w:p w14:paraId="3703447C" w14:textId="77777777" w:rsidR="00CC4746" w:rsidRPr="00DD3390" w:rsidRDefault="00CC4746" w:rsidP="00CC4746">
      <w:pPr>
        <w:pStyle w:val="selectable-text"/>
        <w:numPr>
          <w:ilvl w:val="0"/>
          <w:numId w:val="10"/>
        </w:numPr>
        <w:spacing w:line="360" w:lineRule="auto"/>
        <w:jc w:val="both"/>
        <w:rPr>
          <w:i/>
          <w:iCs/>
        </w:rPr>
      </w:pPr>
      <w:r w:rsidRPr="00DD3390">
        <w:rPr>
          <w:i/>
          <w:iCs/>
        </w:rPr>
        <w:t xml:space="preserve">Scharff RL. Health-related costs from foodborne illness and death in the United States. The Produce Safety Project at Georgetown University. Available at: </w:t>
      </w:r>
      <w:hyperlink r:id="rId13" w:history="1">
        <w:r w:rsidRPr="00DD3390">
          <w:rPr>
            <w:rStyle w:val="Hyperlink"/>
            <w:i/>
            <w:iCs/>
          </w:rPr>
          <w:t>www.producesafetyproject.org</w:t>
        </w:r>
      </w:hyperlink>
      <w:r w:rsidRPr="00DD3390">
        <w:rPr>
          <w:i/>
          <w:iCs/>
        </w:rPr>
        <w:t>.</w:t>
      </w:r>
    </w:p>
    <w:p w14:paraId="136708BD" w14:textId="77777777" w:rsidR="00CC4746" w:rsidRPr="00DD3390" w:rsidRDefault="00CC4746" w:rsidP="00CC4746">
      <w:pPr>
        <w:pStyle w:val="selectable-text"/>
        <w:numPr>
          <w:ilvl w:val="0"/>
          <w:numId w:val="10"/>
        </w:numPr>
        <w:spacing w:line="360" w:lineRule="auto"/>
        <w:jc w:val="both"/>
        <w:rPr>
          <w:i/>
          <w:iCs/>
        </w:rPr>
      </w:pPr>
      <w:r w:rsidRPr="00DD3390">
        <w:rPr>
          <w:i/>
          <w:iCs/>
        </w:rPr>
        <w:t xml:space="preserve">King CK, Glass R, Bresee JS, Duggan C, Centers for Disease Control and Prevention. Managing acute gastroenteritis among children: oral rehydration, maintenance, and nutritional therapy. MMWR </w:t>
      </w:r>
      <w:proofErr w:type="spellStart"/>
      <w:r w:rsidRPr="00DD3390">
        <w:rPr>
          <w:i/>
          <w:iCs/>
        </w:rPr>
        <w:t>Recomm</w:t>
      </w:r>
      <w:proofErr w:type="spellEnd"/>
      <w:r w:rsidRPr="00DD3390">
        <w:rPr>
          <w:i/>
          <w:iCs/>
        </w:rPr>
        <w:t xml:space="preserve"> Rep. 2003;52(RR-16):1–16.</w:t>
      </w:r>
    </w:p>
    <w:p w14:paraId="72C6FD45" w14:textId="77777777" w:rsidR="00CC4746" w:rsidRPr="00DD3390" w:rsidRDefault="00CC4746" w:rsidP="00CC4746">
      <w:pPr>
        <w:pStyle w:val="selectable-text"/>
        <w:numPr>
          <w:ilvl w:val="0"/>
          <w:numId w:val="10"/>
        </w:numPr>
        <w:spacing w:line="360" w:lineRule="auto"/>
        <w:jc w:val="both"/>
        <w:rPr>
          <w:rStyle w:val="selectable-text1"/>
          <w:i/>
          <w:iCs/>
        </w:rPr>
      </w:pPr>
      <w:r w:rsidRPr="00DD3390">
        <w:rPr>
          <w:rStyle w:val="selectable-text1"/>
          <w:rFonts w:eastAsiaTheme="majorEastAsia"/>
          <w:i/>
          <w:iCs/>
        </w:rPr>
        <w:t>Kleinman RE, editor. Oral therapy for acute diarrhea. In: Committee on Nutrition. IL; 2009. p. 651–9.</w:t>
      </w:r>
    </w:p>
    <w:p w14:paraId="56EF2C43" w14:textId="77777777" w:rsidR="00CC4746" w:rsidRPr="00DD3390" w:rsidRDefault="00CC4746" w:rsidP="00CC4746">
      <w:pPr>
        <w:pStyle w:val="selectable-text"/>
        <w:numPr>
          <w:ilvl w:val="0"/>
          <w:numId w:val="10"/>
        </w:numPr>
        <w:spacing w:line="360" w:lineRule="auto"/>
        <w:jc w:val="both"/>
        <w:rPr>
          <w:i/>
          <w:iCs/>
        </w:rPr>
      </w:pPr>
      <w:r w:rsidRPr="00DD3390">
        <w:rPr>
          <w:i/>
          <w:iCs/>
        </w:rPr>
        <w:t xml:space="preserve">World Health Organization. Action </w:t>
      </w:r>
      <w:proofErr w:type="spellStart"/>
      <w:r w:rsidRPr="00DD3390">
        <w:rPr>
          <w:i/>
          <w:iCs/>
        </w:rPr>
        <w:t>Programme</w:t>
      </w:r>
      <w:proofErr w:type="spellEnd"/>
      <w:r w:rsidRPr="00DD3390">
        <w:rPr>
          <w:i/>
          <w:iCs/>
        </w:rPr>
        <w:t xml:space="preserve"> on Essential Drugs and Vaccines. (‎1993)‎. How to investigate drug use in health facilities : selected drug use indicators. World Health Organization. </w:t>
      </w:r>
      <w:hyperlink r:id="rId14" w:history="1">
        <w:r w:rsidRPr="00DD3390">
          <w:rPr>
            <w:rStyle w:val="Hyperlink"/>
            <w:i/>
            <w:iCs/>
          </w:rPr>
          <w:t>https://iris.who.int/handle/10665/60519</w:t>
        </w:r>
      </w:hyperlink>
    </w:p>
    <w:p w14:paraId="3081EB45" w14:textId="77777777" w:rsidR="00CC4746" w:rsidRPr="00DD3390" w:rsidRDefault="00CC4746" w:rsidP="00CC4746">
      <w:pPr>
        <w:pStyle w:val="selectable-text"/>
        <w:numPr>
          <w:ilvl w:val="0"/>
          <w:numId w:val="10"/>
        </w:numPr>
        <w:spacing w:line="360" w:lineRule="auto"/>
        <w:jc w:val="both"/>
        <w:rPr>
          <w:i/>
          <w:iCs/>
        </w:rPr>
      </w:pPr>
      <w:r w:rsidRPr="00DD3390">
        <w:rPr>
          <w:i/>
          <w:iCs/>
        </w:rPr>
        <w:t xml:space="preserve">Begum N, Shaik DH, Kollipara UL, </w:t>
      </w:r>
      <w:proofErr w:type="spellStart"/>
      <w:r w:rsidRPr="00DD3390">
        <w:rPr>
          <w:i/>
          <w:iCs/>
        </w:rPr>
        <w:t>Mopidevi</w:t>
      </w:r>
      <w:proofErr w:type="spellEnd"/>
      <w:r w:rsidRPr="00DD3390">
        <w:rPr>
          <w:i/>
          <w:iCs/>
        </w:rPr>
        <w:t xml:space="preserve"> S. Drug utilization pattern In Pediatrics With Gastro-Intestinal Tract Infections-A prospective study.</w:t>
      </w:r>
    </w:p>
    <w:p w14:paraId="032B833F" w14:textId="77777777" w:rsidR="00CC4746" w:rsidRPr="00DD3390" w:rsidRDefault="00CC4746" w:rsidP="00CC4746">
      <w:pPr>
        <w:pStyle w:val="selectable-text"/>
        <w:numPr>
          <w:ilvl w:val="0"/>
          <w:numId w:val="10"/>
        </w:numPr>
        <w:spacing w:line="360" w:lineRule="auto"/>
        <w:jc w:val="both"/>
        <w:rPr>
          <w:i/>
          <w:iCs/>
        </w:rPr>
      </w:pPr>
      <w:proofErr w:type="spellStart"/>
      <w:r w:rsidRPr="00DD3390">
        <w:rPr>
          <w:i/>
          <w:iCs/>
        </w:rPr>
        <w:t>Bhaveshaikh</w:t>
      </w:r>
      <w:proofErr w:type="spellEnd"/>
      <w:r w:rsidRPr="00DD3390">
        <w:rPr>
          <w:i/>
          <w:iCs/>
        </w:rPr>
        <w:t xml:space="preserve"> N, Sukumaran S, Vyas U. Drug prescribing pattern in acute gastroenteritis in an in-patient setting in a private hospital. Int J Res Med Sci [Internet]. 2017 Mar. 28 [cited 2025 May 26];5(4):1256-9. Available from: </w:t>
      </w:r>
      <w:hyperlink r:id="rId15" w:history="1">
        <w:r w:rsidRPr="00DD3390">
          <w:rPr>
            <w:rStyle w:val="Hyperlink"/>
            <w:i/>
            <w:iCs/>
          </w:rPr>
          <w:t>https://www.msjonline.org/index.php/ijrms/article/view/2933</w:t>
        </w:r>
      </w:hyperlink>
    </w:p>
    <w:p w14:paraId="3756BECF" w14:textId="77777777" w:rsidR="00CC4746" w:rsidRPr="00DD3390" w:rsidRDefault="00CC4746" w:rsidP="00CC4746">
      <w:pPr>
        <w:pStyle w:val="selectable-text"/>
        <w:numPr>
          <w:ilvl w:val="0"/>
          <w:numId w:val="10"/>
        </w:numPr>
        <w:spacing w:line="360" w:lineRule="auto"/>
        <w:jc w:val="both"/>
        <w:rPr>
          <w:i/>
          <w:iCs/>
        </w:rPr>
      </w:pPr>
      <w:r w:rsidRPr="00DD3390">
        <w:rPr>
          <w:i/>
          <w:iCs/>
        </w:rPr>
        <w:t xml:space="preserve">Panchal JR, Desai CK, Iyer GS, Patel PP, Dikshit RK. Prescribing pattern and appropriateness of drug treatment of </w:t>
      </w:r>
      <w:proofErr w:type="spellStart"/>
      <w:r w:rsidRPr="00DD3390">
        <w:rPr>
          <w:i/>
          <w:iCs/>
        </w:rPr>
        <w:t>diarrhoea</w:t>
      </w:r>
      <w:proofErr w:type="spellEnd"/>
      <w:r w:rsidRPr="00DD3390">
        <w:rPr>
          <w:i/>
          <w:iCs/>
        </w:rPr>
        <w:t xml:space="preserve"> in </w:t>
      </w:r>
      <w:proofErr w:type="spellStart"/>
      <w:r w:rsidRPr="00DD3390">
        <w:rPr>
          <w:i/>
          <w:iCs/>
        </w:rPr>
        <w:t>hospitalised</w:t>
      </w:r>
      <w:proofErr w:type="spellEnd"/>
      <w:r w:rsidRPr="00DD3390">
        <w:rPr>
          <w:i/>
          <w:iCs/>
        </w:rPr>
        <w:t xml:space="preserve"> children at a tertiary care hospital in India. Int J Med Public Health. 2013;3:335-41.</w:t>
      </w:r>
    </w:p>
    <w:p w14:paraId="15E2EA83" w14:textId="77777777" w:rsidR="00CC4746" w:rsidRPr="00DD3390" w:rsidRDefault="00CC4746" w:rsidP="00CC4746">
      <w:pPr>
        <w:pStyle w:val="selectable-text"/>
        <w:numPr>
          <w:ilvl w:val="0"/>
          <w:numId w:val="10"/>
        </w:numPr>
        <w:spacing w:line="360" w:lineRule="auto"/>
        <w:jc w:val="both"/>
        <w:rPr>
          <w:i/>
          <w:iCs/>
        </w:rPr>
      </w:pPr>
      <w:r w:rsidRPr="00DD3390">
        <w:rPr>
          <w:i/>
          <w:iCs/>
        </w:rPr>
        <w:t xml:space="preserve">Baddour LM, Yu VL, Klugman KP, Feldman C, </w:t>
      </w:r>
      <w:proofErr w:type="spellStart"/>
      <w:r w:rsidRPr="00DD3390">
        <w:rPr>
          <w:i/>
          <w:iCs/>
        </w:rPr>
        <w:t>Ortqvist</w:t>
      </w:r>
      <w:proofErr w:type="spellEnd"/>
      <w:r w:rsidRPr="00DD3390">
        <w:rPr>
          <w:i/>
          <w:iCs/>
        </w:rPr>
        <w:t xml:space="preserve"> A, Rello J, et al. Combination antibiotic therapy lowers mortality among severely ill patients with pneumococcal bacteremia. Am J Respir Crit Care Med [Internet]. 2004;170(4):440–4. Available from: </w:t>
      </w:r>
      <w:hyperlink r:id="rId16" w:history="1">
        <w:r w:rsidRPr="00DD3390">
          <w:rPr>
            <w:rStyle w:val="Hyperlink"/>
            <w:i/>
            <w:iCs/>
          </w:rPr>
          <w:t>http://dx.doi.org/10.1164/rccm.200311-1578OC</w:t>
        </w:r>
      </w:hyperlink>
    </w:p>
    <w:p w14:paraId="3D4B6FDE" w14:textId="77777777" w:rsidR="00CC4746" w:rsidRPr="00DD3390" w:rsidRDefault="00CC4746" w:rsidP="00CC4746">
      <w:pPr>
        <w:pStyle w:val="ListParagraph"/>
        <w:numPr>
          <w:ilvl w:val="0"/>
          <w:numId w:val="10"/>
        </w:numPr>
        <w:spacing w:line="360" w:lineRule="auto"/>
        <w:jc w:val="both"/>
        <w:rPr>
          <w:rFonts w:ascii="Times New Roman" w:hAnsi="Times New Roman" w:cs="Times New Roman"/>
          <w:i/>
          <w:iCs/>
          <w:sz w:val="24"/>
          <w:szCs w:val="24"/>
          <w:lang w:val="en-GB"/>
        </w:rPr>
      </w:pPr>
      <w:proofErr w:type="spellStart"/>
      <w:r w:rsidRPr="00DD3390">
        <w:rPr>
          <w:rFonts w:ascii="Times New Roman" w:hAnsi="Times New Roman" w:cs="Times New Roman"/>
          <w:i/>
          <w:iCs/>
          <w:sz w:val="24"/>
          <w:szCs w:val="24"/>
          <w:lang w:val="en-GB"/>
        </w:rPr>
        <w:t>Nateghian</w:t>
      </w:r>
      <w:proofErr w:type="spellEnd"/>
      <w:r w:rsidRPr="00DD3390">
        <w:rPr>
          <w:rFonts w:ascii="Times New Roman" w:hAnsi="Times New Roman" w:cs="Times New Roman"/>
          <w:i/>
          <w:iCs/>
          <w:sz w:val="24"/>
          <w:szCs w:val="24"/>
          <w:lang w:val="en-GB"/>
        </w:rPr>
        <w:t xml:space="preserve">, A., </w:t>
      </w:r>
      <w:proofErr w:type="spellStart"/>
      <w:r w:rsidRPr="00DD3390">
        <w:rPr>
          <w:rFonts w:ascii="Times New Roman" w:hAnsi="Times New Roman" w:cs="Times New Roman"/>
          <w:i/>
          <w:iCs/>
          <w:sz w:val="24"/>
          <w:szCs w:val="24"/>
          <w:lang w:val="en-GB"/>
        </w:rPr>
        <w:t>Moshfegh</w:t>
      </w:r>
      <w:proofErr w:type="spellEnd"/>
      <w:r w:rsidRPr="00DD3390">
        <w:rPr>
          <w:rFonts w:ascii="Times New Roman" w:hAnsi="Times New Roman" w:cs="Times New Roman"/>
          <w:i/>
          <w:iCs/>
          <w:sz w:val="24"/>
          <w:szCs w:val="24"/>
          <w:lang w:val="en-GB"/>
        </w:rPr>
        <w:t xml:space="preserve">, F., &amp; Shoja, Z. (2019). Study of Clinical Characteristics and Clinical Complications of Norovirus gastroenteritis in Admitted Children to the Hospital. Journal of Pharmaceutical Research International, 30(5), 1–10. </w:t>
      </w:r>
      <w:hyperlink r:id="rId17" w:history="1">
        <w:r w:rsidRPr="00DD3390">
          <w:rPr>
            <w:rFonts w:ascii="Times New Roman" w:hAnsi="Times New Roman" w:cs="Times New Roman"/>
            <w:i/>
            <w:iCs/>
            <w:color w:val="0563C1"/>
            <w:sz w:val="24"/>
            <w:szCs w:val="24"/>
            <w:u w:val="single"/>
            <w:lang w:val="en-GB"/>
          </w:rPr>
          <w:t>https://doi.org/10.9734/jpri/2019/v30i530277</w:t>
        </w:r>
      </w:hyperlink>
      <w:r w:rsidRPr="00DD3390">
        <w:rPr>
          <w:rFonts w:ascii="Times New Roman" w:hAnsi="Times New Roman" w:cs="Times New Roman"/>
          <w:i/>
          <w:iCs/>
          <w:sz w:val="24"/>
          <w:szCs w:val="24"/>
          <w:lang w:val="en-GB"/>
        </w:rPr>
        <w:t xml:space="preserve"> </w:t>
      </w:r>
    </w:p>
    <w:p w14:paraId="34621083" w14:textId="77777777" w:rsidR="003011DB" w:rsidRPr="00E85353" w:rsidRDefault="003011DB" w:rsidP="00E85353">
      <w:pPr>
        <w:spacing w:after="162" w:line="360" w:lineRule="auto"/>
        <w:ind w:right="360"/>
        <w:rPr>
          <w:rFonts w:ascii="Times New Roman" w:hAnsi="Times New Roman" w:cs="Times New Roman"/>
          <w:color w:val="333333"/>
          <w:sz w:val="24"/>
          <w:szCs w:val="24"/>
          <w:shd w:val="clear" w:color="auto" w:fill="FFFFFF"/>
        </w:rPr>
      </w:pPr>
    </w:p>
    <w:p w14:paraId="0F41816C" w14:textId="77777777" w:rsidR="00222090" w:rsidRPr="00E85353" w:rsidRDefault="00222090" w:rsidP="00E85353">
      <w:pPr>
        <w:spacing w:line="360" w:lineRule="auto"/>
        <w:rPr>
          <w:rFonts w:ascii="Times New Roman" w:hAnsi="Times New Roman" w:cs="Times New Roman"/>
          <w:sz w:val="24"/>
          <w:szCs w:val="24"/>
        </w:rPr>
      </w:pPr>
    </w:p>
    <w:sectPr w:rsidR="00222090" w:rsidRPr="00E85353">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6EBA9" w14:textId="77777777" w:rsidR="00D5039D" w:rsidRDefault="00D5039D" w:rsidP="00DC6751">
      <w:pPr>
        <w:spacing w:after="0" w:line="240" w:lineRule="auto"/>
      </w:pPr>
      <w:r>
        <w:separator/>
      </w:r>
    </w:p>
  </w:endnote>
  <w:endnote w:type="continuationSeparator" w:id="0">
    <w:p w14:paraId="75CD77CF" w14:textId="77777777" w:rsidR="00D5039D" w:rsidRDefault="00D5039D" w:rsidP="00DC6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1DAA9" w14:textId="77777777" w:rsidR="00DC6751" w:rsidRDefault="00DC67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0FC7C" w14:textId="77777777" w:rsidR="00DC6751" w:rsidRDefault="00DC67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A9DA5" w14:textId="77777777" w:rsidR="00DC6751" w:rsidRDefault="00DC67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42B5A" w14:textId="77777777" w:rsidR="00D5039D" w:rsidRDefault="00D5039D" w:rsidP="00DC6751">
      <w:pPr>
        <w:spacing w:after="0" w:line="240" w:lineRule="auto"/>
      </w:pPr>
      <w:r>
        <w:separator/>
      </w:r>
    </w:p>
  </w:footnote>
  <w:footnote w:type="continuationSeparator" w:id="0">
    <w:p w14:paraId="5D2DC856" w14:textId="77777777" w:rsidR="00D5039D" w:rsidRDefault="00D5039D" w:rsidP="00DC67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66CE1" w14:textId="42B1617F" w:rsidR="00DC6751" w:rsidRDefault="0095551F">
    <w:pPr>
      <w:pStyle w:val="Header"/>
    </w:pPr>
    <w:r>
      <w:rPr>
        <w:noProof/>
      </w:rPr>
      <w:pict w14:anchorId="65B743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15881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BA71C" w14:textId="1708D375" w:rsidR="00DC6751" w:rsidRDefault="0095551F">
    <w:pPr>
      <w:pStyle w:val="Header"/>
    </w:pPr>
    <w:r>
      <w:rPr>
        <w:noProof/>
      </w:rPr>
      <w:pict w14:anchorId="30AA79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15881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D3A3E" w14:textId="1E3446BE" w:rsidR="00DC6751" w:rsidRDefault="0095551F">
    <w:pPr>
      <w:pStyle w:val="Header"/>
    </w:pPr>
    <w:r>
      <w:rPr>
        <w:noProof/>
      </w:rPr>
      <w:pict w14:anchorId="5824FE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15881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00CA7"/>
    <w:multiLevelType w:val="hybridMultilevel"/>
    <w:tmpl w:val="0D1E7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B2EC0"/>
    <w:multiLevelType w:val="multilevel"/>
    <w:tmpl w:val="60A6440E"/>
    <w:lvl w:ilvl="0">
      <w:start w:val="7"/>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0A06B2"/>
    <w:multiLevelType w:val="hybridMultilevel"/>
    <w:tmpl w:val="196A5C7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7EC26D3"/>
    <w:multiLevelType w:val="multilevel"/>
    <w:tmpl w:val="5E428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150A4B"/>
    <w:multiLevelType w:val="hybridMultilevel"/>
    <w:tmpl w:val="20887CD4"/>
    <w:lvl w:ilvl="0" w:tplc="C77EBCD4">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8610109"/>
    <w:multiLevelType w:val="hybridMultilevel"/>
    <w:tmpl w:val="B8CC1CD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E5A0D91"/>
    <w:multiLevelType w:val="multilevel"/>
    <w:tmpl w:val="33E8D996"/>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9FF4813"/>
    <w:multiLevelType w:val="hybridMultilevel"/>
    <w:tmpl w:val="83BAE2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F964D98"/>
    <w:multiLevelType w:val="hybridMultilevel"/>
    <w:tmpl w:val="4E544B1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A642EBD"/>
    <w:multiLevelType w:val="hybridMultilevel"/>
    <w:tmpl w:val="775C74F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846485834">
    <w:abstractNumId w:val="6"/>
  </w:num>
  <w:num w:numId="2" w16cid:durableId="2015960934">
    <w:abstractNumId w:val="1"/>
  </w:num>
  <w:num w:numId="3" w16cid:durableId="336081755">
    <w:abstractNumId w:val="3"/>
  </w:num>
  <w:num w:numId="4" w16cid:durableId="91560750">
    <w:abstractNumId w:val="7"/>
  </w:num>
  <w:num w:numId="5" w16cid:durableId="1780642347">
    <w:abstractNumId w:val="9"/>
  </w:num>
  <w:num w:numId="6" w16cid:durableId="111482484">
    <w:abstractNumId w:val="2"/>
  </w:num>
  <w:num w:numId="7" w16cid:durableId="1785613070">
    <w:abstractNumId w:val="8"/>
  </w:num>
  <w:num w:numId="8" w16cid:durableId="1802265603">
    <w:abstractNumId w:val="5"/>
  </w:num>
  <w:num w:numId="9" w16cid:durableId="481390349">
    <w:abstractNumId w:val="4"/>
  </w:num>
  <w:num w:numId="10" w16cid:durableId="915676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090"/>
    <w:rsid w:val="0000041E"/>
    <w:rsid w:val="0002078B"/>
    <w:rsid w:val="00044060"/>
    <w:rsid w:val="00056E7B"/>
    <w:rsid w:val="00070A81"/>
    <w:rsid w:val="000732BC"/>
    <w:rsid w:val="000879C8"/>
    <w:rsid w:val="00096C9F"/>
    <w:rsid w:val="000A6FF7"/>
    <w:rsid w:val="000B3314"/>
    <w:rsid w:val="000C5F38"/>
    <w:rsid w:val="000D0CE2"/>
    <w:rsid w:val="000D40E8"/>
    <w:rsid w:val="000D56D8"/>
    <w:rsid w:val="000F3DC6"/>
    <w:rsid w:val="0010217C"/>
    <w:rsid w:val="00110C24"/>
    <w:rsid w:val="00116167"/>
    <w:rsid w:val="001338DD"/>
    <w:rsid w:val="00141E90"/>
    <w:rsid w:val="001526B7"/>
    <w:rsid w:val="0016722D"/>
    <w:rsid w:val="001716C0"/>
    <w:rsid w:val="00173418"/>
    <w:rsid w:val="001740DD"/>
    <w:rsid w:val="001A4158"/>
    <w:rsid w:val="001B4DF0"/>
    <w:rsid w:val="001C4FDE"/>
    <w:rsid w:val="001D091C"/>
    <w:rsid w:val="001F3003"/>
    <w:rsid w:val="001F4FDC"/>
    <w:rsid w:val="001F502F"/>
    <w:rsid w:val="002059DC"/>
    <w:rsid w:val="002068DB"/>
    <w:rsid w:val="00212672"/>
    <w:rsid w:val="00212EE0"/>
    <w:rsid w:val="00222090"/>
    <w:rsid w:val="002443CC"/>
    <w:rsid w:val="00250C84"/>
    <w:rsid w:val="002A105F"/>
    <w:rsid w:val="002B7A5A"/>
    <w:rsid w:val="002D38D1"/>
    <w:rsid w:val="002D52E7"/>
    <w:rsid w:val="002E64E3"/>
    <w:rsid w:val="002F0149"/>
    <w:rsid w:val="003011DB"/>
    <w:rsid w:val="00301E38"/>
    <w:rsid w:val="0033047C"/>
    <w:rsid w:val="00332E4E"/>
    <w:rsid w:val="003352D1"/>
    <w:rsid w:val="0036026B"/>
    <w:rsid w:val="00362C56"/>
    <w:rsid w:val="003924FD"/>
    <w:rsid w:val="0039719A"/>
    <w:rsid w:val="003A1DE6"/>
    <w:rsid w:val="004037BD"/>
    <w:rsid w:val="00403B51"/>
    <w:rsid w:val="004057F2"/>
    <w:rsid w:val="00411C36"/>
    <w:rsid w:val="00414C85"/>
    <w:rsid w:val="00417C81"/>
    <w:rsid w:val="00436A30"/>
    <w:rsid w:val="00451A7A"/>
    <w:rsid w:val="00460C13"/>
    <w:rsid w:val="00477BC9"/>
    <w:rsid w:val="004816EE"/>
    <w:rsid w:val="004B31E9"/>
    <w:rsid w:val="004D2E1D"/>
    <w:rsid w:val="004E1861"/>
    <w:rsid w:val="004F170D"/>
    <w:rsid w:val="004F1760"/>
    <w:rsid w:val="004F46ED"/>
    <w:rsid w:val="00502E2C"/>
    <w:rsid w:val="00534C09"/>
    <w:rsid w:val="00536504"/>
    <w:rsid w:val="00536952"/>
    <w:rsid w:val="0055282E"/>
    <w:rsid w:val="0058664D"/>
    <w:rsid w:val="00590F1E"/>
    <w:rsid w:val="00595B68"/>
    <w:rsid w:val="005B0E94"/>
    <w:rsid w:val="005B1AA3"/>
    <w:rsid w:val="005E4904"/>
    <w:rsid w:val="005E6714"/>
    <w:rsid w:val="005F64B3"/>
    <w:rsid w:val="00604DEB"/>
    <w:rsid w:val="006052A0"/>
    <w:rsid w:val="00617BFE"/>
    <w:rsid w:val="00631F27"/>
    <w:rsid w:val="00636931"/>
    <w:rsid w:val="0066574D"/>
    <w:rsid w:val="00666F17"/>
    <w:rsid w:val="00677509"/>
    <w:rsid w:val="00677AF1"/>
    <w:rsid w:val="00683D2B"/>
    <w:rsid w:val="006B0687"/>
    <w:rsid w:val="006B33FA"/>
    <w:rsid w:val="006C1104"/>
    <w:rsid w:val="006D1429"/>
    <w:rsid w:val="006D47EB"/>
    <w:rsid w:val="006D6CF1"/>
    <w:rsid w:val="006E18FB"/>
    <w:rsid w:val="006E37AD"/>
    <w:rsid w:val="006F0D30"/>
    <w:rsid w:val="00734DA9"/>
    <w:rsid w:val="00766403"/>
    <w:rsid w:val="0077614D"/>
    <w:rsid w:val="007A5385"/>
    <w:rsid w:val="007A5D5A"/>
    <w:rsid w:val="007B6C47"/>
    <w:rsid w:val="007E4239"/>
    <w:rsid w:val="007F21A6"/>
    <w:rsid w:val="00825CDA"/>
    <w:rsid w:val="00832AE1"/>
    <w:rsid w:val="00842DD3"/>
    <w:rsid w:val="00843E73"/>
    <w:rsid w:val="0089111F"/>
    <w:rsid w:val="008A1F38"/>
    <w:rsid w:val="008B35B2"/>
    <w:rsid w:val="008C09DE"/>
    <w:rsid w:val="008D3059"/>
    <w:rsid w:val="008D4EDB"/>
    <w:rsid w:val="008E196D"/>
    <w:rsid w:val="008E2F93"/>
    <w:rsid w:val="008F174D"/>
    <w:rsid w:val="009138BD"/>
    <w:rsid w:val="0092302C"/>
    <w:rsid w:val="00927404"/>
    <w:rsid w:val="009333E4"/>
    <w:rsid w:val="00934A55"/>
    <w:rsid w:val="009420B8"/>
    <w:rsid w:val="0095551F"/>
    <w:rsid w:val="00966213"/>
    <w:rsid w:val="009A0162"/>
    <w:rsid w:val="009A19A6"/>
    <w:rsid w:val="009A2CBB"/>
    <w:rsid w:val="009B20CB"/>
    <w:rsid w:val="009C1A34"/>
    <w:rsid w:val="009C72B7"/>
    <w:rsid w:val="009E2132"/>
    <w:rsid w:val="009E2D8C"/>
    <w:rsid w:val="00A12B73"/>
    <w:rsid w:val="00A17646"/>
    <w:rsid w:val="00A63480"/>
    <w:rsid w:val="00A731CB"/>
    <w:rsid w:val="00A738AF"/>
    <w:rsid w:val="00A84370"/>
    <w:rsid w:val="00A86106"/>
    <w:rsid w:val="00AA0917"/>
    <w:rsid w:val="00AB490E"/>
    <w:rsid w:val="00AC72C6"/>
    <w:rsid w:val="00AD0EC8"/>
    <w:rsid w:val="00AE1D12"/>
    <w:rsid w:val="00AE385C"/>
    <w:rsid w:val="00AE6CC5"/>
    <w:rsid w:val="00AF1BBD"/>
    <w:rsid w:val="00AF4F7F"/>
    <w:rsid w:val="00B3032B"/>
    <w:rsid w:val="00B35B04"/>
    <w:rsid w:val="00B447ED"/>
    <w:rsid w:val="00B610D7"/>
    <w:rsid w:val="00B61856"/>
    <w:rsid w:val="00B71B75"/>
    <w:rsid w:val="00BA212C"/>
    <w:rsid w:val="00BA7073"/>
    <w:rsid w:val="00BC1526"/>
    <w:rsid w:val="00BC4D97"/>
    <w:rsid w:val="00BF3092"/>
    <w:rsid w:val="00BF5ED8"/>
    <w:rsid w:val="00C25BB3"/>
    <w:rsid w:val="00C602DC"/>
    <w:rsid w:val="00C8012B"/>
    <w:rsid w:val="00C85FAF"/>
    <w:rsid w:val="00C865AC"/>
    <w:rsid w:val="00C9088C"/>
    <w:rsid w:val="00CC4746"/>
    <w:rsid w:val="00CD20F1"/>
    <w:rsid w:val="00CE000F"/>
    <w:rsid w:val="00CF15B7"/>
    <w:rsid w:val="00D01F35"/>
    <w:rsid w:val="00D058B1"/>
    <w:rsid w:val="00D3426C"/>
    <w:rsid w:val="00D36059"/>
    <w:rsid w:val="00D5039D"/>
    <w:rsid w:val="00D651FF"/>
    <w:rsid w:val="00D65D7D"/>
    <w:rsid w:val="00D70F13"/>
    <w:rsid w:val="00D72B59"/>
    <w:rsid w:val="00D930DC"/>
    <w:rsid w:val="00DA4B25"/>
    <w:rsid w:val="00DC6751"/>
    <w:rsid w:val="00DD70D9"/>
    <w:rsid w:val="00DE5CF2"/>
    <w:rsid w:val="00E07285"/>
    <w:rsid w:val="00E11216"/>
    <w:rsid w:val="00E11AA3"/>
    <w:rsid w:val="00E2099B"/>
    <w:rsid w:val="00E26D33"/>
    <w:rsid w:val="00E503D8"/>
    <w:rsid w:val="00E52AC5"/>
    <w:rsid w:val="00E549DE"/>
    <w:rsid w:val="00E70656"/>
    <w:rsid w:val="00E726D2"/>
    <w:rsid w:val="00E739B4"/>
    <w:rsid w:val="00E762D9"/>
    <w:rsid w:val="00E76738"/>
    <w:rsid w:val="00E77A3B"/>
    <w:rsid w:val="00E83C32"/>
    <w:rsid w:val="00E85353"/>
    <w:rsid w:val="00EC7DA9"/>
    <w:rsid w:val="00ED3498"/>
    <w:rsid w:val="00EF4B74"/>
    <w:rsid w:val="00F24723"/>
    <w:rsid w:val="00F307F9"/>
    <w:rsid w:val="00F57BEC"/>
    <w:rsid w:val="00F6274F"/>
    <w:rsid w:val="00F86E66"/>
    <w:rsid w:val="00F963DA"/>
    <w:rsid w:val="00FA1968"/>
    <w:rsid w:val="00FC4D12"/>
    <w:rsid w:val="00FD2695"/>
    <w:rsid w:val="00FD7FC3"/>
    <w:rsid w:val="00FE66AF"/>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07EBE8F"/>
  <w15:chartTrackingRefBased/>
  <w15:docId w15:val="{B99FAB91-0C0B-4E19-8403-C6B7267C1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090"/>
    <w:rPr>
      <w:rFonts w:ascii="Calibri" w:eastAsia="Calibri" w:hAnsi="Calibri" w:cs="Calibri"/>
      <w:color w:val="000000"/>
      <w:lang w:val="en-US"/>
    </w:rPr>
  </w:style>
  <w:style w:type="paragraph" w:styleId="Heading1">
    <w:name w:val="heading 1"/>
    <w:basedOn w:val="Normal"/>
    <w:next w:val="Normal"/>
    <w:link w:val="Heading1Char"/>
    <w:uiPriority w:val="9"/>
    <w:qFormat/>
    <w:rsid w:val="0022209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2209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2209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2209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2209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220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20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20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20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09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2209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2209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2209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2209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220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20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20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2090"/>
    <w:rPr>
      <w:rFonts w:eastAsiaTheme="majorEastAsia" w:cstheme="majorBidi"/>
      <w:color w:val="272727" w:themeColor="text1" w:themeTint="D8"/>
    </w:rPr>
  </w:style>
  <w:style w:type="paragraph" w:styleId="Title">
    <w:name w:val="Title"/>
    <w:basedOn w:val="Normal"/>
    <w:next w:val="Normal"/>
    <w:link w:val="TitleChar"/>
    <w:uiPriority w:val="10"/>
    <w:qFormat/>
    <w:rsid w:val="002220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20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20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20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2090"/>
    <w:pPr>
      <w:spacing w:before="160"/>
      <w:jc w:val="center"/>
    </w:pPr>
    <w:rPr>
      <w:i/>
      <w:iCs/>
      <w:color w:val="404040" w:themeColor="text1" w:themeTint="BF"/>
    </w:rPr>
  </w:style>
  <w:style w:type="character" w:customStyle="1" w:styleId="QuoteChar">
    <w:name w:val="Quote Char"/>
    <w:basedOn w:val="DefaultParagraphFont"/>
    <w:link w:val="Quote"/>
    <w:uiPriority w:val="29"/>
    <w:rsid w:val="00222090"/>
    <w:rPr>
      <w:i/>
      <w:iCs/>
      <w:color w:val="404040" w:themeColor="text1" w:themeTint="BF"/>
    </w:rPr>
  </w:style>
  <w:style w:type="paragraph" w:styleId="ListParagraph">
    <w:name w:val="List Paragraph"/>
    <w:basedOn w:val="Normal"/>
    <w:uiPriority w:val="34"/>
    <w:qFormat/>
    <w:rsid w:val="00222090"/>
    <w:pPr>
      <w:ind w:left="720"/>
      <w:contextualSpacing/>
    </w:pPr>
  </w:style>
  <w:style w:type="character" w:styleId="IntenseEmphasis">
    <w:name w:val="Intense Emphasis"/>
    <w:basedOn w:val="DefaultParagraphFont"/>
    <w:uiPriority w:val="21"/>
    <w:qFormat/>
    <w:rsid w:val="00222090"/>
    <w:rPr>
      <w:i/>
      <w:iCs/>
      <w:color w:val="2F5496" w:themeColor="accent1" w:themeShade="BF"/>
    </w:rPr>
  </w:style>
  <w:style w:type="paragraph" w:styleId="IntenseQuote">
    <w:name w:val="Intense Quote"/>
    <w:basedOn w:val="Normal"/>
    <w:next w:val="Normal"/>
    <w:link w:val="IntenseQuoteChar"/>
    <w:uiPriority w:val="30"/>
    <w:qFormat/>
    <w:rsid w:val="002220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22090"/>
    <w:rPr>
      <w:i/>
      <w:iCs/>
      <w:color w:val="2F5496" w:themeColor="accent1" w:themeShade="BF"/>
    </w:rPr>
  </w:style>
  <w:style w:type="character" w:styleId="IntenseReference">
    <w:name w:val="Intense Reference"/>
    <w:basedOn w:val="DefaultParagraphFont"/>
    <w:uiPriority w:val="32"/>
    <w:qFormat/>
    <w:rsid w:val="00222090"/>
    <w:rPr>
      <w:b/>
      <w:bCs/>
      <w:smallCaps/>
      <w:color w:val="2F5496" w:themeColor="accent1" w:themeShade="BF"/>
      <w:spacing w:val="5"/>
    </w:rPr>
  </w:style>
  <w:style w:type="table" w:styleId="GridTable5Dark-Accent3">
    <w:name w:val="Grid Table 5 Dark Accent 3"/>
    <w:basedOn w:val="TableNormal"/>
    <w:uiPriority w:val="50"/>
    <w:rsid w:val="00222090"/>
    <w:pPr>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5">
    <w:name w:val="Grid Table 5 Dark Accent 5"/>
    <w:basedOn w:val="TableNormal"/>
    <w:uiPriority w:val="50"/>
    <w:rsid w:val="00222090"/>
    <w:pPr>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222090"/>
    <w:pPr>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Hyperlink">
    <w:name w:val="Hyperlink"/>
    <w:basedOn w:val="DefaultParagraphFont"/>
    <w:uiPriority w:val="99"/>
    <w:unhideWhenUsed/>
    <w:rsid w:val="00222090"/>
    <w:rPr>
      <w:color w:val="0000FF"/>
      <w:u w:val="single"/>
    </w:rPr>
  </w:style>
  <w:style w:type="paragraph" w:styleId="BodyText">
    <w:name w:val="Body Text"/>
    <w:basedOn w:val="Normal"/>
    <w:link w:val="BodyTextChar"/>
    <w:uiPriority w:val="1"/>
    <w:qFormat/>
    <w:rsid w:val="00222090"/>
    <w:pPr>
      <w:widowControl w:val="0"/>
      <w:autoSpaceDE w:val="0"/>
      <w:autoSpaceDN w:val="0"/>
      <w:spacing w:after="0" w:line="240" w:lineRule="auto"/>
    </w:pPr>
    <w:rPr>
      <w:rFonts w:ascii="Times New Roman" w:eastAsia="Times New Roman" w:hAnsi="Times New Roman" w:cs="Times New Roman"/>
      <w:color w:val="auto"/>
      <w:kern w:val="0"/>
      <w:sz w:val="23"/>
      <w:szCs w:val="23"/>
      <w14:ligatures w14:val="none"/>
    </w:rPr>
  </w:style>
  <w:style w:type="character" w:customStyle="1" w:styleId="BodyTextChar">
    <w:name w:val="Body Text Char"/>
    <w:basedOn w:val="DefaultParagraphFont"/>
    <w:link w:val="BodyText"/>
    <w:uiPriority w:val="1"/>
    <w:rsid w:val="00222090"/>
    <w:rPr>
      <w:rFonts w:ascii="Times New Roman" w:eastAsia="Times New Roman" w:hAnsi="Times New Roman" w:cs="Times New Roman"/>
      <w:kern w:val="0"/>
      <w:sz w:val="23"/>
      <w:szCs w:val="23"/>
      <w:lang w:val="en-US"/>
      <w14:ligatures w14:val="none"/>
    </w:rPr>
  </w:style>
  <w:style w:type="paragraph" w:customStyle="1" w:styleId="comp">
    <w:name w:val="comp"/>
    <w:basedOn w:val="Normal"/>
    <w:rsid w:val="00110C24"/>
    <w:pPr>
      <w:spacing w:before="100" w:beforeAutospacing="1" w:after="100" w:afterAutospacing="1" w:line="240" w:lineRule="auto"/>
    </w:pPr>
    <w:rPr>
      <w:rFonts w:ascii="Times New Roman" w:eastAsia="Times New Roman" w:hAnsi="Times New Roman" w:cs="Times New Roman"/>
      <w:color w:val="auto"/>
      <w:kern w:val="0"/>
      <w:sz w:val="24"/>
      <w:szCs w:val="24"/>
      <w:lang w:val="en-IN" w:eastAsia="en-IN"/>
      <w14:ligatures w14:val="none"/>
    </w:rPr>
  </w:style>
  <w:style w:type="character" w:styleId="UnresolvedMention">
    <w:name w:val="Unresolved Mention"/>
    <w:basedOn w:val="DefaultParagraphFont"/>
    <w:uiPriority w:val="99"/>
    <w:semiHidden/>
    <w:unhideWhenUsed/>
    <w:rsid w:val="00AA0917"/>
    <w:rPr>
      <w:color w:val="605E5C"/>
      <w:shd w:val="clear" w:color="auto" w:fill="E1DFDD"/>
    </w:rPr>
  </w:style>
  <w:style w:type="table" w:styleId="GridTable1Light">
    <w:name w:val="Grid Table 1 Light"/>
    <w:basedOn w:val="TableNormal"/>
    <w:uiPriority w:val="46"/>
    <w:rsid w:val="00CE000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39"/>
    <w:rsid w:val="001D0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ctable-text">
    <w:name w:val="selectable-text"/>
    <w:basedOn w:val="Normal"/>
    <w:rsid w:val="00636931"/>
    <w:pPr>
      <w:spacing w:before="100" w:beforeAutospacing="1" w:after="100" w:afterAutospacing="1" w:line="240" w:lineRule="auto"/>
    </w:pPr>
    <w:rPr>
      <w:rFonts w:ascii="Times New Roman" w:eastAsia="Times New Roman" w:hAnsi="Times New Roman" w:cs="Times New Roman"/>
      <w:color w:val="auto"/>
      <w:kern w:val="0"/>
      <w:sz w:val="24"/>
      <w:szCs w:val="24"/>
      <w14:ligatures w14:val="none"/>
    </w:rPr>
  </w:style>
  <w:style w:type="character" w:customStyle="1" w:styleId="selectable-text1">
    <w:name w:val="selectable-text1"/>
    <w:basedOn w:val="DefaultParagraphFont"/>
    <w:rsid w:val="00636931"/>
  </w:style>
  <w:style w:type="paragraph" w:styleId="Header">
    <w:name w:val="header"/>
    <w:basedOn w:val="Normal"/>
    <w:link w:val="HeaderChar"/>
    <w:uiPriority w:val="99"/>
    <w:unhideWhenUsed/>
    <w:rsid w:val="00DC67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751"/>
    <w:rPr>
      <w:rFonts w:ascii="Calibri" w:eastAsia="Calibri" w:hAnsi="Calibri" w:cs="Calibri"/>
      <w:color w:val="000000"/>
      <w:lang w:val="en-US"/>
    </w:rPr>
  </w:style>
  <w:style w:type="paragraph" w:styleId="Footer">
    <w:name w:val="footer"/>
    <w:basedOn w:val="Normal"/>
    <w:link w:val="FooterChar"/>
    <w:uiPriority w:val="99"/>
    <w:unhideWhenUsed/>
    <w:rsid w:val="00DC67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751"/>
    <w:rPr>
      <w:rFonts w:ascii="Calibri" w:eastAsia="Calibri" w:hAnsi="Calibri" w:cs="Calibri"/>
      <w:color w:val="000000"/>
      <w:lang w:val="en-US"/>
    </w:rPr>
  </w:style>
  <w:style w:type="table" w:styleId="TableGridLight">
    <w:name w:val="Grid Table Light"/>
    <w:basedOn w:val="TableNormal"/>
    <w:uiPriority w:val="40"/>
    <w:rsid w:val="0017341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5229">
      <w:bodyDiv w:val="1"/>
      <w:marLeft w:val="0"/>
      <w:marRight w:val="0"/>
      <w:marTop w:val="0"/>
      <w:marBottom w:val="0"/>
      <w:divBdr>
        <w:top w:val="none" w:sz="0" w:space="0" w:color="auto"/>
        <w:left w:val="none" w:sz="0" w:space="0" w:color="auto"/>
        <w:bottom w:val="none" w:sz="0" w:space="0" w:color="auto"/>
        <w:right w:val="none" w:sz="0" w:space="0" w:color="auto"/>
      </w:divBdr>
    </w:div>
    <w:div w:id="58289405">
      <w:bodyDiv w:val="1"/>
      <w:marLeft w:val="0"/>
      <w:marRight w:val="0"/>
      <w:marTop w:val="0"/>
      <w:marBottom w:val="0"/>
      <w:divBdr>
        <w:top w:val="none" w:sz="0" w:space="0" w:color="auto"/>
        <w:left w:val="none" w:sz="0" w:space="0" w:color="auto"/>
        <w:bottom w:val="none" w:sz="0" w:space="0" w:color="auto"/>
        <w:right w:val="none" w:sz="0" w:space="0" w:color="auto"/>
      </w:divBdr>
    </w:div>
    <w:div w:id="164593589">
      <w:bodyDiv w:val="1"/>
      <w:marLeft w:val="0"/>
      <w:marRight w:val="0"/>
      <w:marTop w:val="0"/>
      <w:marBottom w:val="0"/>
      <w:divBdr>
        <w:top w:val="none" w:sz="0" w:space="0" w:color="auto"/>
        <w:left w:val="none" w:sz="0" w:space="0" w:color="auto"/>
        <w:bottom w:val="none" w:sz="0" w:space="0" w:color="auto"/>
        <w:right w:val="none" w:sz="0" w:space="0" w:color="auto"/>
      </w:divBdr>
    </w:div>
    <w:div w:id="333411638">
      <w:bodyDiv w:val="1"/>
      <w:marLeft w:val="0"/>
      <w:marRight w:val="0"/>
      <w:marTop w:val="0"/>
      <w:marBottom w:val="0"/>
      <w:divBdr>
        <w:top w:val="none" w:sz="0" w:space="0" w:color="auto"/>
        <w:left w:val="none" w:sz="0" w:space="0" w:color="auto"/>
        <w:bottom w:val="none" w:sz="0" w:space="0" w:color="auto"/>
        <w:right w:val="none" w:sz="0" w:space="0" w:color="auto"/>
      </w:divBdr>
    </w:div>
    <w:div w:id="365177997">
      <w:bodyDiv w:val="1"/>
      <w:marLeft w:val="0"/>
      <w:marRight w:val="0"/>
      <w:marTop w:val="0"/>
      <w:marBottom w:val="0"/>
      <w:divBdr>
        <w:top w:val="none" w:sz="0" w:space="0" w:color="auto"/>
        <w:left w:val="none" w:sz="0" w:space="0" w:color="auto"/>
        <w:bottom w:val="none" w:sz="0" w:space="0" w:color="auto"/>
        <w:right w:val="none" w:sz="0" w:space="0" w:color="auto"/>
      </w:divBdr>
    </w:div>
    <w:div w:id="394401033">
      <w:bodyDiv w:val="1"/>
      <w:marLeft w:val="0"/>
      <w:marRight w:val="0"/>
      <w:marTop w:val="0"/>
      <w:marBottom w:val="0"/>
      <w:divBdr>
        <w:top w:val="none" w:sz="0" w:space="0" w:color="auto"/>
        <w:left w:val="none" w:sz="0" w:space="0" w:color="auto"/>
        <w:bottom w:val="none" w:sz="0" w:space="0" w:color="auto"/>
        <w:right w:val="none" w:sz="0" w:space="0" w:color="auto"/>
      </w:divBdr>
    </w:div>
    <w:div w:id="412825934">
      <w:bodyDiv w:val="1"/>
      <w:marLeft w:val="0"/>
      <w:marRight w:val="0"/>
      <w:marTop w:val="0"/>
      <w:marBottom w:val="0"/>
      <w:divBdr>
        <w:top w:val="none" w:sz="0" w:space="0" w:color="auto"/>
        <w:left w:val="none" w:sz="0" w:space="0" w:color="auto"/>
        <w:bottom w:val="none" w:sz="0" w:space="0" w:color="auto"/>
        <w:right w:val="none" w:sz="0" w:space="0" w:color="auto"/>
      </w:divBdr>
    </w:div>
    <w:div w:id="444010172">
      <w:bodyDiv w:val="1"/>
      <w:marLeft w:val="0"/>
      <w:marRight w:val="0"/>
      <w:marTop w:val="0"/>
      <w:marBottom w:val="0"/>
      <w:divBdr>
        <w:top w:val="none" w:sz="0" w:space="0" w:color="auto"/>
        <w:left w:val="none" w:sz="0" w:space="0" w:color="auto"/>
        <w:bottom w:val="none" w:sz="0" w:space="0" w:color="auto"/>
        <w:right w:val="none" w:sz="0" w:space="0" w:color="auto"/>
      </w:divBdr>
    </w:div>
    <w:div w:id="473528770">
      <w:bodyDiv w:val="1"/>
      <w:marLeft w:val="0"/>
      <w:marRight w:val="0"/>
      <w:marTop w:val="0"/>
      <w:marBottom w:val="0"/>
      <w:divBdr>
        <w:top w:val="none" w:sz="0" w:space="0" w:color="auto"/>
        <w:left w:val="none" w:sz="0" w:space="0" w:color="auto"/>
        <w:bottom w:val="none" w:sz="0" w:space="0" w:color="auto"/>
        <w:right w:val="none" w:sz="0" w:space="0" w:color="auto"/>
      </w:divBdr>
    </w:div>
    <w:div w:id="488668296">
      <w:bodyDiv w:val="1"/>
      <w:marLeft w:val="0"/>
      <w:marRight w:val="0"/>
      <w:marTop w:val="0"/>
      <w:marBottom w:val="0"/>
      <w:divBdr>
        <w:top w:val="none" w:sz="0" w:space="0" w:color="auto"/>
        <w:left w:val="none" w:sz="0" w:space="0" w:color="auto"/>
        <w:bottom w:val="none" w:sz="0" w:space="0" w:color="auto"/>
        <w:right w:val="none" w:sz="0" w:space="0" w:color="auto"/>
      </w:divBdr>
    </w:div>
    <w:div w:id="567569065">
      <w:bodyDiv w:val="1"/>
      <w:marLeft w:val="0"/>
      <w:marRight w:val="0"/>
      <w:marTop w:val="0"/>
      <w:marBottom w:val="0"/>
      <w:divBdr>
        <w:top w:val="none" w:sz="0" w:space="0" w:color="auto"/>
        <w:left w:val="none" w:sz="0" w:space="0" w:color="auto"/>
        <w:bottom w:val="none" w:sz="0" w:space="0" w:color="auto"/>
        <w:right w:val="none" w:sz="0" w:space="0" w:color="auto"/>
      </w:divBdr>
    </w:div>
    <w:div w:id="575087533">
      <w:bodyDiv w:val="1"/>
      <w:marLeft w:val="0"/>
      <w:marRight w:val="0"/>
      <w:marTop w:val="0"/>
      <w:marBottom w:val="0"/>
      <w:divBdr>
        <w:top w:val="none" w:sz="0" w:space="0" w:color="auto"/>
        <w:left w:val="none" w:sz="0" w:space="0" w:color="auto"/>
        <w:bottom w:val="none" w:sz="0" w:space="0" w:color="auto"/>
        <w:right w:val="none" w:sz="0" w:space="0" w:color="auto"/>
      </w:divBdr>
      <w:divsChild>
        <w:div w:id="210963513">
          <w:marLeft w:val="0"/>
          <w:marRight w:val="0"/>
          <w:marTop w:val="0"/>
          <w:marBottom w:val="0"/>
          <w:divBdr>
            <w:top w:val="none" w:sz="0" w:space="0" w:color="auto"/>
            <w:left w:val="none" w:sz="0" w:space="0" w:color="auto"/>
            <w:bottom w:val="none" w:sz="0" w:space="0" w:color="auto"/>
            <w:right w:val="none" w:sz="0" w:space="0" w:color="auto"/>
          </w:divBdr>
        </w:div>
      </w:divsChild>
    </w:div>
    <w:div w:id="645092263">
      <w:bodyDiv w:val="1"/>
      <w:marLeft w:val="0"/>
      <w:marRight w:val="0"/>
      <w:marTop w:val="0"/>
      <w:marBottom w:val="0"/>
      <w:divBdr>
        <w:top w:val="none" w:sz="0" w:space="0" w:color="auto"/>
        <w:left w:val="none" w:sz="0" w:space="0" w:color="auto"/>
        <w:bottom w:val="none" w:sz="0" w:space="0" w:color="auto"/>
        <w:right w:val="none" w:sz="0" w:space="0" w:color="auto"/>
      </w:divBdr>
    </w:div>
    <w:div w:id="738016112">
      <w:bodyDiv w:val="1"/>
      <w:marLeft w:val="0"/>
      <w:marRight w:val="0"/>
      <w:marTop w:val="0"/>
      <w:marBottom w:val="0"/>
      <w:divBdr>
        <w:top w:val="none" w:sz="0" w:space="0" w:color="auto"/>
        <w:left w:val="none" w:sz="0" w:space="0" w:color="auto"/>
        <w:bottom w:val="none" w:sz="0" w:space="0" w:color="auto"/>
        <w:right w:val="none" w:sz="0" w:space="0" w:color="auto"/>
      </w:divBdr>
    </w:div>
    <w:div w:id="758448403">
      <w:bodyDiv w:val="1"/>
      <w:marLeft w:val="0"/>
      <w:marRight w:val="0"/>
      <w:marTop w:val="0"/>
      <w:marBottom w:val="0"/>
      <w:divBdr>
        <w:top w:val="none" w:sz="0" w:space="0" w:color="auto"/>
        <w:left w:val="none" w:sz="0" w:space="0" w:color="auto"/>
        <w:bottom w:val="none" w:sz="0" w:space="0" w:color="auto"/>
        <w:right w:val="none" w:sz="0" w:space="0" w:color="auto"/>
      </w:divBdr>
    </w:div>
    <w:div w:id="768237278">
      <w:bodyDiv w:val="1"/>
      <w:marLeft w:val="0"/>
      <w:marRight w:val="0"/>
      <w:marTop w:val="0"/>
      <w:marBottom w:val="0"/>
      <w:divBdr>
        <w:top w:val="none" w:sz="0" w:space="0" w:color="auto"/>
        <w:left w:val="none" w:sz="0" w:space="0" w:color="auto"/>
        <w:bottom w:val="none" w:sz="0" w:space="0" w:color="auto"/>
        <w:right w:val="none" w:sz="0" w:space="0" w:color="auto"/>
      </w:divBdr>
    </w:div>
    <w:div w:id="768769422">
      <w:bodyDiv w:val="1"/>
      <w:marLeft w:val="0"/>
      <w:marRight w:val="0"/>
      <w:marTop w:val="0"/>
      <w:marBottom w:val="0"/>
      <w:divBdr>
        <w:top w:val="none" w:sz="0" w:space="0" w:color="auto"/>
        <w:left w:val="none" w:sz="0" w:space="0" w:color="auto"/>
        <w:bottom w:val="none" w:sz="0" w:space="0" w:color="auto"/>
        <w:right w:val="none" w:sz="0" w:space="0" w:color="auto"/>
      </w:divBdr>
    </w:div>
    <w:div w:id="934676036">
      <w:bodyDiv w:val="1"/>
      <w:marLeft w:val="0"/>
      <w:marRight w:val="0"/>
      <w:marTop w:val="0"/>
      <w:marBottom w:val="0"/>
      <w:divBdr>
        <w:top w:val="none" w:sz="0" w:space="0" w:color="auto"/>
        <w:left w:val="none" w:sz="0" w:space="0" w:color="auto"/>
        <w:bottom w:val="none" w:sz="0" w:space="0" w:color="auto"/>
        <w:right w:val="none" w:sz="0" w:space="0" w:color="auto"/>
      </w:divBdr>
    </w:div>
    <w:div w:id="1023555333">
      <w:bodyDiv w:val="1"/>
      <w:marLeft w:val="0"/>
      <w:marRight w:val="0"/>
      <w:marTop w:val="0"/>
      <w:marBottom w:val="0"/>
      <w:divBdr>
        <w:top w:val="none" w:sz="0" w:space="0" w:color="auto"/>
        <w:left w:val="none" w:sz="0" w:space="0" w:color="auto"/>
        <w:bottom w:val="none" w:sz="0" w:space="0" w:color="auto"/>
        <w:right w:val="none" w:sz="0" w:space="0" w:color="auto"/>
      </w:divBdr>
    </w:div>
    <w:div w:id="1030305249">
      <w:bodyDiv w:val="1"/>
      <w:marLeft w:val="0"/>
      <w:marRight w:val="0"/>
      <w:marTop w:val="0"/>
      <w:marBottom w:val="0"/>
      <w:divBdr>
        <w:top w:val="none" w:sz="0" w:space="0" w:color="auto"/>
        <w:left w:val="none" w:sz="0" w:space="0" w:color="auto"/>
        <w:bottom w:val="none" w:sz="0" w:space="0" w:color="auto"/>
        <w:right w:val="none" w:sz="0" w:space="0" w:color="auto"/>
      </w:divBdr>
    </w:div>
    <w:div w:id="1041638711">
      <w:bodyDiv w:val="1"/>
      <w:marLeft w:val="0"/>
      <w:marRight w:val="0"/>
      <w:marTop w:val="0"/>
      <w:marBottom w:val="0"/>
      <w:divBdr>
        <w:top w:val="none" w:sz="0" w:space="0" w:color="auto"/>
        <w:left w:val="none" w:sz="0" w:space="0" w:color="auto"/>
        <w:bottom w:val="none" w:sz="0" w:space="0" w:color="auto"/>
        <w:right w:val="none" w:sz="0" w:space="0" w:color="auto"/>
      </w:divBdr>
    </w:div>
    <w:div w:id="1062019337">
      <w:bodyDiv w:val="1"/>
      <w:marLeft w:val="0"/>
      <w:marRight w:val="0"/>
      <w:marTop w:val="0"/>
      <w:marBottom w:val="0"/>
      <w:divBdr>
        <w:top w:val="none" w:sz="0" w:space="0" w:color="auto"/>
        <w:left w:val="none" w:sz="0" w:space="0" w:color="auto"/>
        <w:bottom w:val="none" w:sz="0" w:space="0" w:color="auto"/>
        <w:right w:val="none" w:sz="0" w:space="0" w:color="auto"/>
      </w:divBdr>
    </w:div>
    <w:div w:id="1167862788">
      <w:bodyDiv w:val="1"/>
      <w:marLeft w:val="0"/>
      <w:marRight w:val="0"/>
      <w:marTop w:val="0"/>
      <w:marBottom w:val="0"/>
      <w:divBdr>
        <w:top w:val="none" w:sz="0" w:space="0" w:color="auto"/>
        <w:left w:val="none" w:sz="0" w:space="0" w:color="auto"/>
        <w:bottom w:val="none" w:sz="0" w:space="0" w:color="auto"/>
        <w:right w:val="none" w:sz="0" w:space="0" w:color="auto"/>
      </w:divBdr>
    </w:div>
    <w:div w:id="1192260457">
      <w:bodyDiv w:val="1"/>
      <w:marLeft w:val="0"/>
      <w:marRight w:val="0"/>
      <w:marTop w:val="0"/>
      <w:marBottom w:val="0"/>
      <w:divBdr>
        <w:top w:val="none" w:sz="0" w:space="0" w:color="auto"/>
        <w:left w:val="none" w:sz="0" w:space="0" w:color="auto"/>
        <w:bottom w:val="none" w:sz="0" w:space="0" w:color="auto"/>
        <w:right w:val="none" w:sz="0" w:space="0" w:color="auto"/>
      </w:divBdr>
    </w:div>
    <w:div w:id="1374883413">
      <w:bodyDiv w:val="1"/>
      <w:marLeft w:val="0"/>
      <w:marRight w:val="0"/>
      <w:marTop w:val="0"/>
      <w:marBottom w:val="0"/>
      <w:divBdr>
        <w:top w:val="none" w:sz="0" w:space="0" w:color="auto"/>
        <w:left w:val="none" w:sz="0" w:space="0" w:color="auto"/>
        <w:bottom w:val="none" w:sz="0" w:space="0" w:color="auto"/>
        <w:right w:val="none" w:sz="0" w:space="0" w:color="auto"/>
      </w:divBdr>
    </w:div>
    <w:div w:id="1415930897">
      <w:bodyDiv w:val="1"/>
      <w:marLeft w:val="0"/>
      <w:marRight w:val="0"/>
      <w:marTop w:val="0"/>
      <w:marBottom w:val="0"/>
      <w:divBdr>
        <w:top w:val="none" w:sz="0" w:space="0" w:color="auto"/>
        <w:left w:val="none" w:sz="0" w:space="0" w:color="auto"/>
        <w:bottom w:val="none" w:sz="0" w:space="0" w:color="auto"/>
        <w:right w:val="none" w:sz="0" w:space="0" w:color="auto"/>
      </w:divBdr>
    </w:div>
    <w:div w:id="1580284879">
      <w:bodyDiv w:val="1"/>
      <w:marLeft w:val="0"/>
      <w:marRight w:val="0"/>
      <w:marTop w:val="0"/>
      <w:marBottom w:val="0"/>
      <w:divBdr>
        <w:top w:val="none" w:sz="0" w:space="0" w:color="auto"/>
        <w:left w:val="none" w:sz="0" w:space="0" w:color="auto"/>
        <w:bottom w:val="none" w:sz="0" w:space="0" w:color="auto"/>
        <w:right w:val="none" w:sz="0" w:space="0" w:color="auto"/>
      </w:divBdr>
    </w:div>
    <w:div w:id="1714966073">
      <w:bodyDiv w:val="1"/>
      <w:marLeft w:val="0"/>
      <w:marRight w:val="0"/>
      <w:marTop w:val="0"/>
      <w:marBottom w:val="0"/>
      <w:divBdr>
        <w:top w:val="none" w:sz="0" w:space="0" w:color="auto"/>
        <w:left w:val="none" w:sz="0" w:space="0" w:color="auto"/>
        <w:bottom w:val="none" w:sz="0" w:space="0" w:color="auto"/>
        <w:right w:val="none" w:sz="0" w:space="0" w:color="auto"/>
      </w:divBdr>
    </w:div>
    <w:div w:id="1725713296">
      <w:bodyDiv w:val="1"/>
      <w:marLeft w:val="0"/>
      <w:marRight w:val="0"/>
      <w:marTop w:val="0"/>
      <w:marBottom w:val="0"/>
      <w:divBdr>
        <w:top w:val="none" w:sz="0" w:space="0" w:color="auto"/>
        <w:left w:val="none" w:sz="0" w:space="0" w:color="auto"/>
        <w:bottom w:val="none" w:sz="0" w:space="0" w:color="auto"/>
        <w:right w:val="none" w:sz="0" w:space="0" w:color="auto"/>
      </w:divBdr>
    </w:div>
    <w:div w:id="1745569580">
      <w:bodyDiv w:val="1"/>
      <w:marLeft w:val="0"/>
      <w:marRight w:val="0"/>
      <w:marTop w:val="0"/>
      <w:marBottom w:val="0"/>
      <w:divBdr>
        <w:top w:val="none" w:sz="0" w:space="0" w:color="auto"/>
        <w:left w:val="none" w:sz="0" w:space="0" w:color="auto"/>
        <w:bottom w:val="none" w:sz="0" w:space="0" w:color="auto"/>
        <w:right w:val="none" w:sz="0" w:space="0" w:color="auto"/>
      </w:divBdr>
      <w:divsChild>
        <w:div w:id="621886227">
          <w:marLeft w:val="0"/>
          <w:marRight w:val="0"/>
          <w:marTop w:val="0"/>
          <w:marBottom w:val="0"/>
          <w:divBdr>
            <w:top w:val="none" w:sz="0" w:space="0" w:color="auto"/>
            <w:left w:val="none" w:sz="0" w:space="0" w:color="auto"/>
            <w:bottom w:val="none" w:sz="0" w:space="0" w:color="auto"/>
            <w:right w:val="none" w:sz="0" w:space="0" w:color="auto"/>
          </w:divBdr>
        </w:div>
      </w:divsChild>
    </w:div>
    <w:div w:id="1779056285">
      <w:bodyDiv w:val="1"/>
      <w:marLeft w:val="0"/>
      <w:marRight w:val="0"/>
      <w:marTop w:val="0"/>
      <w:marBottom w:val="0"/>
      <w:divBdr>
        <w:top w:val="none" w:sz="0" w:space="0" w:color="auto"/>
        <w:left w:val="none" w:sz="0" w:space="0" w:color="auto"/>
        <w:bottom w:val="none" w:sz="0" w:space="0" w:color="auto"/>
        <w:right w:val="none" w:sz="0" w:space="0" w:color="auto"/>
      </w:divBdr>
    </w:div>
    <w:div w:id="1781754525">
      <w:bodyDiv w:val="1"/>
      <w:marLeft w:val="0"/>
      <w:marRight w:val="0"/>
      <w:marTop w:val="0"/>
      <w:marBottom w:val="0"/>
      <w:divBdr>
        <w:top w:val="none" w:sz="0" w:space="0" w:color="auto"/>
        <w:left w:val="none" w:sz="0" w:space="0" w:color="auto"/>
        <w:bottom w:val="none" w:sz="0" w:space="0" w:color="auto"/>
        <w:right w:val="none" w:sz="0" w:space="0" w:color="auto"/>
      </w:divBdr>
      <w:divsChild>
        <w:div w:id="861819224">
          <w:marLeft w:val="0"/>
          <w:marRight w:val="0"/>
          <w:marTop w:val="0"/>
          <w:marBottom w:val="0"/>
          <w:divBdr>
            <w:top w:val="none" w:sz="0" w:space="0" w:color="auto"/>
            <w:left w:val="none" w:sz="0" w:space="0" w:color="auto"/>
            <w:bottom w:val="none" w:sz="0" w:space="0" w:color="auto"/>
            <w:right w:val="none" w:sz="0" w:space="0" w:color="auto"/>
          </w:divBdr>
        </w:div>
      </w:divsChild>
    </w:div>
    <w:div w:id="1809126697">
      <w:bodyDiv w:val="1"/>
      <w:marLeft w:val="0"/>
      <w:marRight w:val="0"/>
      <w:marTop w:val="0"/>
      <w:marBottom w:val="0"/>
      <w:divBdr>
        <w:top w:val="none" w:sz="0" w:space="0" w:color="auto"/>
        <w:left w:val="none" w:sz="0" w:space="0" w:color="auto"/>
        <w:bottom w:val="none" w:sz="0" w:space="0" w:color="auto"/>
        <w:right w:val="none" w:sz="0" w:space="0" w:color="auto"/>
      </w:divBdr>
    </w:div>
    <w:div w:id="1878547058">
      <w:bodyDiv w:val="1"/>
      <w:marLeft w:val="0"/>
      <w:marRight w:val="0"/>
      <w:marTop w:val="0"/>
      <w:marBottom w:val="0"/>
      <w:divBdr>
        <w:top w:val="none" w:sz="0" w:space="0" w:color="auto"/>
        <w:left w:val="none" w:sz="0" w:space="0" w:color="auto"/>
        <w:bottom w:val="none" w:sz="0" w:space="0" w:color="auto"/>
        <w:right w:val="none" w:sz="0" w:space="0" w:color="auto"/>
      </w:divBdr>
    </w:div>
    <w:div w:id="1912693339">
      <w:bodyDiv w:val="1"/>
      <w:marLeft w:val="0"/>
      <w:marRight w:val="0"/>
      <w:marTop w:val="0"/>
      <w:marBottom w:val="0"/>
      <w:divBdr>
        <w:top w:val="none" w:sz="0" w:space="0" w:color="auto"/>
        <w:left w:val="none" w:sz="0" w:space="0" w:color="auto"/>
        <w:bottom w:val="none" w:sz="0" w:space="0" w:color="auto"/>
        <w:right w:val="none" w:sz="0" w:space="0" w:color="auto"/>
      </w:divBdr>
    </w:div>
    <w:div w:id="1924870160">
      <w:bodyDiv w:val="1"/>
      <w:marLeft w:val="0"/>
      <w:marRight w:val="0"/>
      <w:marTop w:val="0"/>
      <w:marBottom w:val="0"/>
      <w:divBdr>
        <w:top w:val="none" w:sz="0" w:space="0" w:color="auto"/>
        <w:left w:val="none" w:sz="0" w:space="0" w:color="auto"/>
        <w:bottom w:val="none" w:sz="0" w:space="0" w:color="auto"/>
        <w:right w:val="none" w:sz="0" w:space="0" w:color="auto"/>
      </w:divBdr>
    </w:div>
    <w:div w:id="1943146425">
      <w:bodyDiv w:val="1"/>
      <w:marLeft w:val="0"/>
      <w:marRight w:val="0"/>
      <w:marTop w:val="0"/>
      <w:marBottom w:val="0"/>
      <w:divBdr>
        <w:top w:val="none" w:sz="0" w:space="0" w:color="auto"/>
        <w:left w:val="none" w:sz="0" w:space="0" w:color="auto"/>
        <w:bottom w:val="none" w:sz="0" w:space="0" w:color="auto"/>
        <w:right w:val="none" w:sz="0" w:space="0" w:color="auto"/>
      </w:divBdr>
    </w:div>
    <w:div w:id="1949654831">
      <w:bodyDiv w:val="1"/>
      <w:marLeft w:val="0"/>
      <w:marRight w:val="0"/>
      <w:marTop w:val="0"/>
      <w:marBottom w:val="0"/>
      <w:divBdr>
        <w:top w:val="none" w:sz="0" w:space="0" w:color="auto"/>
        <w:left w:val="none" w:sz="0" w:space="0" w:color="auto"/>
        <w:bottom w:val="none" w:sz="0" w:space="0" w:color="auto"/>
        <w:right w:val="none" w:sz="0" w:space="0" w:color="auto"/>
      </w:divBdr>
    </w:div>
    <w:div w:id="1950777298">
      <w:bodyDiv w:val="1"/>
      <w:marLeft w:val="0"/>
      <w:marRight w:val="0"/>
      <w:marTop w:val="0"/>
      <w:marBottom w:val="0"/>
      <w:divBdr>
        <w:top w:val="none" w:sz="0" w:space="0" w:color="auto"/>
        <w:left w:val="none" w:sz="0" w:space="0" w:color="auto"/>
        <w:bottom w:val="none" w:sz="0" w:space="0" w:color="auto"/>
        <w:right w:val="none" w:sz="0" w:space="0" w:color="auto"/>
      </w:divBdr>
    </w:div>
    <w:div w:id="1954242977">
      <w:bodyDiv w:val="1"/>
      <w:marLeft w:val="0"/>
      <w:marRight w:val="0"/>
      <w:marTop w:val="0"/>
      <w:marBottom w:val="0"/>
      <w:divBdr>
        <w:top w:val="none" w:sz="0" w:space="0" w:color="auto"/>
        <w:left w:val="none" w:sz="0" w:space="0" w:color="auto"/>
        <w:bottom w:val="none" w:sz="0" w:space="0" w:color="auto"/>
        <w:right w:val="none" w:sz="0" w:space="0" w:color="auto"/>
      </w:divBdr>
    </w:div>
    <w:div w:id="2078890554">
      <w:bodyDiv w:val="1"/>
      <w:marLeft w:val="0"/>
      <w:marRight w:val="0"/>
      <w:marTop w:val="0"/>
      <w:marBottom w:val="0"/>
      <w:divBdr>
        <w:top w:val="none" w:sz="0" w:space="0" w:color="auto"/>
        <w:left w:val="none" w:sz="0" w:space="0" w:color="auto"/>
        <w:bottom w:val="none" w:sz="0" w:space="0" w:color="auto"/>
        <w:right w:val="none" w:sz="0" w:space="0" w:color="auto"/>
      </w:divBdr>
    </w:div>
    <w:div w:id="2092458665">
      <w:bodyDiv w:val="1"/>
      <w:marLeft w:val="0"/>
      <w:marRight w:val="0"/>
      <w:marTop w:val="0"/>
      <w:marBottom w:val="0"/>
      <w:divBdr>
        <w:top w:val="none" w:sz="0" w:space="0" w:color="auto"/>
        <w:left w:val="none" w:sz="0" w:space="0" w:color="auto"/>
        <w:bottom w:val="none" w:sz="0" w:space="0" w:color="auto"/>
        <w:right w:val="none" w:sz="0" w:space="0" w:color="auto"/>
      </w:divBdr>
    </w:div>
    <w:div w:id="2117286972">
      <w:bodyDiv w:val="1"/>
      <w:marLeft w:val="0"/>
      <w:marRight w:val="0"/>
      <w:marTop w:val="0"/>
      <w:marBottom w:val="0"/>
      <w:divBdr>
        <w:top w:val="none" w:sz="0" w:space="0" w:color="auto"/>
        <w:left w:val="none" w:sz="0" w:space="0" w:color="auto"/>
        <w:bottom w:val="none" w:sz="0" w:space="0" w:color="auto"/>
        <w:right w:val="none" w:sz="0" w:space="0" w:color="auto"/>
      </w:divBdr>
      <w:divsChild>
        <w:div w:id="1833831057">
          <w:marLeft w:val="0"/>
          <w:marRight w:val="0"/>
          <w:marTop w:val="0"/>
          <w:marBottom w:val="0"/>
          <w:divBdr>
            <w:top w:val="none" w:sz="0" w:space="0" w:color="auto"/>
            <w:left w:val="none" w:sz="0" w:space="0" w:color="auto"/>
            <w:bottom w:val="none" w:sz="0" w:space="0" w:color="auto"/>
            <w:right w:val="none" w:sz="0" w:space="0" w:color="auto"/>
          </w:divBdr>
        </w:div>
      </w:divsChild>
    </w:div>
    <w:div w:id="212677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producesafetyproject.org"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verywellhealth.com/nausea-after-eating-8362669" TargetMode="External"/><Relationship Id="rId12" Type="http://schemas.openxmlformats.org/officeDocument/2006/relationships/hyperlink" Target="http://dx.doi.org/10.1097/MPG.0000000000000375" TargetMode="External"/><Relationship Id="rId17" Type="http://schemas.openxmlformats.org/officeDocument/2006/relationships/hyperlink" Target="https://doi.org/10.9734/jpri/2019/v30i530277"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x.doi.org/10.1164/rccm.200311-1578OC"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10.1136/bmj.39036.406169.8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msjonline.org/index.php/ijrms/article/view/2933" TargetMode="External"/><Relationship Id="rId23" Type="http://schemas.openxmlformats.org/officeDocument/2006/relationships/footer" Target="footer3.xml"/><Relationship Id="rId10" Type="http://schemas.openxmlformats.org/officeDocument/2006/relationships/chart" Target="charts/chart3.xm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yperlink" Target="https://iris.who.int/handle/10665/60519" TargetMode="Externa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[Book1]Sheet3!PivotTable18</c:name>
    <c:fmtId val="-1"/>
  </c:pivotSource>
  <c:chart>
    <c:autoTitleDeleted val="1"/>
    <c:pivotFmts>
      <c:pivotFmt>
        <c:idx val="0"/>
        <c:spPr>
          <a:solidFill>
            <a:schemeClr val="accent6"/>
          </a:solidFill>
          <a:ln w="19050">
            <a:solidFill>
              <a:schemeClr val="lt1"/>
            </a:solidFill>
          </a:ln>
          <a:effectLst>
            <a:outerShdw blurRad="254000" sx="102000" sy="102000" algn="ctr" rotWithShape="0">
              <a:prstClr val="black">
                <a:alpha val="20000"/>
              </a:prstClr>
            </a:outerShdw>
          </a:effectLst>
        </c:spPr>
        <c:marker>
          <c:symbol val="circle"/>
          <c:size val="6"/>
        </c:marker>
        <c:dLbl>
          <c:idx val="0"/>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1"/>
        <c:spPr>
          <a:solidFill>
            <a:schemeClr val="accent6"/>
          </a:solidFill>
          <a:ln w="19050">
            <a:solidFill>
              <a:schemeClr val="lt1"/>
            </a:solidFill>
          </a:ln>
          <a:effectLst>
            <a:outerShdw blurRad="254000" sx="102000" sy="102000" algn="ctr" rotWithShape="0">
              <a:prstClr val="black">
                <a:alpha val="20000"/>
              </a:prstClr>
            </a:outerShdw>
          </a:effectLst>
        </c:spPr>
        <c:marker>
          <c:symbol val="none"/>
        </c:marker>
        <c:dLbl>
          <c:idx val="0"/>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2"/>
        <c:spPr>
          <a:solidFill>
            <a:schemeClr val="accent6"/>
          </a:solidFill>
          <a:ln w="19050">
            <a:solidFill>
              <a:schemeClr val="lt1"/>
            </a:solidFill>
          </a:ln>
          <a:effectLst>
            <a:outerShdw blurRad="254000" sx="102000" sy="102000" algn="ctr" rotWithShape="0">
              <a:prstClr val="black">
                <a:alpha val="20000"/>
              </a:prstClr>
            </a:outerShdw>
          </a:effectLst>
        </c:spPr>
      </c:pivotFmt>
      <c:pivotFmt>
        <c:idx val="3"/>
        <c:spPr>
          <a:solidFill>
            <a:schemeClr val="accent6"/>
          </a:solidFill>
          <a:ln w="19050">
            <a:solidFill>
              <a:schemeClr val="lt1"/>
            </a:solidFill>
          </a:ln>
          <a:effectLst>
            <a:outerShdw blurRad="254000" sx="102000" sy="102000" algn="ctr" rotWithShape="0">
              <a:prstClr val="black">
                <a:alpha val="20000"/>
              </a:prstClr>
            </a:outerShdw>
          </a:effectLst>
        </c:spPr>
      </c:pivotFmt>
      <c:pivotFmt>
        <c:idx val="4"/>
        <c:spPr>
          <a:solidFill>
            <a:schemeClr val="accent6"/>
          </a:solidFill>
          <a:ln w="19050">
            <a:solidFill>
              <a:schemeClr val="lt1"/>
            </a:solidFill>
          </a:ln>
          <a:effectLst>
            <a:outerShdw blurRad="254000" sx="102000" sy="102000" algn="ctr" rotWithShape="0">
              <a:prstClr val="black">
                <a:alpha val="20000"/>
              </a:prstClr>
            </a:outerShdw>
          </a:effectLst>
        </c:spPr>
        <c:marker>
          <c:symbol val="none"/>
        </c:marker>
        <c:dLbl>
          <c:idx val="0"/>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5"/>
        <c:spPr>
          <a:solidFill>
            <a:schemeClr val="accent6"/>
          </a:solidFill>
          <a:ln w="19050">
            <a:solidFill>
              <a:schemeClr val="lt1"/>
            </a:solidFill>
          </a:ln>
          <a:effectLst>
            <a:outerShdw blurRad="254000" sx="102000" sy="102000" algn="ctr" rotWithShape="0">
              <a:prstClr val="black">
                <a:alpha val="20000"/>
              </a:prstClr>
            </a:outerShdw>
          </a:effectLst>
        </c:spPr>
      </c:pivotFmt>
      <c:pivotFmt>
        <c:idx val="6"/>
        <c:spPr>
          <a:solidFill>
            <a:schemeClr val="accent6"/>
          </a:solidFill>
          <a:ln w="19050">
            <a:solidFill>
              <a:schemeClr val="lt1"/>
            </a:solidFill>
          </a:ln>
          <a:effectLst>
            <a:outerShdw blurRad="254000" sx="102000" sy="102000" algn="ctr" rotWithShape="0">
              <a:prstClr val="black">
                <a:alpha val="20000"/>
              </a:prstClr>
            </a:outerShdw>
          </a:effectLst>
        </c:spPr>
      </c:pivotFmt>
    </c:pivotFmts>
    <c:plotArea>
      <c:layout/>
      <c:pieChart>
        <c:varyColors val="1"/>
        <c:ser>
          <c:idx val="0"/>
          <c:order val="0"/>
          <c:tx>
            <c:strRef>
              <c:f>Sheet3!$B$3</c:f>
              <c:strCache>
                <c:ptCount val="1"/>
                <c:pt idx="0">
                  <c:v>Total</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672D-4A35-B253-C6EA25CFF40A}"/>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672D-4A35-B253-C6EA25CFF40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Sheet3!$A$4:$A$5</c:f>
              <c:strCache>
                <c:ptCount val="2"/>
                <c:pt idx="0">
                  <c:v>Female</c:v>
                </c:pt>
                <c:pt idx="1">
                  <c:v>Male</c:v>
                </c:pt>
              </c:strCache>
            </c:strRef>
          </c:cat>
          <c:val>
            <c:numRef>
              <c:f>Sheet3!$B$4:$B$5</c:f>
              <c:numCache>
                <c:formatCode>General</c:formatCode>
                <c:ptCount val="2"/>
                <c:pt idx="0">
                  <c:v>41</c:v>
                </c:pt>
                <c:pt idx="1">
                  <c:v>59</c:v>
                </c:pt>
              </c:numCache>
            </c:numRef>
          </c:val>
          <c:extLst>
            <c:ext xmlns:c16="http://schemas.microsoft.com/office/drawing/2014/chart" uri="{C3380CC4-5D6E-409C-BE32-E72D297353CC}">
              <c16:uniqueId val="{00000004-672D-4A35-B253-C6EA25CFF40A}"/>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77348162729658787"/>
          <c:y val="0.42187445319335082"/>
          <c:w val="0.12776761012981486"/>
          <c:h val="0.1562510936132983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col"/>
        <c:grouping val="clustered"/>
        <c:varyColors val="0"/>
        <c:ser>
          <c:idx val="0"/>
          <c:order val="0"/>
          <c:tx>
            <c:strRef>
              <c:f>Sheet1!$B$1</c:f>
              <c:strCache>
                <c:ptCount val="1"/>
                <c:pt idx="0">
                  <c:v>NO. OF PATIENTS</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Sheet1!$A$2:$A$15</c:f>
              <c:strCache>
                <c:ptCount val="14"/>
                <c:pt idx="0">
                  <c:v>IV FLUIDS</c:v>
                </c:pt>
                <c:pt idx="1">
                  <c:v>ANTIEMETICS</c:v>
                </c:pt>
                <c:pt idx="2">
                  <c:v>ANTIULCERANTS</c:v>
                </c:pt>
                <c:pt idx="3">
                  <c:v>ANTIBIOTICS</c:v>
                </c:pt>
                <c:pt idx="4">
                  <c:v>PROBIOTICS</c:v>
                </c:pt>
                <c:pt idx="5">
                  <c:v>ZINC</c:v>
                </c:pt>
                <c:pt idx="6">
                  <c:v>ORS THERAPY</c:v>
                </c:pt>
                <c:pt idx="7">
                  <c:v>ANTIPYRETICS</c:v>
                </c:pt>
                <c:pt idx="8">
                  <c:v>ANTIHISTAMINES</c:v>
                </c:pt>
                <c:pt idx="9">
                  <c:v>SUPPLEMENTS</c:v>
                </c:pt>
                <c:pt idx="10">
                  <c:v>NEBULIZERS</c:v>
                </c:pt>
                <c:pt idx="11">
                  <c:v>ANTHELMINTIC</c:v>
                </c:pt>
                <c:pt idx="12">
                  <c:v>ANTIDIARRHEAL</c:v>
                </c:pt>
                <c:pt idx="13">
                  <c:v>NASAL DROPS</c:v>
                </c:pt>
              </c:strCache>
            </c:strRef>
          </c:cat>
          <c:val>
            <c:numRef>
              <c:f>Sheet1!$B$2:$B$15</c:f>
              <c:numCache>
                <c:formatCode>General</c:formatCode>
                <c:ptCount val="14"/>
                <c:pt idx="0">
                  <c:v>97</c:v>
                </c:pt>
                <c:pt idx="1">
                  <c:v>87</c:v>
                </c:pt>
                <c:pt idx="2">
                  <c:v>87</c:v>
                </c:pt>
                <c:pt idx="3">
                  <c:v>63</c:v>
                </c:pt>
                <c:pt idx="4">
                  <c:v>67</c:v>
                </c:pt>
                <c:pt idx="5">
                  <c:v>71</c:v>
                </c:pt>
                <c:pt idx="6">
                  <c:v>84</c:v>
                </c:pt>
                <c:pt idx="7">
                  <c:v>79</c:v>
                </c:pt>
                <c:pt idx="8">
                  <c:v>47</c:v>
                </c:pt>
                <c:pt idx="9">
                  <c:v>11</c:v>
                </c:pt>
                <c:pt idx="10">
                  <c:v>12</c:v>
                </c:pt>
                <c:pt idx="11">
                  <c:v>5</c:v>
                </c:pt>
                <c:pt idx="12">
                  <c:v>4</c:v>
                </c:pt>
                <c:pt idx="13">
                  <c:v>2</c:v>
                </c:pt>
              </c:numCache>
            </c:numRef>
          </c:val>
          <c:extLst>
            <c:ext xmlns:c16="http://schemas.microsoft.com/office/drawing/2014/chart" uri="{C3380CC4-5D6E-409C-BE32-E72D297353CC}">
              <c16:uniqueId val="{00000000-4E68-4AE8-98FD-F049192EA62E}"/>
            </c:ext>
          </c:extLst>
        </c:ser>
        <c:dLbls>
          <c:dLblPos val="outEnd"/>
          <c:showLegendKey val="0"/>
          <c:showVal val="1"/>
          <c:showCatName val="0"/>
          <c:showSerName val="0"/>
          <c:showPercent val="0"/>
          <c:showBubbleSize val="0"/>
        </c:dLbls>
        <c:gapWidth val="100"/>
        <c:overlap val="-24"/>
        <c:axId val="37183728"/>
        <c:axId val="37184688"/>
      </c:barChart>
      <c:catAx>
        <c:axId val="3718372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184688"/>
        <c:crosses val="autoZero"/>
        <c:auto val="1"/>
        <c:lblAlgn val="ctr"/>
        <c:lblOffset val="100"/>
        <c:noMultiLvlLbl val="0"/>
      </c:catAx>
      <c:valAx>
        <c:axId val="371846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NO. OF PATIENTS</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1837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Sheet1!$B$8</c:f>
              <c:strCache>
                <c:ptCount val="1"/>
                <c:pt idx="0">
                  <c:v>NO. OF PATIENTS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628-47CC-80AA-C211786E6F7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628-47CC-80AA-C211786E6F7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628-47CC-80AA-C211786E6F7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628-47CC-80AA-C211786E6F7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628-47CC-80AA-C211786E6F7C}"/>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7628-47CC-80AA-C211786E6F7C}"/>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7628-47CC-80AA-C211786E6F7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Sheet1!$A$9:$A$15</c:f>
              <c:strCache>
                <c:ptCount val="6"/>
                <c:pt idx="0">
                  <c:v>CURED</c:v>
                </c:pt>
                <c:pt idx="1">
                  <c:v>RELIEVED</c:v>
                </c:pt>
                <c:pt idx="5">
                  <c:v>OTHERS</c:v>
                </c:pt>
              </c:strCache>
            </c:strRef>
          </c:cat>
          <c:val>
            <c:numRef>
              <c:f>Sheet1!$B$9:$B$15</c:f>
              <c:numCache>
                <c:formatCode>General</c:formatCode>
                <c:ptCount val="7"/>
                <c:pt idx="0">
                  <c:v>30</c:v>
                </c:pt>
                <c:pt idx="1">
                  <c:v>62</c:v>
                </c:pt>
                <c:pt idx="5">
                  <c:v>8</c:v>
                </c:pt>
              </c:numCache>
            </c:numRef>
          </c:val>
          <c:extLst>
            <c:ext xmlns:c16="http://schemas.microsoft.com/office/drawing/2014/chart" uri="{C3380CC4-5D6E-409C-BE32-E72D297353CC}">
              <c16:uniqueId val="{0000000E-7628-47CC-80AA-C211786E6F7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egendEntry>
        <c:idx val="2"/>
        <c:delete val="1"/>
      </c:legendEntry>
      <c:legendEntry>
        <c:idx val="3"/>
        <c:delete val="1"/>
      </c:legendEntry>
      <c:legendEntry>
        <c:idx val="4"/>
        <c:delete val="1"/>
      </c:legendEntry>
      <c:legendEntry>
        <c:idx val="6"/>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9">
  <a:schemeClr val="accent6"/>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11</Pages>
  <Words>2574</Words>
  <Characters>14675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Gokul Gnanavelu</dc:creator>
  <cp:keywords/>
  <dc:description/>
  <cp:lastModifiedBy>Gokul Gnanavelu</cp:lastModifiedBy>
  <cp:revision>17</cp:revision>
  <dcterms:created xsi:type="dcterms:W3CDTF">2025-05-27T13:22:00Z</dcterms:created>
  <dcterms:modified xsi:type="dcterms:W3CDTF">2025-05-27T13:35:00Z</dcterms:modified>
</cp:coreProperties>
</file>