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7014" w14:textId="77777777" w:rsidR="00731362" w:rsidRDefault="00731362" w:rsidP="00DA10E4">
      <w:pPr>
        <w:shd w:val="clear" w:color="auto" w:fill="FFFFFF"/>
        <w:spacing w:after="0" w:line="240" w:lineRule="auto"/>
        <w:jc w:val="center"/>
        <w:rPr>
          <w:rFonts w:ascii="Times New Roman" w:eastAsia="Times New Roman" w:hAnsi="Times New Roman" w:cs="Times New Roman"/>
          <w:b/>
          <w:bCs/>
          <w:color w:val="000000"/>
        </w:rPr>
      </w:pPr>
    </w:p>
    <w:p w14:paraId="6F05EEBE" w14:textId="3D785AB4" w:rsidR="009171F6" w:rsidRPr="00566911" w:rsidRDefault="009171F6" w:rsidP="009171F6">
      <w:pPr>
        <w:shd w:val="clear" w:color="auto" w:fill="FFFFFF"/>
        <w:spacing w:after="0" w:line="240" w:lineRule="auto"/>
        <w:jc w:val="both"/>
        <w:rPr>
          <w:rFonts w:ascii="Times New Roman" w:eastAsia="Times New Roman" w:hAnsi="Times New Roman" w:cs="Times New Roman"/>
          <w:b/>
          <w:bCs/>
          <w:color w:val="000000"/>
        </w:rPr>
      </w:pPr>
      <w:r w:rsidRPr="00566911">
        <w:rPr>
          <w:rFonts w:ascii="Times New Roman" w:eastAsia="Times New Roman" w:hAnsi="Times New Roman" w:cs="Times New Roman"/>
          <w:b/>
          <w:bCs/>
          <w:noProof/>
          <w:sz w:val="20"/>
          <w:szCs w:val="20"/>
        </w:rPr>
        <w:t>Original Research Article</w:t>
      </w:r>
    </w:p>
    <w:p w14:paraId="505160BF" w14:textId="77777777" w:rsidR="009171F6" w:rsidRDefault="009171F6" w:rsidP="007247F0">
      <w:pPr>
        <w:shd w:val="clear" w:color="auto" w:fill="FFFFFF"/>
        <w:spacing w:after="0" w:line="240" w:lineRule="auto"/>
        <w:jc w:val="center"/>
        <w:rPr>
          <w:rFonts w:ascii="Times New Roman" w:eastAsia="Times New Roman" w:hAnsi="Times New Roman" w:cs="Times New Roman"/>
          <w:b/>
          <w:bCs/>
          <w:color w:val="000000"/>
        </w:rPr>
      </w:pPr>
    </w:p>
    <w:p w14:paraId="1DD12BC5" w14:textId="62EA4476" w:rsidR="00CD01F2" w:rsidRDefault="00CD01F2" w:rsidP="007247F0">
      <w:pPr>
        <w:shd w:val="clear" w:color="auto" w:fill="FFFFFF"/>
        <w:spacing w:after="0" w:line="240" w:lineRule="auto"/>
        <w:jc w:val="center"/>
        <w:rPr>
          <w:rFonts w:ascii="Times New Roman" w:eastAsia="Times New Roman" w:hAnsi="Times New Roman" w:cs="Times New Roman"/>
          <w:b/>
          <w:bCs/>
          <w:color w:val="000000"/>
        </w:rPr>
      </w:pPr>
      <w:r w:rsidRPr="00DA10E4">
        <w:rPr>
          <w:rFonts w:ascii="Times New Roman" w:eastAsia="Times New Roman" w:hAnsi="Times New Roman" w:cs="Times New Roman"/>
          <w:b/>
          <w:bCs/>
          <w:color w:val="000000"/>
        </w:rPr>
        <w:t xml:space="preserve">Comparison Between the Effectiveness of Intravenous Infusion and Oral Iron Treatment of Postpartum Iron Deficiency </w:t>
      </w:r>
      <w:r w:rsidR="00742EDE" w:rsidRPr="00DA10E4">
        <w:rPr>
          <w:rFonts w:ascii="Times New Roman" w:eastAsia="Times New Roman" w:hAnsi="Times New Roman" w:cs="Times New Roman"/>
          <w:b/>
          <w:bCs/>
          <w:color w:val="000000"/>
        </w:rPr>
        <w:t>Anemia</w:t>
      </w:r>
    </w:p>
    <w:p w14:paraId="5934BE3B" w14:textId="77777777" w:rsidR="00CF372C" w:rsidRPr="00DA10E4" w:rsidRDefault="00CF372C" w:rsidP="007247F0">
      <w:pPr>
        <w:shd w:val="clear" w:color="auto" w:fill="FFFFFF"/>
        <w:spacing w:after="0" w:line="240" w:lineRule="auto"/>
        <w:jc w:val="center"/>
        <w:rPr>
          <w:rFonts w:ascii="Times New Roman" w:eastAsia="Times New Roman" w:hAnsi="Times New Roman" w:cs="Times New Roman"/>
          <w:b/>
          <w:bCs/>
          <w:color w:val="000000"/>
        </w:rPr>
      </w:pPr>
    </w:p>
    <w:p w14:paraId="1B6F173E" w14:textId="77777777" w:rsidR="009171F6" w:rsidRDefault="009171F6" w:rsidP="00DA10E4">
      <w:pPr>
        <w:shd w:val="clear" w:color="auto" w:fill="FFFFFF"/>
        <w:spacing w:after="0" w:line="240" w:lineRule="auto"/>
        <w:rPr>
          <w:rFonts w:ascii="Times New Roman" w:eastAsia="Times New Roman" w:hAnsi="Times New Roman" w:cs="Times New Roman"/>
          <w:b/>
          <w:bCs/>
          <w:color w:val="000000"/>
        </w:rPr>
      </w:pPr>
    </w:p>
    <w:p w14:paraId="5F6B0F37" w14:textId="17D68312" w:rsidR="00870608" w:rsidRPr="00DA10E4" w:rsidRDefault="00CD01F2" w:rsidP="00DA10E4">
      <w:pPr>
        <w:shd w:val="clear" w:color="auto" w:fill="FFFFFF"/>
        <w:spacing w:after="0" w:line="240" w:lineRule="auto"/>
        <w:rPr>
          <w:rFonts w:ascii="Times New Roman" w:eastAsia="Times New Roman" w:hAnsi="Times New Roman" w:cs="Times New Roman"/>
          <w:b/>
          <w:bCs/>
          <w:color w:val="000000"/>
        </w:rPr>
      </w:pPr>
      <w:r w:rsidRPr="00DA10E4">
        <w:rPr>
          <w:rFonts w:ascii="Times New Roman" w:eastAsia="Times New Roman" w:hAnsi="Times New Roman" w:cs="Times New Roman"/>
          <w:b/>
          <w:bCs/>
          <w:color w:val="000000"/>
        </w:rPr>
        <w:t>Abstract</w:t>
      </w:r>
    </w:p>
    <w:p w14:paraId="74CA1080" w14:textId="3FAE8051" w:rsidR="000A41C0" w:rsidRDefault="00CD01F2" w:rsidP="009976F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b/>
          <w:bCs/>
        </w:rPr>
        <w:t>Background:</w:t>
      </w:r>
      <w:r w:rsidR="00870608" w:rsidRPr="00DA10E4">
        <w:rPr>
          <w:rFonts w:ascii="Times New Roman" w:hAnsi="Times New Roman" w:cs="Times New Roman"/>
        </w:rPr>
        <w:t xml:space="preserve"> </w:t>
      </w:r>
      <w:r w:rsidR="0004760E" w:rsidRPr="0004760E">
        <w:rPr>
          <w:rFonts w:ascii="Times New Roman" w:hAnsi="Times New Roman" w:cs="Times New Roman"/>
        </w:rPr>
        <w:t xml:space="preserve">Postpartum iron deficiency anemia remains a significant public health concern globally, </w:t>
      </w:r>
      <w:r w:rsidR="00F30201" w:rsidRPr="0004760E">
        <w:rPr>
          <w:rFonts w:ascii="Times New Roman" w:hAnsi="Times New Roman" w:cs="Times New Roman"/>
        </w:rPr>
        <w:t>specifically</w:t>
      </w:r>
      <w:r w:rsidR="0004760E" w:rsidRPr="0004760E">
        <w:rPr>
          <w:rFonts w:ascii="Times New Roman" w:hAnsi="Times New Roman" w:cs="Times New Roman"/>
        </w:rPr>
        <w:t xml:space="preserve"> </w:t>
      </w:r>
      <w:r w:rsidR="00F30201" w:rsidRPr="0004760E">
        <w:rPr>
          <w:rFonts w:ascii="Times New Roman" w:hAnsi="Times New Roman" w:cs="Times New Roman"/>
        </w:rPr>
        <w:t>concerning</w:t>
      </w:r>
      <w:r w:rsidR="0004760E" w:rsidRPr="0004760E">
        <w:rPr>
          <w:rFonts w:ascii="Times New Roman" w:hAnsi="Times New Roman" w:cs="Times New Roman"/>
        </w:rPr>
        <w:t xml:space="preserve"> women in low-and middle-income countries. In South Asia, </w:t>
      </w:r>
      <w:r w:rsidR="00F30201" w:rsidRPr="0004760E">
        <w:rPr>
          <w:rFonts w:ascii="Times New Roman" w:hAnsi="Times New Roman" w:cs="Times New Roman"/>
        </w:rPr>
        <w:t>involving</w:t>
      </w:r>
      <w:r w:rsidR="0004760E" w:rsidRPr="0004760E">
        <w:rPr>
          <w:rFonts w:ascii="Times New Roman" w:hAnsi="Times New Roman" w:cs="Times New Roman"/>
        </w:rPr>
        <w:t xml:space="preserve"> Bangladesh and India, the prevalence is </w:t>
      </w:r>
      <w:r w:rsidR="00F30201" w:rsidRPr="0004760E">
        <w:rPr>
          <w:rFonts w:ascii="Times New Roman" w:hAnsi="Times New Roman" w:cs="Times New Roman"/>
        </w:rPr>
        <w:t>frighteningly</w:t>
      </w:r>
      <w:r w:rsidR="0004760E" w:rsidRPr="0004760E">
        <w:rPr>
          <w:rFonts w:ascii="Times New Roman" w:hAnsi="Times New Roman" w:cs="Times New Roman"/>
        </w:rPr>
        <w:t xml:space="preserve"> </w:t>
      </w:r>
      <w:r w:rsidR="00F30201" w:rsidRPr="0004760E">
        <w:rPr>
          <w:rFonts w:ascii="Times New Roman" w:hAnsi="Times New Roman" w:cs="Times New Roman"/>
        </w:rPr>
        <w:t>extreme</w:t>
      </w:r>
      <w:r w:rsidR="0004760E" w:rsidRPr="0004760E">
        <w:rPr>
          <w:rFonts w:ascii="Times New Roman" w:hAnsi="Times New Roman" w:cs="Times New Roman"/>
        </w:rPr>
        <w:t xml:space="preserve"> due to factors such as poor nutritional status, frequent pregnancies, and </w:t>
      </w:r>
      <w:r w:rsidR="00F30201" w:rsidRPr="0004760E">
        <w:rPr>
          <w:rFonts w:ascii="Times New Roman" w:hAnsi="Times New Roman" w:cs="Times New Roman"/>
        </w:rPr>
        <w:t>inadequate</w:t>
      </w:r>
      <w:r w:rsidR="0004760E" w:rsidRPr="0004760E">
        <w:rPr>
          <w:rFonts w:ascii="Times New Roman" w:hAnsi="Times New Roman" w:cs="Times New Roman"/>
        </w:rPr>
        <w:t xml:space="preserve"> access to quality postpartum care.</w:t>
      </w:r>
      <w:r w:rsidRPr="00DA10E4">
        <w:rPr>
          <w:rFonts w:ascii="Times New Roman" w:hAnsi="Times New Roman" w:cs="Times New Roman"/>
        </w:rPr>
        <w:t xml:space="preserve"> </w:t>
      </w:r>
      <w:r w:rsidRPr="00DA10E4">
        <w:rPr>
          <w:rFonts w:ascii="Times New Roman" w:hAnsi="Times New Roman" w:cs="Times New Roman"/>
          <w:b/>
          <w:bCs/>
        </w:rPr>
        <w:t>Aim:</w:t>
      </w:r>
      <w:r w:rsidR="00870608" w:rsidRPr="00DA10E4">
        <w:t xml:space="preserve"> </w:t>
      </w:r>
      <w:r w:rsidR="00870608" w:rsidRPr="00DA10E4">
        <w:rPr>
          <w:rFonts w:ascii="Times New Roman" w:hAnsi="Times New Roman" w:cs="Times New Roman"/>
        </w:rPr>
        <w:t xml:space="preserve">To find out the association between the effectiveness of intravenous infusion and oral iron therapy in the treatment of postpartum iron deficiency </w:t>
      </w:r>
      <w:r w:rsidR="00742EDE" w:rsidRPr="00DA10E4">
        <w:rPr>
          <w:rFonts w:ascii="Times New Roman" w:hAnsi="Times New Roman" w:cs="Times New Roman"/>
        </w:rPr>
        <w:t>anemia</w:t>
      </w:r>
      <w:r w:rsidR="00870608" w:rsidRPr="00DA10E4">
        <w:rPr>
          <w:rFonts w:ascii="Times New Roman" w:hAnsi="Times New Roman" w:cs="Times New Roman"/>
        </w:rPr>
        <w:t>.</w:t>
      </w:r>
      <w:r w:rsidRPr="00DA10E4">
        <w:rPr>
          <w:rFonts w:ascii="Times New Roman" w:hAnsi="Times New Roman" w:cs="Times New Roman"/>
        </w:rPr>
        <w:t xml:space="preserve"> </w:t>
      </w:r>
      <w:r w:rsidRPr="00DA10E4">
        <w:rPr>
          <w:rFonts w:ascii="Times New Roman" w:hAnsi="Times New Roman" w:cs="Times New Roman"/>
          <w:b/>
          <w:bCs/>
        </w:rPr>
        <w:t>Methods:</w:t>
      </w:r>
      <w:r w:rsidRPr="00DA10E4">
        <w:rPr>
          <w:rFonts w:ascii="Times New Roman" w:hAnsi="Times New Roman" w:cs="Times New Roman"/>
        </w:rPr>
        <w:t xml:space="preserve"> </w:t>
      </w:r>
      <w:r w:rsidR="00320487" w:rsidRPr="00320487">
        <w:rPr>
          <w:rFonts w:ascii="Times New Roman" w:hAnsi="Times New Roman" w:cs="Times New Roman"/>
        </w:rPr>
        <w:t xml:space="preserve">Methodology: A randomized controlled trial was conducted at the Department of Obstetrics and Gynecology, BMU, Dhaka, from July 2023 to June 2024, among 92 postpartum women with iron deficiency anemia (Hb 7-9.9 g/dL, serum ferritin &lt;30 µg/L). Participants were randomly allocated into two equal groups using a simple lottery method. Group I (n=46) received intravenous ferric </w:t>
      </w:r>
      <w:proofErr w:type="spellStart"/>
      <w:r w:rsidR="00320487" w:rsidRPr="00320487">
        <w:rPr>
          <w:rFonts w:ascii="Times New Roman" w:hAnsi="Times New Roman" w:cs="Times New Roman"/>
        </w:rPr>
        <w:t>carboxymaltose</w:t>
      </w:r>
      <w:proofErr w:type="spellEnd"/>
      <w:r w:rsidR="00320487" w:rsidRPr="00320487">
        <w:rPr>
          <w:rFonts w:ascii="Times New Roman" w:hAnsi="Times New Roman" w:cs="Times New Roman"/>
        </w:rPr>
        <w:t xml:space="preserve"> based on body weight and hemoglobin level, while Group II (n=46) received oral ferrous ascorbate (48 mg) twice daily for six weeks along with folic acid and zinc. Hemoglobin and serum ferritin levels were measured at baseline, two weeks, and six weeks to evaluate early and sustained hematologic response. Adverse events and compliances were also recorded. Data were analyzed using SPSS version 26, and a p-value of less than 0.05 was considered statistically significant.</w:t>
      </w:r>
      <w:r w:rsidR="00320487">
        <w:rPr>
          <w:rFonts w:ascii="Times New Roman" w:hAnsi="Times New Roman" w:cs="Times New Roman"/>
        </w:rPr>
        <w:t xml:space="preserve"> </w:t>
      </w:r>
      <w:r w:rsidRPr="00DA10E4">
        <w:rPr>
          <w:rFonts w:ascii="Times New Roman" w:hAnsi="Times New Roman" w:cs="Times New Roman"/>
          <w:b/>
          <w:bCs/>
        </w:rPr>
        <w:t>Results:</w:t>
      </w:r>
      <w:r w:rsidR="00320487">
        <w:rPr>
          <w:rFonts w:ascii="Times New Roman" w:hAnsi="Times New Roman" w:cs="Times New Roman"/>
        </w:rPr>
        <w:t xml:space="preserve"> </w:t>
      </w:r>
      <w:r w:rsidR="00320487" w:rsidRPr="00320487">
        <w:rPr>
          <w:rFonts w:ascii="Times New Roman" w:hAnsi="Times New Roman" w:cs="Times New Roman"/>
        </w:rPr>
        <w:t>A total of 92 postpartum women were add in, similarly allotted concerning intravenous (n=46) and oral (n=46) iron treatment groups. On 6 weeks, 43.5% of participants stayed anemic. In general, 65.2% of respondents stated that there is at least one side effect faced. Oral iron was more repeatedly associated with gastrointestinal symptoms like constipation and GI pain, while dysgeusia and headache were more prevalent with intravenous iron. Mostly side effects were mild to moderate. Together 2-week (</w:t>
      </w:r>
      <w:r w:rsidR="00320487" w:rsidRPr="00320487">
        <w:rPr>
          <w:rFonts w:ascii="Times New Roman" w:hAnsi="Times New Roman" w:cs="Times New Roman"/>
          <w:i/>
          <w:iCs/>
        </w:rPr>
        <w:t>p</w:t>
      </w:r>
      <w:r w:rsidR="00320487" w:rsidRPr="00320487">
        <w:rPr>
          <w:rFonts w:ascii="Times New Roman" w:hAnsi="Times New Roman" w:cs="Times New Roman"/>
        </w:rPr>
        <w:t>=0.044) and 6-week (</w:t>
      </w:r>
      <w:r w:rsidR="00320487" w:rsidRPr="00320487">
        <w:rPr>
          <w:rFonts w:ascii="Times New Roman" w:hAnsi="Times New Roman" w:cs="Times New Roman"/>
          <w:i/>
          <w:iCs/>
        </w:rPr>
        <w:t>p</w:t>
      </w:r>
      <w:r w:rsidR="00320487" w:rsidRPr="00320487">
        <w:rPr>
          <w:rFonts w:ascii="Times New Roman" w:hAnsi="Times New Roman" w:cs="Times New Roman"/>
        </w:rPr>
        <w:t>=0.003) hemoglobin recovery was significantly allied with treatment type. Intravenous iron confirmed excellent effectiveness in recovering hemoglobin quantities than oral iron (</w:t>
      </w:r>
      <w:r w:rsidR="00320487" w:rsidRPr="00320487">
        <w:rPr>
          <w:rFonts w:ascii="Times New Roman" w:hAnsi="Times New Roman" w:cs="Times New Roman"/>
          <w:i/>
          <w:iCs/>
        </w:rPr>
        <w:t>p</w:t>
      </w:r>
      <w:r w:rsidR="00320487" w:rsidRPr="00320487">
        <w:rPr>
          <w:rFonts w:ascii="Times New Roman" w:hAnsi="Times New Roman" w:cs="Times New Roman"/>
        </w:rPr>
        <w:t>=0.000).</w:t>
      </w:r>
      <w:r w:rsidR="00320487">
        <w:rPr>
          <w:rFonts w:ascii="Times New Roman" w:hAnsi="Times New Roman" w:cs="Times New Roman"/>
        </w:rPr>
        <w:t xml:space="preserve"> </w:t>
      </w:r>
      <w:r w:rsidRPr="00DA10E4">
        <w:rPr>
          <w:rFonts w:ascii="Times New Roman" w:hAnsi="Times New Roman" w:cs="Times New Roman"/>
          <w:b/>
          <w:bCs/>
        </w:rPr>
        <w:t>Conclusion:</w:t>
      </w:r>
      <w:r w:rsidRPr="00DA10E4">
        <w:rPr>
          <w:rFonts w:ascii="Times New Roman" w:hAnsi="Times New Roman" w:cs="Times New Roman"/>
        </w:rPr>
        <w:t xml:space="preserve"> </w:t>
      </w:r>
      <w:r w:rsidR="00F1736A" w:rsidRPr="00F1736A">
        <w:rPr>
          <w:rFonts w:ascii="Times New Roman" w:hAnsi="Times New Roman" w:cs="Times New Roman"/>
        </w:rPr>
        <w:t xml:space="preserve">This study </w:t>
      </w:r>
      <w:r w:rsidR="00AA402D" w:rsidRPr="00F1736A">
        <w:rPr>
          <w:rFonts w:ascii="Times New Roman" w:hAnsi="Times New Roman" w:cs="Times New Roman"/>
        </w:rPr>
        <w:t>presents</w:t>
      </w:r>
      <w:r w:rsidR="00F1736A" w:rsidRPr="00F1736A">
        <w:rPr>
          <w:rFonts w:ascii="Times New Roman" w:hAnsi="Times New Roman" w:cs="Times New Roman"/>
        </w:rPr>
        <w:t xml:space="preserve"> further </w:t>
      </w:r>
      <w:r w:rsidR="00AA402D" w:rsidRPr="00F1736A">
        <w:rPr>
          <w:rFonts w:ascii="Times New Roman" w:hAnsi="Times New Roman" w:cs="Times New Roman"/>
        </w:rPr>
        <w:t>verification</w:t>
      </w:r>
      <w:r w:rsidR="00F1736A" w:rsidRPr="00F1736A">
        <w:rPr>
          <w:rFonts w:ascii="Times New Roman" w:hAnsi="Times New Roman" w:cs="Times New Roman"/>
        </w:rPr>
        <w:t xml:space="preserve"> that intravenous iron is more </w:t>
      </w:r>
      <w:r w:rsidR="00AA402D" w:rsidRPr="00F1736A">
        <w:rPr>
          <w:rFonts w:ascii="Times New Roman" w:hAnsi="Times New Roman" w:cs="Times New Roman"/>
        </w:rPr>
        <w:t>efficient</w:t>
      </w:r>
      <w:r w:rsidR="00F1736A" w:rsidRPr="00F1736A">
        <w:rPr>
          <w:rFonts w:ascii="Times New Roman" w:hAnsi="Times New Roman" w:cs="Times New Roman"/>
        </w:rPr>
        <w:t xml:space="preserve"> than oral iron in </w:t>
      </w:r>
      <w:r w:rsidR="00AA402D" w:rsidRPr="00F1736A">
        <w:rPr>
          <w:rFonts w:ascii="Times New Roman" w:hAnsi="Times New Roman" w:cs="Times New Roman"/>
        </w:rPr>
        <w:t>developing</w:t>
      </w:r>
      <w:r w:rsidR="00F1736A" w:rsidRPr="00F1736A">
        <w:rPr>
          <w:rFonts w:ascii="Times New Roman" w:hAnsi="Times New Roman" w:cs="Times New Roman"/>
        </w:rPr>
        <w:t xml:space="preserve"> hemoglobin levels </w:t>
      </w:r>
      <w:r w:rsidR="00890E13">
        <w:rPr>
          <w:rFonts w:ascii="Times New Roman" w:hAnsi="Times New Roman" w:cs="Times New Roman"/>
        </w:rPr>
        <w:t>among</w:t>
      </w:r>
      <w:r w:rsidR="00F1736A" w:rsidRPr="00F1736A">
        <w:rPr>
          <w:rFonts w:ascii="Times New Roman" w:hAnsi="Times New Roman" w:cs="Times New Roman"/>
        </w:rPr>
        <w:t xml:space="preserve"> women wit</w:t>
      </w:r>
      <w:r w:rsidR="00742EDE">
        <w:rPr>
          <w:rFonts w:ascii="Times New Roman" w:hAnsi="Times New Roman" w:cs="Times New Roman"/>
        </w:rPr>
        <w:t>h postpartum iron deficiency an</w:t>
      </w:r>
      <w:r w:rsidR="00F1736A" w:rsidRPr="00F1736A">
        <w:rPr>
          <w:rFonts w:ascii="Times New Roman" w:hAnsi="Times New Roman" w:cs="Times New Roman"/>
        </w:rPr>
        <w:t xml:space="preserve">emia. While oral iron remains a </w:t>
      </w:r>
      <w:r w:rsidR="00AA402D" w:rsidRPr="00F1736A">
        <w:rPr>
          <w:rFonts w:ascii="Times New Roman" w:hAnsi="Times New Roman" w:cs="Times New Roman"/>
        </w:rPr>
        <w:t>feasible</w:t>
      </w:r>
      <w:r w:rsidR="00F1736A" w:rsidRPr="00F1736A">
        <w:rPr>
          <w:rFonts w:ascii="Times New Roman" w:hAnsi="Times New Roman" w:cs="Times New Roman"/>
        </w:rPr>
        <w:t xml:space="preserve"> </w:t>
      </w:r>
      <w:r w:rsidR="00AA402D" w:rsidRPr="00F1736A">
        <w:rPr>
          <w:rFonts w:ascii="Times New Roman" w:hAnsi="Times New Roman" w:cs="Times New Roman"/>
        </w:rPr>
        <w:t>selection</w:t>
      </w:r>
      <w:r w:rsidR="00F1736A" w:rsidRPr="00F1736A">
        <w:rPr>
          <w:rFonts w:ascii="Times New Roman" w:hAnsi="Times New Roman" w:cs="Times New Roman"/>
        </w:rPr>
        <w:t xml:space="preserve">, </w:t>
      </w:r>
      <w:r w:rsidR="00AA402D" w:rsidRPr="00F1736A">
        <w:rPr>
          <w:rFonts w:ascii="Times New Roman" w:hAnsi="Times New Roman" w:cs="Times New Roman"/>
        </w:rPr>
        <w:t>mainly</w:t>
      </w:r>
      <w:r w:rsidR="00F1736A" w:rsidRPr="00F1736A">
        <w:rPr>
          <w:rFonts w:ascii="Times New Roman" w:hAnsi="Times New Roman" w:cs="Times New Roman"/>
        </w:rPr>
        <w:t xml:space="preserve"> in resource-limited settings, intravenous iron should be </w:t>
      </w:r>
      <w:r w:rsidR="00AA402D" w:rsidRPr="00F1736A">
        <w:rPr>
          <w:rFonts w:ascii="Times New Roman" w:hAnsi="Times New Roman" w:cs="Times New Roman"/>
        </w:rPr>
        <w:t>reflected</w:t>
      </w:r>
      <w:r w:rsidR="00F1736A" w:rsidRPr="00F1736A">
        <w:rPr>
          <w:rFonts w:ascii="Times New Roman" w:hAnsi="Times New Roman" w:cs="Times New Roman"/>
        </w:rPr>
        <w:t xml:space="preserve"> for women who </w:t>
      </w:r>
      <w:r w:rsidR="00AA402D" w:rsidRPr="00F1736A">
        <w:rPr>
          <w:rFonts w:ascii="Times New Roman" w:hAnsi="Times New Roman" w:cs="Times New Roman"/>
        </w:rPr>
        <w:t>demand</w:t>
      </w:r>
      <w:r w:rsidR="00F1736A" w:rsidRPr="00F1736A">
        <w:rPr>
          <w:rFonts w:ascii="Times New Roman" w:hAnsi="Times New Roman" w:cs="Times New Roman"/>
        </w:rPr>
        <w:t xml:space="preserve"> a </w:t>
      </w:r>
      <w:r w:rsidR="00AA402D" w:rsidRPr="00F1736A">
        <w:rPr>
          <w:rFonts w:ascii="Times New Roman" w:hAnsi="Times New Roman" w:cs="Times New Roman"/>
        </w:rPr>
        <w:t>prompt</w:t>
      </w:r>
      <w:r w:rsidR="00F1736A" w:rsidRPr="00F1736A">
        <w:rPr>
          <w:rFonts w:ascii="Times New Roman" w:hAnsi="Times New Roman" w:cs="Times New Roman"/>
        </w:rPr>
        <w:t xml:space="preserve"> and effective </w:t>
      </w:r>
      <w:r w:rsidR="00AA402D" w:rsidRPr="00F1736A">
        <w:rPr>
          <w:rFonts w:ascii="Times New Roman" w:hAnsi="Times New Roman" w:cs="Times New Roman"/>
        </w:rPr>
        <w:t>improvement</w:t>
      </w:r>
      <w:r w:rsidR="00742EDE">
        <w:rPr>
          <w:rFonts w:ascii="Times New Roman" w:hAnsi="Times New Roman" w:cs="Times New Roman"/>
        </w:rPr>
        <w:t xml:space="preserve"> of an</w:t>
      </w:r>
      <w:r w:rsidR="00F1736A" w:rsidRPr="00F1736A">
        <w:rPr>
          <w:rFonts w:ascii="Times New Roman" w:hAnsi="Times New Roman" w:cs="Times New Roman"/>
        </w:rPr>
        <w:t xml:space="preserve">emia, </w:t>
      </w:r>
      <w:r w:rsidR="00AA402D" w:rsidRPr="00F1736A">
        <w:rPr>
          <w:rFonts w:ascii="Times New Roman" w:hAnsi="Times New Roman" w:cs="Times New Roman"/>
        </w:rPr>
        <w:t>specifically</w:t>
      </w:r>
      <w:r w:rsidR="00F1736A" w:rsidRPr="00F1736A">
        <w:rPr>
          <w:rFonts w:ascii="Times New Roman" w:hAnsi="Times New Roman" w:cs="Times New Roman"/>
        </w:rPr>
        <w:t xml:space="preserve"> in cases with severe symptoms or intolerance to oral iron.</w:t>
      </w:r>
    </w:p>
    <w:p w14:paraId="758812A3" w14:textId="77777777" w:rsidR="00742EDE" w:rsidRDefault="00CD01F2" w:rsidP="009976F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b/>
          <w:bCs/>
        </w:rPr>
        <w:t>Key Words:</w:t>
      </w:r>
      <w:r w:rsidRPr="00DA10E4">
        <w:rPr>
          <w:rFonts w:ascii="Times New Roman" w:hAnsi="Times New Roman" w:cs="Times New Roman"/>
        </w:rPr>
        <w:t xml:space="preserve"> </w:t>
      </w:r>
      <w:r w:rsidR="008F7FAC" w:rsidRPr="008F7FAC">
        <w:rPr>
          <w:rFonts w:ascii="Times New Roman" w:hAnsi="Times New Roman" w:cs="Times New Roman"/>
        </w:rPr>
        <w:t>Postpartum anemia, iron deficiency, intravenous iron</w:t>
      </w:r>
      <w:r w:rsidR="00742EDE">
        <w:rPr>
          <w:rFonts w:ascii="Times New Roman" w:hAnsi="Times New Roman" w:cs="Times New Roman"/>
        </w:rPr>
        <w:t xml:space="preserve"> therapy</w:t>
      </w:r>
      <w:r w:rsidR="008F7FAC" w:rsidRPr="008F7FAC">
        <w:rPr>
          <w:rFonts w:ascii="Times New Roman" w:hAnsi="Times New Roman" w:cs="Times New Roman"/>
        </w:rPr>
        <w:t xml:space="preserve">, hemoglobin </w:t>
      </w:r>
      <w:r w:rsidR="00742EDE">
        <w:rPr>
          <w:rFonts w:ascii="Times New Roman" w:hAnsi="Times New Roman" w:cs="Times New Roman"/>
        </w:rPr>
        <w:t>percentage</w:t>
      </w:r>
      <w:r w:rsidR="008F7FAC" w:rsidRPr="008F7FAC">
        <w:rPr>
          <w:rFonts w:ascii="Times New Roman" w:hAnsi="Times New Roman" w:cs="Times New Roman"/>
        </w:rPr>
        <w:t xml:space="preserve">, </w:t>
      </w:r>
    </w:p>
    <w:p w14:paraId="06F2968D" w14:textId="77777777" w:rsidR="00CF372C" w:rsidRDefault="00890E13" w:rsidP="009976F4">
      <w:pPr>
        <w:autoSpaceDE w:val="0"/>
        <w:autoSpaceDN w:val="0"/>
        <w:adjustRightInd w:val="0"/>
        <w:spacing w:after="0" w:line="240" w:lineRule="auto"/>
        <w:jc w:val="both"/>
        <w:rPr>
          <w:rFonts w:ascii="Times New Roman" w:hAnsi="Times New Roman" w:cs="Times New Roman"/>
        </w:rPr>
      </w:pPr>
      <w:r w:rsidRPr="008F7FAC">
        <w:rPr>
          <w:rFonts w:ascii="Times New Roman" w:hAnsi="Times New Roman" w:cs="Times New Roman"/>
        </w:rPr>
        <w:t>Randomized</w:t>
      </w:r>
      <w:r w:rsidR="008F7FAC" w:rsidRPr="008F7FAC">
        <w:rPr>
          <w:rFonts w:ascii="Times New Roman" w:hAnsi="Times New Roman" w:cs="Times New Roman"/>
        </w:rPr>
        <w:t xml:space="preserve"> </w:t>
      </w:r>
      <w:r w:rsidR="00742EDE">
        <w:rPr>
          <w:rFonts w:ascii="Times New Roman" w:hAnsi="Times New Roman" w:cs="Times New Roman"/>
        </w:rPr>
        <w:t xml:space="preserve">control </w:t>
      </w:r>
      <w:r w:rsidR="008F7FAC" w:rsidRPr="008F7FAC">
        <w:rPr>
          <w:rFonts w:ascii="Times New Roman" w:hAnsi="Times New Roman" w:cs="Times New Roman"/>
        </w:rPr>
        <w:t>trial.</w:t>
      </w:r>
    </w:p>
    <w:p w14:paraId="3A8B3481" w14:textId="23864E5B" w:rsidR="00616830" w:rsidRDefault="00616830" w:rsidP="009976F4">
      <w:pPr>
        <w:autoSpaceDE w:val="0"/>
        <w:autoSpaceDN w:val="0"/>
        <w:adjustRightInd w:val="0"/>
        <w:spacing w:after="0" w:line="240" w:lineRule="auto"/>
        <w:jc w:val="both"/>
        <w:rPr>
          <w:rFonts w:ascii="Times New Roman" w:hAnsi="Times New Roman" w:cs="Times New Roman"/>
        </w:rPr>
      </w:pPr>
    </w:p>
    <w:p w14:paraId="59A841D0" w14:textId="77777777" w:rsidR="00465794" w:rsidRDefault="00465794" w:rsidP="009976F4">
      <w:pPr>
        <w:autoSpaceDE w:val="0"/>
        <w:autoSpaceDN w:val="0"/>
        <w:adjustRightInd w:val="0"/>
        <w:spacing w:after="0" w:line="240" w:lineRule="auto"/>
        <w:jc w:val="both"/>
        <w:rPr>
          <w:rFonts w:ascii="Times New Roman" w:hAnsi="Times New Roman" w:cs="Times New Roman"/>
          <w:b/>
          <w:bCs/>
        </w:rPr>
        <w:sectPr w:rsidR="00465794" w:rsidSect="009D5E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3A2496E" w14:textId="1A88C866" w:rsidR="00CD01F2" w:rsidRPr="00DA10E4" w:rsidRDefault="00CD01F2" w:rsidP="009976F4">
      <w:pPr>
        <w:autoSpaceDE w:val="0"/>
        <w:autoSpaceDN w:val="0"/>
        <w:adjustRightInd w:val="0"/>
        <w:spacing w:after="0" w:line="240" w:lineRule="auto"/>
        <w:jc w:val="both"/>
        <w:rPr>
          <w:rFonts w:ascii="Times New Roman" w:hAnsi="Times New Roman" w:cs="Times New Roman"/>
          <w:b/>
          <w:bCs/>
        </w:rPr>
      </w:pPr>
      <w:r w:rsidRPr="00DA10E4">
        <w:rPr>
          <w:rFonts w:ascii="Times New Roman" w:hAnsi="Times New Roman" w:cs="Times New Roman"/>
          <w:b/>
          <w:bCs/>
        </w:rPr>
        <w:t>Introduction:</w:t>
      </w:r>
    </w:p>
    <w:p w14:paraId="244D8A17" w14:textId="2B24F2CA" w:rsidR="0038160E" w:rsidRPr="0038160E" w:rsidRDefault="0038160E" w:rsidP="009976F4">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 xml:space="preserve">Iron deficiency is the </w:t>
      </w:r>
      <w:r w:rsidR="0081104A" w:rsidRPr="0038160E">
        <w:rPr>
          <w:rFonts w:ascii="Times New Roman" w:hAnsi="Times New Roman" w:cs="Times New Roman"/>
        </w:rPr>
        <w:t>indicating</w:t>
      </w:r>
      <w:r w:rsidR="00890E13">
        <w:rPr>
          <w:rFonts w:ascii="Times New Roman" w:hAnsi="Times New Roman" w:cs="Times New Roman"/>
        </w:rPr>
        <w:t xml:space="preserve"> cause of an</w:t>
      </w:r>
      <w:r w:rsidRPr="0038160E">
        <w:rPr>
          <w:rFonts w:ascii="Times New Roman" w:hAnsi="Times New Roman" w:cs="Times New Roman"/>
        </w:rPr>
        <w:t xml:space="preserve">emia in the postpartum </w:t>
      </w:r>
      <w:r w:rsidR="0081104A" w:rsidRPr="0038160E">
        <w:rPr>
          <w:rFonts w:ascii="Times New Roman" w:hAnsi="Times New Roman" w:cs="Times New Roman"/>
        </w:rPr>
        <w:t>time</w:t>
      </w:r>
      <w:r w:rsidRPr="0038160E">
        <w:rPr>
          <w:rFonts w:ascii="Times New Roman" w:hAnsi="Times New Roman" w:cs="Times New Roman"/>
        </w:rPr>
        <w:t xml:space="preserve"> and significantly </w:t>
      </w:r>
      <w:r w:rsidR="0081104A" w:rsidRPr="0038160E">
        <w:rPr>
          <w:rFonts w:ascii="Times New Roman" w:hAnsi="Times New Roman" w:cs="Times New Roman"/>
        </w:rPr>
        <w:t>effects</w:t>
      </w:r>
      <w:r w:rsidRPr="0038160E">
        <w:rPr>
          <w:rFonts w:ascii="Times New Roman" w:hAnsi="Times New Roman" w:cs="Times New Roman"/>
        </w:rPr>
        <w:t xml:space="preserve"> maternal health and </w:t>
      </w:r>
      <w:r w:rsidR="0081104A" w:rsidRPr="0038160E">
        <w:rPr>
          <w:rFonts w:ascii="Times New Roman" w:hAnsi="Times New Roman" w:cs="Times New Roman"/>
        </w:rPr>
        <w:t>retrieval</w:t>
      </w:r>
      <w:r w:rsidRPr="0038160E">
        <w:rPr>
          <w:rFonts w:ascii="Times New Roman" w:hAnsi="Times New Roman" w:cs="Times New Roman"/>
        </w:rPr>
        <w:t xml:space="preserve"> [6, 1</w:t>
      </w:r>
      <w:r w:rsidR="009E5686">
        <w:rPr>
          <w:rFonts w:ascii="Times New Roman" w:hAnsi="Times New Roman" w:cs="Times New Roman"/>
        </w:rPr>
        <w:t>1</w:t>
      </w:r>
      <w:r w:rsidRPr="0038160E">
        <w:rPr>
          <w:rFonts w:ascii="Times New Roman" w:hAnsi="Times New Roman" w:cs="Times New Roman"/>
        </w:rPr>
        <w:t xml:space="preserve">]. The condition impairs daily </w:t>
      </w:r>
      <w:r w:rsidR="0081104A" w:rsidRPr="0038160E">
        <w:rPr>
          <w:rFonts w:ascii="Times New Roman" w:hAnsi="Times New Roman" w:cs="Times New Roman"/>
        </w:rPr>
        <w:t>operating</w:t>
      </w:r>
      <w:r w:rsidRPr="0038160E">
        <w:rPr>
          <w:rFonts w:ascii="Times New Roman" w:hAnsi="Times New Roman" w:cs="Times New Roman"/>
        </w:rPr>
        <w:t xml:space="preserve">, </w:t>
      </w:r>
      <w:r w:rsidR="0081104A" w:rsidRPr="0038160E">
        <w:rPr>
          <w:rFonts w:ascii="Times New Roman" w:hAnsi="Times New Roman" w:cs="Times New Roman"/>
        </w:rPr>
        <w:t>decreases</w:t>
      </w:r>
      <w:r w:rsidRPr="0038160E">
        <w:rPr>
          <w:rFonts w:ascii="Times New Roman" w:hAnsi="Times New Roman" w:cs="Times New Roman"/>
        </w:rPr>
        <w:t xml:space="preserve"> immunity, and may </w:t>
      </w:r>
      <w:r w:rsidR="0035194F" w:rsidRPr="0038160E">
        <w:rPr>
          <w:rFonts w:ascii="Times New Roman" w:hAnsi="Times New Roman" w:cs="Times New Roman"/>
        </w:rPr>
        <w:t>indicate</w:t>
      </w:r>
      <w:r w:rsidRPr="0038160E">
        <w:rPr>
          <w:rFonts w:ascii="Times New Roman" w:hAnsi="Times New Roman" w:cs="Times New Roman"/>
        </w:rPr>
        <w:t xml:space="preserve"> postpartum depression, poor lactation, and fatigue [</w:t>
      </w:r>
      <w:r w:rsidR="004061B7">
        <w:rPr>
          <w:rFonts w:ascii="Times New Roman" w:hAnsi="Times New Roman" w:cs="Times New Roman"/>
        </w:rPr>
        <w:t>7</w:t>
      </w:r>
      <w:r w:rsidRPr="0038160E">
        <w:rPr>
          <w:rFonts w:ascii="Times New Roman" w:hAnsi="Times New Roman" w:cs="Times New Roman"/>
        </w:rPr>
        <w:t xml:space="preserve">, </w:t>
      </w:r>
      <w:r w:rsidR="004061B7">
        <w:rPr>
          <w:rFonts w:ascii="Times New Roman" w:hAnsi="Times New Roman" w:cs="Times New Roman"/>
        </w:rPr>
        <w:t>8</w:t>
      </w:r>
      <w:r w:rsidRPr="0038160E">
        <w:rPr>
          <w:rFonts w:ascii="Times New Roman" w:hAnsi="Times New Roman" w:cs="Times New Roman"/>
        </w:rPr>
        <w:t>, 1</w:t>
      </w:r>
      <w:r w:rsidR="004061B7">
        <w:rPr>
          <w:rFonts w:ascii="Times New Roman" w:hAnsi="Times New Roman" w:cs="Times New Roman"/>
        </w:rPr>
        <w:t>0</w:t>
      </w:r>
      <w:r w:rsidRPr="0038160E">
        <w:rPr>
          <w:rFonts w:ascii="Times New Roman" w:hAnsi="Times New Roman" w:cs="Times New Roman"/>
        </w:rPr>
        <w:t>].</w:t>
      </w:r>
    </w:p>
    <w:p w14:paraId="0DB86C1F" w14:textId="22640923" w:rsidR="0038160E" w:rsidRPr="0038160E" w:rsidRDefault="0038160E" w:rsidP="009976F4">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In</w:t>
      </w:r>
      <w:r w:rsidR="00890E13">
        <w:rPr>
          <w:rFonts w:ascii="Times New Roman" w:hAnsi="Times New Roman" w:cs="Times New Roman"/>
        </w:rPr>
        <w:t xml:space="preserve"> Bangladesh, iron deficiency an</w:t>
      </w:r>
      <w:r w:rsidRPr="0038160E">
        <w:rPr>
          <w:rFonts w:ascii="Times New Roman" w:hAnsi="Times New Roman" w:cs="Times New Roman"/>
        </w:rPr>
        <w:t xml:space="preserve">emia is common among reproductive-aged women, with rural populations being </w:t>
      </w:r>
      <w:r w:rsidR="0035194F" w:rsidRPr="0038160E">
        <w:rPr>
          <w:rFonts w:ascii="Times New Roman" w:hAnsi="Times New Roman" w:cs="Times New Roman"/>
        </w:rPr>
        <w:t>extremely</w:t>
      </w:r>
      <w:r w:rsidRPr="0038160E">
        <w:rPr>
          <w:rFonts w:ascii="Times New Roman" w:hAnsi="Times New Roman" w:cs="Times New Roman"/>
        </w:rPr>
        <w:t xml:space="preserve"> affected [1</w:t>
      </w:r>
      <w:r w:rsidR="004061B7">
        <w:rPr>
          <w:rFonts w:ascii="Times New Roman" w:hAnsi="Times New Roman" w:cs="Times New Roman"/>
        </w:rPr>
        <w:t>1</w:t>
      </w:r>
      <w:r w:rsidRPr="0038160E">
        <w:rPr>
          <w:rFonts w:ascii="Times New Roman" w:hAnsi="Times New Roman" w:cs="Times New Roman"/>
        </w:rPr>
        <w:t xml:space="preserve">]. </w:t>
      </w:r>
      <w:r w:rsidR="0035194F" w:rsidRPr="0038160E">
        <w:rPr>
          <w:rFonts w:ascii="Times New Roman" w:hAnsi="Times New Roman" w:cs="Times New Roman"/>
        </w:rPr>
        <w:t>Comparable</w:t>
      </w:r>
      <w:r w:rsidRPr="0038160E">
        <w:rPr>
          <w:rFonts w:ascii="Times New Roman" w:hAnsi="Times New Roman" w:cs="Times New Roman"/>
        </w:rPr>
        <w:t xml:space="preserve"> </w:t>
      </w:r>
      <w:r w:rsidR="0035194F" w:rsidRPr="0038160E">
        <w:rPr>
          <w:rFonts w:ascii="Times New Roman" w:hAnsi="Times New Roman" w:cs="Times New Roman"/>
        </w:rPr>
        <w:t>developments</w:t>
      </w:r>
      <w:r w:rsidRPr="0038160E">
        <w:rPr>
          <w:rFonts w:ascii="Times New Roman" w:hAnsi="Times New Roman" w:cs="Times New Roman"/>
        </w:rPr>
        <w:t xml:space="preserve"> are </w:t>
      </w:r>
      <w:r w:rsidR="0035194F" w:rsidRPr="0038160E">
        <w:rPr>
          <w:rFonts w:ascii="Times New Roman" w:hAnsi="Times New Roman" w:cs="Times New Roman"/>
        </w:rPr>
        <w:t>observed</w:t>
      </w:r>
      <w:r w:rsidRPr="0038160E">
        <w:rPr>
          <w:rFonts w:ascii="Times New Roman" w:hAnsi="Times New Roman" w:cs="Times New Roman"/>
        </w:rPr>
        <w:t xml:space="preserve"> across South Asia, inc</w:t>
      </w:r>
      <w:r w:rsidR="00890E13">
        <w:rPr>
          <w:rFonts w:ascii="Times New Roman" w:hAnsi="Times New Roman" w:cs="Times New Roman"/>
        </w:rPr>
        <w:t>luding India, where maternal an</w:t>
      </w:r>
      <w:r w:rsidRPr="0038160E">
        <w:rPr>
          <w:rFonts w:ascii="Times New Roman" w:hAnsi="Times New Roman" w:cs="Times New Roman"/>
        </w:rPr>
        <w:t xml:space="preserve">emia continues to be a </w:t>
      </w:r>
      <w:r w:rsidR="0035194F" w:rsidRPr="0038160E">
        <w:rPr>
          <w:rFonts w:ascii="Times New Roman" w:hAnsi="Times New Roman" w:cs="Times New Roman"/>
        </w:rPr>
        <w:t>top</w:t>
      </w:r>
      <w:r w:rsidRPr="0038160E">
        <w:rPr>
          <w:rFonts w:ascii="Times New Roman" w:hAnsi="Times New Roman" w:cs="Times New Roman"/>
        </w:rPr>
        <w:t xml:space="preserve"> </w:t>
      </w:r>
      <w:r w:rsidR="0035194F" w:rsidRPr="0038160E">
        <w:rPr>
          <w:rFonts w:ascii="Times New Roman" w:hAnsi="Times New Roman" w:cs="Times New Roman"/>
        </w:rPr>
        <w:t>avoidable</w:t>
      </w:r>
      <w:r w:rsidRPr="0038160E">
        <w:rPr>
          <w:rFonts w:ascii="Times New Roman" w:hAnsi="Times New Roman" w:cs="Times New Roman"/>
        </w:rPr>
        <w:t xml:space="preserve"> cause of maternal morbidity [1, </w:t>
      </w:r>
      <w:r w:rsidR="004061B7">
        <w:rPr>
          <w:rFonts w:ascii="Times New Roman" w:hAnsi="Times New Roman" w:cs="Times New Roman"/>
        </w:rPr>
        <w:t>9</w:t>
      </w:r>
      <w:r w:rsidRPr="0038160E">
        <w:rPr>
          <w:rFonts w:ascii="Times New Roman" w:hAnsi="Times New Roman" w:cs="Times New Roman"/>
        </w:rPr>
        <w:t xml:space="preserve">, </w:t>
      </w:r>
      <w:r w:rsidR="004061B7">
        <w:rPr>
          <w:rFonts w:ascii="Times New Roman" w:hAnsi="Times New Roman" w:cs="Times New Roman"/>
        </w:rPr>
        <w:t>18</w:t>
      </w:r>
      <w:r w:rsidRPr="0038160E">
        <w:rPr>
          <w:rFonts w:ascii="Times New Roman" w:hAnsi="Times New Roman" w:cs="Times New Roman"/>
        </w:rPr>
        <w:t xml:space="preserve">]. The World Health </w:t>
      </w:r>
      <w:r w:rsidRPr="0038160E">
        <w:rPr>
          <w:rFonts w:ascii="Times New Roman" w:hAnsi="Times New Roman" w:cs="Times New Roman"/>
        </w:rPr>
        <w:t xml:space="preserve">Organization (WHO) </w:t>
      </w:r>
      <w:r w:rsidR="0035194F" w:rsidRPr="0038160E">
        <w:rPr>
          <w:rFonts w:ascii="Times New Roman" w:hAnsi="Times New Roman" w:cs="Times New Roman"/>
        </w:rPr>
        <w:t>recognizes</w:t>
      </w:r>
      <w:r w:rsidRPr="0038160E">
        <w:rPr>
          <w:rFonts w:ascii="Times New Roman" w:hAnsi="Times New Roman" w:cs="Times New Roman"/>
        </w:rPr>
        <w:t xml:space="preserve"> iron deficiency as one of the </w:t>
      </w:r>
      <w:r w:rsidR="0035194F" w:rsidRPr="0038160E">
        <w:rPr>
          <w:rFonts w:ascii="Times New Roman" w:hAnsi="Times New Roman" w:cs="Times New Roman"/>
        </w:rPr>
        <w:t>principal</w:t>
      </w:r>
      <w:r w:rsidRPr="0038160E">
        <w:rPr>
          <w:rFonts w:ascii="Times New Roman" w:hAnsi="Times New Roman" w:cs="Times New Roman"/>
        </w:rPr>
        <w:t xml:space="preserve"> contributors to global disease </w:t>
      </w:r>
      <w:r w:rsidR="0035194F" w:rsidRPr="0038160E">
        <w:rPr>
          <w:rFonts w:ascii="Times New Roman" w:hAnsi="Times New Roman" w:cs="Times New Roman"/>
        </w:rPr>
        <w:t>obligation</w:t>
      </w:r>
      <w:r w:rsidRPr="0038160E">
        <w:rPr>
          <w:rFonts w:ascii="Times New Roman" w:hAnsi="Times New Roman" w:cs="Times New Roman"/>
        </w:rPr>
        <w:t xml:space="preserve"> among women of childbearing age [5].</w:t>
      </w:r>
    </w:p>
    <w:p w14:paraId="03D2B690" w14:textId="244589CB" w:rsidR="0038160E" w:rsidRPr="0038160E" w:rsidRDefault="0035194F" w:rsidP="009976F4">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Usually</w:t>
      </w:r>
      <w:r w:rsidR="0038160E" w:rsidRPr="0038160E">
        <w:rPr>
          <w:rFonts w:ascii="Times New Roman" w:hAnsi="Times New Roman" w:cs="Times New Roman"/>
        </w:rPr>
        <w:t xml:space="preserve">, oral iron therapy has been the first-line treatment due to its affordability and ease of </w:t>
      </w:r>
      <w:r w:rsidRPr="0038160E">
        <w:rPr>
          <w:rFonts w:ascii="Times New Roman" w:hAnsi="Times New Roman" w:cs="Times New Roman"/>
        </w:rPr>
        <w:t>management</w:t>
      </w:r>
      <w:r w:rsidR="0038160E" w:rsidRPr="0038160E">
        <w:rPr>
          <w:rFonts w:ascii="Times New Roman" w:hAnsi="Times New Roman" w:cs="Times New Roman"/>
        </w:rPr>
        <w:t xml:space="preserve">. </w:t>
      </w:r>
      <w:r w:rsidRPr="0038160E">
        <w:rPr>
          <w:rFonts w:ascii="Times New Roman" w:hAnsi="Times New Roman" w:cs="Times New Roman"/>
        </w:rPr>
        <w:t>Conversely</w:t>
      </w:r>
      <w:r w:rsidR="0038160E" w:rsidRPr="0038160E">
        <w:rPr>
          <w:rFonts w:ascii="Times New Roman" w:hAnsi="Times New Roman" w:cs="Times New Roman"/>
        </w:rPr>
        <w:t xml:space="preserve">, it is </w:t>
      </w:r>
      <w:r w:rsidRPr="0038160E">
        <w:rPr>
          <w:rFonts w:ascii="Times New Roman" w:hAnsi="Times New Roman" w:cs="Times New Roman"/>
        </w:rPr>
        <w:t>repeatedly</w:t>
      </w:r>
      <w:r w:rsidR="0038160E" w:rsidRPr="0038160E">
        <w:rPr>
          <w:rFonts w:ascii="Times New Roman" w:hAnsi="Times New Roman" w:cs="Times New Roman"/>
        </w:rPr>
        <w:t xml:space="preserve"> </w:t>
      </w:r>
      <w:r w:rsidRPr="0038160E">
        <w:rPr>
          <w:rFonts w:ascii="Times New Roman" w:hAnsi="Times New Roman" w:cs="Times New Roman"/>
        </w:rPr>
        <w:t>related</w:t>
      </w:r>
      <w:r w:rsidR="0038160E" w:rsidRPr="0038160E">
        <w:rPr>
          <w:rFonts w:ascii="Times New Roman" w:hAnsi="Times New Roman" w:cs="Times New Roman"/>
        </w:rPr>
        <w:t xml:space="preserve"> with poor gastrointestinal </w:t>
      </w:r>
      <w:r w:rsidRPr="0038160E">
        <w:rPr>
          <w:rFonts w:ascii="Times New Roman" w:hAnsi="Times New Roman" w:cs="Times New Roman"/>
        </w:rPr>
        <w:t>acceptance</w:t>
      </w:r>
      <w:r w:rsidR="0038160E" w:rsidRPr="0038160E">
        <w:rPr>
          <w:rFonts w:ascii="Times New Roman" w:hAnsi="Times New Roman" w:cs="Times New Roman"/>
        </w:rPr>
        <w:t xml:space="preserve"> and low adherence [2, 1</w:t>
      </w:r>
      <w:r w:rsidR="004061B7">
        <w:rPr>
          <w:rFonts w:ascii="Times New Roman" w:hAnsi="Times New Roman" w:cs="Times New Roman"/>
        </w:rPr>
        <w:t>6</w:t>
      </w:r>
      <w:r w:rsidR="0038160E" w:rsidRPr="0038160E">
        <w:rPr>
          <w:rFonts w:ascii="Times New Roman" w:hAnsi="Times New Roman" w:cs="Times New Roman"/>
        </w:rPr>
        <w:t xml:space="preserve">, </w:t>
      </w:r>
      <w:r w:rsidR="004061B7">
        <w:rPr>
          <w:rFonts w:ascii="Times New Roman" w:hAnsi="Times New Roman" w:cs="Times New Roman"/>
        </w:rPr>
        <w:t>17</w:t>
      </w:r>
      <w:r w:rsidR="0038160E" w:rsidRPr="0038160E">
        <w:rPr>
          <w:rFonts w:ascii="Times New Roman" w:hAnsi="Times New Roman" w:cs="Times New Roman"/>
        </w:rPr>
        <w:t xml:space="preserve">]. Compliance issues, slow hematological </w:t>
      </w:r>
      <w:r w:rsidRPr="0038160E">
        <w:rPr>
          <w:rFonts w:ascii="Times New Roman" w:hAnsi="Times New Roman" w:cs="Times New Roman"/>
        </w:rPr>
        <w:t>reaction</w:t>
      </w:r>
      <w:r w:rsidR="0038160E" w:rsidRPr="0038160E">
        <w:rPr>
          <w:rFonts w:ascii="Times New Roman" w:hAnsi="Times New Roman" w:cs="Times New Roman"/>
        </w:rPr>
        <w:t xml:space="preserve">, and gastrointestinal side effects </w:t>
      </w:r>
      <w:r w:rsidRPr="0038160E">
        <w:rPr>
          <w:rFonts w:ascii="Times New Roman" w:hAnsi="Times New Roman" w:cs="Times New Roman"/>
        </w:rPr>
        <w:t>control</w:t>
      </w:r>
      <w:r w:rsidR="0038160E" w:rsidRPr="0038160E">
        <w:rPr>
          <w:rFonts w:ascii="Times New Roman" w:hAnsi="Times New Roman" w:cs="Times New Roman"/>
        </w:rPr>
        <w:t xml:space="preserve"> its </w:t>
      </w:r>
      <w:r w:rsidRPr="0038160E">
        <w:rPr>
          <w:rFonts w:ascii="Times New Roman" w:hAnsi="Times New Roman" w:cs="Times New Roman"/>
        </w:rPr>
        <w:t>success</w:t>
      </w:r>
      <w:r w:rsidR="0038160E" w:rsidRPr="0038160E">
        <w:rPr>
          <w:rFonts w:ascii="Times New Roman" w:hAnsi="Times New Roman" w:cs="Times New Roman"/>
        </w:rPr>
        <w:t xml:space="preserve"> [</w:t>
      </w:r>
      <w:r w:rsidR="004061B7">
        <w:rPr>
          <w:rFonts w:ascii="Times New Roman" w:hAnsi="Times New Roman" w:cs="Times New Roman"/>
        </w:rPr>
        <w:t>15</w:t>
      </w:r>
      <w:r w:rsidR="0038160E" w:rsidRPr="0038160E">
        <w:rPr>
          <w:rFonts w:ascii="Times New Roman" w:hAnsi="Times New Roman" w:cs="Times New Roman"/>
        </w:rPr>
        <w:t xml:space="preserve">, </w:t>
      </w:r>
      <w:r w:rsidR="004061B7">
        <w:rPr>
          <w:rFonts w:ascii="Times New Roman" w:hAnsi="Times New Roman" w:cs="Times New Roman"/>
        </w:rPr>
        <w:t>19</w:t>
      </w:r>
      <w:r w:rsidR="0038160E" w:rsidRPr="0038160E">
        <w:rPr>
          <w:rFonts w:ascii="Times New Roman" w:hAnsi="Times New Roman" w:cs="Times New Roman"/>
        </w:rPr>
        <w:t xml:space="preserve">]. On the other hand, </w:t>
      </w:r>
      <w:r w:rsidR="0038160E" w:rsidRPr="0048617F">
        <w:rPr>
          <w:rFonts w:ascii="Times New Roman" w:hAnsi="Times New Roman" w:cs="Times New Roman"/>
        </w:rPr>
        <w:t>intravenous (IV)</w:t>
      </w:r>
      <w:r w:rsidR="0038160E" w:rsidRPr="0038160E">
        <w:rPr>
          <w:rFonts w:ascii="Times New Roman" w:hAnsi="Times New Roman" w:cs="Times New Roman"/>
        </w:rPr>
        <w:t xml:space="preserve"> iron therapy </w:t>
      </w:r>
      <w:r w:rsidRPr="0038160E">
        <w:rPr>
          <w:rFonts w:ascii="Times New Roman" w:hAnsi="Times New Roman" w:cs="Times New Roman"/>
        </w:rPr>
        <w:t>recommends</w:t>
      </w:r>
      <w:r w:rsidR="0038160E" w:rsidRPr="0038160E">
        <w:rPr>
          <w:rFonts w:ascii="Times New Roman" w:hAnsi="Times New Roman" w:cs="Times New Roman"/>
        </w:rPr>
        <w:t xml:space="preserve"> a </w:t>
      </w:r>
      <w:r w:rsidRPr="0038160E">
        <w:rPr>
          <w:rFonts w:ascii="Times New Roman" w:hAnsi="Times New Roman" w:cs="Times New Roman"/>
        </w:rPr>
        <w:t>quicker</w:t>
      </w:r>
      <w:r w:rsidR="0038160E" w:rsidRPr="0038160E">
        <w:rPr>
          <w:rFonts w:ascii="Times New Roman" w:hAnsi="Times New Roman" w:cs="Times New Roman"/>
        </w:rPr>
        <w:t xml:space="preserve"> replenishment of iron stores with </w:t>
      </w:r>
      <w:r w:rsidR="0038160E" w:rsidRPr="0038160E">
        <w:rPr>
          <w:rFonts w:ascii="Times New Roman" w:hAnsi="Times New Roman" w:cs="Times New Roman"/>
        </w:rPr>
        <w:lastRenderedPageBreak/>
        <w:t xml:space="preserve">fewer gastrointestinal side effects, making it </w:t>
      </w:r>
      <w:r w:rsidRPr="0038160E">
        <w:rPr>
          <w:rFonts w:ascii="Times New Roman" w:hAnsi="Times New Roman" w:cs="Times New Roman"/>
        </w:rPr>
        <w:t>better</w:t>
      </w:r>
      <w:r w:rsidR="0038160E" w:rsidRPr="0038160E">
        <w:rPr>
          <w:rFonts w:ascii="Times New Roman" w:hAnsi="Times New Roman" w:cs="Times New Roman"/>
        </w:rPr>
        <w:t xml:space="preserve"> in moderate to </w:t>
      </w:r>
      <w:r w:rsidRPr="0038160E">
        <w:rPr>
          <w:rFonts w:ascii="Times New Roman" w:hAnsi="Times New Roman" w:cs="Times New Roman"/>
        </w:rPr>
        <w:t>acute</w:t>
      </w:r>
      <w:r w:rsidR="0038160E" w:rsidRPr="0038160E">
        <w:rPr>
          <w:rFonts w:ascii="Times New Roman" w:hAnsi="Times New Roman" w:cs="Times New Roman"/>
        </w:rPr>
        <w:t xml:space="preserve"> cases [4, 1</w:t>
      </w:r>
      <w:r w:rsidR="004061B7">
        <w:rPr>
          <w:rFonts w:ascii="Times New Roman" w:hAnsi="Times New Roman" w:cs="Times New Roman"/>
        </w:rPr>
        <w:t>2</w:t>
      </w:r>
      <w:r w:rsidR="0038160E" w:rsidRPr="0038160E">
        <w:rPr>
          <w:rFonts w:ascii="Times New Roman" w:hAnsi="Times New Roman" w:cs="Times New Roman"/>
        </w:rPr>
        <w:t>, 1</w:t>
      </w:r>
      <w:r w:rsidR="004061B7">
        <w:rPr>
          <w:rFonts w:ascii="Times New Roman" w:hAnsi="Times New Roman" w:cs="Times New Roman"/>
        </w:rPr>
        <w:t>3</w:t>
      </w:r>
      <w:r w:rsidR="0038160E" w:rsidRPr="0038160E">
        <w:rPr>
          <w:rFonts w:ascii="Times New Roman" w:hAnsi="Times New Roman" w:cs="Times New Roman"/>
        </w:rPr>
        <w:t>].</w:t>
      </w:r>
    </w:p>
    <w:p w14:paraId="66D854FC" w14:textId="2DD1B7AC" w:rsidR="0038160E" w:rsidRPr="0038160E" w:rsidRDefault="0035194F" w:rsidP="009976F4">
      <w:pPr>
        <w:autoSpaceDE w:val="0"/>
        <w:autoSpaceDN w:val="0"/>
        <w:adjustRightInd w:val="0"/>
        <w:spacing w:after="0" w:line="240" w:lineRule="auto"/>
        <w:jc w:val="both"/>
        <w:rPr>
          <w:rFonts w:ascii="Times New Roman" w:hAnsi="Times New Roman" w:cs="Times New Roman"/>
        </w:rPr>
      </w:pPr>
      <w:r w:rsidRPr="003D2101">
        <w:rPr>
          <w:rFonts w:ascii="Times New Roman" w:hAnsi="Times New Roman" w:cs="Times New Roman"/>
        </w:rPr>
        <w:t>Several</w:t>
      </w:r>
      <w:r w:rsidR="0038160E" w:rsidRPr="003D2101">
        <w:rPr>
          <w:rFonts w:ascii="Times New Roman" w:hAnsi="Times New Roman" w:cs="Times New Roman"/>
        </w:rPr>
        <w:t xml:space="preserve"> studies have</w:t>
      </w:r>
      <w:r w:rsidR="0038160E" w:rsidRPr="0038160E">
        <w:rPr>
          <w:rFonts w:ascii="Times New Roman" w:hAnsi="Times New Roman" w:cs="Times New Roman"/>
        </w:rPr>
        <w:t xml:space="preserve"> </w:t>
      </w:r>
      <w:r w:rsidR="003D2101" w:rsidRPr="0038160E">
        <w:rPr>
          <w:rFonts w:ascii="Times New Roman" w:hAnsi="Times New Roman" w:cs="Times New Roman"/>
        </w:rPr>
        <w:t>assessed</w:t>
      </w:r>
      <w:r w:rsidR="0038160E" w:rsidRPr="0038160E">
        <w:rPr>
          <w:rFonts w:ascii="Times New Roman" w:hAnsi="Times New Roman" w:cs="Times New Roman"/>
        </w:rPr>
        <w:t xml:space="preserve"> oral and IV ir</w:t>
      </w:r>
      <w:r w:rsidR="00890E13">
        <w:rPr>
          <w:rFonts w:ascii="Times New Roman" w:hAnsi="Times New Roman" w:cs="Times New Roman"/>
        </w:rPr>
        <w:t>on treatments for postpartum an</w:t>
      </w:r>
      <w:r w:rsidR="0038160E" w:rsidRPr="0038160E">
        <w:rPr>
          <w:rFonts w:ascii="Times New Roman" w:hAnsi="Times New Roman" w:cs="Times New Roman"/>
        </w:rPr>
        <w:t xml:space="preserve">emia. Research in Bangladesh and India </w:t>
      </w:r>
      <w:r w:rsidR="003D2101" w:rsidRPr="0038160E">
        <w:rPr>
          <w:rFonts w:ascii="Times New Roman" w:hAnsi="Times New Roman" w:cs="Times New Roman"/>
        </w:rPr>
        <w:t>reveals</w:t>
      </w:r>
      <w:r w:rsidR="0038160E" w:rsidRPr="0038160E">
        <w:rPr>
          <w:rFonts w:ascii="Times New Roman" w:hAnsi="Times New Roman" w:cs="Times New Roman"/>
        </w:rPr>
        <w:t xml:space="preserve"> that IV iron sucrose therapy results in more </w:t>
      </w:r>
      <w:r w:rsidR="003D2101" w:rsidRPr="0038160E">
        <w:rPr>
          <w:rFonts w:ascii="Times New Roman" w:hAnsi="Times New Roman" w:cs="Times New Roman"/>
        </w:rPr>
        <w:t>speedy</w:t>
      </w:r>
      <w:r w:rsidR="0038160E" w:rsidRPr="0038160E">
        <w:rPr>
          <w:rFonts w:ascii="Times New Roman" w:hAnsi="Times New Roman" w:cs="Times New Roman"/>
        </w:rPr>
        <w:t xml:space="preserve"> hemoglobin </w:t>
      </w:r>
      <w:r w:rsidR="003D2101" w:rsidRPr="0038160E">
        <w:rPr>
          <w:rFonts w:ascii="Times New Roman" w:hAnsi="Times New Roman" w:cs="Times New Roman"/>
        </w:rPr>
        <w:t>recovery</w:t>
      </w:r>
      <w:r w:rsidR="0038160E" w:rsidRPr="0038160E">
        <w:rPr>
          <w:rFonts w:ascii="Times New Roman" w:hAnsi="Times New Roman" w:cs="Times New Roman"/>
        </w:rPr>
        <w:t xml:space="preserve"> than oral iron [1, 3, 4]. International studies support these </w:t>
      </w:r>
      <w:r w:rsidR="003D2101" w:rsidRPr="0038160E">
        <w:rPr>
          <w:rFonts w:ascii="Times New Roman" w:hAnsi="Times New Roman" w:cs="Times New Roman"/>
        </w:rPr>
        <w:t>results</w:t>
      </w:r>
      <w:r w:rsidR="0038160E" w:rsidRPr="0038160E">
        <w:rPr>
          <w:rFonts w:ascii="Times New Roman" w:hAnsi="Times New Roman" w:cs="Times New Roman"/>
        </w:rPr>
        <w:t xml:space="preserve">, </w:t>
      </w:r>
      <w:r w:rsidR="003D2101" w:rsidRPr="0038160E">
        <w:rPr>
          <w:rFonts w:ascii="Times New Roman" w:hAnsi="Times New Roman" w:cs="Times New Roman"/>
        </w:rPr>
        <w:t>indicating</w:t>
      </w:r>
      <w:r w:rsidR="0038160E" w:rsidRPr="0038160E">
        <w:rPr>
          <w:rFonts w:ascii="Times New Roman" w:hAnsi="Times New Roman" w:cs="Times New Roman"/>
        </w:rPr>
        <w:t xml:space="preserve"> better efficacy, </w:t>
      </w:r>
      <w:r w:rsidR="003D2101" w:rsidRPr="0038160E">
        <w:rPr>
          <w:rFonts w:ascii="Times New Roman" w:hAnsi="Times New Roman" w:cs="Times New Roman"/>
        </w:rPr>
        <w:t>quicker</w:t>
      </w:r>
      <w:r w:rsidR="0038160E" w:rsidRPr="0038160E">
        <w:rPr>
          <w:rFonts w:ascii="Times New Roman" w:hAnsi="Times New Roman" w:cs="Times New Roman"/>
        </w:rPr>
        <w:t xml:space="preserve"> response, and </w:t>
      </w:r>
      <w:r w:rsidR="003D2101" w:rsidRPr="0038160E">
        <w:rPr>
          <w:rFonts w:ascii="Times New Roman" w:hAnsi="Times New Roman" w:cs="Times New Roman"/>
        </w:rPr>
        <w:t>better</w:t>
      </w:r>
      <w:r w:rsidR="0038160E" w:rsidRPr="0038160E">
        <w:rPr>
          <w:rFonts w:ascii="Times New Roman" w:hAnsi="Times New Roman" w:cs="Times New Roman"/>
        </w:rPr>
        <w:t xml:space="preserve"> patient satisfaction with IV iron [1</w:t>
      </w:r>
      <w:r w:rsidR="004061B7">
        <w:rPr>
          <w:rFonts w:ascii="Times New Roman" w:hAnsi="Times New Roman" w:cs="Times New Roman"/>
        </w:rPr>
        <w:t>2</w:t>
      </w:r>
      <w:r w:rsidR="0038160E" w:rsidRPr="0038160E">
        <w:rPr>
          <w:rFonts w:ascii="Times New Roman" w:hAnsi="Times New Roman" w:cs="Times New Roman"/>
        </w:rPr>
        <w:t xml:space="preserve">, </w:t>
      </w:r>
      <w:r w:rsidR="004061B7">
        <w:rPr>
          <w:rFonts w:ascii="Times New Roman" w:hAnsi="Times New Roman" w:cs="Times New Roman"/>
        </w:rPr>
        <w:t>19</w:t>
      </w:r>
      <w:r w:rsidR="0038160E" w:rsidRPr="0038160E">
        <w:rPr>
          <w:rFonts w:ascii="Times New Roman" w:hAnsi="Times New Roman" w:cs="Times New Roman"/>
        </w:rPr>
        <w:t>, 2</w:t>
      </w:r>
      <w:r w:rsidR="004061B7">
        <w:rPr>
          <w:rFonts w:ascii="Times New Roman" w:hAnsi="Times New Roman" w:cs="Times New Roman"/>
        </w:rPr>
        <w:t>0</w:t>
      </w:r>
      <w:r w:rsidR="0038160E" w:rsidRPr="0038160E">
        <w:rPr>
          <w:rFonts w:ascii="Times New Roman" w:hAnsi="Times New Roman" w:cs="Times New Roman"/>
        </w:rPr>
        <w:t xml:space="preserve">]. </w:t>
      </w:r>
      <w:r w:rsidR="003D2101" w:rsidRPr="0038160E">
        <w:rPr>
          <w:rFonts w:ascii="Times New Roman" w:hAnsi="Times New Roman" w:cs="Times New Roman"/>
        </w:rPr>
        <w:t>However</w:t>
      </w:r>
      <w:r w:rsidR="0038160E" w:rsidRPr="0038160E">
        <w:rPr>
          <w:rFonts w:ascii="Times New Roman" w:hAnsi="Times New Roman" w:cs="Times New Roman"/>
        </w:rPr>
        <w:t xml:space="preserve">, concerns exist </w:t>
      </w:r>
      <w:r w:rsidR="003D2101" w:rsidRPr="0038160E">
        <w:rPr>
          <w:rFonts w:ascii="Times New Roman" w:hAnsi="Times New Roman" w:cs="Times New Roman"/>
        </w:rPr>
        <w:t>concerning</w:t>
      </w:r>
      <w:r w:rsidR="0038160E" w:rsidRPr="0038160E">
        <w:rPr>
          <w:rFonts w:ascii="Times New Roman" w:hAnsi="Times New Roman" w:cs="Times New Roman"/>
        </w:rPr>
        <w:t xml:space="preserve"> IV iron’s cost, risk of hypersensitivity, and </w:t>
      </w:r>
      <w:r w:rsidR="003D2101" w:rsidRPr="0038160E">
        <w:rPr>
          <w:rFonts w:ascii="Times New Roman" w:hAnsi="Times New Roman" w:cs="Times New Roman"/>
        </w:rPr>
        <w:t>require</w:t>
      </w:r>
      <w:r w:rsidR="0038160E" w:rsidRPr="0038160E">
        <w:rPr>
          <w:rFonts w:ascii="Times New Roman" w:hAnsi="Times New Roman" w:cs="Times New Roman"/>
        </w:rPr>
        <w:t xml:space="preserve"> for </w:t>
      </w:r>
      <w:r w:rsidR="003D2101" w:rsidRPr="0038160E">
        <w:rPr>
          <w:rFonts w:ascii="Times New Roman" w:hAnsi="Times New Roman" w:cs="Times New Roman"/>
        </w:rPr>
        <w:t>qualified</w:t>
      </w:r>
      <w:r w:rsidR="0038160E" w:rsidRPr="0038160E">
        <w:rPr>
          <w:rFonts w:ascii="Times New Roman" w:hAnsi="Times New Roman" w:cs="Times New Roman"/>
        </w:rPr>
        <w:t xml:space="preserve"> personnel for administration [2</w:t>
      </w:r>
      <w:r w:rsidR="004061B7">
        <w:rPr>
          <w:rFonts w:ascii="Times New Roman" w:hAnsi="Times New Roman" w:cs="Times New Roman"/>
        </w:rPr>
        <w:t>0</w:t>
      </w:r>
      <w:r w:rsidR="0038160E" w:rsidRPr="0038160E">
        <w:rPr>
          <w:rFonts w:ascii="Times New Roman" w:hAnsi="Times New Roman" w:cs="Times New Roman"/>
        </w:rPr>
        <w:t>, 2</w:t>
      </w:r>
      <w:r w:rsidR="004061B7">
        <w:rPr>
          <w:rFonts w:ascii="Times New Roman" w:hAnsi="Times New Roman" w:cs="Times New Roman"/>
        </w:rPr>
        <w:t>2</w:t>
      </w:r>
      <w:r w:rsidR="0038160E" w:rsidRPr="0038160E">
        <w:rPr>
          <w:rFonts w:ascii="Times New Roman" w:hAnsi="Times New Roman" w:cs="Times New Roman"/>
        </w:rPr>
        <w:t>].</w:t>
      </w:r>
    </w:p>
    <w:p w14:paraId="25DDB445" w14:textId="4ABBE6AD" w:rsidR="0038160E" w:rsidRPr="0038160E" w:rsidRDefault="003D2101" w:rsidP="009976F4">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Current</w:t>
      </w:r>
      <w:r w:rsidR="0038160E" w:rsidRPr="0038160E">
        <w:rPr>
          <w:rFonts w:ascii="Times New Roman" w:hAnsi="Times New Roman" w:cs="Times New Roman"/>
        </w:rPr>
        <w:t xml:space="preserve"> studies have also </w:t>
      </w:r>
      <w:r w:rsidRPr="0038160E">
        <w:rPr>
          <w:rFonts w:ascii="Times New Roman" w:hAnsi="Times New Roman" w:cs="Times New Roman"/>
        </w:rPr>
        <w:t>investigated</w:t>
      </w:r>
      <w:r w:rsidR="0038160E" w:rsidRPr="0038160E">
        <w:rPr>
          <w:rFonts w:ascii="Times New Roman" w:hAnsi="Times New Roman" w:cs="Times New Roman"/>
        </w:rPr>
        <w:t xml:space="preserve"> the cost-effectiveness of IV therapy, </w:t>
      </w:r>
      <w:r w:rsidRPr="0038160E">
        <w:rPr>
          <w:rFonts w:ascii="Times New Roman" w:hAnsi="Times New Roman" w:cs="Times New Roman"/>
        </w:rPr>
        <w:t>advocating</w:t>
      </w:r>
      <w:r w:rsidR="0038160E" w:rsidRPr="0038160E">
        <w:rPr>
          <w:rFonts w:ascii="Times New Roman" w:hAnsi="Times New Roman" w:cs="Times New Roman"/>
        </w:rPr>
        <w:t xml:space="preserve"> that despite higher upfront costs, it can be economically beneficial due to </w:t>
      </w:r>
      <w:r w:rsidRPr="0038160E">
        <w:rPr>
          <w:rFonts w:ascii="Times New Roman" w:hAnsi="Times New Roman" w:cs="Times New Roman"/>
        </w:rPr>
        <w:t>decreased</w:t>
      </w:r>
      <w:r w:rsidR="0038160E" w:rsidRPr="0038160E">
        <w:rPr>
          <w:rFonts w:ascii="Times New Roman" w:hAnsi="Times New Roman" w:cs="Times New Roman"/>
        </w:rPr>
        <w:t xml:space="preserve"> hospital visits and </w:t>
      </w:r>
      <w:r w:rsidRPr="0038160E">
        <w:rPr>
          <w:rFonts w:ascii="Times New Roman" w:hAnsi="Times New Roman" w:cs="Times New Roman"/>
        </w:rPr>
        <w:t>quicker</w:t>
      </w:r>
      <w:r w:rsidR="0038160E" w:rsidRPr="0038160E">
        <w:rPr>
          <w:rFonts w:ascii="Times New Roman" w:hAnsi="Times New Roman" w:cs="Times New Roman"/>
        </w:rPr>
        <w:t xml:space="preserve"> recovery [2</w:t>
      </w:r>
      <w:r w:rsidR="004061B7">
        <w:rPr>
          <w:rFonts w:ascii="Times New Roman" w:hAnsi="Times New Roman" w:cs="Times New Roman"/>
        </w:rPr>
        <w:t>1</w:t>
      </w:r>
      <w:r w:rsidR="0038160E" w:rsidRPr="0038160E">
        <w:rPr>
          <w:rFonts w:ascii="Times New Roman" w:hAnsi="Times New Roman" w:cs="Times New Roman"/>
        </w:rPr>
        <w:t xml:space="preserve">]. </w:t>
      </w:r>
      <w:r w:rsidRPr="0038160E">
        <w:rPr>
          <w:rFonts w:ascii="Times New Roman" w:hAnsi="Times New Roman" w:cs="Times New Roman"/>
        </w:rPr>
        <w:t>Furthermore</w:t>
      </w:r>
      <w:r w:rsidR="0038160E" w:rsidRPr="0038160E">
        <w:rPr>
          <w:rFonts w:ascii="Times New Roman" w:hAnsi="Times New Roman" w:cs="Times New Roman"/>
        </w:rPr>
        <w:t xml:space="preserve">, some </w:t>
      </w:r>
      <w:r w:rsidRPr="0038160E">
        <w:rPr>
          <w:rFonts w:ascii="Times New Roman" w:hAnsi="Times New Roman" w:cs="Times New Roman"/>
        </w:rPr>
        <w:t>designs</w:t>
      </w:r>
      <w:r w:rsidR="0038160E" w:rsidRPr="0038160E">
        <w:rPr>
          <w:rFonts w:ascii="Times New Roman" w:hAnsi="Times New Roman" w:cs="Times New Roman"/>
        </w:rPr>
        <w:t xml:space="preserve"> like ferric </w:t>
      </w:r>
      <w:proofErr w:type="spellStart"/>
      <w:r w:rsidR="0038160E" w:rsidRPr="0038160E">
        <w:rPr>
          <w:rFonts w:ascii="Times New Roman" w:hAnsi="Times New Roman" w:cs="Times New Roman"/>
        </w:rPr>
        <w:t>carboxymaltose</w:t>
      </w:r>
      <w:proofErr w:type="spellEnd"/>
      <w:r w:rsidR="0038160E" w:rsidRPr="0038160E">
        <w:rPr>
          <w:rFonts w:ascii="Times New Roman" w:hAnsi="Times New Roman" w:cs="Times New Roman"/>
        </w:rPr>
        <w:t xml:space="preserve"> </w:t>
      </w:r>
      <w:r w:rsidR="00123062" w:rsidRPr="0038160E">
        <w:rPr>
          <w:rFonts w:ascii="Times New Roman" w:hAnsi="Times New Roman" w:cs="Times New Roman"/>
        </w:rPr>
        <w:t>recommend</w:t>
      </w:r>
      <w:r w:rsidR="0038160E" w:rsidRPr="0038160E">
        <w:rPr>
          <w:rFonts w:ascii="Times New Roman" w:hAnsi="Times New Roman" w:cs="Times New Roman"/>
        </w:rPr>
        <w:t xml:space="preserve"> a better </w:t>
      </w:r>
      <w:r w:rsidR="00123062" w:rsidRPr="0038160E">
        <w:rPr>
          <w:rFonts w:ascii="Times New Roman" w:hAnsi="Times New Roman" w:cs="Times New Roman"/>
        </w:rPr>
        <w:t>protection</w:t>
      </w:r>
      <w:r w:rsidR="0038160E" w:rsidRPr="0038160E">
        <w:rPr>
          <w:rFonts w:ascii="Times New Roman" w:hAnsi="Times New Roman" w:cs="Times New Roman"/>
        </w:rPr>
        <w:t xml:space="preserve"> profile and </w:t>
      </w:r>
      <w:r w:rsidR="00123062" w:rsidRPr="0038160E">
        <w:rPr>
          <w:rFonts w:ascii="Times New Roman" w:hAnsi="Times New Roman" w:cs="Times New Roman"/>
        </w:rPr>
        <w:t>accept</w:t>
      </w:r>
      <w:r w:rsidR="0038160E" w:rsidRPr="0038160E">
        <w:rPr>
          <w:rFonts w:ascii="Times New Roman" w:hAnsi="Times New Roman" w:cs="Times New Roman"/>
        </w:rPr>
        <w:t xml:space="preserve"> single high-dose administration, </w:t>
      </w:r>
      <w:r w:rsidR="00123062" w:rsidRPr="0038160E">
        <w:rPr>
          <w:rFonts w:ascii="Times New Roman" w:hAnsi="Times New Roman" w:cs="Times New Roman"/>
        </w:rPr>
        <w:t>increasing</w:t>
      </w:r>
      <w:r w:rsidR="0038160E" w:rsidRPr="0038160E">
        <w:rPr>
          <w:rFonts w:ascii="Times New Roman" w:hAnsi="Times New Roman" w:cs="Times New Roman"/>
        </w:rPr>
        <w:t xml:space="preserve"> compliance [1</w:t>
      </w:r>
      <w:r w:rsidR="004061B7">
        <w:rPr>
          <w:rFonts w:ascii="Times New Roman" w:hAnsi="Times New Roman" w:cs="Times New Roman"/>
        </w:rPr>
        <w:t>3</w:t>
      </w:r>
      <w:r w:rsidR="0038160E" w:rsidRPr="0038160E">
        <w:rPr>
          <w:rFonts w:ascii="Times New Roman" w:hAnsi="Times New Roman" w:cs="Times New Roman"/>
        </w:rPr>
        <w:t>].</w:t>
      </w:r>
    </w:p>
    <w:p w14:paraId="2C431446" w14:textId="21900D78" w:rsidR="003766C2" w:rsidRPr="00DA10E4" w:rsidRDefault="00123062" w:rsidP="009976F4">
      <w:pPr>
        <w:autoSpaceDE w:val="0"/>
        <w:autoSpaceDN w:val="0"/>
        <w:adjustRightInd w:val="0"/>
        <w:spacing w:after="0" w:line="240" w:lineRule="auto"/>
        <w:jc w:val="both"/>
        <w:rPr>
          <w:rFonts w:ascii="Times New Roman" w:hAnsi="Times New Roman" w:cs="Times New Roman"/>
        </w:rPr>
      </w:pPr>
      <w:r w:rsidRPr="0038160E">
        <w:rPr>
          <w:rFonts w:ascii="Times New Roman" w:hAnsi="Times New Roman" w:cs="Times New Roman"/>
        </w:rPr>
        <w:t>Universally</w:t>
      </w:r>
      <w:r w:rsidR="0038160E" w:rsidRPr="0038160E">
        <w:rPr>
          <w:rFonts w:ascii="Times New Roman" w:hAnsi="Times New Roman" w:cs="Times New Roman"/>
        </w:rPr>
        <w:t xml:space="preserve">, </w:t>
      </w:r>
      <w:r w:rsidRPr="0038160E">
        <w:rPr>
          <w:rFonts w:ascii="Times New Roman" w:hAnsi="Times New Roman" w:cs="Times New Roman"/>
        </w:rPr>
        <w:t>guides</w:t>
      </w:r>
      <w:r w:rsidR="0038160E" w:rsidRPr="0038160E">
        <w:rPr>
          <w:rFonts w:ascii="Times New Roman" w:hAnsi="Times New Roman" w:cs="Times New Roman"/>
        </w:rPr>
        <w:t xml:space="preserve"> from WHO and NICE </w:t>
      </w:r>
      <w:r w:rsidRPr="0038160E">
        <w:rPr>
          <w:rFonts w:ascii="Times New Roman" w:hAnsi="Times New Roman" w:cs="Times New Roman"/>
        </w:rPr>
        <w:t>advice</w:t>
      </w:r>
      <w:r w:rsidR="0038160E" w:rsidRPr="0038160E">
        <w:rPr>
          <w:rFonts w:ascii="Times New Roman" w:hAnsi="Times New Roman" w:cs="Times New Roman"/>
        </w:rPr>
        <w:t xml:space="preserve"> tailored </w:t>
      </w:r>
      <w:r w:rsidRPr="0038160E">
        <w:rPr>
          <w:rFonts w:ascii="Times New Roman" w:hAnsi="Times New Roman" w:cs="Times New Roman"/>
        </w:rPr>
        <w:t>methods</w:t>
      </w:r>
      <w:r w:rsidR="0038160E" w:rsidRPr="0038160E">
        <w:rPr>
          <w:rFonts w:ascii="Times New Roman" w:hAnsi="Times New Roman" w:cs="Times New Roman"/>
        </w:rPr>
        <w:t xml:space="preserve"> based on the </w:t>
      </w:r>
      <w:r w:rsidRPr="0038160E">
        <w:rPr>
          <w:rFonts w:ascii="Times New Roman" w:hAnsi="Times New Roman" w:cs="Times New Roman"/>
        </w:rPr>
        <w:t>seriousness</w:t>
      </w:r>
      <w:r w:rsidR="0038160E" w:rsidRPr="0038160E">
        <w:rPr>
          <w:rFonts w:ascii="Times New Roman" w:hAnsi="Times New Roman" w:cs="Times New Roman"/>
        </w:rPr>
        <w:t xml:space="preserve"> of </w:t>
      </w:r>
      <w:r w:rsidR="0048617F">
        <w:rPr>
          <w:rFonts w:ascii="Times New Roman" w:hAnsi="Times New Roman" w:cs="Times New Roman"/>
        </w:rPr>
        <w:t>an</w:t>
      </w:r>
      <w:r w:rsidR="0038160E" w:rsidRPr="0038160E">
        <w:rPr>
          <w:rFonts w:ascii="Times New Roman" w:hAnsi="Times New Roman" w:cs="Times New Roman"/>
        </w:rPr>
        <w:t>emia, patient tolerance, and urgency of correction [5, 1</w:t>
      </w:r>
      <w:r w:rsidR="004061B7">
        <w:rPr>
          <w:rFonts w:ascii="Times New Roman" w:hAnsi="Times New Roman" w:cs="Times New Roman"/>
        </w:rPr>
        <w:t>4</w:t>
      </w:r>
      <w:r w:rsidR="0038160E" w:rsidRPr="0038160E">
        <w:rPr>
          <w:rFonts w:ascii="Times New Roman" w:hAnsi="Times New Roman" w:cs="Times New Roman"/>
        </w:rPr>
        <w:t xml:space="preserve">]. In Bangladesh, </w:t>
      </w:r>
      <w:r w:rsidRPr="0038160E">
        <w:rPr>
          <w:rFonts w:ascii="Times New Roman" w:hAnsi="Times New Roman" w:cs="Times New Roman"/>
        </w:rPr>
        <w:t>incorporation</w:t>
      </w:r>
      <w:r w:rsidR="0038160E" w:rsidRPr="0038160E">
        <w:rPr>
          <w:rFonts w:ascii="Times New Roman" w:hAnsi="Times New Roman" w:cs="Times New Roman"/>
        </w:rPr>
        <w:t xml:space="preserve"> of such </w:t>
      </w:r>
      <w:r w:rsidRPr="0038160E">
        <w:rPr>
          <w:rFonts w:ascii="Times New Roman" w:hAnsi="Times New Roman" w:cs="Times New Roman"/>
        </w:rPr>
        <w:t>regulations</w:t>
      </w:r>
      <w:r w:rsidR="0038160E" w:rsidRPr="0038160E">
        <w:rPr>
          <w:rFonts w:ascii="Times New Roman" w:hAnsi="Times New Roman" w:cs="Times New Roman"/>
        </w:rPr>
        <w:t xml:space="preserve"> remains </w:t>
      </w:r>
      <w:r w:rsidRPr="0038160E">
        <w:rPr>
          <w:rFonts w:ascii="Times New Roman" w:hAnsi="Times New Roman" w:cs="Times New Roman"/>
        </w:rPr>
        <w:t>not consistent</w:t>
      </w:r>
      <w:r w:rsidR="0038160E" w:rsidRPr="0038160E">
        <w:rPr>
          <w:rFonts w:ascii="Times New Roman" w:hAnsi="Times New Roman" w:cs="Times New Roman"/>
        </w:rPr>
        <w:t xml:space="preserve">, </w:t>
      </w:r>
      <w:r w:rsidRPr="0038160E">
        <w:rPr>
          <w:rFonts w:ascii="Times New Roman" w:hAnsi="Times New Roman" w:cs="Times New Roman"/>
        </w:rPr>
        <w:t>managing</w:t>
      </w:r>
      <w:r w:rsidR="0038160E" w:rsidRPr="0038160E">
        <w:rPr>
          <w:rFonts w:ascii="Times New Roman" w:hAnsi="Times New Roman" w:cs="Times New Roman"/>
        </w:rPr>
        <w:t xml:space="preserve"> to </w:t>
      </w:r>
      <w:r w:rsidRPr="0038160E">
        <w:rPr>
          <w:rFonts w:ascii="Times New Roman" w:hAnsi="Times New Roman" w:cs="Times New Roman"/>
        </w:rPr>
        <w:t>vary</w:t>
      </w:r>
      <w:r w:rsidR="0038160E" w:rsidRPr="0038160E">
        <w:rPr>
          <w:rFonts w:ascii="Times New Roman" w:hAnsi="Times New Roman" w:cs="Times New Roman"/>
        </w:rPr>
        <w:t xml:space="preserve"> clinical practices across institutions [1</w:t>
      </w:r>
      <w:r w:rsidR="004061B7">
        <w:rPr>
          <w:rFonts w:ascii="Times New Roman" w:hAnsi="Times New Roman" w:cs="Times New Roman"/>
        </w:rPr>
        <w:t>1</w:t>
      </w:r>
      <w:r w:rsidR="0038160E" w:rsidRPr="0038160E">
        <w:rPr>
          <w:rFonts w:ascii="Times New Roman" w:hAnsi="Times New Roman" w:cs="Times New Roman"/>
        </w:rPr>
        <w:t>].</w:t>
      </w:r>
    </w:p>
    <w:p w14:paraId="63E7E91C" w14:textId="5A2082B4" w:rsidR="00CD01F2" w:rsidRPr="00DA10E4" w:rsidRDefault="00CD01F2" w:rsidP="009976F4">
      <w:pPr>
        <w:autoSpaceDE w:val="0"/>
        <w:autoSpaceDN w:val="0"/>
        <w:adjustRightInd w:val="0"/>
        <w:spacing w:after="0" w:line="240" w:lineRule="auto"/>
        <w:jc w:val="both"/>
        <w:rPr>
          <w:rFonts w:ascii="Times New Roman" w:hAnsi="Times New Roman" w:cs="Times New Roman"/>
          <w:b/>
          <w:bCs/>
        </w:rPr>
      </w:pPr>
      <w:r w:rsidRPr="00DA10E4">
        <w:rPr>
          <w:rFonts w:ascii="Times New Roman" w:hAnsi="Times New Roman" w:cs="Times New Roman"/>
          <w:b/>
          <w:bCs/>
        </w:rPr>
        <w:t>Methods:</w:t>
      </w:r>
    </w:p>
    <w:p w14:paraId="7B6EC9DD" w14:textId="77777777" w:rsidR="00EE09F6" w:rsidRDefault="00EE09F6" w:rsidP="009976F4">
      <w:pPr>
        <w:autoSpaceDE w:val="0"/>
        <w:autoSpaceDN w:val="0"/>
        <w:adjustRightInd w:val="0"/>
        <w:spacing w:after="0" w:line="240" w:lineRule="auto"/>
        <w:jc w:val="both"/>
        <w:rPr>
          <w:rFonts w:ascii="Times New Roman" w:hAnsi="Times New Roman" w:cs="Times New Roman"/>
        </w:rPr>
      </w:pPr>
      <w:r w:rsidRPr="00EE09F6">
        <w:rPr>
          <w:rFonts w:ascii="Times New Roman" w:hAnsi="Times New Roman" w:cs="Times New Roman"/>
        </w:rPr>
        <w:t xml:space="preserve">Methodology: This is a randomized controlled trial, and this study was conducted at the Department of Obstetrics and Gynecology, BMU, Dhaka, from July 2023 to June 2024. The study aimed to compare the effectiveness of intravenous ferric </w:t>
      </w:r>
      <w:proofErr w:type="spellStart"/>
      <w:r w:rsidRPr="00EE09F6">
        <w:rPr>
          <w:rFonts w:ascii="Times New Roman" w:hAnsi="Times New Roman" w:cs="Times New Roman"/>
        </w:rPr>
        <w:t>carboxymaltose</w:t>
      </w:r>
      <w:proofErr w:type="spellEnd"/>
      <w:r w:rsidRPr="00EE09F6">
        <w:rPr>
          <w:rFonts w:ascii="Times New Roman" w:hAnsi="Times New Roman" w:cs="Times New Roman"/>
        </w:rPr>
        <w:t xml:space="preserve"> (FCM) and oral iron therapy regarding postpartum iron deficiency anemia (IDA). A total of 92 postpartum women diagnosed with moderate IDA (hemoglobin 7-9.9 g/dL and serum ferritin &lt;30 µg/L) were enrolled based on inclusion criteria and randomized into two equal groups (46 each) with a simple random method. The sample size was calculated using G*Power software, assuming a 95% confidence level, 80% power, and a mean difference of 1.2 g/dL in hemoglobin levels between the two groups, with a standard deviation of 1.8 and a 10% margin for dropout. Group I received a single dose of intravenous FCM, adjusted for body </w:t>
      </w:r>
      <w:r w:rsidRPr="00EE09F6">
        <w:rPr>
          <w:rFonts w:ascii="Times New Roman" w:hAnsi="Times New Roman" w:cs="Times New Roman"/>
        </w:rPr>
        <w:t>weight and baseline hemoglobin, while Group II received oral iron therapy comprising ferrous ascorbate (48 mg elemental iron), folic acid (0.5 mg), and zinc sulfate (22.5 mg), taken twice daily for six weeks. Hemoglobin and serum ferritin were calculated at baseline, 2 weeks, and 6 weeks. Week 2 was preferred to evaluate immediate response and tolerability, while week 6 assessed sustained reply and iron store replacement. Bad effects and compliance with treatment were noted down during the study period. Ethical approval was acquired from the Institutional Review Board of BMU, and written informed consent was ensured from all contributors. Data analysis was done using SPSS version 26. Descriptive statistics were employed for baseline characteristics, while inferential statistics with Chi-square, Fisher’s exact, and t-tests were concerned to assess changes between groups, with significance set at p&lt;0.05.</w:t>
      </w:r>
    </w:p>
    <w:p w14:paraId="7C28C170" w14:textId="77777777" w:rsidR="00EE09F6" w:rsidRDefault="00EE09F6" w:rsidP="00DA10E4">
      <w:pPr>
        <w:autoSpaceDE w:val="0"/>
        <w:autoSpaceDN w:val="0"/>
        <w:adjustRightInd w:val="0"/>
        <w:spacing w:after="0" w:line="240" w:lineRule="auto"/>
        <w:rPr>
          <w:rFonts w:ascii="Times New Roman" w:hAnsi="Times New Roman" w:cs="Times New Roman"/>
        </w:rPr>
      </w:pPr>
    </w:p>
    <w:p w14:paraId="52E6C371" w14:textId="6443127A" w:rsidR="00CD01F2" w:rsidRPr="00DA10E4" w:rsidRDefault="00CD01F2"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Results:</w:t>
      </w:r>
    </w:p>
    <w:p w14:paraId="67113105" w14:textId="446A77C8" w:rsidR="003766C2" w:rsidRDefault="005A647F" w:rsidP="00DA10E4">
      <w:pPr>
        <w:autoSpaceDE w:val="0"/>
        <w:autoSpaceDN w:val="0"/>
        <w:adjustRightInd w:val="0"/>
        <w:spacing w:after="0" w:line="240" w:lineRule="auto"/>
        <w:jc w:val="both"/>
        <w:rPr>
          <w:rFonts w:ascii="Times New Roman" w:hAnsi="Times New Roman" w:cs="Times New Roman"/>
        </w:rPr>
      </w:pPr>
      <w:r w:rsidRPr="005A647F">
        <w:rPr>
          <w:rFonts w:ascii="Times New Roman" w:hAnsi="Times New Roman" w:cs="Times New Roman"/>
        </w:rPr>
        <w:t>Our study contained 92 postpartum women, half accepting IV iron and half oral. At 6 weeks, 43.5% were still anemic. Most 65.2% stated side effects; oral iron had more GI issues, while IV iron saw added dysgeusia/headache. Treatment type significantly impacted hemoglobin achievement and improvement at 2 and 6 weeks, describing IV iron's better efficacy.</w:t>
      </w:r>
    </w:p>
    <w:p w14:paraId="6EC29903" w14:textId="77777777" w:rsidR="005A647F" w:rsidRDefault="005A647F" w:rsidP="00DA10E4">
      <w:pPr>
        <w:autoSpaceDE w:val="0"/>
        <w:autoSpaceDN w:val="0"/>
        <w:adjustRightInd w:val="0"/>
        <w:spacing w:after="0" w:line="240" w:lineRule="auto"/>
        <w:jc w:val="both"/>
        <w:rPr>
          <w:rFonts w:ascii="Times New Roman" w:hAnsi="Times New Roman" w:cs="Times New Roman"/>
        </w:rPr>
      </w:pPr>
    </w:p>
    <w:p w14:paraId="031CD261" w14:textId="4BE9E55E" w:rsidR="005B0070" w:rsidRPr="00DA10E4" w:rsidRDefault="001311F7"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Table 1: Socio-Demographic Characteristics of the Respondents.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1499"/>
        <w:gridCol w:w="1184"/>
      </w:tblGrid>
      <w:tr w:rsidR="00B2201F" w:rsidRPr="00DA10E4" w14:paraId="21F6FD3C" w14:textId="77777777" w:rsidTr="002F7E66">
        <w:trPr>
          <w:trHeight w:hRule="exact" w:val="388"/>
        </w:trPr>
        <w:tc>
          <w:tcPr>
            <w:tcW w:w="2043" w:type="pct"/>
            <w:tcBorders>
              <w:top w:val="single" w:sz="4" w:space="0" w:color="auto"/>
              <w:bottom w:val="single" w:sz="4" w:space="0" w:color="auto"/>
            </w:tcBorders>
          </w:tcPr>
          <w:p w14:paraId="55C9800E" w14:textId="77777777" w:rsidR="00B2201F" w:rsidRPr="00DA10E4" w:rsidRDefault="00B2201F" w:rsidP="00DA10E4">
            <w:pPr>
              <w:autoSpaceDE w:val="0"/>
              <w:autoSpaceDN w:val="0"/>
              <w:adjustRightInd w:val="0"/>
              <w:rPr>
                <w:rFonts w:ascii="Times New Roman" w:hAnsi="Times New Roman" w:cs="Times New Roman"/>
              </w:rPr>
            </w:pPr>
            <w:r w:rsidRPr="00DA10E4">
              <w:rPr>
                <w:rFonts w:ascii="Times New Roman" w:hAnsi="Times New Roman" w:cs="Times New Roman"/>
                <w:b/>
                <w:bCs/>
                <w:color w:val="000000"/>
              </w:rPr>
              <w:t>Age category</w:t>
            </w:r>
          </w:p>
        </w:tc>
        <w:tc>
          <w:tcPr>
            <w:tcW w:w="1652" w:type="pct"/>
            <w:tcBorders>
              <w:top w:val="single" w:sz="4" w:space="0" w:color="auto"/>
              <w:bottom w:val="single" w:sz="4" w:space="0" w:color="auto"/>
            </w:tcBorders>
          </w:tcPr>
          <w:p w14:paraId="2E4287FB" w14:textId="77777777" w:rsidR="00B2201F" w:rsidRPr="00DA10E4" w:rsidRDefault="00B2201F" w:rsidP="00DA10E4">
            <w:pPr>
              <w:autoSpaceDE w:val="0"/>
              <w:autoSpaceDN w:val="0"/>
              <w:adjustRightInd w:val="0"/>
              <w:ind w:left="60" w:right="60"/>
              <w:jc w:val="center"/>
              <w:rPr>
                <w:rFonts w:ascii="Times New Roman" w:hAnsi="Times New Roman" w:cs="Times New Roman"/>
                <w:b/>
                <w:color w:val="000000"/>
              </w:rPr>
            </w:pPr>
            <w:r w:rsidRPr="00DA10E4">
              <w:rPr>
                <w:rFonts w:ascii="Times New Roman" w:hAnsi="Times New Roman" w:cs="Times New Roman"/>
                <w:b/>
                <w:color w:val="000000"/>
              </w:rPr>
              <w:t>Frequency</w:t>
            </w:r>
          </w:p>
        </w:tc>
        <w:tc>
          <w:tcPr>
            <w:tcW w:w="1304" w:type="pct"/>
            <w:tcBorders>
              <w:top w:val="single" w:sz="4" w:space="0" w:color="auto"/>
              <w:bottom w:val="single" w:sz="4" w:space="0" w:color="auto"/>
            </w:tcBorders>
          </w:tcPr>
          <w:p w14:paraId="49677B6E" w14:textId="77777777" w:rsidR="00B2201F" w:rsidRPr="00DA10E4" w:rsidRDefault="00B2201F" w:rsidP="00DA10E4">
            <w:pPr>
              <w:autoSpaceDE w:val="0"/>
              <w:autoSpaceDN w:val="0"/>
              <w:adjustRightInd w:val="0"/>
              <w:ind w:left="60" w:right="60"/>
              <w:jc w:val="center"/>
              <w:rPr>
                <w:rFonts w:ascii="Times New Roman" w:hAnsi="Times New Roman" w:cs="Times New Roman"/>
                <w:b/>
                <w:color w:val="000000"/>
              </w:rPr>
            </w:pPr>
            <w:r w:rsidRPr="00DA10E4">
              <w:rPr>
                <w:rFonts w:ascii="Times New Roman" w:hAnsi="Times New Roman" w:cs="Times New Roman"/>
                <w:b/>
                <w:color w:val="000000"/>
              </w:rPr>
              <w:t>Percent</w:t>
            </w:r>
          </w:p>
        </w:tc>
      </w:tr>
      <w:tr w:rsidR="00B2201F" w:rsidRPr="00DA10E4" w14:paraId="5898BCDE" w14:textId="77777777" w:rsidTr="002F7E66">
        <w:trPr>
          <w:trHeight w:hRule="exact" w:val="288"/>
        </w:trPr>
        <w:tc>
          <w:tcPr>
            <w:tcW w:w="2043" w:type="pct"/>
            <w:tcBorders>
              <w:top w:val="single" w:sz="4" w:space="0" w:color="auto"/>
            </w:tcBorders>
          </w:tcPr>
          <w:p w14:paraId="1B5DAB35"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20-30</w:t>
            </w:r>
          </w:p>
        </w:tc>
        <w:tc>
          <w:tcPr>
            <w:tcW w:w="1652" w:type="pct"/>
            <w:tcBorders>
              <w:top w:val="single" w:sz="4" w:space="0" w:color="auto"/>
            </w:tcBorders>
          </w:tcPr>
          <w:p w14:paraId="737DE3DF"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48</w:t>
            </w:r>
          </w:p>
        </w:tc>
        <w:tc>
          <w:tcPr>
            <w:tcW w:w="1304" w:type="pct"/>
            <w:tcBorders>
              <w:top w:val="single" w:sz="4" w:space="0" w:color="auto"/>
            </w:tcBorders>
          </w:tcPr>
          <w:p w14:paraId="3F9BD720"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52.2</w:t>
            </w:r>
          </w:p>
        </w:tc>
      </w:tr>
      <w:tr w:rsidR="00B2201F" w:rsidRPr="00DA10E4" w14:paraId="1EB3CF03" w14:textId="77777777" w:rsidTr="002F7E66">
        <w:trPr>
          <w:trHeight w:hRule="exact" w:val="288"/>
        </w:trPr>
        <w:tc>
          <w:tcPr>
            <w:tcW w:w="2043" w:type="pct"/>
          </w:tcPr>
          <w:p w14:paraId="76926D1B"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30+</w:t>
            </w:r>
          </w:p>
        </w:tc>
        <w:tc>
          <w:tcPr>
            <w:tcW w:w="1652" w:type="pct"/>
          </w:tcPr>
          <w:p w14:paraId="6A70AA8E"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44</w:t>
            </w:r>
          </w:p>
        </w:tc>
        <w:tc>
          <w:tcPr>
            <w:tcW w:w="1304" w:type="pct"/>
          </w:tcPr>
          <w:p w14:paraId="7F4BEC43"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47.8</w:t>
            </w:r>
          </w:p>
        </w:tc>
      </w:tr>
      <w:tr w:rsidR="00B2201F" w:rsidRPr="00DA10E4" w14:paraId="000D1B62" w14:textId="77777777" w:rsidTr="002F7E66">
        <w:trPr>
          <w:trHeight w:hRule="exact" w:val="288"/>
        </w:trPr>
        <w:tc>
          <w:tcPr>
            <w:tcW w:w="2043" w:type="pct"/>
            <w:tcBorders>
              <w:bottom w:val="nil"/>
            </w:tcBorders>
          </w:tcPr>
          <w:p w14:paraId="7319658D" w14:textId="77777777" w:rsidR="00B2201F" w:rsidRPr="00DA10E4" w:rsidRDefault="00B2201F" w:rsidP="00DA10E4">
            <w:pPr>
              <w:autoSpaceDE w:val="0"/>
              <w:autoSpaceDN w:val="0"/>
              <w:adjustRightInd w:val="0"/>
              <w:rPr>
                <w:rFonts w:ascii="Times New Roman" w:hAnsi="Times New Roman" w:cs="Times New Roman"/>
              </w:rPr>
            </w:pPr>
            <w:proofErr w:type="spellStart"/>
            <w:r w:rsidRPr="00DA10E4">
              <w:rPr>
                <w:rFonts w:ascii="Times New Roman" w:hAnsi="Times New Roman" w:cs="Times New Roman"/>
                <w:color w:val="000000"/>
              </w:rPr>
              <w:t>Mean±SD</w:t>
            </w:r>
            <w:proofErr w:type="spellEnd"/>
          </w:p>
        </w:tc>
        <w:tc>
          <w:tcPr>
            <w:tcW w:w="2957" w:type="pct"/>
            <w:gridSpan w:val="2"/>
            <w:tcBorders>
              <w:bottom w:val="nil"/>
            </w:tcBorders>
          </w:tcPr>
          <w:p w14:paraId="3059CCA8" w14:textId="77777777" w:rsidR="00B2201F" w:rsidRPr="00DA10E4" w:rsidRDefault="00B2201F" w:rsidP="00DA10E4">
            <w:pPr>
              <w:autoSpaceDE w:val="0"/>
              <w:autoSpaceDN w:val="0"/>
              <w:adjustRightInd w:val="0"/>
              <w:jc w:val="center"/>
              <w:rPr>
                <w:rFonts w:ascii="Times New Roman" w:hAnsi="Times New Roman" w:cs="Times New Roman"/>
              </w:rPr>
            </w:pPr>
            <w:r w:rsidRPr="00DA10E4">
              <w:rPr>
                <w:rFonts w:ascii="Times New Roman" w:hAnsi="Times New Roman" w:cs="Times New Roman"/>
                <w:color w:val="000000"/>
              </w:rPr>
              <w:t>29.18±5.804</w:t>
            </w:r>
          </w:p>
        </w:tc>
      </w:tr>
      <w:tr w:rsidR="00B2201F" w:rsidRPr="00DA10E4" w14:paraId="5EC333E6" w14:textId="77777777" w:rsidTr="002F7E66">
        <w:trPr>
          <w:trHeight w:hRule="exact" w:val="288"/>
        </w:trPr>
        <w:tc>
          <w:tcPr>
            <w:tcW w:w="5000" w:type="pct"/>
            <w:gridSpan w:val="3"/>
            <w:tcBorders>
              <w:top w:val="nil"/>
              <w:bottom w:val="single" w:sz="4" w:space="0" w:color="auto"/>
            </w:tcBorders>
          </w:tcPr>
          <w:p w14:paraId="11E0239F" w14:textId="77777777" w:rsidR="00B2201F" w:rsidRPr="00DA10E4" w:rsidRDefault="00B2201F" w:rsidP="00DA10E4">
            <w:pPr>
              <w:autoSpaceDE w:val="0"/>
              <w:autoSpaceDN w:val="0"/>
              <w:adjustRightInd w:val="0"/>
              <w:rPr>
                <w:rFonts w:ascii="Times New Roman" w:hAnsi="Times New Roman" w:cs="Times New Roman"/>
              </w:rPr>
            </w:pPr>
            <w:r w:rsidRPr="00DA10E4">
              <w:rPr>
                <w:rFonts w:ascii="Times New Roman" w:hAnsi="Times New Roman" w:cs="Times New Roman"/>
                <w:b/>
                <w:bCs/>
                <w:color w:val="000000"/>
              </w:rPr>
              <w:t>Monthly family income (BDT)</w:t>
            </w:r>
          </w:p>
        </w:tc>
      </w:tr>
      <w:tr w:rsidR="00B2201F" w:rsidRPr="00DA10E4" w14:paraId="74B3260F" w14:textId="77777777" w:rsidTr="002F7E66">
        <w:trPr>
          <w:trHeight w:hRule="exact" w:val="288"/>
        </w:trPr>
        <w:tc>
          <w:tcPr>
            <w:tcW w:w="2043" w:type="pct"/>
            <w:tcBorders>
              <w:top w:val="single" w:sz="4" w:space="0" w:color="auto"/>
            </w:tcBorders>
          </w:tcPr>
          <w:p w14:paraId="01AADB57"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&lt;30,000</w:t>
            </w:r>
          </w:p>
        </w:tc>
        <w:tc>
          <w:tcPr>
            <w:tcW w:w="1652" w:type="pct"/>
            <w:tcBorders>
              <w:top w:val="single" w:sz="4" w:space="0" w:color="auto"/>
            </w:tcBorders>
          </w:tcPr>
          <w:p w14:paraId="12AD3F46"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35</w:t>
            </w:r>
          </w:p>
        </w:tc>
        <w:tc>
          <w:tcPr>
            <w:tcW w:w="1304" w:type="pct"/>
            <w:tcBorders>
              <w:top w:val="single" w:sz="4" w:space="0" w:color="auto"/>
            </w:tcBorders>
          </w:tcPr>
          <w:p w14:paraId="1B61096C"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38.0</w:t>
            </w:r>
          </w:p>
        </w:tc>
      </w:tr>
      <w:tr w:rsidR="00B2201F" w:rsidRPr="00DA10E4" w14:paraId="4B7F7251" w14:textId="77777777" w:rsidTr="002F7E66">
        <w:trPr>
          <w:trHeight w:hRule="exact" w:val="288"/>
        </w:trPr>
        <w:tc>
          <w:tcPr>
            <w:tcW w:w="2043" w:type="pct"/>
          </w:tcPr>
          <w:p w14:paraId="17C805A3"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20,000–50,000</w:t>
            </w:r>
          </w:p>
        </w:tc>
        <w:tc>
          <w:tcPr>
            <w:tcW w:w="1652" w:type="pct"/>
          </w:tcPr>
          <w:p w14:paraId="6F8CFF2D"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38</w:t>
            </w:r>
          </w:p>
        </w:tc>
        <w:tc>
          <w:tcPr>
            <w:tcW w:w="1304" w:type="pct"/>
          </w:tcPr>
          <w:p w14:paraId="0F264DB3"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41.3</w:t>
            </w:r>
          </w:p>
        </w:tc>
      </w:tr>
      <w:tr w:rsidR="00B2201F" w:rsidRPr="00DA10E4" w14:paraId="49C71CF1" w14:textId="77777777" w:rsidTr="002F7E66">
        <w:trPr>
          <w:trHeight w:hRule="exact" w:val="288"/>
        </w:trPr>
        <w:tc>
          <w:tcPr>
            <w:tcW w:w="2043" w:type="pct"/>
          </w:tcPr>
          <w:p w14:paraId="7351604B"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&gt;50,000</w:t>
            </w:r>
          </w:p>
        </w:tc>
        <w:tc>
          <w:tcPr>
            <w:tcW w:w="1652" w:type="pct"/>
          </w:tcPr>
          <w:p w14:paraId="13E81968"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19</w:t>
            </w:r>
          </w:p>
        </w:tc>
        <w:tc>
          <w:tcPr>
            <w:tcW w:w="1304" w:type="pct"/>
          </w:tcPr>
          <w:p w14:paraId="4A235D82"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20.7</w:t>
            </w:r>
          </w:p>
        </w:tc>
      </w:tr>
      <w:tr w:rsidR="00B2201F" w:rsidRPr="00DA10E4" w14:paraId="11EC80DD" w14:textId="77777777" w:rsidTr="002F7E66">
        <w:trPr>
          <w:trHeight w:hRule="exact" w:val="288"/>
        </w:trPr>
        <w:tc>
          <w:tcPr>
            <w:tcW w:w="5000" w:type="pct"/>
            <w:gridSpan w:val="3"/>
          </w:tcPr>
          <w:p w14:paraId="76AE25C9"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Parity</w:t>
            </w:r>
          </w:p>
        </w:tc>
      </w:tr>
      <w:tr w:rsidR="00B2201F" w:rsidRPr="00DA10E4" w14:paraId="23E92612" w14:textId="77777777" w:rsidTr="002F7E66">
        <w:trPr>
          <w:trHeight w:hRule="exact" w:val="288"/>
        </w:trPr>
        <w:tc>
          <w:tcPr>
            <w:tcW w:w="2043" w:type="pct"/>
          </w:tcPr>
          <w:p w14:paraId="3918670B"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 xml:space="preserve">Primipara </w:t>
            </w:r>
          </w:p>
        </w:tc>
        <w:tc>
          <w:tcPr>
            <w:tcW w:w="1652" w:type="pct"/>
          </w:tcPr>
          <w:p w14:paraId="7835D2C8"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37</w:t>
            </w:r>
          </w:p>
        </w:tc>
        <w:tc>
          <w:tcPr>
            <w:tcW w:w="1304" w:type="pct"/>
          </w:tcPr>
          <w:p w14:paraId="43E42EED"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40.2</w:t>
            </w:r>
          </w:p>
        </w:tc>
      </w:tr>
      <w:tr w:rsidR="00B2201F" w:rsidRPr="00DA10E4" w14:paraId="72AEBCEE" w14:textId="77777777" w:rsidTr="002F7E66">
        <w:trPr>
          <w:trHeight w:hRule="exact" w:val="288"/>
        </w:trPr>
        <w:tc>
          <w:tcPr>
            <w:tcW w:w="2043" w:type="pct"/>
            <w:tcBorders>
              <w:bottom w:val="single" w:sz="4" w:space="0" w:color="auto"/>
            </w:tcBorders>
          </w:tcPr>
          <w:p w14:paraId="42665090" w14:textId="77777777" w:rsidR="00B2201F" w:rsidRPr="00DA10E4" w:rsidRDefault="00B2201F" w:rsidP="00DA10E4">
            <w:pPr>
              <w:autoSpaceDE w:val="0"/>
              <w:autoSpaceDN w:val="0"/>
              <w:adjustRightInd w:val="0"/>
              <w:ind w:left="60" w:right="60"/>
              <w:rPr>
                <w:rFonts w:ascii="Times New Roman" w:hAnsi="Times New Roman" w:cs="Times New Roman"/>
                <w:color w:val="000000"/>
              </w:rPr>
            </w:pPr>
            <w:r w:rsidRPr="00DA10E4">
              <w:rPr>
                <w:rFonts w:ascii="Times New Roman" w:hAnsi="Times New Roman" w:cs="Times New Roman"/>
                <w:color w:val="000000"/>
              </w:rPr>
              <w:t xml:space="preserve">Multipara </w:t>
            </w:r>
          </w:p>
        </w:tc>
        <w:tc>
          <w:tcPr>
            <w:tcW w:w="1652" w:type="pct"/>
            <w:tcBorders>
              <w:bottom w:val="single" w:sz="4" w:space="0" w:color="auto"/>
            </w:tcBorders>
          </w:tcPr>
          <w:p w14:paraId="6A2D7DD9"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55</w:t>
            </w:r>
          </w:p>
        </w:tc>
        <w:tc>
          <w:tcPr>
            <w:tcW w:w="1304" w:type="pct"/>
            <w:tcBorders>
              <w:bottom w:val="single" w:sz="4" w:space="0" w:color="auto"/>
            </w:tcBorders>
          </w:tcPr>
          <w:p w14:paraId="6E41F05B" w14:textId="77777777" w:rsidR="00B2201F" w:rsidRPr="00DA10E4" w:rsidRDefault="00B2201F" w:rsidP="00DA10E4">
            <w:pPr>
              <w:autoSpaceDE w:val="0"/>
              <w:autoSpaceDN w:val="0"/>
              <w:adjustRightInd w:val="0"/>
              <w:ind w:left="60" w:right="60"/>
              <w:jc w:val="center"/>
              <w:rPr>
                <w:rFonts w:ascii="Times New Roman" w:hAnsi="Times New Roman" w:cs="Times New Roman"/>
                <w:color w:val="000000"/>
              </w:rPr>
            </w:pPr>
            <w:r w:rsidRPr="00DA10E4">
              <w:rPr>
                <w:rFonts w:ascii="Times New Roman" w:hAnsi="Times New Roman" w:cs="Times New Roman"/>
                <w:color w:val="000000"/>
              </w:rPr>
              <w:t>59.8</w:t>
            </w:r>
          </w:p>
        </w:tc>
      </w:tr>
      <w:tr w:rsidR="00B2201F" w:rsidRPr="00DA10E4" w14:paraId="2446C389" w14:textId="77777777" w:rsidTr="002F7E66">
        <w:trPr>
          <w:trHeight w:hRule="exact" w:val="352"/>
        </w:trPr>
        <w:tc>
          <w:tcPr>
            <w:tcW w:w="2043" w:type="pct"/>
            <w:tcBorders>
              <w:top w:val="single" w:sz="4" w:space="0" w:color="auto"/>
              <w:bottom w:val="single" w:sz="4" w:space="0" w:color="auto"/>
            </w:tcBorders>
          </w:tcPr>
          <w:p w14:paraId="3492E9A0" w14:textId="77777777" w:rsidR="00B2201F" w:rsidRPr="00DA10E4" w:rsidRDefault="00B2201F" w:rsidP="00DA10E4">
            <w:pPr>
              <w:autoSpaceDE w:val="0"/>
              <w:autoSpaceDN w:val="0"/>
              <w:adjustRightInd w:val="0"/>
              <w:ind w:left="60" w:right="60"/>
              <w:rPr>
                <w:rFonts w:ascii="Times New Roman" w:hAnsi="Times New Roman" w:cs="Times New Roman"/>
                <w:b/>
                <w:bCs/>
                <w:color w:val="000000"/>
              </w:rPr>
            </w:pPr>
            <w:r w:rsidRPr="00DA10E4">
              <w:rPr>
                <w:rFonts w:ascii="Times New Roman" w:hAnsi="Times New Roman" w:cs="Times New Roman"/>
                <w:b/>
                <w:bCs/>
                <w:color w:val="000000"/>
              </w:rPr>
              <w:t>Total</w:t>
            </w:r>
          </w:p>
        </w:tc>
        <w:tc>
          <w:tcPr>
            <w:tcW w:w="1652" w:type="pct"/>
            <w:tcBorders>
              <w:top w:val="single" w:sz="4" w:space="0" w:color="auto"/>
              <w:bottom w:val="single" w:sz="4" w:space="0" w:color="auto"/>
            </w:tcBorders>
          </w:tcPr>
          <w:p w14:paraId="03198003" w14:textId="77777777" w:rsidR="00B2201F" w:rsidRPr="00DA10E4" w:rsidRDefault="00B2201F" w:rsidP="00DA10E4">
            <w:pPr>
              <w:autoSpaceDE w:val="0"/>
              <w:autoSpaceDN w:val="0"/>
              <w:adjustRightInd w:val="0"/>
              <w:ind w:left="60" w:right="60"/>
              <w:jc w:val="center"/>
              <w:rPr>
                <w:rFonts w:ascii="Times New Roman" w:hAnsi="Times New Roman" w:cs="Times New Roman"/>
                <w:b/>
                <w:bCs/>
                <w:color w:val="000000"/>
              </w:rPr>
            </w:pPr>
            <w:r w:rsidRPr="00DA10E4">
              <w:rPr>
                <w:rFonts w:ascii="Times New Roman" w:hAnsi="Times New Roman" w:cs="Times New Roman"/>
                <w:b/>
                <w:bCs/>
                <w:color w:val="000000"/>
              </w:rPr>
              <w:t>92</w:t>
            </w:r>
          </w:p>
        </w:tc>
        <w:tc>
          <w:tcPr>
            <w:tcW w:w="1304" w:type="pct"/>
            <w:tcBorders>
              <w:top w:val="single" w:sz="4" w:space="0" w:color="auto"/>
              <w:bottom w:val="single" w:sz="4" w:space="0" w:color="auto"/>
            </w:tcBorders>
          </w:tcPr>
          <w:p w14:paraId="0450A140" w14:textId="77777777" w:rsidR="00B2201F" w:rsidRPr="00DA10E4" w:rsidRDefault="00B2201F" w:rsidP="00DA10E4">
            <w:pPr>
              <w:autoSpaceDE w:val="0"/>
              <w:autoSpaceDN w:val="0"/>
              <w:adjustRightInd w:val="0"/>
              <w:ind w:left="60" w:right="60"/>
              <w:jc w:val="center"/>
              <w:rPr>
                <w:rFonts w:ascii="Times New Roman" w:hAnsi="Times New Roman" w:cs="Times New Roman"/>
                <w:b/>
                <w:bCs/>
                <w:color w:val="000000"/>
              </w:rPr>
            </w:pPr>
            <w:r w:rsidRPr="00DA10E4">
              <w:rPr>
                <w:rFonts w:ascii="Times New Roman" w:hAnsi="Times New Roman" w:cs="Times New Roman"/>
                <w:b/>
                <w:bCs/>
                <w:color w:val="000000"/>
              </w:rPr>
              <w:t>100.0</w:t>
            </w:r>
          </w:p>
        </w:tc>
      </w:tr>
    </w:tbl>
    <w:p w14:paraId="39FB5E5C" w14:textId="5A893153" w:rsidR="00501D92" w:rsidRPr="00DA10E4" w:rsidRDefault="005B0070"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 xml:space="preserve">Table 1 summarizes the socio-demographic profile of the respondents. The mean age was 29.18 years (SD ± 5.80), with 52.2% aged 20–30 </w:t>
      </w:r>
      <w:r w:rsidRPr="00DA10E4">
        <w:rPr>
          <w:rFonts w:ascii="Times New Roman" w:hAnsi="Times New Roman" w:cs="Times New Roman"/>
        </w:rPr>
        <w:lastRenderedPageBreak/>
        <w:t>years and 47.8% over 30. Regarding monthly family income, 41.3% reported earning BDT 20,000–50,000, followed by 38.0% earning less than BDT 30,000, and 20.7% earning above BDT 50,000. In terms of parity, 59.8% were multiparous, while 40.2% were primiparous.</w:t>
      </w:r>
    </w:p>
    <w:p w14:paraId="7657AAA4" w14:textId="77777777" w:rsidR="005B0070" w:rsidRPr="00DA10E4" w:rsidRDefault="005B0070" w:rsidP="00DA10E4">
      <w:pPr>
        <w:autoSpaceDE w:val="0"/>
        <w:autoSpaceDN w:val="0"/>
        <w:adjustRightInd w:val="0"/>
        <w:spacing w:after="0" w:line="240" w:lineRule="auto"/>
        <w:jc w:val="both"/>
        <w:rPr>
          <w:rFonts w:ascii="Times New Roman" w:hAnsi="Times New Roman" w:cs="Times New Roman"/>
          <w:noProof/>
        </w:rPr>
      </w:pPr>
    </w:p>
    <w:p w14:paraId="1237490B" w14:textId="1D2C9988" w:rsidR="00501D92" w:rsidRPr="00DA10E4" w:rsidRDefault="00C35ACC" w:rsidP="00DA10E4">
      <w:pPr>
        <w:autoSpaceDE w:val="0"/>
        <w:autoSpaceDN w:val="0"/>
        <w:adjustRightInd w:val="0"/>
        <w:spacing w:after="0" w:line="240" w:lineRule="auto"/>
        <w:rPr>
          <w:noProof/>
        </w:rPr>
      </w:pPr>
      <w:r w:rsidRPr="00DA10E4">
        <w:rPr>
          <w:noProof/>
        </w:rPr>
        <w:drawing>
          <wp:inline distT="0" distB="0" distL="0" distR="0" wp14:anchorId="530AC1B5" wp14:editId="0C541172">
            <wp:extent cx="3067050" cy="3028950"/>
            <wp:effectExtent l="0" t="0" r="0" b="0"/>
            <wp:docPr id="890938181" name="Chart 1">
              <a:extLst xmlns:a="http://schemas.openxmlformats.org/drawingml/2006/main">
                <a:ext uri="{FF2B5EF4-FFF2-40B4-BE49-F238E27FC236}">
                  <a16:creationId xmlns:a16="http://schemas.microsoft.com/office/drawing/2014/main" id="{0B15A283-9333-F533-C584-CADEDC9FD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078E69" w14:textId="27065C42" w:rsidR="00501D92" w:rsidRPr="00DA10E4" w:rsidRDefault="00501D92" w:rsidP="00DA10E4">
      <w:pPr>
        <w:autoSpaceDE w:val="0"/>
        <w:autoSpaceDN w:val="0"/>
        <w:adjustRightInd w:val="0"/>
        <w:spacing w:after="0" w:line="240" w:lineRule="auto"/>
        <w:rPr>
          <w:noProof/>
        </w:rPr>
      </w:pPr>
    </w:p>
    <w:p w14:paraId="1CACA25C" w14:textId="78CC00BF" w:rsidR="00B2201F" w:rsidRPr="00DA10E4" w:rsidRDefault="00501D9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t>Figure 1</w:t>
      </w:r>
      <w:r w:rsidR="00B2201F" w:rsidRPr="00DA10E4">
        <w:rPr>
          <w:rFonts w:ascii="Times New Roman" w:hAnsi="Times New Roman" w:cs="Times New Roman"/>
          <w:b/>
        </w:rPr>
        <w:t>:</w:t>
      </w:r>
      <w:r w:rsidR="00B2201F" w:rsidRPr="00DA10E4">
        <w:rPr>
          <w:rFonts w:ascii="Times New Roman" w:hAnsi="Times New Roman" w:cs="Times New Roman"/>
        </w:rPr>
        <w:t xml:space="preserve"> </w:t>
      </w:r>
      <w:r w:rsidR="0010511B" w:rsidRPr="00DA10E4">
        <w:rPr>
          <w:rFonts w:ascii="Times New Roman" w:hAnsi="Times New Roman" w:cs="Times New Roman"/>
        </w:rPr>
        <w:t>Hemoglobin Status of Respondents Before and After Iron Treatment</w:t>
      </w:r>
    </w:p>
    <w:p w14:paraId="7E0A1374" w14:textId="77777777" w:rsidR="00501D92" w:rsidRPr="00DA10E4" w:rsidRDefault="00501D92" w:rsidP="00DA10E4">
      <w:pPr>
        <w:autoSpaceDE w:val="0"/>
        <w:autoSpaceDN w:val="0"/>
        <w:adjustRightInd w:val="0"/>
        <w:spacing w:after="0" w:line="240" w:lineRule="auto"/>
        <w:jc w:val="both"/>
        <w:rPr>
          <w:rFonts w:ascii="Times New Roman" w:hAnsi="Times New Roman" w:cs="Times New Roman"/>
          <w:bCs/>
        </w:rPr>
      </w:pPr>
    </w:p>
    <w:p w14:paraId="606C00AF" w14:textId="7DF223BF" w:rsidR="00693CBB" w:rsidRDefault="0010511B" w:rsidP="00DA10E4">
      <w:pPr>
        <w:autoSpaceDE w:val="0"/>
        <w:autoSpaceDN w:val="0"/>
        <w:adjustRightInd w:val="0"/>
        <w:spacing w:after="0" w:line="240" w:lineRule="auto"/>
        <w:jc w:val="both"/>
        <w:rPr>
          <w:rFonts w:ascii="Times New Roman" w:hAnsi="Times New Roman" w:cs="Times New Roman"/>
          <w:bCs/>
        </w:rPr>
      </w:pPr>
      <w:r w:rsidRPr="00DA10E4">
        <w:rPr>
          <w:rFonts w:ascii="Times New Roman" w:hAnsi="Times New Roman" w:cs="Times New Roman"/>
          <w:bCs/>
        </w:rPr>
        <w:t>Figure 1 shows the progression of hemoglobin status among respondents over the treatment period. Before treatment, 82.6% had moderate anemia and 17.4% had mild anemia. After two weeks of iron therapy, 53.3% achieved normal hemoglobin levels, while 46.7% remained anemic. By the sixth week, normal levels were observed in 56.5% of participants, with anemia persisting in 43.5%, indicating gradual improvement with continued treatment.</w:t>
      </w:r>
    </w:p>
    <w:p w14:paraId="68D6C75D" w14:textId="77777777" w:rsidR="0010511B" w:rsidRPr="00DA10E4" w:rsidRDefault="0010511B" w:rsidP="00DA10E4">
      <w:pPr>
        <w:autoSpaceDE w:val="0"/>
        <w:autoSpaceDN w:val="0"/>
        <w:adjustRightInd w:val="0"/>
        <w:spacing w:after="0" w:line="240" w:lineRule="auto"/>
        <w:rPr>
          <w:rFonts w:ascii="Times New Roman" w:hAnsi="Times New Roman" w:cs="Times New Roman"/>
          <w:b/>
        </w:rPr>
      </w:pPr>
    </w:p>
    <w:p w14:paraId="3539CE9E" w14:textId="19D67E44" w:rsidR="006F6C52" w:rsidRDefault="006F6C5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t xml:space="preserve">Table </w:t>
      </w:r>
      <w:r w:rsidR="00CF372C">
        <w:rPr>
          <w:rFonts w:ascii="Times New Roman" w:hAnsi="Times New Roman" w:cs="Times New Roman"/>
          <w:b/>
        </w:rPr>
        <w:t>2</w:t>
      </w:r>
      <w:r w:rsidRPr="00DA10E4">
        <w:rPr>
          <w:rFonts w:ascii="Times New Roman" w:hAnsi="Times New Roman" w:cs="Times New Roman"/>
          <w:b/>
        </w:rPr>
        <w:t>:</w:t>
      </w:r>
      <w:r w:rsidRPr="00DA10E4">
        <w:rPr>
          <w:rFonts w:ascii="Times New Roman" w:hAnsi="Times New Roman" w:cs="Times New Roman"/>
        </w:rPr>
        <w:t xml:space="preserve"> </w:t>
      </w:r>
      <w:r w:rsidR="00A25DF6" w:rsidRPr="00A25DF6">
        <w:rPr>
          <w:rFonts w:ascii="Times New Roman" w:hAnsi="Times New Roman" w:cs="Times New Roman"/>
        </w:rPr>
        <w:t>Distribution of Iron treatment and associated Side effects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476"/>
        <w:gridCol w:w="1450"/>
      </w:tblGrid>
      <w:tr w:rsidR="00A25DF6" w:rsidRPr="00A25DF6" w14:paraId="2ABC0851" w14:textId="77777777" w:rsidTr="00A25DF6">
        <w:tc>
          <w:tcPr>
            <w:tcW w:w="1610" w:type="dxa"/>
            <w:tcBorders>
              <w:top w:val="single" w:sz="4" w:space="0" w:color="auto"/>
              <w:bottom w:val="single" w:sz="4" w:space="0" w:color="auto"/>
            </w:tcBorders>
          </w:tcPr>
          <w:p w14:paraId="39A623F5" w14:textId="77777777" w:rsidR="00A25DF6" w:rsidRPr="00A25DF6" w:rsidRDefault="00A25DF6" w:rsidP="00B22AB2">
            <w:pPr>
              <w:autoSpaceDE w:val="0"/>
              <w:autoSpaceDN w:val="0"/>
              <w:adjustRightInd w:val="0"/>
              <w:rPr>
                <w:rFonts w:ascii="Times New Roman" w:hAnsi="Times New Roman" w:cs="Times New Roman"/>
                <w:b/>
                <w:bCs/>
              </w:rPr>
            </w:pPr>
            <w:r w:rsidRPr="00A25DF6">
              <w:rPr>
                <w:rFonts w:ascii="Times New Roman" w:hAnsi="Times New Roman" w:cs="Times New Roman"/>
                <w:b/>
                <w:bCs/>
              </w:rPr>
              <w:t>Type of iron treatment</w:t>
            </w:r>
          </w:p>
        </w:tc>
        <w:tc>
          <w:tcPr>
            <w:tcW w:w="1476" w:type="dxa"/>
            <w:tcBorders>
              <w:top w:val="single" w:sz="4" w:space="0" w:color="auto"/>
              <w:bottom w:val="single" w:sz="4" w:space="0" w:color="auto"/>
            </w:tcBorders>
          </w:tcPr>
          <w:p w14:paraId="35BE2E98" w14:textId="77777777" w:rsidR="00A25DF6" w:rsidRPr="00A25DF6" w:rsidRDefault="00A25DF6" w:rsidP="00A25DF6">
            <w:pPr>
              <w:autoSpaceDE w:val="0"/>
              <w:autoSpaceDN w:val="0"/>
              <w:adjustRightInd w:val="0"/>
              <w:jc w:val="center"/>
              <w:rPr>
                <w:rFonts w:ascii="Times New Roman" w:hAnsi="Times New Roman" w:cs="Times New Roman"/>
                <w:b/>
                <w:bCs/>
              </w:rPr>
            </w:pPr>
            <w:r w:rsidRPr="00A25DF6">
              <w:rPr>
                <w:rFonts w:ascii="Times New Roman" w:hAnsi="Times New Roman" w:cs="Times New Roman"/>
                <w:b/>
                <w:bCs/>
              </w:rPr>
              <w:t>Frequency</w:t>
            </w:r>
          </w:p>
        </w:tc>
        <w:tc>
          <w:tcPr>
            <w:tcW w:w="1450" w:type="dxa"/>
            <w:tcBorders>
              <w:top w:val="single" w:sz="4" w:space="0" w:color="auto"/>
              <w:bottom w:val="single" w:sz="4" w:space="0" w:color="auto"/>
            </w:tcBorders>
          </w:tcPr>
          <w:p w14:paraId="5C0E46B9" w14:textId="77777777" w:rsidR="00A25DF6" w:rsidRPr="00A25DF6" w:rsidRDefault="00A25DF6" w:rsidP="00A25DF6">
            <w:pPr>
              <w:autoSpaceDE w:val="0"/>
              <w:autoSpaceDN w:val="0"/>
              <w:adjustRightInd w:val="0"/>
              <w:jc w:val="center"/>
              <w:rPr>
                <w:rFonts w:ascii="Times New Roman" w:hAnsi="Times New Roman" w:cs="Times New Roman"/>
                <w:b/>
                <w:bCs/>
              </w:rPr>
            </w:pPr>
            <w:r w:rsidRPr="00A25DF6">
              <w:rPr>
                <w:rFonts w:ascii="Times New Roman" w:hAnsi="Times New Roman" w:cs="Times New Roman"/>
                <w:b/>
                <w:bCs/>
              </w:rPr>
              <w:t>Percent</w:t>
            </w:r>
          </w:p>
        </w:tc>
      </w:tr>
      <w:tr w:rsidR="00A25DF6" w:rsidRPr="00A25DF6" w14:paraId="72AE985C" w14:textId="77777777" w:rsidTr="00A25DF6">
        <w:tc>
          <w:tcPr>
            <w:tcW w:w="1610" w:type="dxa"/>
            <w:tcBorders>
              <w:top w:val="single" w:sz="4" w:space="0" w:color="auto"/>
            </w:tcBorders>
          </w:tcPr>
          <w:p w14:paraId="0A97CE7D"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Intravenous Iron</w:t>
            </w:r>
          </w:p>
        </w:tc>
        <w:tc>
          <w:tcPr>
            <w:tcW w:w="1476" w:type="dxa"/>
            <w:tcBorders>
              <w:top w:val="single" w:sz="4" w:space="0" w:color="auto"/>
            </w:tcBorders>
          </w:tcPr>
          <w:p w14:paraId="7CD95AB0"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46</w:t>
            </w:r>
          </w:p>
        </w:tc>
        <w:tc>
          <w:tcPr>
            <w:tcW w:w="1450" w:type="dxa"/>
            <w:tcBorders>
              <w:top w:val="single" w:sz="4" w:space="0" w:color="auto"/>
            </w:tcBorders>
          </w:tcPr>
          <w:p w14:paraId="39790481"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50</w:t>
            </w:r>
          </w:p>
        </w:tc>
      </w:tr>
      <w:tr w:rsidR="00A25DF6" w:rsidRPr="00A25DF6" w14:paraId="022976BC" w14:textId="77777777" w:rsidTr="00A25DF6">
        <w:tc>
          <w:tcPr>
            <w:tcW w:w="1610" w:type="dxa"/>
            <w:tcBorders>
              <w:bottom w:val="nil"/>
            </w:tcBorders>
          </w:tcPr>
          <w:p w14:paraId="2F17F6E9"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Oral Iron Tablets</w:t>
            </w:r>
          </w:p>
        </w:tc>
        <w:tc>
          <w:tcPr>
            <w:tcW w:w="1476" w:type="dxa"/>
            <w:tcBorders>
              <w:bottom w:val="nil"/>
            </w:tcBorders>
          </w:tcPr>
          <w:p w14:paraId="45681B4A"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46</w:t>
            </w:r>
          </w:p>
        </w:tc>
        <w:tc>
          <w:tcPr>
            <w:tcW w:w="1450" w:type="dxa"/>
            <w:tcBorders>
              <w:bottom w:val="nil"/>
            </w:tcBorders>
          </w:tcPr>
          <w:p w14:paraId="45EBCD22"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50</w:t>
            </w:r>
          </w:p>
        </w:tc>
      </w:tr>
      <w:tr w:rsidR="00A25DF6" w:rsidRPr="00A25DF6" w14:paraId="251933D0" w14:textId="77777777" w:rsidTr="00A25DF6">
        <w:tc>
          <w:tcPr>
            <w:tcW w:w="4536" w:type="dxa"/>
            <w:gridSpan w:val="3"/>
            <w:tcBorders>
              <w:top w:val="nil"/>
              <w:bottom w:val="single" w:sz="4" w:space="0" w:color="auto"/>
            </w:tcBorders>
          </w:tcPr>
          <w:p w14:paraId="5E05F1C6" w14:textId="347FE0A3" w:rsidR="00A25DF6" w:rsidRPr="00A25DF6" w:rsidRDefault="00A25DF6" w:rsidP="00A25DF6">
            <w:pPr>
              <w:autoSpaceDE w:val="0"/>
              <w:autoSpaceDN w:val="0"/>
              <w:adjustRightInd w:val="0"/>
              <w:rPr>
                <w:rFonts w:ascii="Times New Roman" w:hAnsi="Times New Roman" w:cs="Times New Roman"/>
                <w:b/>
                <w:bCs/>
              </w:rPr>
            </w:pPr>
            <w:r w:rsidRPr="00A25DF6">
              <w:rPr>
                <w:rFonts w:ascii="Times New Roman" w:hAnsi="Times New Roman" w:cs="Times New Roman"/>
                <w:b/>
                <w:bCs/>
              </w:rPr>
              <w:t>Type of side effects</w:t>
            </w:r>
          </w:p>
        </w:tc>
      </w:tr>
      <w:tr w:rsidR="00A25DF6" w:rsidRPr="00A25DF6" w14:paraId="1E8CE642" w14:textId="77777777" w:rsidTr="00A25DF6">
        <w:tc>
          <w:tcPr>
            <w:tcW w:w="1610" w:type="dxa"/>
            <w:tcBorders>
              <w:top w:val="single" w:sz="4" w:space="0" w:color="auto"/>
            </w:tcBorders>
          </w:tcPr>
          <w:p w14:paraId="52E58834"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 xml:space="preserve">Urticaria (skin </w:t>
            </w:r>
            <w:r w:rsidRPr="00A25DF6">
              <w:rPr>
                <w:rFonts w:ascii="Times New Roman" w:hAnsi="Times New Roman" w:cs="Times New Roman"/>
              </w:rPr>
              <w:t>rash)</w:t>
            </w:r>
          </w:p>
        </w:tc>
        <w:tc>
          <w:tcPr>
            <w:tcW w:w="1476" w:type="dxa"/>
            <w:tcBorders>
              <w:top w:val="single" w:sz="4" w:space="0" w:color="auto"/>
            </w:tcBorders>
          </w:tcPr>
          <w:p w14:paraId="4AA72455"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4</w:t>
            </w:r>
          </w:p>
        </w:tc>
        <w:tc>
          <w:tcPr>
            <w:tcW w:w="1450" w:type="dxa"/>
            <w:tcBorders>
              <w:top w:val="single" w:sz="4" w:space="0" w:color="auto"/>
            </w:tcBorders>
          </w:tcPr>
          <w:p w14:paraId="0929AADF"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4.3</w:t>
            </w:r>
          </w:p>
        </w:tc>
      </w:tr>
      <w:tr w:rsidR="00A25DF6" w:rsidRPr="00A25DF6" w14:paraId="442AA73C" w14:textId="77777777" w:rsidTr="00A25DF6">
        <w:tc>
          <w:tcPr>
            <w:tcW w:w="1610" w:type="dxa"/>
          </w:tcPr>
          <w:p w14:paraId="1E6A4320"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Constipation</w:t>
            </w:r>
          </w:p>
        </w:tc>
        <w:tc>
          <w:tcPr>
            <w:tcW w:w="1476" w:type="dxa"/>
          </w:tcPr>
          <w:p w14:paraId="6D9DF199"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10</w:t>
            </w:r>
          </w:p>
        </w:tc>
        <w:tc>
          <w:tcPr>
            <w:tcW w:w="1450" w:type="dxa"/>
          </w:tcPr>
          <w:p w14:paraId="5F4A65A7"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10.9</w:t>
            </w:r>
          </w:p>
        </w:tc>
      </w:tr>
      <w:tr w:rsidR="00A25DF6" w:rsidRPr="00A25DF6" w14:paraId="0B1460D8" w14:textId="77777777" w:rsidTr="00A25DF6">
        <w:tc>
          <w:tcPr>
            <w:tcW w:w="1610" w:type="dxa"/>
          </w:tcPr>
          <w:p w14:paraId="335E9465"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Nausea</w:t>
            </w:r>
          </w:p>
        </w:tc>
        <w:tc>
          <w:tcPr>
            <w:tcW w:w="1476" w:type="dxa"/>
          </w:tcPr>
          <w:p w14:paraId="4E6FBA3C"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6</w:t>
            </w:r>
          </w:p>
        </w:tc>
        <w:tc>
          <w:tcPr>
            <w:tcW w:w="1450" w:type="dxa"/>
          </w:tcPr>
          <w:p w14:paraId="2F487DF1"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6.5</w:t>
            </w:r>
          </w:p>
        </w:tc>
      </w:tr>
      <w:tr w:rsidR="00A25DF6" w:rsidRPr="00A25DF6" w14:paraId="2504488E" w14:textId="77777777" w:rsidTr="00A25DF6">
        <w:tc>
          <w:tcPr>
            <w:tcW w:w="1610" w:type="dxa"/>
          </w:tcPr>
          <w:p w14:paraId="27D3ED3A"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Gastrointestinal (GI) pain</w:t>
            </w:r>
          </w:p>
        </w:tc>
        <w:tc>
          <w:tcPr>
            <w:tcW w:w="1476" w:type="dxa"/>
          </w:tcPr>
          <w:p w14:paraId="08408ABD"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10</w:t>
            </w:r>
          </w:p>
        </w:tc>
        <w:tc>
          <w:tcPr>
            <w:tcW w:w="1450" w:type="dxa"/>
          </w:tcPr>
          <w:p w14:paraId="2F171EC5"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10.9</w:t>
            </w:r>
          </w:p>
        </w:tc>
      </w:tr>
      <w:tr w:rsidR="00A25DF6" w:rsidRPr="00A25DF6" w14:paraId="48212640" w14:textId="77777777" w:rsidTr="00A25DF6">
        <w:tc>
          <w:tcPr>
            <w:tcW w:w="1610" w:type="dxa"/>
          </w:tcPr>
          <w:p w14:paraId="30603306"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Muscle cramps</w:t>
            </w:r>
          </w:p>
        </w:tc>
        <w:tc>
          <w:tcPr>
            <w:tcW w:w="1476" w:type="dxa"/>
          </w:tcPr>
          <w:p w14:paraId="759232EF"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10</w:t>
            </w:r>
          </w:p>
        </w:tc>
        <w:tc>
          <w:tcPr>
            <w:tcW w:w="1450" w:type="dxa"/>
          </w:tcPr>
          <w:p w14:paraId="04B8FF27"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10.9</w:t>
            </w:r>
          </w:p>
        </w:tc>
      </w:tr>
      <w:tr w:rsidR="00A25DF6" w:rsidRPr="00A25DF6" w14:paraId="15F18D15" w14:textId="77777777" w:rsidTr="00A25DF6">
        <w:tc>
          <w:tcPr>
            <w:tcW w:w="1610" w:type="dxa"/>
          </w:tcPr>
          <w:p w14:paraId="3AC55019"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Dysgeusia (altered taste)</w:t>
            </w:r>
          </w:p>
        </w:tc>
        <w:tc>
          <w:tcPr>
            <w:tcW w:w="1476" w:type="dxa"/>
          </w:tcPr>
          <w:p w14:paraId="3E9EA9AC"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12</w:t>
            </w:r>
          </w:p>
        </w:tc>
        <w:tc>
          <w:tcPr>
            <w:tcW w:w="1450" w:type="dxa"/>
          </w:tcPr>
          <w:p w14:paraId="67DFF61C"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13</w:t>
            </w:r>
          </w:p>
        </w:tc>
      </w:tr>
      <w:tr w:rsidR="00A25DF6" w:rsidRPr="00A25DF6" w14:paraId="53FFA8B5" w14:textId="77777777" w:rsidTr="00A25DF6">
        <w:tc>
          <w:tcPr>
            <w:tcW w:w="1610" w:type="dxa"/>
          </w:tcPr>
          <w:p w14:paraId="6EBE0A3C"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Headache</w:t>
            </w:r>
          </w:p>
        </w:tc>
        <w:tc>
          <w:tcPr>
            <w:tcW w:w="1476" w:type="dxa"/>
          </w:tcPr>
          <w:p w14:paraId="0B9B9510"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08</w:t>
            </w:r>
          </w:p>
        </w:tc>
        <w:tc>
          <w:tcPr>
            <w:tcW w:w="1450" w:type="dxa"/>
          </w:tcPr>
          <w:p w14:paraId="6AB244A0"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8.7</w:t>
            </w:r>
          </w:p>
        </w:tc>
      </w:tr>
      <w:tr w:rsidR="00A25DF6" w:rsidRPr="00A25DF6" w14:paraId="769654AC" w14:textId="77777777" w:rsidTr="00A25DF6">
        <w:tc>
          <w:tcPr>
            <w:tcW w:w="1610" w:type="dxa"/>
          </w:tcPr>
          <w:p w14:paraId="11F807E4"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None of the above</w:t>
            </w:r>
          </w:p>
        </w:tc>
        <w:tc>
          <w:tcPr>
            <w:tcW w:w="1476" w:type="dxa"/>
          </w:tcPr>
          <w:p w14:paraId="73536B06"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32</w:t>
            </w:r>
          </w:p>
        </w:tc>
        <w:tc>
          <w:tcPr>
            <w:tcW w:w="1450" w:type="dxa"/>
          </w:tcPr>
          <w:p w14:paraId="623DC408"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34.8</w:t>
            </w:r>
          </w:p>
        </w:tc>
      </w:tr>
      <w:tr w:rsidR="00A25DF6" w:rsidRPr="00A25DF6" w14:paraId="278BDA2C" w14:textId="77777777" w:rsidTr="00A25DF6">
        <w:tc>
          <w:tcPr>
            <w:tcW w:w="1610" w:type="dxa"/>
            <w:tcBorders>
              <w:bottom w:val="nil"/>
            </w:tcBorders>
          </w:tcPr>
          <w:p w14:paraId="003B4EA9"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Any Side Effect</w:t>
            </w:r>
          </w:p>
        </w:tc>
        <w:tc>
          <w:tcPr>
            <w:tcW w:w="1476" w:type="dxa"/>
            <w:tcBorders>
              <w:bottom w:val="nil"/>
            </w:tcBorders>
          </w:tcPr>
          <w:p w14:paraId="7E456CC0"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60</w:t>
            </w:r>
          </w:p>
        </w:tc>
        <w:tc>
          <w:tcPr>
            <w:tcW w:w="1450" w:type="dxa"/>
            <w:tcBorders>
              <w:bottom w:val="nil"/>
            </w:tcBorders>
          </w:tcPr>
          <w:p w14:paraId="486A0D45"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65.2</w:t>
            </w:r>
          </w:p>
        </w:tc>
      </w:tr>
      <w:tr w:rsidR="00A25DF6" w:rsidRPr="00A25DF6" w14:paraId="35B9F19E" w14:textId="77777777" w:rsidTr="00C16B98">
        <w:tc>
          <w:tcPr>
            <w:tcW w:w="4536" w:type="dxa"/>
            <w:gridSpan w:val="3"/>
            <w:tcBorders>
              <w:top w:val="nil"/>
              <w:bottom w:val="single" w:sz="4" w:space="0" w:color="auto"/>
            </w:tcBorders>
          </w:tcPr>
          <w:p w14:paraId="6044428C" w14:textId="603E44D1" w:rsidR="00A25DF6" w:rsidRPr="00A25DF6" w:rsidRDefault="00A25DF6" w:rsidP="00A25DF6">
            <w:pPr>
              <w:autoSpaceDE w:val="0"/>
              <w:autoSpaceDN w:val="0"/>
              <w:adjustRightInd w:val="0"/>
              <w:rPr>
                <w:rFonts w:ascii="Times New Roman" w:hAnsi="Times New Roman" w:cs="Times New Roman"/>
                <w:b/>
                <w:bCs/>
              </w:rPr>
            </w:pPr>
            <w:r w:rsidRPr="00A25DF6">
              <w:rPr>
                <w:rFonts w:ascii="Times New Roman" w:hAnsi="Times New Roman" w:cs="Times New Roman"/>
                <w:b/>
                <w:bCs/>
              </w:rPr>
              <w:t>Severity of side effects</w:t>
            </w:r>
          </w:p>
        </w:tc>
      </w:tr>
      <w:tr w:rsidR="00A25DF6" w:rsidRPr="00A25DF6" w14:paraId="47D81DC9" w14:textId="77777777" w:rsidTr="00A25DF6">
        <w:tc>
          <w:tcPr>
            <w:tcW w:w="1610" w:type="dxa"/>
            <w:tcBorders>
              <w:top w:val="single" w:sz="4" w:space="0" w:color="auto"/>
            </w:tcBorders>
          </w:tcPr>
          <w:p w14:paraId="3976FE6F"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Mild</w:t>
            </w:r>
          </w:p>
        </w:tc>
        <w:tc>
          <w:tcPr>
            <w:tcW w:w="1476" w:type="dxa"/>
            <w:tcBorders>
              <w:top w:val="single" w:sz="4" w:space="0" w:color="auto"/>
            </w:tcBorders>
          </w:tcPr>
          <w:p w14:paraId="250BBF78"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44</w:t>
            </w:r>
          </w:p>
        </w:tc>
        <w:tc>
          <w:tcPr>
            <w:tcW w:w="1450" w:type="dxa"/>
            <w:tcBorders>
              <w:top w:val="single" w:sz="4" w:space="0" w:color="auto"/>
            </w:tcBorders>
          </w:tcPr>
          <w:p w14:paraId="4EBD1B96"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47.8</w:t>
            </w:r>
          </w:p>
        </w:tc>
      </w:tr>
      <w:tr w:rsidR="00A25DF6" w:rsidRPr="00A25DF6" w14:paraId="60A218EF" w14:textId="77777777" w:rsidTr="00A25DF6">
        <w:tc>
          <w:tcPr>
            <w:tcW w:w="1610" w:type="dxa"/>
          </w:tcPr>
          <w:p w14:paraId="48FB8F1F"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Moderate</w:t>
            </w:r>
          </w:p>
        </w:tc>
        <w:tc>
          <w:tcPr>
            <w:tcW w:w="1476" w:type="dxa"/>
          </w:tcPr>
          <w:p w14:paraId="75AE6FB3"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25</w:t>
            </w:r>
          </w:p>
        </w:tc>
        <w:tc>
          <w:tcPr>
            <w:tcW w:w="1450" w:type="dxa"/>
          </w:tcPr>
          <w:p w14:paraId="40002542"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27.2</w:t>
            </w:r>
          </w:p>
        </w:tc>
      </w:tr>
      <w:tr w:rsidR="00A25DF6" w:rsidRPr="00A25DF6" w14:paraId="10BCF695" w14:textId="77777777" w:rsidTr="00A25DF6">
        <w:tc>
          <w:tcPr>
            <w:tcW w:w="1610" w:type="dxa"/>
          </w:tcPr>
          <w:p w14:paraId="45A37F5C"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Severe</w:t>
            </w:r>
          </w:p>
        </w:tc>
        <w:tc>
          <w:tcPr>
            <w:tcW w:w="1476" w:type="dxa"/>
          </w:tcPr>
          <w:p w14:paraId="2C59D3E6"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7</w:t>
            </w:r>
          </w:p>
        </w:tc>
        <w:tc>
          <w:tcPr>
            <w:tcW w:w="1450" w:type="dxa"/>
          </w:tcPr>
          <w:p w14:paraId="0D22F27A"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7.6</w:t>
            </w:r>
          </w:p>
        </w:tc>
      </w:tr>
      <w:tr w:rsidR="00A25DF6" w:rsidRPr="00A25DF6" w14:paraId="573D70E6" w14:textId="77777777" w:rsidTr="00A25DF6">
        <w:tc>
          <w:tcPr>
            <w:tcW w:w="1610" w:type="dxa"/>
            <w:tcBorders>
              <w:bottom w:val="single" w:sz="4" w:space="0" w:color="auto"/>
            </w:tcBorders>
          </w:tcPr>
          <w:p w14:paraId="3C4C77D0" w14:textId="77777777" w:rsidR="00A25DF6" w:rsidRPr="00A25DF6" w:rsidRDefault="00A25DF6" w:rsidP="00B22AB2">
            <w:pPr>
              <w:autoSpaceDE w:val="0"/>
              <w:autoSpaceDN w:val="0"/>
              <w:adjustRightInd w:val="0"/>
              <w:rPr>
                <w:rFonts w:ascii="Times New Roman" w:hAnsi="Times New Roman" w:cs="Times New Roman"/>
              </w:rPr>
            </w:pPr>
            <w:r w:rsidRPr="00A25DF6">
              <w:rPr>
                <w:rFonts w:ascii="Times New Roman" w:hAnsi="Times New Roman" w:cs="Times New Roman"/>
              </w:rPr>
              <w:t>None</w:t>
            </w:r>
          </w:p>
        </w:tc>
        <w:tc>
          <w:tcPr>
            <w:tcW w:w="1476" w:type="dxa"/>
            <w:tcBorders>
              <w:bottom w:val="single" w:sz="4" w:space="0" w:color="auto"/>
            </w:tcBorders>
          </w:tcPr>
          <w:p w14:paraId="5C9D3D8E"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16</w:t>
            </w:r>
          </w:p>
        </w:tc>
        <w:tc>
          <w:tcPr>
            <w:tcW w:w="1450" w:type="dxa"/>
            <w:tcBorders>
              <w:bottom w:val="single" w:sz="4" w:space="0" w:color="auto"/>
            </w:tcBorders>
          </w:tcPr>
          <w:p w14:paraId="174F4602" w14:textId="77777777" w:rsidR="00A25DF6" w:rsidRPr="00A25DF6" w:rsidRDefault="00A25DF6" w:rsidP="00A25DF6">
            <w:pPr>
              <w:autoSpaceDE w:val="0"/>
              <w:autoSpaceDN w:val="0"/>
              <w:adjustRightInd w:val="0"/>
              <w:jc w:val="center"/>
              <w:rPr>
                <w:rFonts w:ascii="Times New Roman" w:hAnsi="Times New Roman" w:cs="Times New Roman"/>
              </w:rPr>
            </w:pPr>
            <w:r w:rsidRPr="00A25DF6">
              <w:rPr>
                <w:rFonts w:ascii="Times New Roman" w:hAnsi="Times New Roman" w:cs="Times New Roman"/>
              </w:rPr>
              <w:t>17.4</w:t>
            </w:r>
          </w:p>
        </w:tc>
      </w:tr>
      <w:tr w:rsidR="00A25DF6" w:rsidRPr="00A25DF6" w14:paraId="3FF35C61" w14:textId="77777777" w:rsidTr="00A25DF6">
        <w:tc>
          <w:tcPr>
            <w:tcW w:w="1610" w:type="dxa"/>
            <w:tcBorders>
              <w:top w:val="single" w:sz="4" w:space="0" w:color="auto"/>
              <w:bottom w:val="single" w:sz="4" w:space="0" w:color="auto"/>
            </w:tcBorders>
          </w:tcPr>
          <w:p w14:paraId="6B210DE8" w14:textId="77777777" w:rsidR="00A25DF6" w:rsidRPr="00A25DF6" w:rsidRDefault="00A25DF6" w:rsidP="00B22AB2">
            <w:pPr>
              <w:autoSpaceDE w:val="0"/>
              <w:autoSpaceDN w:val="0"/>
              <w:adjustRightInd w:val="0"/>
              <w:rPr>
                <w:rFonts w:ascii="Times New Roman" w:hAnsi="Times New Roman" w:cs="Times New Roman"/>
                <w:b/>
                <w:bCs/>
              </w:rPr>
            </w:pPr>
            <w:r w:rsidRPr="00A25DF6">
              <w:rPr>
                <w:rFonts w:ascii="Times New Roman" w:hAnsi="Times New Roman" w:cs="Times New Roman"/>
                <w:b/>
                <w:bCs/>
              </w:rPr>
              <w:t>Total</w:t>
            </w:r>
          </w:p>
        </w:tc>
        <w:tc>
          <w:tcPr>
            <w:tcW w:w="1476" w:type="dxa"/>
            <w:tcBorders>
              <w:top w:val="single" w:sz="4" w:space="0" w:color="auto"/>
              <w:bottom w:val="single" w:sz="4" w:space="0" w:color="auto"/>
            </w:tcBorders>
          </w:tcPr>
          <w:p w14:paraId="6E1F5BC3" w14:textId="77777777" w:rsidR="00A25DF6" w:rsidRPr="00A25DF6" w:rsidRDefault="00A25DF6" w:rsidP="00A25DF6">
            <w:pPr>
              <w:autoSpaceDE w:val="0"/>
              <w:autoSpaceDN w:val="0"/>
              <w:adjustRightInd w:val="0"/>
              <w:jc w:val="center"/>
              <w:rPr>
                <w:rFonts w:ascii="Times New Roman" w:hAnsi="Times New Roman" w:cs="Times New Roman"/>
                <w:b/>
                <w:bCs/>
              </w:rPr>
            </w:pPr>
            <w:r w:rsidRPr="00A25DF6">
              <w:rPr>
                <w:rFonts w:ascii="Times New Roman" w:hAnsi="Times New Roman" w:cs="Times New Roman"/>
                <w:b/>
                <w:bCs/>
              </w:rPr>
              <w:t>92</w:t>
            </w:r>
          </w:p>
        </w:tc>
        <w:tc>
          <w:tcPr>
            <w:tcW w:w="1450" w:type="dxa"/>
            <w:tcBorders>
              <w:top w:val="single" w:sz="4" w:space="0" w:color="auto"/>
              <w:bottom w:val="single" w:sz="4" w:space="0" w:color="auto"/>
            </w:tcBorders>
          </w:tcPr>
          <w:p w14:paraId="441049FE" w14:textId="77777777" w:rsidR="00A25DF6" w:rsidRPr="00A25DF6" w:rsidRDefault="00A25DF6" w:rsidP="00A25DF6">
            <w:pPr>
              <w:autoSpaceDE w:val="0"/>
              <w:autoSpaceDN w:val="0"/>
              <w:adjustRightInd w:val="0"/>
              <w:jc w:val="center"/>
              <w:rPr>
                <w:rFonts w:ascii="Times New Roman" w:hAnsi="Times New Roman" w:cs="Times New Roman"/>
                <w:b/>
                <w:bCs/>
              </w:rPr>
            </w:pPr>
            <w:r w:rsidRPr="00A25DF6">
              <w:rPr>
                <w:rFonts w:ascii="Times New Roman" w:hAnsi="Times New Roman" w:cs="Times New Roman"/>
                <w:b/>
                <w:bCs/>
              </w:rPr>
              <w:t>100</w:t>
            </w:r>
          </w:p>
        </w:tc>
      </w:tr>
    </w:tbl>
    <w:p w14:paraId="7E6C3B39" w14:textId="77777777" w:rsidR="00A25DF6" w:rsidRPr="00DA10E4" w:rsidRDefault="00A25DF6" w:rsidP="00DA10E4">
      <w:pPr>
        <w:autoSpaceDE w:val="0"/>
        <w:autoSpaceDN w:val="0"/>
        <w:adjustRightInd w:val="0"/>
        <w:spacing w:after="0" w:line="240" w:lineRule="auto"/>
        <w:rPr>
          <w:rFonts w:ascii="Times New Roman" w:hAnsi="Times New Roman" w:cs="Times New Roman"/>
        </w:rPr>
      </w:pPr>
    </w:p>
    <w:p w14:paraId="0EFC7D68" w14:textId="77777777" w:rsidR="004D071A" w:rsidRDefault="004D071A" w:rsidP="004D071A">
      <w:pPr>
        <w:autoSpaceDE w:val="0"/>
        <w:autoSpaceDN w:val="0"/>
        <w:adjustRightInd w:val="0"/>
        <w:spacing w:after="0" w:line="240" w:lineRule="auto"/>
        <w:jc w:val="both"/>
        <w:rPr>
          <w:rFonts w:ascii="Times New Roman" w:hAnsi="Times New Roman" w:cs="Times New Roman"/>
        </w:rPr>
      </w:pPr>
      <w:r w:rsidRPr="004D071A">
        <w:rPr>
          <w:rFonts w:ascii="Times New Roman" w:hAnsi="Times New Roman" w:cs="Times New Roman"/>
        </w:rPr>
        <w:t>Table 2 presents half of the participants established intravenous iron, while the other half were treated with oral iron tablets. Largely, 65.2% of respondents stated facing at least one side effect. Dysgeusia 13.0% was the most repeated side effect in general, followed by gastrointestinal pain 10.9%, constipation 10.9%, and muscle cramps 10.9%. Fewer usual side effects involved headache 8.7%, nausea 6.5%, and urticaria 4.3%. Remarkably, 34.8% of respondents reported no side effects. In terms of seriousness, 47.8% faced mild signs, 27.2% moderate, 7.6% severe, and 17.4% informed none.</w:t>
      </w:r>
    </w:p>
    <w:p w14:paraId="15530FD1" w14:textId="77777777" w:rsidR="004D071A" w:rsidRDefault="004D071A" w:rsidP="00DA10E4">
      <w:pPr>
        <w:autoSpaceDE w:val="0"/>
        <w:autoSpaceDN w:val="0"/>
        <w:adjustRightInd w:val="0"/>
        <w:spacing w:after="0" w:line="240" w:lineRule="auto"/>
        <w:rPr>
          <w:rFonts w:ascii="Times New Roman" w:hAnsi="Times New Roman" w:cs="Times New Roman"/>
          <w:b/>
        </w:rPr>
      </w:pPr>
    </w:p>
    <w:p w14:paraId="0BB9FC40" w14:textId="0763A8E5" w:rsidR="00AB393C" w:rsidRPr="00DA10E4" w:rsidRDefault="00EB2F2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t xml:space="preserve">Table </w:t>
      </w:r>
      <w:r w:rsidR="00CF372C">
        <w:rPr>
          <w:rFonts w:ascii="Times New Roman" w:hAnsi="Times New Roman" w:cs="Times New Roman"/>
          <w:b/>
        </w:rPr>
        <w:t>3</w:t>
      </w:r>
      <w:r w:rsidRPr="00DA10E4">
        <w:rPr>
          <w:rFonts w:ascii="Times New Roman" w:hAnsi="Times New Roman" w:cs="Times New Roman"/>
          <w:b/>
        </w:rPr>
        <w:t>:</w:t>
      </w:r>
      <w:r w:rsidRPr="00DA10E4">
        <w:rPr>
          <w:rFonts w:ascii="Times New Roman" w:hAnsi="Times New Roman" w:cs="Times New Roman"/>
        </w:rPr>
        <w:t xml:space="preserve"> </w:t>
      </w:r>
      <w:r w:rsidR="00CD01F2" w:rsidRPr="00DA10E4">
        <w:rPr>
          <w:rFonts w:ascii="Times New Roman" w:hAnsi="Times New Roman" w:cs="Times New Roman"/>
        </w:rPr>
        <w:t>Association Between Type of Treatment and Hemoglobin Level Achievement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654"/>
        <w:gridCol w:w="988"/>
        <w:gridCol w:w="989"/>
        <w:gridCol w:w="689"/>
      </w:tblGrid>
      <w:tr w:rsidR="006F6C52" w:rsidRPr="00DA10E4" w14:paraId="2E8ED5A7" w14:textId="77777777" w:rsidTr="002F7E66">
        <w:trPr>
          <w:cantSplit/>
          <w:trHeight w:hRule="exact" w:val="288"/>
        </w:trPr>
        <w:tc>
          <w:tcPr>
            <w:tcW w:w="1913" w:type="pct"/>
            <w:vMerge w:val="restart"/>
            <w:tcBorders>
              <w:top w:val="single" w:sz="4" w:space="0" w:color="auto"/>
              <w:bottom w:val="nil"/>
            </w:tcBorders>
            <w:shd w:val="clear" w:color="auto" w:fill="FFFFFF"/>
          </w:tcPr>
          <w:p w14:paraId="4C754B08" w14:textId="77777777" w:rsidR="006F6C52" w:rsidRPr="00DA10E4" w:rsidRDefault="006F6C5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color w:val="000000"/>
              </w:rPr>
              <w:t>Type of treatment</w:t>
            </w:r>
          </w:p>
        </w:tc>
        <w:tc>
          <w:tcPr>
            <w:tcW w:w="2289" w:type="pct"/>
            <w:gridSpan w:val="2"/>
            <w:tcBorders>
              <w:top w:val="single" w:sz="4" w:space="0" w:color="auto"/>
              <w:bottom w:val="nil"/>
            </w:tcBorders>
            <w:shd w:val="clear" w:color="auto" w:fill="FFFFFF"/>
          </w:tcPr>
          <w:p w14:paraId="4ACC4873" w14:textId="471D3B39" w:rsidR="006F6C52" w:rsidRPr="00DA10E4" w:rsidRDefault="00693CBB" w:rsidP="00DA10E4">
            <w:pPr>
              <w:autoSpaceDE w:val="0"/>
              <w:autoSpaceDN w:val="0"/>
              <w:adjustRightInd w:val="0"/>
              <w:spacing w:after="0" w:line="240" w:lineRule="auto"/>
              <w:ind w:right="60"/>
              <w:jc w:val="center"/>
              <w:rPr>
                <w:rFonts w:ascii="Times New Roman" w:hAnsi="Times New Roman" w:cs="Times New Roman"/>
                <w:color w:val="000000"/>
              </w:rPr>
            </w:pPr>
            <w:r w:rsidRPr="00DA10E4">
              <w:rPr>
                <w:rFonts w:ascii="Times New Roman" w:hAnsi="Times New Roman" w:cs="Times New Roman"/>
                <w:color w:val="000000"/>
              </w:rPr>
              <w:t>Achieving</w:t>
            </w:r>
            <w:r w:rsidR="006F6C52" w:rsidRPr="00DA10E4">
              <w:rPr>
                <w:rFonts w:ascii="Times New Roman" w:hAnsi="Times New Roman" w:cs="Times New Roman"/>
                <w:color w:val="000000"/>
              </w:rPr>
              <w:t xml:space="preserve"> the target hemoglobin level</w:t>
            </w:r>
          </w:p>
        </w:tc>
        <w:tc>
          <w:tcPr>
            <w:tcW w:w="798" w:type="pct"/>
            <w:vMerge w:val="restart"/>
            <w:tcBorders>
              <w:top w:val="single" w:sz="4" w:space="0" w:color="auto"/>
              <w:bottom w:val="nil"/>
            </w:tcBorders>
            <w:shd w:val="clear" w:color="auto" w:fill="FFFFFF"/>
          </w:tcPr>
          <w:p w14:paraId="1A0435C0"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b/>
                <w:i/>
                <w:color w:val="000000"/>
              </w:rPr>
              <w:t>p</w:t>
            </w:r>
            <w:r w:rsidRPr="00DA10E4">
              <w:rPr>
                <w:rFonts w:ascii="Times New Roman" w:hAnsi="Times New Roman" w:cs="Times New Roman"/>
                <w:b/>
                <w:color w:val="000000"/>
              </w:rPr>
              <w:t>-value</w:t>
            </w:r>
          </w:p>
        </w:tc>
      </w:tr>
      <w:tr w:rsidR="006F6C52" w:rsidRPr="00DA10E4" w14:paraId="17E65C34" w14:textId="77777777" w:rsidTr="002F7E66">
        <w:trPr>
          <w:cantSplit/>
          <w:trHeight w:hRule="exact" w:val="288"/>
        </w:trPr>
        <w:tc>
          <w:tcPr>
            <w:tcW w:w="1913" w:type="pct"/>
            <w:vMerge/>
            <w:tcBorders>
              <w:top w:val="nil"/>
              <w:bottom w:val="single" w:sz="4" w:space="0" w:color="auto"/>
            </w:tcBorders>
            <w:shd w:val="clear" w:color="auto" w:fill="FFFFFF"/>
          </w:tcPr>
          <w:p w14:paraId="38A72569" w14:textId="77777777" w:rsidR="006F6C52" w:rsidRPr="00DA10E4" w:rsidRDefault="006F6C52" w:rsidP="00DA10E4">
            <w:pPr>
              <w:autoSpaceDE w:val="0"/>
              <w:autoSpaceDN w:val="0"/>
              <w:adjustRightInd w:val="0"/>
              <w:spacing w:after="0" w:line="240" w:lineRule="auto"/>
              <w:rPr>
                <w:rFonts w:ascii="Times New Roman" w:hAnsi="Times New Roman" w:cs="Times New Roman"/>
                <w:color w:val="000000"/>
              </w:rPr>
            </w:pPr>
          </w:p>
        </w:tc>
        <w:tc>
          <w:tcPr>
            <w:tcW w:w="1144" w:type="pct"/>
            <w:tcBorders>
              <w:top w:val="nil"/>
              <w:bottom w:val="single" w:sz="4" w:space="0" w:color="auto"/>
            </w:tcBorders>
            <w:shd w:val="clear" w:color="auto" w:fill="FFFFFF"/>
          </w:tcPr>
          <w:p w14:paraId="7F52FA64" w14:textId="441D4DE0" w:rsidR="006F6C52" w:rsidRPr="00DA10E4" w:rsidRDefault="00E607AF"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Y</w:t>
            </w:r>
            <w:r w:rsidR="006F6C52" w:rsidRPr="00DA10E4">
              <w:rPr>
                <w:rFonts w:ascii="Times New Roman" w:hAnsi="Times New Roman" w:cs="Times New Roman"/>
                <w:color w:val="000000"/>
              </w:rPr>
              <w:t>es</w:t>
            </w:r>
          </w:p>
        </w:tc>
        <w:tc>
          <w:tcPr>
            <w:tcW w:w="1144" w:type="pct"/>
            <w:tcBorders>
              <w:top w:val="nil"/>
              <w:bottom w:val="single" w:sz="4" w:space="0" w:color="auto"/>
            </w:tcBorders>
            <w:shd w:val="clear" w:color="auto" w:fill="FFFFFF"/>
          </w:tcPr>
          <w:p w14:paraId="2D5CD8F2"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No</w:t>
            </w:r>
          </w:p>
        </w:tc>
        <w:tc>
          <w:tcPr>
            <w:tcW w:w="798" w:type="pct"/>
            <w:vMerge/>
            <w:tcBorders>
              <w:top w:val="nil"/>
              <w:bottom w:val="single" w:sz="4" w:space="0" w:color="auto"/>
            </w:tcBorders>
            <w:shd w:val="clear" w:color="auto" w:fill="FFFFFF"/>
          </w:tcPr>
          <w:p w14:paraId="5DFB9740" w14:textId="77777777" w:rsidR="006F6C52" w:rsidRPr="00DA10E4" w:rsidRDefault="006F6C52" w:rsidP="00DA10E4">
            <w:pPr>
              <w:autoSpaceDE w:val="0"/>
              <w:autoSpaceDN w:val="0"/>
              <w:adjustRightInd w:val="0"/>
              <w:spacing w:after="0" w:line="240" w:lineRule="auto"/>
              <w:jc w:val="center"/>
              <w:rPr>
                <w:rFonts w:ascii="Times New Roman" w:hAnsi="Times New Roman" w:cs="Times New Roman"/>
                <w:color w:val="000000"/>
              </w:rPr>
            </w:pPr>
          </w:p>
        </w:tc>
      </w:tr>
      <w:tr w:rsidR="006F6C52" w:rsidRPr="00DA10E4" w14:paraId="79F85B0D" w14:textId="77777777" w:rsidTr="002F7E66">
        <w:trPr>
          <w:cantSplit/>
          <w:trHeight w:hRule="exact" w:val="288"/>
        </w:trPr>
        <w:tc>
          <w:tcPr>
            <w:tcW w:w="1913" w:type="pct"/>
            <w:tcBorders>
              <w:top w:val="single" w:sz="4" w:space="0" w:color="auto"/>
            </w:tcBorders>
            <w:shd w:val="clear" w:color="auto" w:fill="FFFFFF"/>
          </w:tcPr>
          <w:p w14:paraId="7B6BE438"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 xml:space="preserve">Intravenous Iron </w:t>
            </w:r>
          </w:p>
        </w:tc>
        <w:tc>
          <w:tcPr>
            <w:tcW w:w="1144" w:type="pct"/>
            <w:tcBorders>
              <w:top w:val="single" w:sz="4" w:space="0" w:color="auto"/>
            </w:tcBorders>
            <w:shd w:val="clear" w:color="auto" w:fill="FFFFFF"/>
          </w:tcPr>
          <w:p w14:paraId="751F346C"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24</w:t>
            </w:r>
          </w:p>
        </w:tc>
        <w:tc>
          <w:tcPr>
            <w:tcW w:w="1144" w:type="pct"/>
            <w:tcBorders>
              <w:top w:val="single" w:sz="4" w:space="0" w:color="auto"/>
            </w:tcBorders>
            <w:shd w:val="clear" w:color="auto" w:fill="FFFFFF"/>
          </w:tcPr>
          <w:p w14:paraId="492B0BA5"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22</w:t>
            </w:r>
          </w:p>
        </w:tc>
        <w:tc>
          <w:tcPr>
            <w:tcW w:w="798" w:type="pct"/>
            <w:vMerge w:val="restart"/>
            <w:tcBorders>
              <w:top w:val="single" w:sz="4" w:space="0" w:color="auto"/>
            </w:tcBorders>
            <w:shd w:val="clear" w:color="auto" w:fill="FFFFFF"/>
          </w:tcPr>
          <w:p w14:paraId="136A8EE3"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.000</w:t>
            </w:r>
          </w:p>
        </w:tc>
      </w:tr>
      <w:tr w:rsidR="006F6C52" w:rsidRPr="00DA10E4" w14:paraId="4D7B2606" w14:textId="77777777" w:rsidTr="002F7E66">
        <w:trPr>
          <w:cantSplit/>
          <w:trHeight w:hRule="exact" w:val="288"/>
        </w:trPr>
        <w:tc>
          <w:tcPr>
            <w:tcW w:w="1913" w:type="pct"/>
            <w:tcBorders>
              <w:bottom w:val="single" w:sz="4" w:space="0" w:color="auto"/>
            </w:tcBorders>
            <w:shd w:val="clear" w:color="auto" w:fill="FFFFFF"/>
          </w:tcPr>
          <w:p w14:paraId="47C9F197"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Oral Iron Tablets</w:t>
            </w:r>
          </w:p>
        </w:tc>
        <w:tc>
          <w:tcPr>
            <w:tcW w:w="1144" w:type="pct"/>
            <w:tcBorders>
              <w:bottom w:val="single" w:sz="4" w:space="0" w:color="auto"/>
            </w:tcBorders>
            <w:shd w:val="clear" w:color="auto" w:fill="FFFFFF"/>
          </w:tcPr>
          <w:p w14:paraId="29460F0A"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46</w:t>
            </w:r>
          </w:p>
        </w:tc>
        <w:tc>
          <w:tcPr>
            <w:tcW w:w="1144" w:type="pct"/>
            <w:tcBorders>
              <w:bottom w:val="single" w:sz="4" w:space="0" w:color="auto"/>
            </w:tcBorders>
            <w:shd w:val="clear" w:color="auto" w:fill="FFFFFF"/>
          </w:tcPr>
          <w:p w14:paraId="7FBBBCA9" w14:textId="5097CA51" w:rsidR="006F6C52" w:rsidRPr="00DA10E4" w:rsidRDefault="007247F0" w:rsidP="00DA10E4">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w:t>
            </w:r>
            <w:r w:rsidR="006F6C52" w:rsidRPr="00DA10E4">
              <w:rPr>
                <w:rFonts w:ascii="Times New Roman" w:hAnsi="Times New Roman" w:cs="Times New Roman"/>
                <w:color w:val="000000"/>
              </w:rPr>
              <w:t>0</w:t>
            </w:r>
          </w:p>
        </w:tc>
        <w:tc>
          <w:tcPr>
            <w:tcW w:w="798" w:type="pct"/>
            <w:vMerge/>
            <w:tcBorders>
              <w:bottom w:val="single" w:sz="4" w:space="0" w:color="auto"/>
            </w:tcBorders>
            <w:shd w:val="clear" w:color="auto" w:fill="FFFFFF"/>
          </w:tcPr>
          <w:p w14:paraId="60418AEA"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506C0676" w14:textId="77777777" w:rsidTr="002F7E66">
        <w:trPr>
          <w:cantSplit/>
          <w:trHeight w:hRule="exact" w:val="433"/>
        </w:trPr>
        <w:tc>
          <w:tcPr>
            <w:tcW w:w="1913" w:type="pct"/>
            <w:tcBorders>
              <w:top w:val="single" w:sz="4" w:space="0" w:color="auto"/>
              <w:bottom w:val="single" w:sz="4" w:space="0" w:color="auto"/>
            </w:tcBorders>
            <w:shd w:val="clear" w:color="auto" w:fill="FFFFFF"/>
          </w:tcPr>
          <w:p w14:paraId="086E870E" w14:textId="77777777" w:rsidR="006F6C52" w:rsidRPr="00DA10E4" w:rsidRDefault="006F6C52" w:rsidP="00DA10E4">
            <w:pPr>
              <w:autoSpaceDE w:val="0"/>
              <w:autoSpaceDN w:val="0"/>
              <w:adjustRightInd w:val="0"/>
              <w:spacing w:after="0" w:line="240" w:lineRule="auto"/>
              <w:ind w:right="60"/>
              <w:rPr>
                <w:rFonts w:ascii="Times New Roman" w:hAnsi="Times New Roman" w:cs="Times New Roman"/>
                <w:b/>
                <w:bCs/>
                <w:color w:val="000000"/>
              </w:rPr>
            </w:pPr>
            <w:r w:rsidRPr="00DA10E4">
              <w:rPr>
                <w:rFonts w:ascii="Times New Roman" w:hAnsi="Times New Roman" w:cs="Times New Roman"/>
                <w:b/>
                <w:bCs/>
                <w:color w:val="000000"/>
              </w:rPr>
              <w:t>Total</w:t>
            </w:r>
          </w:p>
        </w:tc>
        <w:tc>
          <w:tcPr>
            <w:tcW w:w="1144" w:type="pct"/>
            <w:tcBorders>
              <w:top w:val="single" w:sz="4" w:space="0" w:color="auto"/>
              <w:bottom w:val="single" w:sz="4" w:space="0" w:color="auto"/>
            </w:tcBorders>
            <w:shd w:val="clear" w:color="auto" w:fill="FFFFFF"/>
          </w:tcPr>
          <w:p w14:paraId="133FD385"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70</w:t>
            </w:r>
          </w:p>
        </w:tc>
        <w:tc>
          <w:tcPr>
            <w:tcW w:w="1144" w:type="pct"/>
            <w:tcBorders>
              <w:top w:val="single" w:sz="4" w:space="0" w:color="auto"/>
              <w:bottom w:val="single" w:sz="4" w:space="0" w:color="auto"/>
            </w:tcBorders>
            <w:shd w:val="clear" w:color="auto" w:fill="FFFFFF"/>
          </w:tcPr>
          <w:p w14:paraId="12A247F9"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22</w:t>
            </w:r>
          </w:p>
        </w:tc>
        <w:tc>
          <w:tcPr>
            <w:tcW w:w="798" w:type="pct"/>
            <w:tcBorders>
              <w:top w:val="single" w:sz="4" w:space="0" w:color="auto"/>
              <w:bottom w:val="single" w:sz="4" w:space="0" w:color="auto"/>
            </w:tcBorders>
            <w:shd w:val="clear" w:color="auto" w:fill="FFFFFF"/>
          </w:tcPr>
          <w:p w14:paraId="76AFC6D6"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92</w:t>
            </w:r>
          </w:p>
        </w:tc>
      </w:tr>
    </w:tbl>
    <w:p w14:paraId="5B40CD7C" w14:textId="77777777" w:rsidR="00231302" w:rsidRPr="00DA10E4" w:rsidRDefault="006F6C52" w:rsidP="00DA10E4">
      <w:pPr>
        <w:autoSpaceDE w:val="0"/>
        <w:autoSpaceDN w:val="0"/>
        <w:adjustRightInd w:val="0"/>
        <w:spacing w:after="0" w:line="240" w:lineRule="auto"/>
        <w:rPr>
          <w:rFonts w:ascii="Arial" w:hAnsi="Arial" w:cs="Arial"/>
          <w:color w:val="000000"/>
        </w:rPr>
      </w:pPr>
      <w:r w:rsidRPr="00DA10E4">
        <w:rPr>
          <w:rFonts w:ascii="Times New Roman" w:hAnsi="Times New Roman" w:cs="Times New Roman"/>
        </w:rPr>
        <w:t>*</w:t>
      </w:r>
      <w:r w:rsidRPr="00DA10E4">
        <w:rPr>
          <w:rFonts w:ascii="Arial" w:hAnsi="Arial" w:cs="Arial"/>
          <w:color w:val="000000"/>
        </w:rPr>
        <w:t xml:space="preserve"> Fisher's Exact Test</w:t>
      </w:r>
    </w:p>
    <w:p w14:paraId="6017E81C" w14:textId="0D386D6A" w:rsidR="00EB2F22" w:rsidRPr="00DA10E4" w:rsidRDefault="00EB2F2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rPr>
        <w:t xml:space="preserve">Table </w:t>
      </w:r>
      <w:r w:rsidR="00CF372C">
        <w:rPr>
          <w:rFonts w:ascii="Times New Roman" w:hAnsi="Times New Roman" w:cs="Times New Roman"/>
        </w:rPr>
        <w:t>3</w:t>
      </w:r>
      <w:r w:rsidRPr="00DA10E4">
        <w:rPr>
          <w:rFonts w:ascii="Times New Roman" w:hAnsi="Times New Roman" w:cs="Times New Roman"/>
        </w:rPr>
        <w:t xml:space="preserve"> shows that there was significant association between type of treatment and hemoglobin level achievement (</w:t>
      </w:r>
      <w:r w:rsidRPr="00DA10E4">
        <w:rPr>
          <w:rFonts w:ascii="Times New Roman" w:hAnsi="Times New Roman" w:cs="Times New Roman"/>
          <w:i/>
        </w:rPr>
        <w:t>p</w:t>
      </w:r>
      <w:r w:rsidRPr="00DA10E4">
        <w:rPr>
          <w:rFonts w:ascii="Times New Roman" w:hAnsi="Times New Roman" w:cs="Times New Roman"/>
        </w:rPr>
        <w:t>=0.000)</w:t>
      </w:r>
    </w:p>
    <w:p w14:paraId="103060C0" w14:textId="77777777" w:rsidR="00EB2F22" w:rsidRPr="00DA10E4" w:rsidRDefault="00EB2F22" w:rsidP="00DA10E4">
      <w:pPr>
        <w:autoSpaceDE w:val="0"/>
        <w:autoSpaceDN w:val="0"/>
        <w:adjustRightInd w:val="0"/>
        <w:spacing w:after="0" w:line="240" w:lineRule="auto"/>
        <w:rPr>
          <w:rFonts w:ascii="Times New Roman" w:hAnsi="Times New Roman" w:cs="Times New Roman"/>
        </w:rPr>
      </w:pPr>
    </w:p>
    <w:p w14:paraId="2AFC72C7" w14:textId="1264A999" w:rsidR="00F8595D" w:rsidRPr="00DA10E4" w:rsidRDefault="00EB2F22" w:rsidP="00DA10E4">
      <w:pPr>
        <w:autoSpaceDE w:val="0"/>
        <w:autoSpaceDN w:val="0"/>
        <w:adjustRightInd w:val="0"/>
        <w:spacing w:after="0" w:line="240" w:lineRule="auto"/>
        <w:rPr>
          <w:rFonts w:ascii="Times New Roman" w:hAnsi="Times New Roman" w:cs="Times New Roman"/>
        </w:rPr>
      </w:pPr>
      <w:r w:rsidRPr="00DA10E4">
        <w:rPr>
          <w:rFonts w:ascii="Times New Roman" w:hAnsi="Times New Roman" w:cs="Times New Roman"/>
          <w:b/>
        </w:rPr>
        <w:lastRenderedPageBreak/>
        <w:t xml:space="preserve">Table </w:t>
      </w:r>
      <w:r w:rsidR="00CF372C">
        <w:rPr>
          <w:rFonts w:ascii="Times New Roman" w:hAnsi="Times New Roman" w:cs="Times New Roman"/>
          <w:b/>
        </w:rPr>
        <w:t>4</w:t>
      </w:r>
      <w:r w:rsidRPr="00DA10E4">
        <w:rPr>
          <w:rFonts w:ascii="Times New Roman" w:hAnsi="Times New Roman" w:cs="Times New Roman"/>
          <w:b/>
        </w:rPr>
        <w:t>:</w:t>
      </w:r>
      <w:r w:rsidRPr="00DA10E4">
        <w:rPr>
          <w:rFonts w:ascii="Times New Roman" w:hAnsi="Times New Roman" w:cs="Times New Roman"/>
        </w:rPr>
        <w:t xml:space="preserve"> </w:t>
      </w:r>
      <w:r w:rsidR="00CD01F2" w:rsidRPr="00DA10E4">
        <w:rPr>
          <w:rFonts w:ascii="Times New Roman" w:hAnsi="Times New Roman" w:cs="Times New Roman"/>
        </w:rPr>
        <w:t>Association Between Type of Treatment and Duration of Hemoglobin Improvement.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515"/>
        <w:gridCol w:w="936"/>
        <w:gridCol w:w="841"/>
        <w:gridCol w:w="1028"/>
      </w:tblGrid>
      <w:tr w:rsidR="001A6AE8" w:rsidRPr="00DA10E4" w14:paraId="4A2726BE" w14:textId="77777777" w:rsidTr="002F7E66">
        <w:trPr>
          <w:cantSplit/>
          <w:trHeight w:hRule="exact" w:val="288"/>
        </w:trPr>
        <w:tc>
          <w:tcPr>
            <w:tcW w:w="1762" w:type="pct"/>
            <w:vMerge w:val="restart"/>
            <w:tcBorders>
              <w:top w:val="single" w:sz="4" w:space="0" w:color="auto"/>
              <w:bottom w:val="nil"/>
            </w:tcBorders>
            <w:shd w:val="clear" w:color="auto" w:fill="FFFFFF"/>
          </w:tcPr>
          <w:p w14:paraId="7BE77A20" w14:textId="77777777" w:rsidR="001A6AE8" w:rsidRPr="00DA10E4" w:rsidRDefault="001A6AE8" w:rsidP="00DA10E4">
            <w:pPr>
              <w:autoSpaceDE w:val="0"/>
              <w:autoSpaceDN w:val="0"/>
              <w:adjustRightInd w:val="0"/>
              <w:spacing w:after="0" w:line="240" w:lineRule="auto"/>
              <w:rPr>
                <w:rFonts w:ascii="Times New Roman" w:hAnsi="Times New Roman" w:cs="Times New Roman"/>
                <w:b/>
              </w:rPr>
            </w:pPr>
            <w:r w:rsidRPr="00DA10E4">
              <w:rPr>
                <w:rFonts w:ascii="Times New Roman" w:hAnsi="Times New Roman" w:cs="Times New Roman"/>
                <w:b/>
                <w:color w:val="000000"/>
              </w:rPr>
              <w:t>Type of treatment</w:t>
            </w:r>
          </w:p>
        </w:tc>
        <w:tc>
          <w:tcPr>
            <w:tcW w:w="2036" w:type="pct"/>
            <w:gridSpan w:val="2"/>
            <w:tcBorders>
              <w:top w:val="single" w:sz="4" w:space="0" w:color="auto"/>
              <w:bottom w:val="nil"/>
            </w:tcBorders>
            <w:shd w:val="clear" w:color="auto" w:fill="FFFFFF"/>
          </w:tcPr>
          <w:p w14:paraId="7A451EE0"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After 2 weeks</w:t>
            </w:r>
          </w:p>
        </w:tc>
        <w:tc>
          <w:tcPr>
            <w:tcW w:w="1202" w:type="pct"/>
            <w:vMerge w:val="restart"/>
            <w:tcBorders>
              <w:top w:val="single" w:sz="4" w:space="0" w:color="auto"/>
              <w:bottom w:val="nil"/>
            </w:tcBorders>
            <w:shd w:val="clear" w:color="auto" w:fill="FFFFFF"/>
          </w:tcPr>
          <w:p w14:paraId="48BE5DF4"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i/>
                <w:color w:val="000000"/>
              </w:rPr>
              <w:t>p</w:t>
            </w:r>
            <w:r w:rsidRPr="00DA10E4">
              <w:rPr>
                <w:rFonts w:ascii="Times New Roman" w:hAnsi="Times New Roman" w:cs="Times New Roman"/>
                <w:b/>
                <w:color w:val="000000"/>
              </w:rPr>
              <w:t>-value</w:t>
            </w:r>
          </w:p>
        </w:tc>
      </w:tr>
      <w:tr w:rsidR="001A6AE8" w:rsidRPr="00DA10E4" w14:paraId="722683DA" w14:textId="77777777" w:rsidTr="002F7E66">
        <w:trPr>
          <w:cantSplit/>
          <w:trHeight w:hRule="exact" w:val="288"/>
        </w:trPr>
        <w:tc>
          <w:tcPr>
            <w:tcW w:w="1762" w:type="pct"/>
            <w:vMerge/>
            <w:tcBorders>
              <w:top w:val="nil"/>
              <w:bottom w:val="single" w:sz="4" w:space="0" w:color="auto"/>
            </w:tcBorders>
            <w:shd w:val="clear" w:color="auto" w:fill="FFFFFF"/>
          </w:tcPr>
          <w:p w14:paraId="5B061D57" w14:textId="77777777" w:rsidR="001A6AE8" w:rsidRPr="00DA10E4" w:rsidRDefault="001A6AE8" w:rsidP="00DA10E4">
            <w:pPr>
              <w:autoSpaceDE w:val="0"/>
              <w:autoSpaceDN w:val="0"/>
              <w:adjustRightInd w:val="0"/>
              <w:spacing w:after="0" w:line="240" w:lineRule="auto"/>
              <w:rPr>
                <w:rFonts w:ascii="Times New Roman" w:hAnsi="Times New Roman" w:cs="Times New Roman"/>
                <w:color w:val="000000"/>
              </w:rPr>
            </w:pPr>
          </w:p>
        </w:tc>
        <w:tc>
          <w:tcPr>
            <w:tcW w:w="1087" w:type="pct"/>
            <w:tcBorders>
              <w:top w:val="nil"/>
              <w:bottom w:val="single" w:sz="4" w:space="0" w:color="auto"/>
            </w:tcBorders>
            <w:shd w:val="clear" w:color="auto" w:fill="FFFFFF"/>
          </w:tcPr>
          <w:p w14:paraId="14A0760A" w14:textId="77777777" w:rsidR="001A6AE8" w:rsidRPr="00DA10E4" w:rsidRDefault="006F6C52"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An</w:t>
            </w:r>
            <w:r w:rsidR="001A6AE8" w:rsidRPr="00DA10E4">
              <w:rPr>
                <w:rFonts w:ascii="Times New Roman" w:hAnsi="Times New Roman" w:cs="Times New Roman"/>
                <w:b/>
                <w:color w:val="000000"/>
              </w:rPr>
              <w:t>emia</w:t>
            </w:r>
          </w:p>
        </w:tc>
        <w:tc>
          <w:tcPr>
            <w:tcW w:w="949" w:type="pct"/>
            <w:tcBorders>
              <w:top w:val="nil"/>
              <w:bottom w:val="single" w:sz="4" w:space="0" w:color="auto"/>
            </w:tcBorders>
            <w:shd w:val="clear" w:color="auto" w:fill="FFFFFF"/>
          </w:tcPr>
          <w:p w14:paraId="6ADD1288"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Normal</w:t>
            </w:r>
          </w:p>
        </w:tc>
        <w:tc>
          <w:tcPr>
            <w:tcW w:w="1202" w:type="pct"/>
            <w:vMerge/>
            <w:tcBorders>
              <w:top w:val="nil"/>
              <w:bottom w:val="single" w:sz="4" w:space="0" w:color="auto"/>
            </w:tcBorders>
            <w:shd w:val="clear" w:color="auto" w:fill="FFFFFF"/>
          </w:tcPr>
          <w:p w14:paraId="3E1CCE63" w14:textId="77777777" w:rsidR="001A6AE8" w:rsidRPr="00DA10E4" w:rsidRDefault="001A6AE8" w:rsidP="00DA10E4">
            <w:pPr>
              <w:autoSpaceDE w:val="0"/>
              <w:autoSpaceDN w:val="0"/>
              <w:adjustRightInd w:val="0"/>
              <w:spacing w:after="0" w:line="240" w:lineRule="auto"/>
              <w:jc w:val="center"/>
              <w:rPr>
                <w:rFonts w:ascii="Times New Roman" w:hAnsi="Times New Roman" w:cs="Times New Roman"/>
                <w:color w:val="000000"/>
              </w:rPr>
            </w:pPr>
          </w:p>
        </w:tc>
      </w:tr>
      <w:tr w:rsidR="001A6AE8" w:rsidRPr="00DA10E4" w14:paraId="3AEA5126" w14:textId="77777777" w:rsidTr="002F7E66">
        <w:trPr>
          <w:cantSplit/>
          <w:trHeight w:hRule="exact" w:val="288"/>
        </w:trPr>
        <w:tc>
          <w:tcPr>
            <w:tcW w:w="1758" w:type="pct"/>
            <w:tcBorders>
              <w:top w:val="single" w:sz="4" w:space="0" w:color="auto"/>
            </w:tcBorders>
            <w:shd w:val="clear" w:color="auto" w:fill="FFFFFF"/>
          </w:tcPr>
          <w:p w14:paraId="4A9D44DF" w14:textId="77777777" w:rsidR="001A6AE8" w:rsidRPr="00DA10E4" w:rsidRDefault="001A6AE8"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 xml:space="preserve">Intravenous Iron </w:t>
            </w:r>
          </w:p>
        </w:tc>
        <w:tc>
          <w:tcPr>
            <w:tcW w:w="1091" w:type="pct"/>
            <w:tcBorders>
              <w:top w:val="single" w:sz="4" w:space="0" w:color="auto"/>
            </w:tcBorders>
            <w:shd w:val="clear" w:color="auto" w:fill="FFFFFF"/>
          </w:tcPr>
          <w:p w14:paraId="0E67F076"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22</w:t>
            </w:r>
          </w:p>
        </w:tc>
        <w:tc>
          <w:tcPr>
            <w:tcW w:w="949" w:type="pct"/>
            <w:tcBorders>
              <w:top w:val="single" w:sz="4" w:space="0" w:color="auto"/>
            </w:tcBorders>
            <w:shd w:val="clear" w:color="auto" w:fill="FFFFFF"/>
          </w:tcPr>
          <w:p w14:paraId="4480A35A"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24</w:t>
            </w:r>
          </w:p>
        </w:tc>
        <w:tc>
          <w:tcPr>
            <w:tcW w:w="1202" w:type="pct"/>
            <w:vMerge w:val="restart"/>
            <w:tcBorders>
              <w:top w:val="single" w:sz="4" w:space="0" w:color="auto"/>
            </w:tcBorders>
            <w:shd w:val="clear" w:color="auto" w:fill="FFFFFF"/>
          </w:tcPr>
          <w:p w14:paraId="16078E49"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0.044</w:t>
            </w:r>
          </w:p>
        </w:tc>
      </w:tr>
      <w:tr w:rsidR="001A6AE8" w:rsidRPr="00DA10E4" w14:paraId="788BAC2A" w14:textId="77777777" w:rsidTr="002F7E66">
        <w:trPr>
          <w:cantSplit/>
          <w:trHeight w:hRule="exact" w:val="288"/>
        </w:trPr>
        <w:tc>
          <w:tcPr>
            <w:tcW w:w="1758" w:type="pct"/>
            <w:shd w:val="clear" w:color="auto" w:fill="FFFFFF"/>
          </w:tcPr>
          <w:p w14:paraId="4A37F559" w14:textId="77777777" w:rsidR="001A6AE8" w:rsidRPr="00DA10E4" w:rsidRDefault="001A6AE8"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Oral Iron Tablets</w:t>
            </w:r>
          </w:p>
        </w:tc>
        <w:tc>
          <w:tcPr>
            <w:tcW w:w="1091" w:type="pct"/>
            <w:shd w:val="clear" w:color="auto" w:fill="FFFFFF"/>
          </w:tcPr>
          <w:p w14:paraId="5FCC294D"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21</w:t>
            </w:r>
          </w:p>
        </w:tc>
        <w:tc>
          <w:tcPr>
            <w:tcW w:w="949" w:type="pct"/>
            <w:shd w:val="clear" w:color="auto" w:fill="FFFFFF"/>
          </w:tcPr>
          <w:p w14:paraId="3659643D"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25</w:t>
            </w:r>
          </w:p>
        </w:tc>
        <w:tc>
          <w:tcPr>
            <w:tcW w:w="1202" w:type="pct"/>
            <w:vMerge/>
            <w:shd w:val="clear" w:color="auto" w:fill="FFFFFF"/>
          </w:tcPr>
          <w:p w14:paraId="1E6735E7" w14:textId="77777777" w:rsidR="001A6AE8" w:rsidRPr="00DA10E4" w:rsidRDefault="001A6AE8"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6DFBB0DE" w14:textId="77777777" w:rsidTr="002F7E66">
        <w:trPr>
          <w:cantSplit/>
          <w:trHeight w:hRule="exact" w:val="288"/>
        </w:trPr>
        <w:tc>
          <w:tcPr>
            <w:tcW w:w="1762" w:type="pct"/>
            <w:shd w:val="clear" w:color="auto" w:fill="FFFFFF"/>
          </w:tcPr>
          <w:p w14:paraId="2158D1E1" w14:textId="77777777" w:rsidR="006F6C52" w:rsidRPr="00DA10E4" w:rsidRDefault="006F6C52" w:rsidP="00DA10E4">
            <w:pPr>
              <w:autoSpaceDE w:val="0"/>
              <w:autoSpaceDN w:val="0"/>
              <w:adjustRightInd w:val="0"/>
              <w:spacing w:after="0" w:line="240" w:lineRule="auto"/>
              <w:ind w:right="60"/>
              <w:rPr>
                <w:rFonts w:ascii="Times New Roman" w:hAnsi="Times New Roman" w:cs="Times New Roman"/>
                <w:color w:val="000000"/>
              </w:rPr>
            </w:pPr>
          </w:p>
        </w:tc>
        <w:tc>
          <w:tcPr>
            <w:tcW w:w="2036" w:type="pct"/>
            <w:gridSpan w:val="2"/>
            <w:shd w:val="clear" w:color="auto" w:fill="FFFFFF"/>
          </w:tcPr>
          <w:p w14:paraId="677859B6"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color w:val="000000"/>
              </w:rPr>
            </w:pPr>
            <w:r w:rsidRPr="00DA10E4">
              <w:rPr>
                <w:rFonts w:ascii="Times New Roman" w:hAnsi="Times New Roman" w:cs="Times New Roman"/>
                <w:b/>
                <w:color w:val="000000"/>
              </w:rPr>
              <w:t>After 6 weeks</w:t>
            </w:r>
          </w:p>
        </w:tc>
        <w:tc>
          <w:tcPr>
            <w:tcW w:w="1202" w:type="pct"/>
            <w:vMerge w:val="restart"/>
            <w:shd w:val="clear" w:color="auto" w:fill="FFFFFF"/>
          </w:tcPr>
          <w:p w14:paraId="0F168512"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0.003</w:t>
            </w:r>
          </w:p>
        </w:tc>
      </w:tr>
      <w:tr w:rsidR="006F6C52" w:rsidRPr="00DA10E4" w14:paraId="30084F46" w14:textId="77777777" w:rsidTr="002F7E66">
        <w:trPr>
          <w:cantSplit/>
          <w:trHeight w:hRule="exact" w:val="288"/>
        </w:trPr>
        <w:tc>
          <w:tcPr>
            <w:tcW w:w="1762" w:type="pct"/>
            <w:shd w:val="clear" w:color="auto" w:fill="FFFFFF"/>
          </w:tcPr>
          <w:p w14:paraId="6BBD30BA"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 xml:space="preserve">Intravenous Iron </w:t>
            </w:r>
          </w:p>
        </w:tc>
        <w:tc>
          <w:tcPr>
            <w:tcW w:w="1087" w:type="pct"/>
            <w:shd w:val="clear" w:color="auto" w:fill="FFFFFF"/>
          </w:tcPr>
          <w:p w14:paraId="540347FB"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18</w:t>
            </w:r>
          </w:p>
        </w:tc>
        <w:tc>
          <w:tcPr>
            <w:tcW w:w="949" w:type="pct"/>
            <w:shd w:val="clear" w:color="auto" w:fill="FFFFFF"/>
          </w:tcPr>
          <w:p w14:paraId="1CED3E21"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28</w:t>
            </w:r>
          </w:p>
        </w:tc>
        <w:tc>
          <w:tcPr>
            <w:tcW w:w="1202" w:type="pct"/>
            <w:vMerge/>
            <w:shd w:val="clear" w:color="auto" w:fill="FFFFFF"/>
          </w:tcPr>
          <w:p w14:paraId="54753893"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2A9751E6" w14:textId="77777777" w:rsidTr="002F7E66">
        <w:trPr>
          <w:cantSplit/>
          <w:trHeight w:hRule="exact" w:val="288"/>
        </w:trPr>
        <w:tc>
          <w:tcPr>
            <w:tcW w:w="1762" w:type="pct"/>
            <w:tcBorders>
              <w:bottom w:val="single" w:sz="4" w:space="0" w:color="auto"/>
            </w:tcBorders>
            <w:shd w:val="clear" w:color="auto" w:fill="FFFFFF"/>
          </w:tcPr>
          <w:p w14:paraId="49D5EB2C" w14:textId="77777777" w:rsidR="006F6C52" w:rsidRPr="00DA10E4" w:rsidRDefault="006F6C52" w:rsidP="00DA10E4">
            <w:pPr>
              <w:autoSpaceDE w:val="0"/>
              <w:autoSpaceDN w:val="0"/>
              <w:adjustRightInd w:val="0"/>
              <w:spacing w:after="0" w:line="240" w:lineRule="auto"/>
              <w:ind w:left="60" w:right="60"/>
              <w:rPr>
                <w:rFonts w:ascii="Times New Roman" w:hAnsi="Times New Roman" w:cs="Times New Roman"/>
                <w:color w:val="000000"/>
              </w:rPr>
            </w:pPr>
            <w:r w:rsidRPr="00DA10E4">
              <w:rPr>
                <w:rFonts w:ascii="Times New Roman" w:hAnsi="Times New Roman" w:cs="Times New Roman"/>
                <w:color w:val="000000"/>
              </w:rPr>
              <w:t>Oral Iron Tablets</w:t>
            </w:r>
          </w:p>
        </w:tc>
        <w:tc>
          <w:tcPr>
            <w:tcW w:w="1087" w:type="pct"/>
            <w:tcBorders>
              <w:bottom w:val="single" w:sz="4" w:space="0" w:color="auto"/>
            </w:tcBorders>
            <w:shd w:val="clear" w:color="auto" w:fill="FFFFFF"/>
          </w:tcPr>
          <w:p w14:paraId="2EABE069"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22</w:t>
            </w:r>
          </w:p>
        </w:tc>
        <w:tc>
          <w:tcPr>
            <w:tcW w:w="949" w:type="pct"/>
            <w:tcBorders>
              <w:bottom w:val="single" w:sz="4" w:space="0" w:color="auto"/>
            </w:tcBorders>
            <w:shd w:val="clear" w:color="auto" w:fill="FFFFFF"/>
          </w:tcPr>
          <w:p w14:paraId="12CCE56D"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r w:rsidRPr="00DA10E4">
              <w:rPr>
                <w:rFonts w:ascii="Times New Roman" w:hAnsi="Times New Roman" w:cs="Times New Roman"/>
                <w:color w:val="000000"/>
              </w:rPr>
              <w:t>24</w:t>
            </w:r>
          </w:p>
        </w:tc>
        <w:tc>
          <w:tcPr>
            <w:tcW w:w="1202" w:type="pct"/>
            <w:vMerge/>
            <w:tcBorders>
              <w:bottom w:val="single" w:sz="4" w:space="0" w:color="auto"/>
            </w:tcBorders>
            <w:shd w:val="clear" w:color="auto" w:fill="FFFFFF"/>
          </w:tcPr>
          <w:p w14:paraId="598A52CC"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color w:val="000000"/>
              </w:rPr>
            </w:pPr>
          </w:p>
        </w:tc>
      </w:tr>
      <w:tr w:rsidR="006F6C52" w:rsidRPr="00DA10E4" w14:paraId="3220D713" w14:textId="77777777" w:rsidTr="002F7E66">
        <w:trPr>
          <w:cantSplit/>
          <w:trHeight w:hRule="exact" w:val="397"/>
        </w:trPr>
        <w:tc>
          <w:tcPr>
            <w:tcW w:w="1762" w:type="pct"/>
            <w:tcBorders>
              <w:top w:val="single" w:sz="4" w:space="0" w:color="auto"/>
              <w:bottom w:val="single" w:sz="4" w:space="0" w:color="auto"/>
            </w:tcBorders>
            <w:shd w:val="clear" w:color="auto" w:fill="FFFFFF"/>
          </w:tcPr>
          <w:p w14:paraId="0A2DACB7" w14:textId="77777777" w:rsidR="006F6C52" w:rsidRPr="00DA10E4" w:rsidRDefault="006F6C52" w:rsidP="00DA10E4">
            <w:pPr>
              <w:autoSpaceDE w:val="0"/>
              <w:autoSpaceDN w:val="0"/>
              <w:adjustRightInd w:val="0"/>
              <w:spacing w:after="0" w:line="240" w:lineRule="auto"/>
              <w:ind w:right="60"/>
              <w:rPr>
                <w:rFonts w:ascii="Times New Roman" w:hAnsi="Times New Roman" w:cs="Times New Roman"/>
                <w:b/>
                <w:bCs/>
                <w:color w:val="000000"/>
              </w:rPr>
            </w:pPr>
            <w:r w:rsidRPr="00DA10E4">
              <w:rPr>
                <w:rFonts w:ascii="Times New Roman" w:hAnsi="Times New Roman" w:cs="Times New Roman"/>
                <w:b/>
                <w:bCs/>
                <w:color w:val="000000"/>
              </w:rPr>
              <w:t>Total</w:t>
            </w:r>
          </w:p>
        </w:tc>
        <w:tc>
          <w:tcPr>
            <w:tcW w:w="1087" w:type="pct"/>
            <w:tcBorders>
              <w:top w:val="single" w:sz="4" w:space="0" w:color="auto"/>
              <w:bottom w:val="single" w:sz="4" w:space="0" w:color="auto"/>
            </w:tcBorders>
            <w:shd w:val="clear" w:color="auto" w:fill="FFFFFF"/>
          </w:tcPr>
          <w:p w14:paraId="154798E3"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40</w:t>
            </w:r>
          </w:p>
        </w:tc>
        <w:tc>
          <w:tcPr>
            <w:tcW w:w="949" w:type="pct"/>
            <w:tcBorders>
              <w:top w:val="single" w:sz="4" w:space="0" w:color="auto"/>
              <w:bottom w:val="single" w:sz="4" w:space="0" w:color="auto"/>
            </w:tcBorders>
            <w:shd w:val="clear" w:color="auto" w:fill="FFFFFF"/>
          </w:tcPr>
          <w:p w14:paraId="76C0FCFA"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52</w:t>
            </w:r>
          </w:p>
        </w:tc>
        <w:tc>
          <w:tcPr>
            <w:tcW w:w="1202" w:type="pct"/>
            <w:tcBorders>
              <w:top w:val="single" w:sz="4" w:space="0" w:color="auto"/>
              <w:bottom w:val="single" w:sz="4" w:space="0" w:color="auto"/>
            </w:tcBorders>
            <w:shd w:val="clear" w:color="auto" w:fill="FFFFFF"/>
          </w:tcPr>
          <w:p w14:paraId="64B5EBB8" w14:textId="77777777" w:rsidR="006F6C52" w:rsidRPr="00DA10E4" w:rsidRDefault="006F6C52" w:rsidP="00DA10E4">
            <w:pPr>
              <w:autoSpaceDE w:val="0"/>
              <w:autoSpaceDN w:val="0"/>
              <w:adjustRightInd w:val="0"/>
              <w:spacing w:after="0" w:line="240" w:lineRule="auto"/>
              <w:ind w:left="60" w:right="60"/>
              <w:jc w:val="center"/>
              <w:rPr>
                <w:rFonts w:ascii="Times New Roman" w:hAnsi="Times New Roman" w:cs="Times New Roman"/>
                <w:b/>
                <w:bCs/>
                <w:color w:val="000000"/>
              </w:rPr>
            </w:pPr>
            <w:r w:rsidRPr="00DA10E4">
              <w:rPr>
                <w:rFonts w:ascii="Times New Roman" w:hAnsi="Times New Roman" w:cs="Times New Roman"/>
                <w:b/>
                <w:bCs/>
                <w:color w:val="000000"/>
              </w:rPr>
              <w:t>92</w:t>
            </w:r>
          </w:p>
        </w:tc>
      </w:tr>
    </w:tbl>
    <w:p w14:paraId="44548BA8" w14:textId="1A0A7B3E" w:rsidR="00EB2F22" w:rsidRPr="00DA10E4" w:rsidRDefault="00EB2F22"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 xml:space="preserve">Table </w:t>
      </w:r>
      <w:r w:rsidR="00CF372C">
        <w:rPr>
          <w:rFonts w:ascii="Times New Roman" w:hAnsi="Times New Roman" w:cs="Times New Roman"/>
        </w:rPr>
        <w:t>4</w:t>
      </w:r>
      <w:r w:rsidRPr="00DA10E4">
        <w:rPr>
          <w:rFonts w:ascii="Times New Roman" w:hAnsi="Times New Roman" w:cs="Times New Roman"/>
        </w:rPr>
        <w:t xml:space="preserve"> </w:t>
      </w:r>
      <w:r w:rsidR="00693CBB" w:rsidRPr="00DA10E4">
        <w:rPr>
          <w:rFonts w:ascii="Times New Roman" w:hAnsi="Times New Roman" w:cs="Times New Roman"/>
        </w:rPr>
        <w:t>reveals</w:t>
      </w:r>
      <w:r w:rsidRPr="00DA10E4">
        <w:rPr>
          <w:rFonts w:ascii="Times New Roman" w:hAnsi="Times New Roman" w:cs="Times New Roman"/>
        </w:rPr>
        <w:t xml:space="preserve"> that there was </w:t>
      </w:r>
      <w:r w:rsidR="00501D92" w:rsidRPr="00DA10E4">
        <w:rPr>
          <w:rFonts w:ascii="Times New Roman" w:hAnsi="Times New Roman" w:cs="Times New Roman"/>
        </w:rPr>
        <w:t>a significant</w:t>
      </w:r>
      <w:r w:rsidRPr="00DA10E4">
        <w:rPr>
          <w:rFonts w:ascii="Times New Roman" w:hAnsi="Times New Roman" w:cs="Times New Roman"/>
        </w:rPr>
        <w:t xml:space="preserve"> association between type of treatment and hemoglobin level achievement after 2 weeks and 6 weeks of treatment (</w:t>
      </w:r>
      <w:r w:rsidRPr="00DA10E4">
        <w:rPr>
          <w:rFonts w:ascii="Times New Roman" w:hAnsi="Times New Roman" w:cs="Times New Roman"/>
          <w:i/>
        </w:rPr>
        <w:t>p</w:t>
      </w:r>
      <w:r w:rsidRPr="00DA10E4">
        <w:rPr>
          <w:rFonts w:ascii="Times New Roman" w:hAnsi="Times New Roman" w:cs="Times New Roman"/>
        </w:rPr>
        <w:t>=0.044 and 0.003) respectively.</w:t>
      </w:r>
    </w:p>
    <w:p w14:paraId="438A15CE" w14:textId="77777777" w:rsidR="003917C0" w:rsidRPr="00DA10E4" w:rsidRDefault="003917C0" w:rsidP="001B6AFD">
      <w:pPr>
        <w:autoSpaceDE w:val="0"/>
        <w:autoSpaceDN w:val="0"/>
        <w:adjustRightInd w:val="0"/>
        <w:spacing w:after="0" w:line="240" w:lineRule="auto"/>
        <w:jc w:val="both"/>
        <w:rPr>
          <w:rFonts w:ascii="Times New Roman" w:hAnsi="Times New Roman" w:cs="Times New Roman"/>
        </w:rPr>
      </w:pPr>
    </w:p>
    <w:p w14:paraId="450DC029" w14:textId="77777777" w:rsidR="003917C0" w:rsidRPr="00DA10E4" w:rsidRDefault="003917C0" w:rsidP="001B6AFD">
      <w:pPr>
        <w:autoSpaceDE w:val="0"/>
        <w:autoSpaceDN w:val="0"/>
        <w:adjustRightInd w:val="0"/>
        <w:spacing w:after="0" w:line="240" w:lineRule="auto"/>
        <w:jc w:val="both"/>
        <w:rPr>
          <w:rFonts w:ascii="Times New Roman" w:hAnsi="Times New Roman" w:cs="Times New Roman"/>
          <w:b/>
          <w:bCs/>
        </w:rPr>
      </w:pPr>
      <w:r w:rsidRPr="00DA10E4">
        <w:rPr>
          <w:rFonts w:ascii="Times New Roman" w:hAnsi="Times New Roman" w:cs="Times New Roman"/>
          <w:b/>
          <w:bCs/>
        </w:rPr>
        <w:t>Discussion:</w:t>
      </w:r>
    </w:p>
    <w:p w14:paraId="2E9EB986" w14:textId="77777777" w:rsidR="001B6AFD" w:rsidRPr="001B6AFD"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t>The study findings focus the persistent challenge of PIDA, with a real ratio of women staying anemic at both the 2-week and 6-week follow-up regardless of treatment [5, 6]. Our participants' mean age of 29.18 years supports with typical age range where PIDA is usually detected [12]. A significant number of women in this research stated a monthly family income between BDT 20,000-50,000, may reflect the socioeconomic situations in the study part and its possible effect on access to satisfactory nutrition and health care, contributors to PIDA [10, 11]. The prevalence of multiparity 59.8% in this study is also notable, as repeatedly associated with an enhanced risk of iron deficiency cause of multiple pregnancies and deliveries [9].</w:t>
      </w:r>
    </w:p>
    <w:p w14:paraId="1A401F53" w14:textId="77777777" w:rsidR="001B6AFD" w:rsidRPr="001B6AFD"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t>The advanced recovery in hemoglobin levels after iron therapy, implying a constant regaining during treatment period. The point that a considerable 43.5% of participants continued anemic even at the 6-week mark underlines the necessity for further efficient interventions and longer-term follow-up plans [8, 12].</w:t>
      </w:r>
    </w:p>
    <w:p w14:paraId="28FE7E3B" w14:textId="77777777" w:rsidR="001B6AFD" w:rsidRPr="001B6AFD"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t xml:space="preserve">Observing the side effects associated with iron treatment, our results, associated with previous research. Largely, 65.2% of respondents stated they were facing minimum one side effects. While the definite breakdown by treatment type is detailed in our study, our data shows that oral iron tablets were associated with a higher prevalence of gastrointestinal side effects </w:t>
      </w:r>
      <w:r w:rsidRPr="001B6AFD">
        <w:rPr>
          <w:rFonts w:ascii="Times New Roman" w:hAnsi="Times New Roman" w:cs="Times New Roman"/>
        </w:rPr>
        <w:t>consistent with previous literature [1, 2, 19]. Equally, intravenous iron was more often correlated to side effects like dysgeusia, while severe reactions were rare in our cohort [13, 22]. Dysgeusia 13.0% was the most repeatedly narrated side effect in general, followed by gastrointestinal pain 10.9%, constipation 10.9%, and muscle cramps 10.9%. Fewer usual side effects incorporated headache 8.7%, nausea 6.5%, and urticaria 4.3%. Though a meaningful proportion 34.8% of respondents informed no side effects, a substantial number practiced mild to moderate symptoms, which can undoubtedly impact treatment adherence and quality of life. The importance of these side effects should be cautiously measured when choosing an appropriate iron substitute therapy [2, 19].</w:t>
      </w:r>
    </w:p>
    <w:p w14:paraId="463D776C" w14:textId="77777777" w:rsidR="001B6AFD" w:rsidRPr="001B6AFD"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t>Addressing the impact of side effects in iron administration is crucial for patient compliance and overall treatment success. Given the persistent challenge of side effects, future research should explore novel iron formulations, both oral and intravenous, specifically designed to minimize adverse effects without compromising efficacy. For instance, investigations into different oral iron salt formulations or micronized preparations could lead to improved gastrointestinal tolerability [15]. Furthermore, personalized medicine approaches, potentially utilizing genetic or biomarker data, could help predict which patients are more susceptible to certain side effects with specific iron preparations, thereby enabling tailored treatment plans from the outset. Research into effective co-interventions or supportive care strategies to alleviate common side effects, such as dietary modifications for constipation or anti-nausea medications, could also significantly enhance patient comfort and adherence. Finally, long-term follow-up studies are essential to fully understand any persistent or delayed side effects and their broader implications on patient health and treatment outcomes [23, 24, 25, 26].</w:t>
      </w:r>
    </w:p>
    <w:p w14:paraId="3F1B49D8" w14:textId="77777777" w:rsidR="001B6AFD" w:rsidRPr="001B6AFD"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t>Our study retrieved a significant link between treatment type and hemoglobin achievement (p=0.000). Intravenous iron supported more helpful than oral iron in improving postpartum hemoglobin, supporting with other findings [1, 3, 4].</w:t>
      </w:r>
    </w:p>
    <w:p w14:paraId="14ECB49E" w14:textId="77777777" w:rsidR="001B6AFD" w:rsidRPr="001B6AFD"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lastRenderedPageBreak/>
        <w:t>Sultan et al.'s (2019) meta-analysis align with this; IV iron is more efficient for postpartum anemia [19]. This possibly happens as IV administration fast and absolutely fills iron stores, avoiding oral iron's absorption restrictions [13, 14].</w:t>
      </w:r>
    </w:p>
    <w:p w14:paraId="57D9E05F" w14:textId="77777777" w:rsidR="001B6AFD" w:rsidRPr="001B6AFD"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t>A recent systematic review also suggested IV iron's supremacy over oral iron in decreasing fatigue and upgrading hemoglobin and ferritin for postpartum anemia [25]. Alternative trial in Nigeria obtained IV iron securely decreased iron deficiency than oral iron, although generally anemia ratios didn't differ [26].</w:t>
      </w:r>
    </w:p>
    <w:p w14:paraId="2EFBCD47" w14:textId="5C818795" w:rsidR="003917C0" w:rsidRPr="00DA10E4" w:rsidRDefault="001B6AFD" w:rsidP="001B6AFD">
      <w:pPr>
        <w:autoSpaceDE w:val="0"/>
        <w:autoSpaceDN w:val="0"/>
        <w:adjustRightInd w:val="0"/>
        <w:spacing w:after="0" w:line="240" w:lineRule="auto"/>
        <w:jc w:val="both"/>
        <w:rPr>
          <w:rFonts w:ascii="Times New Roman" w:hAnsi="Times New Roman" w:cs="Times New Roman"/>
        </w:rPr>
      </w:pPr>
      <w:r w:rsidRPr="001B6AFD">
        <w:rPr>
          <w:rFonts w:ascii="Times New Roman" w:hAnsi="Times New Roman" w:cs="Times New Roman"/>
        </w:rPr>
        <w:t>However, expense is a reason. IV iron is usually more costly than oral [24]. Health care workers must weigh IV iron's value versus its price when compelling treatment choices.</w:t>
      </w:r>
    </w:p>
    <w:p w14:paraId="3B91B4FE" w14:textId="11D1A6F2" w:rsidR="003917C0" w:rsidRPr="00DA10E4" w:rsidRDefault="003917C0"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Conclusion:</w:t>
      </w:r>
    </w:p>
    <w:p w14:paraId="31E1C548" w14:textId="3EFE91D2" w:rsidR="003917C0" w:rsidRPr="00DA10E4" w:rsidRDefault="00BC1F79" w:rsidP="00BC1F79">
      <w:pPr>
        <w:autoSpaceDE w:val="0"/>
        <w:autoSpaceDN w:val="0"/>
        <w:adjustRightInd w:val="0"/>
        <w:spacing w:after="0" w:line="240" w:lineRule="auto"/>
        <w:jc w:val="both"/>
        <w:rPr>
          <w:rFonts w:ascii="Times New Roman" w:hAnsi="Times New Roman" w:cs="Times New Roman"/>
        </w:rPr>
      </w:pPr>
      <w:r w:rsidRPr="00BC1F79">
        <w:rPr>
          <w:rFonts w:ascii="Times New Roman" w:hAnsi="Times New Roman" w:cs="Times New Roman"/>
        </w:rPr>
        <w:t>Intravenous iron therapy proved significantly more effective than oral iron in improving hemoglobin levels among postpartum women with iron deficiency anemia. Its rapid correction of anemia makes it especially beneficial for women with moderate to severe symptoms or poor tolerance to oral iron. In resource-limited settings like Bangladesh and India, prioritizing intravenous iron for high-risk cases could improve maternal recovery and overall outcomes, provided cost and accessibility are carefully considered.</w:t>
      </w:r>
    </w:p>
    <w:p w14:paraId="47683B0D" w14:textId="77777777" w:rsidR="003917C0" w:rsidRPr="00DA10E4" w:rsidRDefault="003917C0" w:rsidP="00DA10E4">
      <w:pPr>
        <w:autoSpaceDE w:val="0"/>
        <w:autoSpaceDN w:val="0"/>
        <w:adjustRightInd w:val="0"/>
        <w:spacing w:after="0" w:line="240" w:lineRule="auto"/>
        <w:rPr>
          <w:rFonts w:ascii="Times New Roman" w:hAnsi="Times New Roman" w:cs="Times New Roman"/>
        </w:rPr>
      </w:pPr>
    </w:p>
    <w:p w14:paraId="353C1AEA" w14:textId="3D5A2C74" w:rsidR="003917C0" w:rsidRPr="00DA10E4" w:rsidRDefault="003917C0" w:rsidP="00DA10E4">
      <w:pPr>
        <w:autoSpaceDE w:val="0"/>
        <w:autoSpaceDN w:val="0"/>
        <w:adjustRightInd w:val="0"/>
        <w:spacing w:after="0" w:line="240" w:lineRule="auto"/>
        <w:rPr>
          <w:rFonts w:ascii="Times New Roman" w:hAnsi="Times New Roman" w:cs="Times New Roman"/>
          <w:b/>
          <w:bCs/>
        </w:rPr>
      </w:pPr>
      <w:r w:rsidRPr="00DA10E4">
        <w:rPr>
          <w:rFonts w:ascii="Times New Roman" w:hAnsi="Times New Roman" w:cs="Times New Roman"/>
          <w:b/>
          <w:bCs/>
        </w:rPr>
        <w:t>Conflict of Interest:</w:t>
      </w:r>
    </w:p>
    <w:p w14:paraId="5DE14C36" w14:textId="77777777" w:rsidR="003917C0" w:rsidRDefault="003917C0" w:rsidP="00DA10E4">
      <w:pPr>
        <w:autoSpaceDE w:val="0"/>
        <w:autoSpaceDN w:val="0"/>
        <w:adjustRightInd w:val="0"/>
        <w:spacing w:after="0" w:line="240" w:lineRule="auto"/>
        <w:jc w:val="both"/>
        <w:rPr>
          <w:rFonts w:ascii="Times New Roman" w:hAnsi="Times New Roman" w:cs="Times New Roman"/>
        </w:rPr>
      </w:pPr>
      <w:r w:rsidRPr="00DA10E4">
        <w:rPr>
          <w:rFonts w:ascii="Times New Roman" w:hAnsi="Times New Roman" w:cs="Times New Roman"/>
        </w:rPr>
        <w:t>The authors have no conflicts of interest to disclose related to this study.</w:t>
      </w:r>
    </w:p>
    <w:p w14:paraId="671EDCCC" w14:textId="77777777" w:rsidR="002F7E66" w:rsidRPr="00DA10E4" w:rsidRDefault="002F7E66" w:rsidP="00DA10E4">
      <w:pPr>
        <w:autoSpaceDE w:val="0"/>
        <w:autoSpaceDN w:val="0"/>
        <w:adjustRightInd w:val="0"/>
        <w:spacing w:after="0" w:line="240" w:lineRule="auto"/>
        <w:jc w:val="both"/>
        <w:rPr>
          <w:rFonts w:ascii="Times New Roman" w:hAnsi="Times New Roman" w:cs="Times New Roman"/>
        </w:rPr>
      </w:pPr>
    </w:p>
    <w:p w14:paraId="12CB06D4" w14:textId="45CE8A97" w:rsidR="003917C0" w:rsidRDefault="003917C0" w:rsidP="003917C0">
      <w:pPr>
        <w:autoSpaceDE w:val="0"/>
        <w:autoSpaceDN w:val="0"/>
        <w:adjustRightInd w:val="0"/>
        <w:spacing w:after="0" w:line="240" w:lineRule="auto"/>
        <w:rPr>
          <w:rFonts w:ascii="Times New Roman" w:hAnsi="Times New Roman" w:cs="Times New Roman"/>
          <w:b/>
          <w:bCs/>
          <w:sz w:val="24"/>
          <w:szCs w:val="24"/>
        </w:rPr>
      </w:pPr>
      <w:r w:rsidRPr="003917C0">
        <w:rPr>
          <w:rFonts w:ascii="Times New Roman" w:hAnsi="Times New Roman" w:cs="Times New Roman"/>
          <w:b/>
          <w:bCs/>
          <w:sz w:val="24"/>
          <w:szCs w:val="24"/>
        </w:rPr>
        <w:t>References</w:t>
      </w:r>
      <w:r w:rsidR="00F731F2">
        <w:rPr>
          <w:rFonts w:ascii="Times New Roman" w:hAnsi="Times New Roman" w:cs="Times New Roman"/>
          <w:b/>
          <w:bCs/>
          <w:sz w:val="24"/>
          <w:szCs w:val="24"/>
        </w:rPr>
        <w:t>:</w:t>
      </w:r>
    </w:p>
    <w:p w14:paraId="784C7B37" w14:textId="58D253A0"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Comparative study of oral iron (ferrous sulphate) versus intravenous (iron sucrose) therapy in treating iron deficiency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 puerperium.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2018;7(9):3641-3645. </w:t>
      </w:r>
      <w:hyperlink r:id="rId14" w:history="1">
        <w:r w:rsidR="003A16D4" w:rsidRPr="00E03287">
          <w:rPr>
            <w:rStyle w:val="Hyperlink"/>
            <w:rFonts w:ascii="Times New Roman" w:hAnsi="Times New Roman" w:cs="Times New Roman"/>
          </w:rPr>
          <w:t>https://doi.org/10.18203/2320-1770.ijrcog20183771</w:t>
        </w:r>
      </w:hyperlink>
    </w:p>
    <w:p w14:paraId="650685B3" w14:textId="3CE831A8"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A comparative study of efficacy, safety and compliance of oral iron versus intravenous iron sucrose in treatment of iron deficiency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of pregnancy.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2020;9(9):3724-3729.</w:t>
      </w:r>
      <w:r w:rsidR="003A16D4" w:rsidRPr="00E03287">
        <w:rPr>
          <w:rFonts w:ascii="Times New Roman" w:hAnsi="Times New Roman" w:cs="Times New Roman"/>
        </w:rPr>
        <w:t xml:space="preserve"> </w:t>
      </w:r>
      <w:hyperlink r:id="rId15" w:history="1">
        <w:r w:rsidR="003A16D4" w:rsidRPr="00E03287">
          <w:rPr>
            <w:rStyle w:val="Hyperlink"/>
            <w:rFonts w:ascii="Times New Roman" w:hAnsi="Times New Roman" w:cs="Times New Roman"/>
          </w:rPr>
          <w:t>https://doi.org/10.18203/2320-1770.ijrcog20203495</w:t>
        </w:r>
      </w:hyperlink>
    </w:p>
    <w:p w14:paraId="51B319D5" w14:textId="6DADF136"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A comparative study of intravenous iron sucrose versus oral iron therapy in iron deficiency anemia during postpartum period.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2020;9(6):2363-2367. </w:t>
      </w:r>
      <w:hyperlink r:id="rId16" w:history="1">
        <w:r w:rsidR="003A16D4" w:rsidRPr="00E03287">
          <w:rPr>
            <w:rStyle w:val="Hyperlink"/>
            <w:rFonts w:ascii="Times New Roman" w:hAnsi="Times New Roman" w:cs="Times New Roman"/>
          </w:rPr>
          <w:t>https://doi.org/10.18203/2320-1770.ijrcog20201773</w:t>
        </w:r>
      </w:hyperlink>
    </w:p>
    <w:p w14:paraId="1EFCDF12" w14:textId="388B2676" w:rsidR="00F6556A" w:rsidRPr="00E03287" w:rsidRDefault="00F6556A"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Intravenous versus oral iron therapy in treatment of postpartum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Int J </w:t>
      </w:r>
      <w:proofErr w:type="spellStart"/>
      <w:r w:rsidRPr="00E03287">
        <w:rPr>
          <w:rFonts w:ascii="Times New Roman" w:hAnsi="Times New Roman" w:cs="Times New Roman"/>
        </w:rPr>
        <w:t>Reprod</w:t>
      </w:r>
      <w:proofErr w:type="spellEnd"/>
      <w:r w:rsidRPr="00E03287">
        <w:rPr>
          <w:rFonts w:ascii="Times New Roman" w:hAnsi="Times New Roman" w:cs="Times New Roman"/>
        </w:rPr>
        <w:t xml:space="preserve"> Contracept </w:t>
      </w:r>
      <w:proofErr w:type="spellStart"/>
      <w:r w:rsidRPr="00E03287">
        <w:rPr>
          <w:rFonts w:ascii="Times New Roman" w:hAnsi="Times New Roman" w:cs="Times New Roman"/>
        </w:rPr>
        <w:t>Obstet</w:t>
      </w:r>
      <w:proofErr w:type="spellEnd"/>
      <w:r w:rsidRPr="00E03287">
        <w:rPr>
          <w:rFonts w:ascii="Times New Roman" w:hAnsi="Times New Roman" w:cs="Times New Roman"/>
        </w:rPr>
        <w:t xml:space="preserve"> Gynecol. 2017;6(8):3507-3511. </w:t>
      </w:r>
      <w:hyperlink r:id="rId17" w:history="1">
        <w:r w:rsidRPr="00E03287">
          <w:rPr>
            <w:rStyle w:val="Hyperlink"/>
            <w:rFonts w:ascii="Times New Roman" w:hAnsi="Times New Roman" w:cs="Times New Roman"/>
          </w:rPr>
          <w:t>https://doi.org/10.18203/2320-1770.ijrcog20173462</w:t>
        </w:r>
      </w:hyperlink>
    </w:p>
    <w:p w14:paraId="4AA49CD3"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World Health Organization. (2023). Global health estimates: Leading causes of mortality. WHO.</w:t>
      </w:r>
    </w:p>
    <w:p w14:paraId="77DDB98C"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Rahman, M. M., et al. </w:t>
      </w:r>
      <w:r w:rsidRPr="00E03287">
        <w:rPr>
          <w:rFonts w:ascii="Times New Roman" w:hAnsi="Times New Roman" w:cs="Times New Roman"/>
        </w:rPr>
        <w:t xml:space="preserve">(2022). Prevalence and determinants of postpartum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 low- and middle-income countries: A systematic review and meta-analysis. </w:t>
      </w:r>
      <w:proofErr w:type="spellStart"/>
      <w:r w:rsidRPr="00E03287">
        <w:rPr>
          <w:rFonts w:ascii="Times New Roman" w:hAnsi="Times New Roman" w:cs="Times New Roman"/>
        </w:rPr>
        <w:t>PloS</w:t>
      </w:r>
      <w:proofErr w:type="spellEnd"/>
      <w:r w:rsidRPr="00E03287">
        <w:rPr>
          <w:rFonts w:ascii="Times New Roman" w:hAnsi="Times New Roman" w:cs="Times New Roman"/>
        </w:rPr>
        <w:t xml:space="preserve"> one, 17(3), e0265648.</w:t>
      </w:r>
    </w:p>
    <w:p w14:paraId="0CCAAA45"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Lozoff, B., et al. (2006). Iron deficiency anemia and physical performance in young women: implications for developing countries. Human Resources Development Journal, 27(4), 685-699.</w:t>
      </w:r>
    </w:p>
    <w:p w14:paraId="2C5F8014"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t>Camaschella</w:t>
      </w:r>
      <w:proofErr w:type="spellEnd"/>
      <w:r w:rsidRPr="00E03287">
        <w:rPr>
          <w:rFonts w:ascii="Times New Roman" w:hAnsi="Times New Roman" w:cs="Times New Roman"/>
        </w:rPr>
        <w:t>, C. (2015). Iron-deficiency anemia. New England Journal of Medicine, 372(19), 1832-1843.</w:t>
      </w:r>
    </w:p>
    <w:p w14:paraId="79AB5972"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Chandra, S., et al. (2012). Postpartum hemorrhage: Magnitude and determinants in a tertiary care hospital. Journal of Obstetrics and </w:t>
      </w:r>
      <w:proofErr w:type="spellStart"/>
      <w:r w:rsidRPr="00E03287">
        <w:rPr>
          <w:rFonts w:ascii="Times New Roman" w:hAnsi="Times New Roman" w:cs="Times New Roman"/>
        </w:rPr>
        <w:t>Gynaecology</w:t>
      </w:r>
      <w:proofErr w:type="spellEnd"/>
      <w:r w:rsidRPr="00E03287">
        <w:rPr>
          <w:rFonts w:ascii="Times New Roman" w:hAnsi="Times New Roman" w:cs="Times New Roman"/>
        </w:rPr>
        <w:t xml:space="preserve"> of India, 62(6), 668-672. (Indian study)</w:t>
      </w:r>
    </w:p>
    <w:p w14:paraId="770FA973"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Black, R. E., et al. </w:t>
      </w:r>
      <w:r w:rsidRPr="00E03287">
        <w:rPr>
          <w:rFonts w:ascii="Times New Roman" w:hAnsi="Times New Roman" w:cs="Times New Roman"/>
        </w:rPr>
        <w:t xml:space="preserve">(2013). Maternal and child undernutrition and overweight in low-income and middle-income countries. The Lancet, 382(9890), 427-451. 1 </w:t>
      </w:r>
    </w:p>
    <w:p w14:paraId="584B3423"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Ahmed, F., et al. (2018). Dietary iron intake and its association with anemia among reproductive-aged women in rural Bangladesh. </w:t>
      </w:r>
      <w:proofErr w:type="spellStart"/>
      <w:r w:rsidRPr="00E03287">
        <w:rPr>
          <w:rFonts w:ascii="Times New Roman" w:hAnsi="Times New Roman" w:cs="Times New Roman"/>
        </w:rPr>
        <w:t>PloS</w:t>
      </w:r>
      <w:proofErr w:type="spellEnd"/>
      <w:r w:rsidRPr="00E03287">
        <w:rPr>
          <w:rFonts w:ascii="Times New Roman" w:hAnsi="Times New Roman" w:cs="Times New Roman"/>
        </w:rPr>
        <w:t xml:space="preserve"> one, 13(3), e0194513. (Bangladeshi study)</w:t>
      </w:r>
    </w:p>
    <w:p w14:paraId="040E5AE0"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Kozlowski, K. J., et al. </w:t>
      </w:r>
      <w:r w:rsidRPr="00E03287">
        <w:rPr>
          <w:rFonts w:ascii="Times New Roman" w:hAnsi="Times New Roman" w:cs="Times New Roman"/>
        </w:rPr>
        <w:t>(2021). Management of postpartum anemia. Obstetrics &amp; Gynecology, 138(6), 1057-1068.</w:t>
      </w:r>
    </w:p>
    <w:p w14:paraId="7B36D164"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lastRenderedPageBreak/>
        <w:t>Breymann</w:t>
      </w:r>
      <w:proofErr w:type="spellEnd"/>
      <w:r w:rsidRPr="00E03287">
        <w:rPr>
          <w:rFonts w:ascii="Times New Roman" w:hAnsi="Times New Roman" w:cs="Times New Roman"/>
        </w:rPr>
        <w:t xml:space="preserve">, C. (2016). Treatment of iron deficiency anemia with intravenous ferric </w:t>
      </w:r>
      <w:proofErr w:type="spellStart"/>
      <w:r w:rsidRPr="00E03287">
        <w:rPr>
          <w:rFonts w:ascii="Times New Roman" w:hAnsi="Times New Roman" w:cs="Times New Roman"/>
        </w:rPr>
        <w:t>carboxymaltose</w:t>
      </w:r>
      <w:proofErr w:type="spellEnd"/>
      <w:r w:rsidRPr="00E03287">
        <w:rPr>
          <w:rFonts w:ascii="Times New Roman" w:hAnsi="Times New Roman" w:cs="Times New Roman"/>
        </w:rPr>
        <w:t xml:space="preserve"> during pregnancy and postpartum. Expert opinion on drug safety, 15(sup1), 115-121.</w:t>
      </w:r>
    </w:p>
    <w:p w14:paraId="22569DD6"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National Institute for Health and Care Excellence. (2023).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 pregnancy. NICE guideline NG201.</w:t>
      </w:r>
    </w:p>
    <w:p w14:paraId="22D1265D" w14:textId="77777777" w:rsidR="00F6556A" w:rsidRPr="00E03287" w:rsidRDefault="009C0A80"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Stoffel, N. U., et al. </w:t>
      </w:r>
      <w:r w:rsidRPr="00E03287">
        <w:rPr>
          <w:rFonts w:ascii="Times New Roman" w:hAnsi="Times New Roman" w:cs="Times New Roman"/>
        </w:rPr>
        <w:t xml:space="preserve">(2020). Iron absorption from supplements is greater with alternate day than with consecutive day dosing in iron-deficient </w:t>
      </w:r>
      <w:proofErr w:type="gramStart"/>
      <w:r w:rsidRPr="00E03287">
        <w:rPr>
          <w:rFonts w:ascii="Times New Roman" w:hAnsi="Times New Roman" w:cs="Times New Roman"/>
        </w:rPr>
        <w:t>2  women</w:t>
      </w:r>
      <w:proofErr w:type="gramEnd"/>
      <w:r w:rsidRPr="00E03287">
        <w:rPr>
          <w:rFonts w:ascii="Times New Roman" w:hAnsi="Times New Roman" w:cs="Times New Roman"/>
        </w:rPr>
        <w:t>. Blood, 135(14), 1172-1179.</w:t>
      </w:r>
    </w:p>
    <w:p w14:paraId="2D618DF5" w14:textId="29965206" w:rsidR="003A16D4" w:rsidRPr="00E03287" w:rsidRDefault="003A16D4"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t>Fouelifack</w:t>
      </w:r>
      <w:proofErr w:type="spellEnd"/>
      <w:r w:rsidRPr="00E03287">
        <w:rPr>
          <w:rFonts w:ascii="Times New Roman" w:hAnsi="Times New Roman" w:cs="Times New Roman"/>
        </w:rPr>
        <w:t xml:space="preserve">, F. Y., Sama, J. D., &amp; Sone, C. E. (2019). Assessment of adherence to iron supplementation among pregnant women in the </w:t>
      </w:r>
      <w:proofErr w:type="spellStart"/>
      <w:r w:rsidRPr="00E03287">
        <w:rPr>
          <w:rFonts w:ascii="Times New Roman" w:hAnsi="Times New Roman" w:cs="Times New Roman"/>
        </w:rPr>
        <w:t>Yaounde</w:t>
      </w:r>
      <w:proofErr w:type="spellEnd"/>
      <w:r w:rsidRPr="00E03287">
        <w:rPr>
          <w:rFonts w:ascii="Times New Roman" w:hAnsi="Times New Roman" w:cs="Times New Roman"/>
        </w:rPr>
        <w:t xml:space="preserve"> </w:t>
      </w:r>
      <w:proofErr w:type="spellStart"/>
      <w:r w:rsidRPr="00E03287">
        <w:rPr>
          <w:rFonts w:ascii="Times New Roman" w:hAnsi="Times New Roman" w:cs="Times New Roman"/>
        </w:rPr>
        <w:t>gynaeco</w:t>
      </w:r>
      <w:proofErr w:type="spellEnd"/>
      <w:r w:rsidRPr="00E03287">
        <w:rPr>
          <w:rFonts w:ascii="Times New Roman" w:hAnsi="Times New Roman" w:cs="Times New Roman"/>
        </w:rPr>
        <w:t xml:space="preserve">-obstetric and </w:t>
      </w:r>
      <w:proofErr w:type="spellStart"/>
      <w:r w:rsidRPr="00E03287">
        <w:rPr>
          <w:rFonts w:ascii="Times New Roman" w:hAnsi="Times New Roman" w:cs="Times New Roman"/>
        </w:rPr>
        <w:t>paediatric</w:t>
      </w:r>
      <w:proofErr w:type="spellEnd"/>
      <w:r w:rsidRPr="00E03287">
        <w:rPr>
          <w:rFonts w:ascii="Times New Roman" w:hAnsi="Times New Roman" w:cs="Times New Roman"/>
        </w:rPr>
        <w:t xml:space="preserve"> hospital. The Pan African medical journal, 34, 211. </w:t>
      </w:r>
      <w:hyperlink r:id="rId18" w:history="1">
        <w:r w:rsidRPr="00E03287">
          <w:rPr>
            <w:rStyle w:val="Hyperlink"/>
            <w:rFonts w:ascii="Times New Roman" w:hAnsi="Times New Roman" w:cs="Times New Roman"/>
          </w:rPr>
          <w:t>https://doi.org/10.11604/pamj.2019.34.211.16446</w:t>
        </w:r>
      </w:hyperlink>
    </w:p>
    <w:p w14:paraId="452F65B7" w14:textId="4576CC06" w:rsidR="003A16D4" w:rsidRPr="00E03287" w:rsidRDefault="003A16D4"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Peña-Rosas, J. P., De-</w:t>
      </w:r>
      <w:proofErr w:type="spellStart"/>
      <w:r w:rsidRPr="00E03287">
        <w:rPr>
          <w:rFonts w:ascii="Times New Roman" w:hAnsi="Times New Roman" w:cs="Times New Roman"/>
        </w:rPr>
        <w:t>Regil</w:t>
      </w:r>
      <w:proofErr w:type="spellEnd"/>
      <w:r w:rsidRPr="00E03287">
        <w:rPr>
          <w:rFonts w:ascii="Times New Roman" w:hAnsi="Times New Roman" w:cs="Times New Roman"/>
        </w:rPr>
        <w:t xml:space="preserve">, L. M., Garcia-Casal, M. N., &amp; </w:t>
      </w:r>
      <w:proofErr w:type="spellStart"/>
      <w:r w:rsidRPr="00E03287">
        <w:rPr>
          <w:rFonts w:ascii="Times New Roman" w:hAnsi="Times New Roman" w:cs="Times New Roman"/>
        </w:rPr>
        <w:t>Dowswell</w:t>
      </w:r>
      <w:proofErr w:type="spellEnd"/>
      <w:r w:rsidRPr="00E03287">
        <w:rPr>
          <w:rFonts w:ascii="Times New Roman" w:hAnsi="Times New Roman" w:cs="Times New Roman"/>
        </w:rPr>
        <w:t xml:space="preserve">, T. (2015). Daily oral iron supplementation during pregnancy. The Cochrane database of systematic reviews, 2015(7), CD004736. </w:t>
      </w:r>
      <w:hyperlink r:id="rId19" w:history="1">
        <w:r w:rsidRPr="00E03287">
          <w:rPr>
            <w:rStyle w:val="Hyperlink"/>
            <w:rFonts w:ascii="Times New Roman" w:hAnsi="Times New Roman" w:cs="Times New Roman"/>
            <w:lang w:val="da-DK"/>
          </w:rPr>
          <w:t>https://doi.org/10.1002/14651858.CD004736.pub5</w:t>
        </w:r>
      </w:hyperlink>
    </w:p>
    <w:p w14:paraId="23E88333" w14:textId="5DC18C27"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Rudra, S., Chandna, A., &amp; Nath, J. (2017). Comparison of intravenous iron sucrose with oral iron in pregnant women with iron deficiency </w:t>
      </w:r>
      <w:proofErr w:type="spellStart"/>
      <w:r w:rsidRPr="00E03287">
        <w:rPr>
          <w:rFonts w:ascii="Times New Roman" w:hAnsi="Times New Roman" w:cs="Times New Roman"/>
        </w:rPr>
        <w:t>anaemia</w:t>
      </w:r>
      <w:proofErr w:type="spellEnd"/>
      <w:r w:rsidRPr="00E03287">
        <w:rPr>
          <w:rFonts w:ascii="Times New Roman" w:hAnsi="Times New Roman" w:cs="Times New Roman"/>
        </w:rPr>
        <w:t xml:space="preserve">. International Journal of Reproduction, Contraception, Obstetrics and Gynecology, 5(3), 747–751. </w:t>
      </w:r>
      <w:hyperlink r:id="rId20" w:history="1">
        <w:r w:rsidRPr="00E03287">
          <w:rPr>
            <w:rStyle w:val="Hyperlink"/>
            <w:rFonts w:ascii="Times New Roman" w:hAnsi="Times New Roman" w:cs="Times New Roman"/>
          </w:rPr>
          <w:t>https://doi.org/10.18203/2320-1770.ijrcog20160577</w:t>
        </w:r>
      </w:hyperlink>
    </w:p>
    <w:p w14:paraId="44614961" w14:textId="18B2AC05"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Sultan, P., </w:t>
      </w:r>
      <w:proofErr w:type="spellStart"/>
      <w:r w:rsidRPr="00E03287">
        <w:rPr>
          <w:rFonts w:ascii="Times New Roman" w:hAnsi="Times New Roman" w:cs="Times New Roman"/>
        </w:rPr>
        <w:t>Bampoe</w:t>
      </w:r>
      <w:proofErr w:type="spellEnd"/>
      <w:r w:rsidRPr="00E03287">
        <w:rPr>
          <w:rFonts w:ascii="Times New Roman" w:hAnsi="Times New Roman" w:cs="Times New Roman"/>
        </w:rPr>
        <w:t xml:space="preserve">, S., Shah, R., Guo, N., Estes, J., Stave, C., Goodnough, L. T., Halpern, S., &amp; </w:t>
      </w:r>
      <w:proofErr w:type="spellStart"/>
      <w:r w:rsidRPr="00E03287">
        <w:rPr>
          <w:rFonts w:ascii="Times New Roman" w:hAnsi="Times New Roman" w:cs="Times New Roman"/>
        </w:rPr>
        <w:t>Butwick</w:t>
      </w:r>
      <w:proofErr w:type="spellEnd"/>
      <w:r w:rsidRPr="00E03287">
        <w:rPr>
          <w:rFonts w:ascii="Times New Roman" w:hAnsi="Times New Roman" w:cs="Times New Roman"/>
        </w:rPr>
        <w:t>, A. J. (2019). Oral vs intravenous iron therapy for postpartum anemia: a systematic review and meta-analysis. American journal of obstetrics and gynecology, 221(1), 19–</w:t>
      </w:r>
      <w:proofErr w:type="gramStart"/>
      <w:r w:rsidRPr="00E03287">
        <w:rPr>
          <w:rFonts w:ascii="Times New Roman" w:hAnsi="Times New Roman" w:cs="Times New Roman"/>
        </w:rPr>
        <w:t>29.e</w:t>
      </w:r>
      <w:proofErr w:type="gramEnd"/>
      <w:r w:rsidRPr="00E03287">
        <w:rPr>
          <w:rFonts w:ascii="Times New Roman" w:hAnsi="Times New Roman" w:cs="Times New Roman"/>
        </w:rPr>
        <w:t xml:space="preserve">3. </w:t>
      </w:r>
      <w:hyperlink r:id="rId21" w:history="1">
        <w:r w:rsidRPr="00E03287">
          <w:rPr>
            <w:rStyle w:val="Hyperlink"/>
            <w:rFonts w:ascii="Times New Roman" w:hAnsi="Times New Roman" w:cs="Times New Roman"/>
          </w:rPr>
          <w:t>https://doi.org/10.1016/j.ajog.2018.12.016</w:t>
        </w:r>
      </w:hyperlink>
    </w:p>
    <w:p w14:paraId="6FA1711F" w14:textId="77777777"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lang w:val="da-DK"/>
        </w:rPr>
        <w:t xml:space="preserve">Shah AA, Donovan K, Seeley C, et al. </w:t>
      </w:r>
      <w:r w:rsidRPr="00E03287">
        <w:rPr>
          <w:rFonts w:ascii="Times New Roman" w:hAnsi="Times New Roman" w:cs="Times New Roman"/>
        </w:rPr>
        <w:t xml:space="preserve">Risk of Infection Associated </w:t>
      </w:r>
      <w:proofErr w:type="gramStart"/>
      <w:r w:rsidRPr="00E03287">
        <w:rPr>
          <w:rFonts w:ascii="Times New Roman" w:hAnsi="Times New Roman" w:cs="Times New Roman"/>
        </w:rPr>
        <w:t>With</w:t>
      </w:r>
      <w:proofErr w:type="gramEnd"/>
      <w:r w:rsidRPr="00E03287">
        <w:rPr>
          <w:rFonts w:ascii="Times New Roman" w:hAnsi="Times New Roman" w:cs="Times New Roman"/>
        </w:rPr>
        <w:t xml:space="preserve"> Administration of Intravenous Iron: A </w:t>
      </w:r>
      <w:r w:rsidRPr="00E03287">
        <w:rPr>
          <w:rFonts w:ascii="Times New Roman" w:hAnsi="Times New Roman" w:cs="Times New Roman"/>
        </w:rPr>
        <w:t xml:space="preserve">Systematic Review and Meta-analysis. </w:t>
      </w:r>
      <w:r w:rsidRPr="00E03287">
        <w:rPr>
          <w:rFonts w:ascii="Times New Roman" w:hAnsi="Times New Roman" w:cs="Times New Roman"/>
          <w:lang w:val="da-DK"/>
        </w:rPr>
        <w:t>JAMA Netw Open. 2021;4(11):e2133935. doi:10.1001/jamanetworkopen.2021.33935</w:t>
      </w:r>
    </w:p>
    <w:p w14:paraId="00D052F1" w14:textId="29E600DD" w:rsidR="00D534B1" w:rsidRPr="00E03287" w:rsidRDefault="00D534B1"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E03287">
        <w:rPr>
          <w:rFonts w:ascii="Times New Roman" w:hAnsi="Times New Roman" w:cs="Times New Roman"/>
        </w:rPr>
        <w:t xml:space="preserve">Saha, S., Raval, D., Shah, K. et al. Cost-effectiveness analysis of parenteral iron therapy compared to oral iron supplements in managing iron deficiency anemia among pregnant women. Health Econ Rev 14, 3 (2024). </w:t>
      </w:r>
      <w:hyperlink r:id="rId22" w:history="1">
        <w:r w:rsidRPr="00E03287">
          <w:rPr>
            <w:rStyle w:val="Hyperlink"/>
            <w:rFonts w:ascii="Times New Roman" w:hAnsi="Times New Roman" w:cs="Times New Roman"/>
          </w:rPr>
          <w:t>https://doi.org/10.1186/s13561-023-00474-3</w:t>
        </w:r>
      </w:hyperlink>
    </w:p>
    <w:p w14:paraId="1B5272E0" w14:textId="1680FD2C" w:rsidR="003917C0" w:rsidRPr="003378F4" w:rsidRDefault="00E03287"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proofErr w:type="spellStart"/>
      <w:r w:rsidRPr="00E03287">
        <w:rPr>
          <w:rFonts w:ascii="Times New Roman" w:hAnsi="Times New Roman" w:cs="Times New Roman"/>
        </w:rPr>
        <w:t>Caimmi</w:t>
      </w:r>
      <w:proofErr w:type="spellEnd"/>
      <w:r w:rsidRPr="00E03287">
        <w:rPr>
          <w:rFonts w:ascii="Times New Roman" w:hAnsi="Times New Roman" w:cs="Times New Roman"/>
        </w:rPr>
        <w:t xml:space="preserve">, S., Crisafulli, G., Franceschini, F., Liotti, L., Bianchi, A., </w:t>
      </w:r>
      <w:proofErr w:type="spellStart"/>
      <w:r w:rsidRPr="00E03287">
        <w:rPr>
          <w:rFonts w:ascii="Times New Roman" w:hAnsi="Times New Roman" w:cs="Times New Roman"/>
        </w:rPr>
        <w:t>Bottau</w:t>
      </w:r>
      <w:proofErr w:type="spellEnd"/>
      <w:r w:rsidRPr="00E03287">
        <w:rPr>
          <w:rFonts w:ascii="Times New Roman" w:hAnsi="Times New Roman" w:cs="Times New Roman"/>
        </w:rPr>
        <w:t xml:space="preserve">, P., Mori, F., </w:t>
      </w:r>
      <w:proofErr w:type="spellStart"/>
      <w:r w:rsidRPr="00E03287">
        <w:rPr>
          <w:rFonts w:ascii="Times New Roman" w:hAnsi="Times New Roman" w:cs="Times New Roman"/>
        </w:rPr>
        <w:t>Triggiano</w:t>
      </w:r>
      <w:proofErr w:type="spellEnd"/>
      <w:r w:rsidRPr="00E03287">
        <w:rPr>
          <w:rFonts w:ascii="Times New Roman" w:hAnsi="Times New Roman" w:cs="Times New Roman"/>
        </w:rPr>
        <w:t xml:space="preserve">, P., Paglialunga, C., Saretta, F., Giannetti, A., Ricci, G., &amp; Caffarelli, C. (2022). Hypersensitivity to Intravenous Iron Preparations. Children (Basel, Switzerland), 9(10), 1473. </w:t>
      </w:r>
      <w:hyperlink r:id="rId23" w:history="1">
        <w:r w:rsidRPr="00E03287">
          <w:rPr>
            <w:rStyle w:val="Hyperlink"/>
            <w:rFonts w:ascii="Times New Roman" w:hAnsi="Times New Roman" w:cs="Times New Roman"/>
          </w:rPr>
          <w:t>https://doi.org/10.3390/children9101473</w:t>
        </w:r>
      </w:hyperlink>
    </w:p>
    <w:p w14:paraId="2ADC3056" w14:textId="414352C9" w:rsidR="003378F4" w:rsidRDefault="00B75937" w:rsidP="00E0328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B75937">
        <w:rPr>
          <w:rFonts w:ascii="Times New Roman" w:hAnsi="Times New Roman" w:cs="Times New Roman"/>
        </w:rPr>
        <w:t>World Health Organization. (2023). Postpartum care for women: evidence summary. Geneva: WHO</w:t>
      </w:r>
    </w:p>
    <w:p w14:paraId="10F4331F" w14:textId="77777777" w:rsidR="00B75937" w:rsidRPr="00B75937" w:rsidRDefault="00B75937" w:rsidP="00B7593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566911">
        <w:rPr>
          <w:rFonts w:ascii="Times New Roman" w:hAnsi="Times New Roman" w:cs="Times New Roman"/>
          <w:lang w:val="da-DK"/>
        </w:rPr>
        <w:t xml:space="preserve">Qayyum J, Farhan S, Qureshi Q, et al. </w:t>
      </w:r>
      <w:r w:rsidRPr="00B75937">
        <w:rPr>
          <w:rFonts w:ascii="Times New Roman" w:hAnsi="Times New Roman" w:cs="Times New Roman"/>
        </w:rPr>
        <w:t xml:space="preserve">(February 01, 2025) Comparing the Treatment Outcomes of Oral and Injectable Iron Therapies for Anemia in Pregnancy: A Meta-Analysis. Cureus 17(2): e78326. DOI 10.7759/cureus.78326 </w:t>
      </w:r>
    </w:p>
    <w:p w14:paraId="231B32C5" w14:textId="77777777" w:rsidR="00B75937" w:rsidRPr="00B75937" w:rsidRDefault="00B75937" w:rsidP="00B7593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566911">
        <w:rPr>
          <w:rFonts w:ascii="Times New Roman" w:hAnsi="Times New Roman" w:cs="Times New Roman"/>
          <w:lang w:val="da-DK"/>
        </w:rPr>
        <w:t xml:space="preserve">Caljé, E., Groom, K., Dixon, L. et al. </w:t>
      </w:r>
      <w:r w:rsidRPr="00B75937">
        <w:rPr>
          <w:rFonts w:ascii="Times New Roman" w:hAnsi="Times New Roman" w:cs="Times New Roman"/>
        </w:rPr>
        <w:t>Intravenous iron versus blood transfusion for postpartum anemia: a systematic review and meta-analysis. Syst Rev 13, 9 (2024). https://doi.org/10.1186/s13643-023-02400-4</w:t>
      </w:r>
    </w:p>
    <w:p w14:paraId="7A591788" w14:textId="42BC6905" w:rsidR="00B75937" w:rsidRPr="00B75937" w:rsidRDefault="00B75937" w:rsidP="00B75937">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B75937">
        <w:rPr>
          <w:rFonts w:ascii="Times New Roman" w:hAnsi="Times New Roman" w:cs="Times New Roman"/>
        </w:rPr>
        <w:t xml:space="preserve">Intravenous versus oral iron for </w:t>
      </w:r>
      <w:proofErr w:type="spellStart"/>
      <w:r w:rsidRPr="00B75937">
        <w:rPr>
          <w:rFonts w:ascii="Times New Roman" w:hAnsi="Times New Roman" w:cs="Times New Roman"/>
        </w:rPr>
        <w:t>anaemia</w:t>
      </w:r>
      <w:proofErr w:type="spellEnd"/>
      <w:r w:rsidRPr="00B75937">
        <w:rPr>
          <w:rFonts w:ascii="Times New Roman" w:hAnsi="Times New Roman" w:cs="Times New Roman"/>
        </w:rPr>
        <w:t xml:space="preserve"> among pregnant women in Nigeria (IVON): an open-label, </w:t>
      </w:r>
      <w:proofErr w:type="spellStart"/>
      <w:r w:rsidRPr="00B75937">
        <w:rPr>
          <w:rFonts w:ascii="Times New Roman" w:hAnsi="Times New Roman" w:cs="Times New Roman"/>
        </w:rPr>
        <w:t>randomised</w:t>
      </w:r>
      <w:proofErr w:type="spellEnd"/>
      <w:r w:rsidRPr="00B75937">
        <w:rPr>
          <w:rFonts w:ascii="Times New Roman" w:hAnsi="Times New Roman" w:cs="Times New Roman"/>
        </w:rPr>
        <w:t xml:space="preserve"> controlled trial Lancet Glob Health 2024;12: e1649–59</w:t>
      </w:r>
    </w:p>
    <w:p w14:paraId="5BDA4446" w14:textId="77777777" w:rsidR="00E03287" w:rsidRPr="00E03287" w:rsidRDefault="00E03287" w:rsidP="00E03287">
      <w:pPr>
        <w:autoSpaceDE w:val="0"/>
        <w:autoSpaceDN w:val="0"/>
        <w:adjustRightInd w:val="0"/>
        <w:spacing w:after="0" w:line="240" w:lineRule="auto"/>
        <w:ind w:left="360"/>
        <w:rPr>
          <w:rFonts w:ascii="Times New Roman" w:hAnsi="Times New Roman" w:cs="Times New Roman"/>
          <w:b/>
          <w:bCs/>
          <w:sz w:val="24"/>
          <w:szCs w:val="24"/>
        </w:rPr>
      </w:pPr>
    </w:p>
    <w:sectPr w:rsidR="00E03287" w:rsidRPr="00E03287" w:rsidSect="0046579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9A0F4" w14:textId="77777777" w:rsidR="00C55DB7" w:rsidRDefault="00C55DB7" w:rsidP="001A6AE8">
      <w:pPr>
        <w:spacing w:after="0" w:line="240" w:lineRule="auto"/>
      </w:pPr>
      <w:r>
        <w:separator/>
      </w:r>
    </w:p>
  </w:endnote>
  <w:endnote w:type="continuationSeparator" w:id="0">
    <w:p w14:paraId="305EF89A" w14:textId="77777777" w:rsidR="00C55DB7" w:rsidRDefault="00C55DB7" w:rsidP="001A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1443" w14:textId="77777777" w:rsidR="00383B86" w:rsidRDefault="00383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3862" w14:textId="77777777" w:rsidR="00383B86" w:rsidRDefault="00383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B7BA" w14:textId="77777777" w:rsidR="00383B86" w:rsidRDefault="0038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669B" w14:textId="77777777" w:rsidR="00C55DB7" w:rsidRDefault="00C55DB7" w:rsidP="001A6AE8">
      <w:pPr>
        <w:spacing w:after="0" w:line="240" w:lineRule="auto"/>
      </w:pPr>
      <w:r>
        <w:separator/>
      </w:r>
    </w:p>
  </w:footnote>
  <w:footnote w:type="continuationSeparator" w:id="0">
    <w:p w14:paraId="1DD4889A" w14:textId="77777777" w:rsidR="00C55DB7" w:rsidRDefault="00C55DB7" w:rsidP="001A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7CAF" w14:textId="21A19F49" w:rsidR="00383B86" w:rsidRDefault="00000000">
    <w:pPr>
      <w:pStyle w:val="Header"/>
    </w:pPr>
    <w:r>
      <w:rPr>
        <w:noProof/>
      </w:rPr>
      <w:pict w14:anchorId="443E3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49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EBA2" w14:textId="62BEEEDC" w:rsidR="00383B86" w:rsidRDefault="00000000">
    <w:pPr>
      <w:pStyle w:val="Header"/>
    </w:pPr>
    <w:r>
      <w:rPr>
        <w:noProof/>
      </w:rPr>
      <w:pict w14:anchorId="72C74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49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3419" w14:textId="061E87CD" w:rsidR="00383B86" w:rsidRDefault="00000000">
    <w:pPr>
      <w:pStyle w:val="Header"/>
    </w:pPr>
    <w:r>
      <w:rPr>
        <w:noProof/>
      </w:rPr>
      <w:pict w14:anchorId="520AD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49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95F90"/>
    <w:multiLevelType w:val="hybridMultilevel"/>
    <w:tmpl w:val="66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71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3DC"/>
    <w:rsid w:val="00022355"/>
    <w:rsid w:val="00032BFD"/>
    <w:rsid w:val="00046BFA"/>
    <w:rsid w:val="0004760E"/>
    <w:rsid w:val="00091C37"/>
    <w:rsid w:val="000A41C0"/>
    <w:rsid w:val="000B6DE1"/>
    <w:rsid w:val="000C1DEB"/>
    <w:rsid w:val="000D4BE0"/>
    <w:rsid w:val="0010511B"/>
    <w:rsid w:val="00123062"/>
    <w:rsid w:val="001311F7"/>
    <w:rsid w:val="00162C95"/>
    <w:rsid w:val="001A6AE8"/>
    <w:rsid w:val="001B6AFD"/>
    <w:rsid w:val="0022013A"/>
    <w:rsid w:val="0022216C"/>
    <w:rsid w:val="00231302"/>
    <w:rsid w:val="00246C39"/>
    <w:rsid w:val="00251E56"/>
    <w:rsid w:val="00256F86"/>
    <w:rsid w:val="00263150"/>
    <w:rsid w:val="00271373"/>
    <w:rsid w:val="00292026"/>
    <w:rsid w:val="002B5D32"/>
    <w:rsid w:val="002D2373"/>
    <w:rsid w:val="002F7E66"/>
    <w:rsid w:val="00320487"/>
    <w:rsid w:val="003378F4"/>
    <w:rsid w:val="003422C2"/>
    <w:rsid w:val="0035194F"/>
    <w:rsid w:val="003766C2"/>
    <w:rsid w:val="0038160E"/>
    <w:rsid w:val="00383B86"/>
    <w:rsid w:val="003917C0"/>
    <w:rsid w:val="003A16D4"/>
    <w:rsid w:val="003A7F8F"/>
    <w:rsid w:val="003D2101"/>
    <w:rsid w:val="003E3EB4"/>
    <w:rsid w:val="003F0045"/>
    <w:rsid w:val="003F51C2"/>
    <w:rsid w:val="004061B7"/>
    <w:rsid w:val="00410619"/>
    <w:rsid w:val="004556FB"/>
    <w:rsid w:val="00465794"/>
    <w:rsid w:val="0048617F"/>
    <w:rsid w:val="00494F8F"/>
    <w:rsid w:val="004A6BEB"/>
    <w:rsid w:val="004D071A"/>
    <w:rsid w:val="004F1002"/>
    <w:rsid w:val="004F67A2"/>
    <w:rsid w:val="00501D92"/>
    <w:rsid w:val="0052283E"/>
    <w:rsid w:val="00546C48"/>
    <w:rsid w:val="00566911"/>
    <w:rsid w:val="005A647F"/>
    <w:rsid w:val="005B0070"/>
    <w:rsid w:val="00616830"/>
    <w:rsid w:val="00622072"/>
    <w:rsid w:val="00693CBB"/>
    <w:rsid w:val="006C21A8"/>
    <w:rsid w:val="006D26E9"/>
    <w:rsid w:val="006F53F2"/>
    <w:rsid w:val="006F6C52"/>
    <w:rsid w:val="007247F0"/>
    <w:rsid w:val="00731362"/>
    <w:rsid w:val="00742EDE"/>
    <w:rsid w:val="00752671"/>
    <w:rsid w:val="00775D94"/>
    <w:rsid w:val="0081104A"/>
    <w:rsid w:val="0084605D"/>
    <w:rsid w:val="00857566"/>
    <w:rsid w:val="00870608"/>
    <w:rsid w:val="00882A27"/>
    <w:rsid w:val="00883C4A"/>
    <w:rsid w:val="00890E13"/>
    <w:rsid w:val="00891A67"/>
    <w:rsid w:val="008F7FAC"/>
    <w:rsid w:val="009066C7"/>
    <w:rsid w:val="00910AF5"/>
    <w:rsid w:val="009118D7"/>
    <w:rsid w:val="009171F6"/>
    <w:rsid w:val="009218B8"/>
    <w:rsid w:val="00953E76"/>
    <w:rsid w:val="00973CE1"/>
    <w:rsid w:val="009976F4"/>
    <w:rsid w:val="009A0900"/>
    <w:rsid w:val="009C0A80"/>
    <w:rsid w:val="009C1FFB"/>
    <w:rsid w:val="009C474C"/>
    <w:rsid w:val="009D5EA2"/>
    <w:rsid w:val="009D6399"/>
    <w:rsid w:val="009E49F6"/>
    <w:rsid w:val="009E5686"/>
    <w:rsid w:val="00A25DF6"/>
    <w:rsid w:val="00A3607E"/>
    <w:rsid w:val="00A55B57"/>
    <w:rsid w:val="00A65E20"/>
    <w:rsid w:val="00A723AD"/>
    <w:rsid w:val="00AA402D"/>
    <w:rsid w:val="00AB393C"/>
    <w:rsid w:val="00AF1C95"/>
    <w:rsid w:val="00B2201F"/>
    <w:rsid w:val="00B75937"/>
    <w:rsid w:val="00BC1F79"/>
    <w:rsid w:val="00BC32AA"/>
    <w:rsid w:val="00C32330"/>
    <w:rsid w:val="00C35ACC"/>
    <w:rsid w:val="00C55DB7"/>
    <w:rsid w:val="00CD01F2"/>
    <w:rsid w:val="00CE219F"/>
    <w:rsid w:val="00CF372C"/>
    <w:rsid w:val="00D00894"/>
    <w:rsid w:val="00D534B1"/>
    <w:rsid w:val="00D613B3"/>
    <w:rsid w:val="00D74CE4"/>
    <w:rsid w:val="00DA10E4"/>
    <w:rsid w:val="00DE6B4B"/>
    <w:rsid w:val="00E03287"/>
    <w:rsid w:val="00E36AA2"/>
    <w:rsid w:val="00E50A28"/>
    <w:rsid w:val="00E607AF"/>
    <w:rsid w:val="00EB2F22"/>
    <w:rsid w:val="00EE09F6"/>
    <w:rsid w:val="00F1736A"/>
    <w:rsid w:val="00F30201"/>
    <w:rsid w:val="00F30838"/>
    <w:rsid w:val="00F6556A"/>
    <w:rsid w:val="00F731F2"/>
    <w:rsid w:val="00F8595D"/>
    <w:rsid w:val="00FC33DC"/>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349E"/>
  <w15:docId w15:val="{B1384DA7-DE04-412B-B493-12762078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93C"/>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AB393C"/>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AB393C"/>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AB393C"/>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AB393C"/>
    <w:rPr>
      <w:rFonts w:ascii="Courier New" w:hAnsi="Courier New" w:cs="Courier New"/>
      <w:b/>
      <w:bCs/>
      <w:color w:val="000000"/>
      <w:sz w:val="26"/>
      <w:szCs w:val="26"/>
    </w:rPr>
  </w:style>
  <w:style w:type="table" w:styleId="TableGrid">
    <w:name w:val="Table Grid"/>
    <w:basedOn w:val="TableNormal"/>
    <w:uiPriority w:val="59"/>
    <w:rsid w:val="00B22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A6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AE8"/>
  </w:style>
  <w:style w:type="paragraph" w:styleId="Footer">
    <w:name w:val="footer"/>
    <w:basedOn w:val="Normal"/>
    <w:link w:val="FooterChar"/>
    <w:uiPriority w:val="99"/>
    <w:unhideWhenUsed/>
    <w:rsid w:val="001A6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AE8"/>
  </w:style>
  <w:style w:type="paragraph" w:styleId="ListParagraph">
    <w:name w:val="List Paragraph"/>
    <w:basedOn w:val="Normal"/>
    <w:uiPriority w:val="34"/>
    <w:qFormat/>
    <w:rsid w:val="00F6556A"/>
    <w:pPr>
      <w:ind w:left="720"/>
      <w:contextualSpacing/>
    </w:pPr>
  </w:style>
  <w:style w:type="character" w:styleId="Hyperlink">
    <w:name w:val="Hyperlink"/>
    <w:basedOn w:val="DefaultParagraphFont"/>
    <w:uiPriority w:val="99"/>
    <w:unhideWhenUsed/>
    <w:rsid w:val="00F6556A"/>
    <w:rPr>
      <w:color w:val="0000FF" w:themeColor="hyperlink"/>
      <w:u w:val="single"/>
    </w:rPr>
  </w:style>
  <w:style w:type="character" w:customStyle="1" w:styleId="UnresolvedMention1">
    <w:name w:val="Unresolved Mention1"/>
    <w:basedOn w:val="DefaultParagraphFont"/>
    <w:uiPriority w:val="99"/>
    <w:semiHidden/>
    <w:unhideWhenUsed/>
    <w:rsid w:val="00F6556A"/>
    <w:rPr>
      <w:color w:val="605E5C"/>
      <w:shd w:val="clear" w:color="auto" w:fill="E1DFDD"/>
    </w:rPr>
  </w:style>
  <w:style w:type="paragraph" w:styleId="BalloonText">
    <w:name w:val="Balloon Text"/>
    <w:basedOn w:val="Normal"/>
    <w:link w:val="BalloonTextChar"/>
    <w:uiPriority w:val="99"/>
    <w:semiHidden/>
    <w:unhideWhenUsed/>
    <w:rsid w:val="0089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E13"/>
    <w:rPr>
      <w:rFonts w:ascii="Tahoma" w:hAnsi="Tahoma" w:cs="Tahoma"/>
      <w:sz w:val="16"/>
      <w:szCs w:val="16"/>
    </w:rPr>
  </w:style>
  <w:style w:type="character" w:styleId="UnresolvedMention">
    <w:name w:val="Unresolved Mention"/>
    <w:basedOn w:val="DefaultParagraphFont"/>
    <w:uiPriority w:val="99"/>
    <w:semiHidden/>
    <w:unhideWhenUsed/>
    <w:rsid w:val="0075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591548">
      <w:bodyDiv w:val="1"/>
      <w:marLeft w:val="0"/>
      <w:marRight w:val="0"/>
      <w:marTop w:val="0"/>
      <w:marBottom w:val="0"/>
      <w:divBdr>
        <w:top w:val="none" w:sz="0" w:space="0" w:color="auto"/>
        <w:left w:val="none" w:sz="0" w:space="0" w:color="auto"/>
        <w:bottom w:val="none" w:sz="0" w:space="0" w:color="auto"/>
        <w:right w:val="none" w:sz="0" w:space="0" w:color="auto"/>
      </w:divBdr>
    </w:div>
    <w:div w:id="19141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11604/pamj.2019.34.211.16446" TargetMode="External"/><Relationship Id="rId3" Type="http://schemas.openxmlformats.org/officeDocument/2006/relationships/settings" Target="settings.xml"/><Relationship Id="rId21" Type="http://schemas.openxmlformats.org/officeDocument/2006/relationships/hyperlink" Target="https://doi.org/10.1016/j.ajog.2018.12.01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8203/2320-1770.ijrcog2017346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8203/2320-1770.ijrcog20201773" TargetMode="External"/><Relationship Id="rId20" Type="http://schemas.openxmlformats.org/officeDocument/2006/relationships/hyperlink" Target="https://doi.org/10.18203/2320-1770.ijrcog2016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8203/2320-1770.ijrcog20203495" TargetMode="External"/><Relationship Id="rId23" Type="http://schemas.openxmlformats.org/officeDocument/2006/relationships/hyperlink" Target="https://doi.org/10.3390/children9101473" TargetMode="External"/><Relationship Id="rId10" Type="http://schemas.openxmlformats.org/officeDocument/2006/relationships/footer" Target="footer2.xml"/><Relationship Id="rId19" Type="http://schemas.openxmlformats.org/officeDocument/2006/relationships/hyperlink" Target="https://doi.org/10.1002/14651858.CD004736.pub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8203/2320-1770.ijrcog20183771" TargetMode="External"/><Relationship Id="rId22" Type="http://schemas.openxmlformats.org/officeDocument/2006/relationships/hyperlink" Target="https://doi.org/10.1186/s13561-023-00474-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t>Hemoglobin status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Sheet1!$C$3</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Sheet1!$B$4:$B$12</c:f>
              <c:strCache>
                <c:ptCount val="9"/>
                <c:pt idx="0">
                  <c:v>Mild</c:v>
                </c:pt>
                <c:pt idx="1">
                  <c:v>Moderate</c:v>
                </c:pt>
                <c:pt idx="2">
                  <c:v>After 2 weeks of treatment</c:v>
                </c:pt>
                <c:pt idx="3">
                  <c:v>Anemia</c:v>
                </c:pt>
                <c:pt idx="4">
                  <c:v>Normal</c:v>
                </c:pt>
                <c:pt idx="5">
                  <c:v>After 6 weeks of treatment</c:v>
                </c:pt>
                <c:pt idx="6">
                  <c:v>Anemia</c:v>
                </c:pt>
                <c:pt idx="7">
                  <c:v>Normal</c:v>
                </c:pt>
                <c:pt idx="8">
                  <c:v>Total</c:v>
                </c:pt>
              </c:strCache>
            </c:strRef>
          </c:cat>
          <c:val>
            <c:numRef>
              <c:f>Sheet1!$C$4:$C$12</c:f>
              <c:numCache>
                <c:formatCode>General</c:formatCode>
                <c:ptCount val="9"/>
                <c:pt idx="0">
                  <c:v>16</c:v>
                </c:pt>
                <c:pt idx="1">
                  <c:v>76</c:v>
                </c:pt>
                <c:pt idx="3">
                  <c:v>43</c:v>
                </c:pt>
                <c:pt idx="4">
                  <c:v>49</c:v>
                </c:pt>
                <c:pt idx="6">
                  <c:v>40</c:v>
                </c:pt>
                <c:pt idx="7">
                  <c:v>52</c:v>
                </c:pt>
                <c:pt idx="8">
                  <c:v>92</c:v>
                </c:pt>
              </c:numCache>
            </c:numRef>
          </c:val>
          <c:extLst>
            <c:ext xmlns:c16="http://schemas.microsoft.com/office/drawing/2014/chart" uri="{C3380CC4-5D6E-409C-BE32-E72D297353CC}">
              <c16:uniqueId val="{00000000-AE24-4A44-8E9E-1342983AD88D}"/>
            </c:ext>
          </c:extLst>
        </c:ser>
        <c:ser>
          <c:idx val="1"/>
          <c:order val="1"/>
          <c:tx>
            <c:strRef>
              <c:f>Sheet1!$D$3</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Sheet1!$B$4:$B$12</c:f>
              <c:strCache>
                <c:ptCount val="9"/>
                <c:pt idx="0">
                  <c:v>Mild</c:v>
                </c:pt>
                <c:pt idx="1">
                  <c:v>Moderate</c:v>
                </c:pt>
                <c:pt idx="2">
                  <c:v>After 2 weeks of treatment</c:v>
                </c:pt>
                <c:pt idx="3">
                  <c:v>Anemia</c:v>
                </c:pt>
                <c:pt idx="4">
                  <c:v>Normal</c:v>
                </c:pt>
                <c:pt idx="5">
                  <c:v>After 6 weeks of treatment</c:v>
                </c:pt>
                <c:pt idx="6">
                  <c:v>Anemia</c:v>
                </c:pt>
                <c:pt idx="7">
                  <c:v>Normal</c:v>
                </c:pt>
                <c:pt idx="8">
                  <c:v>Total</c:v>
                </c:pt>
              </c:strCache>
            </c:strRef>
          </c:cat>
          <c:val>
            <c:numRef>
              <c:f>Sheet1!$D$4:$D$12</c:f>
              <c:numCache>
                <c:formatCode>General</c:formatCode>
                <c:ptCount val="9"/>
                <c:pt idx="0">
                  <c:v>17.399999999999999</c:v>
                </c:pt>
                <c:pt idx="1">
                  <c:v>82.6</c:v>
                </c:pt>
                <c:pt idx="3">
                  <c:v>46.7</c:v>
                </c:pt>
                <c:pt idx="4">
                  <c:v>53.3</c:v>
                </c:pt>
                <c:pt idx="6">
                  <c:v>43.5</c:v>
                </c:pt>
                <c:pt idx="7">
                  <c:v>56.5</c:v>
                </c:pt>
                <c:pt idx="8">
                  <c:v>100</c:v>
                </c:pt>
              </c:numCache>
            </c:numRef>
          </c:val>
          <c:extLst>
            <c:ext xmlns:c16="http://schemas.microsoft.com/office/drawing/2014/chart" uri="{C3380CC4-5D6E-409C-BE32-E72D297353CC}">
              <c16:uniqueId val="{00000001-AE24-4A44-8E9E-1342983AD88D}"/>
            </c:ext>
          </c:extLst>
        </c:ser>
        <c:dLbls>
          <c:showLegendKey val="0"/>
          <c:showVal val="1"/>
          <c:showCatName val="0"/>
          <c:showSerName val="0"/>
          <c:showPercent val="0"/>
          <c:showBubbleSize val="0"/>
        </c:dLbls>
        <c:gapWidth val="150"/>
        <c:shape val="box"/>
        <c:axId val="410448072"/>
        <c:axId val="410449248"/>
        <c:axId val="354996568"/>
      </c:bar3DChart>
      <c:catAx>
        <c:axId val="410448072"/>
        <c:scaling>
          <c:orientation val="minMax"/>
        </c:scaling>
        <c:delete val="0"/>
        <c:axPos val="b"/>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0449248"/>
        <c:crosses val="autoZero"/>
        <c:auto val="1"/>
        <c:lblAlgn val="ctr"/>
        <c:lblOffset val="100"/>
        <c:noMultiLvlLbl val="0"/>
      </c:catAx>
      <c:valAx>
        <c:axId val="4104492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10448072"/>
        <c:crosses val="autoZero"/>
        <c:crossBetween val="between"/>
      </c:valAx>
      <c:serAx>
        <c:axId val="354996568"/>
        <c:scaling>
          <c:orientation val="minMax"/>
        </c:scaling>
        <c:delete val="1"/>
        <c:axPos val="b"/>
        <c:majorTickMark val="none"/>
        <c:minorTickMark val="none"/>
        <c:tickLblPos val="nextTo"/>
        <c:crossAx val="410449248"/>
        <c:crosses val="autoZero"/>
      </c:serAx>
      <c:spPr>
        <a:noFill/>
        <a:ln>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7200000" scaled="0"/>
          </a:gra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Editor-28</cp:lastModifiedBy>
  <cp:revision>28</cp:revision>
  <dcterms:created xsi:type="dcterms:W3CDTF">2025-05-12T03:50:00Z</dcterms:created>
  <dcterms:modified xsi:type="dcterms:W3CDTF">2025-05-28T07:26:00Z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f523015a-1eae-4766-b0ab-1e9fe4c1de90</vt:lpwstr>
  </property>
</Properties>
</file>