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E2CC7" w14:textId="77777777" w:rsidR="00306F84" w:rsidRDefault="00306F84" w:rsidP="00B00693">
      <w:pPr>
        <w:jc w:val="both"/>
        <w:rPr>
          <w:b/>
          <w:bCs/>
          <w:lang w:val="en-US"/>
        </w:rPr>
      </w:pPr>
      <w:r w:rsidRPr="00306F84">
        <w:rPr>
          <w:b/>
          <w:bCs/>
          <w:lang w:val="en-US"/>
        </w:rPr>
        <w:t>Case report</w:t>
      </w:r>
    </w:p>
    <w:p w14:paraId="7FAC5057" w14:textId="77777777" w:rsidR="00306F84" w:rsidRDefault="00306F84" w:rsidP="00B00693">
      <w:pPr>
        <w:jc w:val="both"/>
        <w:rPr>
          <w:b/>
          <w:bCs/>
          <w:lang w:val="en-US"/>
        </w:rPr>
      </w:pPr>
    </w:p>
    <w:p w14:paraId="0533D7CB" w14:textId="0D5E3194" w:rsidR="00C24CC1" w:rsidRDefault="00B00693" w:rsidP="00B00693">
      <w:pPr>
        <w:jc w:val="both"/>
        <w:rPr>
          <w:b/>
          <w:bCs/>
          <w:lang w:val="en-US"/>
        </w:rPr>
      </w:pPr>
      <w:r w:rsidRPr="00B00693">
        <w:rPr>
          <w:b/>
          <w:bCs/>
          <w:highlight w:val="yellow"/>
          <w:lang w:val="en-US"/>
        </w:rPr>
        <w:t>Ataxia with Oculomotor Apraxia Type 1 Presenting in a 5-Year-Old Child: Diagnostic and Clinical Considerations</w:t>
      </w:r>
    </w:p>
    <w:p w14:paraId="06E12524" w14:textId="69232AF5" w:rsidR="00216F3E" w:rsidRPr="00216F3E" w:rsidRDefault="00216F3E" w:rsidP="00B00693">
      <w:pPr>
        <w:jc w:val="both"/>
        <w:rPr>
          <w:b/>
          <w:bCs/>
          <w:lang w:val="en-US"/>
        </w:rPr>
      </w:pPr>
      <w:r w:rsidRPr="00216F3E">
        <w:rPr>
          <w:b/>
          <w:bCs/>
          <w:lang w:val="en-US"/>
        </w:rPr>
        <w:t>Abstract</w:t>
      </w:r>
    </w:p>
    <w:p w14:paraId="065A8570" w14:textId="71A0AE2A" w:rsidR="00216F3E" w:rsidRDefault="00216F3E" w:rsidP="00B00693">
      <w:pPr>
        <w:jc w:val="both"/>
        <w:rPr>
          <w:lang w:val="en-US"/>
        </w:rPr>
      </w:pPr>
      <w:r w:rsidRPr="00216F3E">
        <w:rPr>
          <w:lang w:val="en-US"/>
        </w:rPr>
        <w:t xml:space="preserve">Ataxia with oculomotor apraxia type 1 (AOA1) is a rare neurodegenerative disease with autosomal recessive inheritance, caused by mutations in the APTX gene encoding </w:t>
      </w:r>
      <w:proofErr w:type="spellStart"/>
      <w:r w:rsidRPr="00216F3E">
        <w:rPr>
          <w:lang w:val="en-US"/>
        </w:rPr>
        <w:t>aprataxin</w:t>
      </w:r>
      <w:proofErr w:type="spellEnd"/>
      <w:r w:rsidRPr="00216F3E">
        <w:rPr>
          <w:lang w:val="en-US"/>
        </w:rPr>
        <w:t>, a protein involved in DNA repair. We report the case of a 5-year-old child born to consanguineous parents, presenting with ataxic gait, speech difficulties, and strabismus since age 3. Examination revealed postural instability, areflexia, peripheral hypotonia, and asynchrony between eye and head movements. Three café-au-lait spots and telangiectasia were noted on skin examination. Brain MRI showed early cerebellar atrophy, and electromyography demonstrated decreased sensory amplitudes in the upper limbs. Alpha-fetoprotein, albumin, and lipid profile were normal, unlike some AOA1 cases. High-throughput DNA sequencing identified the homozygous c.875-1G&gt;A variant in the APTX gene, confirming the AOA1 diagnosis. Treatment remains symptomatic, with stem cell transplantation being considered for our patient.</w:t>
      </w:r>
    </w:p>
    <w:p w14:paraId="3C467253" w14:textId="5BAC3F0A" w:rsidR="00B00693" w:rsidRPr="00216F3E" w:rsidRDefault="00B00693" w:rsidP="00B00693">
      <w:pPr>
        <w:jc w:val="both"/>
        <w:rPr>
          <w:lang w:val="en-US"/>
        </w:rPr>
      </w:pPr>
      <w:r>
        <w:rPr>
          <w:lang w:val="en-US"/>
        </w:rPr>
        <w:t xml:space="preserve">Keywords: </w:t>
      </w:r>
      <w:r w:rsidRPr="00B00693">
        <w:rPr>
          <w:lang w:val="en-US"/>
        </w:rPr>
        <w:t>Ataxia with oculomotor apraxia type 1</w:t>
      </w:r>
      <w:r>
        <w:rPr>
          <w:lang w:val="en-US"/>
        </w:rPr>
        <w:t>,</w:t>
      </w:r>
      <w:r w:rsidRPr="00B00693">
        <w:t xml:space="preserve"> </w:t>
      </w:r>
      <w:r w:rsidRPr="00B00693">
        <w:rPr>
          <w:lang w:val="en-US"/>
        </w:rPr>
        <w:t>Brain MRI</w:t>
      </w:r>
      <w:r>
        <w:rPr>
          <w:lang w:val="en-US"/>
        </w:rPr>
        <w:t xml:space="preserve">, </w:t>
      </w:r>
      <w:r w:rsidRPr="00B00693">
        <w:rPr>
          <w:lang w:val="en-US"/>
        </w:rPr>
        <w:t>APTX gene</w:t>
      </w:r>
      <w:r>
        <w:rPr>
          <w:lang w:val="en-US"/>
        </w:rPr>
        <w:t xml:space="preserve">, </w:t>
      </w:r>
      <w:r w:rsidRPr="00B00693">
        <w:rPr>
          <w:lang w:val="en-US"/>
        </w:rPr>
        <w:t>ophthalmoplegia</w:t>
      </w:r>
      <w:bookmarkStart w:id="0" w:name="_GoBack"/>
      <w:bookmarkEnd w:id="0"/>
    </w:p>
    <w:p w14:paraId="59BDC55F" w14:textId="77777777" w:rsidR="00216F3E" w:rsidRPr="00216F3E" w:rsidRDefault="00216F3E" w:rsidP="00B00693">
      <w:pPr>
        <w:jc w:val="both"/>
        <w:rPr>
          <w:b/>
          <w:bCs/>
          <w:lang w:val="en-US"/>
        </w:rPr>
      </w:pPr>
      <w:r w:rsidRPr="00216F3E">
        <w:rPr>
          <w:b/>
          <w:bCs/>
          <w:lang w:val="en-US"/>
        </w:rPr>
        <w:t>Introduction</w:t>
      </w:r>
    </w:p>
    <w:p w14:paraId="6049A361" w14:textId="77777777" w:rsidR="00216F3E" w:rsidRPr="00216F3E" w:rsidRDefault="00216F3E" w:rsidP="00B00693">
      <w:pPr>
        <w:jc w:val="both"/>
        <w:rPr>
          <w:lang w:val="en-US"/>
        </w:rPr>
      </w:pPr>
      <w:r w:rsidRPr="00216F3E">
        <w:rPr>
          <w:lang w:val="en-US"/>
        </w:rPr>
        <w:t xml:space="preserve">Ataxia with oculomotor apraxia type 1 represents a distinctive autosomal recessive neurodegenerative disorder characterized by early-onset cerebellar ataxia, oculomotor apraxia, and peripheral neuropathy. First described by Aicardi and colleagues [2], this condition belongs to the expanding spectrum of DNA repair disorders. AOA1 results from pathogenic mutations in the </w:t>
      </w:r>
      <w:r w:rsidRPr="00216F3E">
        <w:rPr>
          <w:i/>
          <w:iCs/>
          <w:lang w:val="en-US"/>
        </w:rPr>
        <w:t>APTX</w:t>
      </w:r>
      <w:r w:rsidRPr="00216F3E">
        <w:rPr>
          <w:lang w:val="en-US"/>
        </w:rPr>
        <w:t xml:space="preserve"> gene (9p13) encoding </w:t>
      </w:r>
      <w:proofErr w:type="spellStart"/>
      <w:r w:rsidRPr="00216F3E">
        <w:rPr>
          <w:lang w:val="en-US"/>
        </w:rPr>
        <w:t>aprataxin</w:t>
      </w:r>
      <w:proofErr w:type="spellEnd"/>
      <w:r w:rsidRPr="00216F3E">
        <w:rPr>
          <w:lang w:val="en-US"/>
        </w:rPr>
        <w:t>, a multifunctional nuclear protein involved in single-strand DNA break repair pathways [9, 11].</w:t>
      </w:r>
    </w:p>
    <w:p w14:paraId="040DA03A" w14:textId="77777777" w:rsidR="00216F3E" w:rsidRPr="00216F3E" w:rsidRDefault="00216F3E" w:rsidP="00B00693">
      <w:pPr>
        <w:jc w:val="both"/>
        <w:rPr>
          <w:lang w:val="en-US"/>
        </w:rPr>
      </w:pPr>
      <w:r w:rsidRPr="00216F3E">
        <w:rPr>
          <w:lang w:val="en-US"/>
        </w:rPr>
        <w:t>The worldwide prevalence remains undetermined, though clusters have been reported in Japan and Portugal. Clinical presentation typically includes progressive gait ataxia, dysarthria, and oculomotor apraxia evolving to external ophthalmoplegia. Hypoalbuminemia and hypercholesterolemia are frequently observed biochemical markers, distinguishing AOA1 from other recessive ataxias. Our objective was to define the clinical and biological spectrum of AOA1 through a case study and explore potential genotype-phenotype correlations with reference to current literature.</w:t>
      </w:r>
    </w:p>
    <w:p w14:paraId="19C87856" w14:textId="406AD55C" w:rsidR="00216F3E" w:rsidRPr="00216F3E" w:rsidRDefault="001933A5" w:rsidP="00B00693">
      <w:pPr>
        <w:jc w:val="both"/>
        <w:rPr>
          <w:b/>
          <w:bCs/>
          <w:lang w:val="en-US"/>
        </w:rPr>
      </w:pPr>
      <w:r>
        <w:rPr>
          <w:b/>
          <w:bCs/>
          <w:lang w:val="en-US"/>
        </w:rPr>
        <w:t xml:space="preserve">Case presentation </w:t>
      </w:r>
    </w:p>
    <w:p w14:paraId="3ABD359D" w14:textId="272F1397" w:rsidR="00216F3E" w:rsidRPr="00216F3E" w:rsidRDefault="00ED3575" w:rsidP="00B00693">
      <w:pPr>
        <w:jc w:val="both"/>
        <w:rPr>
          <w:lang w:val="en-US"/>
        </w:rPr>
      </w:pPr>
      <w:r>
        <w:rPr>
          <w:lang w:val="en-US"/>
        </w:rPr>
        <w:t>A</w:t>
      </w:r>
      <w:r w:rsidR="00216F3E" w:rsidRPr="00216F3E">
        <w:rPr>
          <w:lang w:val="en-US"/>
        </w:rPr>
        <w:t xml:space="preserve"> 5-year-old male child, born to first-degree consanguineous parents, presented to our department with a concerning clinical evolution. His birth history was unremarkable with normal delivery at term and appropriate developmental milestones during his first three years of life. His parents reported no family history of neurological disorders, though consanguinity increased the risk of recessive conditions.</w:t>
      </w:r>
    </w:p>
    <w:p w14:paraId="07BE8E9F" w14:textId="77777777" w:rsidR="00216F3E" w:rsidRPr="00216F3E" w:rsidRDefault="00216F3E" w:rsidP="00B00693">
      <w:pPr>
        <w:jc w:val="both"/>
        <w:rPr>
          <w:lang w:val="en-US"/>
        </w:rPr>
      </w:pPr>
      <w:r w:rsidRPr="00216F3E">
        <w:rPr>
          <w:lang w:val="en-US"/>
        </w:rPr>
        <w:t>At approximately age 3, his parents began noticing progressive difficulty with walking, described as an ataxic "drunken" gait pattern, accompanied by progressive speech articulation problems. These symptoms evolved gradually over two years, with the recent addition of strabismus that prompted the current medical consultation. Parents reported no seizures, visual or hearing impairments, or regression in cognitive abilities.</w:t>
      </w:r>
    </w:p>
    <w:p w14:paraId="34722149" w14:textId="77777777" w:rsidR="00216F3E" w:rsidRPr="00216F3E" w:rsidRDefault="00216F3E" w:rsidP="00B00693">
      <w:pPr>
        <w:jc w:val="both"/>
        <w:rPr>
          <w:lang w:val="en-US"/>
        </w:rPr>
      </w:pPr>
      <w:r w:rsidRPr="00216F3E">
        <w:rPr>
          <w:lang w:val="en-US"/>
        </w:rPr>
        <w:lastRenderedPageBreak/>
        <w:t>Upon admission, comprehensive neurological examination revealed dysarthric speech with scanning quality and notable difficulty with rapid alternating syllables. Gait analysis demonstrated significant instability with wide-based stance and inability to perform tandem walking. Though able to maintain seated and standing positions with support, he showed impaired coordination during finger-to-nose and heel-to-shin testing. Deep tendon reflexes were absent throughout all extremities, and generalized peripheral hypotonia was evident, more pronounced in the lower limbs.</w:t>
      </w:r>
    </w:p>
    <w:p w14:paraId="1973B7DA" w14:textId="77777777" w:rsidR="00216F3E" w:rsidRPr="00216F3E" w:rsidRDefault="00216F3E" w:rsidP="00B00693">
      <w:pPr>
        <w:jc w:val="both"/>
        <w:rPr>
          <w:lang w:val="en-US"/>
        </w:rPr>
      </w:pPr>
      <w:r w:rsidRPr="00216F3E">
        <w:rPr>
          <w:lang w:val="en-US"/>
        </w:rPr>
        <w:t>Cranial nerve examination identified strabismus with a striking asynchrony between eye and head movements—when asked to shift his gaze rapidly, he would first move his head before his eyes followed, suggesting oculomotor apraxia. Detailed mucocutaneous examination revealed three café-au-lait spots on the trunk and lower extremities, measuring between 0.5 and 2 cm in diameter, and scattered telangiectasias primarily on the conjunctivae. No nystagmus, pathological reflexes, or organomegaly were detected, and the remainder of the physical examination was unremarkable.</w:t>
      </w:r>
    </w:p>
    <w:p w14:paraId="0760E0DE" w14:textId="77777777" w:rsidR="00216F3E" w:rsidRPr="00216F3E" w:rsidRDefault="00216F3E" w:rsidP="00B00693">
      <w:pPr>
        <w:jc w:val="both"/>
        <w:rPr>
          <w:lang w:val="en-US"/>
        </w:rPr>
      </w:pPr>
      <w:r w:rsidRPr="00216F3E">
        <w:rPr>
          <w:lang w:val="en-US"/>
        </w:rPr>
        <w:t>Extensive paraclinical workup included blood chemistry, which showed normal alpha-fetoprotein levels (3.2 ng/mL), normal albumin (4.1 g/dL), and unremarkable lipid profile with total cholesterol of 165 mg/dL. Brain magnetic resonance imaging demonstrated early but definitive cerebellar atrophy particularly affecting the vermis, without supratentorial abnormalities. Electromyography and nerve conduction studies revealed decreased sensory amplitudes in the upper limbs, consistent with early sensory neuropathy. Complete ophthalmological assessment confirmed accommodative convergent strabismus without evidence of retinal pathology.</w:t>
      </w:r>
    </w:p>
    <w:p w14:paraId="2A9F60BE" w14:textId="77777777" w:rsidR="00216F3E" w:rsidRPr="00216F3E" w:rsidRDefault="00216F3E" w:rsidP="00B00693">
      <w:pPr>
        <w:jc w:val="both"/>
        <w:rPr>
          <w:lang w:val="en-US"/>
        </w:rPr>
      </w:pPr>
      <w:r w:rsidRPr="00216F3E">
        <w:rPr>
          <w:lang w:val="en-US"/>
        </w:rPr>
        <w:t xml:space="preserve">Given the constellation of clinical features and imaging findings, genetic testing was pursued. High-throughput DNA sequencing identified the homozygous variant c.875-1G&gt;A in the </w:t>
      </w:r>
      <w:r w:rsidRPr="00216F3E">
        <w:rPr>
          <w:i/>
          <w:iCs/>
          <w:lang w:val="en-US"/>
        </w:rPr>
        <w:t>APTX</w:t>
      </w:r>
      <w:r w:rsidRPr="00216F3E">
        <w:rPr>
          <w:lang w:val="en-US"/>
        </w:rPr>
        <w:t xml:space="preserve"> gene, establishing the definitive diagnosis of ataxia with oculomotor apraxia type 1. Both parents were confirmed as heterozygous carriers of this variant.</w:t>
      </w:r>
    </w:p>
    <w:p w14:paraId="3F4F266D" w14:textId="77777777" w:rsidR="00216F3E" w:rsidRPr="00216F3E" w:rsidRDefault="00216F3E" w:rsidP="00B00693">
      <w:pPr>
        <w:jc w:val="both"/>
        <w:rPr>
          <w:b/>
          <w:bCs/>
          <w:lang w:val="en-US"/>
        </w:rPr>
      </w:pPr>
      <w:r w:rsidRPr="00216F3E">
        <w:rPr>
          <w:b/>
          <w:bCs/>
          <w:lang w:val="en-US"/>
        </w:rPr>
        <w:t>Discussion</w:t>
      </w:r>
    </w:p>
    <w:p w14:paraId="5A81EF6C" w14:textId="77777777" w:rsidR="00216F3E" w:rsidRPr="00216F3E" w:rsidRDefault="00216F3E" w:rsidP="00B00693">
      <w:pPr>
        <w:jc w:val="both"/>
        <w:rPr>
          <w:lang w:val="en-US"/>
        </w:rPr>
      </w:pPr>
      <w:r w:rsidRPr="00216F3E">
        <w:rPr>
          <w:lang w:val="en-US"/>
        </w:rPr>
        <w:t>Ataxia with oculomotor apraxia type 1 presents as a progressive cerebellar syndrome with distinct clinical manifestations that evolve in a characteristic temporal sequence. Initial symptoms typically emerge between ages 2 and 10 years (mean onset 4.3 years), with approximately 50% of cases manifesting before age 7 [8]. Two Italian cases with adult onset at ages 28 and 29 have been reported, demonstrating the variability in age of presentation. Our patient's presentation with ataxic gait and speech difficulties at age 3 aligns with this typical early disease manifestation pattern, though the consanguinity in the family likely contributed to the early expression of symptoms.</w:t>
      </w:r>
    </w:p>
    <w:p w14:paraId="45CAFB8B" w14:textId="77777777" w:rsidR="00216F3E" w:rsidRPr="00216F3E" w:rsidRDefault="00216F3E" w:rsidP="00B00693">
      <w:pPr>
        <w:jc w:val="both"/>
        <w:rPr>
          <w:lang w:val="en-US"/>
        </w:rPr>
      </w:pPr>
      <w:r w:rsidRPr="00216F3E">
        <w:rPr>
          <w:lang w:val="en-US"/>
        </w:rPr>
        <w:t>The clinical course of AOA1 begins with progressive gait imbalance (ataxia), followed by dysarthria and upper limb dysmetria accompanied by mild intention tremor. These cerebellar manifestations reflect the primary pathological involvement of the cerebellum, confirmed by neuroimaging studies demonstrating cerebellar atrophy in affected individuals [4]. Oculomotor apraxia, the clinical hallmark of AOA1, generally appears several years after ataxia onset. This distinctive feature manifests as difficulty in fixating on objects. Patients compensate by initiating head movement before their eyes slowly follow with multiple saccades. Exaggerated eye blinking is observed in most patients. As the disease progresses, oculomotor apraxia evolves into progressive external ophthalmoplegia, initially affecting upward gaze [6].</w:t>
      </w:r>
    </w:p>
    <w:p w14:paraId="1720E043" w14:textId="77777777" w:rsidR="00216F3E" w:rsidRPr="00216F3E" w:rsidRDefault="00216F3E" w:rsidP="00B00693">
      <w:pPr>
        <w:jc w:val="both"/>
        <w:rPr>
          <w:lang w:val="en-US"/>
        </w:rPr>
      </w:pPr>
      <w:r w:rsidRPr="00216F3E">
        <w:rPr>
          <w:lang w:val="en-US"/>
        </w:rPr>
        <w:t xml:space="preserve">Peripheral neuropathy emerges as a universal finding in AOA1 patients, with early areflexia progressing to become the primary source of disability. Severe muscle weakness and atrophy lead to loss of independent ambulation within 7-10 years of onset, with most patients becoming wheelchair-dependent during adolescence. Peripheral involvement typically manifests with short, atrophic hands </w:t>
      </w:r>
      <w:r w:rsidRPr="00216F3E">
        <w:rPr>
          <w:lang w:val="en-US"/>
        </w:rPr>
        <w:lastRenderedPageBreak/>
        <w:t xml:space="preserve">and feet. Pes </w:t>
      </w:r>
      <w:proofErr w:type="spellStart"/>
      <w:r w:rsidRPr="00216F3E">
        <w:rPr>
          <w:lang w:val="en-US"/>
        </w:rPr>
        <w:t>cavus</w:t>
      </w:r>
      <w:proofErr w:type="spellEnd"/>
      <w:r w:rsidRPr="00216F3E">
        <w:rPr>
          <w:lang w:val="en-US"/>
        </w:rPr>
        <w:t xml:space="preserve"> appears in approximately 30% of cases, and scoliosis is observed in some patients. Vibration sense and proprioception become impaired in advanced disease, while pain and light touch sensation remain preserved [10]. Our patient's early areflexia and diminished sensory amplitudes on electromyography indicate the beginning of this neuropathic process, though gross motor dysfunction from cerebellar involvement currently predominates in his clinical presentation.</w:t>
      </w:r>
    </w:p>
    <w:p w14:paraId="634818DE" w14:textId="77777777" w:rsidR="00216F3E" w:rsidRPr="00216F3E" w:rsidRDefault="00216F3E" w:rsidP="00B00693">
      <w:pPr>
        <w:jc w:val="both"/>
        <w:rPr>
          <w:lang w:val="en-US"/>
        </w:rPr>
      </w:pPr>
      <w:r w:rsidRPr="00216F3E">
        <w:rPr>
          <w:lang w:val="en-US"/>
        </w:rPr>
        <w:t>Movement disorders represent another significant clinical dimension of AOA1. Approximately 45% of patients develop chorea during long-term disease progression, though early-stage prevalence may reach 80%, with spontaneous resolution in about half of these cases. Dystonia affects 50% of patients, occasionally with severe manifestation. Our patient has not yet developed these movement disorders, likely due to the relatively early disease stage. Cognitive function may be affected to varying degrees, without apparent correlation to ethnic background, though one family with severe cognitive impairment has been reported [8]. Life expectancy varies considerably, with disease duration ranging from 12 to 58 years in documented cases.</w:t>
      </w:r>
    </w:p>
    <w:p w14:paraId="5FEEF522" w14:textId="77777777" w:rsidR="00216F3E" w:rsidRPr="00216F3E" w:rsidRDefault="00216F3E" w:rsidP="00B00693">
      <w:pPr>
        <w:jc w:val="both"/>
        <w:rPr>
          <w:lang w:val="en-US"/>
        </w:rPr>
      </w:pPr>
      <w:r w:rsidRPr="00216F3E">
        <w:rPr>
          <w:lang w:val="en-US"/>
        </w:rPr>
        <w:t xml:space="preserve">AOA1 demonstrates autosomal recessive inheritance, with a 25% risk of affected offspring when both parents are carriers. The identification of the c.875-1G&gt;A variant in the </w:t>
      </w:r>
      <w:r w:rsidRPr="00216F3E">
        <w:rPr>
          <w:i/>
          <w:iCs/>
          <w:lang w:val="en-US"/>
        </w:rPr>
        <w:t>APTX</w:t>
      </w:r>
      <w:r w:rsidRPr="00216F3E">
        <w:rPr>
          <w:lang w:val="en-US"/>
        </w:rPr>
        <w:t xml:space="preserve"> gene in our patient confirms the diagnosis at the molecular level and allows for appropriate genetic counseling for the family. This specific variant affects an essential splice site and has been previously reported in other AOA1 cases with similar phenotypes. The </w:t>
      </w:r>
      <w:r w:rsidRPr="00216F3E">
        <w:rPr>
          <w:i/>
          <w:iCs/>
          <w:lang w:val="en-US"/>
        </w:rPr>
        <w:t>APTX</w:t>
      </w:r>
      <w:r w:rsidRPr="00216F3E">
        <w:rPr>
          <w:lang w:val="en-US"/>
        </w:rPr>
        <w:t xml:space="preserve"> gene encodes </w:t>
      </w:r>
      <w:proofErr w:type="spellStart"/>
      <w:r w:rsidRPr="00216F3E">
        <w:rPr>
          <w:lang w:val="en-US"/>
        </w:rPr>
        <w:t>aprataxin</w:t>
      </w:r>
      <w:proofErr w:type="spellEnd"/>
      <w:r w:rsidRPr="00216F3E">
        <w:rPr>
          <w:lang w:val="en-US"/>
        </w:rPr>
        <w:t xml:space="preserve">, a multifunctional protein integral to DNA single-strand break repair mechanisms. Specific </w:t>
      </w:r>
      <w:r w:rsidRPr="00216F3E">
        <w:rPr>
          <w:i/>
          <w:iCs/>
          <w:lang w:val="en-US"/>
        </w:rPr>
        <w:t>APTX</w:t>
      </w:r>
      <w:r w:rsidRPr="00216F3E">
        <w:rPr>
          <w:lang w:val="en-US"/>
        </w:rPr>
        <w:t xml:space="preserve"> variants influence symptom onset age, with truncating mutations generally associated with earlier onset (mean 2-12 years) and certain specific mutations linked to more persistent chorea or later disease onset. However, no direct correlation between specific mutations and patient survival has been established [6, 12]. Interestingly, a moderate coenzyme Q10 deficiency has been described in muscle tissue of AOA1 patients, without concomitant respiratory chain deficiency, suggesting potential metabolic implications that may inform therapeutic approaches [5].</w:t>
      </w:r>
    </w:p>
    <w:p w14:paraId="6D3EF62F" w14:textId="77777777" w:rsidR="00216F3E" w:rsidRPr="00216F3E" w:rsidRDefault="00216F3E" w:rsidP="00B00693">
      <w:pPr>
        <w:jc w:val="both"/>
        <w:rPr>
          <w:lang w:val="en-US"/>
        </w:rPr>
      </w:pPr>
      <w:r w:rsidRPr="00216F3E">
        <w:rPr>
          <w:lang w:val="en-US"/>
        </w:rPr>
        <w:t>The diagnosis of AOA1 rests on clinical findings (including family history) and exclusion of ataxia-telangiectasia. Among the principal progressive autosomal recessive ataxias, four main forms can be distinguished based on specific clinical and paraclinical characteristics. Cerebellar atrophy represents a consistent finding across these conditions. At the molecular level, these pathologies share a common link to DNA repair defects [4, 5]. Our patient's normal alpha-fetoprotein level helped distinguish his condition from ataxia-telangiectasia and AOA2, both of which typically present with elevated AFP.</w:t>
      </w:r>
    </w:p>
    <w:p w14:paraId="23776B4D" w14:textId="77777777" w:rsidR="00216F3E" w:rsidRPr="00216F3E" w:rsidRDefault="00216F3E" w:rsidP="00B00693">
      <w:pPr>
        <w:jc w:val="both"/>
        <w:rPr>
          <w:lang w:val="en-US"/>
        </w:rPr>
      </w:pPr>
      <w:r w:rsidRPr="00216F3E">
        <w:rPr>
          <w:lang w:val="en-US"/>
        </w:rPr>
        <w:t>Cerebral magnetic resonance imaging invariably demonstrates cerebellar atrophy, while electromyography confirms axonal polyneuropathy in 100% of AOA1 patients [11]. Biochemical markers including albumin, total cholesterol, LDL cholesterol, creatine kinase (CK), and serum AFP levels are essential components of the diagnostic workup. Some patients show elevated AFP and albumin levels during disease progression; however, our patient demonstrated normal alpha-fetoprotein, albumin, and lipid profile, highlighting the biochemical heterogeneity in AOA1 presentation.</w:t>
      </w:r>
    </w:p>
    <w:p w14:paraId="375C3720" w14:textId="77777777" w:rsidR="00216F3E" w:rsidRPr="00216F3E" w:rsidRDefault="00216F3E" w:rsidP="00B00693">
      <w:pPr>
        <w:jc w:val="both"/>
        <w:rPr>
          <w:lang w:val="en-US"/>
        </w:rPr>
      </w:pPr>
      <w:r w:rsidRPr="00216F3E">
        <w:rPr>
          <w:lang w:val="en-US"/>
        </w:rPr>
        <w:t xml:space="preserve">The differential diagnosis includes other progressive cerebellar ataxias, particularly those with similar age of onset and features. Ataxia-telangiectasia can be distinguished by the presence of telangiectasias and elevated alpha-fetoprotein. Friedreich's ataxia typically presents with cardiomyopathy and diabetes, which are absent in AOA1. AOA2 has a later age of onset (11-22 years) and elevated alpha-fetoprotein without albumin abnormalities. Other conditions to consider include spinocerebellar ataxias (SCAs) with childhood onset, </w:t>
      </w:r>
      <w:proofErr w:type="spellStart"/>
      <w:r w:rsidRPr="00216F3E">
        <w:rPr>
          <w:lang w:val="en-US"/>
        </w:rPr>
        <w:t>Marinesco-Sjögren</w:t>
      </w:r>
      <w:proofErr w:type="spellEnd"/>
      <w:r w:rsidRPr="00216F3E">
        <w:rPr>
          <w:lang w:val="en-US"/>
        </w:rPr>
        <w:t xml:space="preserve"> syndrome [1], autosomal recessive spastic ataxia of Charlevoix-Saguenay [3], and various mitochondrial disorders.</w:t>
      </w:r>
    </w:p>
    <w:p w14:paraId="67BB8B68" w14:textId="77777777" w:rsidR="00216F3E" w:rsidRPr="00216F3E" w:rsidRDefault="00216F3E" w:rsidP="00B00693">
      <w:pPr>
        <w:jc w:val="both"/>
        <w:rPr>
          <w:lang w:val="en-US"/>
        </w:rPr>
      </w:pPr>
      <w:r w:rsidRPr="00216F3E">
        <w:rPr>
          <w:lang w:val="en-US"/>
        </w:rPr>
        <w:lastRenderedPageBreak/>
        <w:t>Treatment for AOA1 remains primarily symptomatic, focused on managing manifestations and preventing complications. Physical therapy is particularly important for disabilities secondary to peripheral neuropathy, helping maintain mobility and function as long as possible. Mobility aids, including wheelchair use, typically become necessary between ages 15-20 as the disease progresses. Educational support is essential for patients developing difficulties with speech, reading, and writing due to cerebellar involvement and potential cognitive effects.</w:t>
      </w:r>
    </w:p>
    <w:p w14:paraId="20E00B3F" w14:textId="77777777" w:rsidR="00216F3E" w:rsidRPr="00216F3E" w:rsidRDefault="00216F3E" w:rsidP="00B00693">
      <w:pPr>
        <w:jc w:val="both"/>
        <w:rPr>
          <w:lang w:val="en-US"/>
        </w:rPr>
      </w:pPr>
      <w:r w:rsidRPr="00216F3E">
        <w:rPr>
          <w:lang w:val="en-US"/>
        </w:rPr>
        <w:t>For our patient, stem cell transplantation has been discussed as a potential therapeutic option, representing an emerging approach for severe neurodegenerative conditions, though with limited evidence specific to AOA1 [7]. Research into coenzyme Q10 supplementation is also being explored based on the observed deficiency in muscle tissue of some patients. We have initiated a comprehensive rehabilitation program focusing on gait training, coordination exercises, and speech therapy. Given the normal albumin and cholesterol levels, dietary interventions were not immediately necessary, but regular monitoring is planned. Genetic counseling has been provided to the family, allowing for carrier testing among family members and potential prenatal testing in at-risk pregnancies, particularly important given the consanguinity in this family.</w:t>
      </w:r>
    </w:p>
    <w:p w14:paraId="4E1C2A08" w14:textId="77777777" w:rsidR="00216F3E" w:rsidRPr="00216F3E" w:rsidRDefault="00216F3E" w:rsidP="00B00693">
      <w:pPr>
        <w:jc w:val="both"/>
        <w:rPr>
          <w:b/>
          <w:bCs/>
          <w:lang w:val="en-US"/>
        </w:rPr>
      </w:pPr>
      <w:r w:rsidRPr="00216F3E">
        <w:rPr>
          <w:b/>
          <w:bCs/>
          <w:lang w:val="en-US"/>
        </w:rPr>
        <w:t>Conclusion</w:t>
      </w:r>
    </w:p>
    <w:p w14:paraId="29854CF3" w14:textId="7A19D3EC" w:rsidR="00216F3E" w:rsidRDefault="00216F3E" w:rsidP="00B00693">
      <w:pPr>
        <w:jc w:val="both"/>
        <w:rPr>
          <w:lang w:val="en-US"/>
        </w:rPr>
      </w:pPr>
      <w:r w:rsidRPr="00216F3E">
        <w:rPr>
          <w:lang w:val="en-US"/>
        </w:rPr>
        <w:t>Ataxia with oculomotor apraxia type 1 leads to major neurological disability. In our patient, the diagnosis was established despite normal albumin and cholesterol levels, through genetic confirmation. Treatment remains primarily supportive, with stem cell transplantation being considered for our patient as a potential therapeutic intervention. Early diagnosis through clinical recognition of characteristic features and confirmatory genetic testing is essential for appropriate management and family counseling. Further research into the pathophysiological mechanisms and potential targeted therapies may offer hope for improved outcomes in this debilitating condition.</w:t>
      </w:r>
    </w:p>
    <w:p w14:paraId="070B4C97" w14:textId="77777777" w:rsidR="00102D63" w:rsidRPr="009C5487" w:rsidRDefault="00102D63" w:rsidP="00B00693">
      <w:pPr>
        <w:jc w:val="both"/>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5785E52A" w14:textId="77777777" w:rsidR="00102D63" w:rsidRPr="009C5487" w:rsidRDefault="00102D63" w:rsidP="00B00693">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6B571D2" w14:textId="77777777" w:rsidR="00102D63" w:rsidRPr="009C5487" w:rsidRDefault="00102D63" w:rsidP="00B00693">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BE40E74" w14:textId="77777777" w:rsidR="00102D63" w:rsidRPr="00E46AF6" w:rsidRDefault="00102D63" w:rsidP="00B00693">
      <w:pPr>
        <w:jc w:val="both"/>
        <w:rPr>
          <w:lang w:val="fr-FR"/>
        </w:rPr>
      </w:pPr>
    </w:p>
    <w:p w14:paraId="79E5CA29" w14:textId="77777777" w:rsidR="00216F3E" w:rsidRPr="00216F3E" w:rsidRDefault="00216F3E" w:rsidP="00B00693">
      <w:pPr>
        <w:jc w:val="both"/>
        <w:rPr>
          <w:b/>
          <w:bCs/>
        </w:rPr>
      </w:pPr>
      <w:r w:rsidRPr="00216F3E">
        <w:rPr>
          <w:b/>
          <w:bCs/>
        </w:rPr>
        <w:t>References</w:t>
      </w:r>
    </w:p>
    <w:p w14:paraId="7F897676" w14:textId="77777777" w:rsidR="00216F3E" w:rsidRPr="00216F3E" w:rsidRDefault="00216F3E" w:rsidP="00B00693">
      <w:pPr>
        <w:numPr>
          <w:ilvl w:val="0"/>
          <w:numId w:val="2"/>
        </w:numPr>
        <w:jc w:val="both"/>
      </w:pPr>
      <w:proofErr w:type="spellStart"/>
      <w:r w:rsidRPr="00216F3E">
        <w:t>Aguglia</w:t>
      </w:r>
      <w:proofErr w:type="spellEnd"/>
      <w:r w:rsidRPr="00216F3E">
        <w:t xml:space="preserve"> U, </w:t>
      </w:r>
      <w:proofErr w:type="spellStart"/>
      <w:r w:rsidRPr="00216F3E">
        <w:t>Annesi</w:t>
      </w:r>
      <w:proofErr w:type="spellEnd"/>
      <w:r w:rsidRPr="00216F3E">
        <w:t xml:space="preserve"> G, </w:t>
      </w:r>
      <w:proofErr w:type="spellStart"/>
      <w:r w:rsidRPr="00216F3E">
        <w:t>Pasquinelli</w:t>
      </w:r>
      <w:proofErr w:type="spellEnd"/>
      <w:r w:rsidRPr="00216F3E">
        <w:t xml:space="preserve"> G, et al. </w:t>
      </w:r>
      <w:r w:rsidRPr="00216F3E">
        <w:rPr>
          <w:lang w:val="en-US"/>
        </w:rPr>
        <w:t xml:space="preserve">(2000). Vitamin E deficiency due to chylomicron retention disease in </w:t>
      </w:r>
      <w:proofErr w:type="spellStart"/>
      <w:r w:rsidRPr="00216F3E">
        <w:rPr>
          <w:lang w:val="en-US"/>
        </w:rPr>
        <w:t>Marinesco</w:t>
      </w:r>
      <w:proofErr w:type="spellEnd"/>
      <w:r w:rsidRPr="00216F3E">
        <w:rPr>
          <w:lang w:val="en-US"/>
        </w:rPr>
        <w:t xml:space="preserve">-Sjogren syndrome. </w:t>
      </w:r>
      <w:proofErr w:type="spellStart"/>
      <w:r w:rsidRPr="00216F3E">
        <w:t>Annals</w:t>
      </w:r>
      <w:proofErr w:type="spellEnd"/>
      <w:r w:rsidRPr="00216F3E">
        <w:t xml:space="preserve"> of </w:t>
      </w:r>
      <w:proofErr w:type="spellStart"/>
      <w:r w:rsidRPr="00216F3E">
        <w:t>neurology</w:t>
      </w:r>
      <w:proofErr w:type="spellEnd"/>
      <w:r w:rsidRPr="00216F3E">
        <w:t xml:space="preserve">, </w:t>
      </w:r>
      <w:proofErr w:type="gramStart"/>
      <w:r w:rsidRPr="00216F3E">
        <w:t>47:</w:t>
      </w:r>
      <w:proofErr w:type="gramEnd"/>
      <w:r w:rsidRPr="00216F3E">
        <w:t>260-4.</w:t>
      </w:r>
    </w:p>
    <w:p w14:paraId="5792788A" w14:textId="77777777" w:rsidR="00216F3E" w:rsidRPr="00216F3E" w:rsidRDefault="00216F3E" w:rsidP="00B00693">
      <w:pPr>
        <w:numPr>
          <w:ilvl w:val="0"/>
          <w:numId w:val="2"/>
        </w:numPr>
        <w:jc w:val="both"/>
      </w:pPr>
      <w:proofErr w:type="spellStart"/>
      <w:r w:rsidRPr="00216F3E">
        <w:t>Aicardi</w:t>
      </w:r>
      <w:proofErr w:type="spellEnd"/>
      <w:r w:rsidRPr="00216F3E">
        <w:t xml:space="preserve"> J, Barbosa C, </w:t>
      </w:r>
      <w:proofErr w:type="spellStart"/>
      <w:r w:rsidRPr="00216F3E">
        <w:t>Andermann</w:t>
      </w:r>
      <w:proofErr w:type="spellEnd"/>
      <w:r w:rsidRPr="00216F3E">
        <w:t xml:space="preserve"> E, et al. </w:t>
      </w:r>
      <w:r w:rsidRPr="00216F3E">
        <w:rPr>
          <w:lang w:val="en-US"/>
        </w:rPr>
        <w:t xml:space="preserve">(1988). Ataxia-ocular motor apraxia: a syndrome mimicking ataxia-telangiectasia. </w:t>
      </w:r>
      <w:proofErr w:type="spellStart"/>
      <w:r w:rsidRPr="00216F3E">
        <w:t>Annals</w:t>
      </w:r>
      <w:proofErr w:type="spellEnd"/>
      <w:r w:rsidRPr="00216F3E">
        <w:t xml:space="preserve"> of </w:t>
      </w:r>
      <w:proofErr w:type="spellStart"/>
      <w:r w:rsidRPr="00216F3E">
        <w:t>neurology</w:t>
      </w:r>
      <w:proofErr w:type="spellEnd"/>
      <w:r w:rsidRPr="00216F3E">
        <w:t xml:space="preserve">, </w:t>
      </w:r>
      <w:proofErr w:type="gramStart"/>
      <w:r w:rsidRPr="00216F3E">
        <w:t>24:</w:t>
      </w:r>
      <w:proofErr w:type="gramEnd"/>
      <w:r w:rsidRPr="00216F3E">
        <w:t>497-502.</w:t>
      </w:r>
    </w:p>
    <w:p w14:paraId="292720B9" w14:textId="77777777" w:rsidR="00216F3E" w:rsidRPr="00216F3E" w:rsidRDefault="00216F3E" w:rsidP="00B00693">
      <w:pPr>
        <w:numPr>
          <w:ilvl w:val="0"/>
          <w:numId w:val="2"/>
        </w:numPr>
        <w:jc w:val="both"/>
      </w:pPr>
      <w:proofErr w:type="spellStart"/>
      <w:r w:rsidRPr="00216F3E">
        <w:t>Anheim</w:t>
      </w:r>
      <w:proofErr w:type="spellEnd"/>
      <w:r w:rsidRPr="00216F3E">
        <w:t xml:space="preserve"> M, </w:t>
      </w:r>
      <w:proofErr w:type="spellStart"/>
      <w:r w:rsidRPr="00216F3E">
        <w:t>Chaigne</w:t>
      </w:r>
      <w:proofErr w:type="spellEnd"/>
      <w:r w:rsidRPr="00216F3E">
        <w:t xml:space="preserve"> D, Fleury M, et al. </w:t>
      </w:r>
      <w:r w:rsidRPr="00216F3E">
        <w:rPr>
          <w:lang w:val="en-US"/>
        </w:rPr>
        <w:t xml:space="preserve">(2008). Autosomal recessive spastic ataxia of Charlevoix-Saguenay: study of a family and review of the literature. </w:t>
      </w:r>
      <w:r w:rsidRPr="00216F3E">
        <w:t xml:space="preserve">Revue neurologique, </w:t>
      </w:r>
      <w:proofErr w:type="gramStart"/>
      <w:r w:rsidRPr="00216F3E">
        <w:t>164:</w:t>
      </w:r>
      <w:proofErr w:type="gramEnd"/>
      <w:r w:rsidRPr="00216F3E">
        <w:t>363-8.</w:t>
      </w:r>
    </w:p>
    <w:p w14:paraId="5D1F23D6" w14:textId="77777777" w:rsidR="00216F3E" w:rsidRPr="00216F3E" w:rsidRDefault="00216F3E" w:rsidP="00B00693">
      <w:pPr>
        <w:numPr>
          <w:ilvl w:val="0"/>
          <w:numId w:val="2"/>
        </w:numPr>
        <w:jc w:val="both"/>
      </w:pPr>
      <w:proofErr w:type="spellStart"/>
      <w:r w:rsidRPr="00216F3E">
        <w:t>Anheim</w:t>
      </w:r>
      <w:proofErr w:type="spellEnd"/>
      <w:r w:rsidRPr="00216F3E">
        <w:t xml:space="preserve"> M. (2010). Autosomal </w:t>
      </w:r>
      <w:proofErr w:type="spellStart"/>
      <w:r w:rsidRPr="00216F3E">
        <w:t>recessive</w:t>
      </w:r>
      <w:proofErr w:type="spellEnd"/>
      <w:r w:rsidRPr="00216F3E">
        <w:t xml:space="preserve"> </w:t>
      </w:r>
      <w:proofErr w:type="spellStart"/>
      <w:r w:rsidRPr="00216F3E">
        <w:t>cerebellar</w:t>
      </w:r>
      <w:proofErr w:type="spellEnd"/>
      <w:r w:rsidRPr="00216F3E">
        <w:t xml:space="preserve"> </w:t>
      </w:r>
      <w:proofErr w:type="spellStart"/>
      <w:r w:rsidRPr="00216F3E">
        <w:t>ataxias</w:t>
      </w:r>
      <w:proofErr w:type="spellEnd"/>
      <w:r w:rsidRPr="00216F3E">
        <w:t xml:space="preserve">. </w:t>
      </w:r>
      <w:proofErr w:type="spellStart"/>
      <w:r w:rsidRPr="00216F3E">
        <w:t>Rev</w:t>
      </w:r>
      <w:proofErr w:type="spellEnd"/>
      <w:r w:rsidRPr="00216F3E">
        <w:t xml:space="preserve"> </w:t>
      </w:r>
      <w:proofErr w:type="spellStart"/>
      <w:r w:rsidRPr="00216F3E">
        <w:t>Neurol</w:t>
      </w:r>
      <w:proofErr w:type="spellEnd"/>
      <w:r w:rsidRPr="00216F3E">
        <w:t xml:space="preserve"> (Paris), </w:t>
      </w:r>
      <w:proofErr w:type="gramStart"/>
      <w:r w:rsidRPr="00216F3E">
        <w:t>166:</w:t>
      </w:r>
      <w:proofErr w:type="gramEnd"/>
      <w:r w:rsidRPr="00216F3E">
        <w:t>714-729.</w:t>
      </w:r>
    </w:p>
    <w:p w14:paraId="0EAE9F4A" w14:textId="77777777" w:rsidR="00216F3E" w:rsidRPr="00216F3E" w:rsidRDefault="00216F3E" w:rsidP="00B00693">
      <w:pPr>
        <w:numPr>
          <w:ilvl w:val="0"/>
          <w:numId w:val="2"/>
        </w:numPr>
        <w:jc w:val="both"/>
      </w:pPr>
      <w:proofErr w:type="spellStart"/>
      <w:r w:rsidRPr="00216F3E">
        <w:rPr>
          <w:lang w:val="en-US"/>
        </w:rPr>
        <w:t>Anheim</w:t>
      </w:r>
      <w:proofErr w:type="spellEnd"/>
      <w:r w:rsidRPr="00216F3E">
        <w:rPr>
          <w:lang w:val="en-US"/>
        </w:rPr>
        <w:t xml:space="preserve"> M, Monga B, Fleury M, et al. (2009). Ataxia with oculomotor apraxia type 2: clinical, biological and genotype/phenotype correlation study of a cohort of 90 patients. </w:t>
      </w:r>
      <w:r w:rsidRPr="00216F3E">
        <w:t>Brain, 132(Pt 10</w:t>
      </w:r>
      <w:proofErr w:type="gramStart"/>
      <w:r w:rsidRPr="00216F3E">
        <w:t>):</w:t>
      </w:r>
      <w:proofErr w:type="gramEnd"/>
      <w:r w:rsidRPr="00216F3E">
        <w:t>2688-98.</w:t>
      </w:r>
    </w:p>
    <w:p w14:paraId="5C21857D" w14:textId="77777777" w:rsidR="00216F3E" w:rsidRPr="00216F3E" w:rsidRDefault="00216F3E" w:rsidP="00B00693">
      <w:pPr>
        <w:numPr>
          <w:ilvl w:val="0"/>
          <w:numId w:val="2"/>
        </w:numPr>
        <w:jc w:val="both"/>
      </w:pPr>
      <w:r w:rsidRPr="00216F3E">
        <w:rPr>
          <w:lang w:val="en-US"/>
        </w:rPr>
        <w:lastRenderedPageBreak/>
        <w:t xml:space="preserve">El-Khamisy SF, Saifi GM, Weinfeld M, et al. (2005). Defective DNA single-strand break repair in spinocerebellar ataxia with axonal neuropathy-1. </w:t>
      </w:r>
      <w:r w:rsidRPr="00216F3E">
        <w:t xml:space="preserve">Nature, </w:t>
      </w:r>
      <w:proofErr w:type="gramStart"/>
      <w:r w:rsidRPr="00216F3E">
        <w:t>434:</w:t>
      </w:r>
      <w:proofErr w:type="gramEnd"/>
      <w:r w:rsidRPr="00216F3E">
        <w:t>108-13.</w:t>
      </w:r>
    </w:p>
    <w:p w14:paraId="0D0B01AD" w14:textId="77777777" w:rsidR="00216F3E" w:rsidRPr="00216F3E" w:rsidRDefault="00216F3E" w:rsidP="00B00693">
      <w:pPr>
        <w:numPr>
          <w:ilvl w:val="0"/>
          <w:numId w:val="2"/>
        </w:numPr>
        <w:jc w:val="both"/>
      </w:pPr>
      <w:proofErr w:type="spellStart"/>
      <w:r w:rsidRPr="00216F3E">
        <w:rPr>
          <w:lang w:val="en-US"/>
        </w:rPr>
        <w:t>Hakonen</w:t>
      </w:r>
      <w:proofErr w:type="spellEnd"/>
      <w:r w:rsidRPr="00216F3E">
        <w:rPr>
          <w:lang w:val="en-US"/>
        </w:rPr>
        <w:t xml:space="preserve"> AH, </w:t>
      </w:r>
      <w:proofErr w:type="spellStart"/>
      <w:r w:rsidRPr="00216F3E">
        <w:rPr>
          <w:lang w:val="en-US"/>
        </w:rPr>
        <w:t>Heiskanen</w:t>
      </w:r>
      <w:proofErr w:type="spellEnd"/>
      <w:r w:rsidRPr="00216F3E">
        <w:rPr>
          <w:lang w:val="en-US"/>
        </w:rPr>
        <w:t xml:space="preserve"> S, Juvonen V, et al. (2005). Mitochondrial DNA polymerase W748S mutation: a common cause of autosomal recessive ataxia with ancient European origin. </w:t>
      </w:r>
      <w:r w:rsidRPr="00216F3E">
        <w:t xml:space="preserve">American journal of </w:t>
      </w:r>
      <w:proofErr w:type="spellStart"/>
      <w:r w:rsidRPr="00216F3E">
        <w:t>human</w:t>
      </w:r>
      <w:proofErr w:type="spellEnd"/>
      <w:r w:rsidRPr="00216F3E">
        <w:t xml:space="preserve"> </w:t>
      </w:r>
      <w:proofErr w:type="spellStart"/>
      <w:r w:rsidRPr="00216F3E">
        <w:t>genetics</w:t>
      </w:r>
      <w:proofErr w:type="spellEnd"/>
      <w:r w:rsidRPr="00216F3E">
        <w:t xml:space="preserve">, </w:t>
      </w:r>
      <w:proofErr w:type="gramStart"/>
      <w:r w:rsidRPr="00216F3E">
        <w:t>77:</w:t>
      </w:r>
      <w:proofErr w:type="gramEnd"/>
      <w:r w:rsidRPr="00216F3E">
        <w:t>430-41.</w:t>
      </w:r>
    </w:p>
    <w:p w14:paraId="7A4C0796" w14:textId="77777777" w:rsidR="00216F3E" w:rsidRPr="00216F3E" w:rsidRDefault="00216F3E" w:rsidP="00B00693">
      <w:pPr>
        <w:numPr>
          <w:ilvl w:val="0"/>
          <w:numId w:val="2"/>
        </w:numPr>
        <w:jc w:val="both"/>
      </w:pPr>
      <w:r w:rsidRPr="00216F3E">
        <w:rPr>
          <w:lang w:val="en-US"/>
        </w:rPr>
        <w:t xml:space="preserve">Le Ber I, Moreira MC, </w:t>
      </w:r>
      <w:proofErr w:type="spellStart"/>
      <w:r w:rsidRPr="00216F3E">
        <w:rPr>
          <w:lang w:val="en-US"/>
        </w:rPr>
        <w:t>Rivaud-Pechoux</w:t>
      </w:r>
      <w:proofErr w:type="spellEnd"/>
      <w:r w:rsidRPr="00216F3E">
        <w:rPr>
          <w:lang w:val="en-US"/>
        </w:rPr>
        <w:t xml:space="preserve"> S, et al. (2003). Cerebellar ataxia with oculomotor apraxia type 1: clinical and genetic studies. </w:t>
      </w:r>
      <w:r w:rsidRPr="00216F3E">
        <w:t xml:space="preserve">Brain, </w:t>
      </w:r>
      <w:proofErr w:type="gramStart"/>
      <w:r w:rsidRPr="00216F3E">
        <w:t>126:</w:t>
      </w:r>
      <w:proofErr w:type="gramEnd"/>
      <w:r w:rsidRPr="00216F3E">
        <w:t>2761-72.</w:t>
      </w:r>
    </w:p>
    <w:p w14:paraId="51CBF91B" w14:textId="77777777" w:rsidR="00216F3E" w:rsidRPr="00216F3E" w:rsidRDefault="00216F3E" w:rsidP="00B00693">
      <w:pPr>
        <w:numPr>
          <w:ilvl w:val="0"/>
          <w:numId w:val="2"/>
        </w:numPr>
        <w:jc w:val="both"/>
      </w:pPr>
      <w:r w:rsidRPr="00216F3E">
        <w:t xml:space="preserve">Moreira MC, Barbot C, Tachi N, et al. </w:t>
      </w:r>
      <w:r w:rsidRPr="00216F3E">
        <w:rPr>
          <w:lang w:val="en-US"/>
        </w:rPr>
        <w:t xml:space="preserve">(2001). Homozygosity mapping of Portuguese and Japanese forms of ataxia-oculomotor apraxia to 9p13, and evidence for genetic heterogeneity. </w:t>
      </w:r>
      <w:r w:rsidRPr="00216F3E">
        <w:t xml:space="preserve">American journal of </w:t>
      </w:r>
      <w:proofErr w:type="spellStart"/>
      <w:r w:rsidRPr="00216F3E">
        <w:t>human</w:t>
      </w:r>
      <w:proofErr w:type="spellEnd"/>
      <w:r w:rsidRPr="00216F3E">
        <w:t xml:space="preserve"> </w:t>
      </w:r>
      <w:proofErr w:type="spellStart"/>
      <w:r w:rsidRPr="00216F3E">
        <w:t>genetics</w:t>
      </w:r>
      <w:proofErr w:type="spellEnd"/>
      <w:r w:rsidRPr="00216F3E">
        <w:t xml:space="preserve">, </w:t>
      </w:r>
      <w:proofErr w:type="gramStart"/>
      <w:r w:rsidRPr="00216F3E">
        <w:t>68:</w:t>
      </w:r>
      <w:proofErr w:type="gramEnd"/>
      <w:r w:rsidRPr="00216F3E">
        <w:t>501-8.</w:t>
      </w:r>
    </w:p>
    <w:p w14:paraId="19206524" w14:textId="77777777" w:rsidR="00216F3E" w:rsidRPr="00216F3E" w:rsidRDefault="00216F3E" w:rsidP="00B00693">
      <w:pPr>
        <w:numPr>
          <w:ilvl w:val="0"/>
          <w:numId w:val="2"/>
        </w:numPr>
        <w:jc w:val="both"/>
      </w:pPr>
      <w:r w:rsidRPr="00216F3E">
        <w:rPr>
          <w:lang w:val="en-US"/>
        </w:rPr>
        <w:t xml:space="preserve">Ochsner F, Le Ber I, Said G, et al. (2005). Mutation of the </w:t>
      </w:r>
      <w:proofErr w:type="spellStart"/>
      <w:r w:rsidRPr="00216F3E">
        <w:rPr>
          <w:lang w:val="en-US"/>
        </w:rPr>
        <w:t>aprataxin</w:t>
      </w:r>
      <w:proofErr w:type="spellEnd"/>
      <w:r w:rsidRPr="00216F3E">
        <w:rPr>
          <w:lang w:val="en-US"/>
        </w:rPr>
        <w:t xml:space="preserve"> gene presenting with Charcot-Marie-Tooth-like neuropathy and cerebellar ataxia. </w:t>
      </w:r>
      <w:r w:rsidRPr="00216F3E">
        <w:t xml:space="preserve">Revue neurologique, </w:t>
      </w:r>
      <w:proofErr w:type="gramStart"/>
      <w:r w:rsidRPr="00216F3E">
        <w:t>161:</w:t>
      </w:r>
      <w:proofErr w:type="gramEnd"/>
      <w:r w:rsidRPr="00216F3E">
        <w:t>331-6.</w:t>
      </w:r>
    </w:p>
    <w:p w14:paraId="0AD4D1E0" w14:textId="77777777" w:rsidR="00216F3E" w:rsidRPr="00216F3E" w:rsidRDefault="00216F3E" w:rsidP="00B00693">
      <w:pPr>
        <w:numPr>
          <w:ilvl w:val="0"/>
          <w:numId w:val="2"/>
        </w:numPr>
        <w:jc w:val="both"/>
      </w:pPr>
      <w:proofErr w:type="spellStart"/>
      <w:r w:rsidRPr="00216F3E">
        <w:rPr>
          <w:lang w:val="en-US"/>
        </w:rPr>
        <w:t>Shimazaki</w:t>
      </w:r>
      <w:proofErr w:type="spellEnd"/>
      <w:r w:rsidRPr="00216F3E">
        <w:rPr>
          <w:lang w:val="en-US"/>
        </w:rPr>
        <w:t xml:space="preserve"> H, </w:t>
      </w:r>
      <w:proofErr w:type="spellStart"/>
      <w:r w:rsidRPr="00216F3E">
        <w:rPr>
          <w:lang w:val="en-US"/>
        </w:rPr>
        <w:t>Takiyama</w:t>
      </w:r>
      <w:proofErr w:type="spellEnd"/>
      <w:r w:rsidRPr="00216F3E">
        <w:rPr>
          <w:lang w:val="en-US"/>
        </w:rPr>
        <w:t xml:space="preserve"> Y, </w:t>
      </w:r>
      <w:proofErr w:type="spellStart"/>
      <w:r w:rsidRPr="00216F3E">
        <w:rPr>
          <w:lang w:val="en-US"/>
        </w:rPr>
        <w:t>Sakoe</w:t>
      </w:r>
      <w:proofErr w:type="spellEnd"/>
      <w:r w:rsidRPr="00216F3E">
        <w:rPr>
          <w:lang w:val="en-US"/>
        </w:rPr>
        <w:t xml:space="preserve"> K, et al. (2002). Early-onset ataxia with ocular motor apraxia and hypoalbuminemia: the </w:t>
      </w:r>
      <w:proofErr w:type="spellStart"/>
      <w:r w:rsidRPr="00216F3E">
        <w:rPr>
          <w:lang w:val="en-US"/>
        </w:rPr>
        <w:t>aprataxin</w:t>
      </w:r>
      <w:proofErr w:type="spellEnd"/>
      <w:r w:rsidRPr="00216F3E">
        <w:rPr>
          <w:lang w:val="en-US"/>
        </w:rPr>
        <w:t xml:space="preserve"> gene mutations. </w:t>
      </w:r>
      <w:proofErr w:type="spellStart"/>
      <w:r w:rsidRPr="00216F3E">
        <w:t>Neurology</w:t>
      </w:r>
      <w:proofErr w:type="spellEnd"/>
      <w:r w:rsidRPr="00216F3E">
        <w:t xml:space="preserve">, </w:t>
      </w:r>
      <w:proofErr w:type="gramStart"/>
      <w:r w:rsidRPr="00216F3E">
        <w:t>59:</w:t>
      </w:r>
      <w:proofErr w:type="gramEnd"/>
      <w:r w:rsidRPr="00216F3E">
        <w:t>590-5.</w:t>
      </w:r>
    </w:p>
    <w:p w14:paraId="21842FE8" w14:textId="77777777" w:rsidR="00216F3E" w:rsidRPr="00216F3E" w:rsidRDefault="00216F3E" w:rsidP="00B00693">
      <w:pPr>
        <w:numPr>
          <w:ilvl w:val="0"/>
          <w:numId w:val="2"/>
        </w:numPr>
        <w:jc w:val="both"/>
      </w:pPr>
      <w:r w:rsidRPr="00216F3E">
        <w:rPr>
          <w:lang w:val="en-US"/>
        </w:rPr>
        <w:t xml:space="preserve">Stern N, Hochman A, Zemach N, et al. (2002). Accumulation of DNA damage and reduced levels of nicotine adenine dinucleotide in the brains of Atm-deficient mice. </w:t>
      </w:r>
      <w:r w:rsidRPr="00216F3E">
        <w:t xml:space="preserve">The Journal of </w:t>
      </w:r>
      <w:proofErr w:type="spellStart"/>
      <w:r w:rsidRPr="00216F3E">
        <w:t>biological</w:t>
      </w:r>
      <w:proofErr w:type="spellEnd"/>
      <w:r w:rsidRPr="00216F3E">
        <w:t xml:space="preserve"> </w:t>
      </w:r>
      <w:proofErr w:type="spellStart"/>
      <w:r w:rsidRPr="00216F3E">
        <w:t>chemistry</w:t>
      </w:r>
      <w:proofErr w:type="spellEnd"/>
      <w:r w:rsidRPr="00216F3E">
        <w:t xml:space="preserve">, </w:t>
      </w:r>
      <w:proofErr w:type="gramStart"/>
      <w:r w:rsidRPr="00216F3E">
        <w:t>277:</w:t>
      </w:r>
      <w:proofErr w:type="gramEnd"/>
      <w:r w:rsidRPr="00216F3E">
        <w:t>602-8.</w:t>
      </w:r>
    </w:p>
    <w:p w14:paraId="3803382A" w14:textId="77777777" w:rsidR="00854A62" w:rsidRPr="00216F3E" w:rsidRDefault="00854A62" w:rsidP="00B00693">
      <w:pPr>
        <w:jc w:val="both"/>
      </w:pPr>
    </w:p>
    <w:sectPr w:rsidR="00854A62" w:rsidRPr="00216F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11C6D" w14:textId="77777777" w:rsidR="00013DD8" w:rsidRDefault="00013DD8" w:rsidP="00C24CC1">
      <w:pPr>
        <w:spacing w:after="0" w:line="240" w:lineRule="auto"/>
      </w:pPr>
      <w:r>
        <w:separator/>
      </w:r>
    </w:p>
  </w:endnote>
  <w:endnote w:type="continuationSeparator" w:id="0">
    <w:p w14:paraId="1E771B48" w14:textId="77777777" w:rsidR="00013DD8" w:rsidRDefault="00013DD8" w:rsidP="00C2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7354" w14:textId="77777777" w:rsidR="00C24CC1" w:rsidRDefault="00C24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54D4" w14:textId="77777777" w:rsidR="00C24CC1" w:rsidRDefault="00C24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CEAF" w14:textId="77777777" w:rsidR="00C24CC1" w:rsidRDefault="00C2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36D3A" w14:textId="77777777" w:rsidR="00013DD8" w:rsidRDefault="00013DD8" w:rsidP="00C24CC1">
      <w:pPr>
        <w:spacing w:after="0" w:line="240" w:lineRule="auto"/>
      </w:pPr>
      <w:r>
        <w:separator/>
      </w:r>
    </w:p>
  </w:footnote>
  <w:footnote w:type="continuationSeparator" w:id="0">
    <w:p w14:paraId="5E732FF4" w14:textId="77777777" w:rsidR="00013DD8" w:rsidRDefault="00013DD8" w:rsidP="00C2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7DFA" w14:textId="286AA504" w:rsidR="00C24CC1" w:rsidRDefault="00013DD8">
    <w:pPr>
      <w:pStyle w:val="Header"/>
    </w:pPr>
    <w:r>
      <w:rPr>
        <w:noProof/>
      </w:rPr>
      <w:pict w14:anchorId="4802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8923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E605" w14:textId="1151D443" w:rsidR="00C24CC1" w:rsidRDefault="00013DD8">
    <w:pPr>
      <w:pStyle w:val="Header"/>
    </w:pPr>
    <w:r>
      <w:rPr>
        <w:noProof/>
      </w:rPr>
      <w:pict w14:anchorId="4FD0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8923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92A1" w14:textId="7E401568" w:rsidR="00C24CC1" w:rsidRDefault="00013DD8">
    <w:pPr>
      <w:pStyle w:val="Header"/>
    </w:pPr>
    <w:r>
      <w:rPr>
        <w:noProof/>
      </w:rPr>
      <w:pict w14:anchorId="152D1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8923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E0065"/>
    <w:multiLevelType w:val="multilevel"/>
    <w:tmpl w:val="961E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820B67"/>
    <w:multiLevelType w:val="multilevel"/>
    <w:tmpl w:val="390CD71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EB"/>
    <w:rsid w:val="00013DD8"/>
    <w:rsid w:val="00034665"/>
    <w:rsid w:val="00040983"/>
    <w:rsid w:val="00102D63"/>
    <w:rsid w:val="00115E19"/>
    <w:rsid w:val="00140CDA"/>
    <w:rsid w:val="001933A5"/>
    <w:rsid w:val="00216F3E"/>
    <w:rsid w:val="00306F84"/>
    <w:rsid w:val="003C1F29"/>
    <w:rsid w:val="0041138E"/>
    <w:rsid w:val="004D5DD9"/>
    <w:rsid w:val="004F290F"/>
    <w:rsid w:val="0059259C"/>
    <w:rsid w:val="006E79FB"/>
    <w:rsid w:val="008152EB"/>
    <w:rsid w:val="00854A62"/>
    <w:rsid w:val="008C1E6C"/>
    <w:rsid w:val="008E765E"/>
    <w:rsid w:val="00935CED"/>
    <w:rsid w:val="00960240"/>
    <w:rsid w:val="00B00693"/>
    <w:rsid w:val="00B30EC1"/>
    <w:rsid w:val="00B44069"/>
    <w:rsid w:val="00BA0FEB"/>
    <w:rsid w:val="00BF1684"/>
    <w:rsid w:val="00C01E2D"/>
    <w:rsid w:val="00C24CC1"/>
    <w:rsid w:val="00E409D9"/>
    <w:rsid w:val="00E46AF6"/>
    <w:rsid w:val="00ED3575"/>
    <w:rsid w:val="00FA134C"/>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39B12"/>
  <w15:chartTrackingRefBased/>
  <w15:docId w15:val="{A7110370-9E15-46F4-B415-CE9B845D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F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F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F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F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F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F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F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FEB"/>
    <w:rPr>
      <w:rFonts w:eastAsiaTheme="majorEastAsia" w:cstheme="majorBidi"/>
      <w:color w:val="272727" w:themeColor="text1" w:themeTint="D8"/>
    </w:rPr>
  </w:style>
  <w:style w:type="paragraph" w:styleId="Title">
    <w:name w:val="Title"/>
    <w:basedOn w:val="Normal"/>
    <w:next w:val="Normal"/>
    <w:link w:val="TitleChar"/>
    <w:uiPriority w:val="10"/>
    <w:qFormat/>
    <w:rsid w:val="00BA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FEB"/>
    <w:pPr>
      <w:spacing w:before="160"/>
      <w:jc w:val="center"/>
    </w:pPr>
    <w:rPr>
      <w:i/>
      <w:iCs/>
      <w:color w:val="404040" w:themeColor="text1" w:themeTint="BF"/>
    </w:rPr>
  </w:style>
  <w:style w:type="character" w:customStyle="1" w:styleId="QuoteChar">
    <w:name w:val="Quote Char"/>
    <w:basedOn w:val="DefaultParagraphFont"/>
    <w:link w:val="Quote"/>
    <w:uiPriority w:val="29"/>
    <w:rsid w:val="00BA0FEB"/>
    <w:rPr>
      <w:i/>
      <w:iCs/>
      <w:color w:val="404040" w:themeColor="text1" w:themeTint="BF"/>
    </w:rPr>
  </w:style>
  <w:style w:type="paragraph" w:styleId="ListParagraph">
    <w:name w:val="List Paragraph"/>
    <w:basedOn w:val="Normal"/>
    <w:uiPriority w:val="34"/>
    <w:qFormat/>
    <w:rsid w:val="00BA0FEB"/>
    <w:pPr>
      <w:ind w:left="720"/>
      <w:contextualSpacing/>
    </w:pPr>
  </w:style>
  <w:style w:type="character" w:styleId="IntenseEmphasis">
    <w:name w:val="Intense Emphasis"/>
    <w:basedOn w:val="DefaultParagraphFont"/>
    <w:uiPriority w:val="21"/>
    <w:qFormat/>
    <w:rsid w:val="00BA0FEB"/>
    <w:rPr>
      <w:i/>
      <w:iCs/>
      <w:color w:val="2F5496" w:themeColor="accent1" w:themeShade="BF"/>
    </w:rPr>
  </w:style>
  <w:style w:type="paragraph" w:styleId="IntenseQuote">
    <w:name w:val="Intense Quote"/>
    <w:basedOn w:val="Normal"/>
    <w:next w:val="Normal"/>
    <w:link w:val="IntenseQuoteChar"/>
    <w:uiPriority w:val="30"/>
    <w:qFormat/>
    <w:rsid w:val="00BA0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FEB"/>
    <w:rPr>
      <w:i/>
      <w:iCs/>
      <w:color w:val="2F5496" w:themeColor="accent1" w:themeShade="BF"/>
    </w:rPr>
  </w:style>
  <w:style w:type="character" w:styleId="IntenseReference">
    <w:name w:val="Intense Reference"/>
    <w:basedOn w:val="DefaultParagraphFont"/>
    <w:uiPriority w:val="32"/>
    <w:qFormat/>
    <w:rsid w:val="00BA0FEB"/>
    <w:rPr>
      <w:b/>
      <w:bCs/>
      <w:smallCaps/>
      <w:color w:val="2F5496" w:themeColor="accent1" w:themeShade="BF"/>
      <w:spacing w:val="5"/>
    </w:rPr>
  </w:style>
  <w:style w:type="character" w:styleId="Hyperlink">
    <w:name w:val="Hyperlink"/>
    <w:basedOn w:val="DefaultParagraphFont"/>
    <w:uiPriority w:val="99"/>
    <w:unhideWhenUsed/>
    <w:rsid w:val="00306F84"/>
    <w:rPr>
      <w:color w:val="0563C1" w:themeColor="hyperlink"/>
      <w:u w:val="single"/>
    </w:rPr>
  </w:style>
  <w:style w:type="character" w:customStyle="1" w:styleId="UnresolvedMention1">
    <w:name w:val="Unresolved Mention1"/>
    <w:basedOn w:val="DefaultParagraphFont"/>
    <w:uiPriority w:val="99"/>
    <w:semiHidden/>
    <w:unhideWhenUsed/>
    <w:rsid w:val="00306F84"/>
    <w:rPr>
      <w:color w:val="605E5C"/>
      <w:shd w:val="clear" w:color="auto" w:fill="E1DFDD"/>
    </w:rPr>
  </w:style>
  <w:style w:type="paragraph" w:styleId="Header">
    <w:name w:val="header"/>
    <w:basedOn w:val="Normal"/>
    <w:link w:val="HeaderChar"/>
    <w:uiPriority w:val="99"/>
    <w:unhideWhenUsed/>
    <w:rsid w:val="00C2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C1"/>
  </w:style>
  <w:style w:type="paragraph" w:styleId="Footer">
    <w:name w:val="footer"/>
    <w:basedOn w:val="Normal"/>
    <w:link w:val="FooterChar"/>
    <w:uiPriority w:val="99"/>
    <w:unhideWhenUsed/>
    <w:rsid w:val="00C2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5318">
      <w:bodyDiv w:val="1"/>
      <w:marLeft w:val="0"/>
      <w:marRight w:val="0"/>
      <w:marTop w:val="0"/>
      <w:marBottom w:val="0"/>
      <w:divBdr>
        <w:top w:val="none" w:sz="0" w:space="0" w:color="auto"/>
        <w:left w:val="none" w:sz="0" w:space="0" w:color="auto"/>
        <w:bottom w:val="none" w:sz="0" w:space="0" w:color="auto"/>
        <w:right w:val="none" w:sz="0" w:space="0" w:color="auto"/>
      </w:divBdr>
    </w:div>
    <w:div w:id="131679465">
      <w:bodyDiv w:val="1"/>
      <w:marLeft w:val="0"/>
      <w:marRight w:val="0"/>
      <w:marTop w:val="0"/>
      <w:marBottom w:val="0"/>
      <w:divBdr>
        <w:top w:val="none" w:sz="0" w:space="0" w:color="auto"/>
        <w:left w:val="none" w:sz="0" w:space="0" w:color="auto"/>
        <w:bottom w:val="none" w:sz="0" w:space="0" w:color="auto"/>
        <w:right w:val="none" w:sz="0" w:space="0" w:color="auto"/>
      </w:divBdr>
    </w:div>
    <w:div w:id="400911531">
      <w:bodyDiv w:val="1"/>
      <w:marLeft w:val="0"/>
      <w:marRight w:val="0"/>
      <w:marTop w:val="0"/>
      <w:marBottom w:val="0"/>
      <w:divBdr>
        <w:top w:val="none" w:sz="0" w:space="0" w:color="auto"/>
        <w:left w:val="none" w:sz="0" w:space="0" w:color="auto"/>
        <w:bottom w:val="none" w:sz="0" w:space="0" w:color="auto"/>
        <w:right w:val="none" w:sz="0" w:space="0" w:color="auto"/>
      </w:divBdr>
    </w:div>
    <w:div w:id="508643830">
      <w:bodyDiv w:val="1"/>
      <w:marLeft w:val="0"/>
      <w:marRight w:val="0"/>
      <w:marTop w:val="0"/>
      <w:marBottom w:val="0"/>
      <w:divBdr>
        <w:top w:val="none" w:sz="0" w:space="0" w:color="auto"/>
        <w:left w:val="none" w:sz="0" w:space="0" w:color="auto"/>
        <w:bottom w:val="none" w:sz="0" w:space="0" w:color="auto"/>
        <w:right w:val="none" w:sz="0" w:space="0" w:color="auto"/>
      </w:divBdr>
    </w:div>
    <w:div w:id="1112359654">
      <w:bodyDiv w:val="1"/>
      <w:marLeft w:val="0"/>
      <w:marRight w:val="0"/>
      <w:marTop w:val="0"/>
      <w:marBottom w:val="0"/>
      <w:divBdr>
        <w:top w:val="none" w:sz="0" w:space="0" w:color="auto"/>
        <w:left w:val="none" w:sz="0" w:space="0" w:color="auto"/>
        <w:bottom w:val="none" w:sz="0" w:space="0" w:color="auto"/>
        <w:right w:val="none" w:sz="0" w:space="0" w:color="auto"/>
      </w:divBdr>
    </w:div>
    <w:div w:id="1330985781">
      <w:bodyDiv w:val="1"/>
      <w:marLeft w:val="0"/>
      <w:marRight w:val="0"/>
      <w:marTop w:val="0"/>
      <w:marBottom w:val="0"/>
      <w:divBdr>
        <w:top w:val="none" w:sz="0" w:space="0" w:color="auto"/>
        <w:left w:val="none" w:sz="0" w:space="0" w:color="auto"/>
        <w:bottom w:val="none" w:sz="0" w:space="0" w:color="auto"/>
        <w:right w:val="none" w:sz="0" w:space="0" w:color="auto"/>
      </w:divBdr>
    </w:div>
    <w:div w:id="1666124895">
      <w:bodyDiv w:val="1"/>
      <w:marLeft w:val="0"/>
      <w:marRight w:val="0"/>
      <w:marTop w:val="0"/>
      <w:marBottom w:val="0"/>
      <w:divBdr>
        <w:top w:val="none" w:sz="0" w:space="0" w:color="auto"/>
        <w:left w:val="none" w:sz="0" w:space="0" w:color="auto"/>
        <w:bottom w:val="none" w:sz="0" w:space="0" w:color="auto"/>
        <w:right w:val="none" w:sz="0" w:space="0" w:color="auto"/>
      </w:divBdr>
    </w:div>
    <w:div w:id="1802381100">
      <w:bodyDiv w:val="1"/>
      <w:marLeft w:val="0"/>
      <w:marRight w:val="0"/>
      <w:marTop w:val="0"/>
      <w:marBottom w:val="0"/>
      <w:divBdr>
        <w:top w:val="none" w:sz="0" w:space="0" w:color="auto"/>
        <w:left w:val="none" w:sz="0" w:space="0" w:color="auto"/>
        <w:bottom w:val="none" w:sz="0" w:space="0" w:color="auto"/>
        <w:right w:val="none" w:sz="0" w:space="0" w:color="auto"/>
      </w:divBdr>
    </w:div>
    <w:div w:id="20240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2363</Words>
  <Characters>13471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elmehdi rachakha</dc:creator>
  <cp:keywords/>
  <dc:description/>
  <cp:lastModifiedBy>SDI PC New 16</cp:lastModifiedBy>
  <cp:revision>4</cp:revision>
  <dcterms:created xsi:type="dcterms:W3CDTF">2025-05-25T15:15:00Z</dcterms:created>
  <dcterms:modified xsi:type="dcterms:W3CDTF">2025-05-26T11:45:00Z</dcterms:modified>
</cp:coreProperties>
</file>