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DAED" w14:textId="77777777" w:rsidR="00754C9A" w:rsidRPr="00E55E43" w:rsidRDefault="00754C9A" w:rsidP="00441B6F">
      <w:pPr>
        <w:pStyle w:val="Title"/>
        <w:spacing w:after="0"/>
        <w:jc w:val="both"/>
        <w:rPr>
          <w:rFonts w:ascii="Arial" w:hAnsi="Arial" w:cs="Arial"/>
          <w:sz w:val="20"/>
        </w:rPr>
      </w:pPr>
    </w:p>
    <w:p w14:paraId="1DB9854D" w14:textId="6166EB53" w:rsidR="00163BC4" w:rsidRPr="00E55E43" w:rsidRDefault="00771C5C" w:rsidP="00441B6F">
      <w:pPr>
        <w:pStyle w:val="Author"/>
        <w:spacing w:line="240" w:lineRule="auto"/>
        <w:rPr>
          <w:rFonts w:ascii="Arial" w:hAnsi="Arial" w:cs="Arial"/>
          <w:bCs/>
          <w:iCs/>
          <w:kern w:val="28"/>
          <w:sz w:val="20"/>
        </w:rPr>
      </w:pPr>
      <w:r w:rsidRPr="00E55E43">
        <w:rPr>
          <w:rFonts w:ascii="Arial" w:hAnsi="Arial" w:cs="Arial"/>
          <w:bCs/>
          <w:iCs/>
          <w:kern w:val="28"/>
          <w:sz w:val="20"/>
        </w:rPr>
        <w:t>Assessing the Impact of the COVID-19 Pandemic on Nigeri</w:t>
      </w:r>
      <w:r w:rsidR="005C7B45">
        <w:rPr>
          <w:rFonts w:ascii="Arial" w:hAnsi="Arial" w:cs="Arial"/>
          <w:bCs/>
          <w:iCs/>
          <w:kern w:val="28"/>
          <w:sz w:val="20"/>
        </w:rPr>
        <w:t xml:space="preserve">a's Economic Performance Using </w:t>
      </w:r>
      <w:r w:rsidRPr="00E55E43">
        <w:rPr>
          <w:rFonts w:ascii="Arial" w:hAnsi="Arial" w:cs="Arial"/>
          <w:bCs/>
          <w:iCs/>
          <w:kern w:val="28"/>
          <w:sz w:val="20"/>
        </w:rPr>
        <w:t>VAR Model: Evidence from Key Economic Indicators</w:t>
      </w:r>
      <w:r w:rsidR="003C0F44" w:rsidRPr="00E55E43">
        <w:rPr>
          <w:rFonts w:ascii="Arial" w:hAnsi="Arial" w:cs="Arial"/>
          <w:bCs/>
          <w:iCs/>
          <w:kern w:val="28"/>
          <w:sz w:val="20"/>
        </w:rPr>
        <w:t>.</w:t>
      </w:r>
    </w:p>
    <w:p w14:paraId="713B8E39" w14:textId="77777777" w:rsidR="00A258C3" w:rsidRPr="00E55E43" w:rsidRDefault="00A258C3" w:rsidP="00441B6F">
      <w:pPr>
        <w:pStyle w:val="Author"/>
        <w:spacing w:line="240" w:lineRule="auto"/>
        <w:jc w:val="both"/>
        <w:rPr>
          <w:rFonts w:ascii="Arial" w:hAnsi="Arial" w:cs="Arial"/>
          <w:sz w:val="20"/>
        </w:rPr>
      </w:pPr>
    </w:p>
    <w:p w14:paraId="3A17C4A5" w14:textId="77777777" w:rsidR="004B4D93" w:rsidRPr="00E55E43" w:rsidRDefault="004B4D93" w:rsidP="00441B6F">
      <w:pPr>
        <w:pStyle w:val="Affiliation"/>
        <w:spacing w:after="0" w:line="240" w:lineRule="auto"/>
        <w:jc w:val="both"/>
        <w:rPr>
          <w:rFonts w:ascii="Arial" w:hAnsi="Arial" w:cs="Arial"/>
        </w:rPr>
      </w:pPr>
      <w:bookmarkStart w:id="0" w:name="_Hlk199417822"/>
    </w:p>
    <w:bookmarkEnd w:id="0"/>
    <w:p w14:paraId="5540F823" w14:textId="77777777" w:rsidR="00B01FCD" w:rsidRPr="00E55E43" w:rsidRDefault="006737CB" w:rsidP="00441B6F">
      <w:pPr>
        <w:pStyle w:val="Copyright"/>
        <w:spacing w:after="0" w:line="240" w:lineRule="auto"/>
        <w:jc w:val="both"/>
        <w:rPr>
          <w:rFonts w:ascii="Arial" w:hAnsi="Arial" w:cs="Arial"/>
          <w:sz w:val="20"/>
        </w:rPr>
        <w:sectPr w:rsidR="00B01FCD" w:rsidRPr="00E55E43" w:rsidSect="0005535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55E43">
        <w:rPr>
          <w:rFonts w:ascii="Arial" w:hAnsi="Arial" w:cs="Arial"/>
          <w:noProof/>
          <w:sz w:val="20"/>
        </w:rPr>
        <mc:AlternateContent>
          <mc:Choice Requires="wps">
            <w:drawing>
              <wp:inline distT="0" distB="0" distL="0" distR="0" wp14:anchorId="6D0E4D96" wp14:editId="58C3666E">
                <wp:extent cx="5303520" cy="635"/>
                <wp:effectExtent l="0" t="0" r="0" b="0"/>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93A0F9"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" strokeweight="1.5pt">
                <o:lock v:ext="edit" shapetype="f"/>
                <w10:anchorlock/>
              </v:shape>
            </w:pict>
          </mc:Fallback>
        </mc:AlternateContent>
      </w:r>
      <w:r w:rsidR="00FB3A86" w:rsidRPr="00E55E43">
        <w:rPr>
          <w:rFonts w:ascii="Arial" w:hAnsi="Arial" w:cs="Arial"/>
          <w:sz w:val="20"/>
        </w:rPr>
        <w:t>.</w:t>
      </w:r>
    </w:p>
    <w:p w14:paraId="387C3C18" w14:textId="77777777" w:rsidR="00B01FCD" w:rsidRPr="00E55E43" w:rsidRDefault="00B01FCD" w:rsidP="00441B6F">
      <w:pPr>
        <w:pStyle w:val="AbstHead"/>
        <w:spacing w:after="0"/>
        <w:jc w:val="both"/>
        <w:rPr>
          <w:rFonts w:ascii="Arial" w:hAnsi="Arial" w:cs="Arial"/>
          <w:sz w:val="20"/>
        </w:rPr>
      </w:pPr>
      <w:r w:rsidRPr="00E55E43">
        <w:rPr>
          <w:rFonts w:ascii="Arial" w:hAnsi="Arial" w:cs="Arial"/>
          <w:sz w:val="20"/>
        </w:rPr>
        <w:t>ABSTRACT</w:t>
      </w:r>
      <w:r w:rsidR="0066510A" w:rsidRPr="00E55E43">
        <w:rPr>
          <w:rFonts w:ascii="Arial" w:hAnsi="Arial" w:cs="Arial"/>
          <w:sz w:val="20"/>
        </w:rPr>
        <w:t xml:space="preserve"> </w:t>
      </w:r>
    </w:p>
    <w:p w14:paraId="111A3558" w14:textId="77777777" w:rsidR="00790ADA" w:rsidRPr="00E55E43" w:rsidRDefault="00790ADA" w:rsidP="00441B6F">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55E43" w14:paraId="353577C1" w14:textId="77777777" w:rsidTr="001E44FE">
        <w:tc>
          <w:tcPr>
            <w:tcW w:w="9576" w:type="dxa"/>
            <w:shd w:val="clear" w:color="auto" w:fill="F2F2F2"/>
          </w:tcPr>
          <w:p w14:paraId="357D3587" w14:textId="77777777" w:rsidR="00E3114E" w:rsidRPr="00E55E43" w:rsidRDefault="00E3114E" w:rsidP="00441B6F">
            <w:pPr>
              <w:pStyle w:val="Body"/>
              <w:spacing w:after="0"/>
              <w:rPr>
                <w:rFonts w:ascii="Arial" w:eastAsia="Calibri" w:hAnsi="Arial" w:cs="Arial"/>
              </w:rPr>
            </w:pPr>
          </w:p>
          <w:p w14:paraId="1F7B5D9A" w14:textId="77777777" w:rsidR="00E3114E" w:rsidRPr="00E55E43" w:rsidRDefault="00E3114E" w:rsidP="00441B6F">
            <w:pPr>
              <w:pStyle w:val="Body"/>
              <w:spacing w:after="0"/>
              <w:rPr>
                <w:rFonts w:ascii="Arial" w:eastAsia="Calibri" w:hAnsi="Arial" w:cs="Arial"/>
                <w:b/>
              </w:rPr>
            </w:pPr>
          </w:p>
          <w:p w14:paraId="5AC2A374"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Aim:</w:t>
            </w:r>
            <w:r>
              <w:rPr>
                <w:rFonts w:ascii="Arial" w:eastAsia="Calibri" w:hAnsi="Arial" w:cs="Arial"/>
                <w:b/>
              </w:rPr>
              <w:t xml:space="preserve"> </w:t>
            </w:r>
            <w:r w:rsidRPr="00884764">
              <w:rPr>
                <w:rFonts w:ascii="Arial" w:eastAsia="Calibri" w:hAnsi="Arial" w:cs="Arial"/>
                <w:bCs/>
              </w:rPr>
              <w:t>This study aimed to model and analyze the impact of the COVID-19 pandemic on economic growth and stability in Nigeria using the Vector Autoregressive (VAR) model. The study specifically focused on understanding the short-term interactions among confirmed COVID-19 cases, the Nigerian Stock Exchange All Shares Index (ASI), Nigerian crude oil prices (OP), and the Nigerian Naira to US Dollar exchange rate (NGNUSD).</w:t>
            </w:r>
          </w:p>
          <w:p w14:paraId="7805700E"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Study Design</w:t>
            </w:r>
            <w:r w:rsidRPr="00884764">
              <w:rPr>
                <w:rFonts w:ascii="Arial" w:eastAsia="Calibri" w:hAnsi="Arial" w:cs="Arial"/>
                <w:bCs/>
              </w:rPr>
              <w:t>:</w:t>
            </w:r>
            <w:r>
              <w:rPr>
                <w:rFonts w:ascii="Arial" w:eastAsia="Calibri" w:hAnsi="Arial" w:cs="Arial"/>
                <w:bCs/>
              </w:rPr>
              <w:t xml:space="preserve"> </w:t>
            </w:r>
            <w:r w:rsidRPr="00884764">
              <w:rPr>
                <w:rFonts w:ascii="Arial" w:eastAsia="Calibri" w:hAnsi="Arial" w:cs="Arial"/>
                <w:bCs/>
              </w:rPr>
              <w:t>A comparative analysis approach was employed using VAR and ARDL models to examine the interconnectedness and dynamic relationships between COVID-19 health indicators and key economic variables. The study covered a post-pandemic period in Nigeria, assessing the short-term and potential long-term impacts.</w:t>
            </w:r>
          </w:p>
          <w:p w14:paraId="03A8BDE7"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Methodology:</w:t>
            </w:r>
            <w:r>
              <w:rPr>
                <w:rFonts w:ascii="Arial" w:eastAsia="Calibri" w:hAnsi="Arial" w:cs="Arial"/>
                <w:bCs/>
              </w:rPr>
              <w:t xml:space="preserve"> </w:t>
            </w:r>
            <w:r w:rsidRPr="00884764">
              <w:rPr>
                <w:rFonts w:ascii="Arial" w:eastAsia="Calibri" w:hAnsi="Arial" w:cs="Arial"/>
                <w:bCs/>
              </w:rPr>
              <w:t>Daily time series data for the four variables were collected from May 26, 2020, to May 25, 2022, comprising 501 observations. A VAR(8) model was developed to capture the short-run dynamics,. Diagnostic tests including stability tests, Granger Causality/Block Exogeneity Wald Tests, and variance decomposition were conducted to validate the model and interpret the results.</w:t>
            </w:r>
          </w:p>
          <w:p w14:paraId="7B8A0149" w14:textId="77777777" w:rsidR="00884764" w:rsidRPr="00884764" w:rsidRDefault="00884764" w:rsidP="00884764">
            <w:pPr>
              <w:pStyle w:val="Body"/>
              <w:rPr>
                <w:rFonts w:ascii="Arial" w:eastAsia="Calibri" w:hAnsi="Arial" w:cs="Arial"/>
                <w:bCs/>
              </w:rPr>
            </w:pPr>
            <w:r w:rsidRPr="00884764">
              <w:rPr>
                <w:rFonts w:ascii="Arial" w:eastAsia="Calibri" w:hAnsi="Arial" w:cs="Arial"/>
                <w:b/>
              </w:rPr>
              <w:t>Results:</w:t>
            </w:r>
            <w:r>
              <w:rPr>
                <w:rFonts w:ascii="Arial" w:eastAsia="Calibri" w:hAnsi="Arial" w:cs="Arial"/>
                <w:bCs/>
              </w:rPr>
              <w:t xml:space="preserve"> </w:t>
            </w:r>
            <w:r w:rsidRPr="00884764">
              <w:rPr>
                <w:rFonts w:ascii="Arial" w:eastAsia="Calibri" w:hAnsi="Arial" w:cs="Arial"/>
                <w:bCs/>
              </w:rPr>
              <w:t>The VAR(8) model results indicated the presence of only short-run relationships among the four variables, as confirmed by the absence of cointegration. Stability test results confirmed the reliability of the model, and Granger causality tests revealed significant causal effects between confirmed COVID-19 cases and key economic indicators such as ASI, OP, and NGNUSD. Furthermore, variance decomposition highlighted robust forecasting capabilities of the VAR model, demonstrating the immediate impacts of the pandemic on economic dynamics in Nigeria.</w:t>
            </w:r>
          </w:p>
          <w:p w14:paraId="78603A76" w14:textId="77777777" w:rsidR="00884764" w:rsidRPr="00884764" w:rsidRDefault="00884764" w:rsidP="00884764">
            <w:pPr>
              <w:pStyle w:val="Body"/>
              <w:rPr>
                <w:rFonts w:ascii="Arial" w:eastAsia="Calibri" w:hAnsi="Arial" w:cs="Arial"/>
                <w:bCs/>
              </w:rPr>
            </w:pPr>
          </w:p>
          <w:p w14:paraId="1EAFC545" w14:textId="77777777" w:rsidR="00884764" w:rsidRPr="00884764" w:rsidRDefault="00884764" w:rsidP="00884764">
            <w:pPr>
              <w:pStyle w:val="Body"/>
              <w:rPr>
                <w:rFonts w:ascii="Arial" w:eastAsia="Calibri" w:hAnsi="Arial" w:cs="Arial"/>
                <w:bCs/>
              </w:rPr>
            </w:pPr>
            <w:r w:rsidRPr="00884764">
              <w:rPr>
                <w:rFonts w:ascii="Arial" w:eastAsia="Calibri" w:hAnsi="Arial" w:cs="Arial"/>
                <w:bCs/>
              </w:rPr>
              <w:t>Conclusion:</w:t>
            </w:r>
          </w:p>
          <w:p w14:paraId="582F9A0B" w14:textId="77777777" w:rsidR="00505F06" w:rsidRPr="00E55E43" w:rsidRDefault="00884764" w:rsidP="00884764">
            <w:pPr>
              <w:pStyle w:val="Body"/>
              <w:spacing w:after="0"/>
              <w:rPr>
                <w:rFonts w:ascii="Arial" w:eastAsia="Calibri" w:hAnsi="Arial" w:cs="Arial"/>
              </w:rPr>
            </w:pPr>
            <w:r w:rsidRPr="00884764">
              <w:rPr>
                <w:rFonts w:ascii="Arial" w:eastAsia="Calibri" w:hAnsi="Arial" w:cs="Arial"/>
                <w:bCs/>
              </w:rPr>
              <w:t>The study concluded that the COVID-19 pandemic had significant short-run effects on economic growth and stability in Nigeria. The VAR model proved effective in capturing these short-term dynamics, highlighting the importance of understanding the interplay between health crises and economic variables for informed policymaking. The findings emphasized the need for strategic interventions to stabilize the economy during health-related external shocks.</w:t>
            </w:r>
          </w:p>
        </w:tc>
      </w:tr>
    </w:tbl>
    <w:p w14:paraId="5F400632" w14:textId="77777777" w:rsidR="00636EB2" w:rsidRPr="00E55E43" w:rsidRDefault="00636EB2" w:rsidP="00441B6F">
      <w:pPr>
        <w:pStyle w:val="Body"/>
        <w:spacing w:after="0"/>
        <w:rPr>
          <w:rFonts w:ascii="Arial" w:hAnsi="Arial" w:cs="Arial"/>
          <w:i/>
        </w:rPr>
      </w:pPr>
    </w:p>
    <w:p w14:paraId="363A9943" w14:textId="22E86300" w:rsidR="00A24E7E" w:rsidRPr="00E55E43" w:rsidRDefault="00A24E7E" w:rsidP="00441B6F">
      <w:pPr>
        <w:pStyle w:val="Body"/>
        <w:spacing w:after="0"/>
        <w:rPr>
          <w:rFonts w:ascii="Arial" w:hAnsi="Arial" w:cs="Arial"/>
          <w:i/>
        </w:rPr>
      </w:pPr>
      <w:r w:rsidRPr="00E55E43">
        <w:rPr>
          <w:rFonts w:ascii="Arial" w:hAnsi="Arial" w:cs="Arial"/>
          <w:i/>
        </w:rPr>
        <w:t xml:space="preserve">Keywords: </w:t>
      </w:r>
      <w:r w:rsidR="00A31981">
        <w:rPr>
          <w:rFonts w:ascii="Arial" w:hAnsi="Arial" w:cs="Arial"/>
          <w:i/>
        </w:rPr>
        <w:t>VAR</w:t>
      </w:r>
      <w:r w:rsidR="00EA4CF6" w:rsidRPr="00E55E43">
        <w:rPr>
          <w:rFonts w:ascii="Arial" w:hAnsi="Arial" w:cs="Arial"/>
          <w:i/>
        </w:rPr>
        <w:t>,  COVID-19, Forecasting, Time Series.</w:t>
      </w:r>
    </w:p>
    <w:p w14:paraId="011664CD" w14:textId="77777777" w:rsidR="00790ADA" w:rsidRPr="00E55E43" w:rsidRDefault="00790ADA" w:rsidP="00441B6F">
      <w:pPr>
        <w:pStyle w:val="Body"/>
        <w:spacing w:after="0"/>
        <w:rPr>
          <w:rFonts w:ascii="Arial" w:hAnsi="Arial" w:cs="Arial"/>
          <w:i/>
        </w:rPr>
      </w:pPr>
    </w:p>
    <w:p w14:paraId="5325CE8F" w14:textId="77777777" w:rsidR="0024282C" w:rsidRPr="00E55E43" w:rsidRDefault="0024282C" w:rsidP="00441B6F">
      <w:pPr>
        <w:pStyle w:val="Body"/>
        <w:spacing w:after="0"/>
        <w:rPr>
          <w:rFonts w:ascii="Arial" w:hAnsi="Arial" w:cs="Arial"/>
          <w:i/>
        </w:rPr>
      </w:pPr>
    </w:p>
    <w:p w14:paraId="6C7225BB" w14:textId="77777777" w:rsidR="0076524F" w:rsidRPr="00E55E43" w:rsidRDefault="0076524F" w:rsidP="00441B6F">
      <w:pPr>
        <w:pStyle w:val="Body"/>
        <w:spacing w:after="0"/>
        <w:rPr>
          <w:rFonts w:ascii="Arial" w:hAnsi="Arial" w:cs="Arial"/>
          <w:i/>
        </w:rPr>
      </w:pPr>
    </w:p>
    <w:p w14:paraId="721E5DCF" w14:textId="77777777" w:rsidR="00505F06" w:rsidRPr="00E55E43" w:rsidRDefault="00505F06" w:rsidP="00441B6F">
      <w:pPr>
        <w:pStyle w:val="Body"/>
        <w:spacing w:after="0"/>
        <w:rPr>
          <w:rFonts w:ascii="Arial" w:hAnsi="Arial" w:cs="Arial"/>
          <w:i/>
        </w:rPr>
      </w:pPr>
    </w:p>
    <w:p w14:paraId="1201B72D" w14:textId="77777777" w:rsidR="007F7B32" w:rsidRPr="00E55E43" w:rsidRDefault="00902823" w:rsidP="00441B6F">
      <w:pPr>
        <w:pStyle w:val="AbstHead"/>
        <w:spacing w:after="0"/>
        <w:jc w:val="both"/>
        <w:rPr>
          <w:rFonts w:ascii="Arial" w:hAnsi="Arial" w:cs="Arial"/>
          <w:sz w:val="20"/>
        </w:rPr>
      </w:pPr>
      <w:r w:rsidRPr="00E55E43">
        <w:rPr>
          <w:rFonts w:ascii="Arial" w:hAnsi="Arial" w:cs="Arial"/>
          <w:sz w:val="20"/>
        </w:rPr>
        <w:lastRenderedPageBreak/>
        <w:t xml:space="preserve">1. </w:t>
      </w:r>
      <w:r w:rsidR="00B01FCD" w:rsidRPr="00E55E43">
        <w:rPr>
          <w:rFonts w:ascii="Arial" w:hAnsi="Arial" w:cs="Arial"/>
          <w:sz w:val="20"/>
        </w:rPr>
        <w:t>INTRODUCTION</w:t>
      </w:r>
      <w:r w:rsidR="007F7B32" w:rsidRPr="00E55E43">
        <w:rPr>
          <w:rFonts w:ascii="Arial" w:hAnsi="Arial" w:cs="Arial"/>
          <w:sz w:val="20"/>
        </w:rPr>
        <w:t xml:space="preserve"> </w:t>
      </w:r>
    </w:p>
    <w:p w14:paraId="66DCFF41" w14:textId="77777777" w:rsidR="00790ADA" w:rsidRPr="00E55E43" w:rsidRDefault="00790ADA" w:rsidP="00441B6F">
      <w:pPr>
        <w:pStyle w:val="AbstHead"/>
        <w:spacing w:after="0"/>
        <w:jc w:val="both"/>
        <w:rPr>
          <w:rFonts w:ascii="Arial" w:hAnsi="Arial" w:cs="Arial"/>
          <w:sz w:val="20"/>
        </w:rPr>
      </w:pPr>
    </w:p>
    <w:p w14:paraId="47394C83" w14:textId="77777777" w:rsidR="00FD450B" w:rsidRPr="00E55E43" w:rsidRDefault="00FD450B" w:rsidP="00FD450B">
      <w:pPr>
        <w:pStyle w:val="NormalWeb"/>
        <w:jc w:val="both"/>
        <w:rPr>
          <w:rFonts w:ascii="Arial" w:hAnsi="Arial" w:cs="Arial"/>
          <w:sz w:val="20"/>
          <w:szCs w:val="20"/>
        </w:rPr>
      </w:pPr>
      <w:bookmarkStart w:id="1" w:name="_Hlk40296251"/>
      <w:r w:rsidRPr="00E55E43">
        <w:rPr>
          <w:rFonts w:ascii="Arial" w:hAnsi="Arial" w:cs="Arial"/>
          <w:sz w:val="20"/>
          <w:szCs w:val="20"/>
        </w:rPr>
        <w:t>With the advent of globalization, urban expansion, and environmental changes, the spread of contagious diseases has become a global threat that necessitates a coordinated response (Sarbu et al., 2021). According to the International Monetary Fund (IMF), the COVID-19 pandemic triggered an economic crisis unlike any previous ones due to its complex nature, marked by the interconnections between health and economic systems, uncertainty about treatment and isolation measures, and its global scale. The pandemic led to simultaneous declines in supply and demand as individuals reduced work and consumption activities, while businesses cut down on productivity and investment (Loayza &amp; Pennings, 2020).</w:t>
      </w:r>
    </w:p>
    <w:p w14:paraId="7C3906A4"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In response, governments worldwide took extraordinary actions, implementing fiscal measures totaling around $8 trillion, while central banks injected liquidity amounting to over $6 trillion (Mishra et al., 2020). The IMF also responded by doubling its emergency lending capacity to $100 billion and suspending debt repayments for low-income countries (Verbeek, 2020). Preparing for economic recovery raised several concerns, such as sustaining fiscal stimulus, managing unconventional monetary policies, tackling high unemployment, maintaining low interest rates, and preserving financial stability (Mishra et al., 2020).</w:t>
      </w:r>
    </w:p>
    <w:p w14:paraId="32C0C59A"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The stock market is a segment of the financial market where long-term funds are traded in the form of securities, including shares, stocks, bonds, debentures, loan stocks, and derivatives. It is highly information-sensitive, meaning its indicators—such as price index, returns, volatility, and market capitalization—are significantly influenced by the availability of information in the market.</w:t>
      </w:r>
    </w:p>
    <w:p w14:paraId="286980E2" w14:textId="77777777"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Since the emergence of COVID-19 in Wuhan, China, in late December 2019, and its subsequent spread to other countries, including Nigeria, the pandemic has profoundly impacted affected nations. Ibrahim (2020) considers COVID-19 one of the most lethal viruses affecting all aspects of human life. Ali (2020) emphasizes that it is not just a public health issue but a multifaceted crisis impacting every sector. It has affected mental and psychosocial well-being (Ibrahim, 2020; Macapagal, 2020), political and social dynamics (Ibrahim, 2020), and economic activities (Kajo et al., 2020; Ozili, 2020). Ibrahim (2020) further highlights its detrimental effects on employment, productivity, supply chains, and trade, which has resulted in a decline in gross domestic product.</w:t>
      </w:r>
    </w:p>
    <w:p w14:paraId="72823311" w14:textId="77777777" w:rsidR="00FD450B" w:rsidRPr="00E55E43" w:rsidRDefault="00FD450B" w:rsidP="00FD450B">
      <w:pPr>
        <w:pStyle w:val="NormalWeb"/>
        <w:jc w:val="both"/>
        <w:rPr>
          <w:rFonts w:ascii="Arial" w:hAnsi="Arial" w:cs="Arial"/>
          <w:sz w:val="20"/>
          <w:szCs w:val="20"/>
        </w:rPr>
      </w:pPr>
    </w:p>
    <w:p w14:paraId="534D8347" w14:textId="58FD573B" w:rsidR="00FD450B" w:rsidRPr="00E55E43" w:rsidRDefault="00FD450B" w:rsidP="00FD450B">
      <w:pPr>
        <w:pStyle w:val="NormalWeb"/>
        <w:jc w:val="both"/>
        <w:rPr>
          <w:rFonts w:ascii="Arial" w:hAnsi="Arial" w:cs="Arial"/>
          <w:sz w:val="20"/>
          <w:szCs w:val="20"/>
        </w:rPr>
      </w:pPr>
      <w:r w:rsidRPr="00E55E43">
        <w:rPr>
          <w:rFonts w:ascii="Arial" w:hAnsi="Arial" w:cs="Arial"/>
          <w:sz w:val="20"/>
          <w:szCs w:val="20"/>
        </w:rPr>
        <w:t>Four main economic agents facilitate economic activities in any economy: the government, central institutions, firms, and households. The efficiency with which these agents perform their roles influences the circular flow of income and, consequently, the overall income level within the economy. The circular flow of income illustrates the movement of money among various sectors. As individuals and firms engage in buying and selling goods and services, monetary exchanges occur, reflecting the dynamic flow of income through the economy. Firms depend on productive resource</w:t>
      </w:r>
      <w:r w:rsidRPr="00C17C20">
        <w:rPr>
          <w:rFonts w:ascii="Arial" w:hAnsi="Arial" w:cs="Arial"/>
          <w:sz w:val="20"/>
          <w:szCs w:val="20"/>
          <w:highlight w:val="yellow"/>
        </w:rPr>
        <w:t>s to produce goods and services, compensating these resources for their contributions.</w:t>
      </w:r>
      <w:r w:rsidR="006A70A9" w:rsidRPr="00C17C20">
        <w:rPr>
          <w:rFonts w:ascii="Arial" w:hAnsi="Arial" w:cs="Arial"/>
          <w:sz w:val="20"/>
          <w:szCs w:val="20"/>
          <w:highlight w:val="yellow"/>
        </w:rPr>
        <w:t xml:space="preserve"> This implies that if one sector of the economy is affected, the rest will by extension equally be affected.</w:t>
      </w:r>
    </w:p>
    <w:p w14:paraId="5FB21DFF" w14:textId="7C4BBF85" w:rsidR="008D4DA8" w:rsidRDefault="00FD450B" w:rsidP="00FD450B">
      <w:pPr>
        <w:pStyle w:val="NormalWeb"/>
        <w:jc w:val="both"/>
        <w:rPr>
          <w:rFonts w:ascii="Arial" w:hAnsi="Arial" w:cs="Arial"/>
          <w:sz w:val="20"/>
          <w:szCs w:val="20"/>
        </w:rPr>
      </w:pPr>
      <w:r w:rsidRPr="00E55E43">
        <w:rPr>
          <w:rFonts w:ascii="Arial" w:hAnsi="Arial" w:cs="Arial"/>
          <w:sz w:val="20"/>
          <w:szCs w:val="20"/>
        </w:rPr>
        <w:t xml:space="preserve">In 2020, Nigeria experienced its worst economic recession in four decades, but a recovery began in the fourth quarter as restrictions eased, oil prices stabilized, and policies were enacted to counteract the economic shock. As a result, the economy contracted by only -1.8 percent in 2020, compared to the initial projection of -3.2 percent. The government responded by implementing several long-overdue policy reforms, often in the face of strong opposition. </w:t>
      </w:r>
      <w:r w:rsidRPr="00E55E43">
        <w:rPr>
          <w:rFonts w:ascii="Arial" w:hAnsi="Arial" w:cs="Arial"/>
          <w:sz w:val="20"/>
          <w:szCs w:val="20"/>
        </w:rPr>
        <w:lastRenderedPageBreak/>
        <w:t>These included harmonizing exchange rates, removing fuel subsidies, adjusting electricity tariffs, reducing non-essential spending, redirecting funds to COVID-19 responses, improving debt management, and enhancing transparency in the oil and gas sector. These measures created additional fiscal space, preventing a deeper recession and establishing a foundation for early recovery. However, many critical reforms remain incomplete, posing risks to Nigeria’s fragile recovery. The economy is expected to grow by 1.8 percent in 2021 under the baseline scenario (World Bank, 2021).</w:t>
      </w:r>
    </w:p>
    <w:p w14:paraId="4C8EA3FB" w14:textId="000FC09F" w:rsidR="00700075" w:rsidRPr="00877C40" w:rsidRDefault="00700075" w:rsidP="00700075">
      <w:pPr>
        <w:pStyle w:val="NormalWeb"/>
        <w:jc w:val="both"/>
        <w:rPr>
          <w:rFonts w:ascii="Arial" w:hAnsi="Arial" w:cs="Arial"/>
          <w:sz w:val="20"/>
          <w:szCs w:val="20"/>
          <w:highlight w:val="yellow"/>
        </w:rPr>
      </w:pPr>
      <w:r w:rsidRPr="00877C40">
        <w:rPr>
          <w:rFonts w:ascii="Arial" w:hAnsi="Arial" w:cs="Arial"/>
          <w:sz w:val="20"/>
          <w:szCs w:val="20"/>
          <w:highlight w:val="yellow"/>
        </w:rPr>
        <w:t>Chang et al., (2023) investigated the influence of lockdown stringency measures and COVID-19 case counts on food and healthcare prices across six BRICST countries—Brazil, Russia, India, China, South Africa, and Turkey—addressing a gap in prior research that overlooked the relationship between reported COVID-19 cases and these prices. Employing a dynamic autoregressive distributed lag (DARDL) model, the study utilized daily data to analyze how food and healthcare services were affected by COVID-19 case counts and government interventions. The findings revealed that, in the long run, COVID-19 cases had a significant positive impact on both food and healthcare prices in India, South Africa, and China, while the short-term effects were noted in all countries except Russia and Turkey. Additionally, the study found that the government stringency index (GSI) and the Containment and Health Index (CHI) notably influenced healthcare prices in India and South Africa in both the short and long term, and similarly affected food prices in these countries, emphasizing the interconnectedness of health crises and economic conditions. This research contributed original insights by utilizing a novel model that enhanced the understanding of COVID-19's extensive effects on essential commodities.</w:t>
      </w:r>
    </w:p>
    <w:p w14:paraId="00FF5D96" w14:textId="4E9FD68F" w:rsidR="00700075" w:rsidRPr="00877C40" w:rsidRDefault="00700075" w:rsidP="00700075">
      <w:pPr>
        <w:pStyle w:val="NormalWeb"/>
        <w:jc w:val="both"/>
        <w:rPr>
          <w:rFonts w:ascii="Arial" w:hAnsi="Arial" w:cs="Arial"/>
          <w:sz w:val="20"/>
          <w:szCs w:val="20"/>
          <w:highlight w:val="yellow"/>
        </w:rPr>
      </w:pPr>
      <w:r w:rsidRPr="00877C40">
        <w:rPr>
          <w:rFonts w:ascii="Arial" w:hAnsi="Arial" w:cs="Arial"/>
          <w:sz w:val="20"/>
          <w:szCs w:val="20"/>
          <w:highlight w:val="yellow"/>
        </w:rPr>
        <w:t>Ahmed et al., (2023) characterized the COVID-19 epidemic as the most significant global health disaster of the century and the greatest challenge to humanity since World War II. The researchers aimed to determine the effectiveness of measures implemented worldwide to control the spread of the virus. To achieve this, they adopted a dynamic simulated Autoregressive Distributed Lag (ARDL) approach to analyze policy responses to COVID-19 in the ASEAN region, utilizing data from February 1, 2020, to November 8, 2021. Their unit root results indicated that the dependent variable was integrated of order one, while the independent variables were stationary at the level or first difference, validating the use of the dynamic simulated ARDL technique. The findings revealed that government economic support and debt/contract relief for poor families were substantially important in combating COVID-19. Furthermore, the study highlighted the necessity of implementing measures such as closing schools and workplaces, restricting gatherings, canceling public events, enforcing stay-at-home orders, shutting down public transport, and limiting domestic and international travel to reduce the virus's spread. The research also indicated that public awareness campaigns, testing policies, and social distancing significantly decreased COVID-19 transmission. The study concluded with policy implications emphasizing the need for government economic support for impoverished families, the closure of schools and public gatherings during the pandemic, enhanced public awareness, and robust testing policies. Additionally, the reduction in mortality rates suggested that immunization could be a viable strategy to combat COVID-19, necessitating immediate attention to the factors affecting vaccine acceptability through public health policies.</w:t>
      </w:r>
    </w:p>
    <w:p w14:paraId="64F714EC" w14:textId="797485DA" w:rsidR="00700075" w:rsidRPr="00E55E43" w:rsidRDefault="00700075" w:rsidP="00700075">
      <w:pPr>
        <w:pStyle w:val="NormalWeb"/>
        <w:jc w:val="both"/>
        <w:rPr>
          <w:rFonts w:ascii="Arial" w:hAnsi="Arial" w:cs="Arial"/>
          <w:sz w:val="20"/>
          <w:szCs w:val="20"/>
        </w:rPr>
      </w:pPr>
      <w:r w:rsidRPr="00877C40">
        <w:rPr>
          <w:rFonts w:ascii="Arial" w:hAnsi="Arial" w:cs="Arial"/>
          <w:sz w:val="20"/>
          <w:szCs w:val="20"/>
          <w:highlight w:val="yellow"/>
        </w:rPr>
        <w:t xml:space="preserve">Matuka (2020) investigated the impact of the COVID-19 pandemic on economic policy uncertainty in the United States, focusing on the effects of new COVID-19 cases and brent oil prices using daily data from January 1 to August 25, 2020, and employing an Autoregressive Distributed Lag (ARDL) model. The study found that the number of new infection cases significantly influenced U.S. economic policy uncertainty (EPU), indicating that rising cases heightened uncertainty about economic policies, while no significant effect was observed from COVID-19 death cases. Furthermore, the analysis revealed an inverse relationship between </w:t>
      </w:r>
      <w:r w:rsidRPr="00877C40">
        <w:rPr>
          <w:rFonts w:ascii="Arial" w:hAnsi="Arial" w:cs="Arial"/>
          <w:sz w:val="20"/>
          <w:szCs w:val="20"/>
          <w:highlight w:val="yellow"/>
        </w:rPr>
        <w:lastRenderedPageBreak/>
        <w:t>brent oil prices and EPU, where decreasing oil prices correlated with increased economic policy uncertainty. These findings underscore the critical role of health crises in shaping economic policy dynamics and highlight the interconnectedness of public health and economic stability, emphasizing the need for policymakers to consider these relationships in their responses to the pandemic's economic impact.</w:t>
      </w:r>
    </w:p>
    <w:bookmarkEnd w:id="1"/>
    <w:p w14:paraId="4F35AC5B" w14:textId="77777777" w:rsidR="00790ADA" w:rsidRPr="00E55E43" w:rsidRDefault="00790ADA" w:rsidP="00441B6F">
      <w:pPr>
        <w:pStyle w:val="Body"/>
        <w:spacing w:after="0"/>
        <w:rPr>
          <w:rFonts w:ascii="Arial" w:hAnsi="Arial" w:cs="Arial"/>
        </w:rPr>
      </w:pPr>
    </w:p>
    <w:p w14:paraId="59220E67" w14:textId="0FF4E96A" w:rsidR="00790ADA" w:rsidRPr="00E55E43" w:rsidRDefault="00902823" w:rsidP="00A153E8">
      <w:pPr>
        <w:pStyle w:val="AbstHead"/>
        <w:spacing w:after="0"/>
        <w:jc w:val="both"/>
        <w:rPr>
          <w:rFonts w:ascii="Arial" w:hAnsi="Arial" w:cs="Arial"/>
          <w:sz w:val="20"/>
        </w:rPr>
      </w:pPr>
      <w:r w:rsidRPr="00E55E43">
        <w:rPr>
          <w:rFonts w:ascii="Arial" w:hAnsi="Arial" w:cs="Arial"/>
          <w:sz w:val="20"/>
        </w:rPr>
        <w:t>2. material and method</w:t>
      </w:r>
      <w:r w:rsidR="00000F8F" w:rsidRPr="00E55E43">
        <w:rPr>
          <w:rFonts w:ascii="Arial" w:hAnsi="Arial" w:cs="Arial"/>
          <w:sz w:val="20"/>
        </w:rPr>
        <w:t xml:space="preserve">s </w:t>
      </w:r>
    </w:p>
    <w:p w14:paraId="0A8F5C1D" w14:textId="77777777" w:rsidR="00C157B9" w:rsidRPr="00E55E43" w:rsidRDefault="00C157B9" w:rsidP="00C157B9">
      <w:pPr>
        <w:pStyle w:val="NormalWeb"/>
        <w:jc w:val="both"/>
        <w:rPr>
          <w:rFonts w:ascii="Arial" w:hAnsi="Arial" w:cs="Arial"/>
          <w:b/>
          <w:sz w:val="20"/>
          <w:szCs w:val="20"/>
        </w:rPr>
      </w:pPr>
      <w:r w:rsidRPr="00E55E43">
        <w:rPr>
          <w:rFonts w:ascii="Arial" w:hAnsi="Arial" w:cs="Arial"/>
          <w:b/>
          <w:sz w:val="20"/>
          <w:szCs w:val="20"/>
        </w:rPr>
        <w:t>2.1 data</w:t>
      </w:r>
    </w:p>
    <w:p w14:paraId="38CD7E15" w14:textId="34EAAFEF" w:rsidR="003F691B" w:rsidRPr="00E55E43" w:rsidRDefault="00C157B9" w:rsidP="00C157B9">
      <w:pPr>
        <w:pStyle w:val="NormalWeb"/>
        <w:jc w:val="both"/>
        <w:rPr>
          <w:rFonts w:ascii="Arial" w:hAnsi="Arial" w:cs="Arial"/>
          <w:bCs/>
          <w:sz w:val="20"/>
          <w:szCs w:val="20"/>
        </w:rPr>
      </w:pPr>
      <w:r w:rsidRPr="00E55E43">
        <w:rPr>
          <w:rFonts w:ascii="Arial" w:hAnsi="Arial" w:cs="Arial"/>
          <w:bCs/>
          <w:sz w:val="20"/>
          <w:szCs w:val="20"/>
        </w:rPr>
        <w:t>The data used in this study was obtained from three verified sources. The COVID-19 total cases were obtained from Our World in Data Online Database (https://ourworldindata.org/covid-cases). The Nigerian Stock Exchange All Shares Index  as well as Nigerian Crude Oil Price, were obtained from the Central Bank of Nigeria (CBN) official website (www.cbn.gov.ng). USD to NGN exchange rate data was extracted from Exchange Rates (www.exchangerates.org.uk/USD-NGN-exchange-rate-history.html). All Data were collect</w:t>
      </w:r>
      <w:r w:rsidR="006A70A9">
        <w:rPr>
          <w:rFonts w:ascii="Arial" w:hAnsi="Arial" w:cs="Arial"/>
          <w:bCs/>
          <w:sz w:val="20"/>
          <w:szCs w:val="20"/>
        </w:rPr>
        <w:t>ed</w:t>
      </w:r>
      <w:r w:rsidRPr="00E55E43">
        <w:rPr>
          <w:rFonts w:ascii="Arial" w:hAnsi="Arial" w:cs="Arial"/>
          <w:bCs/>
          <w:sz w:val="20"/>
          <w:szCs w:val="20"/>
        </w:rPr>
        <w:t xml:space="preserve"> using daily frequency to confirm with the COVID-19 Daily Data. This study covered daily time series data for the four variables between 26th May,  2020 – 25th May, 2022, a total time period of 501 days.</w:t>
      </w:r>
    </w:p>
    <w:p w14:paraId="3E6AB249" w14:textId="77777777" w:rsidR="00A5244D" w:rsidRPr="00E55E43" w:rsidRDefault="00A5244D" w:rsidP="00D95039">
      <w:pPr>
        <w:pStyle w:val="NormalWeb"/>
        <w:jc w:val="both"/>
        <w:rPr>
          <w:rFonts w:ascii="Arial" w:hAnsi="Arial" w:cs="Arial"/>
          <w:b/>
          <w:sz w:val="20"/>
          <w:szCs w:val="20"/>
        </w:rPr>
      </w:pPr>
      <w:r w:rsidRPr="00E55E43">
        <w:rPr>
          <w:rFonts w:ascii="Arial" w:hAnsi="Arial" w:cs="Arial"/>
          <w:b/>
          <w:sz w:val="20"/>
          <w:szCs w:val="20"/>
        </w:rPr>
        <w:t xml:space="preserve">2.2: Methodology </w:t>
      </w:r>
    </w:p>
    <w:p w14:paraId="1E467F60" w14:textId="77777777" w:rsidR="00C157B9" w:rsidRPr="00E55E43" w:rsidRDefault="00C157B9" w:rsidP="00C157B9">
      <w:pPr>
        <w:pStyle w:val="NormalWeb"/>
        <w:jc w:val="both"/>
        <w:rPr>
          <w:rFonts w:ascii="Arial" w:hAnsi="Arial" w:cs="Arial"/>
          <w:bCs/>
          <w:sz w:val="20"/>
          <w:szCs w:val="20"/>
        </w:rPr>
      </w:pPr>
      <w:r w:rsidRPr="00E55E43">
        <w:rPr>
          <w:rFonts w:ascii="Arial" w:hAnsi="Arial" w:cs="Arial"/>
          <w:bCs/>
          <w:sz w:val="20"/>
          <w:szCs w:val="20"/>
        </w:rPr>
        <w:t xml:space="preserve">This study adopted event study approach. This approach is considered suitable because specific event, in this case, the coronavirus outbreak, is examined in line with its effect on subject of interest, such as the Nigerian Stock Exchange All Shares Index (NSE-ASI) and daily Naira/Dollar exchange rate. In the same vein, past data on coronavirus, which cannot be manipulated, were examined vis-a-vis historical data NSE-ASI in order to establish relationship and causality between coronavirus and general price movement in the Nigerian stock market. In this study, five variables shall be used. These includes data relating to the Nigerian COVID-19 daily Confirmed Cases (CC),  in collaboration with  Data of Some macroeconomic indicators including Nigerian Stock Exchange All Shares Index   (ASI), Daily Nigerian Naira/United State Dollar Exchange Rate (NGNUSD) and Nigerian Crude Oil Price (OP), in other to understand the trends as well as impact of COVID-19 on the Nigerian Economy in this post pandemic era. </w:t>
      </w:r>
    </w:p>
    <w:p w14:paraId="11914C16" w14:textId="77777777" w:rsidR="00C157B9" w:rsidRPr="00E55E43" w:rsidRDefault="00A153E8" w:rsidP="00C157B9">
      <w:pPr>
        <w:spacing w:line="480" w:lineRule="auto"/>
        <w:jc w:val="both"/>
        <w:rPr>
          <w:rFonts w:ascii="Arial" w:hAnsi="Arial" w:cs="Arial"/>
          <w:b/>
          <w:bCs/>
        </w:rPr>
      </w:pPr>
      <w:r w:rsidRPr="00E55E43">
        <w:rPr>
          <w:rFonts w:ascii="Arial" w:hAnsi="Arial" w:cs="Arial"/>
          <w:b/>
        </w:rPr>
        <w:t>2</w:t>
      </w:r>
      <w:r w:rsidR="00A5244D" w:rsidRPr="00E55E43">
        <w:rPr>
          <w:rFonts w:ascii="Arial" w:hAnsi="Arial" w:cs="Arial"/>
          <w:b/>
        </w:rPr>
        <w:t xml:space="preserve">.2.1 </w:t>
      </w:r>
      <w:bookmarkStart w:id="2" w:name="_Hlk168961506"/>
      <w:bookmarkStart w:id="3" w:name="_Hlk40298239"/>
      <w:bookmarkStart w:id="4" w:name="_Hlk40297847"/>
      <w:r w:rsidR="00C157B9" w:rsidRPr="00E55E43">
        <w:rPr>
          <w:rFonts w:ascii="Arial" w:hAnsi="Arial" w:cs="Arial"/>
          <w:b/>
          <w:bCs/>
        </w:rPr>
        <w:t>Vector Autoregressive (VAR) Model</w:t>
      </w:r>
      <w:bookmarkEnd w:id="2"/>
      <w:r w:rsidR="00C157B9" w:rsidRPr="00E55E43">
        <w:rPr>
          <w:rFonts w:ascii="Arial" w:hAnsi="Arial" w:cs="Arial"/>
          <w:b/>
          <w:bCs/>
        </w:rPr>
        <w:t xml:space="preserve">ling </w:t>
      </w:r>
    </w:p>
    <w:p w14:paraId="0E20A30A" w14:textId="77777777" w:rsidR="00C157B9" w:rsidRPr="00E55E43" w:rsidRDefault="00C157B9" w:rsidP="00C157B9">
      <w:pPr>
        <w:pStyle w:val="p1"/>
        <w:spacing w:line="360" w:lineRule="auto"/>
        <w:jc w:val="both"/>
        <w:rPr>
          <w:rStyle w:val="s1"/>
          <w:rFonts w:ascii="Arial" w:hAnsi="Arial" w:cs="Arial"/>
          <w:sz w:val="20"/>
          <w:szCs w:val="20"/>
        </w:rPr>
      </w:pPr>
      <w:r w:rsidRPr="00E55E43">
        <w:rPr>
          <w:rStyle w:val="s1"/>
          <w:rFonts w:ascii="Arial" w:hAnsi="Arial" w:cs="Arial"/>
          <w:sz w:val="20"/>
          <w:szCs w:val="20"/>
        </w:rPr>
        <w:t>This study  employed firstly the Vector Autoregression (VAR) model as the estimation technique. VAR is a flexible and simple model for multivariate time series data with autoregressive characteristics that can be used for data description, estimation, and forecasting. The model treats all variables as endogenous and expresses each variable as dependent on its lag value and the lagged value of other variables in the model (. Stationarity of data is crucial for VAR modeling, and if the time series is non-stationary, the order of integration is determined, and the stationary form of the variable is added to the VAR model. The error terms in VAR modeling are required to be normal and independent (Suharsono, 2017).</w:t>
      </w:r>
    </w:p>
    <w:p w14:paraId="151B6F35" w14:textId="77777777" w:rsidR="00C157B9" w:rsidRPr="00E55E43" w:rsidRDefault="00C157B9" w:rsidP="00C157B9">
      <w:pPr>
        <w:spacing w:line="360" w:lineRule="auto"/>
        <w:jc w:val="both"/>
        <w:rPr>
          <w:rFonts w:ascii="Arial" w:hAnsi="Arial" w:cs="Arial"/>
        </w:rPr>
      </w:pPr>
      <w:r w:rsidRPr="00E55E43">
        <w:rPr>
          <w:rFonts w:ascii="Arial" w:hAnsi="Arial" w:cs="Arial"/>
        </w:rPr>
        <w:lastRenderedPageBreak/>
        <w:t xml:space="preserve">Following the model of Ahmed (2020), This study specifies the functional relationship between COVID-19 (measured as confirmed cases) and economic variables (Daily NSE All-share index, Crude Oil Price, and Daily NGN/USD exchange rate). The general  Vector Autoregressive Model of order </w:t>
      </w:r>
      <w:r w:rsidRPr="00E55E43">
        <w:rPr>
          <w:rFonts w:ascii="Arial" w:hAnsi="Arial" w:cs="Arial"/>
          <w:i/>
          <w:iCs/>
        </w:rPr>
        <w:t>k</w:t>
      </w:r>
      <w:r w:rsidRPr="00E55E43">
        <w:rPr>
          <w:rFonts w:ascii="Arial" w:hAnsi="Arial" w:cs="Arial"/>
        </w:rPr>
        <w:t xml:space="preserve">  that is </w:t>
      </w:r>
      <w:r w:rsidRPr="00E55E43">
        <w:rPr>
          <w:rFonts w:ascii="Arial" w:hAnsi="Arial" w:cs="Arial"/>
          <w:i/>
          <w:iCs/>
        </w:rPr>
        <w:t>VAR(k)</w:t>
      </w:r>
      <w:r w:rsidRPr="00E55E43">
        <w:rPr>
          <w:rFonts w:ascii="Arial" w:hAnsi="Arial" w:cs="Arial"/>
        </w:rPr>
        <w:t xml:space="preserve"> model for this study are specified in Equations (2.1) to Equation (2.4) as shown below.</w:t>
      </w:r>
    </w:p>
    <w:p w14:paraId="5885FD0C" w14:textId="77777777" w:rsidR="00C157B9" w:rsidRPr="00E55E43" w:rsidRDefault="00C157B9" w:rsidP="00C157B9">
      <w:pPr>
        <w:spacing w:line="360" w:lineRule="auto"/>
        <w:jc w:val="both"/>
        <w:rPr>
          <w:rFonts w:ascii="Arial" w:hAnsi="Arial" w:cs="Arial"/>
        </w:rPr>
      </w:pPr>
      <m:oMath>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1</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1t</m:t>
                </m:r>
              </m:sub>
            </m:sSub>
          </m:e>
        </m:nary>
      </m:oMath>
      <w:r w:rsidRPr="00E55E43">
        <w:rPr>
          <w:rFonts w:ascii="Arial" w:hAnsi="Arial" w:cs="Arial"/>
        </w:rPr>
        <w:t xml:space="preserve"> (2.1)</w:t>
      </w:r>
    </w:p>
    <w:p w14:paraId="2749A96D" w14:textId="77777777" w:rsidR="00C157B9" w:rsidRPr="00E55E43" w:rsidRDefault="00C157B9" w:rsidP="00C157B9">
      <w:pPr>
        <w:spacing w:line="360" w:lineRule="auto"/>
        <w:jc w:val="both"/>
        <w:rPr>
          <w:rFonts w:ascii="Arial" w:hAnsi="Arial" w:cs="Arial"/>
        </w:rPr>
      </w:pPr>
      <m:oMath>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2</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2t</m:t>
                </m:r>
              </m:sub>
            </m:sSub>
          </m:e>
        </m:nary>
      </m:oMath>
      <w:r w:rsidRPr="00E55E43">
        <w:rPr>
          <w:rFonts w:ascii="Arial" w:hAnsi="Arial" w:cs="Arial"/>
        </w:rPr>
        <w:t xml:space="preserve"> (2.2)</w:t>
      </w:r>
    </w:p>
    <w:p w14:paraId="4FF57BEF" w14:textId="77777777" w:rsidR="00C157B9" w:rsidRPr="00E55E43" w:rsidRDefault="00C157B9" w:rsidP="00C157B9">
      <w:pPr>
        <w:spacing w:line="360" w:lineRule="auto"/>
        <w:jc w:val="both"/>
        <w:rPr>
          <w:rFonts w:ascii="Arial" w:hAnsi="Arial" w:cs="Arial"/>
        </w:rPr>
      </w:pPr>
      <m:oMath>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3</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3t</m:t>
                </m:r>
              </m:sub>
            </m:sSub>
          </m:e>
        </m:nary>
      </m:oMath>
      <w:r w:rsidRPr="00E55E43">
        <w:rPr>
          <w:rFonts w:ascii="Arial" w:hAnsi="Arial" w:cs="Arial"/>
        </w:rPr>
        <w:t xml:space="preserve"> (2.3)</w:t>
      </w:r>
    </w:p>
    <w:p w14:paraId="17A068A7" w14:textId="77777777" w:rsidR="00C157B9" w:rsidRPr="00E55E43" w:rsidRDefault="00C157B9" w:rsidP="00C157B9">
      <w:pPr>
        <w:spacing w:line="360" w:lineRule="auto"/>
        <w:jc w:val="both"/>
        <w:rPr>
          <w:rFonts w:ascii="Arial" w:hAnsi="Arial" w:cs="Arial"/>
        </w:rPr>
      </w:pPr>
      <m:oMath>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α</m:t>
            </m:r>
          </m:e>
          <m:sub>
            <m:r>
              <w:rPr>
                <w:rFonts w:ascii="Cambria Math" w:hAnsi="Cambria Math" w:cs="Arial"/>
              </w:rPr>
              <m:t>4</m:t>
            </m:r>
          </m:sub>
        </m:sSub>
        <m:r>
          <w:rPr>
            <w:rFonts w:ascii="Cambria Math" w:hAnsi="Cambria Math" w:cs="Arial"/>
          </w:rPr>
          <m:t>+</m:t>
        </m:r>
        <m:nary>
          <m:naryPr>
            <m:chr m:val="∑"/>
            <m:ctrlPr>
              <w:rPr>
                <w:rFonts w:ascii="Cambria Math" w:hAnsi="Cambria Math" w:cs="Arial"/>
                <w:i/>
              </w:rPr>
            </m:ctrlPr>
          </m:naryPr>
          <m:sub>
            <m:r>
              <w:rPr>
                <w:rFonts w:ascii="Cambria Math" w:hAnsi="Cambria Math" w:cs="Arial"/>
              </w:rPr>
              <m:t>i=1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r>
              <w:rPr>
                <w:rFonts w:ascii="Cambria Math" w:hAnsi="Cambria Math" w:cs="Arial"/>
              </w:rPr>
              <m:t>C</m:t>
            </m:r>
            <m:sSub>
              <m:sSubPr>
                <m:ctrlPr>
                  <w:rPr>
                    <w:rFonts w:ascii="Cambria Math" w:hAnsi="Cambria Math" w:cs="Arial"/>
                    <w:i/>
                  </w:rPr>
                </m:ctrlPr>
              </m:sSubPr>
              <m:e>
                <m:r>
                  <w:rPr>
                    <w:rFonts w:ascii="Cambria Math" w:hAnsi="Cambria Math" w:cs="Arial"/>
                  </w:rPr>
                  <m:t>C</m:t>
                </m:r>
              </m:e>
              <m:sub>
                <m:r>
                  <w:rPr>
                    <w:rFonts w:ascii="Cambria Math" w:hAnsi="Cambria Math" w:cs="Arial"/>
                  </w:rPr>
                  <m:t>t-i</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m=1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φ</m:t>
                </m:r>
              </m:e>
              <m:sub>
                <m:r>
                  <w:rPr>
                    <w:rFonts w:ascii="Cambria Math" w:hAnsi="Cambria Math" w:cs="Arial"/>
                  </w:rPr>
                  <m:t>m</m:t>
                </m:r>
              </m:sub>
            </m:sSub>
            <m:r>
              <w:rPr>
                <w:rFonts w:ascii="Cambria Math" w:hAnsi="Cambria Math" w:cs="Arial"/>
              </w:rPr>
              <m:t>AS</m:t>
            </m:r>
            <m:sSub>
              <m:sSubPr>
                <m:ctrlPr>
                  <w:rPr>
                    <w:rFonts w:ascii="Cambria Math" w:hAnsi="Cambria Math" w:cs="Arial"/>
                    <w:i/>
                  </w:rPr>
                </m:ctrlPr>
              </m:sSubPr>
              <m:e>
                <m:r>
                  <w:rPr>
                    <w:rFonts w:ascii="Cambria Math" w:hAnsi="Cambria Math" w:cs="Arial"/>
                  </w:rPr>
                  <m:t>I</m:t>
                </m:r>
              </m:e>
              <m:sub>
                <m:r>
                  <w:rPr>
                    <w:rFonts w:ascii="Cambria Math" w:hAnsi="Cambria Math" w:cs="Arial"/>
                  </w:rPr>
                  <m:t>t-m</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ϑ</m:t>
                </m:r>
              </m:e>
              <m:sub>
                <m:r>
                  <w:rPr>
                    <w:rFonts w:ascii="Cambria Math" w:hAnsi="Cambria Math" w:cs="Arial"/>
                  </w:rPr>
                  <m:t>n</m:t>
                </m:r>
              </m:sub>
            </m:sSub>
            <m:r>
              <w:rPr>
                <w:rFonts w:ascii="Cambria Math" w:hAnsi="Cambria Math" w:cs="Arial"/>
              </w:rPr>
              <m:t>O</m:t>
            </m:r>
            <m:sSub>
              <m:sSubPr>
                <m:ctrlPr>
                  <w:rPr>
                    <w:rFonts w:ascii="Cambria Math" w:hAnsi="Cambria Math" w:cs="Arial"/>
                    <w:i/>
                  </w:rPr>
                </m:ctrlPr>
              </m:sSubPr>
              <m:e>
                <m:r>
                  <w:rPr>
                    <w:rFonts w:ascii="Cambria Math" w:hAnsi="Cambria Math" w:cs="Arial"/>
                  </w:rPr>
                  <m:t>P</m:t>
                </m:r>
              </m:e>
              <m:sub>
                <m:r>
                  <w:rPr>
                    <w:rFonts w:ascii="Cambria Math" w:hAnsi="Cambria Math" w:cs="Arial"/>
                  </w:rPr>
                  <m:t>t-n</m:t>
                </m:r>
              </m:sub>
            </m:sSub>
            <m:r>
              <w:rPr>
                <w:rFonts w:ascii="Cambria Math" w:hAnsi="Cambria Math" w:cs="Arial"/>
              </w:rPr>
              <m:t>+</m:t>
            </m:r>
          </m:e>
        </m:nary>
        <m:nary>
          <m:naryPr>
            <m:chr m:val="∑"/>
            <m:ctrlPr>
              <w:rPr>
                <w:rFonts w:ascii="Cambria Math" w:hAnsi="Cambria Math" w:cs="Arial"/>
                <w:i/>
              </w:rPr>
            </m:ctrlPr>
          </m:naryPr>
          <m:sub>
            <m:r>
              <w:rPr>
                <w:rFonts w:ascii="Cambria Math" w:hAnsi="Cambria Math" w:cs="Arial"/>
              </w:rPr>
              <m:t>p=1</m:t>
            </m:r>
          </m:sub>
          <m:sup>
            <m:r>
              <w:rPr>
                <w:rFonts w:ascii="Cambria Math" w:hAnsi="Cambria Math" w:cs="Arial"/>
              </w:rPr>
              <m:t>k</m:t>
            </m:r>
          </m:sup>
          <m:e>
            <m:sSub>
              <m:sSubPr>
                <m:ctrlPr>
                  <w:rPr>
                    <w:rFonts w:ascii="Cambria Math" w:hAnsi="Cambria Math" w:cs="Arial"/>
                    <w:i/>
                  </w:rPr>
                </m:ctrlPr>
              </m:sSubPr>
              <m:e>
                <m:r>
                  <w:rPr>
                    <w:rFonts w:ascii="Cambria Math" w:hAnsi="Cambria Math" w:cs="Arial"/>
                  </w:rPr>
                  <m:t>ς</m:t>
                </m:r>
              </m:e>
              <m:sub>
                <m:r>
                  <w:rPr>
                    <w:rFonts w:ascii="Cambria Math" w:hAnsi="Cambria Math" w:cs="Arial"/>
                  </w:rPr>
                  <m:t>p</m:t>
                </m:r>
              </m:sub>
            </m:sSub>
            <m:r>
              <w:rPr>
                <w:rFonts w:ascii="Cambria Math" w:hAnsi="Cambria Math" w:cs="Arial"/>
              </w:rPr>
              <m:t>NGNUS</m:t>
            </m:r>
            <m:sSub>
              <m:sSubPr>
                <m:ctrlPr>
                  <w:rPr>
                    <w:rFonts w:ascii="Cambria Math" w:hAnsi="Cambria Math" w:cs="Arial"/>
                    <w:i/>
                  </w:rPr>
                </m:ctrlPr>
              </m:sSubPr>
              <m:e>
                <m:r>
                  <w:rPr>
                    <w:rFonts w:ascii="Cambria Math" w:hAnsi="Cambria Math" w:cs="Arial"/>
                  </w:rPr>
                  <m:t>D</m:t>
                </m:r>
              </m:e>
              <m:sub>
                <m:r>
                  <w:rPr>
                    <w:rFonts w:ascii="Cambria Math" w:hAnsi="Cambria Math" w:cs="Arial"/>
                  </w:rPr>
                  <m:t>t-p</m:t>
                </m:r>
              </m:sub>
            </m:sSub>
            <m:r>
              <w:rPr>
                <w:rFonts w:ascii="Cambria Math" w:hAnsi="Cambria Math" w:cs="Arial"/>
              </w:rPr>
              <m:t>+</m:t>
            </m:r>
            <m:sSub>
              <m:sSubPr>
                <m:ctrlPr>
                  <w:rPr>
                    <w:rFonts w:ascii="Cambria Math" w:hAnsi="Cambria Math" w:cs="Arial"/>
                    <w:i/>
                  </w:rPr>
                </m:ctrlPr>
              </m:sSubPr>
              <m:e>
                <m:r>
                  <w:rPr>
                    <w:rFonts w:ascii="Cambria Math" w:hAnsi="Cambria Math" w:cs="Arial"/>
                  </w:rPr>
                  <m:t>u</m:t>
                </m:r>
              </m:e>
              <m:sub>
                <m:r>
                  <w:rPr>
                    <w:rFonts w:ascii="Cambria Math" w:hAnsi="Cambria Math" w:cs="Arial"/>
                  </w:rPr>
                  <m:t>1t</m:t>
                </m:r>
              </m:sub>
            </m:sSub>
          </m:e>
        </m:nary>
      </m:oMath>
      <w:r w:rsidRPr="00E55E43">
        <w:rPr>
          <w:rFonts w:ascii="Arial" w:hAnsi="Arial" w:cs="Arial"/>
        </w:rPr>
        <w:t xml:space="preserve">       (2.4)</w:t>
      </w:r>
    </w:p>
    <w:p w14:paraId="7FDB8690" w14:textId="77777777" w:rsidR="00C157B9" w:rsidRPr="00E55E43" w:rsidRDefault="00C157B9" w:rsidP="00C157B9">
      <w:pPr>
        <w:spacing w:line="360" w:lineRule="auto"/>
        <w:jc w:val="both"/>
        <w:rPr>
          <w:rFonts w:ascii="Arial" w:hAnsi="Arial" w:cs="Arial"/>
        </w:rPr>
      </w:pPr>
    </w:p>
    <w:p w14:paraId="23C62F7C" w14:textId="77777777" w:rsidR="00C157B9" w:rsidRPr="00E55E43" w:rsidRDefault="00C157B9" w:rsidP="00C157B9">
      <w:pPr>
        <w:spacing w:line="360" w:lineRule="auto"/>
        <w:rPr>
          <w:rFonts w:ascii="Arial" w:hAnsi="Arial" w:cs="Arial"/>
        </w:rPr>
      </w:pPr>
      <w:r w:rsidRPr="00E55E43">
        <w:rPr>
          <w:rFonts w:ascii="Arial" w:hAnsi="Arial" w:cs="Arial"/>
        </w:rPr>
        <w:t>Where:</w:t>
      </w:r>
    </w:p>
    <w:p w14:paraId="0518748D" w14:textId="77777777" w:rsidR="00C157B9" w:rsidRPr="00E55E43" w:rsidRDefault="00C157B9" w:rsidP="00C157B9">
      <w:pPr>
        <w:spacing w:line="360" w:lineRule="auto"/>
        <w:jc w:val="both"/>
        <w:rPr>
          <w:rFonts w:ascii="Arial" w:hAnsi="Arial" w:cs="Arial"/>
        </w:rPr>
      </w:pPr>
      <w:bookmarkStart w:id="5" w:name="_Hlk161908677"/>
      <w:r w:rsidRPr="00E55E43">
        <w:rPr>
          <w:rFonts w:ascii="Arial" w:hAnsi="Arial" w:cs="Arial"/>
          <w:i/>
          <w:iCs/>
        </w:rPr>
        <w:t>CC</w:t>
      </w:r>
      <w:r w:rsidRPr="00E55E43">
        <w:rPr>
          <w:rFonts w:ascii="Arial" w:hAnsi="Arial" w:cs="Arial"/>
          <w:i/>
          <w:iCs/>
          <w:vertAlign w:val="subscript"/>
        </w:rPr>
        <w:t>t</w:t>
      </w:r>
      <w:r w:rsidRPr="00E55E43">
        <w:rPr>
          <w:rFonts w:ascii="Arial" w:hAnsi="Arial" w:cs="Arial"/>
        </w:rPr>
        <w:tab/>
      </w:r>
      <w:r w:rsidRPr="00E55E43">
        <w:rPr>
          <w:rFonts w:ascii="Arial" w:hAnsi="Arial" w:cs="Arial"/>
        </w:rPr>
        <w:tab/>
        <w:t>-</w:t>
      </w:r>
      <w:r w:rsidRPr="00E55E43">
        <w:rPr>
          <w:rFonts w:ascii="Arial" w:hAnsi="Arial" w:cs="Arial"/>
        </w:rPr>
        <w:tab/>
        <w:t>Daily confirmed cases of COVID-19</w:t>
      </w:r>
    </w:p>
    <w:p w14:paraId="163C0A29" w14:textId="77777777" w:rsidR="00C157B9" w:rsidRPr="00E55E43" w:rsidRDefault="00C157B9" w:rsidP="00C157B9">
      <w:pPr>
        <w:spacing w:line="360" w:lineRule="auto"/>
        <w:jc w:val="both"/>
        <w:rPr>
          <w:rFonts w:ascii="Arial" w:hAnsi="Arial" w:cs="Arial"/>
        </w:rPr>
      </w:pPr>
      <w:r w:rsidRPr="00E55E43">
        <w:rPr>
          <w:rFonts w:ascii="Arial" w:hAnsi="Arial" w:cs="Arial"/>
          <w:i/>
          <w:iCs/>
        </w:rPr>
        <w:t>ASI</w:t>
      </w:r>
      <w:r w:rsidRPr="00E55E43">
        <w:rPr>
          <w:rFonts w:ascii="Arial" w:hAnsi="Arial" w:cs="Arial"/>
          <w:i/>
          <w:iCs/>
          <w:vertAlign w:val="subscript"/>
        </w:rPr>
        <w:t>t</w:t>
      </w:r>
      <w:r w:rsidRPr="00E55E43">
        <w:rPr>
          <w:rFonts w:ascii="Arial" w:hAnsi="Arial" w:cs="Arial"/>
        </w:rPr>
        <w:tab/>
      </w:r>
      <w:r w:rsidRPr="00E55E43">
        <w:rPr>
          <w:rFonts w:ascii="Arial" w:hAnsi="Arial" w:cs="Arial"/>
        </w:rPr>
        <w:tab/>
        <w:t>-</w:t>
      </w:r>
      <w:r w:rsidRPr="00E55E43">
        <w:rPr>
          <w:rFonts w:ascii="Arial" w:hAnsi="Arial" w:cs="Arial"/>
        </w:rPr>
        <w:tab/>
        <w:t xml:space="preserve">Nigerian stock market all-shares index </w:t>
      </w:r>
    </w:p>
    <w:p w14:paraId="185E7E92" w14:textId="77777777" w:rsidR="00C157B9" w:rsidRPr="00E55E43" w:rsidRDefault="00C157B9" w:rsidP="00C157B9">
      <w:pPr>
        <w:spacing w:line="360" w:lineRule="auto"/>
        <w:jc w:val="both"/>
        <w:rPr>
          <w:rFonts w:ascii="Arial" w:hAnsi="Arial" w:cs="Arial"/>
        </w:rPr>
      </w:pPr>
      <w:r w:rsidRPr="00E55E43">
        <w:rPr>
          <w:rFonts w:ascii="Arial" w:hAnsi="Arial" w:cs="Arial"/>
        </w:rPr>
        <w:t>OPt</w:t>
      </w:r>
      <w:r w:rsidRPr="00E55E43">
        <w:rPr>
          <w:rFonts w:ascii="Arial" w:hAnsi="Arial" w:cs="Arial"/>
        </w:rPr>
        <w:tab/>
      </w:r>
      <w:r w:rsidRPr="00E55E43">
        <w:rPr>
          <w:rFonts w:ascii="Arial" w:hAnsi="Arial" w:cs="Arial"/>
        </w:rPr>
        <w:tab/>
        <w:t>-</w:t>
      </w:r>
      <w:r w:rsidRPr="00E55E43">
        <w:rPr>
          <w:rFonts w:ascii="Arial" w:hAnsi="Arial" w:cs="Arial"/>
        </w:rPr>
        <w:tab/>
        <w:t>Nigerian crude oil price</w:t>
      </w:r>
    </w:p>
    <w:p w14:paraId="7C2A58F0" w14:textId="77777777" w:rsidR="00C157B9" w:rsidRPr="00E55E43" w:rsidRDefault="00C157B9" w:rsidP="00C157B9">
      <w:pPr>
        <w:spacing w:line="360" w:lineRule="auto"/>
        <w:jc w:val="both"/>
        <w:rPr>
          <w:rFonts w:ascii="Arial" w:hAnsi="Arial" w:cs="Arial"/>
        </w:rPr>
      </w:pPr>
      <w:r w:rsidRPr="00E55E43">
        <w:rPr>
          <w:rFonts w:ascii="Arial" w:hAnsi="Arial" w:cs="Arial"/>
          <w:i/>
          <w:iCs/>
        </w:rPr>
        <w:t>NGNUSD</w:t>
      </w:r>
      <w:r w:rsidRPr="00E55E43">
        <w:rPr>
          <w:rFonts w:ascii="Arial" w:hAnsi="Arial" w:cs="Arial"/>
          <w:i/>
          <w:iCs/>
          <w:vertAlign w:val="subscript"/>
        </w:rPr>
        <w:t>t</w:t>
      </w:r>
      <w:r w:rsidRPr="00E55E43">
        <w:rPr>
          <w:rFonts w:ascii="Arial" w:hAnsi="Arial" w:cs="Arial"/>
        </w:rPr>
        <w:tab/>
        <w:t>-</w:t>
      </w:r>
      <w:r w:rsidRPr="00E55E43">
        <w:rPr>
          <w:rFonts w:ascii="Arial" w:hAnsi="Arial" w:cs="Arial"/>
        </w:rPr>
        <w:tab/>
        <w:t xml:space="preserve">Nigerian Naira/United State Dollar daily exchange rate </w:t>
      </w:r>
    </w:p>
    <w:bookmarkEnd w:id="5"/>
    <w:p w14:paraId="7FA2EE56" w14:textId="77777777" w:rsidR="00C157B9" w:rsidRPr="00E55E43" w:rsidRDefault="00C157B9" w:rsidP="00C157B9">
      <w:pPr>
        <w:spacing w:line="360" w:lineRule="auto"/>
        <w:jc w:val="both"/>
        <w:rPr>
          <w:rFonts w:ascii="Arial" w:hAnsi="Arial" w:cs="Arial"/>
        </w:rPr>
      </w:pPr>
      <w:r w:rsidRPr="00E55E43">
        <w:rPr>
          <w:rFonts w:ascii="Arial" w:hAnsi="Arial" w:cs="Arial"/>
          <w:position w:val="-12"/>
        </w:rPr>
        <w:object w:dxaOrig="720" w:dyaOrig="360" w14:anchorId="5B3D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9.65pt" o:ole="">
            <v:imagedata r:id="rId14" o:title=""/>
          </v:shape>
          <o:OLEObject Type="Embed" ProgID="Equation.DSMT4" ShapeID="_x0000_i1025" DrawAspect="Content" ObjectID="_1810461816" r:id="rId15"/>
        </w:object>
      </w:r>
      <w:r w:rsidRPr="00E55E43">
        <w:rPr>
          <w:rFonts w:ascii="Arial" w:hAnsi="Arial" w:cs="Arial"/>
        </w:rPr>
        <w:tab/>
        <w:t>-</w:t>
      </w:r>
      <w:r w:rsidRPr="00E55E43">
        <w:rPr>
          <w:rFonts w:ascii="Arial" w:hAnsi="Arial" w:cs="Arial"/>
        </w:rPr>
        <w:tab/>
        <w:t xml:space="preserve">The constant terms for the four variables respectively </w:t>
      </w:r>
    </w:p>
    <w:p w14:paraId="289E62E3" w14:textId="77777777" w:rsidR="00C157B9" w:rsidRPr="00E55E43" w:rsidRDefault="00C157B9" w:rsidP="00C157B9">
      <w:pPr>
        <w:pStyle w:val="p1"/>
        <w:spacing w:line="360" w:lineRule="auto"/>
        <w:jc w:val="both"/>
        <w:rPr>
          <w:rFonts w:ascii="Arial" w:hAnsi="Arial" w:cs="Arial"/>
          <w:b/>
          <w:bCs/>
          <w:sz w:val="20"/>
          <w:szCs w:val="20"/>
        </w:rPr>
      </w:pPr>
      <w:r w:rsidRPr="00E55E43">
        <w:rPr>
          <w:rFonts w:ascii="Arial" w:hAnsi="Arial" w:cs="Arial"/>
          <w:position w:val="-12"/>
          <w:sz w:val="20"/>
          <w:szCs w:val="20"/>
        </w:rPr>
        <w:object w:dxaOrig="240" w:dyaOrig="360" w14:anchorId="60D956B9">
          <v:shape id="_x0000_i1026" type="#_x0000_t75" style="width:12.15pt;height:19.65pt" o:ole="">
            <v:imagedata r:id="rId16" o:title=""/>
          </v:shape>
          <o:OLEObject Type="Embed" ProgID="Equation.DSMT4" ShapeID="_x0000_i1026" DrawAspect="Content" ObjectID="_1810461817" r:id="rId17"/>
        </w:object>
      </w:r>
      <w:r w:rsidRPr="00E55E43">
        <w:rPr>
          <w:rFonts w:ascii="Arial" w:hAnsi="Arial" w:cs="Arial"/>
          <w:sz w:val="20"/>
          <w:szCs w:val="20"/>
        </w:rPr>
        <w:tab/>
      </w:r>
      <w:r w:rsidRPr="00E55E43">
        <w:rPr>
          <w:rFonts w:ascii="Arial" w:hAnsi="Arial" w:cs="Arial"/>
          <w:sz w:val="20"/>
          <w:szCs w:val="20"/>
        </w:rPr>
        <w:tab/>
        <w:t>-</w:t>
      </w:r>
      <w:r w:rsidRPr="00E55E43">
        <w:rPr>
          <w:rFonts w:ascii="Arial" w:hAnsi="Arial" w:cs="Arial"/>
          <w:sz w:val="20"/>
          <w:szCs w:val="20"/>
        </w:rPr>
        <w:tab/>
        <w:t xml:space="preserve">the stochastic error </w:t>
      </w:r>
    </w:p>
    <w:p w14:paraId="5F446BDD" w14:textId="77777777" w:rsidR="00A153E8" w:rsidRPr="00E55E43" w:rsidRDefault="00A153E8" w:rsidP="00C157B9">
      <w:pPr>
        <w:pStyle w:val="NormalWeb"/>
        <w:spacing w:before="0" w:beforeAutospacing="0"/>
        <w:jc w:val="both"/>
        <w:rPr>
          <w:rFonts w:ascii="Arial" w:hAnsi="Arial" w:cs="Arial"/>
          <w:sz w:val="20"/>
          <w:szCs w:val="20"/>
        </w:rPr>
      </w:pPr>
      <w:r w:rsidRPr="00E55E43">
        <w:rPr>
          <w:rFonts w:ascii="Arial" w:hAnsi="Arial" w:cs="Arial"/>
          <w:sz w:val="20"/>
          <w:szCs w:val="20"/>
        </w:rPr>
        <w:t>All plots and numerical computations will be carried out using E-views version 10 on a Windows 10  personal computer with the following specifications.</w:t>
      </w:r>
    </w:p>
    <w:p w14:paraId="5EEAEF79" w14:textId="77777777" w:rsidR="00A153E8" w:rsidRPr="00E55E43" w:rsidRDefault="00A153E8" w:rsidP="0010168C">
      <w:pPr>
        <w:jc w:val="both"/>
        <w:rPr>
          <w:rFonts w:ascii="Arial" w:hAnsi="Arial" w:cs="Arial"/>
        </w:rPr>
      </w:pPr>
      <w:r w:rsidRPr="00E55E43">
        <w:rPr>
          <w:rFonts w:ascii="Arial" w:hAnsi="Arial" w:cs="Arial"/>
        </w:rPr>
        <w:t>Processor: Intel® Core i5-3230M CPU @ 2.60GHz</w:t>
      </w:r>
    </w:p>
    <w:p w14:paraId="75F1EE43" w14:textId="77777777" w:rsidR="00A153E8" w:rsidRPr="00E55E43" w:rsidRDefault="00A153E8" w:rsidP="0010168C">
      <w:pPr>
        <w:jc w:val="both"/>
        <w:rPr>
          <w:rFonts w:ascii="Arial" w:hAnsi="Arial" w:cs="Arial"/>
        </w:rPr>
      </w:pPr>
      <w:r w:rsidRPr="00E55E43">
        <w:rPr>
          <w:rFonts w:ascii="Arial" w:hAnsi="Arial" w:cs="Arial"/>
        </w:rPr>
        <w:t>Installed Memory (Ram): 4.00GB</w:t>
      </w:r>
    </w:p>
    <w:p w14:paraId="5D4E8377" w14:textId="77777777" w:rsidR="00D95039" w:rsidRPr="00E55E43" w:rsidRDefault="00A153E8" w:rsidP="0010168C">
      <w:pPr>
        <w:rPr>
          <w:rFonts w:ascii="Arial" w:hAnsi="Arial" w:cs="Arial"/>
        </w:rPr>
      </w:pPr>
      <w:r w:rsidRPr="00E55E43">
        <w:rPr>
          <w:rFonts w:ascii="Arial" w:hAnsi="Arial" w:cs="Arial"/>
        </w:rPr>
        <w:t>System type: 64-bits Operating System.</w:t>
      </w:r>
      <w:bookmarkEnd w:id="3"/>
    </w:p>
    <w:bookmarkEnd w:id="4"/>
    <w:p w14:paraId="28164147" w14:textId="77777777" w:rsidR="00790ADA" w:rsidRPr="00E55E43" w:rsidRDefault="00790ADA" w:rsidP="00441B6F">
      <w:pPr>
        <w:pStyle w:val="Body"/>
        <w:spacing w:after="0"/>
        <w:rPr>
          <w:rFonts w:ascii="Arial" w:hAnsi="Arial" w:cs="Arial"/>
        </w:rPr>
      </w:pPr>
    </w:p>
    <w:p w14:paraId="78D2FA7C" w14:textId="77777777" w:rsidR="00C157B9" w:rsidRPr="00E55E43" w:rsidRDefault="00C157B9" w:rsidP="00441B6F">
      <w:pPr>
        <w:pStyle w:val="Body"/>
        <w:spacing w:after="0"/>
        <w:rPr>
          <w:rFonts w:ascii="Arial" w:hAnsi="Arial" w:cs="Arial"/>
        </w:rPr>
      </w:pPr>
    </w:p>
    <w:p w14:paraId="50E06201" w14:textId="77777777" w:rsidR="00C157B9" w:rsidRPr="00E55E43" w:rsidRDefault="00C157B9" w:rsidP="00C157B9">
      <w:pPr>
        <w:pStyle w:val="Body"/>
        <w:rPr>
          <w:rFonts w:ascii="Arial" w:hAnsi="Arial" w:cs="Arial"/>
        </w:rPr>
      </w:pPr>
      <w:r w:rsidRPr="00E55E43">
        <w:rPr>
          <w:rFonts w:ascii="Arial" w:hAnsi="Arial" w:cs="Arial"/>
        </w:rPr>
        <w:t>3.2.2</w:t>
      </w:r>
      <w:r w:rsidRPr="00E55E43">
        <w:rPr>
          <w:rFonts w:ascii="Arial" w:hAnsi="Arial" w:cs="Arial"/>
        </w:rPr>
        <w:tab/>
        <w:t xml:space="preserve">Model Estimation Technique </w:t>
      </w:r>
    </w:p>
    <w:p w14:paraId="4B1C9D0D" w14:textId="77777777" w:rsidR="00C157B9" w:rsidRPr="00E55E43" w:rsidRDefault="00C157B9" w:rsidP="00C157B9">
      <w:pPr>
        <w:pStyle w:val="Body"/>
        <w:rPr>
          <w:rFonts w:ascii="Arial" w:hAnsi="Arial" w:cs="Arial"/>
        </w:rPr>
      </w:pPr>
      <w:r w:rsidRPr="00E55E43">
        <w:rPr>
          <w:rFonts w:ascii="Arial" w:hAnsi="Arial" w:cs="Arial"/>
        </w:rPr>
        <w:t>The six-stage estimation procedure for VAR, as suggested by Suharsono et al.,  (2017), is adapted in this study. The steps includes:</w:t>
      </w:r>
    </w:p>
    <w:p w14:paraId="23C1C9A6" w14:textId="77777777" w:rsidR="00C157B9" w:rsidRPr="00E55E43" w:rsidRDefault="00C157B9" w:rsidP="00C157B9">
      <w:pPr>
        <w:pStyle w:val="Body"/>
        <w:rPr>
          <w:rFonts w:ascii="Arial" w:hAnsi="Arial" w:cs="Arial"/>
        </w:rPr>
      </w:pPr>
      <w:r w:rsidRPr="00E55E43">
        <w:rPr>
          <w:rFonts w:ascii="Arial" w:hAnsi="Arial" w:cs="Arial"/>
        </w:rPr>
        <w:t>i.</w:t>
      </w:r>
      <w:r w:rsidRPr="00E55E43">
        <w:rPr>
          <w:rFonts w:ascii="Arial" w:hAnsi="Arial" w:cs="Arial"/>
        </w:rPr>
        <w:tab/>
        <w:t xml:space="preserve"> Testing for stationarity of data  </w:t>
      </w:r>
    </w:p>
    <w:p w14:paraId="5C61BB8C" w14:textId="77777777" w:rsidR="00C157B9" w:rsidRPr="00E55E43" w:rsidRDefault="00C157B9" w:rsidP="00C157B9">
      <w:pPr>
        <w:pStyle w:val="Body"/>
        <w:rPr>
          <w:rFonts w:ascii="Arial" w:hAnsi="Arial" w:cs="Arial"/>
        </w:rPr>
      </w:pPr>
      <w:r w:rsidRPr="00E55E43">
        <w:rPr>
          <w:rFonts w:ascii="Arial" w:hAnsi="Arial" w:cs="Arial"/>
        </w:rPr>
        <w:t>ii.</w:t>
      </w:r>
      <w:r w:rsidRPr="00E55E43">
        <w:rPr>
          <w:rFonts w:ascii="Arial" w:hAnsi="Arial" w:cs="Arial"/>
        </w:rPr>
        <w:tab/>
        <w:t>Determining the lag length</w:t>
      </w:r>
    </w:p>
    <w:p w14:paraId="2C64C653" w14:textId="77777777" w:rsidR="00C157B9" w:rsidRPr="00E55E43" w:rsidRDefault="00C157B9" w:rsidP="00C157B9">
      <w:pPr>
        <w:pStyle w:val="Body"/>
        <w:rPr>
          <w:rFonts w:ascii="Arial" w:hAnsi="Arial" w:cs="Arial"/>
        </w:rPr>
      </w:pPr>
      <w:r w:rsidRPr="00E55E43">
        <w:rPr>
          <w:rFonts w:ascii="Arial" w:hAnsi="Arial" w:cs="Arial"/>
        </w:rPr>
        <w:t>iii.</w:t>
      </w:r>
      <w:r w:rsidRPr="00E55E43">
        <w:rPr>
          <w:rFonts w:ascii="Arial" w:hAnsi="Arial" w:cs="Arial"/>
        </w:rPr>
        <w:tab/>
        <w:t>Granger causality test</w:t>
      </w:r>
    </w:p>
    <w:p w14:paraId="3119172D" w14:textId="77777777" w:rsidR="00C157B9" w:rsidRPr="00E55E43" w:rsidRDefault="00C157B9" w:rsidP="00C157B9">
      <w:pPr>
        <w:pStyle w:val="Body"/>
        <w:rPr>
          <w:rFonts w:ascii="Arial" w:hAnsi="Arial" w:cs="Arial"/>
        </w:rPr>
      </w:pPr>
      <w:r w:rsidRPr="00E55E43">
        <w:rPr>
          <w:rFonts w:ascii="Arial" w:hAnsi="Arial" w:cs="Arial"/>
        </w:rPr>
        <w:t>iv.</w:t>
      </w:r>
      <w:r w:rsidRPr="00E55E43">
        <w:rPr>
          <w:rFonts w:ascii="Arial" w:hAnsi="Arial" w:cs="Arial"/>
        </w:rPr>
        <w:tab/>
        <w:t>VAR model estimation</w:t>
      </w:r>
    </w:p>
    <w:p w14:paraId="2A9AD597" w14:textId="77777777" w:rsidR="00C157B9" w:rsidRPr="00E55E43" w:rsidRDefault="00C157B9" w:rsidP="00C157B9">
      <w:pPr>
        <w:pStyle w:val="Body"/>
        <w:rPr>
          <w:rFonts w:ascii="Arial" w:hAnsi="Arial" w:cs="Arial"/>
        </w:rPr>
      </w:pPr>
      <w:r w:rsidRPr="00E55E43">
        <w:rPr>
          <w:rFonts w:ascii="Arial" w:hAnsi="Arial" w:cs="Arial"/>
        </w:rPr>
        <w:t>v.</w:t>
      </w:r>
      <w:r w:rsidRPr="00E55E43">
        <w:rPr>
          <w:rFonts w:ascii="Arial" w:hAnsi="Arial" w:cs="Arial"/>
        </w:rPr>
        <w:tab/>
        <w:t>Residual diagnostics</w:t>
      </w:r>
    </w:p>
    <w:p w14:paraId="1100DD32" w14:textId="77777777" w:rsidR="00C157B9" w:rsidRPr="00E55E43" w:rsidRDefault="00C157B9" w:rsidP="00C157B9">
      <w:pPr>
        <w:pStyle w:val="Body"/>
        <w:spacing w:after="0"/>
        <w:rPr>
          <w:rFonts w:ascii="Arial" w:hAnsi="Arial" w:cs="Arial"/>
        </w:rPr>
      </w:pPr>
      <w:r w:rsidRPr="00E55E43">
        <w:rPr>
          <w:rFonts w:ascii="Arial" w:hAnsi="Arial" w:cs="Arial"/>
        </w:rPr>
        <w:t>vi.</w:t>
      </w:r>
      <w:r w:rsidRPr="00E55E43">
        <w:rPr>
          <w:rFonts w:ascii="Arial" w:hAnsi="Arial" w:cs="Arial"/>
        </w:rPr>
        <w:tab/>
        <w:t>Forecasting</w:t>
      </w:r>
    </w:p>
    <w:p w14:paraId="69328ABF" w14:textId="77777777" w:rsidR="00790ADA" w:rsidRPr="00E55E43" w:rsidRDefault="00790ADA" w:rsidP="00441B6F">
      <w:pPr>
        <w:pStyle w:val="Body"/>
        <w:spacing w:after="0"/>
        <w:rPr>
          <w:rFonts w:ascii="Arial" w:hAnsi="Arial" w:cs="Arial"/>
        </w:rPr>
      </w:pPr>
    </w:p>
    <w:p w14:paraId="5301BB72" w14:textId="77777777" w:rsidR="00902823" w:rsidRPr="00E55E43" w:rsidRDefault="00000F8F" w:rsidP="00441B6F">
      <w:pPr>
        <w:pStyle w:val="Head1"/>
        <w:spacing w:after="0"/>
        <w:jc w:val="both"/>
        <w:rPr>
          <w:rFonts w:ascii="Arial" w:hAnsi="Arial" w:cs="Arial"/>
          <w:sz w:val="20"/>
        </w:rPr>
      </w:pPr>
      <w:r w:rsidRPr="00E55E43">
        <w:rPr>
          <w:rFonts w:ascii="Arial" w:hAnsi="Arial" w:cs="Arial"/>
          <w:sz w:val="20"/>
        </w:rPr>
        <w:t>3</w:t>
      </w:r>
      <w:r w:rsidR="00902823" w:rsidRPr="00E55E43">
        <w:rPr>
          <w:rFonts w:ascii="Arial" w:hAnsi="Arial" w:cs="Arial"/>
          <w:sz w:val="20"/>
        </w:rPr>
        <w:t xml:space="preserve">. </w:t>
      </w:r>
      <w:r w:rsidRPr="00E55E43">
        <w:rPr>
          <w:rFonts w:ascii="Arial" w:hAnsi="Arial" w:cs="Arial"/>
          <w:sz w:val="20"/>
        </w:rPr>
        <w:t>results and discussion</w:t>
      </w:r>
    </w:p>
    <w:p w14:paraId="0480DA23" w14:textId="77777777" w:rsidR="00790ADA" w:rsidRPr="00E55E43" w:rsidRDefault="00790ADA" w:rsidP="00441B6F">
      <w:pPr>
        <w:pStyle w:val="Head1"/>
        <w:spacing w:after="0"/>
        <w:jc w:val="both"/>
        <w:rPr>
          <w:rFonts w:ascii="Arial" w:hAnsi="Arial" w:cs="Arial"/>
          <w:sz w:val="20"/>
        </w:rPr>
      </w:pPr>
    </w:p>
    <w:p w14:paraId="5E3D1C66" w14:textId="77777777" w:rsidR="00C157B9" w:rsidRPr="00E55E43" w:rsidRDefault="00C157B9" w:rsidP="00C157B9">
      <w:pPr>
        <w:jc w:val="both"/>
        <w:rPr>
          <w:rFonts w:ascii="Arial" w:hAnsi="Arial" w:cs="Arial"/>
          <w:b/>
          <w:bCs/>
        </w:rPr>
      </w:pPr>
      <w:r w:rsidRPr="00E55E43">
        <w:rPr>
          <w:rFonts w:ascii="Arial" w:hAnsi="Arial" w:cs="Arial"/>
          <w:b/>
          <w:bCs/>
        </w:rPr>
        <w:t xml:space="preserve">3.1Descriptive Statistics and Data Representation </w:t>
      </w:r>
    </w:p>
    <w:p w14:paraId="69774AEC" w14:textId="171330D3" w:rsidR="00C157B9" w:rsidRPr="00E55E43" w:rsidRDefault="00C157B9" w:rsidP="00C157B9">
      <w:pPr>
        <w:jc w:val="both"/>
        <w:rPr>
          <w:rFonts w:ascii="Arial" w:hAnsi="Arial" w:cs="Arial"/>
        </w:rPr>
      </w:pPr>
      <w:r w:rsidRPr="00E55E43">
        <w:rPr>
          <w:rFonts w:ascii="Arial" w:hAnsi="Arial" w:cs="Arial"/>
        </w:rPr>
        <w:t xml:space="preserve">The descriptive statistics of the interacting variables including COVID-19 Daily confirmed cases (CC), Nigerian Stock Exchange All Shares Index ASI), Nigerian Crude Oil Price (OP) and United State Dollar to Nigerian Naira daily exchange rate (NGNUSD) are seen in Table 1. This clearly shows that the data </w:t>
      </w:r>
      <w:r w:rsidRPr="00C17C20">
        <w:rPr>
          <w:rFonts w:ascii="Arial" w:hAnsi="Arial" w:cs="Arial"/>
          <w:highlight w:val="yellow"/>
        </w:rPr>
        <w:t xml:space="preserve">used are normally distributed, following the probability of the Jarque Bera Statistics having p-values </w:t>
      </w:r>
      <w:r w:rsidR="00852680" w:rsidRPr="00C17C20">
        <w:rPr>
          <w:rFonts w:ascii="Arial" w:hAnsi="Arial" w:cs="Arial"/>
          <w:highlight w:val="yellow"/>
        </w:rPr>
        <w:t>greater</w:t>
      </w:r>
      <w:r w:rsidRPr="00C17C20">
        <w:rPr>
          <w:rFonts w:ascii="Arial" w:hAnsi="Arial" w:cs="Arial"/>
          <w:highlight w:val="yellow"/>
        </w:rPr>
        <w:t xml:space="preserve"> than 0.05.</w:t>
      </w:r>
    </w:p>
    <w:p w14:paraId="20821FB8" w14:textId="3CA3E17E" w:rsidR="00C157B9" w:rsidRPr="00E55E43" w:rsidRDefault="00C157B9" w:rsidP="00C157B9">
      <w:pPr>
        <w:jc w:val="both"/>
        <w:rPr>
          <w:rFonts w:ascii="Arial" w:hAnsi="Arial" w:cs="Arial"/>
        </w:rPr>
      </w:pPr>
      <w:r w:rsidRPr="00E55E43">
        <w:rPr>
          <w:rFonts w:ascii="Arial" w:hAnsi="Arial" w:cs="Arial"/>
        </w:rPr>
        <w:t xml:space="preserve"> Also the four datasets were graphically represented using line plots as seen in Figure1</w:t>
      </w:r>
      <w:r w:rsidR="00483162" w:rsidRPr="00E55E43">
        <w:rPr>
          <w:rFonts w:ascii="Arial" w:hAnsi="Arial" w:cs="Arial"/>
        </w:rPr>
        <w:t>a</w:t>
      </w:r>
      <w:r w:rsidRPr="00E55E43">
        <w:rPr>
          <w:rFonts w:ascii="Arial" w:hAnsi="Arial" w:cs="Arial"/>
        </w:rPr>
        <w:t xml:space="preserve"> - Figure </w:t>
      </w:r>
      <w:r w:rsidR="00483162" w:rsidRPr="00E55E43">
        <w:rPr>
          <w:rFonts w:ascii="Arial" w:hAnsi="Arial" w:cs="Arial"/>
        </w:rPr>
        <w:t>1d</w:t>
      </w:r>
      <w:r w:rsidRPr="00E55E43">
        <w:rPr>
          <w:rFonts w:ascii="Arial" w:hAnsi="Arial" w:cs="Arial"/>
        </w:rPr>
        <w:t xml:space="preserve"> . In Figure 1</w:t>
      </w:r>
      <w:r w:rsidR="00483162" w:rsidRPr="00E55E43">
        <w:rPr>
          <w:rFonts w:ascii="Arial" w:hAnsi="Arial" w:cs="Arial"/>
        </w:rPr>
        <w:t>a</w:t>
      </w:r>
      <w:r w:rsidRPr="00E55E43">
        <w:rPr>
          <w:rFonts w:ascii="Arial" w:hAnsi="Arial" w:cs="Arial"/>
        </w:rPr>
        <w:t xml:space="preserve"> the time series plot of daily confirmed cases of COVID-19 in Nigerian, within the time specified for the study (501 days). Similarly, in Figure </w:t>
      </w:r>
      <w:r w:rsidR="00483162" w:rsidRPr="00E55E43">
        <w:rPr>
          <w:rFonts w:ascii="Arial" w:hAnsi="Arial" w:cs="Arial"/>
        </w:rPr>
        <w:t>1b</w:t>
      </w:r>
      <w:r w:rsidRPr="00E55E43">
        <w:rPr>
          <w:rFonts w:ascii="Arial" w:hAnsi="Arial" w:cs="Arial"/>
        </w:rPr>
        <w:t xml:space="preserve">, daily Nigeria Stock Exchange All Shares Index was graphically represented , showing trends. </w:t>
      </w:r>
    </w:p>
    <w:p w14:paraId="3B07A378" w14:textId="3809337B" w:rsidR="001E4337" w:rsidRPr="00E55E43" w:rsidRDefault="00C157B9" w:rsidP="00C157B9">
      <w:pPr>
        <w:jc w:val="both"/>
        <w:rPr>
          <w:rFonts w:ascii="Arial" w:hAnsi="Arial" w:cs="Arial"/>
        </w:rPr>
      </w:pPr>
      <w:r w:rsidRPr="00E55E43">
        <w:rPr>
          <w:rFonts w:ascii="Arial" w:hAnsi="Arial" w:cs="Arial"/>
        </w:rPr>
        <w:t xml:space="preserve">Also, in Figure </w:t>
      </w:r>
      <w:r w:rsidR="00483162" w:rsidRPr="00E55E43">
        <w:rPr>
          <w:rFonts w:ascii="Arial" w:hAnsi="Arial" w:cs="Arial"/>
        </w:rPr>
        <w:t>1c</w:t>
      </w:r>
      <w:r w:rsidRPr="00E55E43">
        <w:rPr>
          <w:rFonts w:ascii="Arial" w:hAnsi="Arial" w:cs="Arial"/>
        </w:rPr>
        <w:t xml:space="preserve">, the daily Nigeria Crude oil Price was graphically represented for the time period under study while the daily Nigerian Naira/ United Stated Dollar exchange rate was represented in Figure </w:t>
      </w:r>
      <w:r w:rsidR="00483162" w:rsidRPr="00E55E43">
        <w:rPr>
          <w:rFonts w:ascii="Arial" w:hAnsi="Arial" w:cs="Arial"/>
        </w:rPr>
        <w:t>1d</w:t>
      </w:r>
      <w:r w:rsidRPr="00E55E43">
        <w:rPr>
          <w:rFonts w:ascii="Arial" w:hAnsi="Arial" w:cs="Arial"/>
        </w:rPr>
        <w:t>.</w:t>
      </w:r>
    </w:p>
    <w:p w14:paraId="2F171354" w14:textId="77777777" w:rsidR="00C157B9" w:rsidRPr="00E55E43" w:rsidRDefault="00C157B9" w:rsidP="00C157B9">
      <w:pPr>
        <w:jc w:val="both"/>
        <w:rPr>
          <w:rFonts w:ascii="Arial" w:hAnsi="Arial" w:cs="Arial"/>
        </w:rPr>
      </w:pPr>
    </w:p>
    <w:p w14:paraId="234D441A" w14:textId="61C085F2" w:rsidR="00C157B9" w:rsidRPr="00E55E43" w:rsidRDefault="00C157B9" w:rsidP="00C157B9">
      <w:pPr>
        <w:jc w:val="both"/>
        <w:rPr>
          <w:rFonts w:ascii="Arial" w:hAnsi="Arial" w:cs="Arial"/>
          <w:b/>
          <w:bCs/>
        </w:rPr>
      </w:pPr>
      <w:r w:rsidRPr="00E55E43">
        <w:rPr>
          <w:rFonts w:ascii="Arial" w:hAnsi="Arial" w:cs="Arial"/>
          <w:b/>
          <w:bCs/>
        </w:rPr>
        <w:t xml:space="preserve">Table 1: Descriptive Statistics of Variables </w:t>
      </w:r>
    </w:p>
    <w:tbl>
      <w:tblPr>
        <w:tblW w:w="0" w:type="auto"/>
        <w:tblInd w:w="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47"/>
        <w:gridCol w:w="1537"/>
        <w:gridCol w:w="1536"/>
        <w:gridCol w:w="1537"/>
        <w:gridCol w:w="1536"/>
      </w:tblGrid>
      <w:tr w:rsidR="00C157B9" w:rsidRPr="00E55E43" w14:paraId="4BCC9870" w14:textId="77777777" w:rsidTr="00FF2D46">
        <w:trPr>
          <w:trHeight w:val="298"/>
        </w:trPr>
        <w:tc>
          <w:tcPr>
            <w:tcW w:w="1747" w:type="dxa"/>
            <w:tcBorders>
              <w:top w:val="single" w:sz="4" w:space="0" w:color="auto"/>
              <w:bottom w:val="single" w:sz="4" w:space="0" w:color="auto"/>
            </w:tcBorders>
            <w:vAlign w:val="bottom"/>
          </w:tcPr>
          <w:p w14:paraId="663A50F7" w14:textId="77777777" w:rsidR="00C157B9" w:rsidRPr="00E55E43" w:rsidRDefault="00C157B9" w:rsidP="00C157B9">
            <w:pPr>
              <w:autoSpaceDE w:val="0"/>
              <w:autoSpaceDN w:val="0"/>
              <w:adjustRightInd w:val="0"/>
              <w:jc w:val="center"/>
              <w:rPr>
                <w:rFonts w:ascii="Arial" w:hAnsi="Arial" w:cs="Arial"/>
              </w:rPr>
            </w:pPr>
          </w:p>
        </w:tc>
        <w:tc>
          <w:tcPr>
            <w:tcW w:w="1537" w:type="dxa"/>
            <w:tcBorders>
              <w:top w:val="single" w:sz="4" w:space="0" w:color="auto"/>
              <w:bottom w:val="single" w:sz="4" w:space="0" w:color="auto"/>
            </w:tcBorders>
            <w:vAlign w:val="bottom"/>
          </w:tcPr>
          <w:p w14:paraId="6641046C"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CC</w:t>
            </w:r>
          </w:p>
        </w:tc>
        <w:tc>
          <w:tcPr>
            <w:tcW w:w="1536" w:type="dxa"/>
            <w:tcBorders>
              <w:top w:val="single" w:sz="4" w:space="0" w:color="auto"/>
              <w:bottom w:val="single" w:sz="4" w:space="0" w:color="auto"/>
            </w:tcBorders>
            <w:vAlign w:val="bottom"/>
          </w:tcPr>
          <w:p w14:paraId="67538444"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ASI</w:t>
            </w:r>
          </w:p>
        </w:tc>
        <w:tc>
          <w:tcPr>
            <w:tcW w:w="1537" w:type="dxa"/>
            <w:tcBorders>
              <w:top w:val="single" w:sz="4" w:space="0" w:color="auto"/>
              <w:bottom w:val="single" w:sz="4" w:space="0" w:color="auto"/>
            </w:tcBorders>
            <w:vAlign w:val="bottom"/>
          </w:tcPr>
          <w:p w14:paraId="0A06072A"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OP</w:t>
            </w:r>
          </w:p>
        </w:tc>
        <w:tc>
          <w:tcPr>
            <w:tcW w:w="1536" w:type="dxa"/>
            <w:tcBorders>
              <w:top w:val="single" w:sz="4" w:space="0" w:color="auto"/>
              <w:bottom w:val="single" w:sz="4" w:space="0" w:color="auto"/>
            </w:tcBorders>
            <w:vAlign w:val="bottom"/>
          </w:tcPr>
          <w:p w14:paraId="244D7D4C" w14:textId="77777777" w:rsidR="00C157B9" w:rsidRPr="00E55E43" w:rsidRDefault="00C157B9" w:rsidP="00C157B9">
            <w:pPr>
              <w:autoSpaceDE w:val="0"/>
              <w:autoSpaceDN w:val="0"/>
              <w:adjustRightInd w:val="0"/>
              <w:jc w:val="center"/>
              <w:rPr>
                <w:rFonts w:ascii="Arial" w:hAnsi="Arial" w:cs="Arial"/>
                <w:b/>
                <w:bCs/>
              </w:rPr>
            </w:pPr>
            <w:r w:rsidRPr="00E55E43">
              <w:rPr>
                <w:rFonts w:ascii="Arial" w:hAnsi="Arial" w:cs="Arial"/>
                <w:b/>
                <w:bCs/>
              </w:rPr>
              <w:t>NGNUSD</w:t>
            </w:r>
          </w:p>
        </w:tc>
      </w:tr>
      <w:tr w:rsidR="00C157B9" w:rsidRPr="00E55E43" w14:paraId="4E145907" w14:textId="77777777" w:rsidTr="00FF2D46">
        <w:trPr>
          <w:trHeight w:val="298"/>
        </w:trPr>
        <w:tc>
          <w:tcPr>
            <w:tcW w:w="1747" w:type="dxa"/>
            <w:tcBorders>
              <w:top w:val="single" w:sz="4" w:space="0" w:color="auto"/>
            </w:tcBorders>
            <w:vAlign w:val="bottom"/>
          </w:tcPr>
          <w:p w14:paraId="0300D3A3"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Mean</w:t>
            </w:r>
          </w:p>
        </w:tc>
        <w:tc>
          <w:tcPr>
            <w:tcW w:w="1537" w:type="dxa"/>
            <w:tcBorders>
              <w:top w:val="single" w:sz="4" w:space="0" w:color="auto"/>
            </w:tcBorders>
            <w:vAlign w:val="bottom"/>
          </w:tcPr>
          <w:p w14:paraId="51C3CA9D"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397.8603</w:t>
            </w:r>
          </w:p>
        </w:tc>
        <w:tc>
          <w:tcPr>
            <w:tcW w:w="1536" w:type="dxa"/>
            <w:tcBorders>
              <w:top w:val="single" w:sz="4" w:space="0" w:color="auto"/>
            </w:tcBorders>
            <w:vAlign w:val="bottom"/>
          </w:tcPr>
          <w:p w14:paraId="5F40BDE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37.97757</w:t>
            </w:r>
          </w:p>
        </w:tc>
        <w:tc>
          <w:tcPr>
            <w:tcW w:w="1537" w:type="dxa"/>
            <w:tcBorders>
              <w:top w:val="single" w:sz="4" w:space="0" w:color="auto"/>
            </w:tcBorders>
            <w:vAlign w:val="bottom"/>
          </w:tcPr>
          <w:p w14:paraId="51C33C9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69.26204</w:t>
            </w:r>
          </w:p>
        </w:tc>
        <w:tc>
          <w:tcPr>
            <w:tcW w:w="1536" w:type="dxa"/>
            <w:tcBorders>
              <w:top w:val="single" w:sz="4" w:space="0" w:color="auto"/>
            </w:tcBorders>
            <w:vAlign w:val="bottom"/>
          </w:tcPr>
          <w:p w14:paraId="49F81A4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397.0115</w:t>
            </w:r>
          </w:p>
        </w:tc>
      </w:tr>
      <w:tr w:rsidR="00C157B9" w:rsidRPr="00E55E43" w14:paraId="0821688E" w14:textId="77777777" w:rsidTr="00FF2D46">
        <w:trPr>
          <w:trHeight w:val="298"/>
        </w:trPr>
        <w:tc>
          <w:tcPr>
            <w:tcW w:w="1747" w:type="dxa"/>
            <w:vAlign w:val="bottom"/>
          </w:tcPr>
          <w:p w14:paraId="7DA82F77"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Median</w:t>
            </w:r>
          </w:p>
        </w:tc>
        <w:tc>
          <w:tcPr>
            <w:tcW w:w="1537" w:type="dxa"/>
            <w:vAlign w:val="bottom"/>
          </w:tcPr>
          <w:p w14:paraId="3831E4D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281.0000</w:t>
            </w:r>
          </w:p>
        </w:tc>
        <w:tc>
          <w:tcPr>
            <w:tcW w:w="1536" w:type="dxa"/>
            <w:vAlign w:val="bottom"/>
          </w:tcPr>
          <w:p w14:paraId="6D24C24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39.19875</w:t>
            </w:r>
          </w:p>
        </w:tc>
        <w:tc>
          <w:tcPr>
            <w:tcW w:w="1537" w:type="dxa"/>
            <w:vAlign w:val="bottom"/>
          </w:tcPr>
          <w:p w14:paraId="363E042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68.61000</w:t>
            </w:r>
          </w:p>
        </w:tc>
        <w:tc>
          <w:tcPr>
            <w:tcW w:w="1536" w:type="dxa"/>
            <w:vAlign w:val="bottom"/>
          </w:tcPr>
          <w:p w14:paraId="0431DE14"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390.0000</w:t>
            </w:r>
          </w:p>
        </w:tc>
      </w:tr>
      <w:tr w:rsidR="00C157B9" w:rsidRPr="00E55E43" w14:paraId="03FF7378" w14:textId="77777777" w:rsidTr="00FF2D46">
        <w:trPr>
          <w:trHeight w:val="298"/>
        </w:trPr>
        <w:tc>
          <w:tcPr>
            <w:tcW w:w="1747" w:type="dxa"/>
            <w:vAlign w:val="bottom"/>
          </w:tcPr>
          <w:p w14:paraId="04B4C769"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Maximum</w:t>
            </w:r>
          </w:p>
        </w:tc>
        <w:tc>
          <w:tcPr>
            <w:tcW w:w="1537" w:type="dxa"/>
            <w:vAlign w:val="bottom"/>
          </w:tcPr>
          <w:p w14:paraId="2652C6FC"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2464.000</w:t>
            </w:r>
          </w:p>
        </w:tc>
        <w:tc>
          <w:tcPr>
            <w:tcW w:w="1536" w:type="dxa"/>
            <w:vAlign w:val="bottom"/>
          </w:tcPr>
          <w:p w14:paraId="50A8821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54.08530</w:t>
            </w:r>
          </w:p>
        </w:tc>
        <w:tc>
          <w:tcPr>
            <w:tcW w:w="1537" w:type="dxa"/>
            <w:vAlign w:val="bottom"/>
          </w:tcPr>
          <w:p w14:paraId="6B93B6AC"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139.4100</w:t>
            </w:r>
          </w:p>
        </w:tc>
        <w:tc>
          <w:tcPr>
            <w:tcW w:w="1536" w:type="dxa"/>
            <w:vAlign w:val="bottom"/>
          </w:tcPr>
          <w:p w14:paraId="1CD3CA2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418.1700</w:t>
            </w:r>
          </w:p>
        </w:tc>
      </w:tr>
      <w:tr w:rsidR="00C157B9" w:rsidRPr="00E55E43" w14:paraId="5598316C" w14:textId="77777777" w:rsidTr="00FF2D46">
        <w:trPr>
          <w:trHeight w:val="298"/>
        </w:trPr>
        <w:tc>
          <w:tcPr>
            <w:tcW w:w="1747" w:type="dxa"/>
            <w:vAlign w:val="bottom"/>
          </w:tcPr>
          <w:p w14:paraId="79FD7DA2"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Minimum</w:t>
            </w:r>
          </w:p>
        </w:tc>
        <w:tc>
          <w:tcPr>
            <w:tcW w:w="1537" w:type="dxa"/>
            <w:vAlign w:val="bottom"/>
          </w:tcPr>
          <w:p w14:paraId="0CC9B52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0.000000</w:t>
            </w:r>
          </w:p>
        </w:tc>
        <w:tc>
          <w:tcPr>
            <w:tcW w:w="1536" w:type="dxa"/>
            <w:vAlign w:val="bottom"/>
          </w:tcPr>
          <w:p w14:paraId="3137520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24.09808</w:t>
            </w:r>
          </w:p>
        </w:tc>
        <w:tc>
          <w:tcPr>
            <w:tcW w:w="1537" w:type="dxa"/>
            <w:vAlign w:val="bottom"/>
          </w:tcPr>
          <w:p w14:paraId="32531E4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26.27000</w:t>
            </w:r>
          </w:p>
        </w:tc>
        <w:tc>
          <w:tcPr>
            <w:tcW w:w="1536" w:type="dxa"/>
            <w:vAlign w:val="bottom"/>
          </w:tcPr>
          <w:p w14:paraId="39BE538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375.4653</w:t>
            </w:r>
          </w:p>
        </w:tc>
      </w:tr>
      <w:tr w:rsidR="00C157B9" w:rsidRPr="00E55E43" w14:paraId="25493B79" w14:textId="77777777" w:rsidTr="00FF2D46">
        <w:trPr>
          <w:trHeight w:val="298"/>
        </w:trPr>
        <w:tc>
          <w:tcPr>
            <w:tcW w:w="1747" w:type="dxa"/>
            <w:vAlign w:val="bottom"/>
          </w:tcPr>
          <w:p w14:paraId="4AACD6F9"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Std. Dev.</w:t>
            </w:r>
          </w:p>
        </w:tc>
        <w:tc>
          <w:tcPr>
            <w:tcW w:w="1537" w:type="dxa"/>
            <w:vAlign w:val="bottom"/>
          </w:tcPr>
          <w:p w14:paraId="63BFE70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402.8271</w:t>
            </w:r>
          </w:p>
        </w:tc>
        <w:tc>
          <w:tcPr>
            <w:tcW w:w="1536" w:type="dxa"/>
            <w:vAlign w:val="bottom"/>
          </w:tcPr>
          <w:p w14:paraId="540E9F7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7.682307</w:t>
            </w:r>
          </w:p>
        </w:tc>
        <w:tc>
          <w:tcPr>
            <w:tcW w:w="1537" w:type="dxa"/>
            <w:vAlign w:val="bottom"/>
          </w:tcPr>
          <w:p w14:paraId="5009046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23.58714</w:t>
            </w:r>
          </w:p>
        </w:tc>
        <w:tc>
          <w:tcPr>
            <w:tcW w:w="1536" w:type="dxa"/>
            <w:vAlign w:val="bottom"/>
          </w:tcPr>
          <w:p w14:paraId="04FAD1A4"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15.05985</w:t>
            </w:r>
          </w:p>
        </w:tc>
      </w:tr>
      <w:tr w:rsidR="00C157B9" w:rsidRPr="00E55E43" w14:paraId="1690CCFB" w14:textId="77777777" w:rsidTr="00FF2D46">
        <w:trPr>
          <w:trHeight w:val="298"/>
        </w:trPr>
        <w:tc>
          <w:tcPr>
            <w:tcW w:w="1747" w:type="dxa"/>
            <w:vAlign w:val="bottom"/>
          </w:tcPr>
          <w:p w14:paraId="057B61F5"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Skewness</w:t>
            </w:r>
          </w:p>
        </w:tc>
        <w:tc>
          <w:tcPr>
            <w:tcW w:w="1537" w:type="dxa"/>
            <w:vAlign w:val="bottom"/>
          </w:tcPr>
          <w:p w14:paraId="6969B50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1.749421</w:t>
            </w:r>
          </w:p>
        </w:tc>
        <w:tc>
          <w:tcPr>
            <w:tcW w:w="1536" w:type="dxa"/>
            <w:vAlign w:val="bottom"/>
          </w:tcPr>
          <w:p w14:paraId="175333F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-0.426152</w:t>
            </w:r>
          </w:p>
        </w:tc>
        <w:tc>
          <w:tcPr>
            <w:tcW w:w="1537" w:type="dxa"/>
            <w:vAlign w:val="bottom"/>
          </w:tcPr>
          <w:p w14:paraId="6DFCB9A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0.569067</w:t>
            </w:r>
          </w:p>
        </w:tc>
        <w:tc>
          <w:tcPr>
            <w:tcW w:w="1536" w:type="dxa"/>
            <w:vAlign w:val="bottom"/>
          </w:tcPr>
          <w:p w14:paraId="136B4DB5"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0.001437</w:t>
            </w:r>
          </w:p>
        </w:tc>
      </w:tr>
      <w:tr w:rsidR="00C157B9" w:rsidRPr="00E55E43" w14:paraId="735D6B8D" w14:textId="77777777" w:rsidTr="00FF2D46">
        <w:trPr>
          <w:trHeight w:val="298"/>
        </w:trPr>
        <w:tc>
          <w:tcPr>
            <w:tcW w:w="1747" w:type="dxa"/>
            <w:vAlign w:val="bottom"/>
          </w:tcPr>
          <w:p w14:paraId="4C1483D0"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Kurtosis</w:t>
            </w:r>
          </w:p>
        </w:tc>
        <w:tc>
          <w:tcPr>
            <w:tcW w:w="1537" w:type="dxa"/>
            <w:vAlign w:val="bottom"/>
          </w:tcPr>
          <w:p w14:paraId="4A11991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6.407982</w:t>
            </w:r>
          </w:p>
        </w:tc>
        <w:tc>
          <w:tcPr>
            <w:tcW w:w="1536" w:type="dxa"/>
            <w:vAlign w:val="bottom"/>
          </w:tcPr>
          <w:p w14:paraId="202B72C8"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2.369564</w:t>
            </w:r>
          </w:p>
        </w:tc>
        <w:tc>
          <w:tcPr>
            <w:tcW w:w="1537" w:type="dxa"/>
            <w:vAlign w:val="bottom"/>
          </w:tcPr>
          <w:p w14:paraId="3DDF318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2.656824</w:t>
            </w:r>
          </w:p>
        </w:tc>
        <w:tc>
          <w:tcPr>
            <w:tcW w:w="1536" w:type="dxa"/>
            <w:vAlign w:val="bottom"/>
          </w:tcPr>
          <w:p w14:paraId="367CF8B1"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1.109366</w:t>
            </w:r>
          </w:p>
        </w:tc>
      </w:tr>
      <w:tr w:rsidR="00C157B9" w:rsidRPr="00E55E43" w14:paraId="43E8988D" w14:textId="77777777" w:rsidTr="00FF2D46">
        <w:trPr>
          <w:trHeight w:val="80"/>
        </w:trPr>
        <w:tc>
          <w:tcPr>
            <w:tcW w:w="1747" w:type="dxa"/>
            <w:vAlign w:val="bottom"/>
          </w:tcPr>
          <w:p w14:paraId="61F3E47A"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490F7A8"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2879D1FB"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4795DE0"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1F135675" w14:textId="77777777" w:rsidR="00C157B9" w:rsidRPr="00E55E43" w:rsidRDefault="00C157B9" w:rsidP="00C157B9">
            <w:pPr>
              <w:autoSpaceDE w:val="0"/>
              <w:autoSpaceDN w:val="0"/>
              <w:adjustRightInd w:val="0"/>
              <w:jc w:val="center"/>
              <w:rPr>
                <w:rFonts w:ascii="Arial" w:hAnsi="Arial" w:cs="Arial"/>
              </w:rPr>
            </w:pPr>
          </w:p>
        </w:tc>
      </w:tr>
      <w:tr w:rsidR="00C157B9" w:rsidRPr="00E55E43" w14:paraId="3D1C20ED" w14:textId="77777777" w:rsidTr="00FF2D46">
        <w:trPr>
          <w:trHeight w:val="298"/>
        </w:trPr>
        <w:tc>
          <w:tcPr>
            <w:tcW w:w="1747" w:type="dxa"/>
            <w:vAlign w:val="bottom"/>
          </w:tcPr>
          <w:p w14:paraId="4D312F17"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Jarque-Bera</w:t>
            </w:r>
          </w:p>
        </w:tc>
        <w:tc>
          <w:tcPr>
            <w:tcW w:w="1537" w:type="dxa"/>
            <w:vAlign w:val="bottom"/>
          </w:tcPr>
          <w:p w14:paraId="72E86556"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497.9989</w:t>
            </w:r>
          </w:p>
        </w:tc>
        <w:tc>
          <w:tcPr>
            <w:tcW w:w="1536" w:type="dxa"/>
            <w:vAlign w:val="bottom"/>
          </w:tcPr>
          <w:p w14:paraId="5884883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23.46085</w:t>
            </w:r>
          </w:p>
        </w:tc>
        <w:tc>
          <w:tcPr>
            <w:tcW w:w="1537" w:type="dxa"/>
            <w:vAlign w:val="bottom"/>
          </w:tcPr>
          <w:p w14:paraId="6F6B202A"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29.49884</w:t>
            </w:r>
          </w:p>
        </w:tc>
        <w:tc>
          <w:tcPr>
            <w:tcW w:w="1536" w:type="dxa"/>
            <w:vAlign w:val="bottom"/>
          </w:tcPr>
          <w:p w14:paraId="7BBDD83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74.61779</w:t>
            </w:r>
          </w:p>
        </w:tc>
      </w:tr>
      <w:tr w:rsidR="00C157B9" w:rsidRPr="00E55E43" w14:paraId="2799B278" w14:textId="77777777" w:rsidTr="00FF2D46">
        <w:trPr>
          <w:trHeight w:val="298"/>
        </w:trPr>
        <w:tc>
          <w:tcPr>
            <w:tcW w:w="1747" w:type="dxa"/>
            <w:vAlign w:val="bottom"/>
          </w:tcPr>
          <w:p w14:paraId="7B27FC6F"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Probability</w:t>
            </w:r>
          </w:p>
        </w:tc>
        <w:tc>
          <w:tcPr>
            <w:tcW w:w="1537" w:type="dxa"/>
            <w:vAlign w:val="bottom"/>
          </w:tcPr>
          <w:p w14:paraId="480C3472"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0.061421</w:t>
            </w:r>
          </w:p>
        </w:tc>
        <w:tc>
          <w:tcPr>
            <w:tcW w:w="1536" w:type="dxa"/>
            <w:vAlign w:val="bottom"/>
          </w:tcPr>
          <w:p w14:paraId="1744D8A7"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0.210510</w:t>
            </w:r>
          </w:p>
        </w:tc>
        <w:tc>
          <w:tcPr>
            <w:tcW w:w="1537" w:type="dxa"/>
            <w:vAlign w:val="bottom"/>
          </w:tcPr>
          <w:p w14:paraId="47382CF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0.3150.2</w:t>
            </w:r>
          </w:p>
        </w:tc>
        <w:tc>
          <w:tcPr>
            <w:tcW w:w="1536" w:type="dxa"/>
            <w:vAlign w:val="bottom"/>
          </w:tcPr>
          <w:p w14:paraId="5122300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0.210547</w:t>
            </w:r>
          </w:p>
        </w:tc>
      </w:tr>
      <w:tr w:rsidR="00C157B9" w:rsidRPr="00E55E43" w14:paraId="7B8495A4" w14:textId="77777777" w:rsidTr="00FF2D46">
        <w:trPr>
          <w:trHeight w:val="298"/>
        </w:trPr>
        <w:tc>
          <w:tcPr>
            <w:tcW w:w="1747" w:type="dxa"/>
            <w:vAlign w:val="bottom"/>
          </w:tcPr>
          <w:p w14:paraId="4E608055"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67281571"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07CB84B8" w14:textId="77777777" w:rsidR="00C157B9" w:rsidRPr="00E55E43" w:rsidRDefault="00C157B9" w:rsidP="00C157B9">
            <w:pPr>
              <w:autoSpaceDE w:val="0"/>
              <w:autoSpaceDN w:val="0"/>
              <w:adjustRightInd w:val="0"/>
              <w:jc w:val="center"/>
              <w:rPr>
                <w:rFonts w:ascii="Arial" w:hAnsi="Arial" w:cs="Arial"/>
              </w:rPr>
            </w:pPr>
          </w:p>
        </w:tc>
        <w:tc>
          <w:tcPr>
            <w:tcW w:w="1537" w:type="dxa"/>
            <w:vAlign w:val="bottom"/>
          </w:tcPr>
          <w:p w14:paraId="25AF3334" w14:textId="77777777" w:rsidR="00C157B9" w:rsidRPr="00E55E43" w:rsidRDefault="00C157B9" w:rsidP="00C157B9">
            <w:pPr>
              <w:autoSpaceDE w:val="0"/>
              <w:autoSpaceDN w:val="0"/>
              <w:adjustRightInd w:val="0"/>
              <w:jc w:val="center"/>
              <w:rPr>
                <w:rFonts w:ascii="Arial" w:hAnsi="Arial" w:cs="Arial"/>
              </w:rPr>
            </w:pPr>
          </w:p>
        </w:tc>
        <w:tc>
          <w:tcPr>
            <w:tcW w:w="1536" w:type="dxa"/>
            <w:vAlign w:val="bottom"/>
          </w:tcPr>
          <w:p w14:paraId="4D4C19BF" w14:textId="77777777" w:rsidR="00C157B9" w:rsidRPr="00E55E43" w:rsidRDefault="00C157B9" w:rsidP="00C157B9">
            <w:pPr>
              <w:autoSpaceDE w:val="0"/>
              <w:autoSpaceDN w:val="0"/>
              <w:adjustRightInd w:val="0"/>
              <w:jc w:val="center"/>
              <w:rPr>
                <w:rFonts w:ascii="Arial" w:hAnsi="Arial" w:cs="Arial"/>
              </w:rPr>
            </w:pPr>
          </w:p>
        </w:tc>
      </w:tr>
      <w:tr w:rsidR="00C157B9" w:rsidRPr="00E55E43" w14:paraId="2B1D3292" w14:textId="77777777" w:rsidTr="00FF2D46">
        <w:trPr>
          <w:trHeight w:val="298"/>
        </w:trPr>
        <w:tc>
          <w:tcPr>
            <w:tcW w:w="1747" w:type="dxa"/>
            <w:vAlign w:val="bottom"/>
          </w:tcPr>
          <w:p w14:paraId="286DABF1" w14:textId="77777777" w:rsidR="00C157B9" w:rsidRPr="00E55E43" w:rsidRDefault="00C157B9" w:rsidP="00C157B9">
            <w:pPr>
              <w:autoSpaceDE w:val="0"/>
              <w:autoSpaceDN w:val="0"/>
              <w:adjustRightInd w:val="0"/>
              <w:rPr>
                <w:rFonts w:ascii="Arial" w:hAnsi="Arial" w:cs="Arial"/>
              </w:rPr>
            </w:pPr>
            <w:r w:rsidRPr="00E55E43">
              <w:rPr>
                <w:rFonts w:ascii="Arial" w:hAnsi="Arial" w:cs="Arial"/>
              </w:rPr>
              <w:t> Sum</w:t>
            </w:r>
          </w:p>
        </w:tc>
        <w:tc>
          <w:tcPr>
            <w:tcW w:w="1537" w:type="dxa"/>
            <w:vAlign w:val="bottom"/>
          </w:tcPr>
          <w:p w14:paraId="1269FDAB"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199328.0</w:t>
            </w:r>
          </w:p>
        </w:tc>
        <w:tc>
          <w:tcPr>
            <w:tcW w:w="1536" w:type="dxa"/>
            <w:vAlign w:val="bottom"/>
          </w:tcPr>
          <w:p w14:paraId="073536AE"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19026.76</w:t>
            </w:r>
          </w:p>
        </w:tc>
        <w:tc>
          <w:tcPr>
            <w:tcW w:w="1537" w:type="dxa"/>
            <w:vAlign w:val="bottom"/>
          </w:tcPr>
          <w:p w14:paraId="1F7F7579"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34700.28</w:t>
            </w:r>
          </w:p>
        </w:tc>
        <w:tc>
          <w:tcPr>
            <w:tcW w:w="1536" w:type="dxa"/>
            <w:vAlign w:val="bottom"/>
          </w:tcPr>
          <w:p w14:paraId="77CA68A3" w14:textId="77777777" w:rsidR="00C157B9" w:rsidRPr="00E55E43" w:rsidRDefault="00C157B9" w:rsidP="00C157B9">
            <w:pPr>
              <w:autoSpaceDE w:val="0"/>
              <w:autoSpaceDN w:val="0"/>
              <w:adjustRightInd w:val="0"/>
              <w:jc w:val="center"/>
              <w:rPr>
                <w:rFonts w:ascii="Arial" w:hAnsi="Arial" w:cs="Arial"/>
              </w:rPr>
            </w:pPr>
            <w:r w:rsidRPr="00E55E43">
              <w:rPr>
                <w:rFonts w:ascii="Arial" w:hAnsi="Arial" w:cs="Arial"/>
              </w:rPr>
              <w:t> 198902.8</w:t>
            </w:r>
          </w:p>
        </w:tc>
      </w:tr>
      <w:tr w:rsidR="00C157B9" w:rsidRPr="00E55E43" w14:paraId="2502AC7A" w14:textId="77777777" w:rsidTr="00FF2D46">
        <w:trPr>
          <w:trHeight w:val="298"/>
        </w:trPr>
        <w:tc>
          <w:tcPr>
            <w:tcW w:w="1747" w:type="dxa"/>
            <w:vAlign w:val="bottom"/>
          </w:tcPr>
          <w:p w14:paraId="1A29E089" w14:textId="77777777" w:rsidR="00C157B9" w:rsidRPr="00E55E43" w:rsidRDefault="00C157B9" w:rsidP="00483162">
            <w:pPr>
              <w:autoSpaceDE w:val="0"/>
              <w:autoSpaceDN w:val="0"/>
              <w:adjustRightInd w:val="0"/>
              <w:rPr>
                <w:rFonts w:ascii="Arial" w:hAnsi="Arial" w:cs="Arial"/>
              </w:rPr>
            </w:pPr>
            <w:r w:rsidRPr="00E55E43">
              <w:rPr>
                <w:rFonts w:ascii="Arial" w:hAnsi="Arial" w:cs="Arial"/>
              </w:rPr>
              <w:t> Sum Sq. Dev.</w:t>
            </w:r>
          </w:p>
        </w:tc>
        <w:tc>
          <w:tcPr>
            <w:tcW w:w="1537" w:type="dxa"/>
            <w:vAlign w:val="bottom"/>
          </w:tcPr>
          <w:p w14:paraId="5397A4E9"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81134844</w:t>
            </w:r>
          </w:p>
        </w:tc>
        <w:tc>
          <w:tcPr>
            <w:tcW w:w="1536" w:type="dxa"/>
            <w:vAlign w:val="bottom"/>
          </w:tcPr>
          <w:p w14:paraId="7B9E60D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29508.92</w:t>
            </w:r>
          </w:p>
        </w:tc>
        <w:tc>
          <w:tcPr>
            <w:tcW w:w="1537" w:type="dxa"/>
            <w:vAlign w:val="bottom"/>
          </w:tcPr>
          <w:p w14:paraId="05F7503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278176.5</w:t>
            </w:r>
          </w:p>
        </w:tc>
        <w:tc>
          <w:tcPr>
            <w:tcW w:w="1536" w:type="dxa"/>
            <w:vAlign w:val="bottom"/>
          </w:tcPr>
          <w:p w14:paraId="7BCDE62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113399.5</w:t>
            </w:r>
          </w:p>
        </w:tc>
      </w:tr>
      <w:tr w:rsidR="00C157B9" w:rsidRPr="00E55E43" w14:paraId="2144684C" w14:textId="77777777" w:rsidTr="00FF2D46">
        <w:trPr>
          <w:trHeight w:val="298"/>
        </w:trPr>
        <w:tc>
          <w:tcPr>
            <w:tcW w:w="1747" w:type="dxa"/>
            <w:vAlign w:val="bottom"/>
          </w:tcPr>
          <w:p w14:paraId="729F7D30" w14:textId="77777777" w:rsidR="00C157B9" w:rsidRPr="00E55E43" w:rsidRDefault="00C157B9" w:rsidP="00483162">
            <w:pPr>
              <w:autoSpaceDE w:val="0"/>
              <w:autoSpaceDN w:val="0"/>
              <w:adjustRightInd w:val="0"/>
              <w:jc w:val="center"/>
              <w:rPr>
                <w:rFonts w:ascii="Arial" w:hAnsi="Arial" w:cs="Arial"/>
              </w:rPr>
            </w:pPr>
          </w:p>
        </w:tc>
        <w:tc>
          <w:tcPr>
            <w:tcW w:w="1537" w:type="dxa"/>
            <w:vAlign w:val="bottom"/>
          </w:tcPr>
          <w:p w14:paraId="6B929578" w14:textId="77777777" w:rsidR="00C157B9" w:rsidRPr="00E55E43" w:rsidRDefault="00C157B9" w:rsidP="00483162">
            <w:pPr>
              <w:autoSpaceDE w:val="0"/>
              <w:autoSpaceDN w:val="0"/>
              <w:adjustRightInd w:val="0"/>
              <w:jc w:val="center"/>
              <w:rPr>
                <w:rFonts w:ascii="Arial" w:hAnsi="Arial" w:cs="Arial"/>
              </w:rPr>
            </w:pPr>
          </w:p>
        </w:tc>
        <w:tc>
          <w:tcPr>
            <w:tcW w:w="1536" w:type="dxa"/>
            <w:vAlign w:val="bottom"/>
          </w:tcPr>
          <w:p w14:paraId="717D0052" w14:textId="77777777" w:rsidR="00C157B9" w:rsidRPr="00E55E43" w:rsidRDefault="00C157B9" w:rsidP="00483162">
            <w:pPr>
              <w:autoSpaceDE w:val="0"/>
              <w:autoSpaceDN w:val="0"/>
              <w:adjustRightInd w:val="0"/>
              <w:jc w:val="center"/>
              <w:rPr>
                <w:rFonts w:ascii="Arial" w:hAnsi="Arial" w:cs="Arial"/>
              </w:rPr>
            </w:pPr>
          </w:p>
        </w:tc>
        <w:tc>
          <w:tcPr>
            <w:tcW w:w="1537" w:type="dxa"/>
            <w:vAlign w:val="bottom"/>
          </w:tcPr>
          <w:p w14:paraId="63824100" w14:textId="77777777" w:rsidR="00C157B9" w:rsidRPr="00E55E43" w:rsidRDefault="00C157B9" w:rsidP="00483162">
            <w:pPr>
              <w:autoSpaceDE w:val="0"/>
              <w:autoSpaceDN w:val="0"/>
              <w:adjustRightInd w:val="0"/>
              <w:jc w:val="center"/>
              <w:rPr>
                <w:rFonts w:ascii="Arial" w:hAnsi="Arial" w:cs="Arial"/>
              </w:rPr>
            </w:pPr>
          </w:p>
        </w:tc>
        <w:tc>
          <w:tcPr>
            <w:tcW w:w="1536" w:type="dxa"/>
            <w:vAlign w:val="bottom"/>
          </w:tcPr>
          <w:p w14:paraId="1704768B" w14:textId="77777777" w:rsidR="00C157B9" w:rsidRPr="00E55E43" w:rsidRDefault="00C157B9" w:rsidP="00483162">
            <w:pPr>
              <w:autoSpaceDE w:val="0"/>
              <w:autoSpaceDN w:val="0"/>
              <w:adjustRightInd w:val="0"/>
              <w:jc w:val="center"/>
              <w:rPr>
                <w:rFonts w:ascii="Arial" w:hAnsi="Arial" w:cs="Arial"/>
              </w:rPr>
            </w:pPr>
          </w:p>
        </w:tc>
      </w:tr>
      <w:tr w:rsidR="00C157B9" w:rsidRPr="00E55E43" w14:paraId="4C3B925A" w14:textId="77777777" w:rsidTr="00FF2D46">
        <w:trPr>
          <w:trHeight w:val="298"/>
        </w:trPr>
        <w:tc>
          <w:tcPr>
            <w:tcW w:w="1747" w:type="dxa"/>
            <w:vAlign w:val="bottom"/>
          </w:tcPr>
          <w:p w14:paraId="5861EF1E" w14:textId="77777777" w:rsidR="00C157B9" w:rsidRPr="00E55E43" w:rsidRDefault="00C157B9" w:rsidP="00483162">
            <w:pPr>
              <w:autoSpaceDE w:val="0"/>
              <w:autoSpaceDN w:val="0"/>
              <w:adjustRightInd w:val="0"/>
              <w:rPr>
                <w:rFonts w:ascii="Arial" w:hAnsi="Arial" w:cs="Arial"/>
              </w:rPr>
            </w:pPr>
            <w:r w:rsidRPr="00E55E43">
              <w:rPr>
                <w:rFonts w:ascii="Arial" w:hAnsi="Arial" w:cs="Arial"/>
              </w:rPr>
              <w:t> Observations</w:t>
            </w:r>
          </w:p>
        </w:tc>
        <w:tc>
          <w:tcPr>
            <w:tcW w:w="1537" w:type="dxa"/>
            <w:vAlign w:val="bottom"/>
          </w:tcPr>
          <w:p w14:paraId="401F44F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6" w:type="dxa"/>
            <w:vAlign w:val="bottom"/>
          </w:tcPr>
          <w:p w14:paraId="0AA677C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7" w:type="dxa"/>
            <w:vAlign w:val="bottom"/>
          </w:tcPr>
          <w:p w14:paraId="2F4CD26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c>
          <w:tcPr>
            <w:tcW w:w="1536" w:type="dxa"/>
            <w:vAlign w:val="bottom"/>
          </w:tcPr>
          <w:p w14:paraId="313152A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501</w:t>
            </w:r>
          </w:p>
        </w:tc>
      </w:tr>
    </w:tbl>
    <w:p w14:paraId="246A5273" w14:textId="77777777" w:rsidR="00C157B9" w:rsidRPr="00E55E43" w:rsidRDefault="00C157B9" w:rsidP="00483162">
      <w:pPr>
        <w:rPr>
          <w:rFonts w:ascii="Arial" w:hAnsi="Arial" w:cs="Arial"/>
        </w:rPr>
      </w:pPr>
      <w:r w:rsidRPr="00E55E43">
        <w:rPr>
          <w:rFonts w:ascii="Arial" w:hAnsi="Arial" w:cs="Arial"/>
        </w:rPr>
        <w:t>Source: EViews 10 Output</w:t>
      </w:r>
    </w:p>
    <w:p w14:paraId="1DE9D1C2" w14:textId="77777777" w:rsidR="00C157B9" w:rsidRPr="00E55E43" w:rsidRDefault="00C157B9" w:rsidP="00483162">
      <w:pPr>
        <w:rPr>
          <w:rFonts w:ascii="Arial" w:hAnsi="Arial" w:cs="Arial"/>
        </w:rPr>
      </w:pPr>
    </w:p>
    <w:p w14:paraId="2E20B9FF" w14:textId="77777777" w:rsidR="00C157B9" w:rsidRPr="00E55E43" w:rsidRDefault="00C157B9" w:rsidP="00483162">
      <w:pPr>
        <w:jc w:val="both"/>
        <w:rPr>
          <w:rFonts w:ascii="Arial" w:hAnsi="Arial" w:cs="Arial"/>
        </w:rPr>
      </w:pPr>
    </w:p>
    <w:p w14:paraId="388C4028" w14:textId="77777777" w:rsidR="00C157B9" w:rsidRPr="00E55E43" w:rsidRDefault="00C157B9" w:rsidP="00483162">
      <w:pPr>
        <w:jc w:val="both"/>
        <w:rPr>
          <w:rFonts w:ascii="Arial" w:hAnsi="Arial" w:cs="Arial"/>
        </w:rPr>
      </w:pPr>
    </w:p>
    <w:p w14:paraId="7786142C" w14:textId="77777777" w:rsidR="00C157B9" w:rsidRPr="00E55E43" w:rsidRDefault="00C157B9" w:rsidP="00483162">
      <w:pPr>
        <w:jc w:val="both"/>
        <w:rPr>
          <w:rFonts w:ascii="Arial" w:hAnsi="Arial" w:cs="Arial"/>
        </w:rPr>
      </w:pPr>
    </w:p>
    <w:p w14:paraId="6DC0CD6C" w14:textId="77777777" w:rsidR="00483162" w:rsidRPr="00E55E43" w:rsidRDefault="00483162" w:rsidP="00483162">
      <w:pPr>
        <w:rPr>
          <w:rFonts w:ascii="Arial" w:hAnsi="Arial" w:cs="Arial"/>
          <w:b/>
          <w:bCs/>
        </w:rPr>
      </w:pPr>
      <w:r w:rsidRPr="00E55E43">
        <w:rPr>
          <w:rFonts w:ascii="Arial" w:hAnsi="Arial" w:cs="Arial"/>
          <w:noProof/>
        </w:rPr>
        <w:lastRenderedPageBreak/>
        <w:drawing>
          <wp:anchor distT="0" distB="0" distL="114300" distR="114300" simplePos="0" relativeHeight="251663360" behindDoc="0" locked="0" layoutInCell="1" allowOverlap="1" wp14:anchorId="0CE0EDF9" wp14:editId="7344CE41">
            <wp:simplePos x="0" y="0"/>
            <wp:positionH relativeFrom="margin">
              <wp:posOffset>3226435</wp:posOffset>
            </wp:positionH>
            <wp:positionV relativeFrom="paragraph">
              <wp:posOffset>2757805</wp:posOffset>
            </wp:positionV>
            <wp:extent cx="2865755" cy="1910715"/>
            <wp:effectExtent l="0" t="0" r="0" b="0"/>
            <wp:wrapSquare wrapText="bothSides"/>
            <wp:docPr id="311429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29007" name=""/>
                    <pic:cNvPicPr/>
                  </pic:nvPicPr>
                  <pic:blipFill rotWithShape="1">
                    <a:blip r:embed="rId18" cstate="print">
                      <a:extLst>
                        <a:ext uri="{28A0092B-C50C-407E-A947-70E740481C1C}">
                          <a14:useLocalDpi xmlns:a14="http://schemas.microsoft.com/office/drawing/2010/main" val="0"/>
                        </a:ext>
                      </a:extLst>
                    </a:blip>
                    <a:srcRect l="15630" t="11603" r="14577" b="5632"/>
                    <a:stretch/>
                  </pic:blipFill>
                  <pic:spPr bwMode="auto">
                    <a:xfrm>
                      <a:off x="0" y="0"/>
                      <a:ext cx="2865755" cy="191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4384" behindDoc="0" locked="0" layoutInCell="1" allowOverlap="1" wp14:anchorId="66CE3517" wp14:editId="0FD79F1B">
            <wp:simplePos x="0" y="0"/>
            <wp:positionH relativeFrom="margin">
              <wp:posOffset>0</wp:posOffset>
            </wp:positionH>
            <wp:positionV relativeFrom="paragraph">
              <wp:posOffset>2716530</wp:posOffset>
            </wp:positionV>
            <wp:extent cx="2991485" cy="1971675"/>
            <wp:effectExtent l="0" t="0" r="0" b="9525"/>
            <wp:wrapSquare wrapText="bothSides"/>
            <wp:docPr id="1230797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97116" name=""/>
                    <pic:cNvPicPr/>
                  </pic:nvPicPr>
                  <pic:blipFill rotWithShape="1">
                    <a:blip r:embed="rId19" cstate="print">
                      <a:extLst>
                        <a:ext uri="{28A0092B-C50C-407E-A947-70E740481C1C}">
                          <a14:useLocalDpi xmlns:a14="http://schemas.microsoft.com/office/drawing/2010/main" val="0"/>
                        </a:ext>
                      </a:extLst>
                    </a:blip>
                    <a:srcRect l="15630" t="11164" r="13223" b="5413"/>
                    <a:stretch/>
                  </pic:blipFill>
                  <pic:spPr bwMode="auto">
                    <a:xfrm>
                      <a:off x="0" y="0"/>
                      <a:ext cx="2991485" cy="197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5408" behindDoc="0" locked="0" layoutInCell="1" allowOverlap="1" wp14:anchorId="5DFF89ED" wp14:editId="0D2583FA">
            <wp:simplePos x="0" y="0"/>
            <wp:positionH relativeFrom="margin">
              <wp:posOffset>0</wp:posOffset>
            </wp:positionH>
            <wp:positionV relativeFrom="paragraph">
              <wp:posOffset>329565</wp:posOffset>
            </wp:positionV>
            <wp:extent cx="2961005" cy="1900555"/>
            <wp:effectExtent l="0" t="0" r="0" b="4445"/>
            <wp:wrapSquare wrapText="bothSides"/>
            <wp:docPr id="197691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17150" name=""/>
                    <pic:cNvPicPr/>
                  </pic:nvPicPr>
                  <pic:blipFill rotWithShape="1">
                    <a:blip r:embed="rId20" cstate="print">
                      <a:extLst>
                        <a:ext uri="{28A0092B-C50C-407E-A947-70E740481C1C}">
                          <a14:useLocalDpi xmlns:a14="http://schemas.microsoft.com/office/drawing/2010/main" val="0"/>
                        </a:ext>
                      </a:extLst>
                    </a:blip>
                    <a:srcRect l="15508" t="17077" r="16409" b="5194"/>
                    <a:stretch/>
                  </pic:blipFill>
                  <pic:spPr bwMode="auto">
                    <a:xfrm>
                      <a:off x="0" y="0"/>
                      <a:ext cx="2961005" cy="190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6432" behindDoc="0" locked="0" layoutInCell="1" allowOverlap="1" wp14:anchorId="5826EE09" wp14:editId="6886C3B5">
            <wp:simplePos x="0" y="0"/>
            <wp:positionH relativeFrom="column">
              <wp:posOffset>3225165</wp:posOffset>
            </wp:positionH>
            <wp:positionV relativeFrom="paragraph">
              <wp:posOffset>291465</wp:posOffset>
            </wp:positionV>
            <wp:extent cx="2776855" cy="1962785"/>
            <wp:effectExtent l="0" t="0" r="4445" b="0"/>
            <wp:wrapSquare wrapText="bothSides"/>
            <wp:docPr id="84181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11047" name=""/>
                    <pic:cNvPicPr/>
                  </pic:nvPicPr>
                  <pic:blipFill rotWithShape="1">
                    <a:blip r:embed="rId21" cstate="print">
                      <a:extLst>
                        <a:ext uri="{28A0092B-C50C-407E-A947-70E740481C1C}">
                          <a14:useLocalDpi xmlns:a14="http://schemas.microsoft.com/office/drawing/2010/main" val="0"/>
                        </a:ext>
                      </a:extLst>
                    </a:blip>
                    <a:srcRect l="16615" t="9851" r="15807" b="5193"/>
                    <a:stretch/>
                  </pic:blipFill>
                  <pic:spPr bwMode="auto">
                    <a:xfrm>
                      <a:off x="0" y="0"/>
                      <a:ext cx="2776855" cy="1962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5A8BD" w14:textId="77777777" w:rsidR="00483162" w:rsidRPr="00E55E43" w:rsidRDefault="00483162" w:rsidP="00483162">
      <w:pPr>
        <w:jc w:val="both"/>
        <w:rPr>
          <w:rFonts w:ascii="Arial" w:hAnsi="Arial" w:cs="Arial"/>
          <w:b/>
          <w:bCs/>
        </w:rPr>
      </w:pPr>
    </w:p>
    <w:p w14:paraId="407721EB" w14:textId="77777777" w:rsidR="00483162" w:rsidRPr="00E55E43" w:rsidRDefault="00483162" w:rsidP="00483162">
      <w:pPr>
        <w:jc w:val="both"/>
        <w:rPr>
          <w:rFonts w:ascii="Arial" w:hAnsi="Arial" w:cs="Arial"/>
          <w:b/>
          <w:bCs/>
        </w:rPr>
      </w:pPr>
    </w:p>
    <w:p w14:paraId="4C78B07D" w14:textId="77777777" w:rsidR="00483162" w:rsidRPr="00E55E43" w:rsidRDefault="00483162" w:rsidP="00483162">
      <w:pPr>
        <w:jc w:val="both"/>
        <w:rPr>
          <w:rFonts w:ascii="Arial" w:hAnsi="Arial" w:cs="Arial"/>
          <w:b/>
          <w:bCs/>
        </w:rPr>
      </w:pPr>
    </w:p>
    <w:p w14:paraId="0DB1546F" w14:textId="77777777" w:rsidR="007E30B3" w:rsidRDefault="007E30B3" w:rsidP="00483162">
      <w:pPr>
        <w:jc w:val="both"/>
        <w:rPr>
          <w:rFonts w:ascii="Arial" w:hAnsi="Arial" w:cs="Arial"/>
          <w:b/>
          <w:bCs/>
        </w:rPr>
      </w:pPr>
    </w:p>
    <w:p w14:paraId="3FB5B777" w14:textId="77777777" w:rsidR="007E30B3" w:rsidRDefault="007E30B3" w:rsidP="00483162">
      <w:pPr>
        <w:jc w:val="both"/>
        <w:rPr>
          <w:rFonts w:ascii="Arial" w:hAnsi="Arial" w:cs="Arial"/>
          <w:b/>
          <w:bCs/>
        </w:rPr>
      </w:pPr>
    </w:p>
    <w:p w14:paraId="4B96656C" w14:textId="77777777" w:rsidR="007E30B3" w:rsidRDefault="007E30B3" w:rsidP="00483162">
      <w:pPr>
        <w:jc w:val="both"/>
        <w:rPr>
          <w:rFonts w:ascii="Arial" w:hAnsi="Arial" w:cs="Arial"/>
          <w:b/>
          <w:bCs/>
        </w:rPr>
      </w:pPr>
    </w:p>
    <w:p w14:paraId="6C6711CC" w14:textId="77777777" w:rsidR="007E30B3" w:rsidRPr="00E55E43" w:rsidRDefault="007E30B3" w:rsidP="007E30B3">
      <w:pPr>
        <w:rPr>
          <w:rFonts w:ascii="Arial" w:hAnsi="Arial" w:cs="Arial"/>
          <w:b/>
          <w:bCs/>
        </w:rPr>
      </w:pPr>
      <w:r w:rsidRPr="00E55E43">
        <w:rPr>
          <w:rFonts w:ascii="Arial" w:hAnsi="Arial" w:cs="Arial"/>
          <w:b/>
          <w:bCs/>
        </w:rPr>
        <w:t>Figure 1: Time Plot of Variables including: COVID-19 daily confirmed cases, All Shares Index, Crude oil Price and USD/NGN Exchange Rate.</w:t>
      </w:r>
    </w:p>
    <w:p w14:paraId="2FA03068" w14:textId="77777777" w:rsidR="007E30B3" w:rsidRDefault="007E30B3" w:rsidP="00483162">
      <w:pPr>
        <w:jc w:val="both"/>
        <w:rPr>
          <w:rFonts w:ascii="Arial" w:hAnsi="Arial" w:cs="Arial"/>
          <w:b/>
          <w:bCs/>
        </w:rPr>
      </w:pPr>
    </w:p>
    <w:p w14:paraId="6F7BDCD9" w14:textId="77777777" w:rsidR="007E30B3" w:rsidRDefault="007E30B3" w:rsidP="00483162">
      <w:pPr>
        <w:jc w:val="both"/>
        <w:rPr>
          <w:rFonts w:ascii="Arial" w:hAnsi="Arial" w:cs="Arial"/>
          <w:b/>
          <w:bCs/>
        </w:rPr>
      </w:pPr>
    </w:p>
    <w:p w14:paraId="53BF4A9F" w14:textId="77777777" w:rsidR="007E30B3" w:rsidRDefault="007E30B3" w:rsidP="00483162">
      <w:pPr>
        <w:jc w:val="both"/>
        <w:rPr>
          <w:rFonts w:ascii="Arial" w:hAnsi="Arial" w:cs="Arial"/>
          <w:b/>
          <w:bCs/>
        </w:rPr>
      </w:pPr>
    </w:p>
    <w:p w14:paraId="4D178FD0" w14:textId="26C41640" w:rsidR="00C157B9" w:rsidRPr="00E55E43" w:rsidRDefault="00C157B9" w:rsidP="00483162">
      <w:pPr>
        <w:jc w:val="both"/>
        <w:rPr>
          <w:rFonts w:ascii="Arial" w:hAnsi="Arial" w:cs="Arial"/>
          <w:b/>
          <w:bCs/>
        </w:rPr>
      </w:pPr>
      <w:r w:rsidRPr="00E55E43">
        <w:rPr>
          <w:rFonts w:ascii="Arial" w:hAnsi="Arial" w:cs="Arial"/>
          <w:b/>
          <w:bCs/>
        </w:rPr>
        <w:t>Table 2: Unit Root Test using Augmented Dickey Fuller (ADF) Test</w:t>
      </w:r>
    </w:p>
    <w:tbl>
      <w:tblPr>
        <w:tblStyle w:val="TableGrid"/>
        <w:tblW w:w="8434"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260"/>
        <w:gridCol w:w="804"/>
        <w:gridCol w:w="700"/>
        <w:gridCol w:w="85"/>
        <w:gridCol w:w="634"/>
        <w:gridCol w:w="913"/>
        <w:gridCol w:w="1094"/>
        <w:gridCol w:w="1589"/>
      </w:tblGrid>
      <w:tr w:rsidR="00C157B9" w:rsidRPr="00E55E43" w14:paraId="5410E159" w14:textId="77777777" w:rsidTr="00FF2D46">
        <w:trPr>
          <w:trHeight w:val="255"/>
        </w:trPr>
        <w:tc>
          <w:tcPr>
            <w:tcW w:w="1355" w:type="dxa"/>
            <w:vMerge w:val="restart"/>
            <w:tcBorders>
              <w:top w:val="single" w:sz="4" w:space="0" w:color="auto"/>
              <w:bottom w:val="nil"/>
            </w:tcBorders>
            <w:hideMark/>
          </w:tcPr>
          <w:p w14:paraId="1BF507B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Variable (s)</w:t>
            </w:r>
          </w:p>
        </w:tc>
        <w:tc>
          <w:tcPr>
            <w:tcW w:w="1260" w:type="dxa"/>
            <w:vMerge w:val="restart"/>
            <w:tcBorders>
              <w:top w:val="single" w:sz="4" w:space="0" w:color="auto"/>
              <w:bottom w:val="nil"/>
            </w:tcBorders>
            <w:hideMark/>
          </w:tcPr>
          <w:p w14:paraId="2234BEB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w:t>
            </w:r>
          </w:p>
          <w:p w14:paraId="5C850270" w14:textId="77777777" w:rsidR="00C157B9" w:rsidRPr="00E55E43" w:rsidRDefault="00C157B9" w:rsidP="00483162">
            <w:pPr>
              <w:jc w:val="both"/>
              <w:rPr>
                <w:rFonts w:ascii="Arial" w:hAnsi="Arial" w:cs="Arial"/>
                <w:b/>
                <w:bCs/>
                <w:sz w:val="20"/>
                <w:szCs w:val="20"/>
              </w:rPr>
            </w:pPr>
            <w:r w:rsidRPr="00E55E43">
              <w:rPr>
                <w:rFonts w:ascii="Arial" w:hAnsi="Arial" w:cs="Arial"/>
                <w:sz w:val="20"/>
                <w:szCs w:val="20"/>
              </w:rPr>
              <w:t>level</w:t>
            </w:r>
          </w:p>
        </w:tc>
        <w:tc>
          <w:tcPr>
            <w:tcW w:w="1589" w:type="dxa"/>
            <w:gridSpan w:val="3"/>
            <w:tcBorders>
              <w:top w:val="single" w:sz="4" w:space="0" w:color="auto"/>
              <w:bottom w:val="nil"/>
            </w:tcBorders>
          </w:tcPr>
          <w:p w14:paraId="75BB76F9" w14:textId="77777777" w:rsidR="00C157B9" w:rsidRPr="00E55E43" w:rsidRDefault="00C157B9" w:rsidP="00483162">
            <w:pPr>
              <w:jc w:val="center"/>
              <w:rPr>
                <w:rFonts w:ascii="Arial" w:hAnsi="Arial" w:cs="Arial"/>
                <w:sz w:val="20"/>
                <w:szCs w:val="20"/>
              </w:rPr>
            </w:pPr>
            <w:r w:rsidRPr="00E55E43">
              <w:rPr>
                <w:rFonts w:ascii="Arial" w:hAnsi="Arial" w:cs="Arial"/>
                <w:sz w:val="20"/>
                <w:szCs w:val="20"/>
              </w:rPr>
              <w:t>t-Statistics</w:t>
            </w:r>
          </w:p>
        </w:tc>
        <w:tc>
          <w:tcPr>
            <w:tcW w:w="4227" w:type="dxa"/>
            <w:gridSpan w:val="4"/>
            <w:tcBorders>
              <w:top w:val="single" w:sz="4" w:space="0" w:color="auto"/>
              <w:bottom w:val="nil"/>
            </w:tcBorders>
          </w:tcPr>
          <w:p w14:paraId="33D02B10" w14:textId="77777777" w:rsidR="00C157B9" w:rsidRPr="00E55E43" w:rsidRDefault="00C157B9" w:rsidP="00483162">
            <w:pPr>
              <w:jc w:val="both"/>
              <w:rPr>
                <w:rFonts w:ascii="Arial" w:hAnsi="Arial" w:cs="Arial"/>
                <w:sz w:val="20"/>
                <w:szCs w:val="20"/>
              </w:rPr>
            </w:pPr>
          </w:p>
        </w:tc>
      </w:tr>
      <w:tr w:rsidR="00C157B9" w:rsidRPr="00E55E43" w14:paraId="6A11A07C" w14:textId="77777777" w:rsidTr="00FF2D46">
        <w:trPr>
          <w:trHeight w:val="270"/>
        </w:trPr>
        <w:tc>
          <w:tcPr>
            <w:tcW w:w="1355" w:type="dxa"/>
            <w:vMerge/>
            <w:tcBorders>
              <w:top w:val="nil"/>
              <w:bottom w:val="single" w:sz="4" w:space="0" w:color="auto"/>
            </w:tcBorders>
            <w:vAlign w:val="center"/>
            <w:hideMark/>
          </w:tcPr>
          <w:p w14:paraId="26A1F9B0" w14:textId="77777777" w:rsidR="00C157B9" w:rsidRPr="00E55E43" w:rsidRDefault="00C157B9" w:rsidP="00483162">
            <w:pPr>
              <w:rPr>
                <w:rFonts w:ascii="Arial" w:hAnsi="Arial" w:cs="Arial"/>
                <w:sz w:val="20"/>
                <w:szCs w:val="20"/>
              </w:rPr>
            </w:pPr>
          </w:p>
        </w:tc>
        <w:tc>
          <w:tcPr>
            <w:tcW w:w="1260" w:type="dxa"/>
            <w:vMerge/>
            <w:tcBorders>
              <w:top w:val="nil"/>
              <w:bottom w:val="single" w:sz="4" w:space="0" w:color="auto"/>
            </w:tcBorders>
            <w:vAlign w:val="center"/>
            <w:hideMark/>
          </w:tcPr>
          <w:p w14:paraId="2EF48D0F" w14:textId="77777777" w:rsidR="00C157B9" w:rsidRPr="00E55E43" w:rsidRDefault="00C157B9" w:rsidP="00483162">
            <w:pPr>
              <w:rPr>
                <w:rFonts w:ascii="Arial" w:hAnsi="Arial" w:cs="Arial"/>
                <w:b/>
                <w:bCs/>
                <w:sz w:val="20"/>
                <w:szCs w:val="20"/>
              </w:rPr>
            </w:pPr>
          </w:p>
        </w:tc>
        <w:tc>
          <w:tcPr>
            <w:tcW w:w="804" w:type="dxa"/>
            <w:tcBorders>
              <w:top w:val="nil"/>
              <w:bottom w:val="single" w:sz="4" w:space="0" w:color="auto"/>
            </w:tcBorders>
            <w:hideMark/>
          </w:tcPr>
          <w:p w14:paraId="76D4542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w:t>
            </w:r>
          </w:p>
        </w:tc>
        <w:tc>
          <w:tcPr>
            <w:tcW w:w="700" w:type="dxa"/>
            <w:tcBorders>
              <w:top w:val="nil"/>
              <w:bottom w:val="single" w:sz="4" w:space="0" w:color="auto"/>
            </w:tcBorders>
            <w:hideMark/>
          </w:tcPr>
          <w:p w14:paraId="4AAD8F5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5%</w:t>
            </w:r>
          </w:p>
        </w:tc>
        <w:tc>
          <w:tcPr>
            <w:tcW w:w="719" w:type="dxa"/>
            <w:gridSpan w:val="2"/>
            <w:tcBorders>
              <w:top w:val="nil"/>
              <w:bottom w:val="single" w:sz="4" w:space="0" w:color="auto"/>
            </w:tcBorders>
            <w:hideMark/>
          </w:tcPr>
          <w:p w14:paraId="7F60225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w:t>
            </w:r>
          </w:p>
        </w:tc>
        <w:tc>
          <w:tcPr>
            <w:tcW w:w="913" w:type="dxa"/>
            <w:tcBorders>
              <w:top w:val="nil"/>
              <w:bottom w:val="single" w:sz="4" w:space="0" w:color="auto"/>
            </w:tcBorders>
            <w:hideMark/>
          </w:tcPr>
          <w:p w14:paraId="26115BF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ADFTS</w:t>
            </w:r>
          </w:p>
        </w:tc>
        <w:tc>
          <w:tcPr>
            <w:tcW w:w="1094" w:type="dxa"/>
            <w:tcBorders>
              <w:top w:val="nil"/>
              <w:bottom w:val="single" w:sz="4" w:space="0" w:color="auto"/>
            </w:tcBorders>
          </w:tcPr>
          <w:p w14:paraId="0302B56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Prob.</w:t>
            </w:r>
          </w:p>
        </w:tc>
        <w:tc>
          <w:tcPr>
            <w:tcW w:w="1589" w:type="dxa"/>
            <w:tcBorders>
              <w:top w:val="nil"/>
              <w:bottom w:val="single" w:sz="4" w:space="0" w:color="auto"/>
            </w:tcBorders>
            <w:hideMark/>
          </w:tcPr>
          <w:p w14:paraId="19F5141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Remarks</w:t>
            </w:r>
          </w:p>
        </w:tc>
      </w:tr>
      <w:tr w:rsidR="00C157B9" w:rsidRPr="00E55E43" w14:paraId="04FC98AB" w14:textId="77777777" w:rsidTr="00FF2D46">
        <w:trPr>
          <w:trHeight w:val="240"/>
        </w:trPr>
        <w:tc>
          <w:tcPr>
            <w:tcW w:w="1355" w:type="dxa"/>
            <w:vMerge w:val="restart"/>
            <w:tcBorders>
              <w:top w:val="single" w:sz="4" w:space="0" w:color="auto"/>
            </w:tcBorders>
            <w:hideMark/>
          </w:tcPr>
          <w:p w14:paraId="4146A0D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CC</w:t>
            </w:r>
          </w:p>
        </w:tc>
        <w:tc>
          <w:tcPr>
            <w:tcW w:w="1260" w:type="dxa"/>
            <w:tcBorders>
              <w:top w:val="single" w:sz="4" w:space="0" w:color="auto"/>
            </w:tcBorders>
            <w:hideMark/>
          </w:tcPr>
          <w:p w14:paraId="4D964D1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I(0)</w:t>
            </w:r>
          </w:p>
        </w:tc>
        <w:tc>
          <w:tcPr>
            <w:tcW w:w="804" w:type="dxa"/>
            <w:tcBorders>
              <w:top w:val="single" w:sz="4" w:space="0" w:color="auto"/>
            </w:tcBorders>
            <w:hideMark/>
          </w:tcPr>
          <w:p w14:paraId="1A1899D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Borders>
              <w:top w:val="single" w:sz="4" w:space="0" w:color="auto"/>
            </w:tcBorders>
            <w:hideMark/>
          </w:tcPr>
          <w:p w14:paraId="3CD38EB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Borders>
              <w:top w:val="single" w:sz="4" w:space="0" w:color="auto"/>
            </w:tcBorders>
            <w:hideMark/>
          </w:tcPr>
          <w:p w14:paraId="1B16339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Borders>
              <w:top w:val="single" w:sz="4" w:space="0" w:color="auto"/>
            </w:tcBorders>
            <w:hideMark/>
          </w:tcPr>
          <w:p w14:paraId="3DC5AAB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-2.50</w:t>
            </w:r>
          </w:p>
        </w:tc>
        <w:tc>
          <w:tcPr>
            <w:tcW w:w="1094" w:type="dxa"/>
            <w:tcBorders>
              <w:top w:val="single" w:sz="4" w:space="0" w:color="auto"/>
            </w:tcBorders>
          </w:tcPr>
          <w:p w14:paraId="6332917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0.1162</w:t>
            </w:r>
          </w:p>
        </w:tc>
        <w:tc>
          <w:tcPr>
            <w:tcW w:w="1589" w:type="dxa"/>
            <w:tcBorders>
              <w:top w:val="single" w:sz="4" w:space="0" w:color="auto"/>
            </w:tcBorders>
            <w:hideMark/>
          </w:tcPr>
          <w:p w14:paraId="2604109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179A20A3" w14:textId="77777777" w:rsidTr="00FF2D46">
        <w:trPr>
          <w:trHeight w:val="285"/>
        </w:trPr>
        <w:tc>
          <w:tcPr>
            <w:tcW w:w="1355" w:type="dxa"/>
            <w:vMerge/>
            <w:vAlign w:val="center"/>
            <w:hideMark/>
          </w:tcPr>
          <w:p w14:paraId="6979939D" w14:textId="77777777" w:rsidR="00C157B9" w:rsidRPr="00E55E43" w:rsidRDefault="00C157B9" w:rsidP="00483162">
            <w:pPr>
              <w:rPr>
                <w:rFonts w:ascii="Arial" w:hAnsi="Arial" w:cs="Arial"/>
                <w:sz w:val="20"/>
                <w:szCs w:val="20"/>
              </w:rPr>
            </w:pPr>
          </w:p>
        </w:tc>
        <w:tc>
          <w:tcPr>
            <w:tcW w:w="1260" w:type="dxa"/>
            <w:hideMark/>
          </w:tcPr>
          <w:p w14:paraId="7820D06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I(1)</w:t>
            </w:r>
          </w:p>
        </w:tc>
        <w:tc>
          <w:tcPr>
            <w:tcW w:w="804" w:type="dxa"/>
            <w:hideMark/>
          </w:tcPr>
          <w:p w14:paraId="1DE85F4E"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769D034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0093DA1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432284C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-3.62</w:t>
            </w:r>
          </w:p>
        </w:tc>
        <w:tc>
          <w:tcPr>
            <w:tcW w:w="1094" w:type="dxa"/>
          </w:tcPr>
          <w:p w14:paraId="1E4D0A7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0.0057</w:t>
            </w:r>
          </w:p>
        </w:tc>
        <w:tc>
          <w:tcPr>
            <w:tcW w:w="1589" w:type="dxa"/>
            <w:hideMark/>
          </w:tcPr>
          <w:p w14:paraId="0C96FDF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5E87E4C7" w14:textId="77777777" w:rsidTr="00FF2D46">
        <w:trPr>
          <w:trHeight w:val="240"/>
        </w:trPr>
        <w:tc>
          <w:tcPr>
            <w:tcW w:w="1355" w:type="dxa"/>
            <w:vMerge w:val="restart"/>
            <w:hideMark/>
          </w:tcPr>
          <w:p w14:paraId="0EE2C54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ASI</w:t>
            </w:r>
          </w:p>
        </w:tc>
        <w:tc>
          <w:tcPr>
            <w:tcW w:w="1260" w:type="dxa"/>
            <w:hideMark/>
          </w:tcPr>
          <w:p w14:paraId="2CB6701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I(0)</w:t>
            </w:r>
          </w:p>
        </w:tc>
        <w:tc>
          <w:tcPr>
            <w:tcW w:w="804" w:type="dxa"/>
            <w:hideMark/>
          </w:tcPr>
          <w:p w14:paraId="6DF6C02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2E37636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1DEE27C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5479260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0.26</w:t>
            </w:r>
          </w:p>
        </w:tc>
        <w:tc>
          <w:tcPr>
            <w:tcW w:w="1094" w:type="dxa"/>
          </w:tcPr>
          <w:p w14:paraId="46B4DCD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0.9800</w:t>
            </w:r>
          </w:p>
        </w:tc>
        <w:tc>
          <w:tcPr>
            <w:tcW w:w="1589" w:type="dxa"/>
            <w:hideMark/>
          </w:tcPr>
          <w:p w14:paraId="23891F71"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420518A7" w14:textId="77777777" w:rsidTr="00FF2D46">
        <w:trPr>
          <w:trHeight w:val="285"/>
        </w:trPr>
        <w:tc>
          <w:tcPr>
            <w:tcW w:w="1355" w:type="dxa"/>
            <w:vMerge/>
            <w:vAlign w:val="center"/>
            <w:hideMark/>
          </w:tcPr>
          <w:p w14:paraId="1E607F03" w14:textId="77777777" w:rsidR="00C157B9" w:rsidRPr="00E55E43" w:rsidRDefault="00C157B9" w:rsidP="00483162">
            <w:pPr>
              <w:rPr>
                <w:rFonts w:ascii="Arial" w:hAnsi="Arial" w:cs="Arial"/>
                <w:sz w:val="20"/>
                <w:szCs w:val="20"/>
              </w:rPr>
            </w:pPr>
          </w:p>
        </w:tc>
        <w:tc>
          <w:tcPr>
            <w:tcW w:w="1260" w:type="dxa"/>
            <w:hideMark/>
          </w:tcPr>
          <w:p w14:paraId="76F54BF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I(1)</w:t>
            </w:r>
          </w:p>
        </w:tc>
        <w:tc>
          <w:tcPr>
            <w:tcW w:w="804" w:type="dxa"/>
            <w:hideMark/>
          </w:tcPr>
          <w:p w14:paraId="3B700D3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hideMark/>
          </w:tcPr>
          <w:p w14:paraId="54B7995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hideMark/>
          </w:tcPr>
          <w:p w14:paraId="2283B9A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hideMark/>
          </w:tcPr>
          <w:p w14:paraId="327674A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-12.55</w:t>
            </w:r>
          </w:p>
        </w:tc>
        <w:tc>
          <w:tcPr>
            <w:tcW w:w="1094" w:type="dxa"/>
          </w:tcPr>
          <w:p w14:paraId="056689A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hideMark/>
          </w:tcPr>
          <w:p w14:paraId="49BBBB16"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05A8B4EE" w14:textId="77777777" w:rsidTr="00FF2D46">
        <w:trPr>
          <w:trHeight w:val="285"/>
        </w:trPr>
        <w:tc>
          <w:tcPr>
            <w:tcW w:w="1355" w:type="dxa"/>
          </w:tcPr>
          <w:p w14:paraId="588F9A74" w14:textId="77777777" w:rsidR="00C157B9" w:rsidRPr="00E55E43" w:rsidRDefault="00C157B9" w:rsidP="00483162">
            <w:pPr>
              <w:rPr>
                <w:rFonts w:ascii="Arial" w:hAnsi="Arial" w:cs="Arial"/>
                <w:sz w:val="20"/>
                <w:szCs w:val="20"/>
              </w:rPr>
            </w:pPr>
            <w:r w:rsidRPr="00E55E43">
              <w:rPr>
                <w:rFonts w:ascii="Arial" w:hAnsi="Arial" w:cs="Arial"/>
                <w:sz w:val="20"/>
                <w:szCs w:val="20"/>
              </w:rPr>
              <w:t>OP</w:t>
            </w:r>
          </w:p>
        </w:tc>
        <w:tc>
          <w:tcPr>
            <w:tcW w:w="1260" w:type="dxa"/>
          </w:tcPr>
          <w:p w14:paraId="1825418A"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I(0)</w:t>
            </w:r>
          </w:p>
        </w:tc>
        <w:tc>
          <w:tcPr>
            <w:tcW w:w="804" w:type="dxa"/>
          </w:tcPr>
          <w:p w14:paraId="6850061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6106EB6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6181FE6C"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530A68EC"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0.18</w:t>
            </w:r>
          </w:p>
        </w:tc>
        <w:tc>
          <w:tcPr>
            <w:tcW w:w="1094" w:type="dxa"/>
          </w:tcPr>
          <w:p w14:paraId="516810F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0.9700</w:t>
            </w:r>
          </w:p>
        </w:tc>
        <w:tc>
          <w:tcPr>
            <w:tcW w:w="1589" w:type="dxa"/>
          </w:tcPr>
          <w:p w14:paraId="205F5E1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6998FDC6" w14:textId="77777777" w:rsidTr="00FF2D46">
        <w:trPr>
          <w:trHeight w:val="285"/>
        </w:trPr>
        <w:tc>
          <w:tcPr>
            <w:tcW w:w="1355" w:type="dxa"/>
            <w:vAlign w:val="center"/>
          </w:tcPr>
          <w:p w14:paraId="3431C084" w14:textId="77777777" w:rsidR="00C157B9" w:rsidRPr="00E55E43" w:rsidRDefault="00C157B9" w:rsidP="00483162">
            <w:pPr>
              <w:rPr>
                <w:rFonts w:ascii="Arial" w:hAnsi="Arial" w:cs="Arial"/>
                <w:sz w:val="20"/>
                <w:szCs w:val="20"/>
              </w:rPr>
            </w:pPr>
          </w:p>
        </w:tc>
        <w:tc>
          <w:tcPr>
            <w:tcW w:w="1260" w:type="dxa"/>
          </w:tcPr>
          <w:p w14:paraId="73B34850"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I(1)</w:t>
            </w:r>
          </w:p>
        </w:tc>
        <w:tc>
          <w:tcPr>
            <w:tcW w:w="804" w:type="dxa"/>
          </w:tcPr>
          <w:p w14:paraId="3FEA266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14CF919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7A10F75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77EE9CB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-10.73</w:t>
            </w:r>
          </w:p>
        </w:tc>
        <w:tc>
          <w:tcPr>
            <w:tcW w:w="1094" w:type="dxa"/>
          </w:tcPr>
          <w:p w14:paraId="1800563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tcPr>
          <w:p w14:paraId="5FF8DF3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r w:rsidR="00C157B9" w:rsidRPr="00E55E43" w14:paraId="259FF84A" w14:textId="77777777" w:rsidTr="00FF2D46">
        <w:trPr>
          <w:trHeight w:val="285"/>
        </w:trPr>
        <w:tc>
          <w:tcPr>
            <w:tcW w:w="1355" w:type="dxa"/>
          </w:tcPr>
          <w:p w14:paraId="2D4C943C" w14:textId="77777777" w:rsidR="00C157B9" w:rsidRPr="00E55E43" w:rsidRDefault="00C157B9" w:rsidP="00483162">
            <w:pPr>
              <w:rPr>
                <w:rFonts w:ascii="Arial" w:hAnsi="Arial" w:cs="Arial"/>
                <w:sz w:val="20"/>
                <w:szCs w:val="20"/>
              </w:rPr>
            </w:pPr>
            <w:r w:rsidRPr="00E55E43">
              <w:rPr>
                <w:rFonts w:ascii="Arial" w:hAnsi="Arial" w:cs="Arial"/>
                <w:sz w:val="20"/>
                <w:szCs w:val="20"/>
              </w:rPr>
              <w:t>NGNUSD</w:t>
            </w:r>
          </w:p>
        </w:tc>
        <w:tc>
          <w:tcPr>
            <w:tcW w:w="1260" w:type="dxa"/>
          </w:tcPr>
          <w:p w14:paraId="6DDF8C93"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I(0)</w:t>
            </w:r>
          </w:p>
        </w:tc>
        <w:tc>
          <w:tcPr>
            <w:tcW w:w="804" w:type="dxa"/>
          </w:tcPr>
          <w:p w14:paraId="3420C7E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68A0F2E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019384E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135E447F"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-0.87</w:t>
            </w:r>
          </w:p>
        </w:tc>
        <w:tc>
          <w:tcPr>
            <w:tcW w:w="1094" w:type="dxa"/>
          </w:tcPr>
          <w:p w14:paraId="227686EB"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0.8000</w:t>
            </w:r>
          </w:p>
        </w:tc>
        <w:tc>
          <w:tcPr>
            <w:tcW w:w="1589" w:type="dxa"/>
          </w:tcPr>
          <w:p w14:paraId="3822AEFD"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Not Stationary</w:t>
            </w:r>
          </w:p>
        </w:tc>
      </w:tr>
      <w:tr w:rsidR="00C157B9" w:rsidRPr="00E55E43" w14:paraId="4D58C142" w14:textId="77777777" w:rsidTr="00FF2D46">
        <w:trPr>
          <w:trHeight w:val="285"/>
        </w:trPr>
        <w:tc>
          <w:tcPr>
            <w:tcW w:w="1355" w:type="dxa"/>
            <w:vAlign w:val="center"/>
          </w:tcPr>
          <w:p w14:paraId="0504FEE9" w14:textId="77777777" w:rsidR="00C157B9" w:rsidRPr="00E55E43" w:rsidRDefault="00C157B9" w:rsidP="00483162">
            <w:pPr>
              <w:rPr>
                <w:rFonts w:ascii="Arial" w:hAnsi="Arial" w:cs="Arial"/>
                <w:sz w:val="20"/>
                <w:szCs w:val="20"/>
              </w:rPr>
            </w:pPr>
          </w:p>
        </w:tc>
        <w:tc>
          <w:tcPr>
            <w:tcW w:w="1260" w:type="dxa"/>
          </w:tcPr>
          <w:p w14:paraId="2BB3E3D2"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I(1)</w:t>
            </w:r>
          </w:p>
        </w:tc>
        <w:tc>
          <w:tcPr>
            <w:tcW w:w="804" w:type="dxa"/>
          </w:tcPr>
          <w:p w14:paraId="2F37CB7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-3.44</w:t>
            </w:r>
          </w:p>
        </w:tc>
        <w:tc>
          <w:tcPr>
            <w:tcW w:w="700" w:type="dxa"/>
          </w:tcPr>
          <w:p w14:paraId="0A84E4A8"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-2.87</w:t>
            </w:r>
          </w:p>
        </w:tc>
        <w:tc>
          <w:tcPr>
            <w:tcW w:w="719" w:type="dxa"/>
            <w:gridSpan w:val="2"/>
          </w:tcPr>
          <w:p w14:paraId="2744A765"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-2.57</w:t>
            </w:r>
          </w:p>
        </w:tc>
        <w:tc>
          <w:tcPr>
            <w:tcW w:w="913" w:type="dxa"/>
          </w:tcPr>
          <w:p w14:paraId="0FD6A789"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-10.35</w:t>
            </w:r>
          </w:p>
        </w:tc>
        <w:tc>
          <w:tcPr>
            <w:tcW w:w="1094" w:type="dxa"/>
          </w:tcPr>
          <w:p w14:paraId="38E5DE14"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0.0000</w:t>
            </w:r>
          </w:p>
        </w:tc>
        <w:tc>
          <w:tcPr>
            <w:tcW w:w="1589" w:type="dxa"/>
          </w:tcPr>
          <w:p w14:paraId="65857EA7" w14:textId="77777777" w:rsidR="00C157B9" w:rsidRPr="00E55E43" w:rsidRDefault="00C157B9" w:rsidP="00483162">
            <w:pPr>
              <w:jc w:val="both"/>
              <w:rPr>
                <w:rFonts w:ascii="Arial" w:hAnsi="Arial" w:cs="Arial"/>
                <w:sz w:val="20"/>
                <w:szCs w:val="20"/>
              </w:rPr>
            </w:pPr>
            <w:r w:rsidRPr="00E55E43">
              <w:rPr>
                <w:rFonts w:ascii="Arial" w:hAnsi="Arial" w:cs="Arial"/>
                <w:sz w:val="20"/>
                <w:szCs w:val="20"/>
              </w:rPr>
              <w:t>Stationary</w:t>
            </w:r>
          </w:p>
        </w:tc>
      </w:tr>
    </w:tbl>
    <w:p w14:paraId="60FACCBA" w14:textId="77777777" w:rsidR="00C157B9" w:rsidRPr="00E55E43" w:rsidRDefault="00335ECA" w:rsidP="00483162">
      <w:pPr>
        <w:rPr>
          <w:rFonts w:ascii="Arial" w:hAnsi="Arial" w:cs="Arial"/>
        </w:rPr>
      </w:pPr>
      <w:r w:rsidRPr="00E55E43">
        <w:rPr>
          <w:rFonts w:ascii="Arial" w:hAnsi="Arial" w:cs="Arial"/>
          <w:noProof/>
        </w:rPr>
        <w:lastRenderedPageBreak/>
        <w:drawing>
          <wp:anchor distT="0" distB="0" distL="114300" distR="114300" simplePos="0" relativeHeight="251670528" behindDoc="1" locked="0" layoutInCell="1" allowOverlap="1" wp14:anchorId="150EDAF0" wp14:editId="75F1D70A">
            <wp:simplePos x="0" y="0"/>
            <wp:positionH relativeFrom="margin">
              <wp:posOffset>-6350</wp:posOffset>
            </wp:positionH>
            <wp:positionV relativeFrom="paragraph">
              <wp:posOffset>2110105</wp:posOffset>
            </wp:positionV>
            <wp:extent cx="2654300" cy="1793240"/>
            <wp:effectExtent l="0" t="0" r="0" b="0"/>
            <wp:wrapTight wrapText="bothSides">
              <wp:wrapPolygon edited="0">
                <wp:start x="0" y="0"/>
                <wp:lineTo x="0" y="21340"/>
                <wp:lineTo x="21393" y="21340"/>
                <wp:lineTo x="21393" y="0"/>
                <wp:lineTo x="0" y="0"/>
              </wp:wrapPolygon>
            </wp:wrapTight>
            <wp:docPr id="126723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3183" name=""/>
                    <pic:cNvPicPr/>
                  </pic:nvPicPr>
                  <pic:blipFill rotWithShape="1">
                    <a:blip r:embed="rId22" cstate="print">
                      <a:extLst>
                        <a:ext uri="{28A0092B-C50C-407E-A947-70E740481C1C}">
                          <a14:useLocalDpi xmlns:a14="http://schemas.microsoft.com/office/drawing/2010/main" val="0"/>
                        </a:ext>
                      </a:extLst>
                    </a:blip>
                    <a:srcRect l="17354" t="10290" r="15438" b="8916"/>
                    <a:stretch/>
                  </pic:blipFill>
                  <pic:spPr bwMode="auto">
                    <a:xfrm>
                      <a:off x="0" y="0"/>
                      <a:ext cx="2654300" cy="179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8480" behindDoc="1" locked="0" layoutInCell="1" allowOverlap="1" wp14:anchorId="59D3A121" wp14:editId="468F93CA">
            <wp:simplePos x="0" y="0"/>
            <wp:positionH relativeFrom="margin">
              <wp:align>left</wp:align>
            </wp:positionH>
            <wp:positionV relativeFrom="paragraph">
              <wp:posOffset>259715</wp:posOffset>
            </wp:positionV>
            <wp:extent cx="2654300" cy="1735689"/>
            <wp:effectExtent l="0" t="0" r="0" b="0"/>
            <wp:wrapTight wrapText="bothSides">
              <wp:wrapPolygon edited="0">
                <wp:start x="0" y="0"/>
                <wp:lineTo x="0" y="21339"/>
                <wp:lineTo x="21393" y="21339"/>
                <wp:lineTo x="21393" y="0"/>
                <wp:lineTo x="0" y="0"/>
              </wp:wrapPolygon>
            </wp:wrapTight>
            <wp:docPr id="964626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26913" name=""/>
                    <pic:cNvPicPr/>
                  </pic:nvPicPr>
                  <pic:blipFill rotWithShape="1">
                    <a:blip r:embed="rId23" cstate="print">
                      <a:extLst>
                        <a:ext uri="{28A0092B-C50C-407E-A947-70E740481C1C}">
                          <a14:useLocalDpi xmlns:a14="http://schemas.microsoft.com/office/drawing/2010/main" val="0"/>
                        </a:ext>
                      </a:extLst>
                    </a:blip>
                    <a:srcRect l="16615" t="12042" r="15808" b="9355"/>
                    <a:stretch/>
                  </pic:blipFill>
                  <pic:spPr bwMode="auto">
                    <a:xfrm>
                      <a:off x="0" y="0"/>
                      <a:ext cx="2654300" cy="17356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71552" behindDoc="1" locked="0" layoutInCell="1" allowOverlap="1" wp14:anchorId="7910BB95" wp14:editId="11F92CB5">
            <wp:simplePos x="0" y="0"/>
            <wp:positionH relativeFrom="margin">
              <wp:posOffset>2757170</wp:posOffset>
            </wp:positionH>
            <wp:positionV relativeFrom="paragraph">
              <wp:posOffset>2096135</wp:posOffset>
            </wp:positionV>
            <wp:extent cx="2642870" cy="1751965"/>
            <wp:effectExtent l="0" t="0" r="5080" b="635"/>
            <wp:wrapTight wrapText="bothSides">
              <wp:wrapPolygon edited="0">
                <wp:start x="0" y="0"/>
                <wp:lineTo x="0" y="21373"/>
                <wp:lineTo x="21486" y="21373"/>
                <wp:lineTo x="21486" y="0"/>
                <wp:lineTo x="0" y="0"/>
              </wp:wrapPolygon>
            </wp:wrapTight>
            <wp:docPr id="151755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52123" name=""/>
                    <pic:cNvPicPr/>
                  </pic:nvPicPr>
                  <pic:blipFill rotWithShape="1">
                    <a:blip r:embed="rId24" cstate="print">
                      <a:extLst>
                        <a:ext uri="{28A0092B-C50C-407E-A947-70E740481C1C}">
                          <a14:useLocalDpi xmlns:a14="http://schemas.microsoft.com/office/drawing/2010/main" val="0"/>
                        </a:ext>
                      </a:extLst>
                    </a:blip>
                    <a:srcRect l="16985" t="11165" r="15070" b="8698"/>
                    <a:stretch/>
                  </pic:blipFill>
                  <pic:spPr bwMode="auto">
                    <a:xfrm>
                      <a:off x="0" y="0"/>
                      <a:ext cx="2642870" cy="175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noProof/>
        </w:rPr>
        <w:drawing>
          <wp:anchor distT="0" distB="0" distL="114300" distR="114300" simplePos="0" relativeHeight="251669504" behindDoc="1" locked="0" layoutInCell="1" allowOverlap="1" wp14:anchorId="1F34CCAF" wp14:editId="1027164F">
            <wp:simplePos x="0" y="0"/>
            <wp:positionH relativeFrom="margin">
              <wp:posOffset>2743200</wp:posOffset>
            </wp:positionH>
            <wp:positionV relativeFrom="paragraph">
              <wp:posOffset>229235</wp:posOffset>
            </wp:positionV>
            <wp:extent cx="2622550" cy="1728470"/>
            <wp:effectExtent l="0" t="0" r="6350" b="5080"/>
            <wp:wrapTight wrapText="bothSides">
              <wp:wrapPolygon edited="0">
                <wp:start x="0" y="0"/>
                <wp:lineTo x="0" y="21425"/>
                <wp:lineTo x="21495" y="21425"/>
                <wp:lineTo x="21495" y="0"/>
                <wp:lineTo x="0" y="0"/>
              </wp:wrapPolygon>
            </wp:wrapTight>
            <wp:docPr id="33763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30143" name=""/>
                    <pic:cNvPicPr/>
                  </pic:nvPicPr>
                  <pic:blipFill rotWithShape="1">
                    <a:blip r:embed="rId25" cstate="print">
                      <a:extLst>
                        <a:ext uri="{28A0092B-C50C-407E-A947-70E740481C1C}">
                          <a14:useLocalDpi xmlns:a14="http://schemas.microsoft.com/office/drawing/2010/main" val="0"/>
                        </a:ext>
                      </a:extLst>
                    </a:blip>
                    <a:srcRect l="16985" t="10508" r="15075" b="9799"/>
                    <a:stretch/>
                  </pic:blipFill>
                  <pic:spPr bwMode="auto">
                    <a:xfrm>
                      <a:off x="0" y="0"/>
                      <a:ext cx="262255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57B9" w:rsidRPr="00E55E43">
        <w:rPr>
          <w:rFonts w:ascii="Arial" w:hAnsi="Arial" w:cs="Arial"/>
        </w:rPr>
        <w:t>The results were tested at 1%, 5%, and 10% level of significance respectively</w:t>
      </w:r>
    </w:p>
    <w:p w14:paraId="108CEDEA" w14:textId="77777777" w:rsidR="00335ECA" w:rsidRPr="00E55E43" w:rsidRDefault="00335ECA" w:rsidP="00483162">
      <w:pPr>
        <w:rPr>
          <w:rFonts w:ascii="Arial" w:hAnsi="Arial" w:cs="Arial"/>
          <w:b/>
          <w:bCs/>
        </w:rPr>
      </w:pPr>
    </w:p>
    <w:p w14:paraId="098FE488" w14:textId="77777777" w:rsidR="00335ECA" w:rsidRPr="00E55E43" w:rsidRDefault="00335ECA" w:rsidP="00483162">
      <w:pPr>
        <w:rPr>
          <w:rFonts w:ascii="Arial" w:hAnsi="Arial" w:cs="Arial"/>
          <w:b/>
          <w:bCs/>
        </w:rPr>
      </w:pPr>
    </w:p>
    <w:p w14:paraId="703EE38F" w14:textId="689C6FE2" w:rsidR="00483162" w:rsidRPr="00E55E43" w:rsidRDefault="00483162" w:rsidP="00483162">
      <w:pPr>
        <w:rPr>
          <w:rFonts w:ascii="Arial" w:hAnsi="Arial" w:cs="Arial"/>
          <w:b/>
          <w:bCs/>
        </w:rPr>
      </w:pPr>
      <w:r w:rsidRPr="00E55E43">
        <w:rPr>
          <w:rFonts w:ascii="Arial" w:hAnsi="Arial" w:cs="Arial"/>
          <w:b/>
          <w:bCs/>
        </w:rPr>
        <w:t>Figure 2: Time Plot of First Difference of the  Variables including: COVID-19 daily confirmed cases, All Shares Index, Crude oil Price and USD/NGN Exchange Rate.</w:t>
      </w:r>
    </w:p>
    <w:p w14:paraId="37ACE0F5" w14:textId="77777777" w:rsidR="00335ECA" w:rsidRPr="00E55E43" w:rsidRDefault="00335ECA" w:rsidP="00483162">
      <w:pPr>
        <w:rPr>
          <w:rFonts w:ascii="Arial" w:hAnsi="Arial" w:cs="Arial"/>
          <w:b/>
          <w:bCs/>
        </w:rPr>
      </w:pPr>
    </w:p>
    <w:p w14:paraId="7E3EE227" w14:textId="77777777" w:rsidR="00C157B9" w:rsidRPr="00E55E43" w:rsidRDefault="00C157B9" w:rsidP="00483162">
      <w:pPr>
        <w:rPr>
          <w:rFonts w:ascii="Arial" w:hAnsi="Arial" w:cs="Arial"/>
          <w:b/>
          <w:bCs/>
        </w:rPr>
      </w:pPr>
      <w:r w:rsidRPr="00E55E43">
        <w:rPr>
          <w:rFonts w:ascii="Arial" w:hAnsi="Arial" w:cs="Arial"/>
          <w:b/>
          <w:bCs/>
        </w:rPr>
        <w:t>Table 3:  Result of Johansen Cointegration Test</w:t>
      </w:r>
    </w:p>
    <w:tbl>
      <w:tblPr>
        <w:tblW w:w="0" w:type="auto"/>
        <w:tblInd w:w="30" w:type="dxa"/>
        <w:tblLayout w:type="fixed"/>
        <w:tblCellMar>
          <w:left w:w="0" w:type="dxa"/>
          <w:right w:w="0" w:type="dxa"/>
        </w:tblCellMar>
        <w:tblLook w:val="0000" w:firstRow="0" w:lastRow="0" w:firstColumn="0" w:lastColumn="0" w:noHBand="0" w:noVBand="0"/>
      </w:tblPr>
      <w:tblGrid>
        <w:gridCol w:w="1387"/>
        <w:gridCol w:w="1418"/>
        <w:gridCol w:w="1417"/>
        <w:gridCol w:w="1418"/>
        <w:gridCol w:w="1417"/>
      </w:tblGrid>
      <w:tr w:rsidR="00C157B9" w:rsidRPr="00E55E43" w14:paraId="353E9DCE" w14:textId="77777777" w:rsidTr="00FF2D46">
        <w:trPr>
          <w:trHeight w:val="225"/>
        </w:trPr>
        <w:tc>
          <w:tcPr>
            <w:tcW w:w="1387" w:type="dxa"/>
            <w:tcBorders>
              <w:top w:val="single" w:sz="4" w:space="0" w:color="auto"/>
              <w:left w:val="nil"/>
              <w:bottom w:val="nil"/>
              <w:right w:val="nil"/>
            </w:tcBorders>
            <w:vAlign w:val="bottom"/>
          </w:tcPr>
          <w:p w14:paraId="4D76F97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Hypothesized</w:t>
            </w:r>
          </w:p>
        </w:tc>
        <w:tc>
          <w:tcPr>
            <w:tcW w:w="1418" w:type="dxa"/>
            <w:tcBorders>
              <w:top w:val="single" w:sz="4" w:space="0" w:color="auto"/>
              <w:left w:val="nil"/>
              <w:bottom w:val="nil"/>
              <w:right w:val="nil"/>
            </w:tcBorders>
            <w:vAlign w:val="bottom"/>
          </w:tcPr>
          <w:p w14:paraId="684E0C0C" w14:textId="77777777" w:rsidR="00C157B9" w:rsidRPr="00E55E43" w:rsidRDefault="00C157B9" w:rsidP="00483162">
            <w:pPr>
              <w:autoSpaceDE w:val="0"/>
              <w:autoSpaceDN w:val="0"/>
              <w:adjustRightInd w:val="0"/>
              <w:jc w:val="center"/>
              <w:rPr>
                <w:rFonts w:ascii="Arial" w:hAnsi="Arial" w:cs="Arial"/>
              </w:rPr>
            </w:pPr>
          </w:p>
        </w:tc>
        <w:tc>
          <w:tcPr>
            <w:tcW w:w="1417" w:type="dxa"/>
            <w:tcBorders>
              <w:top w:val="single" w:sz="4" w:space="0" w:color="auto"/>
              <w:left w:val="nil"/>
              <w:bottom w:val="nil"/>
              <w:right w:val="nil"/>
            </w:tcBorders>
            <w:vAlign w:val="bottom"/>
          </w:tcPr>
          <w:p w14:paraId="153107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Trace</w:t>
            </w:r>
          </w:p>
        </w:tc>
        <w:tc>
          <w:tcPr>
            <w:tcW w:w="1418" w:type="dxa"/>
            <w:tcBorders>
              <w:top w:val="single" w:sz="4" w:space="0" w:color="auto"/>
              <w:left w:val="nil"/>
              <w:bottom w:val="nil"/>
              <w:right w:val="nil"/>
            </w:tcBorders>
            <w:vAlign w:val="bottom"/>
          </w:tcPr>
          <w:p w14:paraId="1505C68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0.05</w:t>
            </w:r>
          </w:p>
        </w:tc>
        <w:tc>
          <w:tcPr>
            <w:tcW w:w="1417" w:type="dxa"/>
            <w:tcBorders>
              <w:top w:val="single" w:sz="4" w:space="0" w:color="auto"/>
              <w:left w:val="nil"/>
              <w:bottom w:val="nil"/>
              <w:right w:val="nil"/>
            </w:tcBorders>
            <w:vAlign w:val="bottom"/>
          </w:tcPr>
          <w:p w14:paraId="199CF3B8" w14:textId="77777777" w:rsidR="00C157B9" w:rsidRPr="00E55E43" w:rsidRDefault="00C157B9" w:rsidP="00483162">
            <w:pPr>
              <w:autoSpaceDE w:val="0"/>
              <w:autoSpaceDN w:val="0"/>
              <w:adjustRightInd w:val="0"/>
              <w:jc w:val="center"/>
              <w:rPr>
                <w:rFonts w:ascii="Arial" w:hAnsi="Arial" w:cs="Arial"/>
              </w:rPr>
            </w:pPr>
          </w:p>
        </w:tc>
      </w:tr>
      <w:tr w:rsidR="00C157B9" w:rsidRPr="00E55E43" w14:paraId="3B309762" w14:textId="77777777" w:rsidTr="00FF2D46">
        <w:trPr>
          <w:trHeight w:val="225"/>
        </w:trPr>
        <w:tc>
          <w:tcPr>
            <w:tcW w:w="1387" w:type="dxa"/>
            <w:tcBorders>
              <w:top w:val="nil"/>
              <w:left w:val="nil"/>
              <w:bottom w:val="single" w:sz="4" w:space="0" w:color="auto"/>
              <w:right w:val="nil"/>
            </w:tcBorders>
            <w:vAlign w:val="bottom"/>
          </w:tcPr>
          <w:p w14:paraId="3E38B80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No. of CE(s)</w:t>
            </w:r>
          </w:p>
        </w:tc>
        <w:tc>
          <w:tcPr>
            <w:tcW w:w="1418" w:type="dxa"/>
            <w:tcBorders>
              <w:top w:val="nil"/>
              <w:left w:val="nil"/>
              <w:bottom w:val="single" w:sz="4" w:space="0" w:color="auto"/>
              <w:right w:val="nil"/>
            </w:tcBorders>
            <w:vAlign w:val="bottom"/>
          </w:tcPr>
          <w:p w14:paraId="20F80C34"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Eigenvalue</w:t>
            </w:r>
          </w:p>
        </w:tc>
        <w:tc>
          <w:tcPr>
            <w:tcW w:w="1417" w:type="dxa"/>
            <w:tcBorders>
              <w:top w:val="nil"/>
              <w:left w:val="nil"/>
              <w:bottom w:val="single" w:sz="4" w:space="0" w:color="auto"/>
              <w:right w:val="nil"/>
            </w:tcBorders>
            <w:vAlign w:val="bottom"/>
          </w:tcPr>
          <w:p w14:paraId="66F8FAC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Statistic</w:t>
            </w:r>
          </w:p>
        </w:tc>
        <w:tc>
          <w:tcPr>
            <w:tcW w:w="1418" w:type="dxa"/>
            <w:tcBorders>
              <w:top w:val="nil"/>
              <w:left w:val="nil"/>
              <w:bottom w:val="single" w:sz="4" w:space="0" w:color="auto"/>
              <w:right w:val="nil"/>
            </w:tcBorders>
            <w:vAlign w:val="bottom"/>
          </w:tcPr>
          <w:p w14:paraId="78BAC1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Critical Value</w:t>
            </w:r>
          </w:p>
        </w:tc>
        <w:tc>
          <w:tcPr>
            <w:tcW w:w="1417" w:type="dxa"/>
            <w:tcBorders>
              <w:top w:val="nil"/>
              <w:left w:val="nil"/>
              <w:bottom w:val="single" w:sz="4" w:space="0" w:color="auto"/>
              <w:right w:val="nil"/>
            </w:tcBorders>
            <w:vAlign w:val="bottom"/>
          </w:tcPr>
          <w:p w14:paraId="2FAA8156"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Prob.**</w:t>
            </w:r>
          </w:p>
        </w:tc>
      </w:tr>
      <w:tr w:rsidR="00C157B9" w:rsidRPr="00E55E43" w14:paraId="6AC3FE9B" w14:textId="77777777" w:rsidTr="00FF2D46">
        <w:trPr>
          <w:trHeight w:hRule="exact" w:val="90"/>
        </w:trPr>
        <w:tc>
          <w:tcPr>
            <w:tcW w:w="1387" w:type="dxa"/>
            <w:tcBorders>
              <w:top w:val="single" w:sz="4" w:space="0" w:color="auto"/>
              <w:left w:val="nil"/>
              <w:right w:val="nil"/>
            </w:tcBorders>
            <w:vAlign w:val="bottom"/>
          </w:tcPr>
          <w:p w14:paraId="522C6DF5" w14:textId="77777777" w:rsidR="00C157B9" w:rsidRPr="00E55E43" w:rsidRDefault="00C157B9" w:rsidP="00483162">
            <w:pPr>
              <w:autoSpaceDE w:val="0"/>
              <w:autoSpaceDN w:val="0"/>
              <w:adjustRightInd w:val="0"/>
              <w:rPr>
                <w:rFonts w:ascii="Arial" w:hAnsi="Arial" w:cs="Arial"/>
              </w:rPr>
            </w:pPr>
          </w:p>
        </w:tc>
        <w:tc>
          <w:tcPr>
            <w:tcW w:w="1418" w:type="dxa"/>
            <w:tcBorders>
              <w:top w:val="single" w:sz="4" w:space="0" w:color="auto"/>
              <w:left w:val="nil"/>
              <w:right w:val="nil"/>
            </w:tcBorders>
            <w:vAlign w:val="bottom"/>
          </w:tcPr>
          <w:p w14:paraId="0D83244D" w14:textId="77777777" w:rsidR="00C157B9" w:rsidRPr="00E55E43" w:rsidRDefault="00C157B9" w:rsidP="00483162">
            <w:pPr>
              <w:autoSpaceDE w:val="0"/>
              <w:autoSpaceDN w:val="0"/>
              <w:adjustRightInd w:val="0"/>
              <w:rPr>
                <w:rFonts w:ascii="Arial" w:hAnsi="Arial" w:cs="Arial"/>
              </w:rPr>
            </w:pPr>
          </w:p>
        </w:tc>
        <w:tc>
          <w:tcPr>
            <w:tcW w:w="1417" w:type="dxa"/>
            <w:tcBorders>
              <w:top w:val="single" w:sz="4" w:space="0" w:color="auto"/>
              <w:left w:val="nil"/>
              <w:right w:val="nil"/>
            </w:tcBorders>
            <w:vAlign w:val="bottom"/>
          </w:tcPr>
          <w:p w14:paraId="7B145EB5" w14:textId="77777777" w:rsidR="00C157B9" w:rsidRPr="00E55E43" w:rsidRDefault="00C157B9" w:rsidP="00483162">
            <w:pPr>
              <w:autoSpaceDE w:val="0"/>
              <w:autoSpaceDN w:val="0"/>
              <w:adjustRightInd w:val="0"/>
              <w:rPr>
                <w:rFonts w:ascii="Arial" w:hAnsi="Arial" w:cs="Arial"/>
              </w:rPr>
            </w:pPr>
          </w:p>
        </w:tc>
        <w:tc>
          <w:tcPr>
            <w:tcW w:w="1418" w:type="dxa"/>
            <w:tcBorders>
              <w:top w:val="single" w:sz="4" w:space="0" w:color="auto"/>
              <w:left w:val="nil"/>
              <w:right w:val="nil"/>
            </w:tcBorders>
            <w:vAlign w:val="bottom"/>
          </w:tcPr>
          <w:p w14:paraId="5782438F" w14:textId="77777777" w:rsidR="00C157B9" w:rsidRPr="00E55E43" w:rsidRDefault="00C157B9" w:rsidP="00483162">
            <w:pPr>
              <w:autoSpaceDE w:val="0"/>
              <w:autoSpaceDN w:val="0"/>
              <w:adjustRightInd w:val="0"/>
              <w:rPr>
                <w:rFonts w:ascii="Arial" w:hAnsi="Arial" w:cs="Arial"/>
              </w:rPr>
            </w:pPr>
          </w:p>
        </w:tc>
        <w:tc>
          <w:tcPr>
            <w:tcW w:w="1417" w:type="dxa"/>
            <w:tcBorders>
              <w:top w:val="single" w:sz="4" w:space="0" w:color="auto"/>
              <w:left w:val="nil"/>
              <w:right w:val="nil"/>
            </w:tcBorders>
            <w:vAlign w:val="bottom"/>
          </w:tcPr>
          <w:p w14:paraId="3B669DE4" w14:textId="77777777" w:rsidR="00C157B9" w:rsidRPr="00E55E43" w:rsidRDefault="00C157B9" w:rsidP="00483162">
            <w:pPr>
              <w:autoSpaceDE w:val="0"/>
              <w:autoSpaceDN w:val="0"/>
              <w:adjustRightInd w:val="0"/>
              <w:rPr>
                <w:rFonts w:ascii="Arial" w:hAnsi="Arial" w:cs="Arial"/>
              </w:rPr>
            </w:pPr>
          </w:p>
        </w:tc>
      </w:tr>
      <w:tr w:rsidR="00C157B9" w:rsidRPr="00E55E43" w14:paraId="1E9F6EE7" w14:textId="77777777" w:rsidTr="00FF2D46">
        <w:trPr>
          <w:trHeight w:hRule="exact" w:val="135"/>
        </w:trPr>
        <w:tc>
          <w:tcPr>
            <w:tcW w:w="1387" w:type="dxa"/>
            <w:tcBorders>
              <w:top w:val="nil"/>
              <w:left w:val="nil"/>
              <w:bottom w:val="nil"/>
              <w:right w:val="nil"/>
            </w:tcBorders>
            <w:vAlign w:val="bottom"/>
          </w:tcPr>
          <w:p w14:paraId="7C0B64C9" w14:textId="77777777" w:rsidR="00C157B9" w:rsidRPr="00E55E43" w:rsidRDefault="00C157B9" w:rsidP="00483162">
            <w:pPr>
              <w:autoSpaceDE w:val="0"/>
              <w:autoSpaceDN w:val="0"/>
              <w:adjustRightInd w:val="0"/>
              <w:rPr>
                <w:rFonts w:ascii="Arial" w:hAnsi="Arial" w:cs="Arial"/>
              </w:rPr>
            </w:pPr>
          </w:p>
        </w:tc>
        <w:tc>
          <w:tcPr>
            <w:tcW w:w="1418" w:type="dxa"/>
            <w:tcBorders>
              <w:top w:val="nil"/>
              <w:left w:val="nil"/>
              <w:bottom w:val="nil"/>
              <w:right w:val="nil"/>
            </w:tcBorders>
            <w:vAlign w:val="bottom"/>
          </w:tcPr>
          <w:p w14:paraId="5C26631C" w14:textId="77777777" w:rsidR="00C157B9" w:rsidRPr="00E55E43" w:rsidRDefault="00C157B9" w:rsidP="00483162">
            <w:pPr>
              <w:autoSpaceDE w:val="0"/>
              <w:autoSpaceDN w:val="0"/>
              <w:adjustRightInd w:val="0"/>
              <w:rPr>
                <w:rFonts w:ascii="Arial" w:hAnsi="Arial" w:cs="Arial"/>
              </w:rPr>
            </w:pPr>
          </w:p>
        </w:tc>
        <w:tc>
          <w:tcPr>
            <w:tcW w:w="1417" w:type="dxa"/>
            <w:tcBorders>
              <w:top w:val="nil"/>
              <w:left w:val="nil"/>
              <w:bottom w:val="nil"/>
              <w:right w:val="nil"/>
            </w:tcBorders>
            <w:vAlign w:val="bottom"/>
          </w:tcPr>
          <w:p w14:paraId="47B51F2F" w14:textId="77777777" w:rsidR="00C157B9" w:rsidRPr="00E55E43" w:rsidRDefault="00C157B9" w:rsidP="00483162">
            <w:pPr>
              <w:autoSpaceDE w:val="0"/>
              <w:autoSpaceDN w:val="0"/>
              <w:adjustRightInd w:val="0"/>
              <w:rPr>
                <w:rFonts w:ascii="Arial" w:hAnsi="Arial" w:cs="Arial"/>
              </w:rPr>
            </w:pPr>
          </w:p>
        </w:tc>
        <w:tc>
          <w:tcPr>
            <w:tcW w:w="1418" w:type="dxa"/>
            <w:tcBorders>
              <w:top w:val="nil"/>
              <w:left w:val="nil"/>
              <w:bottom w:val="nil"/>
              <w:right w:val="nil"/>
            </w:tcBorders>
            <w:vAlign w:val="bottom"/>
          </w:tcPr>
          <w:p w14:paraId="0A7A2B24" w14:textId="77777777" w:rsidR="00C157B9" w:rsidRPr="00E55E43" w:rsidRDefault="00C157B9" w:rsidP="00483162">
            <w:pPr>
              <w:autoSpaceDE w:val="0"/>
              <w:autoSpaceDN w:val="0"/>
              <w:adjustRightInd w:val="0"/>
              <w:rPr>
                <w:rFonts w:ascii="Arial" w:hAnsi="Arial" w:cs="Arial"/>
              </w:rPr>
            </w:pPr>
          </w:p>
        </w:tc>
        <w:tc>
          <w:tcPr>
            <w:tcW w:w="1417" w:type="dxa"/>
            <w:tcBorders>
              <w:top w:val="nil"/>
              <w:left w:val="nil"/>
              <w:bottom w:val="nil"/>
              <w:right w:val="nil"/>
            </w:tcBorders>
            <w:vAlign w:val="bottom"/>
          </w:tcPr>
          <w:p w14:paraId="0BD5A81F" w14:textId="77777777" w:rsidR="00C157B9" w:rsidRPr="00E55E43" w:rsidRDefault="00C157B9" w:rsidP="00483162">
            <w:pPr>
              <w:autoSpaceDE w:val="0"/>
              <w:autoSpaceDN w:val="0"/>
              <w:adjustRightInd w:val="0"/>
              <w:rPr>
                <w:rFonts w:ascii="Arial" w:hAnsi="Arial" w:cs="Arial"/>
              </w:rPr>
            </w:pPr>
          </w:p>
        </w:tc>
      </w:tr>
      <w:tr w:rsidR="00C157B9" w:rsidRPr="00E55E43" w14:paraId="647FE7E5" w14:textId="77777777" w:rsidTr="00FF2D46">
        <w:trPr>
          <w:trHeight w:val="225"/>
        </w:trPr>
        <w:tc>
          <w:tcPr>
            <w:tcW w:w="1387" w:type="dxa"/>
            <w:tcBorders>
              <w:top w:val="nil"/>
              <w:left w:val="nil"/>
              <w:bottom w:val="nil"/>
              <w:right w:val="nil"/>
            </w:tcBorders>
            <w:vAlign w:val="bottom"/>
          </w:tcPr>
          <w:p w14:paraId="656E4BE3"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None</w:t>
            </w:r>
          </w:p>
        </w:tc>
        <w:tc>
          <w:tcPr>
            <w:tcW w:w="1418" w:type="dxa"/>
            <w:tcBorders>
              <w:top w:val="nil"/>
              <w:left w:val="nil"/>
              <w:bottom w:val="nil"/>
              <w:right w:val="nil"/>
            </w:tcBorders>
            <w:vAlign w:val="bottom"/>
          </w:tcPr>
          <w:p w14:paraId="5362379A"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0.033809</w:t>
            </w:r>
          </w:p>
        </w:tc>
        <w:tc>
          <w:tcPr>
            <w:tcW w:w="1417" w:type="dxa"/>
            <w:tcBorders>
              <w:top w:val="nil"/>
              <w:left w:val="nil"/>
              <w:bottom w:val="nil"/>
              <w:right w:val="nil"/>
            </w:tcBorders>
            <w:vAlign w:val="bottom"/>
          </w:tcPr>
          <w:p w14:paraId="79FBFD9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36.59352</w:t>
            </w:r>
          </w:p>
        </w:tc>
        <w:tc>
          <w:tcPr>
            <w:tcW w:w="1418" w:type="dxa"/>
            <w:tcBorders>
              <w:top w:val="nil"/>
              <w:left w:val="nil"/>
              <w:bottom w:val="nil"/>
              <w:right w:val="nil"/>
            </w:tcBorders>
            <w:vAlign w:val="bottom"/>
          </w:tcPr>
          <w:p w14:paraId="533D54BD"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47.85613</w:t>
            </w:r>
          </w:p>
        </w:tc>
        <w:tc>
          <w:tcPr>
            <w:tcW w:w="1417" w:type="dxa"/>
            <w:tcBorders>
              <w:top w:val="nil"/>
              <w:left w:val="nil"/>
              <w:bottom w:val="nil"/>
              <w:right w:val="nil"/>
            </w:tcBorders>
            <w:vAlign w:val="bottom"/>
          </w:tcPr>
          <w:p w14:paraId="72E8B54B"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0.3670</w:t>
            </w:r>
          </w:p>
        </w:tc>
      </w:tr>
      <w:tr w:rsidR="00C157B9" w:rsidRPr="00E55E43" w14:paraId="2A35E8CD" w14:textId="77777777" w:rsidTr="00FF2D46">
        <w:trPr>
          <w:trHeight w:val="225"/>
        </w:trPr>
        <w:tc>
          <w:tcPr>
            <w:tcW w:w="1387" w:type="dxa"/>
            <w:tcBorders>
              <w:top w:val="nil"/>
              <w:left w:val="nil"/>
              <w:bottom w:val="nil"/>
              <w:right w:val="nil"/>
            </w:tcBorders>
            <w:vAlign w:val="bottom"/>
          </w:tcPr>
          <w:p w14:paraId="19F01A87"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1</w:t>
            </w:r>
          </w:p>
        </w:tc>
        <w:tc>
          <w:tcPr>
            <w:tcW w:w="1418" w:type="dxa"/>
            <w:tcBorders>
              <w:top w:val="nil"/>
              <w:left w:val="nil"/>
              <w:bottom w:val="nil"/>
              <w:right w:val="nil"/>
            </w:tcBorders>
            <w:vAlign w:val="bottom"/>
          </w:tcPr>
          <w:p w14:paraId="2B367AD2"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0.023098</w:t>
            </w:r>
          </w:p>
        </w:tc>
        <w:tc>
          <w:tcPr>
            <w:tcW w:w="1417" w:type="dxa"/>
            <w:tcBorders>
              <w:top w:val="nil"/>
              <w:left w:val="nil"/>
              <w:bottom w:val="nil"/>
              <w:right w:val="nil"/>
            </w:tcBorders>
            <w:vAlign w:val="bottom"/>
          </w:tcPr>
          <w:p w14:paraId="64129298"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19.67199</w:t>
            </w:r>
          </w:p>
        </w:tc>
        <w:tc>
          <w:tcPr>
            <w:tcW w:w="1418" w:type="dxa"/>
            <w:tcBorders>
              <w:top w:val="nil"/>
              <w:left w:val="nil"/>
              <w:bottom w:val="nil"/>
              <w:right w:val="nil"/>
            </w:tcBorders>
            <w:vAlign w:val="bottom"/>
          </w:tcPr>
          <w:p w14:paraId="378EB5EC"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29.79707</w:t>
            </w:r>
          </w:p>
        </w:tc>
        <w:tc>
          <w:tcPr>
            <w:tcW w:w="1417" w:type="dxa"/>
            <w:tcBorders>
              <w:top w:val="nil"/>
              <w:left w:val="nil"/>
              <w:bottom w:val="nil"/>
              <w:right w:val="nil"/>
            </w:tcBorders>
            <w:vAlign w:val="bottom"/>
          </w:tcPr>
          <w:p w14:paraId="78E5FD5E"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0.4453</w:t>
            </w:r>
          </w:p>
        </w:tc>
      </w:tr>
      <w:tr w:rsidR="00C157B9" w:rsidRPr="00E55E43" w14:paraId="5A99B9A7" w14:textId="77777777" w:rsidTr="00FF2D46">
        <w:trPr>
          <w:trHeight w:val="225"/>
        </w:trPr>
        <w:tc>
          <w:tcPr>
            <w:tcW w:w="1387" w:type="dxa"/>
            <w:tcBorders>
              <w:top w:val="nil"/>
              <w:left w:val="nil"/>
              <w:bottom w:val="nil"/>
              <w:right w:val="nil"/>
            </w:tcBorders>
            <w:vAlign w:val="bottom"/>
          </w:tcPr>
          <w:p w14:paraId="7130B871"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2</w:t>
            </w:r>
          </w:p>
        </w:tc>
        <w:tc>
          <w:tcPr>
            <w:tcW w:w="1418" w:type="dxa"/>
            <w:tcBorders>
              <w:top w:val="nil"/>
              <w:left w:val="nil"/>
              <w:bottom w:val="nil"/>
              <w:right w:val="nil"/>
            </w:tcBorders>
            <w:vAlign w:val="bottom"/>
          </w:tcPr>
          <w:p w14:paraId="7520BB3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0.016145</w:t>
            </w:r>
          </w:p>
        </w:tc>
        <w:tc>
          <w:tcPr>
            <w:tcW w:w="1417" w:type="dxa"/>
            <w:tcBorders>
              <w:top w:val="nil"/>
              <w:left w:val="nil"/>
              <w:bottom w:val="nil"/>
              <w:right w:val="nil"/>
            </w:tcBorders>
            <w:vAlign w:val="bottom"/>
          </w:tcPr>
          <w:p w14:paraId="03BA0F43"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8.174284</w:t>
            </w:r>
          </w:p>
        </w:tc>
        <w:tc>
          <w:tcPr>
            <w:tcW w:w="1418" w:type="dxa"/>
            <w:tcBorders>
              <w:top w:val="nil"/>
              <w:left w:val="nil"/>
              <w:bottom w:val="nil"/>
              <w:right w:val="nil"/>
            </w:tcBorders>
            <w:vAlign w:val="bottom"/>
          </w:tcPr>
          <w:p w14:paraId="13E82355"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15.49471</w:t>
            </w:r>
          </w:p>
        </w:tc>
        <w:tc>
          <w:tcPr>
            <w:tcW w:w="1417" w:type="dxa"/>
            <w:tcBorders>
              <w:top w:val="nil"/>
              <w:left w:val="nil"/>
              <w:bottom w:val="nil"/>
              <w:right w:val="nil"/>
            </w:tcBorders>
            <w:vAlign w:val="bottom"/>
          </w:tcPr>
          <w:p w14:paraId="4BA02AE0"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0.4470</w:t>
            </w:r>
          </w:p>
        </w:tc>
      </w:tr>
      <w:tr w:rsidR="00C157B9" w:rsidRPr="00E55E43" w14:paraId="02993C43" w14:textId="77777777" w:rsidTr="00FF2D46">
        <w:trPr>
          <w:trHeight w:val="225"/>
        </w:trPr>
        <w:tc>
          <w:tcPr>
            <w:tcW w:w="1387" w:type="dxa"/>
            <w:tcBorders>
              <w:top w:val="nil"/>
              <w:left w:val="nil"/>
              <w:bottom w:val="single" w:sz="4" w:space="0" w:color="auto"/>
              <w:right w:val="nil"/>
            </w:tcBorders>
            <w:vAlign w:val="bottom"/>
          </w:tcPr>
          <w:p w14:paraId="5674132F"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At most 3</w:t>
            </w:r>
          </w:p>
        </w:tc>
        <w:tc>
          <w:tcPr>
            <w:tcW w:w="1418" w:type="dxa"/>
            <w:tcBorders>
              <w:top w:val="nil"/>
              <w:left w:val="nil"/>
              <w:bottom w:val="single" w:sz="4" w:space="0" w:color="auto"/>
              <w:right w:val="nil"/>
            </w:tcBorders>
            <w:vAlign w:val="bottom"/>
          </w:tcPr>
          <w:p w14:paraId="3E10D1E8"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0.000338</w:t>
            </w:r>
          </w:p>
        </w:tc>
        <w:tc>
          <w:tcPr>
            <w:tcW w:w="1417" w:type="dxa"/>
            <w:tcBorders>
              <w:top w:val="nil"/>
              <w:left w:val="nil"/>
              <w:bottom w:val="single" w:sz="4" w:space="0" w:color="auto"/>
              <w:right w:val="nil"/>
            </w:tcBorders>
            <w:vAlign w:val="bottom"/>
          </w:tcPr>
          <w:p w14:paraId="26519756"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0.166180</w:t>
            </w:r>
          </w:p>
        </w:tc>
        <w:tc>
          <w:tcPr>
            <w:tcW w:w="1418" w:type="dxa"/>
            <w:tcBorders>
              <w:top w:val="nil"/>
              <w:left w:val="nil"/>
              <w:bottom w:val="single" w:sz="4" w:space="0" w:color="auto"/>
              <w:right w:val="nil"/>
            </w:tcBorders>
            <w:vAlign w:val="bottom"/>
          </w:tcPr>
          <w:p w14:paraId="232780DB"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3.841466</w:t>
            </w:r>
          </w:p>
        </w:tc>
        <w:tc>
          <w:tcPr>
            <w:tcW w:w="1417" w:type="dxa"/>
            <w:tcBorders>
              <w:top w:val="nil"/>
              <w:left w:val="nil"/>
              <w:bottom w:val="single" w:sz="4" w:space="0" w:color="auto"/>
              <w:right w:val="nil"/>
            </w:tcBorders>
            <w:vAlign w:val="bottom"/>
          </w:tcPr>
          <w:p w14:paraId="3D871764" w14:textId="77777777" w:rsidR="00C157B9" w:rsidRPr="00E55E43" w:rsidRDefault="00C157B9" w:rsidP="00483162">
            <w:pPr>
              <w:autoSpaceDE w:val="0"/>
              <w:autoSpaceDN w:val="0"/>
              <w:adjustRightInd w:val="0"/>
              <w:jc w:val="center"/>
              <w:rPr>
                <w:rFonts w:ascii="Arial" w:hAnsi="Arial" w:cs="Arial"/>
              </w:rPr>
            </w:pPr>
            <w:r w:rsidRPr="00E55E43">
              <w:rPr>
                <w:rFonts w:ascii="Arial" w:hAnsi="Arial" w:cs="Arial"/>
              </w:rPr>
              <w:t> 0.6835</w:t>
            </w:r>
          </w:p>
        </w:tc>
      </w:tr>
    </w:tbl>
    <w:p w14:paraId="4BA97D27" w14:textId="77777777" w:rsidR="00C157B9" w:rsidRPr="00E55E43" w:rsidRDefault="00C157B9" w:rsidP="00483162">
      <w:pPr>
        <w:rPr>
          <w:rFonts w:ascii="Arial" w:hAnsi="Arial" w:cs="Arial"/>
          <w:b/>
          <w:bCs/>
        </w:rPr>
      </w:pPr>
    </w:p>
    <w:p w14:paraId="40331E75" w14:textId="77777777" w:rsidR="00C157B9" w:rsidRPr="00E55E43" w:rsidRDefault="00C157B9" w:rsidP="00483162">
      <w:pPr>
        <w:rPr>
          <w:rFonts w:ascii="Arial" w:hAnsi="Arial" w:cs="Arial"/>
          <w:b/>
          <w:bCs/>
        </w:rPr>
      </w:pPr>
      <w:r w:rsidRPr="00E55E43">
        <w:rPr>
          <w:rFonts w:ascii="Arial" w:hAnsi="Arial" w:cs="Arial"/>
          <w:b/>
          <w:bCs/>
        </w:rPr>
        <w:t>VAR Model Estimation</w:t>
      </w:r>
    </w:p>
    <w:p w14:paraId="04243E75" w14:textId="77777777" w:rsidR="00C157B9" w:rsidRDefault="00C157B9" w:rsidP="00483162">
      <w:pPr>
        <w:rPr>
          <w:rFonts w:ascii="Arial" w:hAnsi="Arial" w:cs="Arial"/>
          <w:b/>
          <w:bCs/>
        </w:rPr>
      </w:pPr>
      <w:r w:rsidRPr="00E55E43">
        <w:rPr>
          <w:rFonts w:ascii="Arial" w:hAnsi="Arial" w:cs="Arial"/>
          <w:b/>
          <w:bCs/>
        </w:rPr>
        <w:t>VAR Model - Substituted Coefficients:</w:t>
      </w:r>
    </w:p>
    <w:p w14:paraId="7D7CBAB5" w14:textId="77777777" w:rsidR="00E55E43" w:rsidRPr="00E55E43" w:rsidRDefault="00E55E43" w:rsidP="00483162">
      <w:pPr>
        <w:rPr>
          <w:rFonts w:ascii="Arial" w:hAnsi="Arial" w:cs="Arial"/>
          <w:b/>
          <w:bCs/>
        </w:rPr>
      </w:pPr>
    </w:p>
    <w:p w14:paraId="3513B867" w14:textId="77777777" w:rsidR="00C157B9" w:rsidRPr="00E55E43" w:rsidRDefault="00000000" w:rsidP="00C157B9">
      <w:pPr>
        <w:tabs>
          <w:tab w:val="left" w:pos="90"/>
          <w:tab w:val="left" w:pos="240"/>
          <w:tab w:val="left" w:pos="480"/>
          <w:tab w:val="left" w:pos="720"/>
          <w:tab w:val="left" w:pos="96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440" w:hanging="144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m:t>
            </m:r>
          </m:sub>
        </m:sSub>
      </m:oMath>
      <w:r w:rsidR="00C157B9" w:rsidRPr="00E55E43">
        <w:rPr>
          <w:rFonts w:ascii="Arial" w:hAnsi="Arial" w:cs="Arial"/>
        </w:rPr>
        <w:t xml:space="preserve"> =  - 0.847657996471*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- 0.693214530838*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- 0.43016783404*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- 0.394498829273*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xml:space="preserve"> - 0.404452063558*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- 0.162415725208*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+ 0.102461531696*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+ 0.18672968954*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+ 11.3177752854*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00C157B9" w:rsidRPr="00E55E43">
        <w:rPr>
          <w:rFonts w:ascii="Arial" w:hAnsi="Arial" w:cs="Arial"/>
        </w:rPr>
        <w:t xml:space="preserve"> + 23.2234398021*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+ 0.849200613873*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xml:space="preserve"> - </w:t>
      </w:r>
      <w:r w:rsidR="00C157B9" w:rsidRPr="00E55E43">
        <w:rPr>
          <w:rFonts w:ascii="Arial" w:hAnsi="Arial" w:cs="Arial"/>
        </w:rPr>
        <w:lastRenderedPageBreak/>
        <w:t>26.7007008718*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- 69.5531984035*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+ 1.12456481052*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xml:space="preserve"> + 5.48553607979*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+ 42.6023142463*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+ 2.45760481965*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- 5.63227094513*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+ 3.36714886314*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+ 2.21297081401*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xml:space="preserve"> - 7.57520154136*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xml:space="preserve"> - 2.39322534416*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+ 3.21857293201*D</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+ 11.0921699969*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xml:space="preserve"> + 4.25370527739*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+ 2.67572492244*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xml:space="preserve"> - 3.47653409559*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- 3.2528241583*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- 7.36387255146*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- 8.76843625387*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- 10.9571641812*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xml:space="preserve"> - 6.48403260128*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+ 0.382072962034</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(4.1)</w:t>
      </w:r>
    </w:p>
    <w:p w14:paraId="50960AA1" w14:textId="77777777" w:rsidR="00C157B9" w:rsidRPr="00E55E43" w:rsidRDefault="00C157B9" w:rsidP="00C157B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rPr>
          <w:rFonts w:ascii="Arial" w:hAnsi="Arial" w:cs="Arial"/>
        </w:rPr>
      </w:pPr>
    </w:p>
    <w:p w14:paraId="272299B5" w14:textId="77777777" w:rsidR="00C157B9" w:rsidRPr="00E55E43" w:rsidRDefault="00000000" w:rsidP="00E55E43">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m:t>
            </m:r>
          </m:sub>
        </m:sSub>
      </m:oMath>
      <w:r w:rsidR="00C157B9" w:rsidRPr="00E55E43">
        <w:rPr>
          <w:rFonts w:ascii="Arial" w:hAnsi="Arial" w:cs="Arial"/>
        </w:rPr>
        <w:t xml:space="preserve"> =  - 8.68417874977e-05*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- 0.000116082217775*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- 8.34833204581e-05*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- 8.47953945337e-05*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- 0.000124933464708*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- 1.53174717729e-05*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+ 1.43592628916e-05*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+ 3.0408380692e-05*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+ 0.139430914942*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00C157B9" w:rsidRPr="00E55E43">
        <w:rPr>
          <w:rFonts w:ascii="Arial" w:hAnsi="Arial" w:cs="Arial"/>
        </w:rPr>
        <w:t xml:space="preserve">  + 0.114375822361*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xml:space="preserve"> + 4.82813596812e-05*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00C157B9" w:rsidRPr="00E55E43">
        <w:rPr>
          <w:rFonts w:ascii="Arial" w:hAnsi="Arial" w:cs="Arial"/>
        </w:rPr>
        <w:t>+ 0.071368670074*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+ 0.0211903951526*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xml:space="preserve"> + 0.0368626777587*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xml:space="preserve"> - 0.00168302421323*</w:t>
      </w:r>
      <m:oMath>
        <m:sSub>
          <m:sSubPr>
            <m:ctrlPr>
              <w:rPr>
                <w:rFonts w:ascii="Cambria Math" w:hAnsi="Cambria Math" w:cs="Arial"/>
              </w:rPr>
            </m:ctrlPr>
          </m:sSubPr>
          <m:e>
            <m:r>
              <m:rPr>
                <m:sty m:val="p"/>
              </m:rP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+ 0.0292423604544*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+ 0.00495907011895*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xml:space="preserve"> + 0.006453759457*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+ 0.00496295472522*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xml:space="preserve"> - 0.00101878610539*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- 0.00329501036506*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xml:space="preserve"> - 0.0060966970307*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- 0.00312255126844*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+ 0.00293249024068*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- 0.00204667146914*</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+ 0.00184271771789*</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+ 0.000980273023231*</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+ 0.00501494685191*</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xml:space="preserve"> + 0.0191733254578*</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xml:space="preserve"> + 0.00428657510353*</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xml:space="preserve"> - 0.0150531143079*</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- 0.0211120305053*</w:t>
      </w:r>
      <m:oMath>
        <m:sSub>
          <m:sSubPr>
            <m:ctrlPr>
              <w:rPr>
                <w:rFonts w:ascii="Cambria Math" w:hAnsi="Cambria Math" w:cs="Arial"/>
              </w:rPr>
            </m:ctrlPr>
          </m:sSubPr>
          <m:e>
            <m:r>
              <m:rPr>
                <m:sty m:val="p"/>
              </m:rP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w:t>
      </w:r>
      <w:r w:rsidR="00C157B9" w:rsidRPr="00E55E43">
        <w:rPr>
          <w:rFonts w:ascii="Arial" w:hAnsi="Arial" w:cs="Arial"/>
        </w:rPr>
        <w:lastRenderedPageBreak/>
        <w:t>0.0342595850676</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(4.2)</w:t>
      </w:r>
    </w:p>
    <w:p w14:paraId="756F78B6" w14:textId="77777777" w:rsidR="00C157B9" w:rsidRPr="00E55E43" w:rsidRDefault="00C157B9"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w:p>
    <w:p w14:paraId="5076D4A7" w14:textId="77777777" w:rsidR="00C157B9" w:rsidRPr="00E55E43" w:rsidRDefault="00000000"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m:t>
            </m:r>
          </m:sub>
        </m:sSub>
      </m:oMath>
      <w:r w:rsidR="00C157B9" w:rsidRPr="00E55E43">
        <w:rPr>
          <w:rFonts w:ascii="Arial" w:hAnsi="Arial" w:cs="Arial"/>
        </w:rPr>
        <w:t>= 0.00179824621508*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00C157B9" w:rsidRPr="00E55E43">
        <w:rPr>
          <w:rFonts w:ascii="Arial" w:hAnsi="Arial" w:cs="Arial"/>
        </w:rPr>
        <w:t xml:space="preserve"> + 0.00163100731797*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00C157B9" w:rsidRPr="00E55E43">
        <w:rPr>
          <w:rFonts w:ascii="Arial" w:hAnsi="Arial" w:cs="Arial"/>
        </w:rPr>
        <w:t xml:space="preserve">  + 0.00163244635833*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00C157B9" w:rsidRPr="00E55E43">
        <w:rPr>
          <w:rFonts w:ascii="Arial" w:hAnsi="Arial" w:cs="Arial"/>
        </w:rPr>
        <w:t xml:space="preserve">  + 0.00147140849602*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00C157B9" w:rsidRPr="00E55E43">
        <w:rPr>
          <w:rFonts w:ascii="Arial" w:hAnsi="Arial" w:cs="Arial"/>
        </w:rPr>
        <w:t xml:space="preserve">  + 0.000754106910333*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00C157B9" w:rsidRPr="00E55E43">
        <w:rPr>
          <w:rFonts w:ascii="Arial" w:hAnsi="Arial" w:cs="Arial"/>
        </w:rPr>
        <w:t xml:space="preserve">  + 0.000855842163203*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t-6</m:t>
            </m:r>
          </m:sub>
        </m:sSub>
      </m:oMath>
      <w:r w:rsidR="00C157B9" w:rsidRPr="00E55E43">
        <w:rPr>
          <w:rFonts w:ascii="Arial" w:hAnsi="Arial" w:cs="Arial"/>
        </w:rPr>
        <w:t xml:space="preserve"> + 0.000591645644515*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00C157B9" w:rsidRPr="00E55E43">
        <w:rPr>
          <w:rFonts w:ascii="Arial" w:hAnsi="Arial" w:cs="Arial"/>
        </w:rPr>
        <w:t xml:space="preserve">  - 0.000209928713489*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00C157B9" w:rsidRPr="00E55E43">
        <w:rPr>
          <w:rFonts w:ascii="Arial" w:hAnsi="Arial" w:cs="Arial"/>
        </w:rPr>
        <w:t xml:space="preserve"> - 0.129688628589*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00C157B9" w:rsidRPr="00E55E43">
        <w:rPr>
          <w:rFonts w:ascii="Arial" w:hAnsi="Arial" w:cs="Arial"/>
        </w:rPr>
        <w:t xml:space="preserve"> + 0.0459006184979*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00C157B9" w:rsidRPr="00E55E43">
        <w:rPr>
          <w:rFonts w:ascii="Arial" w:hAnsi="Arial" w:cs="Arial"/>
        </w:rPr>
        <w:t xml:space="preserve"> - 0.148135448113*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NSE_ASI</m:t>
            </m:r>
          </m:e>
          <m:sub>
            <m:r>
              <m:rPr>
                <m:sty m:val="p"/>
              </m:rPr>
              <w:rPr>
                <w:rFonts w:ascii="Cambria Math" w:hAnsi="Cambria Math" w:cs="Arial"/>
              </w:rPr>
              <m:t>t-3</m:t>
            </m:r>
          </m:sub>
        </m:sSub>
      </m:oMath>
      <w:r w:rsidR="00C157B9" w:rsidRPr="00E55E43">
        <w:rPr>
          <w:rFonts w:ascii="Arial" w:hAnsi="Arial" w:cs="Arial"/>
        </w:rPr>
        <w:t xml:space="preserve"> + 0.652655678354*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00C157B9" w:rsidRPr="00E55E43">
        <w:rPr>
          <w:rFonts w:ascii="Arial" w:hAnsi="Arial" w:cs="Arial"/>
        </w:rPr>
        <w:t xml:space="preserve"> - 0.246190858513*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00C157B9" w:rsidRPr="00E55E43">
        <w:rPr>
          <w:rFonts w:ascii="Arial" w:hAnsi="Arial" w:cs="Arial"/>
        </w:rPr>
        <w:t xml:space="preserve"> + 0.644136268716*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00C157B9" w:rsidRPr="00E55E43">
        <w:rPr>
          <w:rFonts w:ascii="Arial" w:hAnsi="Arial" w:cs="Arial"/>
        </w:rPr>
        <w:t>- 0.369607249367*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00C157B9" w:rsidRPr="00E55E43">
        <w:rPr>
          <w:rFonts w:ascii="Arial" w:hAnsi="Arial" w:cs="Arial"/>
        </w:rPr>
        <w:t xml:space="preserve"> + 0.0960581169761*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00C157B9" w:rsidRPr="00E55E43">
        <w:rPr>
          <w:rFonts w:ascii="Arial" w:hAnsi="Arial" w:cs="Arial"/>
        </w:rPr>
        <w:t xml:space="preserve"> - 0.122071758019*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00C157B9" w:rsidRPr="00E55E43">
        <w:rPr>
          <w:rFonts w:ascii="Arial" w:hAnsi="Arial" w:cs="Arial"/>
        </w:rPr>
        <w:t xml:space="preserve"> - 0.0494724519311*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00C157B9" w:rsidRPr="00E55E43">
        <w:rPr>
          <w:rFonts w:ascii="Arial" w:hAnsi="Arial" w:cs="Arial"/>
        </w:rPr>
        <w:t xml:space="preserve"> - 0.0190523912501*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00C157B9" w:rsidRPr="00E55E43">
        <w:rPr>
          <w:rFonts w:ascii="Arial" w:hAnsi="Arial" w:cs="Arial"/>
        </w:rPr>
        <w:t xml:space="preserve">  + 0.000441355536131*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00C157B9" w:rsidRPr="00E55E43">
        <w:rPr>
          <w:rFonts w:ascii="Arial" w:hAnsi="Arial" w:cs="Arial"/>
        </w:rPr>
        <w:t xml:space="preserve">  - 0.0709837110422*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00C157B9" w:rsidRPr="00E55E43">
        <w:rPr>
          <w:rFonts w:ascii="Arial" w:hAnsi="Arial" w:cs="Arial"/>
        </w:rPr>
        <w:t>- 0.153925295236*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00C157B9" w:rsidRPr="00E55E43">
        <w:rPr>
          <w:rFonts w:ascii="Arial" w:hAnsi="Arial" w:cs="Arial"/>
        </w:rPr>
        <w:t xml:space="preserve"> - 0.0857158712093*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00C157B9" w:rsidRPr="00E55E43">
        <w:rPr>
          <w:rFonts w:ascii="Arial" w:hAnsi="Arial" w:cs="Arial"/>
        </w:rPr>
        <w:t xml:space="preserve"> - 0.0397946403748*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00C157B9" w:rsidRPr="00E55E43">
        <w:rPr>
          <w:rFonts w:ascii="Arial" w:hAnsi="Arial" w:cs="Arial"/>
        </w:rPr>
        <w:t xml:space="preserve"> - 0.00424124324076*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00C157B9" w:rsidRPr="00E55E43">
        <w:rPr>
          <w:rFonts w:ascii="Arial" w:hAnsi="Arial" w:cs="Arial"/>
        </w:rPr>
        <w:t xml:space="preserve"> + 0.0113083026158*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00C157B9" w:rsidRPr="00E55E43">
        <w:rPr>
          <w:rFonts w:ascii="Arial" w:hAnsi="Arial" w:cs="Arial"/>
        </w:rPr>
        <w:t xml:space="preserve">  + 0.0130721311794*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00C157B9" w:rsidRPr="00E55E43">
        <w:rPr>
          <w:rFonts w:ascii="Arial" w:hAnsi="Arial" w:cs="Arial"/>
        </w:rPr>
        <w:t xml:space="preserve">  + 0.0205989484293*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00C157B9" w:rsidRPr="00E55E43">
        <w:rPr>
          <w:rFonts w:ascii="Arial" w:hAnsi="Arial" w:cs="Arial"/>
        </w:rPr>
        <w:t xml:space="preserve">  + </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0.0455605723958*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00C157B9" w:rsidRPr="00E55E43">
        <w:rPr>
          <w:rFonts w:ascii="Arial" w:hAnsi="Arial" w:cs="Arial"/>
        </w:rPr>
        <w:t xml:space="preserve">  + 0.0466049031508*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00C157B9" w:rsidRPr="00E55E43">
        <w:rPr>
          <w:rFonts w:ascii="Arial" w:hAnsi="Arial" w:cs="Arial"/>
        </w:rPr>
        <w:t xml:space="preserve"> + 0.0200186168621*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00C157B9" w:rsidRPr="00E55E43">
        <w:rPr>
          <w:rFonts w:ascii="Arial" w:hAnsi="Arial" w:cs="Arial"/>
        </w:rPr>
        <w:t xml:space="preserve">  - 0.0143443272433*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00C157B9" w:rsidRPr="00E55E43">
        <w:rPr>
          <w:rFonts w:ascii="Arial" w:hAnsi="Arial" w:cs="Arial"/>
        </w:rPr>
        <w:t xml:space="preserve"> + 0.221423067123</w:t>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r>
      <w:r w:rsidR="00C157B9" w:rsidRPr="00E55E43">
        <w:rPr>
          <w:rFonts w:ascii="Arial" w:hAnsi="Arial" w:cs="Arial"/>
        </w:rPr>
        <w:tab/>
        <w:t xml:space="preserve"> (4.3)</w:t>
      </w:r>
    </w:p>
    <w:p w14:paraId="79C8F24A" w14:textId="77777777" w:rsidR="00C157B9" w:rsidRPr="00E55E43" w:rsidRDefault="00C157B9" w:rsidP="00C157B9">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480" w:lineRule="auto"/>
        <w:ind w:left="1170" w:hanging="1170"/>
        <w:rPr>
          <w:rFonts w:ascii="Arial" w:hAnsi="Arial" w:cs="Arial"/>
        </w:rPr>
      </w:pPr>
    </w:p>
    <w:p w14:paraId="2D04091B" w14:textId="77777777" w:rsidR="00C157B9" w:rsidRPr="00E55E43" w:rsidRDefault="00C157B9" w:rsidP="00483162">
      <w:pPr>
        <w:tabs>
          <w:tab w:val="left" w:pos="0"/>
          <w:tab w:val="left" w:pos="240"/>
          <w:tab w:val="left" w:pos="480"/>
          <w:tab w:val="left" w:pos="90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ind w:left="1170" w:hanging="1170"/>
        <w:rPr>
          <w:rFonts w:ascii="Arial" w:hAnsi="Arial" w:cs="Arial"/>
        </w:rPr>
      </w:pPr>
      <w:r w:rsidRPr="00E55E43">
        <w:rPr>
          <w:rFonts w:ascii="Arial" w:hAnsi="Arial" w:cs="Arial"/>
        </w:rPr>
        <w:t>D(NGNUSD) =  - 0.00127092112455*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t-1</m:t>
            </m:r>
          </m:sub>
        </m:sSub>
      </m:oMath>
      <w:r w:rsidRPr="00E55E43">
        <w:rPr>
          <w:rFonts w:ascii="Arial" w:hAnsi="Arial" w:cs="Arial"/>
        </w:rPr>
        <w:t xml:space="preserve">   - 0.00172408601356*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t-2</m:t>
            </m:r>
          </m:sub>
        </m:sSub>
      </m:oMath>
      <w:r w:rsidRPr="00E55E43">
        <w:rPr>
          <w:rFonts w:ascii="Arial" w:hAnsi="Arial" w:cs="Arial"/>
        </w:rPr>
        <w:t xml:space="preserve">  - 0.000846562679316*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t-3</m:t>
            </m:r>
          </m:sub>
        </m:sSub>
      </m:oMath>
      <w:r w:rsidRPr="00E55E43">
        <w:rPr>
          <w:rFonts w:ascii="Arial" w:hAnsi="Arial" w:cs="Arial"/>
        </w:rPr>
        <w:t xml:space="preserve">  - 0.00132389776401*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t-4</m:t>
            </m:r>
          </m:sub>
        </m:sSub>
      </m:oMath>
      <w:r w:rsidRPr="00E55E43">
        <w:rPr>
          <w:rFonts w:ascii="Arial" w:hAnsi="Arial" w:cs="Arial"/>
        </w:rPr>
        <w:t xml:space="preserve">   - 0.002775241329*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t-5</m:t>
            </m:r>
          </m:sub>
        </m:sSub>
      </m:oMath>
      <w:r w:rsidRPr="00E55E43">
        <w:rPr>
          <w:rFonts w:ascii="Arial" w:hAnsi="Arial" w:cs="Arial"/>
        </w:rPr>
        <w:t xml:space="preserve">   - 0.00022450556494*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COVIDDATA</m:t>
            </m:r>
          </m:e>
          <m:sub>
            <m:r>
              <m:rPr>
                <m:sty m:val="p"/>
              </m:rPr>
              <w:rPr>
                <w:rFonts w:ascii="Cambria Math" w:hAnsi="Cambria Math" w:cs="Arial"/>
              </w:rPr>
              <m:t>t-6</m:t>
            </m:r>
          </m:sub>
        </m:sSub>
      </m:oMath>
      <w:r w:rsidRPr="00E55E43">
        <w:rPr>
          <w:rFonts w:ascii="Arial" w:hAnsi="Arial" w:cs="Arial"/>
        </w:rPr>
        <w:t xml:space="preserve">   - 0.000276705959595*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t-7</m:t>
            </m:r>
          </m:sub>
        </m:sSub>
      </m:oMath>
      <w:r w:rsidRPr="00E55E43">
        <w:rPr>
          <w:rFonts w:ascii="Arial" w:hAnsi="Arial" w:cs="Arial"/>
        </w:rPr>
        <w:t xml:space="preserve">   + 0.00077659228893*</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CC</m:t>
            </m:r>
          </m:e>
          <m:sub>
            <m:r>
              <m:rPr>
                <m:sty m:val="p"/>
              </m:rPr>
              <w:rPr>
                <w:rFonts w:ascii="Cambria Math" w:hAnsi="Cambria Math" w:cs="Arial"/>
              </w:rPr>
              <m:t>t-8</m:t>
            </m:r>
          </m:sub>
        </m:sSub>
      </m:oMath>
      <w:r w:rsidRPr="00E55E43">
        <w:rPr>
          <w:rFonts w:ascii="Arial" w:hAnsi="Arial" w:cs="Arial"/>
        </w:rPr>
        <w:t xml:space="preserve">   - 0.061461164282*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t-1</m:t>
            </m:r>
          </m:sub>
        </m:sSub>
      </m:oMath>
      <w:r w:rsidRPr="00E55E43">
        <w:rPr>
          <w:rFonts w:ascii="Arial" w:hAnsi="Arial" w:cs="Arial"/>
        </w:rPr>
        <w:t xml:space="preserve">  - 0.540793384087*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t-2</m:t>
            </m:r>
          </m:sub>
        </m:sSub>
      </m:oMath>
      <w:r w:rsidRPr="00E55E43">
        <w:rPr>
          <w:rFonts w:ascii="Arial" w:hAnsi="Arial" w:cs="Arial"/>
        </w:rPr>
        <w:t xml:space="preserve"> + 0.420402987114*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t-3</m:t>
            </m:r>
          </m:sub>
        </m:sSub>
      </m:oMath>
      <w:r w:rsidRPr="00E55E43">
        <w:rPr>
          <w:rFonts w:ascii="Arial" w:hAnsi="Arial" w:cs="Arial"/>
        </w:rPr>
        <w:t xml:space="preserve">  + 0.297542315846*D</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t-4</m:t>
            </m:r>
          </m:sub>
        </m:sSub>
      </m:oMath>
      <w:r w:rsidRPr="00E55E43">
        <w:rPr>
          <w:rFonts w:ascii="Arial" w:hAnsi="Arial" w:cs="Arial"/>
        </w:rPr>
        <w:t xml:space="preserve">  + 0.274570792709*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t-5</m:t>
            </m:r>
          </m:sub>
        </m:sSub>
      </m:oMath>
      <w:r w:rsidRPr="00E55E43">
        <w:rPr>
          <w:rFonts w:ascii="Arial" w:hAnsi="Arial" w:cs="Arial"/>
        </w:rPr>
        <w:t xml:space="preserve">  - 0.300586005994*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t-6</m:t>
            </m:r>
          </m:sub>
        </m:sSub>
      </m:oMath>
      <w:r w:rsidRPr="00E55E43">
        <w:rPr>
          <w:rFonts w:ascii="Arial" w:hAnsi="Arial" w:cs="Arial"/>
        </w:rPr>
        <w:t xml:space="preserve">  - 0.438390224244*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t-7</m:t>
            </m:r>
          </m:sub>
        </m:sSub>
      </m:oMath>
      <w:r w:rsidRPr="00E55E43">
        <w:rPr>
          <w:rFonts w:ascii="Arial" w:hAnsi="Arial" w:cs="Arial"/>
        </w:rPr>
        <w:t xml:space="preserve">  - 0.294224605947*</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ASI</m:t>
            </m:r>
          </m:e>
          <m:sub>
            <m:r>
              <m:rPr>
                <m:sty m:val="p"/>
              </m:rPr>
              <w:rPr>
                <w:rFonts w:ascii="Cambria Math" w:hAnsi="Cambria Math" w:cs="Arial"/>
              </w:rPr>
              <m:t>t-8</m:t>
            </m:r>
          </m:sub>
        </m:sSub>
      </m:oMath>
      <w:r w:rsidRPr="00E55E43">
        <w:rPr>
          <w:rFonts w:ascii="Arial" w:hAnsi="Arial" w:cs="Arial"/>
        </w:rPr>
        <w:t xml:space="preserve">  + 0.0344216590771*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t-1</m:t>
            </m:r>
          </m:sub>
        </m:sSub>
      </m:oMath>
      <w:r w:rsidRPr="00E55E43">
        <w:rPr>
          <w:rFonts w:ascii="Arial" w:hAnsi="Arial" w:cs="Arial"/>
        </w:rPr>
        <w:t xml:space="preserve"> + 0.0224264447099*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t-2</m:t>
            </m:r>
          </m:sub>
        </m:sSub>
      </m:oMath>
      <w:r w:rsidRPr="00E55E43">
        <w:rPr>
          <w:rFonts w:ascii="Arial" w:hAnsi="Arial" w:cs="Arial"/>
        </w:rPr>
        <w:t xml:space="preserve"> + </w:t>
      </w:r>
      <w:r w:rsidRPr="00E55E43">
        <w:rPr>
          <w:rFonts w:ascii="Arial" w:hAnsi="Arial" w:cs="Arial"/>
        </w:rPr>
        <w:lastRenderedPageBreak/>
        <w:t>0.00265817465474*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t-3</m:t>
            </m:r>
          </m:sub>
        </m:sSub>
      </m:oMath>
      <w:r w:rsidRPr="00E55E43">
        <w:rPr>
          <w:rFonts w:ascii="Arial" w:hAnsi="Arial" w:cs="Arial"/>
        </w:rPr>
        <w:t xml:space="preserve">  + 0.0180165196639*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t-4</m:t>
            </m:r>
          </m:sub>
        </m:sSub>
      </m:oMath>
      <w:r w:rsidRPr="00E55E43">
        <w:rPr>
          <w:rFonts w:ascii="Arial" w:hAnsi="Arial" w:cs="Arial"/>
        </w:rPr>
        <w:t xml:space="preserve">  - 0.00771051945746*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t-5</m:t>
            </m:r>
          </m:sub>
        </m:sSub>
      </m:oMath>
      <w:r w:rsidRPr="00E55E43">
        <w:rPr>
          <w:rFonts w:ascii="Arial" w:hAnsi="Arial" w:cs="Arial"/>
        </w:rPr>
        <w:t xml:space="preserve">  - 0.038599881502*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t-6</m:t>
            </m:r>
          </m:sub>
        </m:sSub>
      </m:oMath>
      <w:r w:rsidRPr="00E55E43">
        <w:rPr>
          <w:rFonts w:ascii="Arial" w:hAnsi="Arial" w:cs="Arial"/>
        </w:rPr>
        <w:t xml:space="preserve">  - 0.00146721448305*</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t-7</m:t>
            </m:r>
          </m:sub>
        </m:sSub>
      </m:oMath>
      <w:r w:rsidRPr="00E55E43">
        <w:rPr>
          <w:rFonts w:ascii="Arial" w:hAnsi="Arial" w:cs="Arial"/>
        </w:rPr>
        <w:t xml:space="preserve">  + 0.0134633173596*</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OP</m:t>
            </m:r>
          </m:e>
          <m:sub>
            <m:r>
              <m:rPr>
                <m:sty m:val="p"/>
              </m:rPr>
              <w:rPr>
                <w:rFonts w:ascii="Cambria Math" w:hAnsi="Cambria Math" w:cs="Arial"/>
              </w:rPr>
              <m:t>t-8</m:t>
            </m:r>
          </m:sub>
        </m:sSub>
      </m:oMath>
      <w:r w:rsidRPr="00E55E43">
        <w:rPr>
          <w:rFonts w:ascii="Arial" w:hAnsi="Arial" w:cs="Arial"/>
        </w:rPr>
        <w:t xml:space="preserve"> - 0.716360351492*</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t-1</m:t>
            </m:r>
          </m:sub>
        </m:sSub>
      </m:oMath>
      <w:r w:rsidRPr="00E55E43">
        <w:rPr>
          <w:rFonts w:ascii="Arial" w:hAnsi="Arial" w:cs="Arial"/>
        </w:rPr>
        <w:t xml:space="preserve"> - 0.0286537293994*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t-2</m:t>
            </m:r>
          </m:sub>
        </m:sSub>
      </m:oMath>
      <w:r w:rsidRPr="00E55E43">
        <w:rPr>
          <w:rFonts w:ascii="Arial" w:hAnsi="Arial" w:cs="Arial"/>
        </w:rPr>
        <w:t>+ 0.270481988918*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t-3</m:t>
            </m:r>
          </m:sub>
        </m:sSub>
      </m:oMath>
      <w:r w:rsidRPr="00E55E43">
        <w:rPr>
          <w:rFonts w:ascii="Arial" w:hAnsi="Arial" w:cs="Arial"/>
        </w:rPr>
        <w:t xml:space="preserve"> + 0.166497128989*</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t-4</m:t>
            </m:r>
          </m:sub>
        </m:sSub>
      </m:oMath>
      <w:r w:rsidRPr="00E55E43">
        <w:rPr>
          <w:rFonts w:ascii="Arial" w:hAnsi="Arial" w:cs="Arial"/>
        </w:rPr>
        <w:t xml:space="preserve"> + 0.0486785646611*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t-5</m:t>
            </m:r>
          </m:sub>
        </m:sSub>
      </m:oMath>
      <w:r w:rsidRPr="00E55E43">
        <w:rPr>
          <w:rFonts w:ascii="Arial" w:hAnsi="Arial" w:cs="Arial"/>
        </w:rPr>
        <w:t xml:space="preserve"> - 0.0446925903718*</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t-6</m:t>
            </m:r>
          </m:sub>
        </m:sSub>
      </m:oMath>
      <w:r w:rsidRPr="00E55E43">
        <w:rPr>
          <w:rFonts w:ascii="Arial" w:hAnsi="Arial" w:cs="Arial"/>
        </w:rPr>
        <w:t xml:space="preserve"> - 0.0659197508471*</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t-7</m:t>
            </m:r>
          </m:sub>
        </m:sSub>
      </m:oMath>
      <w:r w:rsidRPr="00E55E43">
        <w:rPr>
          <w:rFonts w:ascii="Arial" w:hAnsi="Arial" w:cs="Arial"/>
        </w:rPr>
        <w:t xml:space="preserve"> - 0.0638323384114*</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NGNUSD</m:t>
            </m:r>
          </m:e>
          <m:sub>
            <m:r>
              <m:rPr>
                <m:sty m:val="p"/>
              </m:rPr>
              <w:rPr>
                <w:rFonts w:ascii="Cambria Math" w:hAnsi="Cambria Math" w:cs="Arial"/>
              </w:rPr>
              <m:t>t-8</m:t>
            </m:r>
          </m:sub>
        </m:sSub>
      </m:oMath>
      <w:r w:rsidRPr="00E55E43">
        <w:rPr>
          <w:rFonts w:ascii="Arial" w:hAnsi="Arial" w:cs="Arial"/>
        </w:rPr>
        <w:t xml:space="preserve"> + 0.108125428278</w:t>
      </w:r>
      <w:r w:rsidRPr="00E55E43">
        <w:rPr>
          <w:rFonts w:ascii="Arial" w:hAnsi="Arial" w:cs="Arial"/>
        </w:rPr>
        <w:tab/>
        <w:t xml:space="preserve">       </w:t>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t xml:space="preserve"> </w:t>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r>
      <w:r w:rsidRPr="00E55E43">
        <w:rPr>
          <w:rFonts w:ascii="Arial" w:hAnsi="Arial" w:cs="Arial"/>
        </w:rPr>
        <w:tab/>
        <w:t>(4.4)</w:t>
      </w:r>
    </w:p>
    <w:p w14:paraId="0EDE0CFB" w14:textId="77777777" w:rsidR="008445CC" w:rsidRPr="00E55E43" w:rsidRDefault="008445CC" w:rsidP="00483162">
      <w:pPr>
        <w:rPr>
          <w:rFonts w:ascii="Arial" w:hAnsi="Arial" w:cs="Arial"/>
          <w:b/>
          <w:bCs/>
          <w:lang w:val="en-GB"/>
        </w:rPr>
      </w:pPr>
    </w:p>
    <w:p w14:paraId="77A4A730" w14:textId="77777777" w:rsidR="00C157B9" w:rsidRPr="00E55E43" w:rsidRDefault="00C157B9" w:rsidP="00483162">
      <w:pPr>
        <w:rPr>
          <w:rFonts w:ascii="Arial" w:hAnsi="Arial" w:cs="Arial"/>
          <w:b/>
          <w:bCs/>
          <w:lang w:val="en-GB"/>
        </w:rPr>
      </w:pPr>
      <w:r w:rsidRPr="00E55E43">
        <w:rPr>
          <w:rFonts w:ascii="Arial" w:hAnsi="Arial" w:cs="Arial"/>
          <w:b/>
          <w:bCs/>
          <w:lang w:val="en-GB"/>
        </w:rPr>
        <w:t>VAR Residual Diagnostic Tests</w:t>
      </w:r>
    </w:p>
    <w:p w14:paraId="02AECA83" w14:textId="77777777" w:rsidR="008445CC" w:rsidRPr="00E55E43" w:rsidRDefault="008445CC" w:rsidP="00483162">
      <w:pPr>
        <w:rPr>
          <w:rFonts w:ascii="Arial" w:hAnsi="Arial" w:cs="Arial"/>
          <w:b/>
          <w:bCs/>
          <w:lang w:val="en-GB"/>
        </w:rPr>
      </w:pPr>
    </w:p>
    <w:p w14:paraId="069BB0A0" w14:textId="6F1DB34B" w:rsidR="00C157B9" w:rsidRPr="00E55E43" w:rsidRDefault="00C157B9" w:rsidP="00483162">
      <w:pPr>
        <w:rPr>
          <w:rFonts w:ascii="Arial" w:hAnsi="Arial" w:cs="Arial"/>
          <w:b/>
          <w:bCs/>
          <w:lang w:val="en-GB"/>
        </w:rPr>
      </w:pPr>
      <w:r w:rsidRPr="00E55E43">
        <w:rPr>
          <w:rFonts w:ascii="Arial" w:hAnsi="Arial" w:cs="Arial"/>
          <w:b/>
          <w:bCs/>
          <w:lang w:val="en-GB"/>
        </w:rPr>
        <w:t xml:space="preserve">Table </w:t>
      </w:r>
      <w:r w:rsidR="006567E6">
        <w:rPr>
          <w:rFonts w:ascii="Arial" w:hAnsi="Arial" w:cs="Arial"/>
          <w:b/>
          <w:bCs/>
          <w:lang w:val="en-GB"/>
        </w:rPr>
        <w:t>4</w:t>
      </w:r>
      <w:r w:rsidRPr="00E55E43">
        <w:rPr>
          <w:rFonts w:ascii="Arial" w:hAnsi="Arial" w:cs="Arial"/>
          <w:b/>
          <w:bCs/>
          <w:lang w:val="en-GB"/>
        </w:rPr>
        <w:t>:VAR(8) Model Stability Test</w:t>
      </w:r>
    </w:p>
    <w:tbl>
      <w:tblPr>
        <w:tblW w:w="9566" w:type="dxa"/>
        <w:tblLook w:val="04A0" w:firstRow="1" w:lastRow="0" w:firstColumn="1" w:lastColumn="0" w:noHBand="0" w:noVBand="1"/>
      </w:tblPr>
      <w:tblGrid>
        <w:gridCol w:w="1989"/>
        <w:gridCol w:w="2029"/>
        <w:gridCol w:w="576"/>
        <w:gridCol w:w="1976"/>
        <w:gridCol w:w="1260"/>
        <w:gridCol w:w="1736"/>
      </w:tblGrid>
      <w:tr w:rsidR="00C157B9" w:rsidRPr="00E55E43" w14:paraId="4533C026" w14:textId="77777777" w:rsidTr="00FF2D46">
        <w:trPr>
          <w:trHeight w:val="630"/>
        </w:trPr>
        <w:tc>
          <w:tcPr>
            <w:tcW w:w="1989" w:type="dxa"/>
            <w:vMerge w:val="restart"/>
            <w:tcBorders>
              <w:top w:val="single" w:sz="4" w:space="0" w:color="auto"/>
              <w:left w:val="nil"/>
              <w:bottom w:val="single" w:sz="4" w:space="0" w:color="000000"/>
              <w:right w:val="nil"/>
            </w:tcBorders>
            <w:shd w:val="clear" w:color="auto" w:fill="auto"/>
            <w:vAlign w:val="center"/>
            <w:hideMark/>
          </w:tcPr>
          <w:p w14:paraId="1DD3A3F9" w14:textId="77777777" w:rsidR="00C157B9" w:rsidRPr="00E55E43" w:rsidRDefault="00C157B9" w:rsidP="00483162">
            <w:pPr>
              <w:rPr>
                <w:rFonts w:ascii="Arial" w:hAnsi="Arial" w:cs="Arial"/>
                <w:b/>
                <w:bCs/>
              </w:rPr>
            </w:pPr>
            <w:r w:rsidRPr="00E55E43">
              <w:rPr>
                <w:rFonts w:ascii="Arial" w:hAnsi="Arial" w:cs="Arial"/>
                <w:b/>
                <w:bCs/>
              </w:rPr>
              <w:t>Diagnostic Test</w:t>
            </w:r>
          </w:p>
        </w:tc>
        <w:tc>
          <w:tcPr>
            <w:tcW w:w="2029" w:type="dxa"/>
            <w:vMerge w:val="restart"/>
            <w:tcBorders>
              <w:top w:val="single" w:sz="4" w:space="0" w:color="auto"/>
              <w:left w:val="nil"/>
              <w:bottom w:val="single" w:sz="4" w:space="0" w:color="000000"/>
              <w:right w:val="nil"/>
            </w:tcBorders>
            <w:shd w:val="clear" w:color="auto" w:fill="auto"/>
            <w:vAlign w:val="center"/>
            <w:hideMark/>
          </w:tcPr>
          <w:p w14:paraId="5B465A9E" w14:textId="77777777" w:rsidR="00C157B9" w:rsidRPr="00E55E43" w:rsidRDefault="00C157B9" w:rsidP="00483162">
            <w:pPr>
              <w:rPr>
                <w:rFonts w:ascii="Arial" w:hAnsi="Arial" w:cs="Arial"/>
                <w:b/>
                <w:bCs/>
              </w:rPr>
            </w:pPr>
            <w:r w:rsidRPr="00E55E43">
              <w:rPr>
                <w:rFonts w:ascii="Arial" w:hAnsi="Arial" w:cs="Arial"/>
                <w:b/>
                <w:bCs/>
              </w:rPr>
              <w:t>Test Statistics</w:t>
            </w:r>
          </w:p>
        </w:tc>
        <w:tc>
          <w:tcPr>
            <w:tcW w:w="576" w:type="dxa"/>
            <w:vMerge w:val="restart"/>
            <w:tcBorders>
              <w:top w:val="single" w:sz="4" w:space="0" w:color="auto"/>
              <w:left w:val="nil"/>
              <w:bottom w:val="single" w:sz="4" w:space="0" w:color="000000"/>
              <w:right w:val="nil"/>
            </w:tcBorders>
            <w:shd w:val="clear" w:color="auto" w:fill="auto"/>
            <w:vAlign w:val="center"/>
            <w:hideMark/>
          </w:tcPr>
          <w:p w14:paraId="350F41D1" w14:textId="77777777" w:rsidR="00C157B9" w:rsidRPr="00E55E43" w:rsidRDefault="00C157B9" w:rsidP="00483162">
            <w:pPr>
              <w:rPr>
                <w:rFonts w:ascii="Arial" w:hAnsi="Arial" w:cs="Arial"/>
                <w:b/>
                <w:bCs/>
              </w:rPr>
            </w:pPr>
            <w:r w:rsidRPr="00E55E43">
              <w:rPr>
                <w:rFonts w:ascii="Arial" w:hAnsi="Arial" w:cs="Arial"/>
                <w:b/>
                <w:bCs/>
              </w:rPr>
              <w:t>df</w:t>
            </w:r>
          </w:p>
        </w:tc>
        <w:tc>
          <w:tcPr>
            <w:tcW w:w="1976" w:type="dxa"/>
            <w:vMerge w:val="restart"/>
            <w:tcBorders>
              <w:top w:val="single" w:sz="4" w:space="0" w:color="auto"/>
              <w:left w:val="nil"/>
              <w:bottom w:val="single" w:sz="4" w:space="0" w:color="000000"/>
              <w:right w:val="nil"/>
            </w:tcBorders>
            <w:shd w:val="clear" w:color="auto" w:fill="auto"/>
            <w:vAlign w:val="center"/>
            <w:hideMark/>
          </w:tcPr>
          <w:p w14:paraId="255CCBFD" w14:textId="77777777" w:rsidR="00C157B9" w:rsidRPr="00E55E43" w:rsidRDefault="00C157B9" w:rsidP="00483162">
            <w:pPr>
              <w:rPr>
                <w:rFonts w:ascii="Arial" w:hAnsi="Arial" w:cs="Arial"/>
                <w:b/>
                <w:bCs/>
              </w:rPr>
            </w:pPr>
            <w:r w:rsidRPr="00E55E43">
              <w:rPr>
                <w:rFonts w:ascii="Arial" w:hAnsi="Arial" w:cs="Arial"/>
                <w:b/>
                <w:bCs/>
              </w:rPr>
              <w:t>Chi-square Test Statistic Value</w:t>
            </w:r>
          </w:p>
        </w:tc>
        <w:tc>
          <w:tcPr>
            <w:tcW w:w="1260" w:type="dxa"/>
            <w:tcBorders>
              <w:top w:val="single" w:sz="4" w:space="0" w:color="auto"/>
              <w:left w:val="nil"/>
              <w:bottom w:val="nil"/>
              <w:right w:val="nil"/>
            </w:tcBorders>
            <w:shd w:val="clear" w:color="auto" w:fill="auto"/>
            <w:vAlign w:val="center"/>
            <w:hideMark/>
          </w:tcPr>
          <w:p w14:paraId="740A7350" w14:textId="77777777" w:rsidR="00C157B9" w:rsidRPr="00E55E43" w:rsidRDefault="00C157B9" w:rsidP="00483162">
            <w:pPr>
              <w:rPr>
                <w:rFonts w:ascii="Arial" w:hAnsi="Arial" w:cs="Arial"/>
                <w:b/>
                <w:bCs/>
              </w:rPr>
            </w:pPr>
            <w:r w:rsidRPr="00E55E43">
              <w:rPr>
                <w:rFonts w:ascii="Arial" w:hAnsi="Arial" w:cs="Arial"/>
                <w:b/>
                <w:bCs/>
              </w:rPr>
              <w:t xml:space="preserve">Prob. Value </w:t>
            </w:r>
          </w:p>
        </w:tc>
        <w:tc>
          <w:tcPr>
            <w:tcW w:w="1736" w:type="dxa"/>
            <w:vMerge w:val="restart"/>
            <w:tcBorders>
              <w:top w:val="single" w:sz="4" w:space="0" w:color="auto"/>
              <w:left w:val="nil"/>
              <w:bottom w:val="single" w:sz="4" w:space="0" w:color="000000"/>
              <w:right w:val="nil"/>
            </w:tcBorders>
            <w:shd w:val="clear" w:color="auto" w:fill="auto"/>
            <w:vAlign w:val="center"/>
            <w:hideMark/>
          </w:tcPr>
          <w:p w14:paraId="4FF6AC10" w14:textId="77777777" w:rsidR="00C157B9" w:rsidRPr="00E55E43" w:rsidRDefault="00C157B9" w:rsidP="00483162">
            <w:pPr>
              <w:rPr>
                <w:rFonts w:ascii="Arial" w:hAnsi="Arial" w:cs="Arial"/>
                <w:b/>
                <w:bCs/>
              </w:rPr>
            </w:pPr>
            <w:r w:rsidRPr="00E55E43">
              <w:rPr>
                <w:rFonts w:ascii="Arial" w:hAnsi="Arial" w:cs="Arial"/>
                <w:b/>
                <w:bCs/>
              </w:rPr>
              <w:t>Remarks</w:t>
            </w:r>
          </w:p>
        </w:tc>
      </w:tr>
      <w:tr w:rsidR="00C157B9" w:rsidRPr="00E55E43" w14:paraId="3230CA10" w14:textId="77777777" w:rsidTr="00483162">
        <w:trPr>
          <w:trHeight w:val="50"/>
        </w:trPr>
        <w:tc>
          <w:tcPr>
            <w:tcW w:w="1989" w:type="dxa"/>
            <w:vMerge/>
            <w:tcBorders>
              <w:top w:val="single" w:sz="4" w:space="0" w:color="auto"/>
              <w:left w:val="nil"/>
              <w:bottom w:val="single" w:sz="4" w:space="0" w:color="000000"/>
              <w:right w:val="nil"/>
            </w:tcBorders>
            <w:vAlign w:val="center"/>
            <w:hideMark/>
          </w:tcPr>
          <w:p w14:paraId="6D5F3F94" w14:textId="77777777" w:rsidR="00C157B9" w:rsidRPr="00E55E43" w:rsidRDefault="00C157B9" w:rsidP="00483162">
            <w:pPr>
              <w:rPr>
                <w:rFonts w:ascii="Arial" w:hAnsi="Arial" w:cs="Arial"/>
                <w:b/>
                <w:bCs/>
              </w:rPr>
            </w:pPr>
          </w:p>
        </w:tc>
        <w:tc>
          <w:tcPr>
            <w:tcW w:w="2029" w:type="dxa"/>
            <w:vMerge/>
            <w:tcBorders>
              <w:top w:val="single" w:sz="4" w:space="0" w:color="auto"/>
              <w:left w:val="nil"/>
              <w:bottom w:val="single" w:sz="4" w:space="0" w:color="000000"/>
              <w:right w:val="nil"/>
            </w:tcBorders>
            <w:vAlign w:val="center"/>
            <w:hideMark/>
          </w:tcPr>
          <w:p w14:paraId="7A16FF6E" w14:textId="77777777" w:rsidR="00C157B9" w:rsidRPr="00E55E43" w:rsidRDefault="00C157B9" w:rsidP="00483162">
            <w:pPr>
              <w:rPr>
                <w:rFonts w:ascii="Arial" w:hAnsi="Arial" w:cs="Arial"/>
                <w:b/>
                <w:bCs/>
              </w:rPr>
            </w:pPr>
          </w:p>
        </w:tc>
        <w:tc>
          <w:tcPr>
            <w:tcW w:w="576" w:type="dxa"/>
            <w:vMerge/>
            <w:tcBorders>
              <w:top w:val="single" w:sz="4" w:space="0" w:color="auto"/>
              <w:left w:val="nil"/>
              <w:bottom w:val="single" w:sz="4" w:space="0" w:color="000000"/>
              <w:right w:val="nil"/>
            </w:tcBorders>
            <w:vAlign w:val="center"/>
            <w:hideMark/>
          </w:tcPr>
          <w:p w14:paraId="5F522A1A" w14:textId="77777777" w:rsidR="00C157B9" w:rsidRPr="00E55E43" w:rsidRDefault="00C157B9" w:rsidP="00483162">
            <w:pPr>
              <w:rPr>
                <w:rFonts w:ascii="Arial" w:hAnsi="Arial" w:cs="Arial"/>
                <w:b/>
                <w:bCs/>
              </w:rPr>
            </w:pPr>
          </w:p>
        </w:tc>
        <w:tc>
          <w:tcPr>
            <w:tcW w:w="1976" w:type="dxa"/>
            <w:vMerge/>
            <w:tcBorders>
              <w:top w:val="single" w:sz="4" w:space="0" w:color="auto"/>
              <w:left w:val="nil"/>
              <w:bottom w:val="single" w:sz="4" w:space="0" w:color="000000"/>
              <w:right w:val="nil"/>
            </w:tcBorders>
            <w:vAlign w:val="center"/>
            <w:hideMark/>
          </w:tcPr>
          <w:p w14:paraId="6E260D1F" w14:textId="77777777" w:rsidR="00C157B9" w:rsidRPr="00E55E43" w:rsidRDefault="00C157B9" w:rsidP="00483162">
            <w:pPr>
              <w:rPr>
                <w:rFonts w:ascii="Arial" w:hAnsi="Arial" w:cs="Arial"/>
                <w:b/>
                <w:bCs/>
              </w:rPr>
            </w:pPr>
          </w:p>
        </w:tc>
        <w:tc>
          <w:tcPr>
            <w:tcW w:w="1260" w:type="dxa"/>
            <w:tcBorders>
              <w:top w:val="nil"/>
              <w:left w:val="nil"/>
              <w:bottom w:val="single" w:sz="4" w:space="0" w:color="auto"/>
              <w:right w:val="nil"/>
            </w:tcBorders>
            <w:shd w:val="clear" w:color="auto" w:fill="auto"/>
            <w:vAlign w:val="center"/>
            <w:hideMark/>
          </w:tcPr>
          <w:p w14:paraId="44D24AC2" w14:textId="77777777" w:rsidR="00C157B9" w:rsidRPr="00E55E43" w:rsidRDefault="00C157B9" w:rsidP="00483162">
            <w:pPr>
              <w:rPr>
                <w:rFonts w:ascii="Arial" w:hAnsi="Arial" w:cs="Arial"/>
                <w:b/>
                <w:bCs/>
              </w:rPr>
            </w:pPr>
            <w:r w:rsidRPr="00E55E43">
              <w:rPr>
                <w:rFonts w:ascii="Arial" w:hAnsi="Arial" w:cs="Arial"/>
                <w:b/>
                <w:bCs/>
              </w:rPr>
              <w:t xml:space="preserve">  (p-value)</w:t>
            </w:r>
          </w:p>
        </w:tc>
        <w:tc>
          <w:tcPr>
            <w:tcW w:w="1736" w:type="dxa"/>
            <w:vMerge/>
            <w:tcBorders>
              <w:top w:val="single" w:sz="4" w:space="0" w:color="auto"/>
              <w:left w:val="nil"/>
              <w:bottom w:val="single" w:sz="4" w:space="0" w:color="000000"/>
              <w:right w:val="nil"/>
            </w:tcBorders>
            <w:vAlign w:val="center"/>
            <w:hideMark/>
          </w:tcPr>
          <w:p w14:paraId="528ACEEA" w14:textId="77777777" w:rsidR="00C157B9" w:rsidRPr="00E55E43" w:rsidRDefault="00C157B9" w:rsidP="00483162">
            <w:pPr>
              <w:rPr>
                <w:rFonts w:ascii="Arial" w:hAnsi="Arial" w:cs="Arial"/>
                <w:b/>
                <w:bCs/>
              </w:rPr>
            </w:pPr>
          </w:p>
        </w:tc>
      </w:tr>
      <w:tr w:rsidR="00C157B9" w:rsidRPr="00E55E43" w14:paraId="417B0BC0" w14:textId="77777777" w:rsidTr="00FF2D46">
        <w:trPr>
          <w:trHeight w:val="945"/>
        </w:trPr>
        <w:tc>
          <w:tcPr>
            <w:tcW w:w="1989" w:type="dxa"/>
            <w:vMerge w:val="restart"/>
            <w:tcBorders>
              <w:top w:val="nil"/>
              <w:left w:val="nil"/>
              <w:bottom w:val="nil"/>
              <w:right w:val="nil"/>
            </w:tcBorders>
            <w:shd w:val="clear" w:color="auto" w:fill="auto"/>
            <w:vAlign w:val="center"/>
            <w:hideMark/>
          </w:tcPr>
          <w:p w14:paraId="14C4A69A" w14:textId="77777777" w:rsidR="00C157B9" w:rsidRPr="00E55E43" w:rsidRDefault="00C157B9" w:rsidP="00483162">
            <w:pPr>
              <w:jc w:val="center"/>
              <w:rPr>
                <w:rFonts w:ascii="Arial" w:hAnsi="Arial" w:cs="Arial"/>
              </w:rPr>
            </w:pPr>
            <w:r w:rsidRPr="00E55E43">
              <w:rPr>
                <w:rFonts w:ascii="Arial" w:hAnsi="Arial" w:cs="Arial"/>
                <w:bCs/>
              </w:rPr>
              <w:t>VAR Residual Normality Test</w:t>
            </w:r>
          </w:p>
        </w:tc>
        <w:tc>
          <w:tcPr>
            <w:tcW w:w="2029" w:type="dxa"/>
            <w:vMerge w:val="restart"/>
            <w:tcBorders>
              <w:top w:val="nil"/>
              <w:left w:val="nil"/>
              <w:bottom w:val="nil"/>
              <w:right w:val="nil"/>
            </w:tcBorders>
            <w:shd w:val="clear" w:color="auto" w:fill="auto"/>
            <w:vAlign w:val="center"/>
            <w:hideMark/>
          </w:tcPr>
          <w:p w14:paraId="57380CCE" w14:textId="77777777" w:rsidR="00C157B9" w:rsidRPr="00E55E43" w:rsidRDefault="00C157B9" w:rsidP="00483162">
            <w:pPr>
              <w:jc w:val="center"/>
              <w:rPr>
                <w:rFonts w:ascii="Arial" w:hAnsi="Arial" w:cs="Arial"/>
              </w:rPr>
            </w:pPr>
            <w:r w:rsidRPr="00E55E43">
              <w:rPr>
                <w:rFonts w:ascii="Arial" w:hAnsi="Arial" w:cs="Arial"/>
                <w:bCs/>
              </w:rPr>
              <w:t>Orthogonalization:</w:t>
            </w:r>
          </w:p>
        </w:tc>
        <w:tc>
          <w:tcPr>
            <w:tcW w:w="576" w:type="dxa"/>
            <w:tcBorders>
              <w:top w:val="nil"/>
              <w:left w:val="nil"/>
              <w:bottom w:val="nil"/>
              <w:right w:val="nil"/>
            </w:tcBorders>
            <w:shd w:val="clear" w:color="auto" w:fill="auto"/>
            <w:vAlign w:val="center"/>
            <w:hideMark/>
          </w:tcPr>
          <w:p w14:paraId="1C5010C8"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46A0893F" w14:textId="77777777" w:rsidR="00C157B9" w:rsidRPr="00E55E43" w:rsidRDefault="00C157B9" w:rsidP="00483162">
            <w:pPr>
              <w:jc w:val="right"/>
              <w:rPr>
                <w:rFonts w:ascii="Arial" w:hAnsi="Arial" w:cs="Arial"/>
              </w:rPr>
            </w:pPr>
            <w:r w:rsidRPr="00E55E43">
              <w:rPr>
                <w:rFonts w:ascii="Arial" w:hAnsi="Arial" w:cs="Arial"/>
              </w:rPr>
              <w:t>972.124</w:t>
            </w:r>
          </w:p>
        </w:tc>
        <w:tc>
          <w:tcPr>
            <w:tcW w:w="1260" w:type="dxa"/>
            <w:tcBorders>
              <w:top w:val="nil"/>
              <w:left w:val="nil"/>
              <w:bottom w:val="nil"/>
              <w:right w:val="nil"/>
            </w:tcBorders>
            <w:shd w:val="clear" w:color="auto" w:fill="auto"/>
            <w:vAlign w:val="center"/>
            <w:hideMark/>
          </w:tcPr>
          <w:p w14:paraId="17BDFF65" w14:textId="77777777" w:rsidR="00C157B9" w:rsidRPr="00E55E43" w:rsidRDefault="00C157B9" w:rsidP="00483162">
            <w:pPr>
              <w:jc w:val="right"/>
              <w:rPr>
                <w:rFonts w:ascii="Arial" w:hAnsi="Arial" w:cs="Arial"/>
              </w:rPr>
            </w:pPr>
            <w:r w:rsidRPr="00E55E43">
              <w:rPr>
                <w:rFonts w:ascii="Arial" w:hAnsi="Arial" w:cs="Arial"/>
                <w:bCs/>
              </w:rPr>
              <w:t>0.08324</w:t>
            </w:r>
          </w:p>
        </w:tc>
        <w:tc>
          <w:tcPr>
            <w:tcW w:w="1736" w:type="dxa"/>
            <w:vMerge w:val="restart"/>
            <w:tcBorders>
              <w:top w:val="nil"/>
              <w:left w:val="nil"/>
              <w:bottom w:val="nil"/>
              <w:right w:val="nil"/>
            </w:tcBorders>
            <w:shd w:val="clear" w:color="auto" w:fill="auto"/>
            <w:vAlign w:val="center"/>
            <w:hideMark/>
          </w:tcPr>
          <w:p w14:paraId="6EFB806F" w14:textId="77777777" w:rsidR="00C157B9" w:rsidRPr="00E55E43" w:rsidRDefault="00C157B9" w:rsidP="00483162">
            <w:pPr>
              <w:jc w:val="center"/>
              <w:rPr>
                <w:rFonts w:ascii="Arial" w:hAnsi="Arial" w:cs="Arial"/>
              </w:rPr>
            </w:pPr>
            <w:r w:rsidRPr="00E55E43">
              <w:rPr>
                <w:rFonts w:ascii="Arial" w:hAnsi="Arial" w:cs="Arial"/>
                <w:bCs/>
              </w:rPr>
              <w:t>Multivariate residual are normal</w:t>
            </w:r>
          </w:p>
        </w:tc>
      </w:tr>
      <w:tr w:rsidR="00C157B9" w:rsidRPr="00E55E43" w14:paraId="73A91E79" w14:textId="77777777" w:rsidTr="00FF2D46">
        <w:trPr>
          <w:trHeight w:val="945"/>
        </w:trPr>
        <w:tc>
          <w:tcPr>
            <w:tcW w:w="1989" w:type="dxa"/>
            <w:vMerge/>
            <w:tcBorders>
              <w:top w:val="nil"/>
              <w:left w:val="nil"/>
              <w:bottom w:val="nil"/>
              <w:right w:val="nil"/>
            </w:tcBorders>
            <w:vAlign w:val="center"/>
            <w:hideMark/>
          </w:tcPr>
          <w:p w14:paraId="287E8E1B"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1A1E74FB"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1D7A8C7D"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016C5FF2" w14:textId="77777777" w:rsidR="00C157B9" w:rsidRPr="00E55E43" w:rsidRDefault="00C157B9" w:rsidP="00483162">
            <w:pPr>
              <w:jc w:val="right"/>
              <w:rPr>
                <w:rFonts w:ascii="Arial" w:hAnsi="Arial" w:cs="Arial"/>
              </w:rPr>
            </w:pPr>
            <w:r w:rsidRPr="00E55E43">
              <w:rPr>
                <w:rFonts w:ascii="Arial" w:hAnsi="Arial" w:cs="Arial"/>
                <w:bCs/>
              </w:rPr>
              <w:t>723.181</w:t>
            </w:r>
          </w:p>
        </w:tc>
        <w:tc>
          <w:tcPr>
            <w:tcW w:w="1260" w:type="dxa"/>
            <w:tcBorders>
              <w:top w:val="nil"/>
              <w:left w:val="nil"/>
              <w:bottom w:val="nil"/>
              <w:right w:val="nil"/>
            </w:tcBorders>
            <w:shd w:val="clear" w:color="auto" w:fill="auto"/>
            <w:vAlign w:val="center"/>
            <w:hideMark/>
          </w:tcPr>
          <w:p w14:paraId="35A973CC" w14:textId="77777777" w:rsidR="00C157B9" w:rsidRPr="00E55E43" w:rsidRDefault="00C157B9" w:rsidP="00483162">
            <w:pPr>
              <w:jc w:val="right"/>
              <w:rPr>
                <w:rFonts w:ascii="Arial" w:hAnsi="Arial" w:cs="Arial"/>
              </w:rPr>
            </w:pPr>
            <w:r w:rsidRPr="00E55E43">
              <w:rPr>
                <w:rFonts w:ascii="Arial" w:hAnsi="Arial" w:cs="Arial"/>
                <w:bCs/>
              </w:rPr>
              <w:t>0.20145</w:t>
            </w:r>
          </w:p>
        </w:tc>
        <w:tc>
          <w:tcPr>
            <w:tcW w:w="1736" w:type="dxa"/>
            <w:vMerge/>
            <w:tcBorders>
              <w:top w:val="nil"/>
              <w:left w:val="nil"/>
              <w:bottom w:val="nil"/>
              <w:right w:val="nil"/>
            </w:tcBorders>
            <w:vAlign w:val="center"/>
            <w:hideMark/>
          </w:tcPr>
          <w:p w14:paraId="40CC2B62" w14:textId="77777777" w:rsidR="00C157B9" w:rsidRPr="00E55E43" w:rsidRDefault="00C157B9" w:rsidP="00483162">
            <w:pPr>
              <w:rPr>
                <w:rFonts w:ascii="Arial" w:hAnsi="Arial" w:cs="Arial"/>
              </w:rPr>
            </w:pPr>
          </w:p>
        </w:tc>
      </w:tr>
      <w:tr w:rsidR="00C157B9" w:rsidRPr="00E55E43" w14:paraId="2512898D" w14:textId="77777777" w:rsidTr="00FF2D46">
        <w:trPr>
          <w:trHeight w:val="315"/>
        </w:trPr>
        <w:tc>
          <w:tcPr>
            <w:tcW w:w="1989" w:type="dxa"/>
            <w:vMerge/>
            <w:tcBorders>
              <w:top w:val="nil"/>
              <w:left w:val="nil"/>
              <w:bottom w:val="nil"/>
              <w:right w:val="nil"/>
            </w:tcBorders>
            <w:vAlign w:val="center"/>
            <w:hideMark/>
          </w:tcPr>
          <w:p w14:paraId="3A02F9EC"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1F3AB737"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2A9382B6"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780A4FC3" w14:textId="77777777" w:rsidR="00C157B9" w:rsidRPr="00E55E43" w:rsidRDefault="00C157B9" w:rsidP="00483162">
            <w:pPr>
              <w:jc w:val="right"/>
              <w:rPr>
                <w:rFonts w:ascii="Arial" w:hAnsi="Arial" w:cs="Arial"/>
              </w:rPr>
            </w:pPr>
            <w:r w:rsidRPr="00E55E43">
              <w:rPr>
                <w:rFonts w:ascii="Arial" w:hAnsi="Arial" w:cs="Arial"/>
                <w:bCs/>
              </w:rPr>
              <w:t>10107.3</w:t>
            </w:r>
          </w:p>
        </w:tc>
        <w:tc>
          <w:tcPr>
            <w:tcW w:w="1260" w:type="dxa"/>
            <w:tcBorders>
              <w:top w:val="nil"/>
              <w:left w:val="nil"/>
              <w:bottom w:val="nil"/>
              <w:right w:val="nil"/>
            </w:tcBorders>
            <w:shd w:val="clear" w:color="auto" w:fill="auto"/>
            <w:vAlign w:val="center"/>
            <w:hideMark/>
          </w:tcPr>
          <w:p w14:paraId="3EA2EF44" w14:textId="77777777" w:rsidR="00C157B9" w:rsidRPr="00E55E43" w:rsidRDefault="00C157B9" w:rsidP="00483162">
            <w:pPr>
              <w:jc w:val="right"/>
              <w:rPr>
                <w:rFonts w:ascii="Arial" w:hAnsi="Arial" w:cs="Arial"/>
              </w:rPr>
            </w:pPr>
            <w:r w:rsidRPr="00E55E43">
              <w:rPr>
                <w:rFonts w:ascii="Arial" w:hAnsi="Arial" w:cs="Arial"/>
                <w:bCs/>
              </w:rPr>
              <w:t>0.05105</w:t>
            </w:r>
          </w:p>
        </w:tc>
        <w:tc>
          <w:tcPr>
            <w:tcW w:w="1736" w:type="dxa"/>
            <w:vMerge/>
            <w:tcBorders>
              <w:top w:val="nil"/>
              <w:left w:val="nil"/>
              <w:bottom w:val="nil"/>
              <w:right w:val="nil"/>
            </w:tcBorders>
            <w:vAlign w:val="center"/>
            <w:hideMark/>
          </w:tcPr>
          <w:p w14:paraId="0BC1CE43" w14:textId="77777777" w:rsidR="00C157B9" w:rsidRPr="00E55E43" w:rsidRDefault="00C157B9" w:rsidP="00483162">
            <w:pPr>
              <w:rPr>
                <w:rFonts w:ascii="Arial" w:hAnsi="Arial" w:cs="Arial"/>
              </w:rPr>
            </w:pPr>
          </w:p>
        </w:tc>
      </w:tr>
      <w:tr w:rsidR="00C157B9" w:rsidRPr="00E55E43" w14:paraId="02E7A86A" w14:textId="77777777" w:rsidTr="00FF2D46">
        <w:trPr>
          <w:trHeight w:val="315"/>
        </w:trPr>
        <w:tc>
          <w:tcPr>
            <w:tcW w:w="1989" w:type="dxa"/>
            <w:vMerge/>
            <w:tcBorders>
              <w:top w:val="nil"/>
              <w:left w:val="nil"/>
              <w:bottom w:val="nil"/>
              <w:right w:val="nil"/>
            </w:tcBorders>
            <w:vAlign w:val="center"/>
            <w:hideMark/>
          </w:tcPr>
          <w:p w14:paraId="5333BC50" w14:textId="77777777" w:rsidR="00C157B9" w:rsidRPr="00E55E43" w:rsidRDefault="00C157B9" w:rsidP="00483162">
            <w:pPr>
              <w:rPr>
                <w:rFonts w:ascii="Arial" w:hAnsi="Arial" w:cs="Arial"/>
              </w:rPr>
            </w:pPr>
          </w:p>
        </w:tc>
        <w:tc>
          <w:tcPr>
            <w:tcW w:w="2029" w:type="dxa"/>
            <w:vMerge/>
            <w:tcBorders>
              <w:top w:val="nil"/>
              <w:left w:val="nil"/>
              <w:bottom w:val="nil"/>
              <w:right w:val="nil"/>
            </w:tcBorders>
            <w:vAlign w:val="center"/>
            <w:hideMark/>
          </w:tcPr>
          <w:p w14:paraId="02CC3DF4"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70717AE7" w14:textId="77777777" w:rsidR="00C157B9" w:rsidRPr="00E55E43" w:rsidRDefault="00C157B9" w:rsidP="00483162">
            <w:pPr>
              <w:jc w:val="right"/>
              <w:rPr>
                <w:rFonts w:ascii="Arial" w:hAnsi="Arial" w:cs="Arial"/>
              </w:rPr>
            </w:pPr>
            <w:r w:rsidRPr="00E55E43">
              <w:rPr>
                <w:rFonts w:ascii="Arial" w:hAnsi="Arial" w:cs="Arial"/>
                <w:bCs/>
              </w:rPr>
              <w:t>2</w:t>
            </w:r>
          </w:p>
        </w:tc>
        <w:tc>
          <w:tcPr>
            <w:tcW w:w="1976" w:type="dxa"/>
            <w:tcBorders>
              <w:top w:val="nil"/>
              <w:left w:val="nil"/>
              <w:bottom w:val="nil"/>
              <w:right w:val="nil"/>
            </w:tcBorders>
            <w:shd w:val="clear" w:color="auto" w:fill="auto"/>
            <w:vAlign w:val="center"/>
            <w:hideMark/>
          </w:tcPr>
          <w:p w14:paraId="4C84D1C7" w14:textId="77777777" w:rsidR="00C157B9" w:rsidRPr="00E55E43" w:rsidRDefault="00C157B9" w:rsidP="00483162">
            <w:pPr>
              <w:jc w:val="right"/>
              <w:rPr>
                <w:rFonts w:ascii="Arial" w:hAnsi="Arial" w:cs="Arial"/>
              </w:rPr>
            </w:pPr>
            <w:r w:rsidRPr="00E55E43">
              <w:rPr>
                <w:rFonts w:ascii="Arial" w:hAnsi="Arial" w:cs="Arial"/>
              </w:rPr>
              <w:t>39643.1</w:t>
            </w:r>
          </w:p>
        </w:tc>
        <w:tc>
          <w:tcPr>
            <w:tcW w:w="1260" w:type="dxa"/>
            <w:tcBorders>
              <w:top w:val="nil"/>
              <w:left w:val="nil"/>
              <w:bottom w:val="nil"/>
              <w:right w:val="nil"/>
            </w:tcBorders>
            <w:shd w:val="clear" w:color="auto" w:fill="auto"/>
            <w:vAlign w:val="center"/>
            <w:hideMark/>
          </w:tcPr>
          <w:p w14:paraId="1E709264" w14:textId="77777777" w:rsidR="00C157B9" w:rsidRPr="00E55E43" w:rsidRDefault="00C157B9" w:rsidP="00483162">
            <w:pPr>
              <w:jc w:val="right"/>
              <w:rPr>
                <w:rFonts w:ascii="Arial" w:hAnsi="Arial" w:cs="Arial"/>
              </w:rPr>
            </w:pPr>
            <w:r w:rsidRPr="00E55E43">
              <w:rPr>
                <w:rFonts w:ascii="Arial" w:hAnsi="Arial" w:cs="Arial"/>
                <w:bCs/>
              </w:rPr>
              <w:t>0.10514</w:t>
            </w:r>
          </w:p>
        </w:tc>
        <w:tc>
          <w:tcPr>
            <w:tcW w:w="1736" w:type="dxa"/>
            <w:vMerge/>
            <w:tcBorders>
              <w:top w:val="nil"/>
              <w:left w:val="nil"/>
              <w:bottom w:val="nil"/>
              <w:right w:val="nil"/>
            </w:tcBorders>
            <w:vAlign w:val="center"/>
            <w:hideMark/>
          </w:tcPr>
          <w:p w14:paraId="5FACCAA9" w14:textId="77777777" w:rsidR="00C157B9" w:rsidRPr="00E55E43" w:rsidRDefault="00C157B9" w:rsidP="00483162">
            <w:pPr>
              <w:rPr>
                <w:rFonts w:ascii="Arial" w:hAnsi="Arial" w:cs="Arial"/>
              </w:rPr>
            </w:pPr>
          </w:p>
        </w:tc>
      </w:tr>
      <w:tr w:rsidR="00C157B9" w:rsidRPr="00E55E43" w14:paraId="4813C88E" w14:textId="77777777" w:rsidTr="00FF2D46">
        <w:trPr>
          <w:trHeight w:val="315"/>
        </w:trPr>
        <w:tc>
          <w:tcPr>
            <w:tcW w:w="1989" w:type="dxa"/>
            <w:tcBorders>
              <w:top w:val="nil"/>
              <w:left w:val="nil"/>
              <w:bottom w:val="nil"/>
              <w:right w:val="nil"/>
            </w:tcBorders>
            <w:shd w:val="clear" w:color="auto" w:fill="auto"/>
            <w:vAlign w:val="center"/>
            <w:hideMark/>
          </w:tcPr>
          <w:p w14:paraId="0C349705" w14:textId="77777777" w:rsidR="00C157B9" w:rsidRPr="00E55E43" w:rsidRDefault="00C157B9" w:rsidP="00483162">
            <w:pPr>
              <w:jc w:val="right"/>
              <w:rPr>
                <w:rFonts w:ascii="Arial" w:hAnsi="Arial" w:cs="Arial"/>
              </w:rPr>
            </w:pPr>
          </w:p>
        </w:tc>
        <w:tc>
          <w:tcPr>
            <w:tcW w:w="2029" w:type="dxa"/>
            <w:tcBorders>
              <w:top w:val="nil"/>
              <w:left w:val="nil"/>
              <w:bottom w:val="nil"/>
              <w:right w:val="nil"/>
            </w:tcBorders>
            <w:shd w:val="clear" w:color="auto" w:fill="auto"/>
            <w:hideMark/>
          </w:tcPr>
          <w:p w14:paraId="58924A3F" w14:textId="77777777" w:rsidR="00C157B9" w:rsidRPr="00E55E43" w:rsidRDefault="00C157B9" w:rsidP="00483162">
            <w:pPr>
              <w:rPr>
                <w:rFonts w:ascii="Arial" w:hAnsi="Arial" w:cs="Arial"/>
              </w:rPr>
            </w:pPr>
          </w:p>
        </w:tc>
        <w:tc>
          <w:tcPr>
            <w:tcW w:w="576" w:type="dxa"/>
            <w:tcBorders>
              <w:top w:val="nil"/>
              <w:left w:val="nil"/>
              <w:bottom w:val="nil"/>
              <w:right w:val="nil"/>
            </w:tcBorders>
            <w:shd w:val="clear" w:color="auto" w:fill="auto"/>
            <w:vAlign w:val="center"/>
            <w:hideMark/>
          </w:tcPr>
          <w:p w14:paraId="7F3742E4" w14:textId="77777777" w:rsidR="00C157B9" w:rsidRPr="00E55E43" w:rsidRDefault="00C157B9" w:rsidP="00483162">
            <w:pPr>
              <w:rPr>
                <w:rFonts w:ascii="Arial" w:hAnsi="Arial" w:cs="Arial"/>
              </w:rPr>
            </w:pPr>
          </w:p>
        </w:tc>
        <w:tc>
          <w:tcPr>
            <w:tcW w:w="1976" w:type="dxa"/>
            <w:tcBorders>
              <w:top w:val="nil"/>
              <w:left w:val="nil"/>
              <w:bottom w:val="nil"/>
              <w:right w:val="nil"/>
            </w:tcBorders>
            <w:shd w:val="clear" w:color="auto" w:fill="auto"/>
            <w:vAlign w:val="center"/>
            <w:hideMark/>
          </w:tcPr>
          <w:p w14:paraId="060E2AF4" w14:textId="77777777" w:rsidR="00C157B9" w:rsidRPr="00E55E43" w:rsidRDefault="00C157B9" w:rsidP="00483162">
            <w:pPr>
              <w:rPr>
                <w:rFonts w:ascii="Arial" w:hAnsi="Arial" w:cs="Arial"/>
              </w:rPr>
            </w:pPr>
          </w:p>
        </w:tc>
        <w:tc>
          <w:tcPr>
            <w:tcW w:w="1260" w:type="dxa"/>
            <w:tcBorders>
              <w:top w:val="nil"/>
              <w:left w:val="nil"/>
              <w:bottom w:val="nil"/>
              <w:right w:val="nil"/>
            </w:tcBorders>
            <w:shd w:val="clear" w:color="auto" w:fill="auto"/>
            <w:vAlign w:val="center"/>
            <w:hideMark/>
          </w:tcPr>
          <w:p w14:paraId="68928B82" w14:textId="77777777" w:rsidR="00C157B9" w:rsidRPr="00E55E43" w:rsidRDefault="00C157B9" w:rsidP="00483162">
            <w:pPr>
              <w:rPr>
                <w:rFonts w:ascii="Arial" w:hAnsi="Arial" w:cs="Arial"/>
              </w:rPr>
            </w:pPr>
          </w:p>
        </w:tc>
        <w:tc>
          <w:tcPr>
            <w:tcW w:w="1736" w:type="dxa"/>
            <w:tcBorders>
              <w:top w:val="nil"/>
              <w:left w:val="nil"/>
              <w:bottom w:val="nil"/>
              <w:right w:val="nil"/>
            </w:tcBorders>
            <w:shd w:val="clear" w:color="auto" w:fill="auto"/>
            <w:vAlign w:val="center"/>
            <w:hideMark/>
          </w:tcPr>
          <w:p w14:paraId="58FEF542" w14:textId="77777777" w:rsidR="00C157B9" w:rsidRPr="00E55E43" w:rsidRDefault="00C157B9" w:rsidP="00483162">
            <w:pPr>
              <w:rPr>
                <w:rFonts w:ascii="Arial" w:hAnsi="Arial" w:cs="Arial"/>
              </w:rPr>
            </w:pPr>
          </w:p>
        </w:tc>
      </w:tr>
      <w:tr w:rsidR="00C157B9" w:rsidRPr="00E55E43" w14:paraId="617FC3F5" w14:textId="77777777" w:rsidTr="00FF2D46">
        <w:trPr>
          <w:trHeight w:val="630"/>
        </w:trPr>
        <w:tc>
          <w:tcPr>
            <w:tcW w:w="1989" w:type="dxa"/>
            <w:tcBorders>
              <w:top w:val="nil"/>
              <w:left w:val="nil"/>
              <w:bottom w:val="nil"/>
              <w:right w:val="nil"/>
            </w:tcBorders>
            <w:shd w:val="clear" w:color="auto" w:fill="auto"/>
            <w:vAlign w:val="center"/>
            <w:hideMark/>
          </w:tcPr>
          <w:p w14:paraId="3A01D8C9" w14:textId="77777777" w:rsidR="00C157B9" w:rsidRPr="00E55E43" w:rsidRDefault="00C157B9" w:rsidP="00483162">
            <w:pPr>
              <w:rPr>
                <w:rFonts w:ascii="Arial" w:hAnsi="Arial" w:cs="Arial"/>
              </w:rPr>
            </w:pPr>
            <w:r w:rsidRPr="00E55E43">
              <w:rPr>
                <w:rFonts w:ascii="Arial" w:hAnsi="Arial" w:cs="Arial"/>
                <w:bCs/>
              </w:rPr>
              <w:t>VAR Residual</w:t>
            </w:r>
          </w:p>
        </w:tc>
        <w:tc>
          <w:tcPr>
            <w:tcW w:w="2029" w:type="dxa"/>
            <w:vMerge w:val="restart"/>
            <w:tcBorders>
              <w:top w:val="nil"/>
              <w:left w:val="nil"/>
              <w:bottom w:val="single" w:sz="4" w:space="0" w:color="000000"/>
              <w:right w:val="nil"/>
            </w:tcBorders>
            <w:shd w:val="clear" w:color="auto" w:fill="auto"/>
            <w:vAlign w:val="center"/>
            <w:hideMark/>
          </w:tcPr>
          <w:p w14:paraId="73E671C1" w14:textId="77777777" w:rsidR="00C157B9" w:rsidRPr="00E55E43" w:rsidRDefault="00C157B9" w:rsidP="00483162">
            <w:pPr>
              <w:rPr>
                <w:rFonts w:ascii="Arial" w:hAnsi="Arial" w:cs="Arial"/>
              </w:rPr>
            </w:pPr>
            <w:r w:rsidRPr="00E55E43">
              <w:rPr>
                <w:rFonts w:ascii="Arial" w:hAnsi="Arial" w:cs="Arial"/>
                <w:bCs/>
              </w:rPr>
              <w:t>Chi-square</w:t>
            </w:r>
          </w:p>
        </w:tc>
        <w:tc>
          <w:tcPr>
            <w:tcW w:w="576" w:type="dxa"/>
            <w:vMerge w:val="restart"/>
            <w:tcBorders>
              <w:top w:val="nil"/>
              <w:left w:val="nil"/>
              <w:bottom w:val="single" w:sz="4" w:space="0" w:color="000000"/>
              <w:right w:val="nil"/>
            </w:tcBorders>
            <w:shd w:val="clear" w:color="auto" w:fill="auto"/>
            <w:vAlign w:val="center"/>
            <w:hideMark/>
          </w:tcPr>
          <w:p w14:paraId="6AA6F80A" w14:textId="77777777" w:rsidR="00C157B9" w:rsidRPr="00E55E43" w:rsidRDefault="00C157B9" w:rsidP="00483162">
            <w:pPr>
              <w:jc w:val="right"/>
              <w:rPr>
                <w:rFonts w:ascii="Arial" w:hAnsi="Arial" w:cs="Arial"/>
              </w:rPr>
            </w:pPr>
            <w:r w:rsidRPr="00E55E43">
              <w:rPr>
                <w:rFonts w:ascii="Arial" w:hAnsi="Arial" w:cs="Arial"/>
                <w:bCs/>
              </w:rPr>
              <w:t>640</w:t>
            </w:r>
          </w:p>
        </w:tc>
        <w:tc>
          <w:tcPr>
            <w:tcW w:w="1976" w:type="dxa"/>
            <w:vMerge w:val="restart"/>
            <w:tcBorders>
              <w:top w:val="nil"/>
              <w:left w:val="nil"/>
              <w:bottom w:val="single" w:sz="4" w:space="0" w:color="000000"/>
              <w:right w:val="nil"/>
            </w:tcBorders>
            <w:shd w:val="clear" w:color="auto" w:fill="auto"/>
            <w:vAlign w:val="center"/>
            <w:hideMark/>
          </w:tcPr>
          <w:p w14:paraId="22868C73" w14:textId="77777777" w:rsidR="00C157B9" w:rsidRPr="00E55E43" w:rsidRDefault="00C157B9" w:rsidP="00483162">
            <w:pPr>
              <w:rPr>
                <w:rFonts w:ascii="Arial" w:hAnsi="Arial" w:cs="Arial"/>
              </w:rPr>
            </w:pPr>
            <w:r w:rsidRPr="00E55E43">
              <w:rPr>
                <w:rFonts w:ascii="Arial" w:hAnsi="Arial" w:cs="Arial"/>
                <w:bCs/>
              </w:rPr>
              <w:t xml:space="preserve"> 1400.368</w:t>
            </w:r>
          </w:p>
        </w:tc>
        <w:tc>
          <w:tcPr>
            <w:tcW w:w="1260" w:type="dxa"/>
            <w:vMerge w:val="restart"/>
            <w:tcBorders>
              <w:top w:val="nil"/>
              <w:left w:val="nil"/>
              <w:bottom w:val="single" w:sz="4" w:space="0" w:color="000000"/>
              <w:right w:val="nil"/>
            </w:tcBorders>
            <w:shd w:val="clear" w:color="auto" w:fill="auto"/>
            <w:vAlign w:val="center"/>
            <w:hideMark/>
          </w:tcPr>
          <w:p w14:paraId="1EC6D213" w14:textId="77777777" w:rsidR="00C157B9" w:rsidRPr="00E55E43" w:rsidRDefault="00C157B9" w:rsidP="00483162">
            <w:pPr>
              <w:jc w:val="right"/>
              <w:rPr>
                <w:rFonts w:ascii="Arial" w:hAnsi="Arial" w:cs="Arial"/>
              </w:rPr>
            </w:pPr>
            <w:r w:rsidRPr="00E55E43">
              <w:rPr>
                <w:rFonts w:ascii="Arial" w:hAnsi="Arial" w:cs="Arial"/>
                <w:bCs/>
              </w:rPr>
              <w:t>0.51341</w:t>
            </w:r>
          </w:p>
        </w:tc>
        <w:tc>
          <w:tcPr>
            <w:tcW w:w="1736" w:type="dxa"/>
            <w:vMerge w:val="restart"/>
            <w:tcBorders>
              <w:top w:val="nil"/>
              <w:left w:val="nil"/>
              <w:bottom w:val="single" w:sz="4" w:space="0" w:color="000000"/>
              <w:right w:val="nil"/>
            </w:tcBorders>
            <w:shd w:val="clear" w:color="auto" w:fill="auto"/>
            <w:vAlign w:val="center"/>
            <w:hideMark/>
          </w:tcPr>
          <w:p w14:paraId="4C75E284" w14:textId="77777777" w:rsidR="00C157B9" w:rsidRPr="00E55E43" w:rsidRDefault="00C157B9" w:rsidP="00483162">
            <w:pPr>
              <w:rPr>
                <w:rFonts w:ascii="Arial" w:hAnsi="Arial" w:cs="Arial"/>
              </w:rPr>
            </w:pPr>
            <w:r w:rsidRPr="00E55E43">
              <w:rPr>
                <w:rFonts w:ascii="Arial" w:hAnsi="Arial" w:cs="Arial"/>
                <w:bCs/>
              </w:rPr>
              <w:t>No Heteroscedastic</w:t>
            </w:r>
          </w:p>
        </w:tc>
      </w:tr>
      <w:tr w:rsidR="00C157B9" w:rsidRPr="00E55E43" w14:paraId="2FCC896A" w14:textId="77777777" w:rsidTr="00FF2D46">
        <w:trPr>
          <w:trHeight w:val="300"/>
        </w:trPr>
        <w:tc>
          <w:tcPr>
            <w:tcW w:w="1989" w:type="dxa"/>
            <w:tcBorders>
              <w:top w:val="nil"/>
              <w:left w:val="nil"/>
              <w:bottom w:val="nil"/>
              <w:right w:val="nil"/>
            </w:tcBorders>
            <w:shd w:val="clear" w:color="auto" w:fill="auto"/>
            <w:vAlign w:val="center"/>
            <w:hideMark/>
          </w:tcPr>
          <w:p w14:paraId="7D8D7E51" w14:textId="77777777" w:rsidR="00C157B9" w:rsidRPr="00E55E43" w:rsidRDefault="00C157B9" w:rsidP="00483162">
            <w:pPr>
              <w:rPr>
                <w:rFonts w:ascii="Arial" w:hAnsi="Arial" w:cs="Arial"/>
              </w:rPr>
            </w:pPr>
            <w:r w:rsidRPr="00E55E43">
              <w:rPr>
                <w:rFonts w:ascii="Arial" w:hAnsi="Arial" w:cs="Arial"/>
                <w:bCs/>
              </w:rPr>
              <w:t>Heteroscedasticity</w:t>
            </w:r>
          </w:p>
        </w:tc>
        <w:tc>
          <w:tcPr>
            <w:tcW w:w="2029" w:type="dxa"/>
            <w:vMerge/>
            <w:tcBorders>
              <w:top w:val="nil"/>
              <w:left w:val="nil"/>
              <w:bottom w:val="single" w:sz="4" w:space="0" w:color="000000"/>
              <w:right w:val="nil"/>
            </w:tcBorders>
            <w:vAlign w:val="center"/>
            <w:hideMark/>
          </w:tcPr>
          <w:p w14:paraId="3833F458" w14:textId="77777777" w:rsidR="00C157B9" w:rsidRPr="00E55E43" w:rsidRDefault="00C157B9" w:rsidP="00483162">
            <w:pPr>
              <w:rPr>
                <w:rFonts w:ascii="Arial" w:hAnsi="Arial" w:cs="Arial"/>
              </w:rPr>
            </w:pPr>
          </w:p>
        </w:tc>
        <w:tc>
          <w:tcPr>
            <w:tcW w:w="576" w:type="dxa"/>
            <w:vMerge/>
            <w:tcBorders>
              <w:top w:val="nil"/>
              <w:left w:val="nil"/>
              <w:bottom w:val="single" w:sz="4" w:space="0" w:color="000000"/>
              <w:right w:val="nil"/>
            </w:tcBorders>
            <w:vAlign w:val="center"/>
            <w:hideMark/>
          </w:tcPr>
          <w:p w14:paraId="3C31A4D1" w14:textId="77777777" w:rsidR="00C157B9" w:rsidRPr="00E55E43" w:rsidRDefault="00C157B9" w:rsidP="00483162">
            <w:pPr>
              <w:rPr>
                <w:rFonts w:ascii="Arial" w:hAnsi="Arial" w:cs="Arial"/>
              </w:rPr>
            </w:pPr>
          </w:p>
        </w:tc>
        <w:tc>
          <w:tcPr>
            <w:tcW w:w="1976" w:type="dxa"/>
            <w:vMerge/>
            <w:tcBorders>
              <w:top w:val="nil"/>
              <w:left w:val="nil"/>
              <w:bottom w:val="single" w:sz="4" w:space="0" w:color="000000"/>
              <w:right w:val="nil"/>
            </w:tcBorders>
            <w:vAlign w:val="center"/>
            <w:hideMark/>
          </w:tcPr>
          <w:p w14:paraId="578CBF64" w14:textId="77777777" w:rsidR="00C157B9" w:rsidRPr="00E55E43" w:rsidRDefault="00C157B9" w:rsidP="00483162">
            <w:pPr>
              <w:rPr>
                <w:rFonts w:ascii="Arial" w:hAnsi="Arial" w:cs="Arial"/>
              </w:rPr>
            </w:pPr>
          </w:p>
        </w:tc>
        <w:tc>
          <w:tcPr>
            <w:tcW w:w="1260" w:type="dxa"/>
            <w:vMerge/>
            <w:tcBorders>
              <w:top w:val="nil"/>
              <w:left w:val="nil"/>
              <w:bottom w:val="single" w:sz="4" w:space="0" w:color="000000"/>
              <w:right w:val="nil"/>
            </w:tcBorders>
            <w:vAlign w:val="center"/>
            <w:hideMark/>
          </w:tcPr>
          <w:p w14:paraId="4D973485" w14:textId="77777777" w:rsidR="00C157B9" w:rsidRPr="00E55E43" w:rsidRDefault="00C157B9" w:rsidP="00483162">
            <w:pPr>
              <w:rPr>
                <w:rFonts w:ascii="Arial" w:hAnsi="Arial" w:cs="Arial"/>
              </w:rPr>
            </w:pPr>
          </w:p>
        </w:tc>
        <w:tc>
          <w:tcPr>
            <w:tcW w:w="1736" w:type="dxa"/>
            <w:vMerge/>
            <w:tcBorders>
              <w:top w:val="nil"/>
              <w:left w:val="nil"/>
              <w:bottom w:val="single" w:sz="4" w:space="0" w:color="000000"/>
              <w:right w:val="nil"/>
            </w:tcBorders>
            <w:vAlign w:val="center"/>
            <w:hideMark/>
          </w:tcPr>
          <w:p w14:paraId="3CC6C050" w14:textId="77777777" w:rsidR="00C157B9" w:rsidRPr="00E55E43" w:rsidRDefault="00C157B9" w:rsidP="00483162">
            <w:pPr>
              <w:rPr>
                <w:rFonts w:ascii="Arial" w:hAnsi="Arial" w:cs="Arial"/>
              </w:rPr>
            </w:pPr>
          </w:p>
        </w:tc>
      </w:tr>
      <w:tr w:rsidR="00C157B9" w:rsidRPr="00E55E43" w14:paraId="020AAB17" w14:textId="77777777" w:rsidTr="00FF2D46">
        <w:trPr>
          <w:trHeight w:val="300"/>
        </w:trPr>
        <w:tc>
          <w:tcPr>
            <w:tcW w:w="1989" w:type="dxa"/>
            <w:tcBorders>
              <w:top w:val="nil"/>
              <w:left w:val="nil"/>
              <w:bottom w:val="single" w:sz="4" w:space="0" w:color="auto"/>
              <w:right w:val="nil"/>
            </w:tcBorders>
            <w:shd w:val="clear" w:color="auto" w:fill="auto"/>
            <w:vAlign w:val="center"/>
            <w:hideMark/>
          </w:tcPr>
          <w:p w14:paraId="54C084DE" w14:textId="77777777" w:rsidR="00C157B9" w:rsidRPr="00E55E43" w:rsidRDefault="00C157B9" w:rsidP="00483162">
            <w:pPr>
              <w:rPr>
                <w:rFonts w:ascii="Arial" w:hAnsi="Arial" w:cs="Arial"/>
              </w:rPr>
            </w:pPr>
            <w:r w:rsidRPr="00E55E43">
              <w:rPr>
                <w:rFonts w:ascii="Arial" w:hAnsi="Arial" w:cs="Arial"/>
                <w:bCs/>
              </w:rPr>
              <w:t>Test</w:t>
            </w:r>
          </w:p>
        </w:tc>
        <w:tc>
          <w:tcPr>
            <w:tcW w:w="2029" w:type="dxa"/>
            <w:vMerge/>
            <w:tcBorders>
              <w:top w:val="nil"/>
              <w:left w:val="nil"/>
              <w:bottom w:val="single" w:sz="4" w:space="0" w:color="000000"/>
              <w:right w:val="nil"/>
            </w:tcBorders>
            <w:vAlign w:val="center"/>
            <w:hideMark/>
          </w:tcPr>
          <w:p w14:paraId="78B61EEC" w14:textId="77777777" w:rsidR="00C157B9" w:rsidRPr="00E55E43" w:rsidRDefault="00C157B9" w:rsidP="00483162">
            <w:pPr>
              <w:rPr>
                <w:rFonts w:ascii="Arial" w:hAnsi="Arial" w:cs="Arial"/>
              </w:rPr>
            </w:pPr>
          </w:p>
        </w:tc>
        <w:tc>
          <w:tcPr>
            <w:tcW w:w="576" w:type="dxa"/>
            <w:vMerge/>
            <w:tcBorders>
              <w:top w:val="nil"/>
              <w:left w:val="nil"/>
              <w:bottom w:val="single" w:sz="4" w:space="0" w:color="000000"/>
              <w:right w:val="nil"/>
            </w:tcBorders>
            <w:vAlign w:val="center"/>
            <w:hideMark/>
          </w:tcPr>
          <w:p w14:paraId="7DCD419C" w14:textId="77777777" w:rsidR="00C157B9" w:rsidRPr="00E55E43" w:rsidRDefault="00C157B9" w:rsidP="00483162">
            <w:pPr>
              <w:rPr>
                <w:rFonts w:ascii="Arial" w:hAnsi="Arial" w:cs="Arial"/>
              </w:rPr>
            </w:pPr>
          </w:p>
        </w:tc>
        <w:tc>
          <w:tcPr>
            <w:tcW w:w="1976" w:type="dxa"/>
            <w:vMerge/>
            <w:tcBorders>
              <w:top w:val="nil"/>
              <w:left w:val="nil"/>
              <w:bottom w:val="single" w:sz="4" w:space="0" w:color="000000"/>
              <w:right w:val="nil"/>
            </w:tcBorders>
            <w:vAlign w:val="center"/>
            <w:hideMark/>
          </w:tcPr>
          <w:p w14:paraId="465B03DE" w14:textId="77777777" w:rsidR="00C157B9" w:rsidRPr="00E55E43" w:rsidRDefault="00C157B9" w:rsidP="00483162">
            <w:pPr>
              <w:rPr>
                <w:rFonts w:ascii="Arial" w:hAnsi="Arial" w:cs="Arial"/>
              </w:rPr>
            </w:pPr>
          </w:p>
        </w:tc>
        <w:tc>
          <w:tcPr>
            <w:tcW w:w="1260" w:type="dxa"/>
            <w:vMerge/>
            <w:tcBorders>
              <w:top w:val="nil"/>
              <w:left w:val="nil"/>
              <w:bottom w:val="single" w:sz="4" w:space="0" w:color="000000"/>
              <w:right w:val="nil"/>
            </w:tcBorders>
            <w:vAlign w:val="center"/>
            <w:hideMark/>
          </w:tcPr>
          <w:p w14:paraId="2CB041C7" w14:textId="77777777" w:rsidR="00C157B9" w:rsidRPr="00E55E43" w:rsidRDefault="00C157B9" w:rsidP="00483162">
            <w:pPr>
              <w:rPr>
                <w:rFonts w:ascii="Arial" w:hAnsi="Arial" w:cs="Arial"/>
              </w:rPr>
            </w:pPr>
          </w:p>
        </w:tc>
        <w:tc>
          <w:tcPr>
            <w:tcW w:w="1736" w:type="dxa"/>
            <w:vMerge/>
            <w:tcBorders>
              <w:top w:val="nil"/>
              <w:left w:val="nil"/>
              <w:bottom w:val="single" w:sz="4" w:space="0" w:color="000000"/>
              <w:right w:val="nil"/>
            </w:tcBorders>
            <w:vAlign w:val="center"/>
            <w:hideMark/>
          </w:tcPr>
          <w:p w14:paraId="00D838E0" w14:textId="77777777" w:rsidR="00C157B9" w:rsidRPr="00E55E43" w:rsidRDefault="00C157B9" w:rsidP="00483162">
            <w:pPr>
              <w:rPr>
                <w:rFonts w:ascii="Arial" w:hAnsi="Arial" w:cs="Arial"/>
              </w:rPr>
            </w:pPr>
          </w:p>
        </w:tc>
      </w:tr>
    </w:tbl>
    <w:p w14:paraId="6E52504B" w14:textId="77777777" w:rsidR="00C157B9" w:rsidRPr="00E55E43" w:rsidRDefault="00C157B9" w:rsidP="00483162">
      <w:pPr>
        <w:autoSpaceDE w:val="0"/>
        <w:autoSpaceDN w:val="0"/>
        <w:adjustRightInd w:val="0"/>
        <w:rPr>
          <w:rFonts w:ascii="Arial" w:hAnsi="Arial" w:cs="Arial"/>
        </w:rPr>
      </w:pPr>
    </w:p>
    <w:p w14:paraId="66DF48C3" w14:textId="77777777" w:rsidR="00E55E43" w:rsidRPr="00E55E43" w:rsidRDefault="00E55E43" w:rsidP="00483162">
      <w:pPr>
        <w:autoSpaceDE w:val="0"/>
        <w:autoSpaceDN w:val="0"/>
        <w:adjustRightInd w:val="0"/>
        <w:rPr>
          <w:rFonts w:ascii="Arial" w:hAnsi="Arial" w:cs="Arial"/>
        </w:rPr>
      </w:pPr>
    </w:p>
    <w:p w14:paraId="1EF74792" w14:textId="77777777" w:rsidR="00E55E43" w:rsidRDefault="00E55E43" w:rsidP="00483162">
      <w:pPr>
        <w:autoSpaceDE w:val="0"/>
        <w:autoSpaceDN w:val="0"/>
        <w:adjustRightInd w:val="0"/>
        <w:rPr>
          <w:rFonts w:ascii="Arial" w:hAnsi="Arial" w:cs="Arial"/>
        </w:rPr>
      </w:pPr>
    </w:p>
    <w:p w14:paraId="0F8160A4" w14:textId="77777777" w:rsidR="00FA5E9C" w:rsidRDefault="00FA5E9C" w:rsidP="00483162">
      <w:pPr>
        <w:autoSpaceDE w:val="0"/>
        <w:autoSpaceDN w:val="0"/>
        <w:adjustRightInd w:val="0"/>
        <w:rPr>
          <w:rFonts w:ascii="Arial" w:hAnsi="Arial" w:cs="Arial"/>
        </w:rPr>
      </w:pPr>
    </w:p>
    <w:p w14:paraId="71653AAF" w14:textId="77777777" w:rsidR="00FA5E9C" w:rsidRPr="00FA5E9C" w:rsidRDefault="00FA5E9C" w:rsidP="00FA5E9C">
      <w:pPr>
        <w:spacing w:line="480" w:lineRule="auto"/>
        <w:jc w:val="both"/>
        <w:rPr>
          <w:rFonts w:ascii="Arial" w:hAnsi="Arial" w:cs="Arial"/>
          <w:b/>
          <w:bCs/>
          <w:lang w:val="en-GB"/>
        </w:rPr>
      </w:pPr>
      <w:r w:rsidRPr="00FA5E9C">
        <w:rPr>
          <w:rFonts w:ascii="Arial" w:hAnsi="Arial" w:cs="Arial"/>
          <w:b/>
          <w:bCs/>
          <w:lang w:val="en-GB"/>
        </w:rPr>
        <w:t xml:space="preserve">Granger Causality Test </w:t>
      </w:r>
    </w:p>
    <w:p w14:paraId="538933E0" w14:textId="6DC94B85" w:rsidR="00FA5E9C" w:rsidRPr="00FA5E9C" w:rsidRDefault="00FA5E9C" w:rsidP="00FA5E9C">
      <w:pPr>
        <w:spacing w:line="480" w:lineRule="auto"/>
        <w:jc w:val="both"/>
        <w:rPr>
          <w:rFonts w:ascii="Arial" w:hAnsi="Arial" w:cs="Arial"/>
          <w:lang w:val="en-GB"/>
        </w:rPr>
      </w:pPr>
      <w:r w:rsidRPr="00FA5E9C">
        <w:rPr>
          <w:rFonts w:ascii="Arial" w:hAnsi="Arial" w:cs="Arial"/>
          <w:lang w:val="en-GB"/>
        </w:rPr>
        <w:t xml:space="preserve">This procedure is conducted to assess the relationship and the direction of influence among the variables being studied in response to external influences. The outcomes derived from the Granger Causality Test estimation are presented in Table </w:t>
      </w:r>
      <w:r>
        <w:rPr>
          <w:rFonts w:ascii="Arial" w:hAnsi="Arial" w:cs="Arial"/>
          <w:lang w:val="en-GB"/>
        </w:rPr>
        <w:t>5</w:t>
      </w:r>
      <w:r w:rsidRPr="00FA5E9C">
        <w:rPr>
          <w:rFonts w:ascii="Arial" w:hAnsi="Arial" w:cs="Arial"/>
          <w:lang w:val="en-GB"/>
        </w:rPr>
        <w:t>.</w:t>
      </w:r>
    </w:p>
    <w:p w14:paraId="5197EC38" w14:textId="4261D952" w:rsidR="00FA5E9C" w:rsidRPr="00FA5E9C" w:rsidRDefault="00FA5E9C" w:rsidP="00FA5E9C">
      <w:pPr>
        <w:jc w:val="both"/>
        <w:rPr>
          <w:rFonts w:ascii="Arial" w:hAnsi="Arial" w:cs="Arial"/>
          <w:b/>
          <w:bCs/>
          <w:lang w:val="en-GB"/>
        </w:rPr>
      </w:pPr>
      <w:r w:rsidRPr="00FA5E9C">
        <w:rPr>
          <w:rFonts w:ascii="Arial" w:hAnsi="Arial" w:cs="Arial"/>
          <w:b/>
          <w:bCs/>
          <w:lang w:val="en-GB"/>
        </w:rPr>
        <w:t xml:space="preserve">Table </w:t>
      </w:r>
      <w:r w:rsidR="006567E6">
        <w:rPr>
          <w:rFonts w:ascii="Arial" w:hAnsi="Arial" w:cs="Arial"/>
          <w:b/>
          <w:bCs/>
          <w:lang w:val="en-GB"/>
        </w:rPr>
        <w:t>5</w:t>
      </w:r>
      <w:r w:rsidRPr="00FA5E9C">
        <w:rPr>
          <w:rFonts w:ascii="Arial" w:hAnsi="Arial" w:cs="Arial"/>
          <w:b/>
          <w:bCs/>
          <w:lang w:val="en-GB"/>
        </w:rPr>
        <w:tab/>
        <w:t>VAR Model Granger Causality/Block Exogeneity Wald Tests</w:t>
      </w:r>
    </w:p>
    <w:tbl>
      <w:tblPr>
        <w:tblW w:w="0" w:type="auto"/>
        <w:tblInd w:w="30" w:type="dxa"/>
        <w:tblLayout w:type="fixed"/>
        <w:tblCellMar>
          <w:left w:w="0" w:type="dxa"/>
          <w:right w:w="0" w:type="dxa"/>
        </w:tblCellMar>
        <w:tblLook w:val="0000" w:firstRow="0" w:lastRow="0" w:firstColumn="0" w:lastColumn="0" w:noHBand="0" w:noVBand="0"/>
      </w:tblPr>
      <w:tblGrid>
        <w:gridCol w:w="2885"/>
        <w:gridCol w:w="1786"/>
        <w:gridCol w:w="1212"/>
        <w:gridCol w:w="1786"/>
      </w:tblGrid>
      <w:tr w:rsidR="00FA5E9C" w:rsidRPr="00FA5E9C" w14:paraId="7554AD68" w14:textId="77777777" w:rsidTr="00FF2D46">
        <w:trPr>
          <w:trHeight w:hRule="exact" w:val="92"/>
        </w:trPr>
        <w:tc>
          <w:tcPr>
            <w:tcW w:w="2885" w:type="dxa"/>
            <w:tcBorders>
              <w:top w:val="single" w:sz="4" w:space="0" w:color="auto"/>
              <w:left w:val="nil"/>
              <w:right w:val="nil"/>
            </w:tcBorders>
            <w:vAlign w:val="bottom"/>
          </w:tcPr>
          <w:p w14:paraId="4C4E03F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67FC3DCD"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single" w:sz="4" w:space="0" w:color="auto"/>
              <w:left w:val="nil"/>
              <w:right w:val="nil"/>
            </w:tcBorders>
            <w:vAlign w:val="bottom"/>
          </w:tcPr>
          <w:p w14:paraId="52DBDE7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57F1E114"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3C8581B" w14:textId="77777777" w:rsidTr="00FF2D46">
        <w:trPr>
          <w:trHeight w:hRule="exact" w:val="138"/>
        </w:trPr>
        <w:tc>
          <w:tcPr>
            <w:tcW w:w="2885" w:type="dxa"/>
            <w:tcBorders>
              <w:top w:val="nil"/>
              <w:left w:val="nil"/>
              <w:bottom w:val="nil"/>
              <w:right w:val="nil"/>
            </w:tcBorders>
            <w:vAlign w:val="bottom"/>
          </w:tcPr>
          <w:p w14:paraId="4C8D534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4BFFB24"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412910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753C564"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EE2D3D2" w14:textId="77777777" w:rsidTr="00FF2D46">
        <w:trPr>
          <w:trHeight w:val="230"/>
        </w:trPr>
        <w:tc>
          <w:tcPr>
            <w:tcW w:w="2885" w:type="dxa"/>
            <w:tcBorders>
              <w:top w:val="nil"/>
              <w:left w:val="nil"/>
              <w:right w:val="nil"/>
            </w:tcBorders>
            <w:vAlign w:val="bottom"/>
          </w:tcPr>
          <w:p w14:paraId="67E8E84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D2428A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F39BE8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550268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2CE6660" w14:textId="77777777" w:rsidTr="00FF2D46">
        <w:trPr>
          <w:trHeight w:val="230"/>
        </w:trPr>
        <w:tc>
          <w:tcPr>
            <w:tcW w:w="7669" w:type="dxa"/>
            <w:gridSpan w:val="4"/>
            <w:tcBorders>
              <w:top w:val="nil"/>
              <w:left w:val="nil"/>
              <w:bottom w:val="nil"/>
              <w:right w:val="nil"/>
            </w:tcBorders>
            <w:vAlign w:val="bottom"/>
          </w:tcPr>
          <w:p w14:paraId="0EE503C5"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D(CC)</w:t>
            </w:r>
          </w:p>
        </w:tc>
      </w:tr>
      <w:tr w:rsidR="00FA5E9C" w:rsidRPr="00FA5E9C" w14:paraId="311901BE" w14:textId="77777777" w:rsidTr="00FF2D46">
        <w:trPr>
          <w:trHeight w:hRule="exact" w:val="92"/>
        </w:trPr>
        <w:tc>
          <w:tcPr>
            <w:tcW w:w="2885" w:type="dxa"/>
            <w:tcBorders>
              <w:top w:val="nil"/>
              <w:left w:val="nil"/>
              <w:right w:val="nil"/>
            </w:tcBorders>
            <w:vAlign w:val="bottom"/>
          </w:tcPr>
          <w:p w14:paraId="433A212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815C7E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66A3D73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68540F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2568B92" w14:textId="77777777" w:rsidTr="00FF2D46">
        <w:trPr>
          <w:trHeight w:hRule="exact" w:val="138"/>
        </w:trPr>
        <w:tc>
          <w:tcPr>
            <w:tcW w:w="2885" w:type="dxa"/>
            <w:tcBorders>
              <w:top w:val="nil"/>
              <w:left w:val="nil"/>
              <w:bottom w:val="nil"/>
              <w:right w:val="nil"/>
            </w:tcBorders>
            <w:vAlign w:val="bottom"/>
          </w:tcPr>
          <w:p w14:paraId="2764A59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B31B4A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1CED1F6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FD96723"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B54DE54" w14:textId="77777777" w:rsidTr="00FF2D46">
        <w:trPr>
          <w:trHeight w:val="230"/>
        </w:trPr>
        <w:tc>
          <w:tcPr>
            <w:tcW w:w="2885" w:type="dxa"/>
            <w:tcBorders>
              <w:top w:val="nil"/>
              <w:left w:val="nil"/>
              <w:bottom w:val="single" w:sz="4" w:space="0" w:color="auto"/>
              <w:right w:val="nil"/>
            </w:tcBorders>
            <w:vAlign w:val="bottom"/>
          </w:tcPr>
          <w:p w14:paraId="2D35426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single" w:sz="4" w:space="0" w:color="auto"/>
              <w:right w:val="nil"/>
            </w:tcBorders>
            <w:vAlign w:val="bottom"/>
          </w:tcPr>
          <w:p w14:paraId="6F41EFA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single" w:sz="4" w:space="0" w:color="auto"/>
              <w:right w:val="nil"/>
            </w:tcBorders>
            <w:vAlign w:val="bottom"/>
          </w:tcPr>
          <w:p w14:paraId="4F94431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single" w:sz="4" w:space="0" w:color="auto"/>
              <w:right w:val="nil"/>
            </w:tcBorders>
            <w:vAlign w:val="bottom"/>
          </w:tcPr>
          <w:p w14:paraId="05DDDC30"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4CD9FDE4" w14:textId="77777777" w:rsidTr="00FF2D46">
        <w:trPr>
          <w:trHeight w:hRule="exact" w:val="92"/>
        </w:trPr>
        <w:tc>
          <w:tcPr>
            <w:tcW w:w="2885" w:type="dxa"/>
            <w:tcBorders>
              <w:top w:val="single" w:sz="4" w:space="0" w:color="auto"/>
              <w:left w:val="nil"/>
              <w:right w:val="nil"/>
            </w:tcBorders>
            <w:vAlign w:val="bottom"/>
          </w:tcPr>
          <w:p w14:paraId="71E1FB8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057B610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single" w:sz="4" w:space="0" w:color="auto"/>
              <w:left w:val="nil"/>
              <w:right w:val="nil"/>
            </w:tcBorders>
            <w:vAlign w:val="bottom"/>
          </w:tcPr>
          <w:p w14:paraId="6946347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single" w:sz="4" w:space="0" w:color="auto"/>
              <w:left w:val="nil"/>
              <w:right w:val="nil"/>
            </w:tcBorders>
            <w:vAlign w:val="bottom"/>
          </w:tcPr>
          <w:p w14:paraId="45579AC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E9814A7" w14:textId="77777777" w:rsidTr="00FF2D46">
        <w:trPr>
          <w:trHeight w:hRule="exact" w:val="138"/>
        </w:trPr>
        <w:tc>
          <w:tcPr>
            <w:tcW w:w="2885" w:type="dxa"/>
            <w:tcBorders>
              <w:top w:val="nil"/>
              <w:left w:val="nil"/>
              <w:bottom w:val="nil"/>
              <w:right w:val="nil"/>
            </w:tcBorders>
            <w:vAlign w:val="bottom"/>
          </w:tcPr>
          <w:p w14:paraId="61EDEAB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F536FD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EF6456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8D1403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AF42F0" w14:textId="77777777" w:rsidTr="00FF2D46">
        <w:trPr>
          <w:trHeight w:val="230"/>
        </w:trPr>
        <w:tc>
          <w:tcPr>
            <w:tcW w:w="2885" w:type="dxa"/>
            <w:tcBorders>
              <w:top w:val="nil"/>
              <w:left w:val="nil"/>
              <w:bottom w:val="nil"/>
              <w:right w:val="nil"/>
            </w:tcBorders>
            <w:vAlign w:val="bottom"/>
          </w:tcPr>
          <w:p w14:paraId="0B5D32B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lastRenderedPageBreak/>
              <w:t>D(ASI)</w:t>
            </w:r>
          </w:p>
        </w:tc>
        <w:tc>
          <w:tcPr>
            <w:tcW w:w="1786" w:type="dxa"/>
            <w:tcBorders>
              <w:top w:val="nil"/>
              <w:left w:val="nil"/>
              <w:bottom w:val="nil"/>
              <w:right w:val="nil"/>
            </w:tcBorders>
            <w:vAlign w:val="bottom"/>
          </w:tcPr>
          <w:p w14:paraId="1170885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8.463900</w:t>
            </w:r>
          </w:p>
        </w:tc>
        <w:tc>
          <w:tcPr>
            <w:tcW w:w="1212" w:type="dxa"/>
            <w:tcBorders>
              <w:top w:val="nil"/>
              <w:left w:val="nil"/>
              <w:bottom w:val="nil"/>
              <w:right w:val="nil"/>
            </w:tcBorders>
            <w:vAlign w:val="bottom"/>
          </w:tcPr>
          <w:p w14:paraId="252AC82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754E08A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0.0330</w:t>
            </w:r>
          </w:p>
        </w:tc>
      </w:tr>
      <w:tr w:rsidR="00FA5E9C" w:rsidRPr="00FA5E9C" w14:paraId="111EF1DA" w14:textId="77777777" w:rsidTr="00FF2D46">
        <w:trPr>
          <w:trHeight w:val="230"/>
        </w:trPr>
        <w:tc>
          <w:tcPr>
            <w:tcW w:w="2885" w:type="dxa"/>
            <w:tcBorders>
              <w:top w:val="nil"/>
              <w:left w:val="nil"/>
              <w:bottom w:val="nil"/>
              <w:right w:val="nil"/>
            </w:tcBorders>
            <w:vAlign w:val="bottom"/>
          </w:tcPr>
          <w:p w14:paraId="57A7E1A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5E88B62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7.997321</w:t>
            </w:r>
          </w:p>
        </w:tc>
        <w:tc>
          <w:tcPr>
            <w:tcW w:w="1212" w:type="dxa"/>
            <w:tcBorders>
              <w:top w:val="nil"/>
              <w:left w:val="nil"/>
              <w:bottom w:val="nil"/>
              <w:right w:val="nil"/>
            </w:tcBorders>
            <w:vAlign w:val="bottom"/>
          </w:tcPr>
          <w:p w14:paraId="3DC10B5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31DD47F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0.0183</w:t>
            </w:r>
          </w:p>
        </w:tc>
      </w:tr>
      <w:tr w:rsidR="00FA5E9C" w:rsidRPr="00FA5E9C" w14:paraId="64B7408F" w14:textId="77777777" w:rsidTr="00FF2D46">
        <w:trPr>
          <w:trHeight w:val="230"/>
        </w:trPr>
        <w:tc>
          <w:tcPr>
            <w:tcW w:w="2885" w:type="dxa"/>
            <w:tcBorders>
              <w:top w:val="nil"/>
              <w:left w:val="nil"/>
              <w:bottom w:val="nil"/>
              <w:right w:val="nil"/>
            </w:tcBorders>
            <w:vAlign w:val="bottom"/>
          </w:tcPr>
          <w:p w14:paraId="6B30FC3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51493A9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6.806137</w:t>
            </w:r>
          </w:p>
        </w:tc>
        <w:tc>
          <w:tcPr>
            <w:tcW w:w="1212" w:type="dxa"/>
            <w:tcBorders>
              <w:top w:val="nil"/>
              <w:left w:val="nil"/>
              <w:bottom w:val="nil"/>
              <w:right w:val="nil"/>
            </w:tcBorders>
            <w:vAlign w:val="bottom"/>
          </w:tcPr>
          <w:p w14:paraId="0158FCD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4DE852A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0.0458</w:t>
            </w:r>
          </w:p>
        </w:tc>
      </w:tr>
      <w:tr w:rsidR="00FA5E9C" w:rsidRPr="00FA5E9C" w14:paraId="7443711A" w14:textId="77777777" w:rsidTr="00FF2D46">
        <w:trPr>
          <w:trHeight w:hRule="exact" w:val="92"/>
        </w:trPr>
        <w:tc>
          <w:tcPr>
            <w:tcW w:w="2885" w:type="dxa"/>
            <w:tcBorders>
              <w:top w:val="nil"/>
              <w:left w:val="nil"/>
              <w:right w:val="nil"/>
            </w:tcBorders>
            <w:vAlign w:val="bottom"/>
          </w:tcPr>
          <w:p w14:paraId="6534913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CB451C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CB16AB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D572C1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6C13637" w14:textId="77777777" w:rsidTr="00FF2D46">
        <w:trPr>
          <w:trHeight w:hRule="exact" w:val="138"/>
        </w:trPr>
        <w:tc>
          <w:tcPr>
            <w:tcW w:w="2885" w:type="dxa"/>
            <w:tcBorders>
              <w:top w:val="nil"/>
              <w:left w:val="nil"/>
              <w:bottom w:val="nil"/>
              <w:right w:val="nil"/>
            </w:tcBorders>
            <w:vAlign w:val="bottom"/>
          </w:tcPr>
          <w:p w14:paraId="5A56F13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470FE6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DDDC34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F99B4FE"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0F732B3" w14:textId="77777777" w:rsidTr="00FF2D46">
        <w:trPr>
          <w:trHeight w:val="230"/>
        </w:trPr>
        <w:tc>
          <w:tcPr>
            <w:tcW w:w="2885" w:type="dxa"/>
            <w:tcBorders>
              <w:top w:val="nil"/>
              <w:left w:val="nil"/>
              <w:bottom w:val="nil"/>
              <w:right w:val="nil"/>
            </w:tcBorders>
            <w:vAlign w:val="bottom"/>
          </w:tcPr>
          <w:p w14:paraId="0D49897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592B578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12.60427</w:t>
            </w:r>
          </w:p>
        </w:tc>
        <w:tc>
          <w:tcPr>
            <w:tcW w:w="1212" w:type="dxa"/>
            <w:tcBorders>
              <w:top w:val="nil"/>
              <w:left w:val="nil"/>
              <w:bottom w:val="nil"/>
              <w:right w:val="nil"/>
            </w:tcBorders>
            <w:vAlign w:val="bottom"/>
          </w:tcPr>
          <w:p w14:paraId="6EC9797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424660A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0.0350</w:t>
            </w:r>
          </w:p>
        </w:tc>
      </w:tr>
      <w:tr w:rsidR="00FA5E9C" w:rsidRPr="00FA5E9C" w14:paraId="724DF2C5" w14:textId="77777777" w:rsidTr="00FF2D46">
        <w:trPr>
          <w:trHeight w:hRule="exact" w:val="92"/>
        </w:trPr>
        <w:tc>
          <w:tcPr>
            <w:tcW w:w="2885" w:type="dxa"/>
            <w:tcBorders>
              <w:top w:val="nil"/>
              <w:left w:val="nil"/>
              <w:right w:val="nil"/>
            </w:tcBorders>
            <w:vAlign w:val="bottom"/>
          </w:tcPr>
          <w:p w14:paraId="4660C7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9DE0E5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26D8032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7FDE52E"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6BDD3B8" w14:textId="77777777" w:rsidTr="00FF2D46">
        <w:trPr>
          <w:trHeight w:hRule="exact" w:val="138"/>
        </w:trPr>
        <w:tc>
          <w:tcPr>
            <w:tcW w:w="2885" w:type="dxa"/>
            <w:tcBorders>
              <w:top w:val="nil"/>
              <w:left w:val="nil"/>
              <w:bottom w:val="nil"/>
              <w:right w:val="nil"/>
            </w:tcBorders>
            <w:vAlign w:val="bottom"/>
          </w:tcPr>
          <w:p w14:paraId="3367605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1FE784F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FE469F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8C13292"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DB23BBB" w14:textId="77777777" w:rsidTr="00FF2D46">
        <w:trPr>
          <w:trHeight w:val="230"/>
        </w:trPr>
        <w:tc>
          <w:tcPr>
            <w:tcW w:w="2885" w:type="dxa"/>
            <w:tcBorders>
              <w:top w:val="nil"/>
              <w:left w:val="nil"/>
              <w:bottom w:val="nil"/>
              <w:right w:val="nil"/>
            </w:tcBorders>
            <w:vAlign w:val="bottom"/>
          </w:tcPr>
          <w:p w14:paraId="2B701B0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6C9A59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0E1BD9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F3209E3"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75D3F80" w14:textId="77777777" w:rsidTr="00FF2D46">
        <w:trPr>
          <w:trHeight w:val="230"/>
        </w:trPr>
        <w:tc>
          <w:tcPr>
            <w:tcW w:w="7669" w:type="dxa"/>
            <w:gridSpan w:val="4"/>
            <w:tcBorders>
              <w:top w:val="nil"/>
              <w:left w:val="nil"/>
              <w:bottom w:val="nil"/>
              <w:right w:val="nil"/>
            </w:tcBorders>
            <w:vAlign w:val="bottom"/>
          </w:tcPr>
          <w:p w14:paraId="69AA5A76"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D(ASI)</w:t>
            </w:r>
          </w:p>
        </w:tc>
      </w:tr>
      <w:tr w:rsidR="00FA5E9C" w:rsidRPr="00FA5E9C" w14:paraId="5B5EF495" w14:textId="77777777" w:rsidTr="00FF2D46">
        <w:trPr>
          <w:trHeight w:hRule="exact" w:val="92"/>
        </w:trPr>
        <w:tc>
          <w:tcPr>
            <w:tcW w:w="2885" w:type="dxa"/>
            <w:tcBorders>
              <w:top w:val="nil"/>
              <w:left w:val="nil"/>
              <w:right w:val="nil"/>
            </w:tcBorders>
            <w:vAlign w:val="bottom"/>
          </w:tcPr>
          <w:p w14:paraId="5F59FB2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1A04BEFE"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431FD61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765E71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BE86E78" w14:textId="77777777" w:rsidTr="00FF2D46">
        <w:trPr>
          <w:trHeight w:hRule="exact" w:val="138"/>
        </w:trPr>
        <w:tc>
          <w:tcPr>
            <w:tcW w:w="2885" w:type="dxa"/>
            <w:tcBorders>
              <w:top w:val="nil"/>
              <w:left w:val="nil"/>
              <w:bottom w:val="nil"/>
              <w:right w:val="nil"/>
            </w:tcBorders>
            <w:vAlign w:val="bottom"/>
          </w:tcPr>
          <w:p w14:paraId="64D9DD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151F145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645BDB5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2F9957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A754DE3" w14:textId="77777777" w:rsidTr="00FF2D46">
        <w:trPr>
          <w:trHeight w:val="230"/>
        </w:trPr>
        <w:tc>
          <w:tcPr>
            <w:tcW w:w="2885" w:type="dxa"/>
            <w:tcBorders>
              <w:top w:val="nil"/>
              <w:left w:val="nil"/>
              <w:bottom w:val="nil"/>
              <w:right w:val="nil"/>
            </w:tcBorders>
            <w:vAlign w:val="bottom"/>
          </w:tcPr>
          <w:p w14:paraId="0EE2C2D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2C58A1D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5F46A89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34BEE57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07EDB735" w14:textId="77777777" w:rsidTr="00FF2D46">
        <w:trPr>
          <w:trHeight w:hRule="exact" w:val="92"/>
        </w:trPr>
        <w:tc>
          <w:tcPr>
            <w:tcW w:w="2885" w:type="dxa"/>
            <w:tcBorders>
              <w:top w:val="nil"/>
              <w:left w:val="nil"/>
              <w:right w:val="nil"/>
            </w:tcBorders>
            <w:vAlign w:val="bottom"/>
          </w:tcPr>
          <w:p w14:paraId="2139C087"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3F9BC45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55C7705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F2E227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309F550" w14:textId="77777777" w:rsidTr="00FF2D46">
        <w:trPr>
          <w:trHeight w:hRule="exact" w:val="138"/>
        </w:trPr>
        <w:tc>
          <w:tcPr>
            <w:tcW w:w="2885" w:type="dxa"/>
            <w:tcBorders>
              <w:top w:val="nil"/>
              <w:left w:val="nil"/>
              <w:bottom w:val="nil"/>
              <w:right w:val="nil"/>
            </w:tcBorders>
            <w:vAlign w:val="bottom"/>
          </w:tcPr>
          <w:p w14:paraId="459A1CA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44A3FE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6F82902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EE219F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6E0098C" w14:textId="77777777" w:rsidTr="00FF2D46">
        <w:trPr>
          <w:trHeight w:val="230"/>
        </w:trPr>
        <w:tc>
          <w:tcPr>
            <w:tcW w:w="2885" w:type="dxa"/>
            <w:tcBorders>
              <w:top w:val="nil"/>
              <w:left w:val="nil"/>
              <w:bottom w:val="nil"/>
              <w:right w:val="nil"/>
            </w:tcBorders>
            <w:vAlign w:val="bottom"/>
          </w:tcPr>
          <w:p w14:paraId="7014D1E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69C594E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8.173574</w:t>
            </w:r>
          </w:p>
        </w:tc>
        <w:tc>
          <w:tcPr>
            <w:tcW w:w="1212" w:type="dxa"/>
            <w:tcBorders>
              <w:top w:val="nil"/>
              <w:left w:val="nil"/>
              <w:bottom w:val="nil"/>
              <w:right w:val="nil"/>
            </w:tcBorders>
            <w:vAlign w:val="bottom"/>
          </w:tcPr>
          <w:p w14:paraId="5BEF8524"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0ED39AA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0.5561</w:t>
            </w:r>
          </w:p>
        </w:tc>
      </w:tr>
      <w:tr w:rsidR="00FA5E9C" w:rsidRPr="00FA5E9C" w14:paraId="4D195C48" w14:textId="77777777" w:rsidTr="00FF2D46">
        <w:trPr>
          <w:trHeight w:val="230"/>
        </w:trPr>
        <w:tc>
          <w:tcPr>
            <w:tcW w:w="2885" w:type="dxa"/>
            <w:tcBorders>
              <w:top w:val="nil"/>
              <w:left w:val="nil"/>
              <w:bottom w:val="nil"/>
              <w:right w:val="nil"/>
            </w:tcBorders>
            <w:vAlign w:val="bottom"/>
          </w:tcPr>
          <w:p w14:paraId="3BDB31C0"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6310702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6.696243</w:t>
            </w:r>
          </w:p>
        </w:tc>
        <w:tc>
          <w:tcPr>
            <w:tcW w:w="1212" w:type="dxa"/>
            <w:tcBorders>
              <w:top w:val="nil"/>
              <w:left w:val="nil"/>
              <w:bottom w:val="nil"/>
              <w:right w:val="nil"/>
            </w:tcBorders>
            <w:vAlign w:val="bottom"/>
          </w:tcPr>
          <w:p w14:paraId="08ACA85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62C2252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0.0682</w:t>
            </w:r>
          </w:p>
        </w:tc>
      </w:tr>
      <w:tr w:rsidR="00FA5E9C" w:rsidRPr="00FA5E9C" w14:paraId="31E88DB0" w14:textId="77777777" w:rsidTr="00FF2D46">
        <w:trPr>
          <w:trHeight w:val="230"/>
        </w:trPr>
        <w:tc>
          <w:tcPr>
            <w:tcW w:w="2885" w:type="dxa"/>
            <w:tcBorders>
              <w:top w:val="nil"/>
              <w:left w:val="nil"/>
              <w:bottom w:val="nil"/>
              <w:right w:val="nil"/>
            </w:tcBorders>
            <w:vAlign w:val="bottom"/>
          </w:tcPr>
          <w:p w14:paraId="60F618A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5C1DEC4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7.502055</w:t>
            </w:r>
          </w:p>
        </w:tc>
        <w:tc>
          <w:tcPr>
            <w:tcW w:w="1212" w:type="dxa"/>
            <w:tcBorders>
              <w:top w:val="nil"/>
              <w:left w:val="nil"/>
              <w:bottom w:val="nil"/>
              <w:right w:val="nil"/>
            </w:tcBorders>
            <w:vAlign w:val="bottom"/>
          </w:tcPr>
          <w:p w14:paraId="02FF5A6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193C1B1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0.0180</w:t>
            </w:r>
          </w:p>
        </w:tc>
      </w:tr>
      <w:tr w:rsidR="00FA5E9C" w:rsidRPr="00FA5E9C" w14:paraId="4873799E" w14:textId="77777777" w:rsidTr="00FF2D46">
        <w:trPr>
          <w:trHeight w:hRule="exact" w:val="92"/>
        </w:trPr>
        <w:tc>
          <w:tcPr>
            <w:tcW w:w="2885" w:type="dxa"/>
            <w:tcBorders>
              <w:top w:val="nil"/>
              <w:left w:val="nil"/>
              <w:right w:val="nil"/>
            </w:tcBorders>
            <w:vAlign w:val="bottom"/>
          </w:tcPr>
          <w:p w14:paraId="4190703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D2E525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551A85D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58D4A9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C09370D" w14:textId="77777777" w:rsidTr="00FF2D46">
        <w:trPr>
          <w:trHeight w:hRule="exact" w:val="138"/>
        </w:trPr>
        <w:tc>
          <w:tcPr>
            <w:tcW w:w="2885" w:type="dxa"/>
            <w:tcBorders>
              <w:top w:val="nil"/>
              <w:left w:val="nil"/>
              <w:bottom w:val="nil"/>
              <w:right w:val="nil"/>
            </w:tcBorders>
            <w:vAlign w:val="bottom"/>
          </w:tcPr>
          <w:p w14:paraId="110D787F"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CD4484C"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06E6733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1DFA6A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BE946B1" w14:textId="77777777" w:rsidTr="00FF2D46">
        <w:trPr>
          <w:trHeight w:val="230"/>
        </w:trPr>
        <w:tc>
          <w:tcPr>
            <w:tcW w:w="2885" w:type="dxa"/>
            <w:tcBorders>
              <w:top w:val="nil"/>
              <w:left w:val="nil"/>
              <w:bottom w:val="nil"/>
              <w:right w:val="nil"/>
            </w:tcBorders>
            <w:vAlign w:val="bottom"/>
          </w:tcPr>
          <w:p w14:paraId="5891B42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68B9327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12.328948</w:t>
            </w:r>
          </w:p>
        </w:tc>
        <w:tc>
          <w:tcPr>
            <w:tcW w:w="1212" w:type="dxa"/>
            <w:tcBorders>
              <w:top w:val="nil"/>
              <w:left w:val="nil"/>
              <w:bottom w:val="nil"/>
              <w:right w:val="nil"/>
            </w:tcBorders>
            <w:vAlign w:val="bottom"/>
          </w:tcPr>
          <w:p w14:paraId="23D26B4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5A697CE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0.0466</w:t>
            </w:r>
          </w:p>
        </w:tc>
      </w:tr>
      <w:tr w:rsidR="00FA5E9C" w:rsidRPr="00FA5E9C" w14:paraId="039A66DD" w14:textId="77777777" w:rsidTr="00FF2D46">
        <w:trPr>
          <w:trHeight w:hRule="exact" w:val="92"/>
        </w:trPr>
        <w:tc>
          <w:tcPr>
            <w:tcW w:w="2885" w:type="dxa"/>
            <w:tcBorders>
              <w:top w:val="nil"/>
              <w:left w:val="nil"/>
              <w:right w:val="nil"/>
            </w:tcBorders>
            <w:vAlign w:val="bottom"/>
          </w:tcPr>
          <w:p w14:paraId="5F49C48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2C061D4E"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19F092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D2E485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A53D6DD" w14:textId="77777777" w:rsidTr="00FF2D46">
        <w:trPr>
          <w:trHeight w:hRule="exact" w:val="138"/>
        </w:trPr>
        <w:tc>
          <w:tcPr>
            <w:tcW w:w="2885" w:type="dxa"/>
            <w:tcBorders>
              <w:top w:val="nil"/>
              <w:left w:val="nil"/>
              <w:bottom w:val="nil"/>
              <w:right w:val="nil"/>
            </w:tcBorders>
            <w:vAlign w:val="bottom"/>
          </w:tcPr>
          <w:p w14:paraId="5568D3C5"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1912234"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7DA057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210D1F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F144A11" w14:textId="77777777" w:rsidTr="00FF2D46">
        <w:trPr>
          <w:trHeight w:val="230"/>
        </w:trPr>
        <w:tc>
          <w:tcPr>
            <w:tcW w:w="2885" w:type="dxa"/>
            <w:tcBorders>
              <w:top w:val="nil"/>
              <w:left w:val="nil"/>
              <w:bottom w:val="nil"/>
              <w:right w:val="nil"/>
            </w:tcBorders>
            <w:vAlign w:val="bottom"/>
          </w:tcPr>
          <w:p w14:paraId="4D667F93"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039197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59920B98"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2D3B6AF"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BEB121" w14:textId="77777777" w:rsidTr="00FF2D46">
        <w:trPr>
          <w:trHeight w:val="230"/>
        </w:trPr>
        <w:tc>
          <w:tcPr>
            <w:tcW w:w="7669" w:type="dxa"/>
            <w:gridSpan w:val="4"/>
            <w:tcBorders>
              <w:top w:val="nil"/>
              <w:left w:val="nil"/>
              <w:bottom w:val="nil"/>
              <w:right w:val="nil"/>
            </w:tcBorders>
            <w:vAlign w:val="bottom"/>
          </w:tcPr>
          <w:p w14:paraId="686A36A1"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D(OP)</w:t>
            </w:r>
          </w:p>
        </w:tc>
      </w:tr>
      <w:tr w:rsidR="00FA5E9C" w:rsidRPr="00FA5E9C" w14:paraId="48000CAD" w14:textId="77777777" w:rsidTr="00FF2D46">
        <w:trPr>
          <w:trHeight w:hRule="exact" w:val="92"/>
        </w:trPr>
        <w:tc>
          <w:tcPr>
            <w:tcW w:w="2885" w:type="dxa"/>
            <w:tcBorders>
              <w:top w:val="nil"/>
              <w:left w:val="nil"/>
              <w:right w:val="nil"/>
            </w:tcBorders>
            <w:vAlign w:val="bottom"/>
          </w:tcPr>
          <w:p w14:paraId="279E156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6A714A2"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2CF885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EAEEE7C"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C437447" w14:textId="77777777" w:rsidTr="00FF2D46">
        <w:trPr>
          <w:trHeight w:hRule="exact" w:val="138"/>
        </w:trPr>
        <w:tc>
          <w:tcPr>
            <w:tcW w:w="2885" w:type="dxa"/>
            <w:tcBorders>
              <w:top w:val="nil"/>
              <w:left w:val="nil"/>
              <w:bottom w:val="nil"/>
              <w:right w:val="nil"/>
            </w:tcBorders>
            <w:vAlign w:val="bottom"/>
          </w:tcPr>
          <w:p w14:paraId="44F31C8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D9AD63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7818CE0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AA4B869"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B63CB70" w14:textId="77777777" w:rsidTr="00FF2D46">
        <w:trPr>
          <w:trHeight w:val="230"/>
        </w:trPr>
        <w:tc>
          <w:tcPr>
            <w:tcW w:w="2885" w:type="dxa"/>
            <w:tcBorders>
              <w:top w:val="nil"/>
              <w:left w:val="nil"/>
              <w:bottom w:val="nil"/>
              <w:right w:val="nil"/>
            </w:tcBorders>
            <w:vAlign w:val="bottom"/>
          </w:tcPr>
          <w:p w14:paraId="52D0A35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2917B28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0D29928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0EE8286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77771FE9" w14:textId="77777777" w:rsidTr="00FF2D46">
        <w:trPr>
          <w:trHeight w:hRule="exact" w:val="92"/>
        </w:trPr>
        <w:tc>
          <w:tcPr>
            <w:tcW w:w="2885" w:type="dxa"/>
            <w:tcBorders>
              <w:top w:val="nil"/>
              <w:left w:val="nil"/>
              <w:right w:val="nil"/>
            </w:tcBorders>
            <w:vAlign w:val="bottom"/>
          </w:tcPr>
          <w:p w14:paraId="3E8092D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58DB4B1"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0859D6C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9922A8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25A750E5" w14:textId="77777777" w:rsidTr="00FF2D46">
        <w:trPr>
          <w:trHeight w:hRule="exact" w:val="138"/>
        </w:trPr>
        <w:tc>
          <w:tcPr>
            <w:tcW w:w="2885" w:type="dxa"/>
            <w:tcBorders>
              <w:top w:val="nil"/>
              <w:left w:val="nil"/>
              <w:bottom w:val="nil"/>
              <w:right w:val="nil"/>
            </w:tcBorders>
            <w:vAlign w:val="bottom"/>
          </w:tcPr>
          <w:p w14:paraId="301032F1"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87F26C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40FFC1B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EB660AB"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02394639" w14:textId="77777777" w:rsidTr="00FF2D46">
        <w:trPr>
          <w:trHeight w:val="230"/>
        </w:trPr>
        <w:tc>
          <w:tcPr>
            <w:tcW w:w="2885" w:type="dxa"/>
            <w:tcBorders>
              <w:top w:val="nil"/>
              <w:left w:val="nil"/>
              <w:bottom w:val="nil"/>
              <w:right w:val="nil"/>
            </w:tcBorders>
            <w:vAlign w:val="bottom"/>
          </w:tcPr>
          <w:p w14:paraId="1ED733B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40E6C04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9.353853</w:t>
            </w:r>
          </w:p>
        </w:tc>
        <w:tc>
          <w:tcPr>
            <w:tcW w:w="1212" w:type="dxa"/>
            <w:tcBorders>
              <w:top w:val="nil"/>
              <w:left w:val="nil"/>
              <w:bottom w:val="nil"/>
              <w:right w:val="nil"/>
            </w:tcBorders>
            <w:vAlign w:val="bottom"/>
          </w:tcPr>
          <w:p w14:paraId="6F6A44D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5AE0EEE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0.8788</w:t>
            </w:r>
          </w:p>
        </w:tc>
      </w:tr>
      <w:tr w:rsidR="00FA5E9C" w:rsidRPr="00FA5E9C" w14:paraId="34B4233D" w14:textId="77777777" w:rsidTr="00FF2D46">
        <w:trPr>
          <w:trHeight w:val="230"/>
        </w:trPr>
        <w:tc>
          <w:tcPr>
            <w:tcW w:w="2885" w:type="dxa"/>
            <w:tcBorders>
              <w:top w:val="nil"/>
              <w:left w:val="nil"/>
              <w:bottom w:val="nil"/>
              <w:right w:val="nil"/>
            </w:tcBorders>
            <w:vAlign w:val="bottom"/>
          </w:tcPr>
          <w:p w14:paraId="6A479E5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D(ASI)</w:t>
            </w:r>
          </w:p>
        </w:tc>
        <w:tc>
          <w:tcPr>
            <w:tcW w:w="1786" w:type="dxa"/>
            <w:tcBorders>
              <w:top w:val="nil"/>
              <w:left w:val="nil"/>
              <w:bottom w:val="nil"/>
              <w:right w:val="nil"/>
            </w:tcBorders>
            <w:vAlign w:val="bottom"/>
          </w:tcPr>
          <w:p w14:paraId="589190A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6.204443</w:t>
            </w:r>
          </w:p>
        </w:tc>
        <w:tc>
          <w:tcPr>
            <w:tcW w:w="1212" w:type="dxa"/>
            <w:tcBorders>
              <w:top w:val="nil"/>
              <w:left w:val="nil"/>
              <w:bottom w:val="nil"/>
              <w:right w:val="nil"/>
            </w:tcBorders>
            <w:vAlign w:val="bottom"/>
          </w:tcPr>
          <w:p w14:paraId="6368020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2821D34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0.1528</w:t>
            </w:r>
          </w:p>
        </w:tc>
      </w:tr>
      <w:tr w:rsidR="00FA5E9C" w:rsidRPr="00FA5E9C" w14:paraId="29DA54F6" w14:textId="77777777" w:rsidTr="00FF2D46">
        <w:trPr>
          <w:trHeight w:val="230"/>
        </w:trPr>
        <w:tc>
          <w:tcPr>
            <w:tcW w:w="2885" w:type="dxa"/>
            <w:tcBorders>
              <w:top w:val="nil"/>
              <w:left w:val="nil"/>
              <w:bottom w:val="nil"/>
              <w:right w:val="nil"/>
            </w:tcBorders>
            <w:vAlign w:val="bottom"/>
          </w:tcPr>
          <w:p w14:paraId="7DB8B512"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D(NGNUSD)</w:t>
            </w:r>
          </w:p>
        </w:tc>
        <w:tc>
          <w:tcPr>
            <w:tcW w:w="1786" w:type="dxa"/>
            <w:tcBorders>
              <w:top w:val="nil"/>
              <w:left w:val="nil"/>
              <w:bottom w:val="nil"/>
              <w:right w:val="nil"/>
            </w:tcBorders>
            <w:vAlign w:val="bottom"/>
          </w:tcPr>
          <w:p w14:paraId="3207728B"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6.078568</w:t>
            </w:r>
          </w:p>
        </w:tc>
        <w:tc>
          <w:tcPr>
            <w:tcW w:w="1212" w:type="dxa"/>
            <w:tcBorders>
              <w:top w:val="nil"/>
              <w:left w:val="nil"/>
              <w:bottom w:val="nil"/>
              <w:right w:val="nil"/>
            </w:tcBorders>
            <w:vAlign w:val="bottom"/>
          </w:tcPr>
          <w:p w14:paraId="62C213D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4A7FF4AC"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0.0215</w:t>
            </w:r>
          </w:p>
        </w:tc>
      </w:tr>
      <w:tr w:rsidR="00FA5E9C" w:rsidRPr="00FA5E9C" w14:paraId="32B22F13" w14:textId="77777777" w:rsidTr="00FF2D46">
        <w:trPr>
          <w:trHeight w:hRule="exact" w:val="92"/>
        </w:trPr>
        <w:tc>
          <w:tcPr>
            <w:tcW w:w="2885" w:type="dxa"/>
            <w:tcBorders>
              <w:top w:val="nil"/>
              <w:left w:val="nil"/>
              <w:right w:val="nil"/>
            </w:tcBorders>
            <w:vAlign w:val="bottom"/>
          </w:tcPr>
          <w:p w14:paraId="37FA191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10A24CC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3D67F63C"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85E3F60"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7601D05" w14:textId="77777777" w:rsidTr="00FF2D46">
        <w:trPr>
          <w:trHeight w:hRule="exact" w:val="138"/>
        </w:trPr>
        <w:tc>
          <w:tcPr>
            <w:tcW w:w="2885" w:type="dxa"/>
            <w:tcBorders>
              <w:top w:val="nil"/>
              <w:left w:val="nil"/>
              <w:bottom w:val="nil"/>
              <w:right w:val="nil"/>
            </w:tcBorders>
            <w:vAlign w:val="bottom"/>
          </w:tcPr>
          <w:p w14:paraId="78C4C6A3"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30055A25"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58600BE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7B50A7C"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659FC992" w14:textId="77777777" w:rsidTr="00FF2D46">
        <w:trPr>
          <w:trHeight w:val="230"/>
        </w:trPr>
        <w:tc>
          <w:tcPr>
            <w:tcW w:w="2885" w:type="dxa"/>
            <w:tcBorders>
              <w:top w:val="nil"/>
              <w:left w:val="nil"/>
              <w:bottom w:val="nil"/>
              <w:right w:val="nil"/>
            </w:tcBorders>
            <w:vAlign w:val="bottom"/>
          </w:tcPr>
          <w:p w14:paraId="3D465143"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4DA84856"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19.632225</w:t>
            </w:r>
          </w:p>
        </w:tc>
        <w:tc>
          <w:tcPr>
            <w:tcW w:w="1212" w:type="dxa"/>
            <w:tcBorders>
              <w:top w:val="nil"/>
              <w:left w:val="nil"/>
              <w:bottom w:val="nil"/>
              <w:right w:val="nil"/>
            </w:tcBorders>
            <w:vAlign w:val="bottom"/>
          </w:tcPr>
          <w:p w14:paraId="4BEBF2A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35C870E5"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0.0265</w:t>
            </w:r>
          </w:p>
        </w:tc>
      </w:tr>
      <w:tr w:rsidR="00FA5E9C" w:rsidRPr="00FA5E9C" w14:paraId="5990B635" w14:textId="77777777" w:rsidTr="00FF2D46">
        <w:trPr>
          <w:trHeight w:hRule="exact" w:val="92"/>
        </w:trPr>
        <w:tc>
          <w:tcPr>
            <w:tcW w:w="2885" w:type="dxa"/>
            <w:tcBorders>
              <w:top w:val="nil"/>
              <w:left w:val="nil"/>
              <w:right w:val="nil"/>
            </w:tcBorders>
            <w:vAlign w:val="bottom"/>
          </w:tcPr>
          <w:p w14:paraId="3E04D1B6"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9EE0DA1"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C8DC38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05925342"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F26766D" w14:textId="77777777" w:rsidTr="00FF2D46">
        <w:trPr>
          <w:trHeight w:hRule="exact" w:val="138"/>
        </w:trPr>
        <w:tc>
          <w:tcPr>
            <w:tcW w:w="2885" w:type="dxa"/>
            <w:tcBorders>
              <w:top w:val="nil"/>
              <w:left w:val="nil"/>
              <w:bottom w:val="nil"/>
              <w:right w:val="nil"/>
            </w:tcBorders>
            <w:vAlign w:val="bottom"/>
          </w:tcPr>
          <w:p w14:paraId="1FAB080A"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F6039FA"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99D1D9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0B83ECF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CC5A5EC" w14:textId="77777777" w:rsidTr="00FF2D46">
        <w:trPr>
          <w:trHeight w:val="230"/>
        </w:trPr>
        <w:tc>
          <w:tcPr>
            <w:tcW w:w="2885" w:type="dxa"/>
            <w:tcBorders>
              <w:top w:val="nil"/>
              <w:left w:val="nil"/>
              <w:bottom w:val="nil"/>
              <w:right w:val="nil"/>
            </w:tcBorders>
            <w:vAlign w:val="bottom"/>
          </w:tcPr>
          <w:p w14:paraId="619A245D"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171EBC8"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3A6F5C5B"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5D36DCE8"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C1357A6" w14:textId="77777777" w:rsidTr="00FF2D46">
        <w:trPr>
          <w:trHeight w:val="230"/>
        </w:trPr>
        <w:tc>
          <w:tcPr>
            <w:tcW w:w="7669" w:type="dxa"/>
            <w:gridSpan w:val="4"/>
            <w:tcBorders>
              <w:top w:val="nil"/>
              <w:left w:val="nil"/>
              <w:bottom w:val="nil"/>
              <w:right w:val="nil"/>
            </w:tcBorders>
            <w:vAlign w:val="bottom"/>
          </w:tcPr>
          <w:p w14:paraId="657B08F4" w14:textId="77777777" w:rsidR="00FA5E9C" w:rsidRPr="00FA5E9C" w:rsidRDefault="00FA5E9C" w:rsidP="00FA5E9C">
            <w:pPr>
              <w:autoSpaceDE w:val="0"/>
              <w:autoSpaceDN w:val="0"/>
              <w:adjustRightInd w:val="0"/>
              <w:rPr>
                <w:rFonts w:ascii="Arial" w:hAnsi="Arial" w:cs="Arial"/>
              </w:rPr>
            </w:pPr>
            <w:r w:rsidRPr="00FA5E9C">
              <w:rPr>
                <w:rFonts w:ascii="Arial" w:hAnsi="Arial" w:cs="Arial"/>
              </w:rPr>
              <w:t>Dependent variable: D(NGNUSD)</w:t>
            </w:r>
          </w:p>
        </w:tc>
      </w:tr>
      <w:tr w:rsidR="00FA5E9C" w:rsidRPr="00FA5E9C" w14:paraId="79FE8D4A" w14:textId="77777777" w:rsidTr="00FF2D46">
        <w:trPr>
          <w:trHeight w:hRule="exact" w:val="92"/>
        </w:trPr>
        <w:tc>
          <w:tcPr>
            <w:tcW w:w="2885" w:type="dxa"/>
            <w:tcBorders>
              <w:top w:val="nil"/>
              <w:left w:val="nil"/>
              <w:right w:val="nil"/>
            </w:tcBorders>
            <w:vAlign w:val="bottom"/>
          </w:tcPr>
          <w:p w14:paraId="4D16616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6EA4A8E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3DF08DF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50842EA7"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4D20ADCF" w14:textId="77777777" w:rsidTr="00FF2D46">
        <w:trPr>
          <w:trHeight w:hRule="exact" w:val="138"/>
        </w:trPr>
        <w:tc>
          <w:tcPr>
            <w:tcW w:w="2885" w:type="dxa"/>
            <w:tcBorders>
              <w:top w:val="nil"/>
              <w:left w:val="nil"/>
              <w:bottom w:val="nil"/>
              <w:right w:val="nil"/>
            </w:tcBorders>
            <w:vAlign w:val="bottom"/>
          </w:tcPr>
          <w:p w14:paraId="357F3AC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6CFFD277"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2D3A1312"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7FA6C7D"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12F70E83" w14:textId="77777777" w:rsidTr="00FF2D46">
        <w:trPr>
          <w:trHeight w:val="230"/>
        </w:trPr>
        <w:tc>
          <w:tcPr>
            <w:tcW w:w="2885" w:type="dxa"/>
            <w:tcBorders>
              <w:top w:val="nil"/>
              <w:left w:val="nil"/>
              <w:bottom w:val="nil"/>
              <w:right w:val="nil"/>
            </w:tcBorders>
            <w:vAlign w:val="bottom"/>
          </w:tcPr>
          <w:p w14:paraId="79B8B31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Excluded</w:t>
            </w:r>
          </w:p>
        </w:tc>
        <w:tc>
          <w:tcPr>
            <w:tcW w:w="1786" w:type="dxa"/>
            <w:tcBorders>
              <w:top w:val="nil"/>
              <w:left w:val="nil"/>
              <w:bottom w:val="nil"/>
              <w:right w:val="nil"/>
            </w:tcBorders>
            <w:vAlign w:val="bottom"/>
          </w:tcPr>
          <w:p w14:paraId="3DBB71D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Chi-sq</w:t>
            </w:r>
          </w:p>
        </w:tc>
        <w:tc>
          <w:tcPr>
            <w:tcW w:w="1212" w:type="dxa"/>
            <w:tcBorders>
              <w:top w:val="nil"/>
              <w:left w:val="nil"/>
              <w:bottom w:val="nil"/>
              <w:right w:val="nil"/>
            </w:tcBorders>
            <w:vAlign w:val="bottom"/>
          </w:tcPr>
          <w:p w14:paraId="5B0B21F1"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df</w:t>
            </w:r>
          </w:p>
        </w:tc>
        <w:tc>
          <w:tcPr>
            <w:tcW w:w="1786" w:type="dxa"/>
            <w:tcBorders>
              <w:top w:val="nil"/>
              <w:left w:val="nil"/>
              <w:bottom w:val="nil"/>
              <w:right w:val="nil"/>
            </w:tcBorders>
            <w:vAlign w:val="bottom"/>
          </w:tcPr>
          <w:p w14:paraId="5521F66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Prob.</w:t>
            </w:r>
          </w:p>
        </w:tc>
      </w:tr>
      <w:tr w:rsidR="00FA5E9C" w:rsidRPr="00FA5E9C" w14:paraId="35DF29EC" w14:textId="77777777" w:rsidTr="00FF2D46">
        <w:trPr>
          <w:trHeight w:hRule="exact" w:val="92"/>
        </w:trPr>
        <w:tc>
          <w:tcPr>
            <w:tcW w:w="2885" w:type="dxa"/>
            <w:tcBorders>
              <w:top w:val="nil"/>
              <w:left w:val="nil"/>
              <w:right w:val="nil"/>
            </w:tcBorders>
            <w:vAlign w:val="bottom"/>
          </w:tcPr>
          <w:p w14:paraId="2AF46E7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7E3D9706"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1BD7C74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005B43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3A5025AE" w14:textId="77777777" w:rsidTr="00FF2D46">
        <w:trPr>
          <w:trHeight w:hRule="exact" w:val="138"/>
        </w:trPr>
        <w:tc>
          <w:tcPr>
            <w:tcW w:w="2885" w:type="dxa"/>
            <w:tcBorders>
              <w:top w:val="nil"/>
              <w:left w:val="nil"/>
              <w:bottom w:val="nil"/>
              <w:right w:val="nil"/>
            </w:tcBorders>
            <w:vAlign w:val="bottom"/>
          </w:tcPr>
          <w:p w14:paraId="4D582650"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9C2B44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4D8A491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4D225CD5"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C4A6641" w14:textId="77777777" w:rsidTr="00FF2D46">
        <w:trPr>
          <w:trHeight w:val="230"/>
        </w:trPr>
        <w:tc>
          <w:tcPr>
            <w:tcW w:w="2885" w:type="dxa"/>
            <w:tcBorders>
              <w:top w:val="nil"/>
              <w:left w:val="nil"/>
              <w:bottom w:val="nil"/>
              <w:right w:val="nil"/>
            </w:tcBorders>
            <w:vAlign w:val="bottom"/>
          </w:tcPr>
          <w:p w14:paraId="2FC256E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D(CC)</w:t>
            </w:r>
          </w:p>
        </w:tc>
        <w:tc>
          <w:tcPr>
            <w:tcW w:w="1786" w:type="dxa"/>
            <w:tcBorders>
              <w:top w:val="nil"/>
              <w:left w:val="nil"/>
              <w:bottom w:val="nil"/>
              <w:right w:val="nil"/>
            </w:tcBorders>
            <w:vAlign w:val="bottom"/>
          </w:tcPr>
          <w:p w14:paraId="4D8DD6A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9.345545</w:t>
            </w:r>
          </w:p>
        </w:tc>
        <w:tc>
          <w:tcPr>
            <w:tcW w:w="1212" w:type="dxa"/>
            <w:tcBorders>
              <w:top w:val="nil"/>
              <w:left w:val="nil"/>
              <w:bottom w:val="nil"/>
              <w:right w:val="nil"/>
            </w:tcBorders>
            <w:vAlign w:val="bottom"/>
          </w:tcPr>
          <w:p w14:paraId="5571B27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05D8769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0.0593</w:t>
            </w:r>
          </w:p>
        </w:tc>
      </w:tr>
      <w:tr w:rsidR="00FA5E9C" w:rsidRPr="00FA5E9C" w14:paraId="129C17DD" w14:textId="77777777" w:rsidTr="00FF2D46">
        <w:trPr>
          <w:trHeight w:val="230"/>
        </w:trPr>
        <w:tc>
          <w:tcPr>
            <w:tcW w:w="2885" w:type="dxa"/>
            <w:tcBorders>
              <w:top w:val="nil"/>
              <w:left w:val="nil"/>
              <w:bottom w:val="nil"/>
              <w:right w:val="nil"/>
            </w:tcBorders>
            <w:vAlign w:val="bottom"/>
          </w:tcPr>
          <w:p w14:paraId="2D41BEE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D(ASI)</w:t>
            </w:r>
          </w:p>
        </w:tc>
        <w:tc>
          <w:tcPr>
            <w:tcW w:w="1786" w:type="dxa"/>
            <w:tcBorders>
              <w:top w:val="nil"/>
              <w:left w:val="nil"/>
              <w:bottom w:val="nil"/>
              <w:right w:val="nil"/>
            </w:tcBorders>
            <w:vAlign w:val="bottom"/>
          </w:tcPr>
          <w:p w14:paraId="4E4678D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2.274007</w:t>
            </w:r>
          </w:p>
        </w:tc>
        <w:tc>
          <w:tcPr>
            <w:tcW w:w="1212" w:type="dxa"/>
            <w:tcBorders>
              <w:top w:val="nil"/>
              <w:left w:val="nil"/>
              <w:bottom w:val="nil"/>
              <w:right w:val="nil"/>
            </w:tcBorders>
            <w:vAlign w:val="bottom"/>
          </w:tcPr>
          <w:p w14:paraId="0096BBC8"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31AE9BCF"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0.3208</w:t>
            </w:r>
          </w:p>
        </w:tc>
      </w:tr>
      <w:tr w:rsidR="00FA5E9C" w:rsidRPr="00FA5E9C" w14:paraId="61C0434F" w14:textId="77777777" w:rsidTr="00FF2D46">
        <w:trPr>
          <w:trHeight w:val="230"/>
        </w:trPr>
        <w:tc>
          <w:tcPr>
            <w:tcW w:w="2885" w:type="dxa"/>
            <w:tcBorders>
              <w:top w:val="nil"/>
              <w:left w:val="nil"/>
              <w:bottom w:val="nil"/>
              <w:right w:val="nil"/>
            </w:tcBorders>
            <w:vAlign w:val="bottom"/>
          </w:tcPr>
          <w:p w14:paraId="094C391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D(OP)</w:t>
            </w:r>
          </w:p>
        </w:tc>
        <w:tc>
          <w:tcPr>
            <w:tcW w:w="1786" w:type="dxa"/>
            <w:tcBorders>
              <w:top w:val="nil"/>
              <w:left w:val="nil"/>
              <w:bottom w:val="nil"/>
              <w:right w:val="nil"/>
            </w:tcBorders>
            <w:vAlign w:val="bottom"/>
          </w:tcPr>
          <w:p w14:paraId="4C36E13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9.453510</w:t>
            </w:r>
          </w:p>
        </w:tc>
        <w:tc>
          <w:tcPr>
            <w:tcW w:w="1212" w:type="dxa"/>
            <w:tcBorders>
              <w:top w:val="nil"/>
              <w:left w:val="nil"/>
              <w:bottom w:val="nil"/>
              <w:right w:val="nil"/>
            </w:tcBorders>
            <w:vAlign w:val="bottom"/>
          </w:tcPr>
          <w:p w14:paraId="706BB3FE"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2</w:t>
            </w:r>
          </w:p>
        </w:tc>
        <w:tc>
          <w:tcPr>
            <w:tcW w:w="1786" w:type="dxa"/>
            <w:tcBorders>
              <w:top w:val="nil"/>
              <w:left w:val="nil"/>
              <w:bottom w:val="nil"/>
              <w:right w:val="nil"/>
            </w:tcBorders>
            <w:vAlign w:val="bottom"/>
          </w:tcPr>
          <w:p w14:paraId="6EE4FCB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0.0271</w:t>
            </w:r>
          </w:p>
        </w:tc>
      </w:tr>
      <w:tr w:rsidR="00FA5E9C" w:rsidRPr="00FA5E9C" w14:paraId="0124D934" w14:textId="77777777" w:rsidTr="00FF2D46">
        <w:trPr>
          <w:trHeight w:hRule="exact" w:val="92"/>
        </w:trPr>
        <w:tc>
          <w:tcPr>
            <w:tcW w:w="2885" w:type="dxa"/>
            <w:tcBorders>
              <w:top w:val="nil"/>
              <w:left w:val="nil"/>
              <w:right w:val="nil"/>
            </w:tcBorders>
            <w:vAlign w:val="bottom"/>
          </w:tcPr>
          <w:p w14:paraId="27E3228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FAFDC3F"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right w:val="nil"/>
            </w:tcBorders>
            <w:vAlign w:val="bottom"/>
          </w:tcPr>
          <w:p w14:paraId="28A142DE"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right w:val="nil"/>
            </w:tcBorders>
            <w:vAlign w:val="bottom"/>
          </w:tcPr>
          <w:p w14:paraId="4D8EFA4A"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5A9D7B21" w14:textId="77777777" w:rsidTr="00FF2D46">
        <w:trPr>
          <w:trHeight w:hRule="exact" w:val="138"/>
        </w:trPr>
        <w:tc>
          <w:tcPr>
            <w:tcW w:w="2885" w:type="dxa"/>
            <w:tcBorders>
              <w:top w:val="nil"/>
              <w:left w:val="nil"/>
              <w:bottom w:val="nil"/>
              <w:right w:val="nil"/>
            </w:tcBorders>
            <w:vAlign w:val="bottom"/>
          </w:tcPr>
          <w:p w14:paraId="7DAD5E14"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7EFF1C53" w14:textId="77777777" w:rsidR="00FA5E9C" w:rsidRPr="00FA5E9C" w:rsidRDefault="00FA5E9C" w:rsidP="00FA5E9C">
            <w:pPr>
              <w:autoSpaceDE w:val="0"/>
              <w:autoSpaceDN w:val="0"/>
              <w:adjustRightInd w:val="0"/>
              <w:jc w:val="center"/>
              <w:rPr>
                <w:rFonts w:ascii="Arial" w:hAnsi="Arial" w:cs="Arial"/>
              </w:rPr>
            </w:pPr>
          </w:p>
        </w:tc>
        <w:tc>
          <w:tcPr>
            <w:tcW w:w="1212" w:type="dxa"/>
            <w:tcBorders>
              <w:top w:val="nil"/>
              <w:left w:val="nil"/>
              <w:bottom w:val="nil"/>
              <w:right w:val="nil"/>
            </w:tcBorders>
            <w:vAlign w:val="bottom"/>
          </w:tcPr>
          <w:p w14:paraId="1BEE99A9" w14:textId="77777777" w:rsidR="00FA5E9C" w:rsidRPr="00FA5E9C" w:rsidRDefault="00FA5E9C" w:rsidP="00FA5E9C">
            <w:pPr>
              <w:autoSpaceDE w:val="0"/>
              <w:autoSpaceDN w:val="0"/>
              <w:adjustRightInd w:val="0"/>
              <w:jc w:val="center"/>
              <w:rPr>
                <w:rFonts w:ascii="Arial" w:hAnsi="Arial" w:cs="Arial"/>
              </w:rPr>
            </w:pPr>
          </w:p>
        </w:tc>
        <w:tc>
          <w:tcPr>
            <w:tcW w:w="1786" w:type="dxa"/>
            <w:tcBorders>
              <w:top w:val="nil"/>
              <w:left w:val="nil"/>
              <w:bottom w:val="nil"/>
              <w:right w:val="nil"/>
            </w:tcBorders>
            <w:vAlign w:val="bottom"/>
          </w:tcPr>
          <w:p w14:paraId="2B89A576" w14:textId="77777777" w:rsidR="00FA5E9C" w:rsidRPr="00FA5E9C" w:rsidRDefault="00FA5E9C" w:rsidP="00FA5E9C">
            <w:pPr>
              <w:autoSpaceDE w:val="0"/>
              <w:autoSpaceDN w:val="0"/>
              <w:adjustRightInd w:val="0"/>
              <w:jc w:val="center"/>
              <w:rPr>
                <w:rFonts w:ascii="Arial" w:hAnsi="Arial" w:cs="Arial"/>
              </w:rPr>
            </w:pPr>
          </w:p>
        </w:tc>
      </w:tr>
      <w:tr w:rsidR="00FA5E9C" w:rsidRPr="00FA5E9C" w14:paraId="742384CA" w14:textId="77777777" w:rsidTr="00FF2D46">
        <w:trPr>
          <w:trHeight w:val="230"/>
        </w:trPr>
        <w:tc>
          <w:tcPr>
            <w:tcW w:w="2885" w:type="dxa"/>
            <w:tcBorders>
              <w:top w:val="nil"/>
              <w:left w:val="nil"/>
              <w:bottom w:val="nil"/>
              <w:right w:val="nil"/>
            </w:tcBorders>
            <w:vAlign w:val="bottom"/>
          </w:tcPr>
          <w:p w14:paraId="668983F7"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All</w:t>
            </w:r>
          </w:p>
        </w:tc>
        <w:tc>
          <w:tcPr>
            <w:tcW w:w="1786" w:type="dxa"/>
            <w:tcBorders>
              <w:top w:val="nil"/>
              <w:left w:val="nil"/>
              <w:bottom w:val="nil"/>
              <w:right w:val="nil"/>
            </w:tcBorders>
            <w:vAlign w:val="bottom"/>
          </w:tcPr>
          <w:p w14:paraId="449898E9"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12.34903</w:t>
            </w:r>
          </w:p>
        </w:tc>
        <w:tc>
          <w:tcPr>
            <w:tcW w:w="1212" w:type="dxa"/>
            <w:tcBorders>
              <w:top w:val="nil"/>
              <w:left w:val="nil"/>
              <w:bottom w:val="nil"/>
              <w:right w:val="nil"/>
            </w:tcBorders>
            <w:vAlign w:val="bottom"/>
          </w:tcPr>
          <w:p w14:paraId="2D2EF7FD"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6</w:t>
            </w:r>
          </w:p>
        </w:tc>
        <w:tc>
          <w:tcPr>
            <w:tcW w:w="1786" w:type="dxa"/>
            <w:tcBorders>
              <w:top w:val="nil"/>
              <w:left w:val="nil"/>
              <w:bottom w:val="nil"/>
              <w:right w:val="nil"/>
            </w:tcBorders>
            <w:vAlign w:val="bottom"/>
          </w:tcPr>
          <w:p w14:paraId="7DEC7A7A" w14:textId="77777777" w:rsidR="00FA5E9C" w:rsidRPr="00FA5E9C" w:rsidRDefault="00FA5E9C" w:rsidP="00FA5E9C">
            <w:pPr>
              <w:autoSpaceDE w:val="0"/>
              <w:autoSpaceDN w:val="0"/>
              <w:adjustRightInd w:val="0"/>
              <w:jc w:val="center"/>
              <w:rPr>
                <w:rFonts w:ascii="Arial" w:hAnsi="Arial" w:cs="Arial"/>
              </w:rPr>
            </w:pPr>
            <w:r w:rsidRPr="00FA5E9C">
              <w:rPr>
                <w:rFonts w:ascii="Arial" w:hAnsi="Arial" w:cs="Arial"/>
              </w:rPr>
              <w:t> 0.0346</w:t>
            </w:r>
          </w:p>
        </w:tc>
      </w:tr>
      <w:tr w:rsidR="00FA5E9C" w:rsidRPr="008910E4" w14:paraId="1AF5C7C4" w14:textId="77777777" w:rsidTr="00FF2D46">
        <w:trPr>
          <w:trHeight w:hRule="exact" w:val="92"/>
        </w:trPr>
        <w:tc>
          <w:tcPr>
            <w:tcW w:w="2885" w:type="dxa"/>
            <w:tcBorders>
              <w:top w:val="nil"/>
              <w:left w:val="nil"/>
              <w:bottom w:val="single" w:sz="4" w:space="0" w:color="auto"/>
              <w:right w:val="nil"/>
            </w:tcBorders>
            <w:vAlign w:val="bottom"/>
          </w:tcPr>
          <w:p w14:paraId="11AA3DEF"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nil"/>
              <w:left w:val="nil"/>
              <w:bottom w:val="single" w:sz="4" w:space="0" w:color="auto"/>
              <w:right w:val="nil"/>
            </w:tcBorders>
            <w:vAlign w:val="bottom"/>
          </w:tcPr>
          <w:p w14:paraId="4B16B9BD"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212" w:type="dxa"/>
            <w:tcBorders>
              <w:top w:val="nil"/>
              <w:left w:val="nil"/>
              <w:bottom w:val="single" w:sz="4" w:space="0" w:color="auto"/>
              <w:right w:val="nil"/>
            </w:tcBorders>
            <w:vAlign w:val="bottom"/>
          </w:tcPr>
          <w:p w14:paraId="41E05F2D"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nil"/>
              <w:left w:val="nil"/>
              <w:bottom w:val="single" w:sz="4" w:space="0" w:color="auto"/>
              <w:right w:val="nil"/>
            </w:tcBorders>
            <w:vAlign w:val="bottom"/>
          </w:tcPr>
          <w:p w14:paraId="57B0212E"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r>
      <w:tr w:rsidR="00FA5E9C" w:rsidRPr="008910E4" w14:paraId="2888BC4B" w14:textId="77777777" w:rsidTr="00FF2D46">
        <w:trPr>
          <w:trHeight w:hRule="exact" w:val="138"/>
        </w:trPr>
        <w:tc>
          <w:tcPr>
            <w:tcW w:w="2885" w:type="dxa"/>
            <w:tcBorders>
              <w:top w:val="single" w:sz="4" w:space="0" w:color="auto"/>
              <w:left w:val="nil"/>
              <w:bottom w:val="nil"/>
              <w:right w:val="nil"/>
            </w:tcBorders>
            <w:vAlign w:val="bottom"/>
          </w:tcPr>
          <w:p w14:paraId="61FD6CD0"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single" w:sz="4" w:space="0" w:color="auto"/>
              <w:left w:val="nil"/>
              <w:bottom w:val="nil"/>
              <w:right w:val="nil"/>
            </w:tcBorders>
            <w:vAlign w:val="bottom"/>
          </w:tcPr>
          <w:p w14:paraId="524453C2"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212" w:type="dxa"/>
            <w:tcBorders>
              <w:top w:val="single" w:sz="4" w:space="0" w:color="auto"/>
              <w:left w:val="nil"/>
              <w:bottom w:val="nil"/>
              <w:right w:val="nil"/>
            </w:tcBorders>
            <w:vAlign w:val="bottom"/>
          </w:tcPr>
          <w:p w14:paraId="224E1E68"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c>
          <w:tcPr>
            <w:tcW w:w="1786" w:type="dxa"/>
            <w:tcBorders>
              <w:top w:val="single" w:sz="4" w:space="0" w:color="auto"/>
              <w:left w:val="nil"/>
              <w:bottom w:val="nil"/>
              <w:right w:val="nil"/>
            </w:tcBorders>
            <w:vAlign w:val="bottom"/>
          </w:tcPr>
          <w:p w14:paraId="29F148F6" w14:textId="77777777" w:rsidR="00FA5E9C" w:rsidRPr="008910E4" w:rsidRDefault="00FA5E9C" w:rsidP="00FF2D46">
            <w:pPr>
              <w:autoSpaceDE w:val="0"/>
              <w:autoSpaceDN w:val="0"/>
              <w:adjustRightInd w:val="0"/>
              <w:spacing w:line="480" w:lineRule="auto"/>
              <w:jc w:val="center"/>
              <w:rPr>
                <w:rFonts w:ascii="Times New Roman" w:hAnsi="Times New Roman"/>
                <w:sz w:val="18"/>
                <w:szCs w:val="18"/>
              </w:rPr>
            </w:pPr>
          </w:p>
        </w:tc>
      </w:tr>
    </w:tbl>
    <w:p w14:paraId="20AC4232" w14:textId="77777777" w:rsidR="00FA5E9C" w:rsidRPr="00E55E43" w:rsidRDefault="00FA5E9C" w:rsidP="00483162">
      <w:pPr>
        <w:autoSpaceDE w:val="0"/>
        <w:autoSpaceDN w:val="0"/>
        <w:adjustRightInd w:val="0"/>
        <w:rPr>
          <w:rFonts w:ascii="Arial" w:hAnsi="Arial" w:cs="Arial"/>
        </w:rPr>
      </w:pPr>
    </w:p>
    <w:p w14:paraId="0B742D71" w14:textId="77777777" w:rsidR="00C157B9" w:rsidRPr="00E55E43" w:rsidRDefault="00C157B9" w:rsidP="00483162">
      <w:pPr>
        <w:autoSpaceDE w:val="0"/>
        <w:autoSpaceDN w:val="0"/>
        <w:adjustRightInd w:val="0"/>
        <w:rPr>
          <w:rFonts w:ascii="Arial" w:hAnsi="Arial" w:cs="Arial"/>
        </w:rPr>
      </w:pPr>
      <w:r w:rsidRPr="00E55E43">
        <w:rPr>
          <w:rFonts w:ascii="Arial" w:hAnsi="Arial" w:cs="Arial"/>
          <w:noProof/>
        </w:rPr>
        <w:lastRenderedPageBreak/>
        <w:drawing>
          <wp:anchor distT="0" distB="0" distL="114300" distR="114300" simplePos="0" relativeHeight="251661312" behindDoc="0" locked="0" layoutInCell="1" allowOverlap="1" wp14:anchorId="71F4C0EA" wp14:editId="5599B8DC">
            <wp:simplePos x="0" y="0"/>
            <wp:positionH relativeFrom="column">
              <wp:posOffset>245423</wp:posOffset>
            </wp:positionH>
            <wp:positionV relativeFrom="paragraph">
              <wp:posOffset>6122</wp:posOffset>
            </wp:positionV>
            <wp:extent cx="3002280" cy="2874645"/>
            <wp:effectExtent l="0" t="0" r="7620" b="1905"/>
            <wp:wrapSquare wrapText="bothSides"/>
            <wp:docPr id="854929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2280" cy="287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00126" w14:textId="77777777" w:rsidR="00C157B9" w:rsidRPr="00E55E43" w:rsidRDefault="00C157B9" w:rsidP="00483162">
      <w:pPr>
        <w:rPr>
          <w:rFonts w:ascii="Arial" w:hAnsi="Arial" w:cs="Arial"/>
        </w:rPr>
      </w:pPr>
      <w:r w:rsidRPr="00E55E43">
        <w:rPr>
          <w:rFonts w:ascii="Arial" w:hAnsi="Arial" w:cs="Arial"/>
        </w:rPr>
        <w:br/>
      </w:r>
    </w:p>
    <w:p w14:paraId="3238D204" w14:textId="77777777" w:rsidR="00C157B9" w:rsidRPr="00E55E43" w:rsidRDefault="00C157B9" w:rsidP="00483162">
      <w:pPr>
        <w:rPr>
          <w:rFonts w:ascii="Arial" w:hAnsi="Arial" w:cs="Arial"/>
        </w:rPr>
      </w:pPr>
    </w:p>
    <w:p w14:paraId="48DDBAAC" w14:textId="77777777" w:rsidR="00C157B9" w:rsidRPr="00E55E43" w:rsidRDefault="00C157B9" w:rsidP="00483162">
      <w:pPr>
        <w:rPr>
          <w:rFonts w:ascii="Arial" w:hAnsi="Arial" w:cs="Arial"/>
        </w:rPr>
      </w:pPr>
    </w:p>
    <w:p w14:paraId="7D4F3372" w14:textId="77777777" w:rsidR="00C157B9" w:rsidRPr="00E55E43" w:rsidRDefault="00C157B9" w:rsidP="00483162">
      <w:pPr>
        <w:rPr>
          <w:rFonts w:ascii="Arial" w:hAnsi="Arial" w:cs="Arial"/>
        </w:rPr>
      </w:pPr>
    </w:p>
    <w:p w14:paraId="627589E2" w14:textId="77777777" w:rsidR="00C157B9" w:rsidRPr="00E55E43" w:rsidRDefault="00C157B9" w:rsidP="00483162">
      <w:pPr>
        <w:rPr>
          <w:rFonts w:ascii="Arial" w:hAnsi="Arial" w:cs="Arial"/>
        </w:rPr>
      </w:pPr>
    </w:p>
    <w:p w14:paraId="52378B7A" w14:textId="77777777" w:rsidR="00C157B9" w:rsidRPr="00E55E43" w:rsidRDefault="00C157B9" w:rsidP="00483162">
      <w:pPr>
        <w:rPr>
          <w:rFonts w:ascii="Arial" w:hAnsi="Arial" w:cs="Arial"/>
        </w:rPr>
      </w:pPr>
    </w:p>
    <w:p w14:paraId="37EEA222" w14:textId="77777777" w:rsidR="00483162" w:rsidRPr="00E55E43" w:rsidRDefault="00483162" w:rsidP="00483162">
      <w:pPr>
        <w:rPr>
          <w:rFonts w:ascii="Arial" w:hAnsi="Arial" w:cs="Arial"/>
          <w:b/>
          <w:bCs/>
        </w:rPr>
      </w:pPr>
    </w:p>
    <w:p w14:paraId="58CED1E2" w14:textId="77777777" w:rsidR="00483162" w:rsidRPr="00E55E43" w:rsidRDefault="00483162" w:rsidP="00483162">
      <w:pPr>
        <w:rPr>
          <w:rFonts w:ascii="Arial" w:hAnsi="Arial" w:cs="Arial"/>
          <w:b/>
          <w:bCs/>
        </w:rPr>
      </w:pPr>
    </w:p>
    <w:p w14:paraId="1156BBA6" w14:textId="77777777" w:rsidR="00483162" w:rsidRPr="00E55E43" w:rsidRDefault="00483162" w:rsidP="00483162">
      <w:pPr>
        <w:rPr>
          <w:rFonts w:ascii="Arial" w:hAnsi="Arial" w:cs="Arial"/>
          <w:b/>
          <w:bCs/>
        </w:rPr>
      </w:pPr>
    </w:p>
    <w:p w14:paraId="47697C09" w14:textId="77777777" w:rsidR="00483162" w:rsidRPr="00E55E43" w:rsidRDefault="00483162" w:rsidP="00483162">
      <w:pPr>
        <w:rPr>
          <w:rFonts w:ascii="Arial" w:hAnsi="Arial" w:cs="Arial"/>
          <w:b/>
          <w:bCs/>
        </w:rPr>
      </w:pPr>
    </w:p>
    <w:p w14:paraId="34C84FF8" w14:textId="77777777" w:rsidR="00483162" w:rsidRPr="00E55E43" w:rsidRDefault="00483162" w:rsidP="00483162">
      <w:pPr>
        <w:rPr>
          <w:rFonts w:ascii="Arial" w:hAnsi="Arial" w:cs="Arial"/>
          <w:b/>
          <w:bCs/>
        </w:rPr>
      </w:pPr>
    </w:p>
    <w:p w14:paraId="03B0A9C0" w14:textId="77777777" w:rsidR="00483162" w:rsidRPr="00E55E43" w:rsidRDefault="00483162" w:rsidP="00483162">
      <w:pPr>
        <w:rPr>
          <w:rFonts w:ascii="Arial" w:hAnsi="Arial" w:cs="Arial"/>
          <w:b/>
          <w:bCs/>
        </w:rPr>
      </w:pPr>
    </w:p>
    <w:p w14:paraId="2B6CD742" w14:textId="77777777" w:rsidR="00483162" w:rsidRPr="00E55E43" w:rsidRDefault="00483162" w:rsidP="00483162">
      <w:pPr>
        <w:rPr>
          <w:rFonts w:ascii="Arial" w:hAnsi="Arial" w:cs="Arial"/>
          <w:b/>
          <w:bCs/>
        </w:rPr>
      </w:pPr>
    </w:p>
    <w:p w14:paraId="098AD4C6" w14:textId="77777777" w:rsidR="00483162" w:rsidRPr="00E55E43" w:rsidRDefault="00483162" w:rsidP="00483162">
      <w:pPr>
        <w:rPr>
          <w:rFonts w:ascii="Arial" w:hAnsi="Arial" w:cs="Arial"/>
          <w:b/>
          <w:bCs/>
        </w:rPr>
      </w:pPr>
    </w:p>
    <w:p w14:paraId="2E116295" w14:textId="77777777" w:rsidR="00483162" w:rsidRPr="00E55E43" w:rsidRDefault="00483162" w:rsidP="00483162">
      <w:pPr>
        <w:rPr>
          <w:rFonts w:ascii="Arial" w:hAnsi="Arial" w:cs="Arial"/>
          <w:b/>
          <w:bCs/>
        </w:rPr>
      </w:pPr>
    </w:p>
    <w:p w14:paraId="6BFFBFE0" w14:textId="77777777" w:rsidR="00483162" w:rsidRPr="00E55E43" w:rsidRDefault="00483162" w:rsidP="00483162">
      <w:pPr>
        <w:rPr>
          <w:rFonts w:ascii="Arial" w:hAnsi="Arial" w:cs="Arial"/>
          <w:b/>
          <w:bCs/>
        </w:rPr>
      </w:pPr>
    </w:p>
    <w:p w14:paraId="4D70D4BB" w14:textId="77777777" w:rsidR="00483162" w:rsidRPr="00E55E43" w:rsidRDefault="00483162" w:rsidP="00483162">
      <w:pPr>
        <w:rPr>
          <w:rFonts w:ascii="Arial" w:hAnsi="Arial" w:cs="Arial"/>
          <w:b/>
          <w:bCs/>
        </w:rPr>
      </w:pPr>
    </w:p>
    <w:p w14:paraId="7C9DFA8C" w14:textId="77777777" w:rsidR="00483162" w:rsidRPr="00E55E43" w:rsidRDefault="00483162" w:rsidP="00483162">
      <w:pPr>
        <w:rPr>
          <w:rFonts w:ascii="Arial" w:hAnsi="Arial" w:cs="Arial"/>
          <w:b/>
          <w:bCs/>
        </w:rPr>
      </w:pPr>
    </w:p>
    <w:p w14:paraId="53A1CD49" w14:textId="52920E22" w:rsidR="00C157B9" w:rsidRPr="00E55E43" w:rsidRDefault="00C157B9" w:rsidP="00483162">
      <w:pPr>
        <w:rPr>
          <w:rFonts w:ascii="Arial" w:hAnsi="Arial" w:cs="Arial"/>
          <w:b/>
          <w:bCs/>
        </w:rPr>
      </w:pPr>
      <w:r w:rsidRPr="00E55E43">
        <w:rPr>
          <w:rFonts w:ascii="Arial" w:hAnsi="Arial" w:cs="Arial"/>
          <w:b/>
          <w:bCs/>
        </w:rPr>
        <w:t xml:space="preserve">Figure </w:t>
      </w:r>
      <w:r w:rsidR="00483162" w:rsidRPr="00E55E43">
        <w:rPr>
          <w:rFonts w:ascii="Arial" w:hAnsi="Arial" w:cs="Arial"/>
          <w:b/>
          <w:bCs/>
        </w:rPr>
        <w:t>3</w:t>
      </w:r>
      <w:r w:rsidRPr="00E55E43">
        <w:rPr>
          <w:rFonts w:ascii="Arial" w:hAnsi="Arial" w:cs="Arial"/>
          <w:b/>
          <w:bCs/>
        </w:rPr>
        <w:t>:  Inverse Roots of AR Characteristic Polynomial of the VAR(8) Model Showing Dynamic  Stability.</w:t>
      </w:r>
    </w:p>
    <w:p w14:paraId="014D5040" w14:textId="77777777" w:rsidR="00E55E43" w:rsidRPr="00E55E43" w:rsidRDefault="00E55E43" w:rsidP="00E55E43">
      <w:pPr>
        <w:rPr>
          <w:rFonts w:ascii="Arial" w:hAnsi="Arial" w:cs="Arial"/>
        </w:rPr>
      </w:pPr>
      <w:r w:rsidRPr="00E55E43">
        <w:rPr>
          <w:rFonts w:ascii="Arial" w:hAnsi="Arial" w:cs="Arial"/>
          <w:noProof/>
        </w:rPr>
        <w:drawing>
          <wp:inline distT="0" distB="0" distL="0" distR="0" wp14:anchorId="0555A079" wp14:editId="40F9FF8C">
            <wp:extent cx="5943600" cy="4283710"/>
            <wp:effectExtent l="0" t="0" r="0" b="2540"/>
            <wp:docPr id="1740833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283710"/>
                    </a:xfrm>
                    <a:prstGeom prst="rect">
                      <a:avLst/>
                    </a:prstGeom>
                    <a:noFill/>
                    <a:ln>
                      <a:noFill/>
                    </a:ln>
                  </pic:spPr>
                </pic:pic>
              </a:graphicData>
            </a:graphic>
          </wp:inline>
        </w:drawing>
      </w:r>
    </w:p>
    <w:p w14:paraId="0E0C5BDA" w14:textId="09B48120" w:rsidR="00E55E43" w:rsidRPr="00E55E43" w:rsidRDefault="00E55E43" w:rsidP="00E55E43">
      <w:pPr>
        <w:spacing w:line="480" w:lineRule="auto"/>
        <w:rPr>
          <w:rFonts w:ascii="Arial" w:hAnsi="Arial" w:cs="Arial"/>
          <w:b/>
          <w:bCs/>
        </w:rPr>
      </w:pPr>
      <w:bookmarkStart w:id="6" w:name="_Hlk144833114"/>
      <w:r w:rsidRPr="00E55E43">
        <w:rPr>
          <w:rFonts w:ascii="Arial" w:hAnsi="Arial" w:cs="Arial"/>
          <w:b/>
          <w:bCs/>
        </w:rPr>
        <w:t>Figure 4: Plot of Impulse Response Functions  of the VAR(8) Model</w:t>
      </w:r>
    </w:p>
    <w:bookmarkEnd w:id="6"/>
    <w:p w14:paraId="0B2C814F" w14:textId="77777777" w:rsidR="00E55E43" w:rsidRPr="00E55E43" w:rsidRDefault="00E55E43" w:rsidP="00483162">
      <w:pPr>
        <w:rPr>
          <w:rFonts w:ascii="Arial" w:hAnsi="Arial" w:cs="Arial"/>
        </w:rPr>
      </w:pPr>
    </w:p>
    <w:p w14:paraId="45695AC6" w14:textId="77777777" w:rsidR="00C157B9" w:rsidRPr="00E55E43" w:rsidRDefault="00C157B9" w:rsidP="00483162">
      <w:pPr>
        <w:rPr>
          <w:rFonts w:ascii="Arial" w:hAnsi="Arial" w:cs="Arial"/>
          <w:b/>
          <w:bCs/>
        </w:rPr>
      </w:pPr>
      <w:r w:rsidRPr="00E55E43">
        <w:rPr>
          <w:rFonts w:ascii="Arial" w:hAnsi="Arial" w:cs="Arial"/>
          <w:b/>
          <w:bCs/>
        </w:rPr>
        <w:lastRenderedPageBreak/>
        <w:t>Forecasting using the VAR (8) M</w:t>
      </w:r>
      <w:r w:rsidR="008445CC" w:rsidRPr="00E55E43">
        <w:rPr>
          <w:rFonts w:ascii="Arial" w:hAnsi="Arial" w:cs="Arial"/>
          <w:noProof/>
        </w:rPr>
        <w:drawing>
          <wp:anchor distT="0" distB="0" distL="114300" distR="114300" simplePos="0" relativeHeight="251672576" behindDoc="1" locked="0" layoutInCell="1" allowOverlap="1" wp14:anchorId="51CD8389" wp14:editId="543C0B44">
            <wp:simplePos x="0" y="0"/>
            <wp:positionH relativeFrom="column">
              <wp:posOffset>2540</wp:posOffset>
            </wp:positionH>
            <wp:positionV relativeFrom="paragraph">
              <wp:posOffset>146050</wp:posOffset>
            </wp:positionV>
            <wp:extent cx="5212080" cy="3307080"/>
            <wp:effectExtent l="0" t="0" r="7620" b="7620"/>
            <wp:wrapTight wrapText="bothSides">
              <wp:wrapPolygon edited="0">
                <wp:start x="0" y="0"/>
                <wp:lineTo x="0" y="21525"/>
                <wp:lineTo x="21553" y="21525"/>
                <wp:lineTo x="21553" y="0"/>
                <wp:lineTo x="0" y="0"/>
              </wp:wrapPolygon>
            </wp:wrapTight>
            <wp:docPr id="177642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29464" name=""/>
                    <pic:cNvPicPr/>
                  </pic:nvPicPr>
                  <pic:blipFill rotWithShape="1">
                    <a:blip r:embed="rId28">
                      <a:extLst>
                        <a:ext uri="{28A0092B-C50C-407E-A947-70E740481C1C}">
                          <a14:useLocalDpi xmlns:a14="http://schemas.microsoft.com/office/drawing/2010/main" val="0"/>
                        </a:ext>
                      </a:extLst>
                    </a:blip>
                    <a:srcRect l="17107" t="8976" r="19376" b="3002"/>
                    <a:stretch/>
                  </pic:blipFill>
                  <pic:spPr bwMode="auto">
                    <a:xfrm>
                      <a:off x="0" y="0"/>
                      <a:ext cx="5212080" cy="3307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5E43">
        <w:rPr>
          <w:rFonts w:ascii="Arial" w:hAnsi="Arial" w:cs="Arial"/>
          <w:b/>
          <w:bCs/>
        </w:rPr>
        <w:t>odel</w:t>
      </w:r>
    </w:p>
    <w:p w14:paraId="75CC406C" w14:textId="77777777" w:rsidR="00C157B9" w:rsidRPr="00E55E43" w:rsidRDefault="00C157B9" w:rsidP="00483162">
      <w:pPr>
        <w:rPr>
          <w:rFonts w:ascii="Arial" w:hAnsi="Arial" w:cs="Arial"/>
          <w:b/>
          <w:bCs/>
        </w:rPr>
      </w:pPr>
    </w:p>
    <w:p w14:paraId="37D05357" w14:textId="2D097679" w:rsidR="00C157B9" w:rsidRPr="00E55E43" w:rsidRDefault="00C157B9" w:rsidP="00483162">
      <w:pPr>
        <w:rPr>
          <w:rFonts w:ascii="Arial" w:hAnsi="Arial" w:cs="Arial"/>
          <w:b/>
          <w:bCs/>
        </w:rPr>
      </w:pPr>
      <w:r w:rsidRPr="00E55E43">
        <w:rPr>
          <w:rFonts w:ascii="Arial" w:hAnsi="Arial" w:cs="Arial"/>
          <w:b/>
          <w:bCs/>
        </w:rPr>
        <w:t xml:space="preserve">Figure </w:t>
      </w:r>
      <w:r w:rsidR="00FB0F73">
        <w:rPr>
          <w:rFonts w:ascii="Arial" w:hAnsi="Arial" w:cs="Arial"/>
          <w:b/>
          <w:bCs/>
        </w:rPr>
        <w:t>5</w:t>
      </w:r>
      <w:r w:rsidRPr="00E55E43">
        <w:rPr>
          <w:rFonts w:ascii="Arial" w:hAnsi="Arial" w:cs="Arial"/>
          <w:b/>
          <w:bCs/>
        </w:rPr>
        <w:t>: Variance Decomposition of the VAR(8) Model.</w:t>
      </w:r>
    </w:p>
    <w:p w14:paraId="4E19FDDB" w14:textId="77777777" w:rsidR="00E55E43" w:rsidRDefault="00C157B9" w:rsidP="00483162">
      <w:pPr>
        <w:rPr>
          <w:rFonts w:ascii="Arial" w:hAnsi="Arial" w:cs="Arial"/>
        </w:rPr>
      </w:pPr>
      <w:r w:rsidRPr="00E55E43">
        <w:rPr>
          <w:rFonts w:ascii="Arial" w:hAnsi="Arial" w:cs="Arial"/>
        </w:rPr>
        <w:t xml:space="preserve"> </w:t>
      </w:r>
    </w:p>
    <w:p w14:paraId="562C9ED0" w14:textId="77777777" w:rsidR="00E55E43" w:rsidRDefault="00E55E43" w:rsidP="00483162">
      <w:pPr>
        <w:rPr>
          <w:rFonts w:ascii="Arial" w:hAnsi="Arial" w:cs="Arial"/>
        </w:rPr>
      </w:pPr>
    </w:p>
    <w:p w14:paraId="08D56CC1" w14:textId="77777777" w:rsidR="00E55E43" w:rsidRPr="00E55E43" w:rsidRDefault="00E55E43" w:rsidP="00483162">
      <w:pPr>
        <w:rPr>
          <w:rFonts w:ascii="Arial" w:hAnsi="Arial" w:cs="Arial"/>
          <w:b/>
          <w:bCs/>
        </w:rPr>
      </w:pPr>
      <w:r w:rsidRPr="00E55E43">
        <w:rPr>
          <w:rFonts w:ascii="Arial" w:hAnsi="Arial" w:cs="Arial"/>
          <w:b/>
          <w:bCs/>
        </w:rPr>
        <w:t>3.2: Discussion</w:t>
      </w:r>
    </w:p>
    <w:p w14:paraId="7EB9DDC2" w14:textId="5EAC936A" w:rsidR="00E55E43" w:rsidRPr="00E55E43" w:rsidRDefault="00E55E43" w:rsidP="00FB0F73">
      <w:pPr>
        <w:jc w:val="both"/>
        <w:rPr>
          <w:rFonts w:ascii="Arial" w:hAnsi="Arial" w:cs="Arial"/>
        </w:rPr>
      </w:pPr>
      <w:r w:rsidRPr="00E55E43">
        <w:rPr>
          <w:rFonts w:ascii="Arial" w:hAnsi="Arial" w:cs="Arial"/>
        </w:rPr>
        <w:t xml:space="preserve">The descriptive statistics of the interacting variables including COVID-19 Daily confirmed cases (CC), Nigerian Stock Exchange All Shares Index ASI), Nigerian Crude Oil Price (OP) and United State Dollar to Nigerian Naira daily exchange rate (NGNUSD) are seen in Table 1. This clearly shows that </w:t>
      </w:r>
      <w:r w:rsidRPr="00C17C20">
        <w:rPr>
          <w:rFonts w:ascii="Arial" w:hAnsi="Arial" w:cs="Arial"/>
          <w:highlight w:val="yellow"/>
        </w:rPr>
        <w:t xml:space="preserve">the data used are normally distributed, following the probability of the Jarque Bera Statistics having p-values </w:t>
      </w:r>
      <w:r w:rsidR="00DA7EB4" w:rsidRPr="00C17C20">
        <w:rPr>
          <w:rFonts w:ascii="Arial" w:hAnsi="Arial" w:cs="Arial"/>
          <w:highlight w:val="yellow"/>
        </w:rPr>
        <w:t>greater</w:t>
      </w:r>
      <w:r w:rsidRPr="00C17C20">
        <w:rPr>
          <w:rFonts w:ascii="Arial" w:hAnsi="Arial" w:cs="Arial"/>
          <w:highlight w:val="yellow"/>
        </w:rPr>
        <w:t xml:space="preserve"> than 0.05</w:t>
      </w:r>
      <w:r w:rsidR="000008BB">
        <w:rPr>
          <w:rFonts w:ascii="Arial" w:hAnsi="Arial" w:cs="Arial"/>
          <w:highlight w:val="yellow"/>
        </w:rPr>
        <w:t xml:space="preserve"> (Table 1)</w:t>
      </w:r>
      <w:r w:rsidRPr="00C17C20">
        <w:rPr>
          <w:rFonts w:ascii="Arial" w:hAnsi="Arial" w:cs="Arial"/>
          <w:highlight w:val="yellow"/>
        </w:rPr>
        <w:t>.</w:t>
      </w:r>
    </w:p>
    <w:p w14:paraId="3B7D5DC7" w14:textId="1C9DCDEA" w:rsidR="00E55E43" w:rsidRPr="00E55E43" w:rsidRDefault="00E55E43" w:rsidP="00FB0F73">
      <w:pPr>
        <w:jc w:val="both"/>
        <w:rPr>
          <w:rFonts w:ascii="Arial" w:hAnsi="Arial" w:cs="Arial"/>
        </w:rPr>
      </w:pPr>
      <w:r w:rsidRPr="00E55E43">
        <w:rPr>
          <w:rFonts w:ascii="Arial" w:hAnsi="Arial" w:cs="Arial"/>
        </w:rPr>
        <w:t xml:space="preserve"> Also the four datasets were graphically represented using line plots as seen in Figure1a - Figure 1d . In Figure 1a the time series plot of daily confirmed cases of COVID-19 in Nigerian, within the time specified for the study (501 days). Similarly, in Figure 1b, daily Nigeria Stock Exchange All Shares Index was graphically represented , showing trends. </w:t>
      </w:r>
    </w:p>
    <w:p w14:paraId="53837056" w14:textId="5C4BE519" w:rsidR="00E55E43" w:rsidRPr="00E55E43" w:rsidRDefault="00E55E43" w:rsidP="00FB0F73">
      <w:pPr>
        <w:jc w:val="both"/>
        <w:rPr>
          <w:rFonts w:ascii="Arial" w:hAnsi="Arial" w:cs="Arial"/>
        </w:rPr>
      </w:pPr>
      <w:r w:rsidRPr="00E55E43">
        <w:rPr>
          <w:rFonts w:ascii="Arial" w:hAnsi="Arial" w:cs="Arial"/>
        </w:rPr>
        <w:t>Also, in Figure 1c, the daily Nigeria Crude oil Price was graphically represented for the time period under study while the daily Nigerian Naira/ United Stated Dollar exchange rate was represented in Figure.1d.</w:t>
      </w:r>
      <w:r>
        <w:rPr>
          <w:rFonts w:ascii="Arial" w:hAnsi="Arial" w:cs="Arial"/>
        </w:rPr>
        <w:t xml:space="preserve"> After the stationarity test in Table 2, The time plot of the </w:t>
      </w:r>
      <w:r w:rsidR="00DA7EB4">
        <w:rPr>
          <w:rFonts w:ascii="Arial" w:hAnsi="Arial" w:cs="Arial"/>
        </w:rPr>
        <w:t>variables</w:t>
      </w:r>
      <w:r>
        <w:rPr>
          <w:rFonts w:ascii="Arial" w:hAnsi="Arial" w:cs="Arial"/>
        </w:rPr>
        <w:t xml:space="preserve"> at first difference was also taken as seen in Figure 2, this is due to the fact that all variables were stationary at first difference I(1). </w:t>
      </w:r>
    </w:p>
    <w:p w14:paraId="7479734C" w14:textId="26C06B62" w:rsidR="00E55E43" w:rsidRDefault="00E55E43" w:rsidP="00FB0F73">
      <w:pPr>
        <w:jc w:val="both"/>
        <w:rPr>
          <w:rFonts w:ascii="Arial" w:hAnsi="Arial" w:cs="Arial"/>
        </w:rPr>
      </w:pPr>
    </w:p>
    <w:p w14:paraId="3EE45E67" w14:textId="50711CBF" w:rsidR="000008BB" w:rsidRPr="00AD7968" w:rsidRDefault="000008BB" w:rsidP="00FB0F73">
      <w:pPr>
        <w:jc w:val="both"/>
        <w:rPr>
          <w:rFonts w:ascii="Arial" w:hAnsi="Arial" w:cs="Arial"/>
          <w:highlight w:val="yellow"/>
        </w:rPr>
      </w:pPr>
      <w:r w:rsidRPr="00AD7968">
        <w:rPr>
          <w:rFonts w:ascii="Arial" w:hAnsi="Arial" w:cs="Arial"/>
          <w:highlight w:val="yellow"/>
        </w:rPr>
        <w:t>Because their ADF test statistics are higher (less negative) than the critical values and have high p-values, The result in Table 2 demonstrate that none of the variables—Carbon Credit (CC), All Share Index (ASI), Oil Price (OP), and Exchange Rate (NGNUSD)—are stationary at level [I(0)]. All variables, however, become stationary following first differencing [I(1)], with p-values less than 0.01 and ADF test statistics substantially below the 1%, 5%, and 10% critical values. This suggests that the variables are integrated of order one, I(1), and supports the use of econometric models like the Vector Error Correction Model (VECM) and the ARDL that are appropriate for non-stationary data that becomes stationary after differencing.</w:t>
      </w:r>
    </w:p>
    <w:p w14:paraId="72492590" w14:textId="0E7B2A47" w:rsidR="00E55E43" w:rsidRPr="00AD7968" w:rsidRDefault="00FA5E9C" w:rsidP="00FB0F73">
      <w:pPr>
        <w:jc w:val="both"/>
        <w:rPr>
          <w:rFonts w:ascii="Arial" w:hAnsi="Arial" w:cs="Arial"/>
          <w:highlight w:val="yellow"/>
        </w:rPr>
      </w:pPr>
      <w:r w:rsidRPr="00AD7968">
        <w:rPr>
          <w:rFonts w:ascii="Arial" w:hAnsi="Arial" w:cs="Arial"/>
          <w:highlight w:val="yellow"/>
        </w:rPr>
        <w:t>Equation 3.1 – 3.4</w:t>
      </w:r>
      <w:r w:rsidR="00E55E43" w:rsidRPr="00AD7968">
        <w:rPr>
          <w:rFonts w:ascii="Arial" w:hAnsi="Arial" w:cs="Arial"/>
          <w:highlight w:val="yellow"/>
        </w:rPr>
        <w:t xml:space="preserve"> present</w:t>
      </w:r>
      <w:r w:rsidRPr="00AD7968">
        <w:rPr>
          <w:rFonts w:ascii="Arial" w:hAnsi="Arial" w:cs="Arial"/>
          <w:highlight w:val="yellow"/>
        </w:rPr>
        <w:t>ed</w:t>
      </w:r>
      <w:r w:rsidR="00E55E43" w:rsidRPr="00AD7968">
        <w:rPr>
          <w:rFonts w:ascii="Arial" w:hAnsi="Arial" w:cs="Arial"/>
          <w:highlight w:val="yellow"/>
        </w:rPr>
        <w:t xml:space="preserve"> the VAR model estimation of interacting variables. Table</w:t>
      </w:r>
      <w:r w:rsidRPr="00AD7968">
        <w:rPr>
          <w:rFonts w:ascii="Arial" w:hAnsi="Arial" w:cs="Arial"/>
          <w:highlight w:val="yellow"/>
        </w:rPr>
        <w:t>.</w:t>
      </w:r>
      <w:r w:rsidR="00426A2F" w:rsidRPr="00AD7968">
        <w:rPr>
          <w:rFonts w:ascii="Arial" w:hAnsi="Arial" w:cs="Arial"/>
          <w:highlight w:val="yellow"/>
        </w:rPr>
        <w:t>3</w:t>
      </w:r>
      <w:r w:rsidR="00E55E43" w:rsidRPr="00AD7968">
        <w:rPr>
          <w:rFonts w:ascii="Arial" w:hAnsi="Arial" w:cs="Arial"/>
          <w:highlight w:val="yellow"/>
        </w:rPr>
        <w:t xml:space="preserve"> presents the results of the VAR(8) model stability test, including diagnostic tests for residual </w:t>
      </w:r>
      <w:r w:rsidR="00E55E43" w:rsidRPr="00AD7968">
        <w:rPr>
          <w:rFonts w:ascii="Arial" w:hAnsi="Arial" w:cs="Arial"/>
          <w:highlight w:val="yellow"/>
        </w:rPr>
        <w:lastRenderedPageBreak/>
        <w:t>normality and heteroscedasticity. The VAR Residual Normality Test indicates that multivariate residuals are normal, as evidenced by the Chi-square test statistics and their associated p-values. Moreover, the VAR Residual Heteroscedasticity Test shows no evidence of heteroscedasticity, as the Chi-square test statistic value of 1400.368 with a corresponding probability value of 0.51341 suggests. These findings align with recent works in the field (Uyanto,  (2022), which similarly reported normality of residuals and absence of heteroscedasticity in VAR models. Overall, the stability test results support the reliability and robustness of the VAR(8) model in capturing the dynamics of the variables under investigation.</w:t>
      </w:r>
    </w:p>
    <w:p w14:paraId="7B33085C" w14:textId="77777777" w:rsidR="00E55E43" w:rsidRPr="00AD7968" w:rsidRDefault="00E55E43" w:rsidP="00FB0F73">
      <w:pPr>
        <w:jc w:val="both"/>
        <w:rPr>
          <w:rFonts w:ascii="Arial" w:hAnsi="Arial" w:cs="Arial"/>
          <w:highlight w:val="yellow"/>
        </w:rPr>
      </w:pPr>
    </w:p>
    <w:p w14:paraId="6FD4A5C8" w14:textId="0F4B1A0C" w:rsidR="00E55E43" w:rsidRDefault="00E55E43" w:rsidP="00FB0F73">
      <w:pPr>
        <w:jc w:val="both"/>
        <w:rPr>
          <w:rFonts w:ascii="Arial" w:hAnsi="Arial" w:cs="Arial"/>
        </w:rPr>
      </w:pPr>
      <w:r w:rsidRPr="00AD7968">
        <w:rPr>
          <w:rFonts w:ascii="Arial" w:hAnsi="Arial" w:cs="Arial"/>
          <w:highlight w:val="yellow"/>
        </w:rPr>
        <w:t xml:space="preserve">The findings from the VAR Model Granger Causality/Block Exogeneity Wald Tests, as delineated in Table </w:t>
      </w:r>
      <w:r w:rsidR="00426A2F" w:rsidRPr="00AD7968">
        <w:rPr>
          <w:rFonts w:ascii="Arial" w:hAnsi="Arial" w:cs="Arial"/>
          <w:highlight w:val="yellow"/>
        </w:rPr>
        <w:t>4</w:t>
      </w:r>
      <w:r w:rsidRPr="00AD7968">
        <w:rPr>
          <w:rFonts w:ascii="Arial" w:hAnsi="Arial" w:cs="Arial"/>
          <w:highlight w:val="yellow"/>
        </w:rPr>
        <w:t>, underscore crucial causal relationships among pivotal economic variables within Nigeria, particularly in the context of the COVID-19 pandemic. The results elucidate noteworthy causal connections between fluctuations in various economic indicators. Notably, changes in the Confirmed Cases of COVID-19 (CC) are shown to Granger cause variations in the All Share Index (ASI), Oil Prices (OP), and the Nigerian Naira to US Dollar Exchange Rate (NGNUSD), suggesting the pivotal influence of consumer sentiment on stock market performance, oil price dynamics, and currency valuation. Conversely, changes in ASI and NGNUSD are found to Granger cause alterations in CC, indicative of a reciprocal relationship between stock market fluctuations, currency exchange rate dynamics, and consumer confidence levels. These findings carry profound implications for comprehending the ramifications of the COVID-19 crisis on economic growth and stability in Nigeria, underscoring the intricate interplay among diverse economic variables and the critical significance of factors such as consumer confidence, stock market performance, and exchange rate dynamics in shaping economic trajectories during periods of crisis (Adedeji et al.,, 2021; Odekina et al., 2022).</w:t>
      </w:r>
    </w:p>
    <w:p w14:paraId="4BE8ED4E" w14:textId="77777777" w:rsidR="00FB0F73" w:rsidRDefault="00FB0F73" w:rsidP="00FB0F73">
      <w:pPr>
        <w:jc w:val="both"/>
        <w:rPr>
          <w:rFonts w:ascii="Arial" w:hAnsi="Arial" w:cs="Arial"/>
        </w:rPr>
      </w:pPr>
    </w:p>
    <w:p w14:paraId="41E4A8B8" w14:textId="319E7800" w:rsidR="00C157B9" w:rsidRPr="00E55E43" w:rsidRDefault="00E55E43" w:rsidP="00AA66E0">
      <w:pPr>
        <w:jc w:val="both"/>
        <w:rPr>
          <w:rFonts w:ascii="Arial" w:hAnsi="Arial" w:cs="Arial"/>
        </w:rPr>
      </w:pPr>
      <w:r w:rsidRPr="00E55E43">
        <w:rPr>
          <w:rFonts w:ascii="Arial" w:hAnsi="Arial" w:cs="Arial"/>
        </w:rPr>
        <w:t xml:space="preserve">On the short run effect of COVID-19 on economic growth and stability in Nigeria, the variance decomposition analysis of the Vector Autoregression VAR(8) model as seen in the graph in Figure </w:t>
      </w:r>
      <w:r w:rsidR="00FB0F73">
        <w:rPr>
          <w:rFonts w:ascii="Arial" w:hAnsi="Arial" w:cs="Arial"/>
        </w:rPr>
        <w:t>5</w:t>
      </w:r>
      <w:r w:rsidRPr="00E55E43">
        <w:rPr>
          <w:rFonts w:ascii="Arial" w:hAnsi="Arial" w:cs="Arial"/>
        </w:rPr>
        <w:t>,  reveals insightful dynamics in the forecasting strength of the selected model. Across various periods, the model effectively captures the majority of the variance in the variables D(CC), D(ASI), and D(OP), indicating a robust forecasting capability. For instance, in the case of D(CC), the model captures 100% of the variance in the first period and maintains a high level of explanatory power throughout subsequent periods. Similarly, for D(ASI) and D(OP), the model consistently explains a significant portion of the variance. This finding is in line with recent studies highlighting the efficacy of VAR models in forecasting financial time series data (Lütkepohl, 2005). Interpreting the table, the Variance Decomposition analysis delineated how much of the variance in D(CC) could be ascribed to shocks originating from each of the other variables (D(ASI), D(OP), D(NGNUSD)) over the examined timeframe (Ajide, 2021). Considering the global economic context and the timeframe covered, it was reasonable to infer that the analysis encapsulated the repercussions of the COVID-19 pandemic on the Nigerian economy. Hence, it likely captured how pandemic-related shocks, such as financial market disruptions, exchange rate fluctuations, and stock market volatility, impacted credit conditions (D(CC)) in Nigeria. Additionally, the analysis underscored the interconnectedness of these variables, elucidating which factors contributed most significantly to fluctuations in credit conditions during certain periods. This insight was pivotal for policymakers and investors to comprehend how changes in one economic indicator reverberated throughout the system (Adediran et al.,  2020). Consequently, understanding the relative importance of different variables in driving credit conditions fluctuations could guide policymakers in formulating targeted measures to stabilize the economy or mitigate the impact of future crises. For instance, if the analysis revealed that exchange rate fluctuations exerted a substantial influence on credit conditions, policymakers could consider implementing policies to enhance currency stability, thereby bolstering overall financial stability and economic resilience (Omotosho et al.,   2021).</w:t>
      </w:r>
      <w:r w:rsidR="00C157B9" w:rsidRPr="00E55E43">
        <w:rPr>
          <w:rFonts w:ascii="Arial" w:hAnsi="Arial" w:cs="Arial"/>
        </w:rPr>
        <w:br w:type="page"/>
      </w:r>
    </w:p>
    <w:p w14:paraId="7C297D72" w14:textId="77777777" w:rsidR="00C157B9" w:rsidRPr="00E55E43" w:rsidRDefault="00C157B9" w:rsidP="00C157B9">
      <w:pPr>
        <w:jc w:val="both"/>
        <w:rPr>
          <w:rFonts w:ascii="Arial" w:hAnsi="Arial" w:cs="Arial"/>
        </w:rPr>
      </w:pPr>
    </w:p>
    <w:p w14:paraId="5EBE801D" w14:textId="77777777" w:rsidR="00C157B9" w:rsidRPr="00E55E43" w:rsidRDefault="00C157B9" w:rsidP="00C157B9">
      <w:pPr>
        <w:jc w:val="both"/>
        <w:rPr>
          <w:rFonts w:ascii="Arial" w:hAnsi="Arial" w:cs="Arial"/>
        </w:rPr>
      </w:pPr>
    </w:p>
    <w:p w14:paraId="4D45C28F" w14:textId="77777777" w:rsidR="00152D63" w:rsidRPr="00E55E43" w:rsidRDefault="00152D63" w:rsidP="00152D63">
      <w:pPr>
        <w:pStyle w:val="ConcHead"/>
        <w:spacing w:after="0"/>
        <w:jc w:val="both"/>
        <w:rPr>
          <w:rFonts w:ascii="Arial" w:hAnsi="Arial" w:cs="Arial"/>
          <w:sz w:val="20"/>
        </w:rPr>
      </w:pPr>
      <w:r w:rsidRPr="00E55E43">
        <w:rPr>
          <w:rFonts w:ascii="Arial" w:hAnsi="Arial" w:cs="Arial"/>
          <w:sz w:val="20"/>
        </w:rPr>
        <w:t>4. Conclusion</w:t>
      </w:r>
    </w:p>
    <w:p w14:paraId="0845C29E" w14:textId="77777777" w:rsidR="00152D63" w:rsidRPr="00E55E43" w:rsidRDefault="00152D63" w:rsidP="00152D63">
      <w:pPr>
        <w:pStyle w:val="ConcHead"/>
        <w:spacing w:after="0"/>
        <w:jc w:val="both"/>
        <w:rPr>
          <w:rFonts w:ascii="Arial" w:hAnsi="Arial" w:cs="Arial"/>
          <w:sz w:val="20"/>
        </w:rPr>
      </w:pPr>
    </w:p>
    <w:p w14:paraId="7747D2A1" w14:textId="77777777" w:rsidR="00B40A46" w:rsidRDefault="00A870BC" w:rsidP="007072BF">
      <w:pPr>
        <w:jc w:val="both"/>
        <w:rPr>
          <w:rFonts w:ascii="Arial" w:hAnsi="Arial" w:cs="Arial"/>
        </w:rPr>
      </w:pPr>
      <w:r w:rsidRPr="00A870BC">
        <w:rPr>
          <w:rFonts w:ascii="Arial" w:hAnsi="Arial" w:cs="Arial"/>
        </w:rPr>
        <w:t>This study aimed to model the impact of the COVID-19 pandemic on economic growth and stability in Nigeria using Vector Autoregressive (VAR) Model. Four variables were used to develop the VAR Model and the ARDL model, including one variable relating to Nigerian COVID-19 daily data (confirmed cases) in collaboration with data from other economic variables such as the Nigerian Stock Exchange (NSE) All Shares Index, Daily Nigerian Naira/United States Dollar Exchange Rate, and Nigerian Crude Oil Price, to understand the trends and impact of COVID-19 on the Nigerian Economy in the post-pandemic era in Nigeria. This study covered daily time series data for the four variables between May 26, 2020, and May 25, 2022, totaling a time period of 501 days. The results obtained from the VAR(8) model showed that there existed only a short-run relationship between the four interacting variables as the cointegration test showed no integrating equation</w:t>
      </w:r>
    </w:p>
    <w:p w14:paraId="19686346" w14:textId="77777777" w:rsidR="00A870BC" w:rsidRDefault="00A870BC" w:rsidP="007072BF">
      <w:pPr>
        <w:jc w:val="both"/>
        <w:rPr>
          <w:rFonts w:ascii="Arial" w:hAnsi="Arial" w:cs="Arial"/>
        </w:rPr>
      </w:pPr>
    </w:p>
    <w:p w14:paraId="54B546C6" w14:textId="29E244B6" w:rsidR="00A870BC" w:rsidRDefault="00A870BC" w:rsidP="007072BF">
      <w:pPr>
        <w:jc w:val="both"/>
        <w:rPr>
          <w:rFonts w:ascii="Arial" w:hAnsi="Arial" w:cs="Arial"/>
        </w:rPr>
      </w:pPr>
      <w:r w:rsidRPr="00A870BC">
        <w:rPr>
          <w:rFonts w:ascii="Arial" w:hAnsi="Arial" w:cs="Arial"/>
        </w:rPr>
        <w:t xml:space="preserve">The VAR model estimation process, provides comprehensive insights into the short-term dynamics among key economic variables, including CC, ASI, OP, and NGNUSD. Coefficients and standard errors for lagged differences of these variables are presented, alongside diagnostic measures such as R-squared values, F-statistics, and information criteria, offering a thorough overview of the model's performance. Furthermore, the stability test results in Table </w:t>
      </w:r>
      <w:r>
        <w:rPr>
          <w:rFonts w:ascii="Arial" w:hAnsi="Arial" w:cs="Arial"/>
        </w:rPr>
        <w:t>4</w:t>
      </w:r>
      <w:r w:rsidRPr="00A870BC">
        <w:rPr>
          <w:rFonts w:ascii="Arial" w:hAnsi="Arial" w:cs="Arial"/>
        </w:rPr>
        <w:t xml:space="preserve"> affirm the reliability of the VAR(8) model, with findings consistent with previous studies on the normality of residuals and absence of heteroscedasticity. These outcomes validate the robustness of the VAR model in capturing economic dynamics, particularly amidst external shocks like the COVID-19 pandemic. The results from the VAR Model Granger Causality/Block Exogeneity Wald Tests, outlined in Table </w:t>
      </w:r>
      <w:r>
        <w:rPr>
          <w:rFonts w:ascii="Arial" w:hAnsi="Arial" w:cs="Arial"/>
        </w:rPr>
        <w:t>5</w:t>
      </w:r>
      <w:r w:rsidRPr="00A870BC">
        <w:rPr>
          <w:rFonts w:ascii="Arial" w:hAnsi="Arial" w:cs="Arial"/>
        </w:rPr>
        <w:t>, highlight crucial causal relationships among economic variables in Nigeria, emphasizing the significant influence of CC on ASI, OP, and NGNUSD, and vice versa. These findings align with recent studies, shedding light on the intricate interplay among diverse economic indicators and their implications for economic growth and stability during crises such as the COVID-19 pandemic. Moreover, the short-run effects of COVID-19 on economic growth and stability, as analyzed through variance decomposition in the VAR(8) model, reveal robust forecasting capabilities. This aligns with prior research emphasizing the efficacy of VAR models in forecasting financial time series data, underscoring the importance of understanding the interconnectedness of economic variables for informed policymaking and investment decisions.</w:t>
      </w:r>
    </w:p>
    <w:p w14:paraId="4FE14F15" w14:textId="77777777" w:rsidR="00621664" w:rsidRDefault="00621664" w:rsidP="00621664">
      <w:pPr>
        <w:rPr>
          <w:highlight w:val="yellow"/>
        </w:rPr>
      </w:pPr>
    </w:p>
    <w:p w14:paraId="4E4AAB0D" w14:textId="77777777" w:rsidR="00621664" w:rsidRDefault="00621664" w:rsidP="00621664">
      <w:pPr>
        <w:rPr>
          <w:highlight w:val="yellow"/>
        </w:rPr>
      </w:pPr>
    </w:p>
    <w:p w14:paraId="521988EB" w14:textId="77777777" w:rsidR="00621664" w:rsidRDefault="00621664" w:rsidP="00621664">
      <w:pPr>
        <w:rPr>
          <w:highlight w:val="yellow"/>
        </w:rPr>
      </w:pPr>
    </w:p>
    <w:p w14:paraId="15BEEC42" w14:textId="2190FBD3" w:rsidR="00621664" w:rsidRPr="00394842" w:rsidRDefault="00621664" w:rsidP="00621664">
      <w:pPr>
        <w:rPr>
          <w:highlight w:val="yellow"/>
        </w:rPr>
      </w:pPr>
      <w:r w:rsidRPr="00394842">
        <w:rPr>
          <w:highlight w:val="yellow"/>
        </w:rPr>
        <w:t>Disclaimer (Artificial intelligence)</w:t>
      </w:r>
    </w:p>
    <w:p w14:paraId="587A6F66" w14:textId="77777777" w:rsidR="00621664" w:rsidRPr="00394842" w:rsidRDefault="00621664" w:rsidP="00621664">
      <w:pPr>
        <w:rPr>
          <w:highlight w:val="yellow"/>
        </w:rPr>
      </w:pPr>
    </w:p>
    <w:p w14:paraId="44A5A8C7" w14:textId="77777777" w:rsidR="00621664" w:rsidRPr="00394842" w:rsidRDefault="00621664" w:rsidP="00621664">
      <w:pPr>
        <w:rPr>
          <w:highlight w:val="yellow"/>
        </w:rPr>
      </w:pPr>
    </w:p>
    <w:p w14:paraId="2248B748" w14:textId="77777777" w:rsidR="00621664" w:rsidRPr="00394842" w:rsidRDefault="00621664" w:rsidP="00621664">
      <w:pPr>
        <w:rPr>
          <w:highlight w:val="yellow"/>
        </w:rPr>
      </w:pPr>
      <w:r w:rsidRPr="00394842">
        <w:rPr>
          <w:highlight w:val="yellow"/>
        </w:rPr>
        <w:t xml:space="preserve">Option 2: </w:t>
      </w:r>
    </w:p>
    <w:p w14:paraId="5AAC0897" w14:textId="77777777" w:rsidR="00621664" w:rsidRPr="00394842" w:rsidRDefault="00621664" w:rsidP="00621664">
      <w:pPr>
        <w:rPr>
          <w:highlight w:val="yellow"/>
        </w:rPr>
      </w:pPr>
    </w:p>
    <w:p w14:paraId="14D274FB" w14:textId="77777777" w:rsidR="00621664" w:rsidRPr="00394842" w:rsidRDefault="00621664" w:rsidP="0062166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DE78C7" w14:textId="77777777" w:rsidR="00621664" w:rsidRPr="00394842" w:rsidRDefault="00621664" w:rsidP="00621664">
      <w:pPr>
        <w:rPr>
          <w:highlight w:val="yellow"/>
        </w:rPr>
      </w:pPr>
    </w:p>
    <w:p w14:paraId="39CC61F4" w14:textId="77777777" w:rsidR="00621664" w:rsidRPr="00394842" w:rsidRDefault="00621664" w:rsidP="00621664">
      <w:pPr>
        <w:rPr>
          <w:highlight w:val="yellow"/>
        </w:rPr>
      </w:pPr>
      <w:r w:rsidRPr="00394842">
        <w:rPr>
          <w:highlight w:val="yellow"/>
        </w:rPr>
        <w:t>Details of the AI usage are given below:</w:t>
      </w:r>
    </w:p>
    <w:p w14:paraId="70D6AA8D" w14:textId="04206B60" w:rsidR="00621664" w:rsidRPr="00394842" w:rsidRDefault="00621664" w:rsidP="00621664">
      <w:pPr>
        <w:rPr>
          <w:highlight w:val="yellow"/>
        </w:rPr>
      </w:pPr>
      <w:r w:rsidRPr="00394842">
        <w:rPr>
          <w:highlight w:val="yellow"/>
        </w:rPr>
        <w:t>1.</w:t>
      </w:r>
      <w:r w:rsidR="0071154D">
        <w:rPr>
          <w:highlight w:val="yellow"/>
        </w:rPr>
        <w:t>ChatGPT 3.0</w:t>
      </w:r>
    </w:p>
    <w:p w14:paraId="7659C60D" w14:textId="77777777" w:rsidR="00621664" w:rsidRPr="00394842" w:rsidRDefault="00621664" w:rsidP="00621664">
      <w:pPr>
        <w:rPr>
          <w:highlight w:val="yellow"/>
        </w:rPr>
      </w:pPr>
      <w:r w:rsidRPr="00394842">
        <w:rPr>
          <w:highlight w:val="yellow"/>
        </w:rPr>
        <w:t>2.</w:t>
      </w:r>
    </w:p>
    <w:p w14:paraId="6D0FD10A" w14:textId="77777777" w:rsidR="00621664" w:rsidRPr="00165217" w:rsidRDefault="00621664" w:rsidP="00621664">
      <w:r w:rsidRPr="00394842">
        <w:rPr>
          <w:highlight w:val="yellow"/>
        </w:rPr>
        <w:t>3.</w:t>
      </w:r>
    </w:p>
    <w:p w14:paraId="6872C365" w14:textId="77777777" w:rsidR="00621664" w:rsidRPr="00E55E43" w:rsidRDefault="00621664" w:rsidP="007072BF">
      <w:pPr>
        <w:jc w:val="both"/>
        <w:rPr>
          <w:rFonts w:ascii="Arial" w:hAnsi="Arial" w:cs="Arial"/>
        </w:rPr>
      </w:pPr>
    </w:p>
    <w:p w14:paraId="52DDAD8A" w14:textId="77777777" w:rsidR="00B01FCD" w:rsidRPr="00E55E43" w:rsidRDefault="00B01FCD" w:rsidP="00441B6F">
      <w:pPr>
        <w:pStyle w:val="ReferHead"/>
        <w:spacing w:after="0"/>
        <w:jc w:val="both"/>
        <w:rPr>
          <w:rFonts w:ascii="Arial" w:hAnsi="Arial" w:cs="Arial"/>
          <w:sz w:val="20"/>
        </w:rPr>
      </w:pPr>
      <w:r w:rsidRPr="00E55E43">
        <w:rPr>
          <w:rFonts w:ascii="Arial" w:hAnsi="Arial" w:cs="Arial"/>
          <w:sz w:val="20"/>
        </w:rPr>
        <w:lastRenderedPageBreak/>
        <w:t>References</w:t>
      </w:r>
    </w:p>
    <w:p w14:paraId="1D5757C2" w14:textId="77777777" w:rsidR="0087187B" w:rsidRPr="00E55E43" w:rsidRDefault="0087187B" w:rsidP="00441B6F">
      <w:pPr>
        <w:pStyle w:val="ReferHead"/>
        <w:spacing w:after="0"/>
        <w:jc w:val="both"/>
        <w:rPr>
          <w:rFonts w:ascii="Arial" w:hAnsi="Arial" w:cs="Arial"/>
          <w:sz w:val="20"/>
        </w:rPr>
      </w:pPr>
    </w:p>
    <w:p w14:paraId="3ACE7209" w14:textId="77777777" w:rsidR="00F75260" w:rsidRPr="00E55E43" w:rsidRDefault="00F75260" w:rsidP="0087187B">
      <w:pPr>
        <w:pStyle w:val="ListParagraph"/>
        <w:widowControl w:val="0"/>
        <w:autoSpaceDE w:val="0"/>
        <w:autoSpaceDN w:val="0"/>
        <w:adjustRightInd w:val="0"/>
        <w:spacing w:line="276" w:lineRule="auto"/>
        <w:rPr>
          <w:rFonts w:ascii="Arial" w:hAnsi="Arial" w:cs="Arial"/>
          <w:noProof/>
          <w:sz w:val="20"/>
          <w:szCs w:val="20"/>
        </w:rPr>
      </w:pPr>
    </w:p>
    <w:p w14:paraId="530644D5" w14:textId="77777777" w:rsidR="00700075" w:rsidRPr="00700075" w:rsidRDefault="00700075" w:rsidP="00700075">
      <w:pPr>
        <w:pStyle w:val="ListParagraph"/>
        <w:numPr>
          <w:ilvl w:val="0"/>
          <w:numId w:val="32"/>
        </w:numPr>
        <w:rPr>
          <w:rFonts w:ascii="Arial" w:hAnsi="Arial" w:cs="Arial"/>
          <w:sz w:val="20"/>
          <w:szCs w:val="20"/>
        </w:rPr>
      </w:pPr>
      <w:r w:rsidRPr="00700075">
        <w:rPr>
          <w:rFonts w:ascii="Arial" w:hAnsi="Arial" w:cs="Arial"/>
          <w:sz w:val="20"/>
          <w:szCs w:val="20"/>
        </w:rPr>
        <w:t>Ahmed, N., Khan, D., Oláh, J., &amp; Popp, J. (2023). A comparative study of the policy response to COVID-19 in the ASEAN region: A dynamic simulated ARDL approach. </w:t>
      </w:r>
      <w:r w:rsidRPr="00700075">
        <w:rPr>
          <w:rFonts w:ascii="Arial" w:hAnsi="Arial" w:cs="Arial"/>
          <w:i/>
          <w:iCs/>
          <w:sz w:val="20"/>
          <w:szCs w:val="20"/>
        </w:rPr>
        <w:t>Plos one</w:t>
      </w:r>
      <w:r w:rsidRPr="00700075">
        <w:rPr>
          <w:rFonts w:ascii="Arial" w:hAnsi="Arial" w:cs="Arial"/>
          <w:sz w:val="20"/>
          <w:szCs w:val="20"/>
        </w:rPr>
        <w:t>, </w:t>
      </w:r>
      <w:r w:rsidRPr="00700075">
        <w:rPr>
          <w:rFonts w:ascii="Arial" w:hAnsi="Arial" w:cs="Arial"/>
          <w:i/>
          <w:iCs/>
          <w:sz w:val="20"/>
          <w:szCs w:val="20"/>
        </w:rPr>
        <w:t>18</w:t>
      </w:r>
      <w:r w:rsidRPr="00700075">
        <w:rPr>
          <w:rFonts w:ascii="Arial" w:hAnsi="Arial" w:cs="Arial"/>
          <w:sz w:val="20"/>
          <w:szCs w:val="20"/>
        </w:rPr>
        <w:t>(1), e0276973.</w:t>
      </w:r>
    </w:p>
    <w:p w14:paraId="328B6E34"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700075">
        <w:rPr>
          <w:rFonts w:ascii="Arial" w:hAnsi="Arial" w:cs="Arial"/>
          <w:noProof/>
          <w:sz w:val="20"/>
          <w:szCs w:val="20"/>
        </w:rPr>
        <w:t xml:space="preserve">Box G, Jenkins G., Time Series Analysis: Forecasting and Control, 2nd ed. San Francisco, </w:t>
      </w:r>
      <w:r w:rsidRPr="00700075">
        <w:rPr>
          <w:rFonts w:ascii="Arial" w:hAnsi="Arial" w:cs="Arial"/>
          <w:i/>
          <w:noProof/>
          <w:sz w:val="20"/>
          <w:szCs w:val="20"/>
        </w:rPr>
        <w:t>CA: Holden-Day</w:t>
      </w:r>
      <w:r w:rsidRPr="00700075">
        <w:rPr>
          <w:rFonts w:ascii="Arial" w:hAnsi="Arial" w:cs="Arial"/>
          <w:noProof/>
          <w:sz w:val="20"/>
          <w:szCs w:val="20"/>
        </w:rPr>
        <w:t>, 1970.</w:t>
      </w:r>
    </w:p>
    <w:p w14:paraId="2A0F9E07"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700075">
        <w:rPr>
          <w:rFonts w:ascii="Arial" w:hAnsi="Arial" w:cs="Arial"/>
          <w:noProof/>
          <w:sz w:val="20"/>
          <w:szCs w:val="20"/>
        </w:rPr>
        <w:t xml:space="preserve">Box G,Jenkins G., . Time Series Analysis: Forecasting and Control, San Francisco, </w:t>
      </w:r>
      <w:r w:rsidRPr="00700075">
        <w:rPr>
          <w:rFonts w:ascii="Arial" w:hAnsi="Arial" w:cs="Arial"/>
          <w:i/>
          <w:noProof/>
          <w:sz w:val="20"/>
          <w:szCs w:val="20"/>
        </w:rPr>
        <w:t>CA: Holden-Day,</w:t>
      </w:r>
      <w:r w:rsidRPr="00700075">
        <w:rPr>
          <w:rFonts w:ascii="Arial" w:hAnsi="Arial" w:cs="Arial"/>
          <w:noProof/>
          <w:sz w:val="20"/>
          <w:szCs w:val="20"/>
        </w:rPr>
        <w:t xml:space="preserve"> 1970.</w:t>
      </w:r>
    </w:p>
    <w:p w14:paraId="342E43EB" w14:textId="77777777" w:rsidR="00700075" w:rsidRPr="00700075" w:rsidRDefault="00700075" w:rsidP="00700075">
      <w:pPr>
        <w:pStyle w:val="ListParagraph"/>
        <w:numPr>
          <w:ilvl w:val="0"/>
          <w:numId w:val="32"/>
        </w:numPr>
        <w:rPr>
          <w:rFonts w:ascii="Arial" w:hAnsi="Arial" w:cs="Arial"/>
          <w:sz w:val="20"/>
          <w:szCs w:val="20"/>
        </w:rPr>
      </w:pPr>
      <w:r w:rsidRPr="00700075">
        <w:rPr>
          <w:rFonts w:ascii="Arial" w:hAnsi="Arial" w:cs="Arial"/>
          <w:sz w:val="20"/>
          <w:szCs w:val="20"/>
        </w:rPr>
        <w:t>Chang, B. H., Gohar, R., Derindag, O. F., &amp; Uche, E. (2023). COVID-19, lockdown measures and their impact on food and healthcare prices: empirical evidence using a dynamic ARDL model. </w:t>
      </w:r>
      <w:r w:rsidRPr="00700075">
        <w:rPr>
          <w:rFonts w:ascii="Arial" w:hAnsi="Arial" w:cs="Arial"/>
          <w:i/>
          <w:iCs/>
          <w:sz w:val="20"/>
          <w:szCs w:val="20"/>
        </w:rPr>
        <w:t>Journal of Economic Studies</w:t>
      </w:r>
      <w:r w:rsidRPr="00700075">
        <w:rPr>
          <w:rFonts w:ascii="Arial" w:hAnsi="Arial" w:cs="Arial"/>
          <w:sz w:val="20"/>
          <w:szCs w:val="20"/>
        </w:rPr>
        <w:t>, </w:t>
      </w:r>
      <w:r w:rsidRPr="00700075">
        <w:rPr>
          <w:rFonts w:ascii="Arial" w:hAnsi="Arial" w:cs="Arial"/>
          <w:i/>
          <w:iCs/>
          <w:sz w:val="20"/>
          <w:szCs w:val="20"/>
        </w:rPr>
        <w:t>50</w:t>
      </w:r>
      <w:r w:rsidRPr="00700075">
        <w:rPr>
          <w:rFonts w:ascii="Arial" w:hAnsi="Arial" w:cs="Arial"/>
          <w:sz w:val="20"/>
          <w:szCs w:val="20"/>
        </w:rPr>
        <w:t>(5), 1008-1026.</w:t>
      </w:r>
    </w:p>
    <w:p w14:paraId="6DF04BE2"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r w:rsidRPr="00700075">
        <w:rPr>
          <w:rFonts w:ascii="Arial" w:hAnsi="Arial" w:cs="Arial"/>
          <w:bCs/>
          <w:sz w:val="20"/>
          <w:szCs w:val="20"/>
          <w:lang w:val="en-GB"/>
        </w:rPr>
        <w:t>Dong, Y., Mo, X., Hu, Y., Qi, X., Jiang, F., Jiang, Z., &amp; Tong, S. (2020). Epidemiology of COVID-19 among children in China. Pediatrics, 145(6).</w:t>
      </w:r>
    </w:p>
    <w:p w14:paraId="369C222D"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sz w:val="20"/>
          <w:szCs w:val="20"/>
        </w:rPr>
      </w:pPr>
      <w:r w:rsidRPr="00700075">
        <w:rPr>
          <w:rFonts w:ascii="Arial" w:hAnsi="Arial" w:cs="Arial"/>
          <w:noProof/>
          <w:sz w:val="20"/>
          <w:szCs w:val="20"/>
        </w:rPr>
        <w:t xml:space="preserve">Etuk, E. H., Attoe, S. A., Essi, I. D, A Seasonal Box-Jenkins Model for Nigerian Inflation Rate Series. </w:t>
      </w:r>
      <w:r w:rsidRPr="00700075">
        <w:rPr>
          <w:rFonts w:ascii="Arial" w:hAnsi="Arial" w:cs="Arial"/>
          <w:iCs/>
          <w:noProof/>
          <w:sz w:val="20"/>
          <w:szCs w:val="20"/>
        </w:rPr>
        <w:t>Journal of Mathematics Research</w:t>
      </w:r>
      <w:r w:rsidRPr="00700075">
        <w:rPr>
          <w:rFonts w:ascii="Arial" w:hAnsi="Arial" w:cs="Arial"/>
          <w:noProof/>
          <w:sz w:val="20"/>
          <w:szCs w:val="20"/>
        </w:rPr>
        <w:t>; 2012;</w:t>
      </w:r>
      <w:r w:rsidRPr="00700075">
        <w:rPr>
          <w:rFonts w:ascii="Arial" w:hAnsi="Arial" w:cs="Arial"/>
          <w:iCs/>
          <w:noProof/>
          <w:sz w:val="20"/>
          <w:szCs w:val="20"/>
        </w:rPr>
        <w:t>4</w:t>
      </w:r>
      <w:r w:rsidRPr="00700075">
        <w:rPr>
          <w:rFonts w:ascii="Arial" w:hAnsi="Arial" w:cs="Arial"/>
          <w:noProof/>
          <w:sz w:val="20"/>
          <w:szCs w:val="20"/>
        </w:rPr>
        <w:t>(4), 107–113.</w:t>
      </w:r>
    </w:p>
    <w:p w14:paraId="1ED7E29B"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noProof/>
          <w:sz w:val="20"/>
          <w:szCs w:val="20"/>
        </w:rPr>
      </w:pPr>
      <w:r w:rsidRPr="00700075">
        <w:rPr>
          <w:rFonts w:ascii="Arial" w:hAnsi="Arial" w:cs="Arial"/>
          <w:noProof/>
          <w:sz w:val="20"/>
          <w:szCs w:val="20"/>
        </w:rPr>
        <w:t>Jing C, Mengmeng R, Shuyang X, Ingyu W,  Predicting Seasonal Influenza Based on SARIMA Model, in Mainland China from 2915 to 2018. International Journal of Environmental Research and Public Health, 2019; 16(23):47-60.</w:t>
      </w:r>
    </w:p>
    <w:p w14:paraId="5B1D0802" w14:textId="77777777" w:rsidR="00700075" w:rsidRPr="00700075" w:rsidRDefault="00700075" w:rsidP="001C1EED">
      <w:pPr>
        <w:pStyle w:val="ListParagraph"/>
        <w:rPr>
          <w:rFonts w:ascii="Arial" w:hAnsi="Arial" w:cs="Arial"/>
          <w:bCs/>
          <w:sz w:val="20"/>
          <w:szCs w:val="20"/>
          <w:lang w:val="en-GB"/>
        </w:rPr>
      </w:pPr>
      <w:r w:rsidRPr="00700075">
        <w:rPr>
          <w:rFonts w:ascii="Arial" w:hAnsi="Arial" w:cs="Arial"/>
          <w:bCs/>
          <w:sz w:val="20"/>
          <w:szCs w:val="20"/>
          <w:lang w:val="en-GB"/>
        </w:rPr>
        <w:t>Lipsitch, M., Swerdlow, D. L., &amp; Finelli, L. (2020). Defining the epidemiology of Covid-19—studies needed. New England journal of medicine, 382(13), 1194-1196.</w:t>
      </w:r>
    </w:p>
    <w:p w14:paraId="03C91B4F" w14:textId="77777777" w:rsidR="00700075" w:rsidRPr="00700075" w:rsidRDefault="00700075" w:rsidP="00700075">
      <w:pPr>
        <w:pStyle w:val="ListParagraph"/>
        <w:numPr>
          <w:ilvl w:val="0"/>
          <w:numId w:val="32"/>
        </w:numPr>
        <w:rPr>
          <w:rFonts w:ascii="Arial" w:hAnsi="Arial" w:cs="Arial"/>
          <w:sz w:val="20"/>
          <w:szCs w:val="20"/>
        </w:rPr>
      </w:pPr>
      <w:r w:rsidRPr="00700075">
        <w:rPr>
          <w:rFonts w:ascii="Arial" w:hAnsi="Arial" w:cs="Arial"/>
          <w:sz w:val="20"/>
          <w:szCs w:val="20"/>
        </w:rPr>
        <w:t>Matuka, A. (2020). COVID-19 outbreak and US economic policy uncertainty: an ARDL approach. </w:t>
      </w:r>
      <w:r w:rsidRPr="00700075">
        <w:rPr>
          <w:rFonts w:ascii="Arial" w:hAnsi="Arial" w:cs="Arial"/>
          <w:i/>
          <w:iCs/>
          <w:sz w:val="20"/>
          <w:szCs w:val="20"/>
        </w:rPr>
        <w:t>Available at SSRN 3685346</w:t>
      </w:r>
      <w:r w:rsidRPr="00700075">
        <w:rPr>
          <w:rFonts w:ascii="Arial" w:hAnsi="Arial" w:cs="Arial"/>
          <w:sz w:val="20"/>
          <w:szCs w:val="20"/>
        </w:rPr>
        <w:t>.</w:t>
      </w:r>
    </w:p>
    <w:p w14:paraId="55294C5C"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r w:rsidRPr="00700075">
        <w:rPr>
          <w:rFonts w:ascii="Arial" w:hAnsi="Arial" w:cs="Arial"/>
          <w:sz w:val="20"/>
          <w:szCs w:val="20"/>
        </w:rPr>
        <w:t>Napoli PE, Nioi M. Global Spread of Coronavirus Disease 2019 and Malaria: An Epidemiological Paradox in the Early Stage of A Pandemic. J Clin Med. 2020 Apr 16;9(4):1138. doi: 10.3390/jcm9041138. PMID: 32316118; PMCID: PMC7230338.</w:t>
      </w:r>
    </w:p>
    <w:p w14:paraId="2C635B23" w14:textId="77777777" w:rsidR="00700075" w:rsidRPr="00700075" w:rsidRDefault="00700075" w:rsidP="001C1EED">
      <w:pPr>
        <w:pStyle w:val="ListParagraph"/>
        <w:widowControl w:val="0"/>
        <w:numPr>
          <w:ilvl w:val="0"/>
          <w:numId w:val="32"/>
        </w:numPr>
        <w:autoSpaceDE w:val="0"/>
        <w:autoSpaceDN w:val="0"/>
        <w:adjustRightInd w:val="0"/>
        <w:spacing w:line="276" w:lineRule="auto"/>
        <w:rPr>
          <w:rFonts w:ascii="Arial" w:hAnsi="Arial" w:cs="Arial"/>
          <w:sz w:val="20"/>
          <w:szCs w:val="20"/>
        </w:rPr>
      </w:pPr>
      <w:r w:rsidRPr="00700075">
        <w:rPr>
          <w:rFonts w:ascii="Arial" w:hAnsi="Arial" w:cs="Arial"/>
          <w:sz w:val="20"/>
          <w:szCs w:val="20"/>
        </w:rPr>
        <w:t>Nwuju, K, Lekara-Bayo I. B, Modelling and Forecasting Daily Confirmed Cases of Covid-19 in Africa: A Case Study of ECOWAS Countries: International Journal of Applied Science and Mathematical Theory; 2020; 6(2), 37-54.</w:t>
      </w:r>
    </w:p>
    <w:p w14:paraId="7AAC0EE6" w14:textId="77777777" w:rsidR="00700075" w:rsidRPr="00700075" w:rsidRDefault="00700075" w:rsidP="001C1EED">
      <w:pPr>
        <w:pStyle w:val="ListParagraph"/>
        <w:numPr>
          <w:ilvl w:val="0"/>
          <w:numId w:val="32"/>
        </w:numPr>
        <w:spacing w:line="276" w:lineRule="auto"/>
        <w:rPr>
          <w:rFonts w:ascii="Arial" w:hAnsi="Arial" w:cs="Arial"/>
          <w:sz w:val="20"/>
          <w:szCs w:val="20"/>
        </w:rPr>
      </w:pPr>
      <w:r w:rsidRPr="00700075">
        <w:rPr>
          <w:rFonts w:ascii="Arial" w:hAnsi="Arial" w:cs="Arial"/>
          <w:noProof/>
          <w:sz w:val="20"/>
          <w:szCs w:val="20"/>
        </w:rPr>
        <w:t xml:space="preserve">Nwuju, K., Lekara-Bayo, IB., Etuk, EH, </w:t>
      </w:r>
      <w:r w:rsidRPr="00700075">
        <w:rPr>
          <w:rFonts w:ascii="Arial" w:hAnsi="Arial" w:cs="Arial"/>
          <w:sz w:val="20"/>
          <w:szCs w:val="20"/>
        </w:rPr>
        <w:t xml:space="preserve">Intervention Analysis of Daily South African Rand/Nigerian Naira Exchange Rates. International Journal of Management Studies, Business &amp; Entrepreneurship Research, 2019;4, </w:t>
      </w:r>
      <w:r w:rsidRPr="00700075">
        <w:rPr>
          <w:rFonts w:ascii="Arial" w:hAnsi="Arial" w:cs="Arial"/>
          <w:noProof/>
          <w:sz w:val="20"/>
          <w:szCs w:val="20"/>
        </w:rPr>
        <w:t>17-26.</w:t>
      </w:r>
      <w:r w:rsidRPr="00700075">
        <w:rPr>
          <w:rFonts w:ascii="Arial" w:hAnsi="Arial" w:cs="Arial"/>
          <w:sz w:val="20"/>
          <w:szCs w:val="20"/>
        </w:rPr>
        <w:t xml:space="preserve"> </w:t>
      </w:r>
    </w:p>
    <w:p w14:paraId="35C48ECF" w14:textId="77777777" w:rsidR="00700075" w:rsidRPr="00700075" w:rsidRDefault="00700075" w:rsidP="001C1EED">
      <w:pPr>
        <w:pStyle w:val="ListParagraph"/>
        <w:numPr>
          <w:ilvl w:val="0"/>
          <w:numId w:val="32"/>
        </w:numPr>
        <w:spacing w:line="276" w:lineRule="auto"/>
        <w:rPr>
          <w:rFonts w:ascii="Arial" w:hAnsi="Arial" w:cs="Arial"/>
          <w:sz w:val="20"/>
          <w:szCs w:val="20"/>
        </w:rPr>
      </w:pPr>
      <w:r w:rsidRPr="00700075">
        <w:rPr>
          <w:rFonts w:ascii="Arial" w:hAnsi="Arial" w:cs="Arial"/>
          <w:sz w:val="20"/>
          <w:szCs w:val="20"/>
        </w:rPr>
        <w:t>Our World in Dat, daily confirmed/death cases of COVID-19 from 20 March 2020 to 5 May 2020. https://ourworldindata.org/coronavirus/country/nigeria</w:t>
      </w:r>
    </w:p>
    <w:p w14:paraId="50A75B69"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r w:rsidRPr="00700075">
        <w:rPr>
          <w:rFonts w:ascii="Arial" w:hAnsi="Arial" w:cs="Arial"/>
          <w:sz w:val="20"/>
          <w:szCs w:val="20"/>
        </w:rPr>
        <w:t>Qiuying Yang, Jie Wang, Hongli Ma, Xihao Wang (2020).  Research on COVID-19 based on ARIMA model—Taking Hubei, China as an example to see the epidemic in Italy. Journal of Infection and Public Health,2020, 13(10), 1415 - 1418</w:t>
      </w:r>
    </w:p>
    <w:p w14:paraId="3F6ABE89"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r w:rsidRPr="00700075">
        <w:rPr>
          <w:rFonts w:ascii="Arial" w:hAnsi="Arial" w:cs="Arial"/>
          <w:sz w:val="20"/>
          <w:szCs w:val="20"/>
        </w:rPr>
        <w:t xml:space="preserve">Sahai, A. K., Rath, N., Sood, V., &amp; Singh, M. P. , (ARIMA modelling &amp; forecasting of COVID-19 in top five affected countries. </w:t>
      </w:r>
      <w:r w:rsidRPr="00700075">
        <w:rPr>
          <w:rFonts w:ascii="Arial" w:hAnsi="Arial" w:cs="Arial"/>
          <w:iCs/>
          <w:sz w:val="20"/>
          <w:szCs w:val="20"/>
        </w:rPr>
        <w:t>Diabetes &amp; metabolic syndrome</w:t>
      </w:r>
      <w:r w:rsidRPr="00700075">
        <w:rPr>
          <w:rFonts w:ascii="Arial" w:hAnsi="Arial" w:cs="Arial"/>
          <w:sz w:val="20"/>
          <w:szCs w:val="20"/>
        </w:rPr>
        <w:t xml:space="preserve">, 2020,  </w:t>
      </w:r>
      <w:r w:rsidRPr="00700075">
        <w:rPr>
          <w:rFonts w:ascii="Arial" w:hAnsi="Arial" w:cs="Arial"/>
          <w:iCs/>
          <w:sz w:val="20"/>
          <w:szCs w:val="20"/>
        </w:rPr>
        <w:t>14</w:t>
      </w:r>
      <w:r w:rsidRPr="00700075">
        <w:rPr>
          <w:rFonts w:ascii="Arial" w:hAnsi="Arial" w:cs="Arial"/>
          <w:sz w:val="20"/>
          <w:szCs w:val="20"/>
        </w:rPr>
        <w:t>(5), 1419–1427. https://doi.org/10.1016/j.dsx.2020.07.042</w:t>
      </w:r>
    </w:p>
    <w:p w14:paraId="7D1C5D1D" w14:textId="77777777" w:rsidR="00700075" w:rsidRPr="00700075" w:rsidRDefault="00700075" w:rsidP="001C1EED">
      <w:pPr>
        <w:pStyle w:val="ListParagraph"/>
        <w:numPr>
          <w:ilvl w:val="0"/>
          <w:numId w:val="32"/>
        </w:numPr>
        <w:spacing w:line="276" w:lineRule="auto"/>
        <w:jc w:val="both"/>
        <w:rPr>
          <w:rFonts w:ascii="Arial" w:hAnsi="Arial" w:cs="Arial"/>
          <w:sz w:val="20"/>
          <w:szCs w:val="20"/>
        </w:rPr>
      </w:pPr>
      <w:r w:rsidRPr="00700075">
        <w:rPr>
          <w:rFonts w:ascii="Arial" w:hAnsi="Arial" w:cs="Arial"/>
          <w:bCs/>
          <w:sz w:val="20"/>
          <w:szCs w:val="20"/>
          <w:lang w:val="en-GB"/>
        </w:rPr>
        <w:t>Stübinger, J., &amp; Schneider, L., Epidemiology of coronavirus COVID-19: Forecasting the future incidence in different countries. Healthcare,2020,  8(2).</w:t>
      </w:r>
    </w:p>
    <w:p w14:paraId="6CD0BF61" w14:textId="77777777" w:rsidR="00700075" w:rsidRPr="00700075" w:rsidRDefault="00700075" w:rsidP="00700075">
      <w:pPr>
        <w:pStyle w:val="ListParagraph"/>
        <w:spacing w:line="276" w:lineRule="auto"/>
        <w:jc w:val="both"/>
        <w:rPr>
          <w:rFonts w:ascii="Arial" w:hAnsi="Arial" w:cs="Arial"/>
          <w:sz w:val="20"/>
          <w:szCs w:val="20"/>
        </w:rPr>
      </w:pPr>
    </w:p>
    <w:p w14:paraId="41B952C5" w14:textId="77777777" w:rsidR="00E808F1" w:rsidRPr="00E55E43" w:rsidRDefault="00E808F1" w:rsidP="00441B6F">
      <w:pPr>
        <w:pStyle w:val="ReferHead"/>
        <w:spacing w:after="0"/>
        <w:jc w:val="both"/>
        <w:rPr>
          <w:rFonts w:ascii="Arial" w:hAnsi="Arial" w:cs="Arial"/>
          <w:sz w:val="20"/>
        </w:rPr>
      </w:pPr>
    </w:p>
    <w:p w14:paraId="7DA92A87" w14:textId="77777777" w:rsidR="00E808F1" w:rsidRPr="00E55E43" w:rsidRDefault="00E808F1" w:rsidP="00441B6F">
      <w:pPr>
        <w:pStyle w:val="ReferHead"/>
        <w:spacing w:after="0"/>
        <w:jc w:val="both"/>
        <w:rPr>
          <w:rFonts w:ascii="Arial" w:hAnsi="Arial" w:cs="Arial"/>
          <w:sz w:val="20"/>
        </w:rPr>
      </w:pPr>
    </w:p>
    <w:p w14:paraId="5DD16A83" w14:textId="77777777" w:rsidR="00790ADA" w:rsidRPr="00E55E43" w:rsidRDefault="00790ADA" w:rsidP="00441B6F">
      <w:pPr>
        <w:pStyle w:val="Body"/>
        <w:spacing w:after="0"/>
        <w:rPr>
          <w:rFonts w:ascii="Arial" w:hAnsi="Arial" w:cs="Arial"/>
        </w:rPr>
      </w:pPr>
    </w:p>
    <w:p w14:paraId="45F00BF7" w14:textId="77777777" w:rsidR="00835BC4" w:rsidRPr="00E55E43" w:rsidRDefault="00835BC4">
      <w:pPr>
        <w:rPr>
          <w:rFonts w:ascii="Arial" w:hAnsi="Arial" w:cs="Arial"/>
          <w:b/>
          <w:caps/>
        </w:rPr>
      </w:pPr>
      <w:r w:rsidRPr="00E55E43">
        <w:rPr>
          <w:rFonts w:ascii="Arial" w:hAnsi="Arial" w:cs="Arial"/>
        </w:rPr>
        <w:br w:type="page"/>
      </w:r>
    </w:p>
    <w:p w14:paraId="2507DD8C" w14:textId="77777777" w:rsidR="004D4277" w:rsidRPr="00E55E43" w:rsidRDefault="00B01FCD" w:rsidP="00441B6F">
      <w:pPr>
        <w:pStyle w:val="Appendix"/>
        <w:spacing w:after="0"/>
        <w:jc w:val="both"/>
        <w:rPr>
          <w:rFonts w:ascii="Arial" w:hAnsi="Arial" w:cs="Arial"/>
          <w:b w:val="0"/>
          <w:sz w:val="20"/>
        </w:rPr>
        <w:sectPr w:rsidR="004D4277" w:rsidRPr="00E55E43" w:rsidSect="00055355">
          <w:headerReference w:type="even" r:id="rId29"/>
          <w:headerReference w:type="default" r:id="rId30"/>
          <w:footerReference w:type="default" r:id="rId31"/>
          <w:headerReference w:type="first" r:id="rId32"/>
          <w:type w:val="continuous"/>
          <w:pgSz w:w="12240" w:h="15840"/>
          <w:pgMar w:top="1260" w:right="2016" w:bottom="2016" w:left="2016" w:header="720" w:footer="1123" w:gutter="0"/>
          <w:cols w:space="720"/>
          <w:docGrid w:linePitch="272"/>
        </w:sectPr>
      </w:pPr>
      <w:r w:rsidRPr="00E55E43">
        <w:rPr>
          <w:rFonts w:ascii="Arial" w:hAnsi="Arial" w:cs="Arial"/>
          <w:sz w:val="20"/>
        </w:rPr>
        <w:lastRenderedPageBreak/>
        <w:t>APPENDIX</w:t>
      </w:r>
    </w:p>
    <w:p w14:paraId="39CAFD08" w14:textId="77777777" w:rsidR="00295E23" w:rsidRPr="00E55E43" w:rsidRDefault="00295E23" w:rsidP="001A325D">
      <w:pPr>
        <w:pStyle w:val="NormalWeb"/>
        <w:spacing w:line="480" w:lineRule="auto"/>
        <w:jc w:val="both"/>
        <w:rPr>
          <w:rFonts w:ascii="Arial" w:hAnsi="Arial" w:cs="Arial"/>
          <w:b/>
          <w:sz w:val="20"/>
          <w:szCs w:val="20"/>
        </w:rPr>
      </w:pPr>
      <w:bookmarkStart w:id="7" w:name="_Hlk53425509"/>
      <w:r w:rsidRPr="00E55E43">
        <w:rPr>
          <w:rFonts w:ascii="Arial" w:hAnsi="Arial" w:cs="Arial"/>
          <w:b/>
          <w:sz w:val="20"/>
          <w:szCs w:val="20"/>
        </w:rPr>
        <w:t>Appendix A:</w:t>
      </w:r>
      <w:r w:rsidRPr="00E55E43">
        <w:rPr>
          <w:rFonts w:ascii="Arial" w:hAnsi="Arial" w:cs="Arial"/>
          <w:sz w:val="20"/>
          <w:szCs w:val="20"/>
        </w:rPr>
        <w:t xml:space="preserve"> Daily </w:t>
      </w:r>
      <w:r w:rsidR="001A325D" w:rsidRPr="00E55E43">
        <w:rPr>
          <w:rFonts w:ascii="Arial" w:hAnsi="Arial" w:cs="Arial"/>
          <w:sz w:val="20"/>
          <w:szCs w:val="20"/>
        </w:rPr>
        <w:t>Confirmed</w:t>
      </w:r>
      <w:r w:rsidRPr="00E55E43">
        <w:rPr>
          <w:rFonts w:ascii="Arial" w:hAnsi="Arial" w:cs="Arial"/>
          <w:sz w:val="20"/>
          <w:szCs w:val="20"/>
        </w:rPr>
        <w:t>/Death Cases of COVID-19 in Nigerian from  2</w:t>
      </w:r>
      <w:r w:rsidR="00B466FD" w:rsidRPr="00E55E43">
        <w:rPr>
          <w:rFonts w:ascii="Arial" w:hAnsi="Arial" w:cs="Arial"/>
          <w:sz w:val="20"/>
          <w:szCs w:val="20"/>
        </w:rPr>
        <w:t>0th</w:t>
      </w:r>
      <w:r w:rsidRPr="00E55E43">
        <w:rPr>
          <w:rFonts w:ascii="Arial" w:hAnsi="Arial" w:cs="Arial"/>
          <w:sz w:val="20"/>
          <w:szCs w:val="20"/>
        </w:rPr>
        <w:t xml:space="preserve"> March 2020 to 5</w:t>
      </w:r>
      <w:r w:rsidR="00B466FD" w:rsidRPr="00E55E43">
        <w:rPr>
          <w:rFonts w:ascii="Arial" w:hAnsi="Arial" w:cs="Arial"/>
          <w:sz w:val="20"/>
          <w:szCs w:val="20"/>
        </w:rPr>
        <w:t>th</w:t>
      </w:r>
      <w:r w:rsidRPr="00E55E43">
        <w:rPr>
          <w:rFonts w:ascii="Arial" w:hAnsi="Arial" w:cs="Arial"/>
          <w:sz w:val="20"/>
          <w:szCs w:val="20"/>
        </w:rPr>
        <w:t xml:space="preserve">  May 2020. </w:t>
      </w:r>
      <w:bookmarkEnd w:id="7"/>
      <w:r w:rsidRPr="00E55E43">
        <w:rPr>
          <w:rFonts w:ascii="Arial" w:hAnsi="Arial" w:cs="Arial"/>
          <w:sz w:val="20"/>
          <w:szCs w:val="20"/>
        </w:rPr>
        <w:br/>
      </w:r>
    </w:p>
    <w:tbl>
      <w:tblPr>
        <w:tblW w:w="2880" w:type="dxa"/>
        <w:tblLook w:val="04A0" w:firstRow="1" w:lastRow="0" w:firstColumn="1" w:lastColumn="0" w:noHBand="0" w:noVBand="1"/>
      </w:tblPr>
      <w:tblGrid>
        <w:gridCol w:w="960"/>
        <w:gridCol w:w="1139"/>
        <w:gridCol w:w="945"/>
      </w:tblGrid>
      <w:tr w:rsidR="001A325D" w:rsidRPr="00E55E43" w14:paraId="160BC5F5" w14:textId="77777777" w:rsidTr="001A325D">
        <w:trPr>
          <w:trHeight w:val="900"/>
        </w:trPr>
        <w:tc>
          <w:tcPr>
            <w:tcW w:w="960" w:type="dxa"/>
            <w:tcBorders>
              <w:top w:val="single" w:sz="8" w:space="0" w:color="auto"/>
              <w:left w:val="nil"/>
              <w:bottom w:val="single" w:sz="4" w:space="0" w:color="auto"/>
              <w:right w:val="nil"/>
            </w:tcBorders>
            <w:shd w:val="clear" w:color="auto" w:fill="auto"/>
            <w:noWrap/>
            <w:vAlign w:val="bottom"/>
            <w:hideMark/>
          </w:tcPr>
          <w:p w14:paraId="3B59E616" w14:textId="77777777" w:rsidR="001A325D" w:rsidRPr="00E55E43" w:rsidRDefault="001A325D" w:rsidP="001A325D">
            <w:pPr>
              <w:rPr>
                <w:rFonts w:ascii="Arial" w:hAnsi="Arial" w:cs="Arial"/>
                <w:color w:val="000000"/>
              </w:rPr>
            </w:pPr>
            <w:r w:rsidRPr="00E55E43">
              <w:rPr>
                <w:rFonts w:ascii="Arial" w:hAnsi="Arial" w:cs="Arial"/>
                <w:color w:val="000000"/>
              </w:rPr>
              <w:t>S/N</w:t>
            </w:r>
          </w:p>
        </w:tc>
        <w:tc>
          <w:tcPr>
            <w:tcW w:w="975" w:type="dxa"/>
            <w:tcBorders>
              <w:top w:val="single" w:sz="8" w:space="0" w:color="auto"/>
              <w:left w:val="nil"/>
              <w:bottom w:val="single" w:sz="4" w:space="0" w:color="auto"/>
              <w:right w:val="nil"/>
            </w:tcBorders>
            <w:shd w:val="clear" w:color="auto" w:fill="auto"/>
            <w:vAlign w:val="bottom"/>
            <w:hideMark/>
          </w:tcPr>
          <w:p w14:paraId="02DCAD17" w14:textId="77777777" w:rsidR="001A325D" w:rsidRPr="00E55E43" w:rsidRDefault="001A325D" w:rsidP="001A325D">
            <w:pPr>
              <w:rPr>
                <w:rFonts w:ascii="Arial" w:hAnsi="Arial" w:cs="Arial"/>
                <w:color w:val="000000"/>
              </w:rPr>
            </w:pPr>
            <w:r w:rsidRPr="00E55E43">
              <w:rPr>
                <w:rFonts w:ascii="Arial" w:hAnsi="Arial" w:cs="Arial"/>
                <w:color w:val="000000"/>
              </w:rPr>
              <w:t>Daily Confirmed Cases</w:t>
            </w:r>
          </w:p>
        </w:tc>
        <w:tc>
          <w:tcPr>
            <w:tcW w:w="945" w:type="dxa"/>
            <w:tcBorders>
              <w:top w:val="single" w:sz="8" w:space="0" w:color="auto"/>
              <w:left w:val="nil"/>
              <w:bottom w:val="single" w:sz="4" w:space="0" w:color="auto"/>
              <w:right w:val="nil"/>
            </w:tcBorders>
            <w:shd w:val="clear" w:color="auto" w:fill="auto"/>
            <w:vAlign w:val="bottom"/>
            <w:hideMark/>
          </w:tcPr>
          <w:p w14:paraId="66E90FB0" w14:textId="77777777" w:rsidR="001A325D" w:rsidRPr="00E55E43" w:rsidRDefault="001A325D" w:rsidP="001A325D">
            <w:pPr>
              <w:rPr>
                <w:rFonts w:ascii="Arial" w:hAnsi="Arial" w:cs="Arial"/>
                <w:color w:val="000000"/>
              </w:rPr>
            </w:pPr>
            <w:r w:rsidRPr="00E55E43">
              <w:rPr>
                <w:rFonts w:ascii="Arial" w:hAnsi="Arial" w:cs="Arial"/>
                <w:color w:val="000000"/>
              </w:rPr>
              <w:t>Daily Death Cases</w:t>
            </w:r>
          </w:p>
        </w:tc>
      </w:tr>
      <w:tr w:rsidR="001A325D" w:rsidRPr="00E55E43" w14:paraId="1E5F4866" w14:textId="77777777" w:rsidTr="001A325D">
        <w:trPr>
          <w:trHeight w:val="300"/>
        </w:trPr>
        <w:tc>
          <w:tcPr>
            <w:tcW w:w="960" w:type="dxa"/>
            <w:tcBorders>
              <w:top w:val="nil"/>
              <w:left w:val="nil"/>
              <w:bottom w:val="nil"/>
              <w:right w:val="nil"/>
            </w:tcBorders>
            <w:shd w:val="clear" w:color="auto" w:fill="auto"/>
            <w:noWrap/>
            <w:vAlign w:val="bottom"/>
            <w:hideMark/>
          </w:tcPr>
          <w:p w14:paraId="5CB60B83" w14:textId="77777777" w:rsidR="001A325D" w:rsidRPr="00E55E43" w:rsidRDefault="001A325D" w:rsidP="001A325D">
            <w:pPr>
              <w:rPr>
                <w:rFonts w:ascii="Arial" w:hAnsi="Arial" w:cs="Arial"/>
                <w:color w:val="000000"/>
              </w:rPr>
            </w:pPr>
            <w:r w:rsidRPr="00E55E43">
              <w:rPr>
                <w:rFonts w:ascii="Arial" w:hAnsi="Arial" w:cs="Arial"/>
                <w:color w:val="000000"/>
              </w:rPr>
              <w:t>1</w:t>
            </w:r>
          </w:p>
        </w:tc>
        <w:tc>
          <w:tcPr>
            <w:tcW w:w="975" w:type="dxa"/>
            <w:tcBorders>
              <w:top w:val="nil"/>
              <w:left w:val="nil"/>
              <w:bottom w:val="nil"/>
              <w:right w:val="nil"/>
            </w:tcBorders>
            <w:shd w:val="clear" w:color="auto" w:fill="auto"/>
            <w:noWrap/>
            <w:vAlign w:val="bottom"/>
            <w:hideMark/>
          </w:tcPr>
          <w:p w14:paraId="4EE493AE"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45" w:type="dxa"/>
            <w:tcBorders>
              <w:top w:val="nil"/>
              <w:left w:val="nil"/>
              <w:bottom w:val="nil"/>
              <w:right w:val="nil"/>
            </w:tcBorders>
            <w:shd w:val="clear" w:color="auto" w:fill="auto"/>
            <w:noWrap/>
            <w:vAlign w:val="bottom"/>
            <w:hideMark/>
          </w:tcPr>
          <w:p w14:paraId="3202540D"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D13510A" w14:textId="77777777" w:rsidTr="001A325D">
        <w:trPr>
          <w:trHeight w:val="300"/>
        </w:trPr>
        <w:tc>
          <w:tcPr>
            <w:tcW w:w="960" w:type="dxa"/>
            <w:tcBorders>
              <w:top w:val="nil"/>
              <w:left w:val="nil"/>
              <w:bottom w:val="nil"/>
              <w:right w:val="nil"/>
            </w:tcBorders>
            <w:shd w:val="clear" w:color="auto" w:fill="auto"/>
            <w:noWrap/>
            <w:vAlign w:val="bottom"/>
            <w:hideMark/>
          </w:tcPr>
          <w:p w14:paraId="48692415" w14:textId="77777777" w:rsidR="001A325D" w:rsidRPr="00E55E43" w:rsidRDefault="001A325D" w:rsidP="001A325D">
            <w:pPr>
              <w:rPr>
                <w:rFonts w:ascii="Arial" w:hAnsi="Arial" w:cs="Arial"/>
                <w:color w:val="000000"/>
              </w:rPr>
            </w:pPr>
            <w:r w:rsidRPr="00E55E43">
              <w:rPr>
                <w:rFonts w:ascii="Arial" w:hAnsi="Arial" w:cs="Arial"/>
                <w:color w:val="000000"/>
              </w:rPr>
              <w:t>2</w:t>
            </w:r>
          </w:p>
        </w:tc>
        <w:tc>
          <w:tcPr>
            <w:tcW w:w="975" w:type="dxa"/>
            <w:tcBorders>
              <w:top w:val="nil"/>
              <w:left w:val="nil"/>
              <w:bottom w:val="nil"/>
              <w:right w:val="nil"/>
            </w:tcBorders>
            <w:shd w:val="clear" w:color="auto" w:fill="auto"/>
            <w:noWrap/>
            <w:vAlign w:val="bottom"/>
            <w:hideMark/>
          </w:tcPr>
          <w:p w14:paraId="049A07DC"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45" w:type="dxa"/>
            <w:tcBorders>
              <w:top w:val="nil"/>
              <w:left w:val="nil"/>
              <w:bottom w:val="nil"/>
              <w:right w:val="nil"/>
            </w:tcBorders>
            <w:shd w:val="clear" w:color="auto" w:fill="auto"/>
            <w:noWrap/>
            <w:vAlign w:val="bottom"/>
            <w:hideMark/>
          </w:tcPr>
          <w:p w14:paraId="242C285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6781707" w14:textId="77777777" w:rsidTr="001A325D">
        <w:trPr>
          <w:trHeight w:val="300"/>
        </w:trPr>
        <w:tc>
          <w:tcPr>
            <w:tcW w:w="960" w:type="dxa"/>
            <w:tcBorders>
              <w:top w:val="nil"/>
              <w:left w:val="nil"/>
              <w:bottom w:val="nil"/>
              <w:right w:val="nil"/>
            </w:tcBorders>
            <w:shd w:val="clear" w:color="auto" w:fill="auto"/>
            <w:noWrap/>
            <w:vAlign w:val="bottom"/>
            <w:hideMark/>
          </w:tcPr>
          <w:p w14:paraId="7918CD83" w14:textId="77777777" w:rsidR="001A325D" w:rsidRPr="00E55E43" w:rsidRDefault="001A325D" w:rsidP="001A325D">
            <w:pPr>
              <w:rPr>
                <w:rFonts w:ascii="Arial" w:hAnsi="Arial" w:cs="Arial"/>
                <w:color w:val="000000"/>
              </w:rPr>
            </w:pPr>
            <w:r w:rsidRPr="00E55E43">
              <w:rPr>
                <w:rFonts w:ascii="Arial" w:hAnsi="Arial" w:cs="Arial"/>
                <w:color w:val="000000"/>
              </w:rPr>
              <w:t>3</w:t>
            </w:r>
          </w:p>
        </w:tc>
        <w:tc>
          <w:tcPr>
            <w:tcW w:w="975" w:type="dxa"/>
            <w:tcBorders>
              <w:top w:val="nil"/>
              <w:left w:val="nil"/>
              <w:bottom w:val="nil"/>
              <w:right w:val="nil"/>
            </w:tcBorders>
            <w:shd w:val="clear" w:color="auto" w:fill="auto"/>
            <w:noWrap/>
            <w:vAlign w:val="bottom"/>
            <w:hideMark/>
          </w:tcPr>
          <w:p w14:paraId="47911579" w14:textId="77777777" w:rsidR="001A325D" w:rsidRPr="00E55E43" w:rsidRDefault="001A325D" w:rsidP="001A325D">
            <w:pPr>
              <w:rPr>
                <w:rFonts w:ascii="Arial" w:hAnsi="Arial" w:cs="Arial"/>
                <w:color w:val="000000"/>
              </w:rPr>
            </w:pPr>
            <w:r w:rsidRPr="00E55E43">
              <w:rPr>
                <w:rFonts w:ascii="Arial" w:hAnsi="Arial" w:cs="Arial"/>
                <w:color w:val="000000"/>
              </w:rPr>
              <w:t>8</w:t>
            </w:r>
          </w:p>
        </w:tc>
        <w:tc>
          <w:tcPr>
            <w:tcW w:w="945" w:type="dxa"/>
            <w:tcBorders>
              <w:top w:val="nil"/>
              <w:left w:val="nil"/>
              <w:bottom w:val="nil"/>
              <w:right w:val="nil"/>
            </w:tcBorders>
            <w:shd w:val="clear" w:color="auto" w:fill="auto"/>
            <w:noWrap/>
            <w:vAlign w:val="bottom"/>
            <w:hideMark/>
          </w:tcPr>
          <w:p w14:paraId="23F1989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1B794B1B" w14:textId="77777777" w:rsidTr="001A325D">
        <w:trPr>
          <w:trHeight w:val="300"/>
        </w:trPr>
        <w:tc>
          <w:tcPr>
            <w:tcW w:w="960" w:type="dxa"/>
            <w:tcBorders>
              <w:top w:val="nil"/>
              <w:left w:val="nil"/>
              <w:bottom w:val="nil"/>
              <w:right w:val="nil"/>
            </w:tcBorders>
            <w:shd w:val="clear" w:color="auto" w:fill="auto"/>
            <w:noWrap/>
            <w:vAlign w:val="bottom"/>
            <w:hideMark/>
          </w:tcPr>
          <w:p w14:paraId="48181B2B"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75" w:type="dxa"/>
            <w:tcBorders>
              <w:top w:val="nil"/>
              <w:left w:val="nil"/>
              <w:bottom w:val="nil"/>
              <w:right w:val="nil"/>
            </w:tcBorders>
            <w:shd w:val="clear" w:color="auto" w:fill="auto"/>
            <w:noWrap/>
            <w:vAlign w:val="bottom"/>
            <w:hideMark/>
          </w:tcPr>
          <w:p w14:paraId="5FD7203A"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45" w:type="dxa"/>
            <w:tcBorders>
              <w:top w:val="nil"/>
              <w:left w:val="nil"/>
              <w:bottom w:val="nil"/>
              <w:right w:val="nil"/>
            </w:tcBorders>
            <w:shd w:val="clear" w:color="auto" w:fill="auto"/>
            <w:noWrap/>
            <w:vAlign w:val="bottom"/>
            <w:hideMark/>
          </w:tcPr>
          <w:p w14:paraId="5AFC4894"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19E049AB" w14:textId="77777777" w:rsidTr="001A325D">
        <w:trPr>
          <w:trHeight w:val="300"/>
        </w:trPr>
        <w:tc>
          <w:tcPr>
            <w:tcW w:w="960" w:type="dxa"/>
            <w:tcBorders>
              <w:top w:val="nil"/>
              <w:left w:val="nil"/>
              <w:bottom w:val="nil"/>
              <w:right w:val="nil"/>
            </w:tcBorders>
            <w:shd w:val="clear" w:color="auto" w:fill="auto"/>
            <w:noWrap/>
            <w:vAlign w:val="bottom"/>
            <w:hideMark/>
          </w:tcPr>
          <w:p w14:paraId="17430F85" w14:textId="77777777" w:rsidR="001A325D" w:rsidRPr="00E55E43" w:rsidRDefault="001A325D" w:rsidP="001A325D">
            <w:pPr>
              <w:rPr>
                <w:rFonts w:ascii="Arial" w:hAnsi="Arial" w:cs="Arial"/>
                <w:color w:val="000000"/>
              </w:rPr>
            </w:pPr>
            <w:r w:rsidRPr="00E55E43">
              <w:rPr>
                <w:rFonts w:ascii="Arial" w:hAnsi="Arial" w:cs="Arial"/>
                <w:color w:val="000000"/>
              </w:rPr>
              <w:t>5</w:t>
            </w:r>
          </w:p>
        </w:tc>
        <w:tc>
          <w:tcPr>
            <w:tcW w:w="975" w:type="dxa"/>
            <w:tcBorders>
              <w:top w:val="nil"/>
              <w:left w:val="nil"/>
              <w:bottom w:val="nil"/>
              <w:right w:val="nil"/>
            </w:tcBorders>
            <w:shd w:val="clear" w:color="auto" w:fill="auto"/>
            <w:noWrap/>
            <w:vAlign w:val="bottom"/>
            <w:hideMark/>
          </w:tcPr>
          <w:p w14:paraId="02B72A73" w14:textId="77777777" w:rsidR="001A325D" w:rsidRPr="00E55E43" w:rsidRDefault="001A325D" w:rsidP="001A325D">
            <w:pPr>
              <w:rPr>
                <w:rFonts w:ascii="Arial" w:hAnsi="Arial" w:cs="Arial"/>
                <w:color w:val="000000"/>
              </w:rPr>
            </w:pPr>
            <w:r w:rsidRPr="00E55E43">
              <w:rPr>
                <w:rFonts w:ascii="Arial" w:hAnsi="Arial" w:cs="Arial"/>
                <w:color w:val="000000"/>
              </w:rPr>
              <w:t>4</w:t>
            </w:r>
          </w:p>
        </w:tc>
        <w:tc>
          <w:tcPr>
            <w:tcW w:w="945" w:type="dxa"/>
            <w:tcBorders>
              <w:top w:val="nil"/>
              <w:left w:val="nil"/>
              <w:bottom w:val="nil"/>
              <w:right w:val="nil"/>
            </w:tcBorders>
            <w:shd w:val="clear" w:color="auto" w:fill="auto"/>
            <w:noWrap/>
            <w:vAlign w:val="bottom"/>
            <w:hideMark/>
          </w:tcPr>
          <w:p w14:paraId="47E43C0B"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9011AF5" w14:textId="77777777" w:rsidTr="001A325D">
        <w:trPr>
          <w:trHeight w:val="300"/>
        </w:trPr>
        <w:tc>
          <w:tcPr>
            <w:tcW w:w="960" w:type="dxa"/>
            <w:tcBorders>
              <w:top w:val="nil"/>
              <w:left w:val="nil"/>
              <w:bottom w:val="nil"/>
              <w:right w:val="nil"/>
            </w:tcBorders>
            <w:shd w:val="clear" w:color="auto" w:fill="auto"/>
            <w:noWrap/>
            <w:vAlign w:val="bottom"/>
            <w:hideMark/>
          </w:tcPr>
          <w:p w14:paraId="4C76DD2B" w14:textId="77777777" w:rsidR="001A325D" w:rsidRPr="00E55E43" w:rsidRDefault="001A325D" w:rsidP="001A325D">
            <w:pPr>
              <w:rPr>
                <w:rFonts w:ascii="Arial" w:hAnsi="Arial" w:cs="Arial"/>
                <w:color w:val="000000"/>
              </w:rPr>
            </w:pPr>
            <w:r w:rsidRPr="00E55E43">
              <w:rPr>
                <w:rFonts w:ascii="Arial" w:hAnsi="Arial" w:cs="Arial"/>
                <w:color w:val="000000"/>
              </w:rPr>
              <w:t>6</w:t>
            </w:r>
          </w:p>
        </w:tc>
        <w:tc>
          <w:tcPr>
            <w:tcW w:w="975" w:type="dxa"/>
            <w:tcBorders>
              <w:top w:val="nil"/>
              <w:left w:val="nil"/>
              <w:bottom w:val="nil"/>
              <w:right w:val="nil"/>
            </w:tcBorders>
            <w:shd w:val="clear" w:color="auto" w:fill="auto"/>
            <w:noWrap/>
            <w:vAlign w:val="bottom"/>
            <w:hideMark/>
          </w:tcPr>
          <w:p w14:paraId="070F8F5E" w14:textId="77777777" w:rsidR="001A325D" w:rsidRPr="00E55E43" w:rsidRDefault="001A325D" w:rsidP="001A325D">
            <w:pPr>
              <w:rPr>
                <w:rFonts w:ascii="Arial" w:hAnsi="Arial" w:cs="Arial"/>
                <w:color w:val="000000"/>
              </w:rPr>
            </w:pPr>
            <w:r w:rsidRPr="00E55E43">
              <w:rPr>
                <w:rFonts w:ascii="Arial" w:hAnsi="Arial" w:cs="Arial"/>
                <w:color w:val="000000"/>
              </w:rPr>
              <w:t>7</w:t>
            </w:r>
          </w:p>
        </w:tc>
        <w:tc>
          <w:tcPr>
            <w:tcW w:w="945" w:type="dxa"/>
            <w:tcBorders>
              <w:top w:val="nil"/>
              <w:left w:val="nil"/>
              <w:bottom w:val="nil"/>
              <w:right w:val="nil"/>
            </w:tcBorders>
            <w:shd w:val="clear" w:color="auto" w:fill="auto"/>
            <w:noWrap/>
            <w:vAlign w:val="bottom"/>
            <w:hideMark/>
          </w:tcPr>
          <w:p w14:paraId="7AFBCD54"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00FAD79" w14:textId="77777777" w:rsidTr="001A325D">
        <w:trPr>
          <w:trHeight w:val="300"/>
        </w:trPr>
        <w:tc>
          <w:tcPr>
            <w:tcW w:w="960" w:type="dxa"/>
            <w:tcBorders>
              <w:top w:val="nil"/>
              <w:left w:val="nil"/>
              <w:bottom w:val="nil"/>
              <w:right w:val="nil"/>
            </w:tcBorders>
            <w:shd w:val="clear" w:color="auto" w:fill="auto"/>
            <w:noWrap/>
            <w:vAlign w:val="bottom"/>
            <w:hideMark/>
          </w:tcPr>
          <w:p w14:paraId="2A740431" w14:textId="77777777" w:rsidR="001A325D" w:rsidRPr="00E55E43" w:rsidRDefault="001A325D" w:rsidP="001A325D">
            <w:pPr>
              <w:rPr>
                <w:rFonts w:ascii="Arial" w:hAnsi="Arial" w:cs="Arial"/>
                <w:color w:val="000000"/>
              </w:rPr>
            </w:pPr>
            <w:r w:rsidRPr="00E55E43">
              <w:rPr>
                <w:rFonts w:ascii="Arial" w:hAnsi="Arial" w:cs="Arial"/>
                <w:color w:val="000000"/>
              </w:rPr>
              <w:t>7</w:t>
            </w:r>
          </w:p>
        </w:tc>
        <w:tc>
          <w:tcPr>
            <w:tcW w:w="975" w:type="dxa"/>
            <w:tcBorders>
              <w:top w:val="nil"/>
              <w:left w:val="nil"/>
              <w:bottom w:val="nil"/>
              <w:right w:val="nil"/>
            </w:tcBorders>
            <w:shd w:val="clear" w:color="auto" w:fill="auto"/>
            <w:noWrap/>
            <w:vAlign w:val="bottom"/>
            <w:hideMark/>
          </w:tcPr>
          <w:p w14:paraId="3FD1A7D0" w14:textId="77777777" w:rsidR="001A325D" w:rsidRPr="00E55E43" w:rsidRDefault="001A325D" w:rsidP="001A325D">
            <w:pPr>
              <w:rPr>
                <w:rFonts w:ascii="Arial" w:hAnsi="Arial" w:cs="Arial"/>
                <w:color w:val="000000"/>
              </w:rPr>
            </w:pPr>
            <w:r w:rsidRPr="00E55E43">
              <w:rPr>
                <w:rFonts w:ascii="Arial" w:hAnsi="Arial" w:cs="Arial"/>
                <w:color w:val="000000"/>
              </w:rPr>
              <w:t>14</w:t>
            </w:r>
          </w:p>
        </w:tc>
        <w:tc>
          <w:tcPr>
            <w:tcW w:w="945" w:type="dxa"/>
            <w:tcBorders>
              <w:top w:val="nil"/>
              <w:left w:val="nil"/>
              <w:bottom w:val="nil"/>
              <w:right w:val="nil"/>
            </w:tcBorders>
            <w:shd w:val="clear" w:color="auto" w:fill="auto"/>
            <w:noWrap/>
            <w:vAlign w:val="bottom"/>
            <w:hideMark/>
          </w:tcPr>
          <w:p w14:paraId="691FB27F"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F8021F1" w14:textId="77777777" w:rsidTr="001A325D">
        <w:trPr>
          <w:trHeight w:val="300"/>
        </w:trPr>
        <w:tc>
          <w:tcPr>
            <w:tcW w:w="960" w:type="dxa"/>
            <w:tcBorders>
              <w:top w:val="nil"/>
              <w:left w:val="nil"/>
              <w:bottom w:val="nil"/>
              <w:right w:val="nil"/>
            </w:tcBorders>
            <w:shd w:val="clear" w:color="auto" w:fill="auto"/>
            <w:noWrap/>
            <w:vAlign w:val="bottom"/>
            <w:hideMark/>
          </w:tcPr>
          <w:p w14:paraId="747EADAE" w14:textId="77777777" w:rsidR="001A325D" w:rsidRPr="00E55E43" w:rsidRDefault="001A325D" w:rsidP="001A325D">
            <w:pPr>
              <w:rPr>
                <w:rFonts w:ascii="Arial" w:hAnsi="Arial" w:cs="Arial"/>
                <w:color w:val="000000"/>
              </w:rPr>
            </w:pPr>
            <w:r w:rsidRPr="00E55E43">
              <w:rPr>
                <w:rFonts w:ascii="Arial" w:hAnsi="Arial" w:cs="Arial"/>
                <w:color w:val="000000"/>
              </w:rPr>
              <w:t>8</w:t>
            </w:r>
          </w:p>
        </w:tc>
        <w:tc>
          <w:tcPr>
            <w:tcW w:w="975" w:type="dxa"/>
            <w:tcBorders>
              <w:top w:val="nil"/>
              <w:left w:val="nil"/>
              <w:bottom w:val="nil"/>
              <w:right w:val="nil"/>
            </w:tcBorders>
            <w:shd w:val="clear" w:color="auto" w:fill="auto"/>
            <w:noWrap/>
            <w:vAlign w:val="bottom"/>
            <w:hideMark/>
          </w:tcPr>
          <w:p w14:paraId="3AD9EB4B"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55245FE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07D27CF6" w14:textId="77777777" w:rsidTr="001A325D">
        <w:trPr>
          <w:trHeight w:val="300"/>
        </w:trPr>
        <w:tc>
          <w:tcPr>
            <w:tcW w:w="960" w:type="dxa"/>
            <w:tcBorders>
              <w:top w:val="nil"/>
              <w:left w:val="nil"/>
              <w:bottom w:val="nil"/>
              <w:right w:val="nil"/>
            </w:tcBorders>
            <w:shd w:val="clear" w:color="auto" w:fill="auto"/>
            <w:noWrap/>
            <w:vAlign w:val="bottom"/>
            <w:hideMark/>
          </w:tcPr>
          <w:p w14:paraId="21A31283" w14:textId="77777777" w:rsidR="001A325D" w:rsidRPr="00E55E43" w:rsidRDefault="001A325D" w:rsidP="001A325D">
            <w:pPr>
              <w:rPr>
                <w:rFonts w:ascii="Arial" w:hAnsi="Arial" w:cs="Arial"/>
                <w:color w:val="000000"/>
              </w:rPr>
            </w:pPr>
            <w:r w:rsidRPr="00E55E43">
              <w:rPr>
                <w:rFonts w:ascii="Arial" w:hAnsi="Arial" w:cs="Arial"/>
                <w:color w:val="000000"/>
              </w:rPr>
              <w:t>9</w:t>
            </w:r>
          </w:p>
        </w:tc>
        <w:tc>
          <w:tcPr>
            <w:tcW w:w="975" w:type="dxa"/>
            <w:tcBorders>
              <w:top w:val="nil"/>
              <w:left w:val="nil"/>
              <w:bottom w:val="nil"/>
              <w:right w:val="nil"/>
            </w:tcBorders>
            <w:shd w:val="clear" w:color="auto" w:fill="auto"/>
            <w:noWrap/>
            <w:vAlign w:val="bottom"/>
            <w:hideMark/>
          </w:tcPr>
          <w:p w14:paraId="0809FE17"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02656B5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613EBFF" w14:textId="77777777" w:rsidTr="001A325D">
        <w:trPr>
          <w:trHeight w:val="300"/>
        </w:trPr>
        <w:tc>
          <w:tcPr>
            <w:tcW w:w="960" w:type="dxa"/>
            <w:tcBorders>
              <w:top w:val="nil"/>
              <w:left w:val="nil"/>
              <w:bottom w:val="nil"/>
              <w:right w:val="nil"/>
            </w:tcBorders>
            <w:shd w:val="clear" w:color="auto" w:fill="auto"/>
            <w:noWrap/>
            <w:vAlign w:val="bottom"/>
            <w:hideMark/>
          </w:tcPr>
          <w:p w14:paraId="311092E2" w14:textId="77777777" w:rsidR="001A325D" w:rsidRPr="00E55E43" w:rsidRDefault="001A325D" w:rsidP="001A325D">
            <w:pPr>
              <w:rPr>
                <w:rFonts w:ascii="Arial" w:hAnsi="Arial" w:cs="Arial"/>
                <w:color w:val="000000"/>
              </w:rPr>
            </w:pPr>
            <w:r w:rsidRPr="00E55E43">
              <w:rPr>
                <w:rFonts w:ascii="Arial" w:hAnsi="Arial" w:cs="Arial"/>
                <w:color w:val="000000"/>
              </w:rPr>
              <w:t>10</w:t>
            </w:r>
          </w:p>
        </w:tc>
        <w:tc>
          <w:tcPr>
            <w:tcW w:w="975" w:type="dxa"/>
            <w:tcBorders>
              <w:top w:val="nil"/>
              <w:left w:val="nil"/>
              <w:bottom w:val="nil"/>
              <w:right w:val="nil"/>
            </w:tcBorders>
            <w:shd w:val="clear" w:color="auto" w:fill="auto"/>
            <w:noWrap/>
            <w:vAlign w:val="bottom"/>
            <w:hideMark/>
          </w:tcPr>
          <w:p w14:paraId="63DFA455" w14:textId="77777777" w:rsidR="001A325D" w:rsidRPr="00E55E43" w:rsidRDefault="001A325D" w:rsidP="001A325D">
            <w:pPr>
              <w:rPr>
                <w:rFonts w:ascii="Arial" w:hAnsi="Arial" w:cs="Arial"/>
                <w:color w:val="000000"/>
              </w:rPr>
            </w:pPr>
            <w:r w:rsidRPr="00E55E43">
              <w:rPr>
                <w:rFonts w:ascii="Arial" w:hAnsi="Arial" w:cs="Arial"/>
                <w:color w:val="000000"/>
              </w:rPr>
              <w:t>0</w:t>
            </w:r>
          </w:p>
        </w:tc>
        <w:tc>
          <w:tcPr>
            <w:tcW w:w="945" w:type="dxa"/>
            <w:tcBorders>
              <w:top w:val="nil"/>
              <w:left w:val="nil"/>
              <w:bottom w:val="nil"/>
              <w:right w:val="nil"/>
            </w:tcBorders>
            <w:shd w:val="clear" w:color="auto" w:fill="auto"/>
            <w:noWrap/>
            <w:vAlign w:val="bottom"/>
            <w:hideMark/>
          </w:tcPr>
          <w:p w14:paraId="15B04356"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75CB1080" w14:textId="77777777" w:rsidTr="001A325D">
        <w:trPr>
          <w:trHeight w:val="300"/>
        </w:trPr>
        <w:tc>
          <w:tcPr>
            <w:tcW w:w="960" w:type="dxa"/>
            <w:tcBorders>
              <w:top w:val="nil"/>
              <w:left w:val="nil"/>
              <w:bottom w:val="nil"/>
              <w:right w:val="nil"/>
            </w:tcBorders>
            <w:shd w:val="clear" w:color="auto" w:fill="auto"/>
            <w:noWrap/>
            <w:vAlign w:val="bottom"/>
            <w:hideMark/>
          </w:tcPr>
          <w:p w14:paraId="6551607D" w14:textId="77777777" w:rsidR="001A325D" w:rsidRPr="00E55E43" w:rsidRDefault="001A325D" w:rsidP="001A325D">
            <w:pPr>
              <w:rPr>
                <w:rFonts w:ascii="Arial" w:hAnsi="Arial" w:cs="Arial"/>
                <w:color w:val="000000"/>
              </w:rPr>
            </w:pPr>
            <w:r w:rsidRPr="00E55E43">
              <w:rPr>
                <w:rFonts w:ascii="Arial" w:hAnsi="Arial" w:cs="Arial"/>
                <w:color w:val="000000"/>
              </w:rPr>
              <w:t>11</w:t>
            </w:r>
          </w:p>
        </w:tc>
        <w:tc>
          <w:tcPr>
            <w:tcW w:w="975" w:type="dxa"/>
            <w:tcBorders>
              <w:top w:val="nil"/>
              <w:left w:val="nil"/>
              <w:bottom w:val="nil"/>
              <w:right w:val="nil"/>
            </w:tcBorders>
            <w:shd w:val="clear" w:color="auto" w:fill="auto"/>
            <w:noWrap/>
            <w:vAlign w:val="bottom"/>
            <w:hideMark/>
          </w:tcPr>
          <w:p w14:paraId="7DEF86DB" w14:textId="77777777" w:rsidR="001A325D" w:rsidRPr="00E55E43" w:rsidRDefault="001A325D" w:rsidP="001A325D">
            <w:pPr>
              <w:rPr>
                <w:rFonts w:ascii="Arial" w:hAnsi="Arial" w:cs="Arial"/>
                <w:color w:val="000000"/>
              </w:rPr>
            </w:pPr>
            <w:r w:rsidRPr="00E55E43">
              <w:rPr>
                <w:rFonts w:ascii="Arial" w:hAnsi="Arial" w:cs="Arial"/>
                <w:color w:val="000000"/>
              </w:rPr>
              <w:t>34</w:t>
            </w:r>
          </w:p>
        </w:tc>
        <w:tc>
          <w:tcPr>
            <w:tcW w:w="945" w:type="dxa"/>
            <w:tcBorders>
              <w:top w:val="nil"/>
              <w:left w:val="nil"/>
              <w:bottom w:val="nil"/>
              <w:right w:val="nil"/>
            </w:tcBorders>
            <w:shd w:val="clear" w:color="auto" w:fill="auto"/>
            <w:noWrap/>
            <w:vAlign w:val="bottom"/>
            <w:hideMark/>
          </w:tcPr>
          <w:p w14:paraId="69156B87"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7466B729" w14:textId="77777777" w:rsidTr="001A325D">
        <w:trPr>
          <w:trHeight w:val="300"/>
        </w:trPr>
        <w:tc>
          <w:tcPr>
            <w:tcW w:w="960" w:type="dxa"/>
            <w:tcBorders>
              <w:top w:val="nil"/>
              <w:left w:val="nil"/>
              <w:bottom w:val="nil"/>
              <w:right w:val="nil"/>
            </w:tcBorders>
            <w:shd w:val="clear" w:color="auto" w:fill="auto"/>
            <w:noWrap/>
            <w:vAlign w:val="bottom"/>
            <w:hideMark/>
          </w:tcPr>
          <w:p w14:paraId="0A450560" w14:textId="77777777" w:rsidR="001A325D" w:rsidRPr="00E55E43" w:rsidRDefault="001A325D" w:rsidP="001A325D">
            <w:pPr>
              <w:rPr>
                <w:rFonts w:ascii="Arial" w:hAnsi="Arial" w:cs="Arial"/>
                <w:color w:val="000000"/>
              </w:rPr>
            </w:pPr>
            <w:r w:rsidRPr="00E55E43">
              <w:rPr>
                <w:rFonts w:ascii="Arial" w:hAnsi="Arial" w:cs="Arial"/>
                <w:color w:val="000000"/>
              </w:rPr>
              <w:t>12</w:t>
            </w:r>
          </w:p>
        </w:tc>
        <w:tc>
          <w:tcPr>
            <w:tcW w:w="975" w:type="dxa"/>
            <w:tcBorders>
              <w:top w:val="nil"/>
              <w:left w:val="nil"/>
              <w:bottom w:val="nil"/>
              <w:right w:val="nil"/>
            </w:tcBorders>
            <w:shd w:val="clear" w:color="auto" w:fill="auto"/>
            <w:noWrap/>
            <w:vAlign w:val="bottom"/>
            <w:hideMark/>
          </w:tcPr>
          <w:p w14:paraId="14EBE58E" w14:textId="77777777" w:rsidR="001A325D" w:rsidRPr="00E55E43" w:rsidRDefault="001A325D" w:rsidP="001A325D">
            <w:pPr>
              <w:rPr>
                <w:rFonts w:ascii="Arial" w:hAnsi="Arial" w:cs="Arial"/>
                <w:color w:val="000000"/>
              </w:rPr>
            </w:pPr>
            <w:r w:rsidRPr="00E55E43">
              <w:rPr>
                <w:rFonts w:ascii="Arial" w:hAnsi="Arial" w:cs="Arial"/>
                <w:color w:val="000000"/>
              </w:rPr>
              <w:t>0</w:t>
            </w:r>
          </w:p>
        </w:tc>
        <w:tc>
          <w:tcPr>
            <w:tcW w:w="945" w:type="dxa"/>
            <w:tcBorders>
              <w:top w:val="nil"/>
              <w:left w:val="nil"/>
              <w:bottom w:val="nil"/>
              <w:right w:val="nil"/>
            </w:tcBorders>
            <w:shd w:val="clear" w:color="auto" w:fill="auto"/>
            <w:noWrap/>
            <w:vAlign w:val="bottom"/>
            <w:hideMark/>
          </w:tcPr>
          <w:p w14:paraId="38D23C79"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2A5BC54" w14:textId="77777777" w:rsidTr="001A325D">
        <w:trPr>
          <w:trHeight w:val="300"/>
        </w:trPr>
        <w:tc>
          <w:tcPr>
            <w:tcW w:w="960" w:type="dxa"/>
            <w:tcBorders>
              <w:top w:val="nil"/>
              <w:left w:val="nil"/>
              <w:bottom w:val="nil"/>
              <w:right w:val="nil"/>
            </w:tcBorders>
            <w:shd w:val="clear" w:color="auto" w:fill="auto"/>
            <w:noWrap/>
            <w:vAlign w:val="bottom"/>
            <w:hideMark/>
          </w:tcPr>
          <w:p w14:paraId="238D8B7E" w14:textId="77777777" w:rsidR="001A325D" w:rsidRPr="00E55E43" w:rsidRDefault="001A325D" w:rsidP="001A325D">
            <w:pPr>
              <w:rPr>
                <w:rFonts w:ascii="Arial" w:hAnsi="Arial" w:cs="Arial"/>
                <w:color w:val="000000"/>
              </w:rPr>
            </w:pPr>
            <w:r w:rsidRPr="00E55E43">
              <w:rPr>
                <w:rFonts w:ascii="Arial" w:hAnsi="Arial" w:cs="Arial"/>
                <w:color w:val="000000"/>
              </w:rPr>
              <w:t>13</w:t>
            </w:r>
          </w:p>
        </w:tc>
        <w:tc>
          <w:tcPr>
            <w:tcW w:w="975" w:type="dxa"/>
            <w:tcBorders>
              <w:top w:val="nil"/>
              <w:left w:val="nil"/>
              <w:bottom w:val="nil"/>
              <w:right w:val="nil"/>
            </w:tcBorders>
            <w:shd w:val="clear" w:color="auto" w:fill="auto"/>
            <w:noWrap/>
            <w:vAlign w:val="bottom"/>
            <w:hideMark/>
          </w:tcPr>
          <w:p w14:paraId="082D3452"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493CF592"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4A22479" w14:textId="77777777" w:rsidTr="001A325D">
        <w:trPr>
          <w:trHeight w:val="300"/>
        </w:trPr>
        <w:tc>
          <w:tcPr>
            <w:tcW w:w="960" w:type="dxa"/>
            <w:tcBorders>
              <w:top w:val="nil"/>
              <w:left w:val="nil"/>
              <w:bottom w:val="nil"/>
              <w:right w:val="nil"/>
            </w:tcBorders>
            <w:shd w:val="clear" w:color="auto" w:fill="auto"/>
            <w:noWrap/>
            <w:vAlign w:val="bottom"/>
            <w:hideMark/>
          </w:tcPr>
          <w:p w14:paraId="6B36B7A2" w14:textId="77777777" w:rsidR="001A325D" w:rsidRPr="00E55E43" w:rsidRDefault="001A325D" w:rsidP="001A325D">
            <w:pPr>
              <w:rPr>
                <w:rFonts w:ascii="Arial" w:hAnsi="Arial" w:cs="Arial"/>
                <w:color w:val="000000"/>
              </w:rPr>
            </w:pPr>
            <w:r w:rsidRPr="00E55E43">
              <w:rPr>
                <w:rFonts w:ascii="Arial" w:hAnsi="Arial" w:cs="Arial"/>
                <w:color w:val="000000"/>
              </w:rPr>
              <w:t>14</w:t>
            </w:r>
          </w:p>
        </w:tc>
        <w:tc>
          <w:tcPr>
            <w:tcW w:w="975" w:type="dxa"/>
            <w:tcBorders>
              <w:top w:val="nil"/>
              <w:left w:val="nil"/>
              <w:bottom w:val="nil"/>
              <w:right w:val="nil"/>
            </w:tcBorders>
            <w:shd w:val="clear" w:color="auto" w:fill="auto"/>
            <w:noWrap/>
            <w:vAlign w:val="bottom"/>
            <w:hideMark/>
          </w:tcPr>
          <w:p w14:paraId="2D2FA8E1" w14:textId="77777777" w:rsidR="001A325D" w:rsidRPr="00E55E43" w:rsidRDefault="001A325D" w:rsidP="001A325D">
            <w:pPr>
              <w:rPr>
                <w:rFonts w:ascii="Arial" w:hAnsi="Arial" w:cs="Arial"/>
                <w:color w:val="000000"/>
              </w:rPr>
            </w:pPr>
            <w:r w:rsidRPr="00E55E43">
              <w:rPr>
                <w:rFonts w:ascii="Arial" w:hAnsi="Arial" w:cs="Arial"/>
                <w:color w:val="000000"/>
              </w:rPr>
              <w:t>23</w:t>
            </w:r>
          </w:p>
        </w:tc>
        <w:tc>
          <w:tcPr>
            <w:tcW w:w="945" w:type="dxa"/>
            <w:tcBorders>
              <w:top w:val="nil"/>
              <w:left w:val="nil"/>
              <w:bottom w:val="nil"/>
              <w:right w:val="nil"/>
            </w:tcBorders>
            <w:shd w:val="clear" w:color="auto" w:fill="auto"/>
            <w:noWrap/>
            <w:vAlign w:val="bottom"/>
            <w:hideMark/>
          </w:tcPr>
          <w:p w14:paraId="186E904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19986AA0" w14:textId="77777777" w:rsidTr="001A325D">
        <w:trPr>
          <w:trHeight w:val="300"/>
        </w:trPr>
        <w:tc>
          <w:tcPr>
            <w:tcW w:w="960" w:type="dxa"/>
            <w:tcBorders>
              <w:top w:val="nil"/>
              <w:left w:val="nil"/>
              <w:bottom w:val="nil"/>
              <w:right w:val="nil"/>
            </w:tcBorders>
            <w:shd w:val="clear" w:color="auto" w:fill="auto"/>
            <w:noWrap/>
            <w:vAlign w:val="bottom"/>
            <w:hideMark/>
          </w:tcPr>
          <w:p w14:paraId="3B5E1BA3" w14:textId="77777777" w:rsidR="001A325D" w:rsidRPr="00E55E43" w:rsidRDefault="001A325D" w:rsidP="001A325D">
            <w:pPr>
              <w:rPr>
                <w:rFonts w:ascii="Arial" w:hAnsi="Arial" w:cs="Arial"/>
                <w:color w:val="000000"/>
              </w:rPr>
            </w:pPr>
            <w:r w:rsidRPr="00E55E43">
              <w:rPr>
                <w:rFonts w:ascii="Arial" w:hAnsi="Arial" w:cs="Arial"/>
                <w:color w:val="000000"/>
              </w:rPr>
              <w:t>15</w:t>
            </w:r>
          </w:p>
        </w:tc>
        <w:tc>
          <w:tcPr>
            <w:tcW w:w="975" w:type="dxa"/>
            <w:tcBorders>
              <w:top w:val="nil"/>
              <w:left w:val="nil"/>
              <w:bottom w:val="nil"/>
              <w:right w:val="nil"/>
            </w:tcBorders>
            <w:shd w:val="clear" w:color="auto" w:fill="auto"/>
            <w:noWrap/>
            <w:vAlign w:val="bottom"/>
            <w:hideMark/>
          </w:tcPr>
          <w:p w14:paraId="2457025A"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3901EAC5"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53426FE" w14:textId="77777777" w:rsidTr="001A325D">
        <w:trPr>
          <w:trHeight w:val="300"/>
        </w:trPr>
        <w:tc>
          <w:tcPr>
            <w:tcW w:w="960" w:type="dxa"/>
            <w:tcBorders>
              <w:top w:val="nil"/>
              <w:left w:val="nil"/>
              <w:bottom w:val="nil"/>
              <w:right w:val="nil"/>
            </w:tcBorders>
            <w:shd w:val="clear" w:color="auto" w:fill="auto"/>
            <w:noWrap/>
            <w:vAlign w:val="bottom"/>
            <w:hideMark/>
          </w:tcPr>
          <w:p w14:paraId="073F348D"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75" w:type="dxa"/>
            <w:tcBorders>
              <w:top w:val="nil"/>
              <w:left w:val="nil"/>
              <w:bottom w:val="nil"/>
              <w:right w:val="nil"/>
            </w:tcBorders>
            <w:shd w:val="clear" w:color="auto" w:fill="auto"/>
            <w:noWrap/>
            <w:vAlign w:val="bottom"/>
            <w:hideMark/>
          </w:tcPr>
          <w:p w14:paraId="1ECFB016"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20A2EB93"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42DA2FF7" w14:textId="77777777" w:rsidTr="001A325D">
        <w:trPr>
          <w:trHeight w:val="300"/>
        </w:trPr>
        <w:tc>
          <w:tcPr>
            <w:tcW w:w="960" w:type="dxa"/>
            <w:tcBorders>
              <w:top w:val="nil"/>
              <w:left w:val="nil"/>
              <w:bottom w:val="nil"/>
              <w:right w:val="nil"/>
            </w:tcBorders>
            <w:shd w:val="clear" w:color="auto" w:fill="auto"/>
            <w:noWrap/>
            <w:vAlign w:val="bottom"/>
            <w:hideMark/>
          </w:tcPr>
          <w:p w14:paraId="5CC8A7C7" w14:textId="77777777" w:rsidR="001A325D" w:rsidRPr="00E55E43" w:rsidRDefault="001A325D" w:rsidP="001A325D">
            <w:pPr>
              <w:rPr>
                <w:rFonts w:ascii="Arial" w:hAnsi="Arial" w:cs="Arial"/>
                <w:color w:val="000000"/>
              </w:rPr>
            </w:pPr>
            <w:r w:rsidRPr="00E55E43">
              <w:rPr>
                <w:rFonts w:ascii="Arial" w:hAnsi="Arial" w:cs="Arial"/>
                <w:color w:val="000000"/>
              </w:rPr>
              <w:t>17</w:t>
            </w:r>
          </w:p>
        </w:tc>
        <w:tc>
          <w:tcPr>
            <w:tcW w:w="975" w:type="dxa"/>
            <w:tcBorders>
              <w:top w:val="nil"/>
              <w:left w:val="nil"/>
              <w:bottom w:val="nil"/>
              <w:right w:val="nil"/>
            </w:tcBorders>
            <w:shd w:val="clear" w:color="auto" w:fill="auto"/>
            <w:noWrap/>
            <w:vAlign w:val="bottom"/>
            <w:hideMark/>
          </w:tcPr>
          <w:p w14:paraId="18D95E67"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45" w:type="dxa"/>
            <w:tcBorders>
              <w:top w:val="nil"/>
              <w:left w:val="nil"/>
              <w:bottom w:val="nil"/>
              <w:right w:val="nil"/>
            </w:tcBorders>
            <w:shd w:val="clear" w:color="auto" w:fill="auto"/>
            <w:noWrap/>
            <w:vAlign w:val="bottom"/>
            <w:hideMark/>
          </w:tcPr>
          <w:p w14:paraId="6607587A"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F5EF98D" w14:textId="77777777" w:rsidTr="001A325D">
        <w:trPr>
          <w:trHeight w:val="300"/>
        </w:trPr>
        <w:tc>
          <w:tcPr>
            <w:tcW w:w="960" w:type="dxa"/>
            <w:tcBorders>
              <w:top w:val="nil"/>
              <w:left w:val="nil"/>
              <w:bottom w:val="nil"/>
              <w:right w:val="nil"/>
            </w:tcBorders>
            <w:shd w:val="clear" w:color="auto" w:fill="auto"/>
            <w:noWrap/>
            <w:vAlign w:val="bottom"/>
            <w:hideMark/>
          </w:tcPr>
          <w:p w14:paraId="476EE2EF" w14:textId="77777777" w:rsidR="001A325D" w:rsidRPr="00E55E43" w:rsidRDefault="001A325D" w:rsidP="001A325D">
            <w:pPr>
              <w:rPr>
                <w:rFonts w:ascii="Arial" w:hAnsi="Arial" w:cs="Arial"/>
                <w:color w:val="000000"/>
              </w:rPr>
            </w:pPr>
            <w:r w:rsidRPr="00E55E43">
              <w:rPr>
                <w:rFonts w:ascii="Arial" w:hAnsi="Arial" w:cs="Arial"/>
                <w:color w:val="000000"/>
              </w:rPr>
              <w:t>18</w:t>
            </w:r>
          </w:p>
        </w:tc>
        <w:tc>
          <w:tcPr>
            <w:tcW w:w="975" w:type="dxa"/>
            <w:tcBorders>
              <w:top w:val="nil"/>
              <w:left w:val="nil"/>
              <w:bottom w:val="nil"/>
              <w:right w:val="nil"/>
            </w:tcBorders>
            <w:shd w:val="clear" w:color="auto" w:fill="auto"/>
            <w:noWrap/>
            <w:vAlign w:val="bottom"/>
            <w:hideMark/>
          </w:tcPr>
          <w:p w14:paraId="0404BA41" w14:textId="77777777" w:rsidR="001A325D" w:rsidRPr="00E55E43" w:rsidRDefault="001A325D" w:rsidP="001A325D">
            <w:pPr>
              <w:rPr>
                <w:rFonts w:ascii="Arial" w:hAnsi="Arial" w:cs="Arial"/>
                <w:color w:val="000000"/>
              </w:rPr>
            </w:pPr>
            <w:r w:rsidRPr="00E55E43">
              <w:rPr>
                <w:rFonts w:ascii="Arial" w:hAnsi="Arial" w:cs="Arial"/>
                <w:color w:val="000000"/>
              </w:rPr>
              <w:t>6</w:t>
            </w:r>
          </w:p>
        </w:tc>
        <w:tc>
          <w:tcPr>
            <w:tcW w:w="945" w:type="dxa"/>
            <w:tcBorders>
              <w:top w:val="nil"/>
              <w:left w:val="nil"/>
              <w:bottom w:val="nil"/>
              <w:right w:val="nil"/>
            </w:tcBorders>
            <w:shd w:val="clear" w:color="auto" w:fill="auto"/>
            <w:noWrap/>
            <w:vAlign w:val="bottom"/>
            <w:hideMark/>
          </w:tcPr>
          <w:p w14:paraId="4469F16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40220761" w14:textId="77777777" w:rsidTr="001A325D">
        <w:trPr>
          <w:trHeight w:val="300"/>
        </w:trPr>
        <w:tc>
          <w:tcPr>
            <w:tcW w:w="960" w:type="dxa"/>
            <w:tcBorders>
              <w:top w:val="nil"/>
              <w:left w:val="nil"/>
              <w:bottom w:val="nil"/>
              <w:right w:val="nil"/>
            </w:tcBorders>
            <w:shd w:val="clear" w:color="auto" w:fill="auto"/>
            <w:noWrap/>
            <w:vAlign w:val="bottom"/>
            <w:hideMark/>
          </w:tcPr>
          <w:p w14:paraId="699856BC" w14:textId="77777777" w:rsidR="001A325D" w:rsidRPr="00E55E43" w:rsidRDefault="001A325D" w:rsidP="001A325D">
            <w:pPr>
              <w:rPr>
                <w:rFonts w:ascii="Arial" w:hAnsi="Arial" w:cs="Arial"/>
                <w:color w:val="000000"/>
              </w:rPr>
            </w:pPr>
            <w:r w:rsidRPr="00E55E43">
              <w:rPr>
                <w:rFonts w:ascii="Arial" w:hAnsi="Arial" w:cs="Arial"/>
                <w:color w:val="000000"/>
              </w:rPr>
              <w:t>19</w:t>
            </w:r>
          </w:p>
        </w:tc>
        <w:tc>
          <w:tcPr>
            <w:tcW w:w="975" w:type="dxa"/>
            <w:tcBorders>
              <w:top w:val="nil"/>
              <w:left w:val="nil"/>
              <w:bottom w:val="nil"/>
              <w:right w:val="nil"/>
            </w:tcBorders>
            <w:shd w:val="clear" w:color="auto" w:fill="auto"/>
            <w:noWrap/>
            <w:vAlign w:val="bottom"/>
            <w:hideMark/>
          </w:tcPr>
          <w:p w14:paraId="14445333" w14:textId="77777777" w:rsidR="001A325D" w:rsidRPr="00E55E43" w:rsidRDefault="001A325D" w:rsidP="001A325D">
            <w:pPr>
              <w:rPr>
                <w:rFonts w:ascii="Arial" w:hAnsi="Arial" w:cs="Arial"/>
                <w:color w:val="000000"/>
              </w:rPr>
            </w:pPr>
            <w:r w:rsidRPr="00E55E43">
              <w:rPr>
                <w:rFonts w:ascii="Arial" w:hAnsi="Arial" w:cs="Arial"/>
                <w:color w:val="000000"/>
              </w:rPr>
              <w:t>16</w:t>
            </w:r>
          </w:p>
        </w:tc>
        <w:tc>
          <w:tcPr>
            <w:tcW w:w="945" w:type="dxa"/>
            <w:tcBorders>
              <w:top w:val="nil"/>
              <w:left w:val="nil"/>
              <w:bottom w:val="nil"/>
              <w:right w:val="nil"/>
            </w:tcBorders>
            <w:shd w:val="clear" w:color="auto" w:fill="auto"/>
            <w:noWrap/>
            <w:vAlign w:val="bottom"/>
            <w:hideMark/>
          </w:tcPr>
          <w:p w14:paraId="1C388A65"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0B53FEB7" w14:textId="77777777" w:rsidTr="001A325D">
        <w:trPr>
          <w:trHeight w:val="300"/>
        </w:trPr>
        <w:tc>
          <w:tcPr>
            <w:tcW w:w="960" w:type="dxa"/>
            <w:tcBorders>
              <w:top w:val="nil"/>
              <w:left w:val="nil"/>
              <w:bottom w:val="nil"/>
              <w:right w:val="nil"/>
            </w:tcBorders>
            <w:shd w:val="clear" w:color="auto" w:fill="auto"/>
            <w:noWrap/>
            <w:vAlign w:val="bottom"/>
            <w:hideMark/>
          </w:tcPr>
          <w:p w14:paraId="7481E109"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75" w:type="dxa"/>
            <w:tcBorders>
              <w:top w:val="nil"/>
              <w:left w:val="nil"/>
              <w:bottom w:val="nil"/>
              <w:right w:val="nil"/>
            </w:tcBorders>
            <w:shd w:val="clear" w:color="auto" w:fill="auto"/>
            <w:noWrap/>
            <w:vAlign w:val="bottom"/>
            <w:hideMark/>
          </w:tcPr>
          <w:p w14:paraId="35A31D71"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45" w:type="dxa"/>
            <w:tcBorders>
              <w:top w:val="nil"/>
              <w:left w:val="nil"/>
              <w:bottom w:val="nil"/>
              <w:right w:val="nil"/>
            </w:tcBorders>
            <w:shd w:val="clear" w:color="auto" w:fill="auto"/>
            <w:noWrap/>
            <w:vAlign w:val="bottom"/>
            <w:hideMark/>
          </w:tcPr>
          <w:p w14:paraId="4DAD459A"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3A69586D" w14:textId="77777777" w:rsidTr="001A325D">
        <w:trPr>
          <w:trHeight w:val="300"/>
        </w:trPr>
        <w:tc>
          <w:tcPr>
            <w:tcW w:w="960" w:type="dxa"/>
            <w:tcBorders>
              <w:top w:val="nil"/>
              <w:left w:val="nil"/>
              <w:bottom w:val="nil"/>
              <w:right w:val="nil"/>
            </w:tcBorders>
            <w:shd w:val="clear" w:color="auto" w:fill="auto"/>
            <w:noWrap/>
            <w:vAlign w:val="bottom"/>
            <w:hideMark/>
          </w:tcPr>
          <w:p w14:paraId="305F56D2" w14:textId="77777777" w:rsidR="001A325D" w:rsidRPr="00E55E43" w:rsidRDefault="001A325D" w:rsidP="001A325D">
            <w:pPr>
              <w:rPr>
                <w:rFonts w:ascii="Arial" w:hAnsi="Arial" w:cs="Arial"/>
                <w:color w:val="000000"/>
              </w:rPr>
            </w:pPr>
            <w:r w:rsidRPr="00E55E43">
              <w:rPr>
                <w:rFonts w:ascii="Arial" w:hAnsi="Arial" w:cs="Arial"/>
                <w:color w:val="000000"/>
              </w:rPr>
              <w:t>21</w:t>
            </w:r>
          </w:p>
        </w:tc>
        <w:tc>
          <w:tcPr>
            <w:tcW w:w="975" w:type="dxa"/>
            <w:tcBorders>
              <w:top w:val="nil"/>
              <w:left w:val="nil"/>
              <w:bottom w:val="nil"/>
              <w:right w:val="nil"/>
            </w:tcBorders>
            <w:shd w:val="clear" w:color="auto" w:fill="auto"/>
            <w:noWrap/>
            <w:vAlign w:val="bottom"/>
            <w:hideMark/>
          </w:tcPr>
          <w:p w14:paraId="549293CC" w14:textId="77777777" w:rsidR="001A325D" w:rsidRPr="00E55E43" w:rsidRDefault="001A325D" w:rsidP="001A325D">
            <w:pPr>
              <w:rPr>
                <w:rFonts w:ascii="Arial" w:hAnsi="Arial" w:cs="Arial"/>
                <w:color w:val="000000"/>
              </w:rPr>
            </w:pPr>
            <w:r w:rsidRPr="00E55E43">
              <w:rPr>
                <w:rFonts w:ascii="Arial" w:hAnsi="Arial" w:cs="Arial"/>
                <w:color w:val="000000"/>
              </w:rPr>
              <w:t>12</w:t>
            </w:r>
          </w:p>
        </w:tc>
        <w:tc>
          <w:tcPr>
            <w:tcW w:w="945" w:type="dxa"/>
            <w:tcBorders>
              <w:top w:val="nil"/>
              <w:left w:val="nil"/>
              <w:bottom w:val="nil"/>
              <w:right w:val="nil"/>
            </w:tcBorders>
            <w:shd w:val="clear" w:color="auto" w:fill="auto"/>
            <w:noWrap/>
            <w:vAlign w:val="bottom"/>
            <w:hideMark/>
          </w:tcPr>
          <w:p w14:paraId="163CED53"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3F5BB309" w14:textId="77777777" w:rsidTr="001A325D">
        <w:trPr>
          <w:trHeight w:val="300"/>
        </w:trPr>
        <w:tc>
          <w:tcPr>
            <w:tcW w:w="960" w:type="dxa"/>
            <w:tcBorders>
              <w:top w:val="nil"/>
              <w:left w:val="nil"/>
              <w:bottom w:val="nil"/>
              <w:right w:val="nil"/>
            </w:tcBorders>
            <w:shd w:val="clear" w:color="auto" w:fill="auto"/>
            <w:noWrap/>
            <w:vAlign w:val="bottom"/>
            <w:hideMark/>
          </w:tcPr>
          <w:p w14:paraId="76722E2D" w14:textId="77777777" w:rsidR="001A325D" w:rsidRPr="00E55E43" w:rsidRDefault="001A325D" w:rsidP="001A325D">
            <w:pPr>
              <w:rPr>
                <w:rFonts w:ascii="Arial" w:hAnsi="Arial" w:cs="Arial"/>
                <w:color w:val="000000"/>
              </w:rPr>
            </w:pPr>
            <w:r w:rsidRPr="00E55E43">
              <w:rPr>
                <w:rFonts w:ascii="Arial" w:hAnsi="Arial" w:cs="Arial"/>
                <w:color w:val="000000"/>
              </w:rPr>
              <w:t>22</w:t>
            </w:r>
          </w:p>
        </w:tc>
        <w:tc>
          <w:tcPr>
            <w:tcW w:w="975" w:type="dxa"/>
            <w:tcBorders>
              <w:top w:val="nil"/>
              <w:left w:val="nil"/>
              <w:bottom w:val="nil"/>
              <w:right w:val="nil"/>
            </w:tcBorders>
            <w:shd w:val="clear" w:color="auto" w:fill="auto"/>
            <w:noWrap/>
            <w:vAlign w:val="bottom"/>
            <w:hideMark/>
          </w:tcPr>
          <w:p w14:paraId="156279B9" w14:textId="77777777" w:rsidR="001A325D" w:rsidRPr="00E55E43" w:rsidRDefault="001A325D" w:rsidP="001A325D">
            <w:pPr>
              <w:rPr>
                <w:rFonts w:ascii="Arial" w:hAnsi="Arial" w:cs="Arial"/>
                <w:color w:val="000000"/>
              </w:rPr>
            </w:pPr>
            <w:r w:rsidRPr="00E55E43">
              <w:rPr>
                <w:rFonts w:ascii="Arial" w:hAnsi="Arial" w:cs="Arial"/>
                <w:color w:val="000000"/>
              </w:rPr>
              <w:t>17</w:t>
            </w:r>
          </w:p>
        </w:tc>
        <w:tc>
          <w:tcPr>
            <w:tcW w:w="945" w:type="dxa"/>
            <w:tcBorders>
              <w:top w:val="nil"/>
              <w:left w:val="nil"/>
              <w:bottom w:val="nil"/>
              <w:right w:val="nil"/>
            </w:tcBorders>
            <w:shd w:val="clear" w:color="auto" w:fill="auto"/>
            <w:noWrap/>
            <w:vAlign w:val="bottom"/>
            <w:hideMark/>
          </w:tcPr>
          <w:p w14:paraId="7DE46DF8"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5D946514" w14:textId="77777777" w:rsidTr="001A325D">
        <w:trPr>
          <w:trHeight w:val="300"/>
        </w:trPr>
        <w:tc>
          <w:tcPr>
            <w:tcW w:w="960" w:type="dxa"/>
            <w:tcBorders>
              <w:top w:val="nil"/>
              <w:left w:val="nil"/>
              <w:bottom w:val="nil"/>
              <w:right w:val="nil"/>
            </w:tcBorders>
            <w:shd w:val="clear" w:color="auto" w:fill="auto"/>
            <w:noWrap/>
            <w:vAlign w:val="bottom"/>
            <w:hideMark/>
          </w:tcPr>
          <w:p w14:paraId="3BF0487F" w14:textId="77777777" w:rsidR="001A325D" w:rsidRPr="00E55E43" w:rsidRDefault="001A325D" w:rsidP="001A325D">
            <w:pPr>
              <w:rPr>
                <w:rFonts w:ascii="Arial" w:hAnsi="Arial" w:cs="Arial"/>
                <w:color w:val="000000"/>
              </w:rPr>
            </w:pPr>
            <w:r w:rsidRPr="00E55E43">
              <w:rPr>
                <w:rFonts w:ascii="Arial" w:hAnsi="Arial" w:cs="Arial"/>
                <w:color w:val="000000"/>
              </w:rPr>
              <w:t>23</w:t>
            </w:r>
          </w:p>
        </w:tc>
        <w:tc>
          <w:tcPr>
            <w:tcW w:w="975" w:type="dxa"/>
            <w:tcBorders>
              <w:top w:val="nil"/>
              <w:left w:val="nil"/>
              <w:bottom w:val="nil"/>
              <w:right w:val="nil"/>
            </w:tcBorders>
            <w:shd w:val="clear" w:color="auto" w:fill="auto"/>
            <w:noWrap/>
            <w:vAlign w:val="bottom"/>
            <w:hideMark/>
          </w:tcPr>
          <w:p w14:paraId="0C19FD04" w14:textId="77777777" w:rsidR="001A325D" w:rsidRPr="00E55E43" w:rsidRDefault="001A325D" w:rsidP="001A325D">
            <w:pPr>
              <w:rPr>
                <w:rFonts w:ascii="Arial" w:hAnsi="Arial" w:cs="Arial"/>
                <w:color w:val="000000"/>
              </w:rPr>
            </w:pPr>
            <w:r w:rsidRPr="00E55E43">
              <w:rPr>
                <w:rFonts w:ascii="Arial" w:hAnsi="Arial" w:cs="Arial"/>
                <w:color w:val="000000"/>
              </w:rPr>
              <w:t>13</w:t>
            </w:r>
          </w:p>
        </w:tc>
        <w:tc>
          <w:tcPr>
            <w:tcW w:w="945" w:type="dxa"/>
            <w:tcBorders>
              <w:top w:val="nil"/>
              <w:left w:val="nil"/>
              <w:bottom w:val="nil"/>
              <w:right w:val="nil"/>
            </w:tcBorders>
            <w:shd w:val="clear" w:color="auto" w:fill="auto"/>
            <w:noWrap/>
            <w:vAlign w:val="bottom"/>
            <w:hideMark/>
          </w:tcPr>
          <w:p w14:paraId="5C0C43DD"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3C5546F0" w14:textId="77777777" w:rsidTr="001A325D">
        <w:trPr>
          <w:trHeight w:val="300"/>
        </w:trPr>
        <w:tc>
          <w:tcPr>
            <w:tcW w:w="960" w:type="dxa"/>
            <w:tcBorders>
              <w:top w:val="nil"/>
              <w:left w:val="nil"/>
              <w:bottom w:val="nil"/>
              <w:right w:val="nil"/>
            </w:tcBorders>
            <w:shd w:val="clear" w:color="auto" w:fill="auto"/>
            <w:noWrap/>
            <w:vAlign w:val="bottom"/>
            <w:hideMark/>
          </w:tcPr>
          <w:p w14:paraId="20F68A68" w14:textId="77777777" w:rsidR="001A325D" w:rsidRPr="00E55E43" w:rsidRDefault="001A325D" w:rsidP="001A325D">
            <w:pPr>
              <w:rPr>
                <w:rFonts w:ascii="Arial" w:hAnsi="Arial" w:cs="Arial"/>
                <w:color w:val="000000"/>
              </w:rPr>
            </w:pPr>
            <w:r w:rsidRPr="00E55E43">
              <w:rPr>
                <w:rFonts w:ascii="Arial" w:hAnsi="Arial" w:cs="Arial"/>
                <w:color w:val="000000"/>
              </w:rPr>
              <w:t>24</w:t>
            </w:r>
          </w:p>
        </w:tc>
        <w:tc>
          <w:tcPr>
            <w:tcW w:w="975" w:type="dxa"/>
            <w:tcBorders>
              <w:top w:val="nil"/>
              <w:left w:val="nil"/>
              <w:bottom w:val="nil"/>
              <w:right w:val="nil"/>
            </w:tcBorders>
            <w:shd w:val="clear" w:color="auto" w:fill="auto"/>
            <w:noWrap/>
            <w:vAlign w:val="bottom"/>
            <w:hideMark/>
          </w:tcPr>
          <w:p w14:paraId="2D287EF7" w14:textId="77777777" w:rsidR="001A325D" w:rsidRPr="00E55E43" w:rsidRDefault="001A325D" w:rsidP="001A325D">
            <w:pPr>
              <w:rPr>
                <w:rFonts w:ascii="Arial" w:hAnsi="Arial" w:cs="Arial"/>
                <w:color w:val="000000"/>
              </w:rPr>
            </w:pPr>
            <w:r w:rsidRPr="00E55E43">
              <w:rPr>
                <w:rFonts w:ascii="Arial" w:hAnsi="Arial" w:cs="Arial"/>
                <w:color w:val="000000"/>
              </w:rPr>
              <w:t>5</w:t>
            </w:r>
          </w:p>
        </w:tc>
        <w:tc>
          <w:tcPr>
            <w:tcW w:w="945" w:type="dxa"/>
            <w:tcBorders>
              <w:top w:val="nil"/>
              <w:left w:val="nil"/>
              <w:bottom w:val="nil"/>
              <w:right w:val="nil"/>
            </w:tcBorders>
            <w:shd w:val="clear" w:color="auto" w:fill="auto"/>
            <w:noWrap/>
            <w:vAlign w:val="bottom"/>
            <w:hideMark/>
          </w:tcPr>
          <w:p w14:paraId="059B92A4"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2F868A50" w14:textId="77777777" w:rsidTr="001A325D">
        <w:trPr>
          <w:trHeight w:val="300"/>
        </w:trPr>
        <w:tc>
          <w:tcPr>
            <w:tcW w:w="960" w:type="dxa"/>
            <w:tcBorders>
              <w:top w:val="nil"/>
              <w:left w:val="nil"/>
              <w:bottom w:val="nil"/>
              <w:right w:val="nil"/>
            </w:tcBorders>
            <w:shd w:val="clear" w:color="auto" w:fill="auto"/>
            <w:noWrap/>
            <w:vAlign w:val="bottom"/>
            <w:hideMark/>
          </w:tcPr>
          <w:p w14:paraId="2E8F4938" w14:textId="77777777" w:rsidR="001A325D" w:rsidRPr="00E55E43" w:rsidRDefault="001A325D" w:rsidP="001A325D">
            <w:pPr>
              <w:rPr>
                <w:rFonts w:ascii="Arial" w:hAnsi="Arial" w:cs="Arial"/>
                <w:color w:val="000000"/>
              </w:rPr>
            </w:pPr>
            <w:r w:rsidRPr="00E55E43">
              <w:rPr>
                <w:rFonts w:ascii="Arial" w:hAnsi="Arial" w:cs="Arial"/>
                <w:color w:val="000000"/>
              </w:rPr>
              <w:t>25</w:t>
            </w:r>
          </w:p>
        </w:tc>
        <w:tc>
          <w:tcPr>
            <w:tcW w:w="975" w:type="dxa"/>
            <w:tcBorders>
              <w:top w:val="nil"/>
              <w:left w:val="nil"/>
              <w:bottom w:val="nil"/>
              <w:right w:val="nil"/>
            </w:tcBorders>
            <w:shd w:val="clear" w:color="auto" w:fill="auto"/>
            <w:noWrap/>
            <w:vAlign w:val="bottom"/>
            <w:hideMark/>
          </w:tcPr>
          <w:p w14:paraId="49F8AFA0" w14:textId="77777777" w:rsidR="001A325D" w:rsidRPr="00E55E43" w:rsidRDefault="001A325D" w:rsidP="001A325D">
            <w:pPr>
              <w:rPr>
                <w:rFonts w:ascii="Arial" w:hAnsi="Arial" w:cs="Arial"/>
                <w:color w:val="000000"/>
              </w:rPr>
            </w:pPr>
            <w:r w:rsidRPr="00E55E43">
              <w:rPr>
                <w:rFonts w:ascii="Arial" w:hAnsi="Arial" w:cs="Arial"/>
                <w:color w:val="000000"/>
              </w:rPr>
              <w:t>20</w:t>
            </w:r>
          </w:p>
        </w:tc>
        <w:tc>
          <w:tcPr>
            <w:tcW w:w="945" w:type="dxa"/>
            <w:tcBorders>
              <w:top w:val="nil"/>
              <w:left w:val="nil"/>
              <w:bottom w:val="nil"/>
              <w:right w:val="nil"/>
            </w:tcBorders>
            <w:shd w:val="clear" w:color="auto" w:fill="auto"/>
            <w:noWrap/>
            <w:vAlign w:val="bottom"/>
            <w:hideMark/>
          </w:tcPr>
          <w:p w14:paraId="64767580"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62F75F85" w14:textId="77777777" w:rsidTr="001A325D">
        <w:trPr>
          <w:trHeight w:val="300"/>
        </w:trPr>
        <w:tc>
          <w:tcPr>
            <w:tcW w:w="960" w:type="dxa"/>
            <w:tcBorders>
              <w:top w:val="nil"/>
              <w:left w:val="nil"/>
              <w:bottom w:val="nil"/>
              <w:right w:val="nil"/>
            </w:tcBorders>
            <w:shd w:val="clear" w:color="auto" w:fill="auto"/>
            <w:noWrap/>
            <w:vAlign w:val="bottom"/>
            <w:hideMark/>
          </w:tcPr>
          <w:p w14:paraId="5774FE98" w14:textId="77777777" w:rsidR="001A325D" w:rsidRPr="00E55E43" w:rsidRDefault="001A325D" w:rsidP="001A325D">
            <w:pPr>
              <w:rPr>
                <w:rFonts w:ascii="Arial" w:hAnsi="Arial" w:cs="Arial"/>
                <w:color w:val="000000"/>
              </w:rPr>
            </w:pPr>
            <w:r w:rsidRPr="00E55E43">
              <w:rPr>
                <w:rFonts w:ascii="Arial" w:hAnsi="Arial" w:cs="Arial"/>
                <w:color w:val="000000"/>
              </w:rPr>
              <w:t>26</w:t>
            </w:r>
          </w:p>
        </w:tc>
        <w:tc>
          <w:tcPr>
            <w:tcW w:w="975" w:type="dxa"/>
            <w:tcBorders>
              <w:top w:val="nil"/>
              <w:left w:val="nil"/>
              <w:bottom w:val="nil"/>
              <w:right w:val="nil"/>
            </w:tcBorders>
            <w:shd w:val="clear" w:color="auto" w:fill="auto"/>
            <w:noWrap/>
            <w:vAlign w:val="bottom"/>
            <w:hideMark/>
          </w:tcPr>
          <w:p w14:paraId="3E57FDC3" w14:textId="77777777" w:rsidR="001A325D" w:rsidRPr="00E55E43" w:rsidRDefault="001A325D" w:rsidP="001A325D">
            <w:pPr>
              <w:rPr>
                <w:rFonts w:ascii="Arial" w:hAnsi="Arial" w:cs="Arial"/>
                <w:color w:val="000000"/>
              </w:rPr>
            </w:pPr>
            <w:r w:rsidRPr="00E55E43">
              <w:rPr>
                <w:rFonts w:ascii="Arial" w:hAnsi="Arial" w:cs="Arial"/>
                <w:color w:val="000000"/>
              </w:rPr>
              <w:t>30</w:t>
            </w:r>
          </w:p>
        </w:tc>
        <w:tc>
          <w:tcPr>
            <w:tcW w:w="945" w:type="dxa"/>
            <w:tcBorders>
              <w:top w:val="nil"/>
              <w:left w:val="nil"/>
              <w:bottom w:val="nil"/>
              <w:right w:val="nil"/>
            </w:tcBorders>
            <w:shd w:val="clear" w:color="auto" w:fill="auto"/>
            <w:noWrap/>
            <w:vAlign w:val="bottom"/>
            <w:hideMark/>
          </w:tcPr>
          <w:p w14:paraId="50AEF4EF"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5A7F3782" w14:textId="77777777" w:rsidTr="001A325D">
        <w:trPr>
          <w:trHeight w:val="300"/>
        </w:trPr>
        <w:tc>
          <w:tcPr>
            <w:tcW w:w="960" w:type="dxa"/>
            <w:tcBorders>
              <w:top w:val="nil"/>
              <w:left w:val="nil"/>
              <w:bottom w:val="nil"/>
              <w:right w:val="nil"/>
            </w:tcBorders>
            <w:shd w:val="clear" w:color="auto" w:fill="auto"/>
            <w:noWrap/>
            <w:vAlign w:val="bottom"/>
            <w:hideMark/>
          </w:tcPr>
          <w:p w14:paraId="47186455" w14:textId="77777777" w:rsidR="001A325D" w:rsidRPr="00E55E43" w:rsidRDefault="001A325D" w:rsidP="001A325D">
            <w:pPr>
              <w:rPr>
                <w:rFonts w:ascii="Arial" w:hAnsi="Arial" w:cs="Arial"/>
                <w:color w:val="000000"/>
              </w:rPr>
            </w:pPr>
            <w:r w:rsidRPr="00E55E43">
              <w:rPr>
                <w:rFonts w:ascii="Arial" w:hAnsi="Arial" w:cs="Arial"/>
                <w:color w:val="000000"/>
              </w:rPr>
              <w:t>27</w:t>
            </w:r>
          </w:p>
        </w:tc>
        <w:tc>
          <w:tcPr>
            <w:tcW w:w="975" w:type="dxa"/>
            <w:tcBorders>
              <w:top w:val="nil"/>
              <w:left w:val="nil"/>
              <w:bottom w:val="nil"/>
              <w:right w:val="nil"/>
            </w:tcBorders>
            <w:shd w:val="clear" w:color="auto" w:fill="auto"/>
            <w:noWrap/>
            <w:vAlign w:val="bottom"/>
            <w:hideMark/>
          </w:tcPr>
          <w:p w14:paraId="0DCDE3C1" w14:textId="77777777" w:rsidR="001A325D" w:rsidRPr="00E55E43" w:rsidRDefault="001A325D" w:rsidP="001A325D">
            <w:pPr>
              <w:rPr>
                <w:rFonts w:ascii="Arial" w:hAnsi="Arial" w:cs="Arial"/>
                <w:color w:val="000000"/>
              </w:rPr>
            </w:pPr>
            <w:r w:rsidRPr="00E55E43">
              <w:rPr>
                <w:rFonts w:ascii="Arial" w:hAnsi="Arial" w:cs="Arial"/>
                <w:color w:val="000000"/>
              </w:rPr>
              <w:t>34</w:t>
            </w:r>
          </w:p>
        </w:tc>
        <w:tc>
          <w:tcPr>
            <w:tcW w:w="945" w:type="dxa"/>
            <w:tcBorders>
              <w:top w:val="nil"/>
              <w:left w:val="nil"/>
              <w:bottom w:val="nil"/>
              <w:right w:val="nil"/>
            </w:tcBorders>
            <w:shd w:val="clear" w:color="auto" w:fill="auto"/>
            <w:noWrap/>
            <w:vAlign w:val="bottom"/>
            <w:hideMark/>
          </w:tcPr>
          <w:p w14:paraId="2EA7128B"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EB2A5DA" w14:textId="77777777" w:rsidTr="001A325D">
        <w:trPr>
          <w:trHeight w:val="300"/>
        </w:trPr>
        <w:tc>
          <w:tcPr>
            <w:tcW w:w="960" w:type="dxa"/>
            <w:tcBorders>
              <w:top w:val="nil"/>
              <w:left w:val="nil"/>
              <w:bottom w:val="nil"/>
              <w:right w:val="nil"/>
            </w:tcBorders>
            <w:shd w:val="clear" w:color="auto" w:fill="auto"/>
            <w:noWrap/>
            <w:vAlign w:val="bottom"/>
            <w:hideMark/>
          </w:tcPr>
          <w:p w14:paraId="5D816E56" w14:textId="77777777" w:rsidR="001A325D" w:rsidRPr="00E55E43" w:rsidRDefault="001A325D" w:rsidP="001A325D">
            <w:pPr>
              <w:rPr>
                <w:rFonts w:ascii="Arial" w:hAnsi="Arial" w:cs="Arial"/>
                <w:color w:val="000000"/>
              </w:rPr>
            </w:pPr>
            <w:r w:rsidRPr="00E55E43">
              <w:rPr>
                <w:rFonts w:ascii="Arial" w:hAnsi="Arial" w:cs="Arial"/>
                <w:color w:val="000000"/>
              </w:rPr>
              <w:t>28</w:t>
            </w:r>
          </w:p>
        </w:tc>
        <w:tc>
          <w:tcPr>
            <w:tcW w:w="975" w:type="dxa"/>
            <w:tcBorders>
              <w:top w:val="nil"/>
              <w:left w:val="nil"/>
              <w:bottom w:val="nil"/>
              <w:right w:val="nil"/>
            </w:tcBorders>
            <w:shd w:val="clear" w:color="auto" w:fill="auto"/>
            <w:noWrap/>
            <w:vAlign w:val="bottom"/>
            <w:hideMark/>
          </w:tcPr>
          <w:p w14:paraId="4972B99A" w14:textId="77777777" w:rsidR="001A325D" w:rsidRPr="00E55E43" w:rsidRDefault="001A325D" w:rsidP="001A325D">
            <w:pPr>
              <w:rPr>
                <w:rFonts w:ascii="Arial" w:hAnsi="Arial" w:cs="Arial"/>
                <w:color w:val="000000"/>
              </w:rPr>
            </w:pPr>
            <w:r w:rsidRPr="00E55E43">
              <w:rPr>
                <w:rFonts w:ascii="Arial" w:hAnsi="Arial" w:cs="Arial"/>
                <w:color w:val="000000"/>
              </w:rPr>
              <w:t>35</w:t>
            </w:r>
          </w:p>
        </w:tc>
        <w:tc>
          <w:tcPr>
            <w:tcW w:w="945" w:type="dxa"/>
            <w:tcBorders>
              <w:top w:val="nil"/>
              <w:left w:val="nil"/>
              <w:bottom w:val="nil"/>
              <w:right w:val="nil"/>
            </w:tcBorders>
            <w:shd w:val="clear" w:color="auto" w:fill="auto"/>
            <w:noWrap/>
            <w:vAlign w:val="bottom"/>
            <w:hideMark/>
          </w:tcPr>
          <w:p w14:paraId="5147130C"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37DE2BC" w14:textId="77777777" w:rsidTr="001A325D">
        <w:trPr>
          <w:trHeight w:val="300"/>
        </w:trPr>
        <w:tc>
          <w:tcPr>
            <w:tcW w:w="960" w:type="dxa"/>
            <w:tcBorders>
              <w:top w:val="nil"/>
              <w:left w:val="nil"/>
              <w:bottom w:val="nil"/>
              <w:right w:val="nil"/>
            </w:tcBorders>
            <w:shd w:val="clear" w:color="auto" w:fill="auto"/>
            <w:noWrap/>
            <w:vAlign w:val="bottom"/>
            <w:hideMark/>
          </w:tcPr>
          <w:p w14:paraId="169164A7" w14:textId="77777777" w:rsidR="001A325D" w:rsidRPr="00E55E43" w:rsidRDefault="001A325D" w:rsidP="001A325D">
            <w:pPr>
              <w:rPr>
                <w:rFonts w:ascii="Arial" w:hAnsi="Arial" w:cs="Arial"/>
                <w:color w:val="000000"/>
              </w:rPr>
            </w:pPr>
            <w:r w:rsidRPr="00E55E43">
              <w:rPr>
                <w:rFonts w:ascii="Arial" w:hAnsi="Arial" w:cs="Arial"/>
                <w:color w:val="000000"/>
              </w:rPr>
              <w:t>29</w:t>
            </w:r>
          </w:p>
        </w:tc>
        <w:tc>
          <w:tcPr>
            <w:tcW w:w="975" w:type="dxa"/>
            <w:tcBorders>
              <w:top w:val="nil"/>
              <w:left w:val="nil"/>
              <w:bottom w:val="nil"/>
              <w:right w:val="nil"/>
            </w:tcBorders>
            <w:shd w:val="clear" w:color="auto" w:fill="auto"/>
            <w:noWrap/>
            <w:vAlign w:val="bottom"/>
            <w:hideMark/>
          </w:tcPr>
          <w:p w14:paraId="62CF26F1" w14:textId="77777777" w:rsidR="001A325D" w:rsidRPr="00E55E43" w:rsidRDefault="001A325D" w:rsidP="001A325D">
            <w:pPr>
              <w:rPr>
                <w:rFonts w:ascii="Arial" w:hAnsi="Arial" w:cs="Arial"/>
                <w:color w:val="000000"/>
              </w:rPr>
            </w:pPr>
            <w:r w:rsidRPr="00E55E43">
              <w:rPr>
                <w:rFonts w:ascii="Arial" w:hAnsi="Arial" w:cs="Arial"/>
                <w:color w:val="000000"/>
              </w:rPr>
              <w:t>51</w:t>
            </w:r>
          </w:p>
        </w:tc>
        <w:tc>
          <w:tcPr>
            <w:tcW w:w="945" w:type="dxa"/>
            <w:tcBorders>
              <w:top w:val="nil"/>
              <w:left w:val="nil"/>
              <w:bottom w:val="nil"/>
              <w:right w:val="nil"/>
            </w:tcBorders>
            <w:shd w:val="clear" w:color="auto" w:fill="auto"/>
            <w:noWrap/>
            <w:vAlign w:val="bottom"/>
            <w:hideMark/>
          </w:tcPr>
          <w:p w14:paraId="4015E84F"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0696ED10" w14:textId="77777777" w:rsidTr="001A325D">
        <w:trPr>
          <w:trHeight w:val="300"/>
        </w:trPr>
        <w:tc>
          <w:tcPr>
            <w:tcW w:w="960" w:type="dxa"/>
            <w:tcBorders>
              <w:top w:val="nil"/>
              <w:left w:val="nil"/>
              <w:bottom w:val="nil"/>
              <w:right w:val="nil"/>
            </w:tcBorders>
            <w:shd w:val="clear" w:color="auto" w:fill="auto"/>
            <w:noWrap/>
            <w:vAlign w:val="bottom"/>
            <w:hideMark/>
          </w:tcPr>
          <w:p w14:paraId="2F701D71" w14:textId="77777777" w:rsidR="001A325D" w:rsidRPr="00E55E43" w:rsidRDefault="001A325D" w:rsidP="001A325D">
            <w:pPr>
              <w:rPr>
                <w:rFonts w:ascii="Arial" w:hAnsi="Arial" w:cs="Arial"/>
                <w:color w:val="000000"/>
              </w:rPr>
            </w:pPr>
            <w:r w:rsidRPr="00E55E43">
              <w:rPr>
                <w:rFonts w:ascii="Arial" w:hAnsi="Arial" w:cs="Arial"/>
                <w:color w:val="000000"/>
              </w:rPr>
              <w:t>30</w:t>
            </w:r>
          </w:p>
        </w:tc>
        <w:tc>
          <w:tcPr>
            <w:tcW w:w="975" w:type="dxa"/>
            <w:tcBorders>
              <w:top w:val="nil"/>
              <w:left w:val="nil"/>
              <w:bottom w:val="nil"/>
              <w:right w:val="nil"/>
            </w:tcBorders>
            <w:shd w:val="clear" w:color="auto" w:fill="auto"/>
            <w:noWrap/>
            <w:vAlign w:val="bottom"/>
            <w:hideMark/>
          </w:tcPr>
          <w:p w14:paraId="7B26350A" w14:textId="77777777" w:rsidR="001A325D" w:rsidRPr="00E55E43" w:rsidRDefault="001A325D" w:rsidP="001A325D">
            <w:pPr>
              <w:rPr>
                <w:rFonts w:ascii="Arial" w:hAnsi="Arial" w:cs="Arial"/>
                <w:color w:val="000000"/>
              </w:rPr>
            </w:pPr>
            <w:r w:rsidRPr="00E55E43">
              <w:rPr>
                <w:rFonts w:ascii="Arial" w:hAnsi="Arial" w:cs="Arial"/>
                <w:color w:val="000000"/>
              </w:rPr>
              <w:t>49</w:t>
            </w:r>
          </w:p>
        </w:tc>
        <w:tc>
          <w:tcPr>
            <w:tcW w:w="945" w:type="dxa"/>
            <w:tcBorders>
              <w:top w:val="nil"/>
              <w:left w:val="nil"/>
              <w:bottom w:val="nil"/>
              <w:right w:val="nil"/>
            </w:tcBorders>
            <w:shd w:val="clear" w:color="auto" w:fill="auto"/>
            <w:noWrap/>
            <w:vAlign w:val="bottom"/>
            <w:hideMark/>
          </w:tcPr>
          <w:p w14:paraId="03CDBB4B"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CFA2369" w14:textId="77777777" w:rsidTr="001A325D">
        <w:trPr>
          <w:trHeight w:val="300"/>
        </w:trPr>
        <w:tc>
          <w:tcPr>
            <w:tcW w:w="960" w:type="dxa"/>
            <w:tcBorders>
              <w:top w:val="nil"/>
              <w:left w:val="nil"/>
              <w:bottom w:val="nil"/>
              <w:right w:val="nil"/>
            </w:tcBorders>
            <w:shd w:val="clear" w:color="auto" w:fill="auto"/>
            <w:noWrap/>
            <w:vAlign w:val="bottom"/>
            <w:hideMark/>
          </w:tcPr>
          <w:p w14:paraId="671136DB" w14:textId="77777777" w:rsidR="001A325D" w:rsidRPr="00E55E43" w:rsidRDefault="001A325D" w:rsidP="001A325D">
            <w:pPr>
              <w:rPr>
                <w:rFonts w:ascii="Arial" w:hAnsi="Arial" w:cs="Arial"/>
                <w:color w:val="000000"/>
              </w:rPr>
            </w:pPr>
            <w:r w:rsidRPr="00E55E43">
              <w:rPr>
                <w:rFonts w:ascii="Arial" w:hAnsi="Arial" w:cs="Arial"/>
                <w:color w:val="000000"/>
              </w:rPr>
              <w:t>31</w:t>
            </w:r>
          </w:p>
        </w:tc>
        <w:tc>
          <w:tcPr>
            <w:tcW w:w="975" w:type="dxa"/>
            <w:tcBorders>
              <w:top w:val="nil"/>
              <w:left w:val="nil"/>
              <w:bottom w:val="nil"/>
              <w:right w:val="nil"/>
            </w:tcBorders>
            <w:shd w:val="clear" w:color="auto" w:fill="auto"/>
            <w:noWrap/>
            <w:vAlign w:val="bottom"/>
            <w:hideMark/>
          </w:tcPr>
          <w:p w14:paraId="1A726AAB" w14:textId="77777777" w:rsidR="001A325D" w:rsidRPr="00E55E43" w:rsidRDefault="001A325D" w:rsidP="001A325D">
            <w:pPr>
              <w:rPr>
                <w:rFonts w:ascii="Arial" w:hAnsi="Arial" w:cs="Arial"/>
                <w:color w:val="000000"/>
              </w:rPr>
            </w:pPr>
            <w:r w:rsidRPr="00E55E43">
              <w:rPr>
                <w:rFonts w:ascii="Arial" w:hAnsi="Arial" w:cs="Arial"/>
                <w:color w:val="000000"/>
              </w:rPr>
              <w:t>85</w:t>
            </w:r>
          </w:p>
        </w:tc>
        <w:tc>
          <w:tcPr>
            <w:tcW w:w="945" w:type="dxa"/>
            <w:tcBorders>
              <w:top w:val="nil"/>
              <w:left w:val="nil"/>
              <w:bottom w:val="nil"/>
              <w:right w:val="nil"/>
            </w:tcBorders>
            <w:shd w:val="clear" w:color="auto" w:fill="auto"/>
            <w:noWrap/>
            <w:vAlign w:val="bottom"/>
            <w:hideMark/>
          </w:tcPr>
          <w:p w14:paraId="3272E64F"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E9A57C8" w14:textId="77777777" w:rsidTr="001A325D">
        <w:trPr>
          <w:trHeight w:val="300"/>
        </w:trPr>
        <w:tc>
          <w:tcPr>
            <w:tcW w:w="960" w:type="dxa"/>
            <w:tcBorders>
              <w:top w:val="nil"/>
              <w:left w:val="nil"/>
              <w:bottom w:val="nil"/>
              <w:right w:val="nil"/>
            </w:tcBorders>
            <w:shd w:val="clear" w:color="auto" w:fill="auto"/>
            <w:noWrap/>
            <w:vAlign w:val="bottom"/>
            <w:hideMark/>
          </w:tcPr>
          <w:p w14:paraId="232D749F" w14:textId="77777777" w:rsidR="001A325D" w:rsidRPr="00E55E43" w:rsidRDefault="001A325D" w:rsidP="001A325D">
            <w:pPr>
              <w:rPr>
                <w:rFonts w:ascii="Arial" w:hAnsi="Arial" w:cs="Arial"/>
                <w:color w:val="000000"/>
              </w:rPr>
            </w:pPr>
            <w:r w:rsidRPr="00E55E43">
              <w:rPr>
                <w:rFonts w:ascii="Arial" w:hAnsi="Arial" w:cs="Arial"/>
                <w:color w:val="000000"/>
              </w:rPr>
              <w:t>32</w:t>
            </w:r>
          </w:p>
        </w:tc>
        <w:tc>
          <w:tcPr>
            <w:tcW w:w="975" w:type="dxa"/>
            <w:tcBorders>
              <w:top w:val="nil"/>
              <w:left w:val="nil"/>
              <w:bottom w:val="nil"/>
              <w:right w:val="nil"/>
            </w:tcBorders>
            <w:shd w:val="clear" w:color="auto" w:fill="auto"/>
            <w:noWrap/>
            <w:vAlign w:val="bottom"/>
            <w:hideMark/>
          </w:tcPr>
          <w:p w14:paraId="21DFCCCF" w14:textId="77777777" w:rsidR="001A325D" w:rsidRPr="00E55E43" w:rsidRDefault="001A325D" w:rsidP="001A325D">
            <w:pPr>
              <w:rPr>
                <w:rFonts w:ascii="Arial" w:hAnsi="Arial" w:cs="Arial"/>
                <w:color w:val="000000"/>
              </w:rPr>
            </w:pPr>
            <w:r w:rsidRPr="00E55E43">
              <w:rPr>
                <w:rFonts w:ascii="Arial" w:hAnsi="Arial" w:cs="Arial"/>
                <w:color w:val="000000"/>
              </w:rPr>
              <w:t>38</w:t>
            </w:r>
          </w:p>
        </w:tc>
        <w:tc>
          <w:tcPr>
            <w:tcW w:w="945" w:type="dxa"/>
            <w:tcBorders>
              <w:top w:val="nil"/>
              <w:left w:val="nil"/>
              <w:bottom w:val="nil"/>
              <w:right w:val="nil"/>
            </w:tcBorders>
            <w:shd w:val="clear" w:color="auto" w:fill="auto"/>
            <w:noWrap/>
            <w:vAlign w:val="bottom"/>
            <w:hideMark/>
          </w:tcPr>
          <w:p w14:paraId="21C0DAE5"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2CCDAD67" w14:textId="77777777" w:rsidTr="001A325D">
        <w:trPr>
          <w:trHeight w:val="300"/>
        </w:trPr>
        <w:tc>
          <w:tcPr>
            <w:tcW w:w="960" w:type="dxa"/>
            <w:tcBorders>
              <w:top w:val="nil"/>
              <w:left w:val="nil"/>
              <w:bottom w:val="nil"/>
              <w:right w:val="nil"/>
            </w:tcBorders>
            <w:shd w:val="clear" w:color="auto" w:fill="auto"/>
            <w:noWrap/>
            <w:vAlign w:val="bottom"/>
            <w:hideMark/>
          </w:tcPr>
          <w:p w14:paraId="022696A3" w14:textId="77777777" w:rsidR="001A325D" w:rsidRPr="00E55E43" w:rsidRDefault="001A325D" w:rsidP="001A325D">
            <w:pPr>
              <w:rPr>
                <w:rFonts w:ascii="Arial" w:hAnsi="Arial" w:cs="Arial"/>
                <w:color w:val="000000"/>
              </w:rPr>
            </w:pPr>
            <w:r w:rsidRPr="00E55E43">
              <w:rPr>
                <w:rFonts w:ascii="Arial" w:hAnsi="Arial" w:cs="Arial"/>
                <w:color w:val="000000"/>
              </w:rPr>
              <w:t>33</w:t>
            </w:r>
          </w:p>
        </w:tc>
        <w:tc>
          <w:tcPr>
            <w:tcW w:w="975" w:type="dxa"/>
            <w:tcBorders>
              <w:top w:val="nil"/>
              <w:left w:val="nil"/>
              <w:bottom w:val="nil"/>
              <w:right w:val="nil"/>
            </w:tcBorders>
            <w:shd w:val="clear" w:color="auto" w:fill="auto"/>
            <w:noWrap/>
            <w:vAlign w:val="bottom"/>
            <w:hideMark/>
          </w:tcPr>
          <w:p w14:paraId="1D6D8BD0" w14:textId="77777777" w:rsidR="001A325D" w:rsidRPr="00E55E43" w:rsidRDefault="001A325D" w:rsidP="001A325D">
            <w:pPr>
              <w:rPr>
                <w:rFonts w:ascii="Arial" w:hAnsi="Arial" w:cs="Arial"/>
                <w:color w:val="000000"/>
              </w:rPr>
            </w:pPr>
            <w:r w:rsidRPr="00E55E43">
              <w:rPr>
                <w:rFonts w:ascii="Arial" w:hAnsi="Arial" w:cs="Arial"/>
                <w:color w:val="000000"/>
              </w:rPr>
              <w:t>117</w:t>
            </w:r>
          </w:p>
        </w:tc>
        <w:tc>
          <w:tcPr>
            <w:tcW w:w="945" w:type="dxa"/>
            <w:tcBorders>
              <w:top w:val="nil"/>
              <w:left w:val="nil"/>
              <w:bottom w:val="nil"/>
              <w:right w:val="nil"/>
            </w:tcBorders>
            <w:shd w:val="clear" w:color="auto" w:fill="auto"/>
            <w:noWrap/>
            <w:vAlign w:val="bottom"/>
            <w:hideMark/>
          </w:tcPr>
          <w:p w14:paraId="0E995E9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64E176E3" w14:textId="77777777" w:rsidTr="001A325D">
        <w:trPr>
          <w:trHeight w:val="300"/>
        </w:trPr>
        <w:tc>
          <w:tcPr>
            <w:tcW w:w="960" w:type="dxa"/>
            <w:tcBorders>
              <w:top w:val="nil"/>
              <w:left w:val="nil"/>
              <w:bottom w:val="nil"/>
              <w:right w:val="nil"/>
            </w:tcBorders>
            <w:shd w:val="clear" w:color="auto" w:fill="auto"/>
            <w:noWrap/>
            <w:vAlign w:val="bottom"/>
            <w:hideMark/>
          </w:tcPr>
          <w:p w14:paraId="69822241" w14:textId="77777777" w:rsidR="001A325D" w:rsidRPr="00E55E43" w:rsidRDefault="001A325D" w:rsidP="001A325D">
            <w:pPr>
              <w:rPr>
                <w:rFonts w:ascii="Arial" w:hAnsi="Arial" w:cs="Arial"/>
                <w:color w:val="000000"/>
              </w:rPr>
            </w:pPr>
            <w:r w:rsidRPr="00E55E43">
              <w:rPr>
                <w:rFonts w:ascii="Arial" w:hAnsi="Arial" w:cs="Arial"/>
                <w:color w:val="000000"/>
              </w:rPr>
              <w:lastRenderedPageBreak/>
              <w:t>34</w:t>
            </w:r>
          </w:p>
        </w:tc>
        <w:tc>
          <w:tcPr>
            <w:tcW w:w="975" w:type="dxa"/>
            <w:tcBorders>
              <w:top w:val="nil"/>
              <w:left w:val="nil"/>
              <w:bottom w:val="nil"/>
              <w:right w:val="nil"/>
            </w:tcBorders>
            <w:shd w:val="clear" w:color="auto" w:fill="auto"/>
            <w:noWrap/>
            <w:vAlign w:val="bottom"/>
            <w:hideMark/>
          </w:tcPr>
          <w:p w14:paraId="40690FA6" w14:textId="77777777" w:rsidR="001A325D" w:rsidRPr="00E55E43" w:rsidRDefault="001A325D" w:rsidP="001A325D">
            <w:pPr>
              <w:rPr>
                <w:rFonts w:ascii="Arial" w:hAnsi="Arial" w:cs="Arial"/>
                <w:color w:val="000000"/>
              </w:rPr>
            </w:pPr>
            <w:r w:rsidRPr="00E55E43">
              <w:rPr>
                <w:rFonts w:ascii="Arial" w:hAnsi="Arial" w:cs="Arial"/>
                <w:color w:val="000000"/>
              </w:rPr>
              <w:t>91</w:t>
            </w:r>
          </w:p>
        </w:tc>
        <w:tc>
          <w:tcPr>
            <w:tcW w:w="945" w:type="dxa"/>
            <w:tcBorders>
              <w:top w:val="nil"/>
              <w:left w:val="nil"/>
              <w:bottom w:val="nil"/>
              <w:right w:val="nil"/>
            </w:tcBorders>
            <w:shd w:val="clear" w:color="auto" w:fill="auto"/>
            <w:noWrap/>
            <w:vAlign w:val="bottom"/>
            <w:hideMark/>
          </w:tcPr>
          <w:p w14:paraId="198A2CB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5D2F5AD2" w14:textId="77777777" w:rsidTr="001A325D">
        <w:trPr>
          <w:trHeight w:val="300"/>
        </w:trPr>
        <w:tc>
          <w:tcPr>
            <w:tcW w:w="960" w:type="dxa"/>
            <w:tcBorders>
              <w:top w:val="nil"/>
              <w:left w:val="nil"/>
              <w:bottom w:val="nil"/>
              <w:right w:val="nil"/>
            </w:tcBorders>
            <w:shd w:val="clear" w:color="auto" w:fill="auto"/>
            <w:noWrap/>
            <w:vAlign w:val="bottom"/>
            <w:hideMark/>
          </w:tcPr>
          <w:p w14:paraId="389AD495" w14:textId="77777777" w:rsidR="001A325D" w:rsidRPr="00E55E43" w:rsidRDefault="001A325D" w:rsidP="001A325D">
            <w:pPr>
              <w:rPr>
                <w:rFonts w:ascii="Arial" w:hAnsi="Arial" w:cs="Arial"/>
                <w:color w:val="000000"/>
              </w:rPr>
            </w:pPr>
            <w:r w:rsidRPr="00E55E43">
              <w:rPr>
                <w:rFonts w:ascii="Arial" w:hAnsi="Arial" w:cs="Arial"/>
                <w:color w:val="000000"/>
              </w:rPr>
              <w:t>35</w:t>
            </w:r>
          </w:p>
        </w:tc>
        <w:tc>
          <w:tcPr>
            <w:tcW w:w="975" w:type="dxa"/>
            <w:tcBorders>
              <w:top w:val="nil"/>
              <w:left w:val="nil"/>
              <w:bottom w:val="nil"/>
              <w:right w:val="nil"/>
            </w:tcBorders>
            <w:shd w:val="clear" w:color="auto" w:fill="auto"/>
            <w:noWrap/>
            <w:vAlign w:val="bottom"/>
            <w:hideMark/>
          </w:tcPr>
          <w:p w14:paraId="26DA241C" w14:textId="77777777" w:rsidR="001A325D" w:rsidRPr="00E55E43" w:rsidRDefault="001A325D" w:rsidP="001A325D">
            <w:pPr>
              <w:rPr>
                <w:rFonts w:ascii="Arial" w:hAnsi="Arial" w:cs="Arial"/>
                <w:color w:val="000000"/>
              </w:rPr>
            </w:pPr>
            <w:r w:rsidRPr="00E55E43">
              <w:rPr>
                <w:rFonts w:ascii="Arial" w:hAnsi="Arial" w:cs="Arial"/>
                <w:color w:val="000000"/>
              </w:rPr>
              <w:t>108</w:t>
            </w:r>
          </w:p>
        </w:tc>
        <w:tc>
          <w:tcPr>
            <w:tcW w:w="945" w:type="dxa"/>
            <w:tcBorders>
              <w:top w:val="nil"/>
              <w:left w:val="nil"/>
              <w:bottom w:val="nil"/>
              <w:right w:val="nil"/>
            </w:tcBorders>
            <w:shd w:val="clear" w:color="auto" w:fill="auto"/>
            <w:noWrap/>
            <w:vAlign w:val="bottom"/>
            <w:hideMark/>
          </w:tcPr>
          <w:p w14:paraId="19A800B2"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639A4CA1" w14:textId="77777777" w:rsidTr="001A325D">
        <w:trPr>
          <w:trHeight w:val="300"/>
        </w:trPr>
        <w:tc>
          <w:tcPr>
            <w:tcW w:w="960" w:type="dxa"/>
            <w:tcBorders>
              <w:top w:val="nil"/>
              <w:left w:val="nil"/>
              <w:bottom w:val="nil"/>
              <w:right w:val="nil"/>
            </w:tcBorders>
            <w:shd w:val="clear" w:color="auto" w:fill="auto"/>
            <w:noWrap/>
            <w:vAlign w:val="bottom"/>
            <w:hideMark/>
          </w:tcPr>
          <w:p w14:paraId="7CBBFFEE" w14:textId="77777777" w:rsidR="001A325D" w:rsidRPr="00E55E43" w:rsidRDefault="001A325D" w:rsidP="001A325D">
            <w:pPr>
              <w:rPr>
                <w:rFonts w:ascii="Arial" w:hAnsi="Arial" w:cs="Arial"/>
                <w:color w:val="000000"/>
              </w:rPr>
            </w:pPr>
            <w:r w:rsidRPr="00E55E43">
              <w:rPr>
                <w:rFonts w:ascii="Arial" w:hAnsi="Arial" w:cs="Arial"/>
                <w:color w:val="000000"/>
              </w:rPr>
              <w:t>36</w:t>
            </w:r>
          </w:p>
        </w:tc>
        <w:tc>
          <w:tcPr>
            <w:tcW w:w="975" w:type="dxa"/>
            <w:tcBorders>
              <w:top w:val="nil"/>
              <w:left w:val="nil"/>
              <w:bottom w:val="nil"/>
              <w:right w:val="nil"/>
            </w:tcBorders>
            <w:shd w:val="clear" w:color="auto" w:fill="auto"/>
            <w:noWrap/>
            <w:vAlign w:val="bottom"/>
            <w:hideMark/>
          </w:tcPr>
          <w:p w14:paraId="53563EE7" w14:textId="77777777" w:rsidR="001A325D" w:rsidRPr="00E55E43" w:rsidRDefault="001A325D" w:rsidP="001A325D">
            <w:pPr>
              <w:rPr>
                <w:rFonts w:ascii="Arial" w:hAnsi="Arial" w:cs="Arial"/>
                <w:color w:val="000000"/>
              </w:rPr>
            </w:pPr>
            <w:r w:rsidRPr="00E55E43">
              <w:rPr>
                <w:rFonts w:ascii="Arial" w:hAnsi="Arial" w:cs="Arial"/>
                <w:color w:val="000000"/>
              </w:rPr>
              <w:t>114</w:t>
            </w:r>
          </w:p>
        </w:tc>
        <w:tc>
          <w:tcPr>
            <w:tcW w:w="945" w:type="dxa"/>
            <w:tcBorders>
              <w:top w:val="nil"/>
              <w:left w:val="nil"/>
              <w:bottom w:val="nil"/>
              <w:right w:val="nil"/>
            </w:tcBorders>
            <w:shd w:val="clear" w:color="auto" w:fill="auto"/>
            <w:noWrap/>
            <w:vAlign w:val="bottom"/>
            <w:hideMark/>
          </w:tcPr>
          <w:p w14:paraId="2EB7FE0F" w14:textId="77777777" w:rsidR="001A325D" w:rsidRPr="00E55E43" w:rsidRDefault="001A325D" w:rsidP="001A325D">
            <w:pPr>
              <w:rPr>
                <w:rFonts w:ascii="Arial" w:hAnsi="Arial" w:cs="Arial"/>
                <w:color w:val="000000"/>
              </w:rPr>
            </w:pPr>
            <w:r w:rsidRPr="00E55E43">
              <w:rPr>
                <w:rFonts w:ascii="Arial" w:hAnsi="Arial" w:cs="Arial"/>
                <w:color w:val="000000"/>
              </w:rPr>
              <w:t>1</w:t>
            </w:r>
          </w:p>
        </w:tc>
      </w:tr>
      <w:tr w:rsidR="001A325D" w:rsidRPr="00E55E43" w14:paraId="1981653C" w14:textId="77777777" w:rsidTr="001A325D">
        <w:trPr>
          <w:trHeight w:val="300"/>
        </w:trPr>
        <w:tc>
          <w:tcPr>
            <w:tcW w:w="960" w:type="dxa"/>
            <w:tcBorders>
              <w:top w:val="nil"/>
              <w:left w:val="nil"/>
              <w:bottom w:val="nil"/>
              <w:right w:val="nil"/>
            </w:tcBorders>
            <w:shd w:val="clear" w:color="auto" w:fill="auto"/>
            <w:noWrap/>
            <w:vAlign w:val="bottom"/>
            <w:hideMark/>
          </w:tcPr>
          <w:p w14:paraId="317AABC2" w14:textId="77777777" w:rsidR="001A325D" w:rsidRPr="00E55E43" w:rsidRDefault="001A325D" w:rsidP="001A325D">
            <w:pPr>
              <w:rPr>
                <w:rFonts w:ascii="Arial" w:hAnsi="Arial" w:cs="Arial"/>
                <w:color w:val="000000"/>
              </w:rPr>
            </w:pPr>
            <w:r w:rsidRPr="00E55E43">
              <w:rPr>
                <w:rFonts w:ascii="Arial" w:hAnsi="Arial" w:cs="Arial"/>
                <w:color w:val="000000"/>
              </w:rPr>
              <w:t>37</w:t>
            </w:r>
          </w:p>
        </w:tc>
        <w:tc>
          <w:tcPr>
            <w:tcW w:w="975" w:type="dxa"/>
            <w:tcBorders>
              <w:top w:val="nil"/>
              <w:left w:val="nil"/>
              <w:bottom w:val="nil"/>
              <w:right w:val="nil"/>
            </w:tcBorders>
            <w:shd w:val="clear" w:color="auto" w:fill="auto"/>
            <w:noWrap/>
            <w:vAlign w:val="bottom"/>
            <w:hideMark/>
          </w:tcPr>
          <w:p w14:paraId="4A1C0133" w14:textId="77777777" w:rsidR="001A325D" w:rsidRPr="00E55E43" w:rsidRDefault="001A325D" w:rsidP="001A325D">
            <w:pPr>
              <w:rPr>
                <w:rFonts w:ascii="Arial" w:hAnsi="Arial" w:cs="Arial"/>
                <w:color w:val="000000"/>
              </w:rPr>
            </w:pPr>
            <w:r w:rsidRPr="00E55E43">
              <w:rPr>
                <w:rFonts w:ascii="Arial" w:hAnsi="Arial" w:cs="Arial"/>
                <w:color w:val="000000"/>
              </w:rPr>
              <w:t>87</w:t>
            </w:r>
          </w:p>
        </w:tc>
        <w:tc>
          <w:tcPr>
            <w:tcW w:w="945" w:type="dxa"/>
            <w:tcBorders>
              <w:top w:val="nil"/>
              <w:left w:val="nil"/>
              <w:bottom w:val="nil"/>
              <w:right w:val="nil"/>
            </w:tcBorders>
            <w:shd w:val="clear" w:color="auto" w:fill="auto"/>
            <w:noWrap/>
            <w:vAlign w:val="bottom"/>
            <w:hideMark/>
          </w:tcPr>
          <w:p w14:paraId="2F66E58F" w14:textId="77777777" w:rsidR="001A325D" w:rsidRPr="00E55E43" w:rsidRDefault="001A325D" w:rsidP="001A325D">
            <w:pPr>
              <w:rPr>
                <w:rFonts w:ascii="Arial" w:hAnsi="Arial" w:cs="Arial"/>
                <w:color w:val="000000"/>
              </w:rPr>
            </w:pPr>
            <w:r w:rsidRPr="00E55E43">
              <w:rPr>
                <w:rFonts w:ascii="Arial" w:hAnsi="Arial" w:cs="Arial"/>
                <w:color w:val="000000"/>
              </w:rPr>
              <w:t>3</w:t>
            </w:r>
          </w:p>
        </w:tc>
      </w:tr>
      <w:tr w:rsidR="001A325D" w:rsidRPr="00E55E43" w14:paraId="36E59E4E" w14:textId="77777777" w:rsidTr="001A325D">
        <w:trPr>
          <w:trHeight w:val="300"/>
        </w:trPr>
        <w:tc>
          <w:tcPr>
            <w:tcW w:w="960" w:type="dxa"/>
            <w:tcBorders>
              <w:top w:val="nil"/>
              <w:left w:val="nil"/>
              <w:bottom w:val="nil"/>
              <w:right w:val="nil"/>
            </w:tcBorders>
            <w:shd w:val="clear" w:color="auto" w:fill="auto"/>
            <w:noWrap/>
            <w:vAlign w:val="bottom"/>
            <w:hideMark/>
          </w:tcPr>
          <w:p w14:paraId="141570D0" w14:textId="77777777" w:rsidR="001A325D" w:rsidRPr="00E55E43" w:rsidRDefault="001A325D" w:rsidP="001A325D">
            <w:pPr>
              <w:rPr>
                <w:rFonts w:ascii="Arial" w:hAnsi="Arial" w:cs="Arial"/>
                <w:color w:val="000000"/>
              </w:rPr>
            </w:pPr>
            <w:r w:rsidRPr="00E55E43">
              <w:rPr>
                <w:rFonts w:ascii="Arial" w:hAnsi="Arial" w:cs="Arial"/>
                <w:color w:val="000000"/>
              </w:rPr>
              <w:t>38</w:t>
            </w:r>
          </w:p>
        </w:tc>
        <w:tc>
          <w:tcPr>
            <w:tcW w:w="975" w:type="dxa"/>
            <w:tcBorders>
              <w:top w:val="nil"/>
              <w:left w:val="nil"/>
              <w:bottom w:val="nil"/>
              <w:right w:val="nil"/>
            </w:tcBorders>
            <w:shd w:val="clear" w:color="auto" w:fill="auto"/>
            <w:noWrap/>
            <w:vAlign w:val="bottom"/>
            <w:hideMark/>
          </w:tcPr>
          <w:p w14:paraId="15959004" w14:textId="77777777" w:rsidR="001A325D" w:rsidRPr="00E55E43" w:rsidRDefault="001A325D" w:rsidP="001A325D">
            <w:pPr>
              <w:rPr>
                <w:rFonts w:ascii="Arial" w:hAnsi="Arial" w:cs="Arial"/>
                <w:color w:val="000000"/>
              </w:rPr>
            </w:pPr>
            <w:r w:rsidRPr="00E55E43">
              <w:rPr>
                <w:rFonts w:ascii="Arial" w:hAnsi="Arial" w:cs="Arial"/>
                <w:color w:val="000000"/>
              </w:rPr>
              <w:t>91</w:t>
            </w:r>
          </w:p>
        </w:tc>
        <w:tc>
          <w:tcPr>
            <w:tcW w:w="945" w:type="dxa"/>
            <w:tcBorders>
              <w:top w:val="nil"/>
              <w:left w:val="nil"/>
              <w:bottom w:val="nil"/>
              <w:right w:val="nil"/>
            </w:tcBorders>
            <w:shd w:val="clear" w:color="auto" w:fill="auto"/>
            <w:noWrap/>
            <w:vAlign w:val="bottom"/>
            <w:hideMark/>
          </w:tcPr>
          <w:p w14:paraId="25C2A2A0"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53E5E23B" w14:textId="77777777" w:rsidTr="001A325D">
        <w:trPr>
          <w:trHeight w:val="300"/>
        </w:trPr>
        <w:tc>
          <w:tcPr>
            <w:tcW w:w="960" w:type="dxa"/>
            <w:tcBorders>
              <w:top w:val="nil"/>
              <w:left w:val="nil"/>
              <w:bottom w:val="nil"/>
              <w:right w:val="nil"/>
            </w:tcBorders>
            <w:shd w:val="clear" w:color="auto" w:fill="auto"/>
            <w:noWrap/>
            <w:vAlign w:val="bottom"/>
            <w:hideMark/>
          </w:tcPr>
          <w:p w14:paraId="21F6E96F" w14:textId="77777777" w:rsidR="001A325D" w:rsidRPr="00E55E43" w:rsidRDefault="001A325D" w:rsidP="001A325D">
            <w:pPr>
              <w:rPr>
                <w:rFonts w:ascii="Arial" w:hAnsi="Arial" w:cs="Arial"/>
                <w:color w:val="000000"/>
              </w:rPr>
            </w:pPr>
            <w:r w:rsidRPr="00E55E43">
              <w:rPr>
                <w:rFonts w:ascii="Arial" w:hAnsi="Arial" w:cs="Arial"/>
                <w:color w:val="000000"/>
              </w:rPr>
              <w:t>39</w:t>
            </w:r>
          </w:p>
        </w:tc>
        <w:tc>
          <w:tcPr>
            <w:tcW w:w="975" w:type="dxa"/>
            <w:tcBorders>
              <w:top w:val="nil"/>
              <w:left w:val="nil"/>
              <w:bottom w:val="nil"/>
              <w:right w:val="nil"/>
            </w:tcBorders>
            <w:shd w:val="clear" w:color="auto" w:fill="auto"/>
            <w:noWrap/>
            <w:vAlign w:val="bottom"/>
            <w:hideMark/>
          </w:tcPr>
          <w:p w14:paraId="18660BA9" w14:textId="77777777" w:rsidR="001A325D" w:rsidRPr="00E55E43" w:rsidRDefault="001A325D" w:rsidP="001A325D">
            <w:pPr>
              <w:rPr>
                <w:rFonts w:ascii="Arial" w:hAnsi="Arial" w:cs="Arial"/>
                <w:color w:val="000000"/>
              </w:rPr>
            </w:pPr>
            <w:r w:rsidRPr="00E55E43">
              <w:rPr>
                <w:rFonts w:ascii="Arial" w:hAnsi="Arial" w:cs="Arial"/>
                <w:color w:val="000000"/>
              </w:rPr>
              <w:t>64</w:t>
            </w:r>
          </w:p>
        </w:tc>
        <w:tc>
          <w:tcPr>
            <w:tcW w:w="945" w:type="dxa"/>
            <w:tcBorders>
              <w:top w:val="nil"/>
              <w:left w:val="nil"/>
              <w:bottom w:val="nil"/>
              <w:right w:val="nil"/>
            </w:tcBorders>
            <w:shd w:val="clear" w:color="auto" w:fill="auto"/>
            <w:noWrap/>
            <w:vAlign w:val="bottom"/>
            <w:hideMark/>
          </w:tcPr>
          <w:p w14:paraId="1DDA1F0C" w14:textId="77777777" w:rsidR="001A325D" w:rsidRPr="00E55E43" w:rsidRDefault="001A325D" w:rsidP="001A325D">
            <w:pPr>
              <w:rPr>
                <w:rFonts w:ascii="Arial" w:hAnsi="Arial" w:cs="Arial"/>
                <w:color w:val="000000"/>
              </w:rPr>
            </w:pPr>
            <w:r w:rsidRPr="00E55E43">
              <w:rPr>
                <w:rFonts w:ascii="Arial" w:hAnsi="Arial" w:cs="Arial"/>
                <w:color w:val="000000"/>
              </w:rPr>
              <w:t>0</w:t>
            </w:r>
          </w:p>
        </w:tc>
      </w:tr>
      <w:tr w:rsidR="001A325D" w:rsidRPr="00E55E43" w14:paraId="3F4CF905" w14:textId="77777777" w:rsidTr="001A325D">
        <w:trPr>
          <w:trHeight w:val="300"/>
        </w:trPr>
        <w:tc>
          <w:tcPr>
            <w:tcW w:w="960" w:type="dxa"/>
            <w:tcBorders>
              <w:top w:val="nil"/>
              <w:left w:val="nil"/>
              <w:bottom w:val="nil"/>
              <w:right w:val="nil"/>
            </w:tcBorders>
            <w:shd w:val="clear" w:color="auto" w:fill="auto"/>
            <w:noWrap/>
            <w:vAlign w:val="bottom"/>
            <w:hideMark/>
          </w:tcPr>
          <w:p w14:paraId="3524C73A" w14:textId="77777777" w:rsidR="001A325D" w:rsidRPr="00E55E43" w:rsidRDefault="001A325D" w:rsidP="001A325D">
            <w:pPr>
              <w:rPr>
                <w:rFonts w:ascii="Arial" w:hAnsi="Arial" w:cs="Arial"/>
                <w:color w:val="000000"/>
              </w:rPr>
            </w:pPr>
            <w:r w:rsidRPr="00E55E43">
              <w:rPr>
                <w:rFonts w:ascii="Arial" w:hAnsi="Arial" w:cs="Arial"/>
                <w:color w:val="000000"/>
              </w:rPr>
              <w:t>40</w:t>
            </w:r>
          </w:p>
        </w:tc>
        <w:tc>
          <w:tcPr>
            <w:tcW w:w="975" w:type="dxa"/>
            <w:tcBorders>
              <w:top w:val="nil"/>
              <w:left w:val="nil"/>
              <w:bottom w:val="nil"/>
              <w:right w:val="nil"/>
            </w:tcBorders>
            <w:shd w:val="clear" w:color="auto" w:fill="auto"/>
            <w:noWrap/>
            <w:vAlign w:val="bottom"/>
            <w:hideMark/>
          </w:tcPr>
          <w:p w14:paraId="5EFBD515" w14:textId="77777777" w:rsidR="001A325D" w:rsidRPr="00E55E43" w:rsidRDefault="001A325D" w:rsidP="001A325D">
            <w:pPr>
              <w:rPr>
                <w:rFonts w:ascii="Arial" w:hAnsi="Arial" w:cs="Arial"/>
                <w:color w:val="000000"/>
              </w:rPr>
            </w:pPr>
            <w:r w:rsidRPr="00E55E43">
              <w:rPr>
                <w:rFonts w:ascii="Arial" w:hAnsi="Arial" w:cs="Arial"/>
                <w:color w:val="000000"/>
              </w:rPr>
              <w:t>195</w:t>
            </w:r>
          </w:p>
        </w:tc>
        <w:tc>
          <w:tcPr>
            <w:tcW w:w="945" w:type="dxa"/>
            <w:tcBorders>
              <w:top w:val="nil"/>
              <w:left w:val="nil"/>
              <w:bottom w:val="nil"/>
              <w:right w:val="nil"/>
            </w:tcBorders>
            <w:shd w:val="clear" w:color="auto" w:fill="auto"/>
            <w:noWrap/>
            <w:vAlign w:val="bottom"/>
            <w:hideMark/>
          </w:tcPr>
          <w:p w14:paraId="7E2A7EBC"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1AF99AB5" w14:textId="77777777" w:rsidTr="001A325D">
        <w:trPr>
          <w:trHeight w:val="300"/>
        </w:trPr>
        <w:tc>
          <w:tcPr>
            <w:tcW w:w="960" w:type="dxa"/>
            <w:tcBorders>
              <w:top w:val="nil"/>
              <w:left w:val="nil"/>
              <w:bottom w:val="nil"/>
              <w:right w:val="nil"/>
            </w:tcBorders>
            <w:shd w:val="clear" w:color="auto" w:fill="auto"/>
            <w:noWrap/>
            <w:vAlign w:val="bottom"/>
            <w:hideMark/>
          </w:tcPr>
          <w:p w14:paraId="06F9FF13" w14:textId="77777777" w:rsidR="001A325D" w:rsidRPr="00E55E43" w:rsidRDefault="001A325D" w:rsidP="001A325D">
            <w:pPr>
              <w:rPr>
                <w:rFonts w:ascii="Arial" w:hAnsi="Arial" w:cs="Arial"/>
                <w:color w:val="000000"/>
              </w:rPr>
            </w:pPr>
            <w:r w:rsidRPr="00E55E43">
              <w:rPr>
                <w:rFonts w:ascii="Arial" w:hAnsi="Arial" w:cs="Arial"/>
                <w:color w:val="000000"/>
              </w:rPr>
              <w:t>41</w:t>
            </w:r>
          </w:p>
        </w:tc>
        <w:tc>
          <w:tcPr>
            <w:tcW w:w="975" w:type="dxa"/>
            <w:tcBorders>
              <w:top w:val="nil"/>
              <w:left w:val="nil"/>
              <w:bottom w:val="nil"/>
              <w:right w:val="nil"/>
            </w:tcBorders>
            <w:shd w:val="clear" w:color="auto" w:fill="auto"/>
            <w:noWrap/>
            <w:vAlign w:val="bottom"/>
            <w:hideMark/>
          </w:tcPr>
          <w:p w14:paraId="3FBB2F9A" w14:textId="77777777" w:rsidR="001A325D" w:rsidRPr="00E55E43" w:rsidRDefault="001A325D" w:rsidP="001A325D">
            <w:pPr>
              <w:rPr>
                <w:rFonts w:ascii="Arial" w:hAnsi="Arial" w:cs="Arial"/>
                <w:color w:val="000000"/>
              </w:rPr>
            </w:pPr>
            <w:r w:rsidRPr="00E55E43">
              <w:rPr>
                <w:rFonts w:ascii="Arial" w:hAnsi="Arial" w:cs="Arial"/>
                <w:color w:val="000000"/>
              </w:rPr>
              <w:t>196</w:t>
            </w:r>
          </w:p>
        </w:tc>
        <w:tc>
          <w:tcPr>
            <w:tcW w:w="945" w:type="dxa"/>
            <w:tcBorders>
              <w:top w:val="nil"/>
              <w:left w:val="nil"/>
              <w:bottom w:val="nil"/>
              <w:right w:val="nil"/>
            </w:tcBorders>
            <w:shd w:val="clear" w:color="auto" w:fill="auto"/>
            <w:noWrap/>
            <w:vAlign w:val="bottom"/>
            <w:hideMark/>
          </w:tcPr>
          <w:p w14:paraId="0B1E0D87" w14:textId="77777777" w:rsidR="001A325D" w:rsidRPr="00E55E43" w:rsidRDefault="001A325D" w:rsidP="001A325D">
            <w:pPr>
              <w:rPr>
                <w:rFonts w:ascii="Arial" w:hAnsi="Arial" w:cs="Arial"/>
                <w:color w:val="000000"/>
              </w:rPr>
            </w:pPr>
            <w:r w:rsidRPr="00E55E43">
              <w:rPr>
                <w:rFonts w:ascii="Arial" w:hAnsi="Arial" w:cs="Arial"/>
                <w:color w:val="000000"/>
              </w:rPr>
              <w:t>7</w:t>
            </w:r>
          </w:p>
        </w:tc>
      </w:tr>
      <w:tr w:rsidR="001A325D" w:rsidRPr="00E55E43" w14:paraId="564278EC" w14:textId="77777777" w:rsidTr="001A325D">
        <w:trPr>
          <w:trHeight w:val="300"/>
        </w:trPr>
        <w:tc>
          <w:tcPr>
            <w:tcW w:w="960" w:type="dxa"/>
            <w:tcBorders>
              <w:top w:val="nil"/>
              <w:left w:val="nil"/>
              <w:bottom w:val="nil"/>
              <w:right w:val="nil"/>
            </w:tcBorders>
            <w:shd w:val="clear" w:color="auto" w:fill="auto"/>
            <w:noWrap/>
            <w:vAlign w:val="bottom"/>
            <w:hideMark/>
          </w:tcPr>
          <w:p w14:paraId="74B0E11A" w14:textId="77777777" w:rsidR="001A325D" w:rsidRPr="00E55E43" w:rsidRDefault="001A325D" w:rsidP="001A325D">
            <w:pPr>
              <w:rPr>
                <w:rFonts w:ascii="Arial" w:hAnsi="Arial" w:cs="Arial"/>
                <w:color w:val="000000"/>
              </w:rPr>
            </w:pPr>
            <w:r w:rsidRPr="00E55E43">
              <w:rPr>
                <w:rFonts w:ascii="Arial" w:hAnsi="Arial" w:cs="Arial"/>
                <w:color w:val="000000"/>
              </w:rPr>
              <w:t>42</w:t>
            </w:r>
          </w:p>
        </w:tc>
        <w:tc>
          <w:tcPr>
            <w:tcW w:w="975" w:type="dxa"/>
            <w:tcBorders>
              <w:top w:val="nil"/>
              <w:left w:val="nil"/>
              <w:bottom w:val="nil"/>
              <w:right w:val="nil"/>
            </w:tcBorders>
            <w:shd w:val="clear" w:color="auto" w:fill="auto"/>
            <w:noWrap/>
            <w:vAlign w:val="bottom"/>
            <w:hideMark/>
          </w:tcPr>
          <w:p w14:paraId="40B889FF" w14:textId="77777777" w:rsidR="001A325D" w:rsidRPr="00E55E43" w:rsidRDefault="001A325D" w:rsidP="001A325D">
            <w:pPr>
              <w:rPr>
                <w:rFonts w:ascii="Arial" w:hAnsi="Arial" w:cs="Arial"/>
                <w:color w:val="000000"/>
              </w:rPr>
            </w:pPr>
            <w:r w:rsidRPr="00E55E43">
              <w:rPr>
                <w:rFonts w:ascii="Arial" w:hAnsi="Arial" w:cs="Arial"/>
                <w:color w:val="000000"/>
              </w:rPr>
              <w:t>204</w:t>
            </w:r>
          </w:p>
        </w:tc>
        <w:tc>
          <w:tcPr>
            <w:tcW w:w="945" w:type="dxa"/>
            <w:tcBorders>
              <w:top w:val="nil"/>
              <w:left w:val="nil"/>
              <w:bottom w:val="nil"/>
              <w:right w:val="nil"/>
            </w:tcBorders>
            <w:shd w:val="clear" w:color="auto" w:fill="auto"/>
            <w:noWrap/>
            <w:vAlign w:val="bottom"/>
            <w:hideMark/>
          </w:tcPr>
          <w:p w14:paraId="0292D6AE" w14:textId="77777777" w:rsidR="001A325D" w:rsidRPr="00E55E43" w:rsidRDefault="001A325D" w:rsidP="001A325D">
            <w:pPr>
              <w:rPr>
                <w:rFonts w:ascii="Arial" w:hAnsi="Arial" w:cs="Arial"/>
                <w:color w:val="000000"/>
              </w:rPr>
            </w:pPr>
            <w:r w:rsidRPr="00E55E43">
              <w:rPr>
                <w:rFonts w:ascii="Arial" w:hAnsi="Arial" w:cs="Arial"/>
                <w:color w:val="000000"/>
              </w:rPr>
              <w:t>7</w:t>
            </w:r>
          </w:p>
        </w:tc>
      </w:tr>
      <w:tr w:rsidR="001A325D" w:rsidRPr="00E55E43" w14:paraId="6BD25A09" w14:textId="77777777" w:rsidTr="001A325D">
        <w:trPr>
          <w:trHeight w:val="300"/>
        </w:trPr>
        <w:tc>
          <w:tcPr>
            <w:tcW w:w="960" w:type="dxa"/>
            <w:tcBorders>
              <w:top w:val="nil"/>
              <w:left w:val="nil"/>
              <w:bottom w:val="nil"/>
              <w:right w:val="nil"/>
            </w:tcBorders>
            <w:shd w:val="clear" w:color="auto" w:fill="auto"/>
            <w:noWrap/>
            <w:vAlign w:val="bottom"/>
            <w:hideMark/>
          </w:tcPr>
          <w:p w14:paraId="4F25D9EA" w14:textId="77777777" w:rsidR="001A325D" w:rsidRPr="00E55E43" w:rsidRDefault="001A325D" w:rsidP="001A325D">
            <w:pPr>
              <w:rPr>
                <w:rFonts w:ascii="Arial" w:hAnsi="Arial" w:cs="Arial"/>
                <w:color w:val="000000"/>
              </w:rPr>
            </w:pPr>
            <w:r w:rsidRPr="00E55E43">
              <w:rPr>
                <w:rFonts w:ascii="Arial" w:hAnsi="Arial" w:cs="Arial"/>
                <w:color w:val="000000"/>
              </w:rPr>
              <w:t>43</w:t>
            </w:r>
          </w:p>
        </w:tc>
        <w:tc>
          <w:tcPr>
            <w:tcW w:w="975" w:type="dxa"/>
            <w:tcBorders>
              <w:top w:val="nil"/>
              <w:left w:val="nil"/>
              <w:bottom w:val="nil"/>
              <w:right w:val="nil"/>
            </w:tcBorders>
            <w:shd w:val="clear" w:color="auto" w:fill="auto"/>
            <w:noWrap/>
            <w:vAlign w:val="bottom"/>
            <w:hideMark/>
          </w:tcPr>
          <w:p w14:paraId="7A25D13A" w14:textId="77777777" w:rsidR="001A325D" w:rsidRPr="00E55E43" w:rsidRDefault="001A325D" w:rsidP="001A325D">
            <w:pPr>
              <w:rPr>
                <w:rFonts w:ascii="Arial" w:hAnsi="Arial" w:cs="Arial"/>
                <w:color w:val="000000"/>
              </w:rPr>
            </w:pPr>
            <w:r w:rsidRPr="00E55E43">
              <w:rPr>
                <w:rFonts w:ascii="Arial" w:hAnsi="Arial" w:cs="Arial"/>
                <w:color w:val="000000"/>
              </w:rPr>
              <w:t>238</w:t>
            </w:r>
          </w:p>
        </w:tc>
        <w:tc>
          <w:tcPr>
            <w:tcW w:w="945" w:type="dxa"/>
            <w:tcBorders>
              <w:top w:val="nil"/>
              <w:left w:val="nil"/>
              <w:bottom w:val="nil"/>
              <w:right w:val="nil"/>
            </w:tcBorders>
            <w:shd w:val="clear" w:color="auto" w:fill="auto"/>
            <w:noWrap/>
            <w:vAlign w:val="bottom"/>
            <w:hideMark/>
          </w:tcPr>
          <w:p w14:paraId="17D89B81" w14:textId="77777777" w:rsidR="001A325D" w:rsidRPr="00E55E43" w:rsidRDefault="001A325D" w:rsidP="001A325D">
            <w:pPr>
              <w:rPr>
                <w:rFonts w:ascii="Arial" w:hAnsi="Arial" w:cs="Arial"/>
                <w:color w:val="000000"/>
              </w:rPr>
            </w:pPr>
            <w:r w:rsidRPr="00E55E43">
              <w:rPr>
                <w:rFonts w:ascii="Arial" w:hAnsi="Arial" w:cs="Arial"/>
                <w:color w:val="000000"/>
              </w:rPr>
              <w:t>10</w:t>
            </w:r>
          </w:p>
        </w:tc>
      </w:tr>
      <w:tr w:rsidR="001A325D" w:rsidRPr="00E55E43" w14:paraId="51BF9AA9" w14:textId="77777777" w:rsidTr="001A325D">
        <w:trPr>
          <w:trHeight w:val="300"/>
        </w:trPr>
        <w:tc>
          <w:tcPr>
            <w:tcW w:w="960" w:type="dxa"/>
            <w:tcBorders>
              <w:top w:val="nil"/>
              <w:left w:val="nil"/>
              <w:bottom w:val="nil"/>
              <w:right w:val="nil"/>
            </w:tcBorders>
            <w:shd w:val="clear" w:color="auto" w:fill="auto"/>
            <w:noWrap/>
            <w:vAlign w:val="bottom"/>
            <w:hideMark/>
          </w:tcPr>
          <w:p w14:paraId="7FD4F19E" w14:textId="77777777" w:rsidR="001A325D" w:rsidRPr="00E55E43" w:rsidRDefault="001A325D" w:rsidP="001A325D">
            <w:pPr>
              <w:rPr>
                <w:rFonts w:ascii="Arial" w:hAnsi="Arial" w:cs="Arial"/>
                <w:color w:val="000000"/>
              </w:rPr>
            </w:pPr>
            <w:r w:rsidRPr="00E55E43">
              <w:rPr>
                <w:rFonts w:ascii="Arial" w:hAnsi="Arial" w:cs="Arial"/>
                <w:color w:val="000000"/>
              </w:rPr>
              <w:t>44</w:t>
            </w:r>
          </w:p>
        </w:tc>
        <w:tc>
          <w:tcPr>
            <w:tcW w:w="975" w:type="dxa"/>
            <w:tcBorders>
              <w:top w:val="nil"/>
              <w:left w:val="nil"/>
              <w:bottom w:val="nil"/>
              <w:right w:val="nil"/>
            </w:tcBorders>
            <w:shd w:val="clear" w:color="auto" w:fill="auto"/>
            <w:noWrap/>
            <w:vAlign w:val="bottom"/>
            <w:hideMark/>
          </w:tcPr>
          <w:p w14:paraId="27463F66" w14:textId="77777777" w:rsidR="001A325D" w:rsidRPr="00E55E43" w:rsidRDefault="001A325D" w:rsidP="001A325D">
            <w:pPr>
              <w:rPr>
                <w:rFonts w:ascii="Arial" w:hAnsi="Arial" w:cs="Arial"/>
                <w:color w:val="000000"/>
              </w:rPr>
            </w:pPr>
            <w:r w:rsidRPr="00E55E43">
              <w:rPr>
                <w:rFonts w:ascii="Arial" w:hAnsi="Arial" w:cs="Arial"/>
                <w:color w:val="000000"/>
              </w:rPr>
              <w:t>218</w:t>
            </w:r>
          </w:p>
        </w:tc>
        <w:tc>
          <w:tcPr>
            <w:tcW w:w="945" w:type="dxa"/>
            <w:tcBorders>
              <w:top w:val="nil"/>
              <w:left w:val="nil"/>
              <w:bottom w:val="nil"/>
              <w:right w:val="nil"/>
            </w:tcBorders>
            <w:shd w:val="clear" w:color="auto" w:fill="auto"/>
            <w:noWrap/>
            <w:vAlign w:val="bottom"/>
            <w:hideMark/>
          </w:tcPr>
          <w:p w14:paraId="4CFAEF6A" w14:textId="77777777" w:rsidR="001A325D" w:rsidRPr="00E55E43" w:rsidRDefault="001A325D" w:rsidP="001A325D">
            <w:pPr>
              <w:rPr>
                <w:rFonts w:ascii="Arial" w:hAnsi="Arial" w:cs="Arial"/>
                <w:color w:val="000000"/>
              </w:rPr>
            </w:pPr>
            <w:r w:rsidRPr="00E55E43">
              <w:rPr>
                <w:rFonts w:ascii="Arial" w:hAnsi="Arial" w:cs="Arial"/>
                <w:color w:val="000000"/>
              </w:rPr>
              <w:t>17</w:t>
            </w:r>
          </w:p>
        </w:tc>
      </w:tr>
      <w:tr w:rsidR="001A325D" w:rsidRPr="00E55E43" w14:paraId="48E42E13" w14:textId="77777777" w:rsidTr="001A325D">
        <w:trPr>
          <w:trHeight w:val="300"/>
        </w:trPr>
        <w:tc>
          <w:tcPr>
            <w:tcW w:w="960" w:type="dxa"/>
            <w:tcBorders>
              <w:top w:val="nil"/>
              <w:left w:val="nil"/>
              <w:bottom w:val="nil"/>
              <w:right w:val="nil"/>
            </w:tcBorders>
            <w:shd w:val="clear" w:color="auto" w:fill="auto"/>
            <w:noWrap/>
            <w:vAlign w:val="bottom"/>
            <w:hideMark/>
          </w:tcPr>
          <w:p w14:paraId="3E9D277A" w14:textId="77777777" w:rsidR="001A325D" w:rsidRPr="00E55E43" w:rsidRDefault="001A325D" w:rsidP="001A325D">
            <w:pPr>
              <w:rPr>
                <w:rFonts w:ascii="Arial" w:hAnsi="Arial" w:cs="Arial"/>
                <w:color w:val="000000"/>
              </w:rPr>
            </w:pPr>
            <w:r w:rsidRPr="00E55E43">
              <w:rPr>
                <w:rFonts w:ascii="Arial" w:hAnsi="Arial" w:cs="Arial"/>
                <w:color w:val="000000"/>
              </w:rPr>
              <w:t>45</w:t>
            </w:r>
          </w:p>
        </w:tc>
        <w:tc>
          <w:tcPr>
            <w:tcW w:w="975" w:type="dxa"/>
            <w:tcBorders>
              <w:top w:val="nil"/>
              <w:left w:val="nil"/>
              <w:bottom w:val="nil"/>
              <w:right w:val="nil"/>
            </w:tcBorders>
            <w:shd w:val="clear" w:color="auto" w:fill="auto"/>
            <w:noWrap/>
            <w:vAlign w:val="bottom"/>
            <w:hideMark/>
          </w:tcPr>
          <w:p w14:paraId="2E00443F" w14:textId="77777777" w:rsidR="001A325D" w:rsidRPr="00E55E43" w:rsidRDefault="001A325D" w:rsidP="001A325D">
            <w:pPr>
              <w:rPr>
                <w:rFonts w:ascii="Arial" w:hAnsi="Arial" w:cs="Arial"/>
                <w:color w:val="000000"/>
              </w:rPr>
            </w:pPr>
            <w:r w:rsidRPr="00E55E43">
              <w:rPr>
                <w:rFonts w:ascii="Arial" w:hAnsi="Arial" w:cs="Arial"/>
                <w:color w:val="000000"/>
              </w:rPr>
              <w:t>170</w:t>
            </w:r>
          </w:p>
        </w:tc>
        <w:tc>
          <w:tcPr>
            <w:tcW w:w="945" w:type="dxa"/>
            <w:tcBorders>
              <w:top w:val="nil"/>
              <w:left w:val="nil"/>
              <w:bottom w:val="nil"/>
              <w:right w:val="nil"/>
            </w:tcBorders>
            <w:shd w:val="clear" w:color="auto" w:fill="auto"/>
            <w:noWrap/>
            <w:vAlign w:val="bottom"/>
            <w:hideMark/>
          </w:tcPr>
          <w:p w14:paraId="5B46DEF4" w14:textId="77777777" w:rsidR="001A325D" w:rsidRPr="00E55E43" w:rsidRDefault="001A325D" w:rsidP="001A325D">
            <w:pPr>
              <w:rPr>
                <w:rFonts w:ascii="Arial" w:hAnsi="Arial" w:cs="Arial"/>
                <w:color w:val="000000"/>
              </w:rPr>
            </w:pPr>
            <w:r w:rsidRPr="00E55E43">
              <w:rPr>
                <w:rFonts w:ascii="Arial" w:hAnsi="Arial" w:cs="Arial"/>
                <w:color w:val="000000"/>
              </w:rPr>
              <w:t>2</w:t>
            </w:r>
          </w:p>
        </w:tc>
      </w:tr>
      <w:tr w:rsidR="001A325D" w:rsidRPr="00E55E43" w14:paraId="74338EDE" w14:textId="77777777" w:rsidTr="001A325D">
        <w:trPr>
          <w:trHeight w:val="300"/>
        </w:trPr>
        <w:tc>
          <w:tcPr>
            <w:tcW w:w="960" w:type="dxa"/>
            <w:tcBorders>
              <w:top w:val="nil"/>
              <w:left w:val="nil"/>
              <w:bottom w:val="nil"/>
              <w:right w:val="nil"/>
            </w:tcBorders>
            <w:shd w:val="clear" w:color="auto" w:fill="auto"/>
            <w:noWrap/>
            <w:vAlign w:val="bottom"/>
            <w:hideMark/>
          </w:tcPr>
          <w:p w14:paraId="74C87D45" w14:textId="77777777" w:rsidR="001A325D" w:rsidRPr="00E55E43" w:rsidRDefault="001A325D" w:rsidP="001A325D">
            <w:pPr>
              <w:rPr>
                <w:rFonts w:ascii="Arial" w:hAnsi="Arial" w:cs="Arial"/>
                <w:color w:val="000000"/>
              </w:rPr>
            </w:pPr>
            <w:r w:rsidRPr="00E55E43">
              <w:rPr>
                <w:rFonts w:ascii="Arial" w:hAnsi="Arial" w:cs="Arial"/>
                <w:color w:val="000000"/>
              </w:rPr>
              <w:t>46</w:t>
            </w:r>
          </w:p>
        </w:tc>
        <w:tc>
          <w:tcPr>
            <w:tcW w:w="975" w:type="dxa"/>
            <w:tcBorders>
              <w:top w:val="nil"/>
              <w:left w:val="nil"/>
              <w:bottom w:val="nil"/>
              <w:right w:val="nil"/>
            </w:tcBorders>
            <w:shd w:val="clear" w:color="auto" w:fill="auto"/>
            <w:noWrap/>
            <w:vAlign w:val="bottom"/>
            <w:hideMark/>
          </w:tcPr>
          <w:p w14:paraId="4A7AAF42" w14:textId="77777777" w:rsidR="001A325D" w:rsidRPr="00E55E43" w:rsidRDefault="001A325D" w:rsidP="001A325D">
            <w:pPr>
              <w:rPr>
                <w:rFonts w:ascii="Arial" w:hAnsi="Arial" w:cs="Arial"/>
                <w:color w:val="000000"/>
              </w:rPr>
            </w:pPr>
            <w:r w:rsidRPr="00E55E43">
              <w:rPr>
                <w:rFonts w:ascii="Arial" w:hAnsi="Arial" w:cs="Arial"/>
                <w:color w:val="000000"/>
              </w:rPr>
              <w:t>244</w:t>
            </w:r>
          </w:p>
        </w:tc>
        <w:tc>
          <w:tcPr>
            <w:tcW w:w="945" w:type="dxa"/>
            <w:tcBorders>
              <w:top w:val="nil"/>
              <w:left w:val="nil"/>
              <w:bottom w:val="nil"/>
              <w:right w:val="nil"/>
            </w:tcBorders>
            <w:shd w:val="clear" w:color="auto" w:fill="auto"/>
            <w:noWrap/>
            <w:vAlign w:val="bottom"/>
            <w:hideMark/>
          </w:tcPr>
          <w:p w14:paraId="5FA26618" w14:textId="77777777" w:rsidR="001A325D" w:rsidRPr="00E55E43" w:rsidRDefault="001A325D" w:rsidP="001A325D">
            <w:pPr>
              <w:rPr>
                <w:rFonts w:ascii="Arial" w:hAnsi="Arial" w:cs="Arial"/>
                <w:color w:val="000000"/>
              </w:rPr>
            </w:pPr>
            <w:r w:rsidRPr="00E55E43">
              <w:rPr>
                <w:rFonts w:ascii="Arial" w:hAnsi="Arial" w:cs="Arial"/>
                <w:color w:val="000000"/>
              </w:rPr>
              <w:t>6</w:t>
            </w:r>
          </w:p>
        </w:tc>
      </w:tr>
      <w:tr w:rsidR="001A325D" w:rsidRPr="00E55E43" w14:paraId="58C3C5AF" w14:textId="77777777" w:rsidTr="001A325D">
        <w:trPr>
          <w:trHeight w:val="300"/>
        </w:trPr>
        <w:tc>
          <w:tcPr>
            <w:tcW w:w="960" w:type="dxa"/>
            <w:tcBorders>
              <w:top w:val="nil"/>
              <w:left w:val="nil"/>
              <w:bottom w:val="nil"/>
              <w:right w:val="nil"/>
            </w:tcBorders>
            <w:shd w:val="clear" w:color="auto" w:fill="auto"/>
            <w:noWrap/>
            <w:vAlign w:val="bottom"/>
            <w:hideMark/>
          </w:tcPr>
          <w:p w14:paraId="78FCC6EB" w14:textId="77777777" w:rsidR="001A325D" w:rsidRPr="00E55E43" w:rsidRDefault="001A325D" w:rsidP="001A325D">
            <w:pPr>
              <w:rPr>
                <w:rFonts w:ascii="Arial" w:hAnsi="Arial" w:cs="Arial"/>
                <w:color w:val="000000"/>
              </w:rPr>
            </w:pPr>
            <w:r w:rsidRPr="00E55E43">
              <w:rPr>
                <w:rFonts w:ascii="Arial" w:hAnsi="Arial" w:cs="Arial"/>
                <w:color w:val="000000"/>
              </w:rPr>
              <w:t>47</w:t>
            </w:r>
          </w:p>
        </w:tc>
        <w:tc>
          <w:tcPr>
            <w:tcW w:w="975" w:type="dxa"/>
            <w:tcBorders>
              <w:top w:val="nil"/>
              <w:left w:val="nil"/>
              <w:bottom w:val="nil"/>
              <w:right w:val="nil"/>
            </w:tcBorders>
            <w:shd w:val="clear" w:color="auto" w:fill="auto"/>
            <w:noWrap/>
            <w:vAlign w:val="bottom"/>
            <w:hideMark/>
          </w:tcPr>
          <w:p w14:paraId="14681159" w14:textId="77777777" w:rsidR="001A325D" w:rsidRPr="00E55E43" w:rsidRDefault="001A325D" w:rsidP="001A325D">
            <w:pPr>
              <w:rPr>
                <w:rFonts w:ascii="Arial" w:hAnsi="Arial" w:cs="Arial"/>
                <w:color w:val="000000"/>
              </w:rPr>
            </w:pPr>
            <w:r w:rsidRPr="00E55E43">
              <w:rPr>
                <w:rFonts w:ascii="Arial" w:hAnsi="Arial" w:cs="Arial"/>
                <w:color w:val="000000"/>
              </w:rPr>
              <w:t>148</w:t>
            </w:r>
          </w:p>
        </w:tc>
        <w:tc>
          <w:tcPr>
            <w:tcW w:w="945" w:type="dxa"/>
            <w:tcBorders>
              <w:top w:val="nil"/>
              <w:left w:val="nil"/>
              <w:bottom w:val="nil"/>
              <w:right w:val="nil"/>
            </w:tcBorders>
            <w:shd w:val="clear" w:color="auto" w:fill="auto"/>
            <w:noWrap/>
            <w:vAlign w:val="bottom"/>
            <w:hideMark/>
          </w:tcPr>
          <w:p w14:paraId="776E2D10"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6A68BCE0" w14:textId="77777777" w:rsidTr="001A325D">
        <w:trPr>
          <w:trHeight w:val="300"/>
        </w:trPr>
        <w:tc>
          <w:tcPr>
            <w:tcW w:w="960" w:type="dxa"/>
            <w:tcBorders>
              <w:top w:val="nil"/>
              <w:left w:val="nil"/>
              <w:bottom w:val="nil"/>
              <w:right w:val="nil"/>
            </w:tcBorders>
            <w:shd w:val="clear" w:color="auto" w:fill="auto"/>
            <w:noWrap/>
            <w:vAlign w:val="bottom"/>
            <w:hideMark/>
          </w:tcPr>
          <w:p w14:paraId="6983A29D" w14:textId="77777777" w:rsidR="001A325D" w:rsidRPr="00E55E43" w:rsidRDefault="001A325D" w:rsidP="001A325D">
            <w:pPr>
              <w:rPr>
                <w:rFonts w:ascii="Arial" w:hAnsi="Arial" w:cs="Arial"/>
                <w:color w:val="000000"/>
              </w:rPr>
            </w:pPr>
            <w:r w:rsidRPr="00E55E43">
              <w:rPr>
                <w:rFonts w:ascii="Arial" w:hAnsi="Arial" w:cs="Arial"/>
                <w:color w:val="000000"/>
              </w:rPr>
              <w:t>48</w:t>
            </w:r>
          </w:p>
        </w:tc>
        <w:tc>
          <w:tcPr>
            <w:tcW w:w="975" w:type="dxa"/>
            <w:tcBorders>
              <w:top w:val="nil"/>
              <w:left w:val="nil"/>
              <w:bottom w:val="nil"/>
              <w:right w:val="nil"/>
            </w:tcBorders>
            <w:shd w:val="clear" w:color="auto" w:fill="auto"/>
            <w:noWrap/>
            <w:vAlign w:val="bottom"/>
            <w:hideMark/>
          </w:tcPr>
          <w:p w14:paraId="7A024B48" w14:textId="77777777" w:rsidR="001A325D" w:rsidRPr="00E55E43" w:rsidRDefault="001A325D" w:rsidP="001A325D">
            <w:pPr>
              <w:rPr>
                <w:rFonts w:ascii="Arial" w:hAnsi="Arial" w:cs="Arial"/>
                <w:color w:val="000000"/>
              </w:rPr>
            </w:pPr>
            <w:r w:rsidRPr="00E55E43">
              <w:rPr>
                <w:rFonts w:ascii="Arial" w:hAnsi="Arial" w:cs="Arial"/>
                <w:color w:val="000000"/>
              </w:rPr>
              <w:t>195</w:t>
            </w:r>
          </w:p>
        </w:tc>
        <w:tc>
          <w:tcPr>
            <w:tcW w:w="945" w:type="dxa"/>
            <w:tcBorders>
              <w:top w:val="nil"/>
              <w:left w:val="nil"/>
              <w:bottom w:val="nil"/>
              <w:right w:val="nil"/>
            </w:tcBorders>
            <w:shd w:val="clear" w:color="auto" w:fill="auto"/>
            <w:noWrap/>
            <w:vAlign w:val="bottom"/>
            <w:hideMark/>
          </w:tcPr>
          <w:p w14:paraId="450EF8B9" w14:textId="77777777" w:rsidR="001A325D" w:rsidRPr="00E55E43" w:rsidRDefault="001A325D" w:rsidP="001A325D">
            <w:pPr>
              <w:rPr>
                <w:rFonts w:ascii="Arial" w:hAnsi="Arial" w:cs="Arial"/>
                <w:color w:val="000000"/>
              </w:rPr>
            </w:pPr>
            <w:r w:rsidRPr="00E55E43">
              <w:rPr>
                <w:rFonts w:ascii="Arial" w:hAnsi="Arial" w:cs="Arial"/>
                <w:color w:val="000000"/>
              </w:rPr>
              <w:t>5</w:t>
            </w:r>
          </w:p>
        </w:tc>
      </w:tr>
      <w:tr w:rsidR="001A325D" w:rsidRPr="00E55E43" w14:paraId="4DA20151" w14:textId="77777777" w:rsidTr="001A325D">
        <w:trPr>
          <w:trHeight w:val="300"/>
        </w:trPr>
        <w:tc>
          <w:tcPr>
            <w:tcW w:w="960" w:type="dxa"/>
            <w:tcBorders>
              <w:top w:val="nil"/>
              <w:left w:val="nil"/>
              <w:bottom w:val="nil"/>
              <w:right w:val="nil"/>
            </w:tcBorders>
            <w:shd w:val="clear" w:color="auto" w:fill="auto"/>
            <w:noWrap/>
            <w:vAlign w:val="bottom"/>
            <w:hideMark/>
          </w:tcPr>
          <w:p w14:paraId="4F22DE40" w14:textId="77777777" w:rsidR="001A325D" w:rsidRPr="00E55E43" w:rsidRDefault="001A325D" w:rsidP="001A325D">
            <w:pPr>
              <w:rPr>
                <w:rFonts w:ascii="Arial" w:hAnsi="Arial" w:cs="Arial"/>
                <w:color w:val="000000"/>
              </w:rPr>
            </w:pPr>
            <w:r w:rsidRPr="00E55E43">
              <w:rPr>
                <w:rFonts w:ascii="Arial" w:hAnsi="Arial" w:cs="Arial"/>
                <w:color w:val="000000"/>
              </w:rPr>
              <w:t>49</w:t>
            </w:r>
          </w:p>
        </w:tc>
        <w:tc>
          <w:tcPr>
            <w:tcW w:w="975" w:type="dxa"/>
            <w:tcBorders>
              <w:top w:val="nil"/>
              <w:left w:val="nil"/>
              <w:bottom w:val="nil"/>
              <w:right w:val="nil"/>
            </w:tcBorders>
            <w:shd w:val="clear" w:color="auto" w:fill="auto"/>
            <w:noWrap/>
            <w:vAlign w:val="bottom"/>
            <w:hideMark/>
          </w:tcPr>
          <w:p w14:paraId="07B52747" w14:textId="77777777" w:rsidR="001A325D" w:rsidRPr="00E55E43" w:rsidRDefault="001A325D" w:rsidP="001A325D">
            <w:pPr>
              <w:rPr>
                <w:rFonts w:ascii="Arial" w:hAnsi="Arial" w:cs="Arial"/>
                <w:color w:val="000000"/>
              </w:rPr>
            </w:pPr>
            <w:r w:rsidRPr="00E55E43">
              <w:rPr>
                <w:rFonts w:ascii="Arial" w:hAnsi="Arial" w:cs="Arial"/>
                <w:color w:val="000000"/>
              </w:rPr>
              <w:t>381</w:t>
            </w:r>
          </w:p>
        </w:tc>
        <w:tc>
          <w:tcPr>
            <w:tcW w:w="945" w:type="dxa"/>
            <w:tcBorders>
              <w:top w:val="nil"/>
              <w:left w:val="nil"/>
              <w:bottom w:val="nil"/>
              <w:right w:val="nil"/>
            </w:tcBorders>
            <w:shd w:val="clear" w:color="auto" w:fill="auto"/>
            <w:noWrap/>
            <w:vAlign w:val="bottom"/>
            <w:hideMark/>
          </w:tcPr>
          <w:p w14:paraId="4BB08318" w14:textId="77777777" w:rsidR="001A325D" w:rsidRPr="00E55E43" w:rsidRDefault="001A325D" w:rsidP="001A325D">
            <w:pPr>
              <w:rPr>
                <w:rFonts w:ascii="Arial" w:hAnsi="Arial" w:cs="Arial"/>
                <w:color w:val="000000"/>
              </w:rPr>
            </w:pPr>
            <w:r w:rsidRPr="00E55E43">
              <w:rPr>
                <w:rFonts w:ascii="Arial" w:hAnsi="Arial" w:cs="Arial"/>
                <w:color w:val="000000"/>
              </w:rPr>
              <w:t>4</w:t>
            </w:r>
          </w:p>
        </w:tc>
      </w:tr>
      <w:tr w:rsidR="001A325D" w:rsidRPr="00E55E43" w14:paraId="3BBA1B01" w14:textId="77777777" w:rsidTr="001A325D">
        <w:trPr>
          <w:trHeight w:val="300"/>
        </w:trPr>
        <w:tc>
          <w:tcPr>
            <w:tcW w:w="960" w:type="dxa"/>
            <w:tcBorders>
              <w:top w:val="nil"/>
              <w:left w:val="nil"/>
              <w:bottom w:val="nil"/>
              <w:right w:val="nil"/>
            </w:tcBorders>
            <w:shd w:val="clear" w:color="auto" w:fill="auto"/>
            <w:noWrap/>
            <w:vAlign w:val="bottom"/>
            <w:hideMark/>
          </w:tcPr>
          <w:p w14:paraId="5B1952D8" w14:textId="77777777" w:rsidR="001A325D" w:rsidRPr="00E55E43" w:rsidRDefault="001A325D" w:rsidP="001A325D">
            <w:pPr>
              <w:rPr>
                <w:rFonts w:ascii="Arial" w:hAnsi="Arial" w:cs="Arial"/>
                <w:color w:val="000000"/>
              </w:rPr>
            </w:pPr>
            <w:r w:rsidRPr="00E55E43">
              <w:rPr>
                <w:rFonts w:ascii="Arial" w:hAnsi="Arial" w:cs="Arial"/>
                <w:color w:val="000000"/>
              </w:rPr>
              <w:t>50</w:t>
            </w:r>
          </w:p>
        </w:tc>
        <w:tc>
          <w:tcPr>
            <w:tcW w:w="975" w:type="dxa"/>
            <w:tcBorders>
              <w:top w:val="nil"/>
              <w:left w:val="nil"/>
              <w:bottom w:val="nil"/>
              <w:right w:val="nil"/>
            </w:tcBorders>
            <w:shd w:val="clear" w:color="auto" w:fill="auto"/>
            <w:noWrap/>
            <w:vAlign w:val="bottom"/>
            <w:hideMark/>
          </w:tcPr>
          <w:p w14:paraId="758C212D" w14:textId="77777777" w:rsidR="001A325D" w:rsidRPr="00E55E43" w:rsidRDefault="001A325D" w:rsidP="001A325D">
            <w:pPr>
              <w:rPr>
                <w:rFonts w:ascii="Arial" w:hAnsi="Arial" w:cs="Arial"/>
                <w:color w:val="000000"/>
              </w:rPr>
            </w:pPr>
            <w:r w:rsidRPr="00E55E43">
              <w:rPr>
                <w:rFonts w:ascii="Arial" w:hAnsi="Arial" w:cs="Arial"/>
                <w:color w:val="000000"/>
              </w:rPr>
              <w:t>386</w:t>
            </w:r>
          </w:p>
        </w:tc>
        <w:tc>
          <w:tcPr>
            <w:tcW w:w="945" w:type="dxa"/>
            <w:tcBorders>
              <w:top w:val="nil"/>
              <w:left w:val="nil"/>
              <w:bottom w:val="nil"/>
              <w:right w:val="nil"/>
            </w:tcBorders>
            <w:shd w:val="clear" w:color="auto" w:fill="auto"/>
            <w:noWrap/>
            <w:vAlign w:val="bottom"/>
            <w:hideMark/>
          </w:tcPr>
          <w:p w14:paraId="1BE1AD17" w14:textId="77777777" w:rsidR="001A325D" w:rsidRPr="00E55E43" w:rsidRDefault="001A325D" w:rsidP="001A325D">
            <w:pPr>
              <w:rPr>
                <w:rFonts w:ascii="Arial" w:hAnsi="Arial" w:cs="Arial"/>
                <w:color w:val="000000"/>
              </w:rPr>
            </w:pPr>
            <w:r w:rsidRPr="00E55E43">
              <w:rPr>
                <w:rFonts w:ascii="Arial" w:hAnsi="Arial" w:cs="Arial"/>
                <w:color w:val="000000"/>
              </w:rPr>
              <w:t>10</w:t>
            </w:r>
          </w:p>
        </w:tc>
      </w:tr>
      <w:tr w:rsidR="001A325D" w:rsidRPr="00E55E43" w14:paraId="32144035" w14:textId="77777777" w:rsidTr="001A325D">
        <w:trPr>
          <w:trHeight w:val="300"/>
        </w:trPr>
        <w:tc>
          <w:tcPr>
            <w:tcW w:w="960" w:type="dxa"/>
            <w:tcBorders>
              <w:top w:val="nil"/>
              <w:left w:val="nil"/>
              <w:bottom w:val="single" w:sz="4" w:space="0" w:color="auto"/>
              <w:right w:val="nil"/>
            </w:tcBorders>
            <w:shd w:val="clear" w:color="auto" w:fill="auto"/>
            <w:noWrap/>
            <w:vAlign w:val="bottom"/>
            <w:hideMark/>
          </w:tcPr>
          <w:p w14:paraId="6DAAD26C" w14:textId="77777777" w:rsidR="001A325D" w:rsidRPr="00E55E43" w:rsidRDefault="001A325D" w:rsidP="001A325D">
            <w:pPr>
              <w:rPr>
                <w:rFonts w:ascii="Arial" w:hAnsi="Arial" w:cs="Arial"/>
                <w:color w:val="000000"/>
              </w:rPr>
            </w:pPr>
            <w:r w:rsidRPr="00E55E43">
              <w:rPr>
                <w:rFonts w:ascii="Arial" w:hAnsi="Arial" w:cs="Arial"/>
                <w:color w:val="000000"/>
              </w:rPr>
              <w:t>51</w:t>
            </w:r>
          </w:p>
        </w:tc>
        <w:tc>
          <w:tcPr>
            <w:tcW w:w="975" w:type="dxa"/>
            <w:tcBorders>
              <w:top w:val="nil"/>
              <w:left w:val="nil"/>
              <w:bottom w:val="single" w:sz="4" w:space="0" w:color="auto"/>
              <w:right w:val="nil"/>
            </w:tcBorders>
            <w:shd w:val="clear" w:color="auto" w:fill="auto"/>
            <w:noWrap/>
            <w:vAlign w:val="bottom"/>
            <w:hideMark/>
          </w:tcPr>
          <w:p w14:paraId="4D576A00" w14:textId="77777777" w:rsidR="001A325D" w:rsidRPr="00E55E43" w:rsidRDefault="001A325D" w:rsidP="001A325D">
            <w:pPr>
              <w:rPr>
                <w:rFonts w:ascii="Arial" w:hAnsi="Arial" w:cs="Arial"/>
                <w:color w:val="000000"/>
              </w:rPr>
            </w:pPr>
            <w:r w:rsidRPr="00E55E43">
              <w:rPr>
                <w:rFonts w:ascii="Arial" w:hAnsi="Arial" w:cs="Arial"/>
                <w:color w:val="000000"/>
              </w:rPr>
              <w:t>239</w:t>
            </w:r>
          </w:p>
        </w:tc>
        <w:tc>
          <w:tcPr>
            <w:tcW w:w="945" w:type="dxa"/>
            <w:tcBorders>
              <w:top w:val="nil"/>
              <w:left w:val="nil"/>
              <w:bottom w:val="single" w:sz="4" w:space="0" w:color="auto"/>
              <w:right w:val="nil"/>
            </w:tcBorders>
            <w:shd w:val="clear" w:color="auto" w:fill="auto"/>
            <w:noWrap/>
            <w:vAlign w:val="bottom"/>
            <w:hideMark/>
          </w:tcPr>
          <w:p w14:paraId="2D8A6A14" w14:textId="77777777" w:rsidR="001A325D" w:rsidRPr="00E55E43" w:rsidRDefault="001A325D" w:rsidP="001A325D">
            <w:pPr>
              <w:rPr>
                <w:rFonts w:ascii="Arial" w:hAnsi="Arial" w:cs="Arial"/>
                <w:color w:val="000000"/>
              </w:rPr>
            </w:pPr>
            <w:r w:rsidRPr="00E55E43">
              <w:rPr>
                <w:rFonts w:ascii="Arial" w:hAnsi="Arial" w:cs="Arial"/>
                <w:color w:val="000000"/>
              </w:rPr>
              <w:t>11</w:t>
            </w:r>
          </w:p>
        </w:tc>
      </w:tr>
    </w:tbl>
    <w:p w14:paraId="4DEFFAE8" w14:textId="77777777" w:rsidR="00B01FCD" w:rsidRPr="00E55E43" w:rsidRDefault="00B01FCD" w:rsidP="00441B6F">
      <w:pPr>
        <w:pStyle w:val="Appendix"/>
        <w:spacing w:after="0"/>
        <w:jc w:val="both"/>
        <w:rPr>
          <w:rFonts w:ascii="Arial" w:hAnsi="Arial" w:cs="Arial"/>
          <w:b w:val="0"/>
          <w:sz w:val="20"/>
        </w:rPr>
      </w:pPr>
    </w:p>
    <w:p w14:paraId="0A798554" w14:textId="77777777" w:rsidR="00465FEE" w:rsidRPr="00E55E43" w:rsidRDefault="00465FEE" w:rsidP="00441B6F">
      <w:pPr>
        <w:pStyle w:val="Appendix"/>
        <w:spacing w:after="0"/>
        <w:jc w:val="both"/>
        <w:rPr>
          <w:rFonts w:ascii="Arial" w:hAnsi="Arial" w:cs="Arial"/>
          <w:b w:val="0"/>
          <w:sz w:val="20"/>
        </w:rPr>
      </w:pPr>
    </w:p>
    <w:sectPr w:rsidR="00465FEE" w:rsidRPr="00E55E43" w:rsidSect="000553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E8303" w14:textId="77777777" w:rsidR="00860888" w:rsidRDefault="00860888" w:rsidP="00C37E61">
      <w:r>
        <w:separator/>
      </w:r>
    </w:p>
  </w:endnote>
  <w:endnote w:type="continuationSeparator" w:id="0">
    <w:p w14:paraId="443EFDAB" w14:textId="77777777" w:rsidR="00860888" w:rsidRDefault="0086088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297B" w14:textId="77777777" w:rsidR="00852680" w:rsidRDefault="00852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235C" w14:textId="77777777" w:rsidR="00852680" w:rsidRDefault="00852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FC3B" w14:textId="77777777" w:rsidR="00852680" w:rsidRDefault="00852680">
    <w:pPr>
      <w:pStyle w:val="Footer"/>
      <w:rPr>
        <w:rFonts w:ascii="Arial" w:hAnsi="Arial" w:cs="Arial"/>
        <w:sz w:val="16"/>
      </w:rPr>
    </w:pPr>
  </w:p>
  <w:p w14:paraId="36F34D58" w14:textId="77777777" w:rsidR="00852680" w:rsidRDefault="0085268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EEB0C66" w14:textId="77777777" w:rsidR="00852680" w:rsidRDefault="00852680">
    <w:pPr>
      <w:pStyle w:val="Footer"/>
      <w:rPr>
        <w:rFonts w:ascii="Arial" w:hAnsi="Arial" w:cs="Arial"/>
        <w:sz w:val="16"/>
      </w:rPr>
    </w:pPr>
  </w:p>
  <w:p w14:paraId="0A478052" w14:textId="77777777" w:rsidR="00852680" w:rsidRPr="009E048A" w:rsidRDefault="0085268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1B9A" w14:textId="77777777" w:rsidR="00852680" w:rsidRPr="00C37E61" w:rsidRDefault="0085268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B4CC" w14:textId="77777777" w:rsidR="00860888" w:rsidRDefault="00860888" w:rsidP="00C37E61">
      <w:r>
        <w:separator/>
      </w:r>
    </w:p>
  </w:footnote>
  <w:footnote w:type="continuationSeparator" w:id="0">
    <w:p w14:paraId="5F510657" w14:textId="77777777" w:rsidR="00860888" w:rsidRDefault="0086088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27B4" w14:textId="4733D763" w:rsidR="00852680" w:rsidRDefault="00000000">
    <w:pPr>
      <w:pStyle w:val="Header"/>
    </w:pPr>
    <w:r>
      <w:rPr>
        <w:noProof/>
      </w:rPr>
      <w:pict w14:anchorId="24E38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6E89" w14:textId="36508054" w:rsidR="00852680" w:rsidRDefault="00000000">
    <w:pPr>
      <w:pStyle w:val="Header"/>
    </w:pPr>
    <w:r>
      <w:rPr>
        <w:noProof/>
      </w:rPr>
      <w:pict w14:anchorId="5DAC4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C9E7" w14:textId="7E01619B" w:rsidR="00852680" w:rsidRPr="00296529" w:rsidRDefault="00000000" w:rsidP="00296529">
    <w:pPr>
      <w:ind w:left="2160"/>
      <w:jc w:val="center"/>
      <w:rPr>
        <w:rFonts w:ascii="Times New Roman" w:eastAsia="Calibri" w:hAnsi="Times New Roman"/>
        <w:i/>
        <w:sz w:val="18"/>
        <w:szCs w:val="22"/>
      </w:rPr>
    </w:pPr>
    <w:r>
      <w:rPr>
        <w:noProof/>
      </w:rPr>
      <w:pict w14:anchorId="7DC15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A486F2" w14:textId="77777777" w:rsidR="00852680" w:rsidRPr="00296529" w:rsidRDefault="0085268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9DE8E" w14:textId="77777777" w:rsidR="00852680" w:rsidRPr="00296529" w:rsidRDefault="0085268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3BFC53" w14:textId="77777777" w:rsidR="00852680" w:rsidRPr="00296529" w:rsidRDefault="0085268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4BD70A" w14:textId="77777777" w:rsidR="00852680" w:rsidRDefault="0085268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858123" w14:textId="77777777" w:rsidR="00852680" w:rsidRDefault="0085268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0B7E1C7" w14:textId="77777777" w:rsidR="00852680" w:rsidRDefault="0085268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9E96" w14:textId="5182359C" w:rsidR="00852680" w:rsidRDefault="00000000">
    <w:pPr>
      <w:pStyle w:val="Header"/>
    </w:pPr>
    <w:r>
      <w:rPr>
        <w:noProof/>
      </w:rPr>
      <w:pict w14:anchorId="306FF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66B8" w14:textId="0AFB5AE1" w:rsidR="00852680" w:rsidRDefault="00000000">
    <w:pPr>
      <w:pStyle w:val="Header"/>
    </w:pPr>
    <w:r>
      <w:rPr>
        <w:noProof/>
      </w:rPr>
      <w:pict w14:anchorId="57058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259" w14:textId="1CF4A2C2" w:rsidR="00852680" w:rsidRDefault="00000000">
    <w:pPr>
      <w:pStyle w:val="Header"/>
    </w:pPr>
    <w:r>
      <w:rPr>
        <w:noProof/>
      </w:rPr>
      <w:pict w14:anchorId="7C4FD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82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D10479"/>
    <w:multiLevelType w:val="hybridMultilevel"/>
    <w:tmpl w:val="BF0C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834FBC"/>
    <w:multiLevelType w:val="hybridMultilevel"/>
    <w:tmpl w:val="D0840C1E"/>
    <w:lvl w:ilvl="0" w:tplc="32DC7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50F1A6D"/>
    <w:multiLevelType w:val="hybridMultilevel"/>
    <w:tmpl w:val="7A1CDF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818338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3509823">
    <w:abstractNumId w:val="18"/>
  </w:num>
  <w:num w:numId="3" w16cid:durableId="1303315676">
    <w:abstractNumId w:val="26"/>
  </w:num>
  <w:num w:numId="4" w16cid:durableId="208529702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82103199">
    <w:abstractNumId w:val="7"/>
  </w:num>
  <w:num w:numId="6" w16cid:durableId="1093621684">
    <w:abstractNumId w:val="6"/>
  </w:num>
  <w:num w:numId="7" w16cid:durableId="2084252614">
    <w:abstractNumId w:val="1"/>
  </w:num>
  <w:num w:numId="8" w16cid:durableId="196502515">
    <w:abstractNumId w:val="13"/>
  </w:num>
  <w:num w:numId="9" w16cid:durableId="181555711">
    <w:abstractNumId w:val="28"/>
  </w:num>
  <w:num w:numId="10" w16cid:durableId="705638278">
    <w:abstractNumId w:val="2"/>
  </w:num>
  <w:num w:numId="11" w16cid:durableId="211887504">
    <w:abstractNumId w:val="21"/>
  </w:num>
  <w:num w:numId="12" w16cid:durableId="666634372">
    <w:abstractNumId w:val="3"/>
  </w:num>
  <w:num w:numId="13" w16cid:durableId="1371297350">
    <w:abstractNumId w:val="20"/>
  </w:num>
  <w:num w:numId="14" w16cid:durableId="1824466754">
    <w:abstractNumId w:val="9"/>
  </w:num>
  <w:num w:numId="15" w16cid:durableId="1526482247">
    <w:abstractNumId w:val="24"/>
  </w:num>
  <w:num w:numId="16" w16cid:durableId="851801099">
    <w:abstractNumId w:val="5"/>
  </w:num>
  <w:num w:numId="17" w16cid:durableId="455830182">
    <w:abstractNumId w:val="25"/>
  </w:num>
  <w:num w:numId="18" w16cid:durableId="1242443932">
    <w:abstractNumId w:val="16"/>
  </w:num>
  <w:num w:numId="19" w16cid:durableId="497114305">
    <w:abstractNumId w:val="31"/>
  </w:num>
  <w:num w:numId="20" w16cid:durableId="1602180642">
    <w:abstractNumId w:val="12"/>
  </w:num>
  <w:num w:numId="21" w16cid:durableId="515848803">
    <w:abstractNumId w:val="10"/>
  </w:num>
  <w:num w:numId="22" w16cid:durableId="1482847421">
    <w:abstractNumId w:val="14"/>
  </w:num>
  <w:num w:numId="23" w16cid:durableId="387336989">
    <w:abstractNumId w:val="22"/>
  </w:num>
  <w:num w:numId="24" w16cid:durableId="1034189960">
    <w:abstractNumId w:val="29"/>
  </w:num>
  <w:num w:numId="25" w16cid:durableId="3944855">
    <w:abstractNumId w:val="4"/>
  </w:num>
  <w:num w:numId="26" w16cid:durableId="1637372239">
    <w:abstractNumId w:val="19"/>
  </w:num>
  <w:num w:numId="27" w16cid:durableId="1730615377">
    <w:abstractNumId w:val="23"/>
  </w:num>
  <w:num w:numId="28" w16cid:durableId="939408182">
    <w:abstractNumId w:val="30"/>
  </w:num>
  <w:num w:numId="29" w16cid:durableId="1215580598">
    <w:abstractNumId w:val="27"/>
  </w:num>
  <w:num w:numId="30" w16cid:durableId="229389105">
    <w:abstractNumId w:val="11"/>
  </w:num>
  <w:num w:numId="31" w16cid:durableId="1192303738">
    <w:abstractNumId w:val="15"/>
  </w:num>
  <w:num w:numId="32" w16cid:durableId="1537886083">
    <w:abstractNumId w:val="8"/>
  </w:num>
  <w:num w:numId="33" w16cid:durableId="13084386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8BB"/>
    <w:rsid w:val="00000F8F"/>
    <w:rsid w:val="00003221"/>
    <w:rsid w:val="00030174"/>
    <w:rsid w:val="00031498"/>
    <w:rsid w:val="0004579C"/>
    <w:rsid w:val="00055355"/>
    <w:rsid w:val="000A47FA"/>
    <w:rsid w:val="000A65D3"/>
    <w:rsid w:val="000B1E33"/>
    <w:rsid w:val="000D689F"/>
    <w:rsid w:val="000E7B7B"/>
    <w:rsid w:val="000E7D62"/>
    <w:rsid w:val="0010168C"/>
    <w:rsid w:val="00103357"/>
    <w:rsid w:val="0011699D"/>
    <w:rsid w:val="00123C9F"/>
    <w:rsid w:val="001240F4"/>
    <w:rsid w:val="00124CF2"/>
    <w:rsid w:val="00126190"/>
    <w:rsid w:val="00130F17"/>
    <w:rsid w:val="001320BF"/>
    <w:rsid w:val="00146642"/>
    <w:rsid w:val="00152D63"/>
    <w:rsid w:val="0016312C"/>
    <w:rsid w:val="00163BC4"/>
    <w:rsid w:val="00191062"/>
    <w:rsid w:val="00192B72"/>
    <w:rsid w:val="001A29D8"/>
    <w:rsid w:val="001A325D"/>
    <w:rsid w:val="001A5CAA"/>
    <w:rsid w:val="001B0427"/>
    <w:rsid w:val="001C1EED"/>
    <w:rsid w:val="001D3A51"/>
    <w:rsid w:val="001E10D2"/>
    <w:rsid w:val="001E25B4"/>
    <w:rsid w:val="001E4337"/>
    <w:rsid w:val="001E44FE"/>
    <w:rsid w:val="001E5403"/>
    <w:rsid w:val="00200595"/>
    <w:rsid w:val="00204835"/>
    <w:rsid w:val="0022079C"/>
    <w:rsid w:val="00231920"/>
    <w:rsid w:val="0023195C"/>
    <w:rsid w:val="0024282C"/>
    <w:rsid w:val="002460DC"/>
    <w:rsid w:val="00250985"/>
    <w:rsid w:val="002556F6"/>
    <w:rsid w:val="00272CA9"/>
    <w:rsid w:val="00283105"/>
    <w:rsid w:val="00284C4C"/>
    <w:rsid w:val="00295E23"/>
    <w:rsid w:val="00296529"/>
    <w:rsid w:val="002A1703"/>
    <w:rsid w:val="002B27FB"/>
    <w:rsid w:val="002B685A"/>
    <w:rsid w:val="002C57D2"/>
    <w:rsid w:val="002E0D56"/>
    <w:rsid w:val="00315186"/>
    <w:rsid w:val="0033343E"/>
    <w:rsid w:val="00335ECA"/>
    <w:rsid w:val="003512C2"/>
    <w:rsid w:val="00371FB6"/>
    <w:rsid w:val="00373BB8"/>
    <w:rsid w:val="003744D0"/>
    <w:rsid w:val="003763C1"/>
    <w:rsid w:val="00376BBE"/>
    <w:rsid w:val="0039224F"/>
    <w:rsid w:val="003925C5"/>
    <w:rsid w:val="003A43A4"/>
    <w:rsid w:val="003A7E18"/>
    <w:rsid w:val="003C0F44"/>
    <w:rsid w:val="003C4C86"/>
    <w:rsid w:val="003C6258"/>
    <w:rsid w:val="003E2904"/>
    <w:rsid w:val="003F179A"/>
    <w:rsid w:val="003F691B"/>
    <w:rsid w:val="00401927"/>
    <w:rsid w:val="0041027F"/>
    <w:rsid w:val="00412475"/>
    <w:rsid w:val="00423789"/>
    <w:rsid w:val="00424E0A"/>
    <w:rsid w:val="00426A2F"/>
    <w:rsid w:val="00431700"/>
    <w:rsid w:val="00440F43"/>
    <w:rsid w:val="00441B6F"/>
    <w:rsid w:val="00441C09"/>
    <w:rsid w:val="00446221"/>
    <w:rsid w:val="00450E62"/>
    <w:rsid w:val="004539DB"/>
    <w:rsid w:val="00461817"/>
    <w:rsid w:val="00465FEE"/>
    <w:rsid w:val="00471A80"/>
    <w:rsid w:val="00483162"/>
    <w:rsid w:val="004B4D93"/>
    <w:rsid w:val="004D305E"/>
    <w:rsid w:val="004D4277"/>
    <w:rsid w:val="00502516"/>
    <w:rsid w:val="00505F06"/>
    <w:rsid w:val="00506828"/>
    <w:rsid w:val="0051470F"/>
    <w:rsid w:val="0053056E"/>
    <w:rsid w:val="00554FDA"/>
    <w:rsid w:val="005B08F0"/>
    <w:rsid w:val="005C5A34"/>
    <w:rsid w:val="005C784C"/>
    <w:rsid w:val="005C7B45"/>
    <w:rsid w:val="005D01BA"/>
    <w:rsid w:val="005D17F6"/>
    <w:rsid w:val="005E5539"/>
    <w:rsid w:val="00602BF5"/>
    <w:rsid w:val="00617FDD"/>
    <w:rsid w:val="00621664"/>
    <w:rsid w:val="00633614"/>
    <w:rsid w:val="00633F68"/>
    <w:rsid w:val="00636EB2"/>
    <w:rsid w:val="006375B8"/>
    <w:rsid w:val="006567E6"/>
    <w:rsid w:val="0066510A"/>
    <w:rsid w:val="006737CB"/>
    <w:rsid w:val="00673F9F"/>
    <w:rsid w:val="006816E7"/>
    <w:rsid w:val="00686953"/>
    <w:rsid w:val="00687DEA"/>
    <w:rsid w:val="00687E67"/>
    <w:rsid w:val="00691AE7"/>
    <w:rsid w:val="00694A30"/>
    <w:rsid w:val="006967F7"/>
    <w:rsid w:val="00697C12"/>
    <w:rsid w:val="006A250C"/>
    <w:rsid w:val="006A54CF"/>
    <w:rsid w:val="006A70A9"/>
    <w:rsid w:val="006B21D3"/>
    <w:rsid w:val="006B57D0"/>
    <w:rsid w:val="006B60D2"/>
    <w:rsid w:val="006B686E"/>
    <w:rsid w:val="006D30FF"/>
    <w:rsid w:val="006D56FE"/>
    <w:rsid w:val="006D6940"/>
    <w:rsid w:val="006F11EC"/>
    <w:rsid w:val="00700075"/>
    <w:rsid w:val="0070082C"/>
    <w:rsid w:val="007072BF"/>
    <w:rsid w:val="0071154D"/>
    <w:rsid w:val="00717010"/>
    <w:rsid w:val="007369E6"/>
    <w:rsid w:val="00746E59"/>
    <w:rsid w:val="00754C9A"/>
    <w:rsid w:val="0075599A"/>
    <w:rsid w:val="00761D52"/>
    <w:rsid w:val="0076524F"/>
    <w:rsid w:val="00771C5C"/>
    <w:rsid w:val="0077749E"/>
    <w:rsid w:val="00790ADA"/>
    <w:rsid w:val="007B07AE"/>
    <w:rsid w:val="007C442C"/>
    <w:rsid w:val="007D2288"/>
    <w:rsid w:val="007D2322"/>
    <w:rsid w:val="007E088F"/>
    <w:rsid w:val="007E30B3"/>
    <w:rsid w:val="007F7B32"/>
    <w:rsid w:val="00804BC2"/>
    <w:rsid w:val="0081431A"/>
    <w:rsid w:val="00820545"/>
    <w:rsid w:val="0083216F"/>
    <w:rsid w:val="00835BC4"/>
    <w:rsid w:val="008445CC"/>
    <w:rsid w:val="00852680"/>
    <w:rsid w:val="00860000"/>
    <w:rsid w:val="00860888"/>
    <w:rsid w:val="00863BD3"/>
    <w:rsid w:val="00866D66"/>
    <w:rsid w:val="008671C6"/>
    <w:rsid w:val="0087187B"/>
    <w:rsid w:val="00875803"/>
    <w:rsid w:val="00877C40"/>
    <w:rsid w:val="00884764"/>
    <w:rsid w:val="008A5EF4"/>
    <w:rsid w:val="008B459E"/>
    <w:rsid w:val="008B6C37"/>
    <w:rsid w:val="008C13B6"/>
    <w:rsid w:val="008C2BA4"/>
    <w:rsid w:val="008D4DA8"/>
    <w:rsid w:val="008E13AE"/>
    <w:rsid w:val="008E1506"/>
    <w:rsid w:val="008E5C4C"/>
    <w:rsid w:val="008E710C"/>
    <w:rsid w:val="008F69D6"/>
    <w:rsid w:val="00902823"/>
    <w:rsid w:val="00915CA6"/>
    <w:rsid w:val="00927834"/>
    <w:rsid w:val="00941BE2"/>
    <w:rsid w:val="00946156"/>
    <w:rsid w:val="009500A6"/>
    <w:rsid w:val="00957C18"/>
    <w:rsid w:val="009659BA"/>
    <w:rsid w:val="009729F8"/>
    <w:rsid w:val="00983040"/>
    <w:rsid w:val="00997630"/>
    <w:rsid w:val="009A205C"/>
    <w:rsid w:val="009B3FB9"/>
    <w:rsid w:val="009C2465"/>
    <w:rsid w:val="009D35A0"/>
    <w:rsid w:val="009D5F1D"/>
    <w:rsid w:val="009D7EB7"/>
    <w:rsid w:val="009E048A"/>
    <w:rsid w:val="009E08E9"/>
    <w:rsid w:val="009E3DB9"/>
    <w:rsid w:val="009E6E35"/>
    <w:rsid w:val="009F0EDA"/>
    <w:rsid w:val="00A01844"/>
    <w:rsid w:val="00A03B96"/>
    <w:rsid w:val="00A05B19"/>
    <w:rsid w:val="00A070D3"/>
    <w:rsid w:val="00A1134E"/>
    <w:rsid w:val="00A153E8"/>
    <w:rsid w:val="00A24E7E"/>
    <w:rsid w:val="00A258C3"/>
    <w:rsid w:val="00A31981"/>
    <w:rsid w:val="00A347C0"/>
    <w:rsid w:val="00A51431"/>
    <w:rsid w:val="00A5244D"/>
    <w:rsid w:val="00A539AD"/>
    <w:rsid w:val="00A60007"/>
    <w:rsid w:val="00A74BFA"/>
    <w:rsid w:val="00A82D0E"/>
    <w:rsid w:val="00A848C6"/>
    <w:rsid w:val="00A85590"/>
    <w:rsid w:val="00A870BC"/>
    <w:rsid w:val="00A94063"/>
    <w:rsid w:val="00AA6219"/>
    <w:rsid w:val="00AA66E0"/>
    <w:rsid w:val="00AA74E0"/>
    <w:rsid w:val="00AB703F"/>
    <w:rsid w:val="00AC6BB8"/>
    <w:rsid w:val="00AD7968"/>
    <w:rsid w:val="00AE008F"/>
    <w:rsid w:val="00AE269A"/>
    <w:rsid w:val="00B0160F"/>
    <w:rsid w:val="00B01FCD"/>
    <w:rsid w:val="00B1776C"/>
    <w:rsid w:val="00B40A46"/>
    <w:rsid w:val="00B4165C"/>
    <w:rsid w:val="00B466FD"/>
    <w:rsid w:val="00B47E35"/>
    <w:rsid w:val="00B52896"/>
    <w:rsid w:val="00B95236"/>
    <w:rsid w:val="00B96BD9"/>
    <w:rsid w:val="00BA1B01"/>
    <w:rsid w:val="00BA2641"/>
    <w:rsid w:val="00BB37AA"/>
    <w:rsid w:val="00BC53A0"/>
    <w:rsid w:val="00BE0F44"/>
    <w:rsid w:val="00BE62AD"/>
    <w:rsid w:val="00BF121F"/>
    <w:rsid w:val="00BF1F80"/>
    <w:rsid w:val="00C157B9"/>
    <w:rsid w:val="00C166EF"/>
    <w:rsid w:val="00C17C20"/>
    <w:rsid w:val="00C17EB0"/>
    <w:rsid w:val="00C272F8"/>
    <w:rsid w:val="00C27F5F"/>
    <w:rsid w:val="00C30A0F"/>
    <w:rsid w:val="00C37E61"/>
    <w:rsid w:val="00C54BCD"/>
    <w:rsid w:val="00C70F1B"/>
    <w:rsid w:val="00C71A47"/>
    <w:rsid w:val="00C7464C"/>
    <w:rsid w:val="00C85588"/>
    <w:rsid w:val="00CD24FD"/>
    <w:rsid w:val="00CD5EC6"/>
    <w:rsid w:val="00CD6755"/>
    <w:rsid w:val="00CD6856"/>
    <w:rsid w:val="00CD6B39"/>
    <w:rsid w:val="00CE0089"/>
    <w:rsid w:val="00CE793C"/>
    <w:rsid w:val="00D173F1"/>
    <w:rsid w:val="00D23AA2"/>
    <w:rsid w:val="00D8295D"/>
    <w:rsid w:val="00D87287"/>
    <w:rsid w:val="00D95039"/>
    <w:rsid w:val="00DA51CF"/>
    <w:rsid w:val="00DA7EB4"/>
    <w:rsid w:val="00DC2A65"/>
    <w:rsid w:val="00DE15F0"/>
    <w:rsid w:val="00DE5663"/>
    <w:rsid w:val="00DE78AA"/>
    <w:rsid w:val="00DF6D02"/>
    <w:rsid w:val="00DF6D30"/>
    <w:rsid w:val="00E053D0"/>
    <w:rsid w:val="00E06FA6"/>
    <w:rsid w:val="00E13E75"/>
    <w:rsid w:val="00E15994"/>
    <w:rsid w:val="00E26C32"/>
    <w:rsid w:val="00E3114E"/>
    <w:rsid w:val="00E31A70"/>
    <w:rsid w:val="00E35B02"/>
    <w:rsid w:val="00E55E43"/>
    <w:rsid w:val="00E601C2"/>
    <w:rsid w:val="00E66496"/>
    <w:rsid w:val="00E66B35"/>
    <w:rsid w:val="00E66E10"/>
    <w:rsid w:val="00E769F6"/>
    <w:rsid w:val="00E808F1"/>
    <w:rsid w:val="00E8407C"/>
    <w:rsid w:val="00E84F3C"/>
    <w:rsid w:val="00E854A2"/>
    <w:rsid w:val="00EA012C"/>
    <w:rsid w:val="00EA4CF6"/>
    <w:rsid w:val="00ED0288"/>
    <w:rsid w:val="00ED336E"/>
    <w:rsid w:val="00EE52CB"/>
    <w:rsid w:val="00EF581D"/>
    <w:rsid w:val="00EF7FD8"/>
    <w:rsid w:val="00F00754"/>
    <w:rsid w:val="00F06F59"/>
    <w:rsid w:val="00F17988"/>
    <w:rsid w:val="00F469F0"/>
    <w:rsid w:val="00F53273"/>
    <w:rsid w:val="00F75260"/>
    <w:rsid w:val="00F755E4"/>
    <w:rsid w:val="00F77D02"/>
    <w:rsid w:val="00FA5E9C"/>
    <w:rsid w:val="00FB0F73"/>
    <w:rsid w:val="00FB3A86"/>
    <w:rsid w:val="00FD36C8"/>
    <w:rsid w:val="00FD447D"/>
    <w:rsid w:val="00FD450B"/>
    <w:rsid w:val="00FF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99262"/>
  <w15:docId w15:val="{1DC86CE8-A70B-C646-B9FC-F757EE2C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EA4CF6"/>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EA4CF6"/>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941BE2"/>
    <w:rPr>
      <w:color w:val="605E5C"/>
      <w:shd w:val="clear" w:color="auto" w:fill="E1DFDD"/>
    </w:rPr>
  </w:style>
  <w:style w:type="paragraph" w:customStyle="1" w:styleId="p1">
    <w:name w:val="p1"/>
    <w:basedOn w:val="Normal"/>
    <w:rsid w:val="00C157B9"/>
    <w:rPr>
      <w:rFonts w:ascii=".AppleSystemUIFont" w:eastAsiaTheme="minorEastAsia" w:hAnsi=".AppleSystemUIFont"/>
      <w:sz w:val="26"/>
      <w:szCs w:val="26"/>
      <w:lang w:eastAsia="en-GB"/>
    </w:rPr>
  </w:style>
  <w:style w:type="character" w:customStyle="1" w:styleId="s1">
    <w:name w:val="s1"/>
    <w:basedOn w:val="DefaultParagraphFont"/>
    <w:rsid w:val="00C157B9"/>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26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A65A4-8511-41F2-9F77-EA2A5B1C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141</TotalTime>
  <Pages>19</Pages>
  <Words>5675</Words>
  <Characters>32351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1070</cp:lastModifiedBy>
  <cp:revision>30</cp:revision>
  <cp:lastPrinted>1999-07-06T11:00:00Z</cp:lastPrinted>
  <dcterms:created xsi:type="dcterms:W3CDTF">2024-10-08T14:09:00Z</dcterms:created>
  <dcterms:modified xsi:type="dcterms:W3CDTF">2025-06-03T07:45:00Z</dcterms:modified>
</cp:coreProperties>
</file>