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656F9" w14:textId="77777777" w:rsidR="00FE2913" w:rsidRPr="00BD7B9E" w:rsidRDefault="00FE2913" w:rsidP="00FE2913">
      <w:pPr>
        <w:tabs>
          <w:tab w:val="left" w:pos="1766"/>
        </w:tabs>
        <w:spacing w:after="0" w:line="240" w:lineRule="auto"/>
        <w:rPr>
          <w:rFonts w:ascii="Arial" w:hAnsi="Arial" w:cs="Arial"/>
          <w:noProof/>
          <w:sz w:val="20"/>
          <w:szCs w:val="20"/>
        </w:rPr>
      </w:pPr>
      <w:r w:rsidRPr="00F41443">
        <w:rPr>
          <w:rFonts w:ascii="Arial" w:hAnsi="Arial" w:cs="Arial"/>
          <w:noProof/>
          <w:sz w:val="20"/>
          <w:szCs w:val="20"/>
          <w:highlight w:val="green"/>
        </w:rPr>
        <w:t>Original Research Article</w:t>
      </w:r>
    </w:p>
    <w:p w14:paraId="5C964346" w14:textId="071180F0" w:rsidR="004066C0" w:rsidRPr="00730018" w:rsidRDefault="00730018" w:rsidP="004066C0">
      <w:pPr>
        <w:pStyle w:val="Heading1"/>
        <w:spacing w:line="276" w:lineRule="auto"/>
        <w:jc w:val="center"/>
        <w:rPr>
          <w:rFonts w:ascii="Times New Roman" w:hAnsi="Times New Roman" w:cs="Times New Roman"/>
          <w:b/>
          <w:color w:val="auto"/>
          <w:sz w:val="28"/>
          <w:szCs w:val="28"/>
        </w:rPr>
      </w:pPr>
      <w:r w:rsidRPr="00730018">
        <w:rPr>
          <w:rFonts w:ascii="Times New Roman" w:hAnsi="Times New Roman" w:cs="Times New Roman"/>
          <w:b/>
          <w:color w:val="auto"/>
          <w:sz w:val="28"/>
          <w:szCs w:val="28"/>
          <w:highlight w:val="green"/>
        </w:rPr>
        <w:t xml:space="preserve">EVALUATION OF SERUM IL-10, </w:t>
      </w:r>
      <w:r w:rsidRPr="00730018">
        <w:rPr>
          <w:rFonts w:ascii="Times New Roman" w:hAnsi="Times New Roman" w:cs="Times New Roman"/>
          <w:color w:val="auto"/>
          <w:sz w:val="28"/>
          <w:szCs w:val="28"/>
          <w:highlight w:val="green"/>
        </w:rPr>
        <w:t>TNF-</w:t>
      </w:r>
      <w:r w:rsidRPr="00730018">
        <w:rPr>
          <w:rFonts w:ascii="Times New Roman" w:hAnsi="Times New Roman" w:cs="Times New Roman"/>
          <w:color w:val="auto"/>
          <w:sz w:val="28"/>
          <w:szCs w:val="28"/>
          <w:highlight w:val="green"/>
        </w:rPr>
        <w:t>α</w:t>
      </w:r>
      <w:r w:rsidRPr="00730018">
        <w:rPr>
          <w:rFonts w:ascii="Times New Roman" w:hAnsi="Times New Roman" w:cs="Times New Roman"/>
          <w:b/>
          <w:color w:val="auto"/>
          <w:sz w:val="28"/>
          <w:szCs w:val="28"/>
          <w:highlight w:val="green"/>
        </w:rPr>
        <w:t xml:space="preserve"> </w:t>
      </w:r>
      <w:r w:rsidRPr="00730018">
        <w:rPr>
          <w:rFonts w:ascii="Times New Roman" w:hAnsi="Times New Roman" w:cs="Times New Roman"/>
          <w:b/>
          <w:color w:val="auto"/>
          <w:sz w:val="28"/>
          <w:szCs w:val="28"/>
          <w:highlight w:val="green"/>
        </w:rPr>
        <w:t>AND</w:t>
      </w:r>
      <w:r w:rsidRPr="00730018">
        <w:rPr>
          <w:rFonts w:ascii="Times New Roman" w:hAnsi="Times New Roman" w:cs="Times New Roman"/>
          <w:b/>
          <w:color w:val="auto"/>
          <w:sz w:val="28"/>
          <w:szCs w:val="28"/>
          <w:highlight w:val="green"/>
        </w:rPr>
        <w:t> </w:t>
      </w:r>
      <w:r w:rsidRPr="00730018">
        <w:rPr>
          <w:rFonts w:ascii="Times New Roman" w:hAnsi="Times New Roman" w:cs="Times New Roman"/>
          <w:b/>
          <w:color w:val="auto"/>
          <w:sz w:val="28"/>
          <w:szCs w:val="28"/>
          <w:highlight w:val="green"/>
        </w:rPr>
        <w:t>ALBUMIN LEVELS AMONG MALE TYPE 2 DIABETES MELLITUS PATIENTS IN A TERTIARY HOSPITAL IN NIGERIA</w:t>
      </w:r>
    </w:p>
    <w:p w14:paraId="50E5200D" w14:textId="77777777" w:rsidR="006565D9" w:rsidRPr="00BC4758" w:rsidRDefault="006565D9" w:rsidP="007560A0">
      <w:pPr>
        <w:tabs>
          <w:tab w:val="left" w:pos="6429"/>
        </w:tabs>
        <w:spacing w:after="0" w:line="240" w:lineRule="auto"/>
        <w:rPr>
          <w:rFonts w:ascii="Times New Roman" w:hAnsi="Times New Roman" w:cs="Times New Roman"/>
          <w:b/>
          <w:sz w:val="24"/>
          <w:szCs w:val="24"/>
        </w:rPr>
      </w:pPr>
    </w:p>
    <w:p w14:paraId="280247BC" w14:textId="77777777" w:rsidR="008D78C8" w:rsidRPr="00BC4758" w:rsidRDefault="006E7B45" w:rsidP="008A18F4">
      <w:pPr>
        <w:spacing w:line="276" w:lineRule="auto"/>
        <w:jc w:val="both"/>
        <w:rPr>
          <w:rFonts w:ascii="Times New Roman" w:hAnsi="Times New Roman" w:cs="Times New Roman"/>
          <w:b/>
          <w:sz w:val="24"/>
          <w:szCs w:val="24"/>
        </w:rPr>
      </w:pPr>
      <w:r w:rsidRPr="00BC4758">
        <w:rPr>
          <w:rFonts w:ascii="Times New Roman" w:hAnsi="Times New Roman" w:cs="Times New Roman"/>
          <w:b/>
          <w:sz w:val="24"/>
          <w:szCs w:val="24"/>
        </w:rPr>
        <w:t>ABSTRACT</w:t>
      </w:r>
    </w:p>
    <w:p w14:paraId="0B42E0F7" w14:textId="248D800D" w:rsidR="00EC06EA" w:rsidRDefault="00EC06EA" w:rsidP="00EC06EA">
      <w:pPr>
        <w:pStyle w:val="TOC2"/>
      </w:pPr>
      <w:r w:rsidRPr="00EC06EA">
        <w:rPr>
          <w:highlight w:val="green"/>
        </w:rPr>
        <w:t xml:space="preserve">Type 2 diabetes </w:t>
      </w:r>
      <w:r w:rsidR="00FF0254">
        <w:rPr>
          <w:highlight w:val="green"/>
        </w:rPr>
        <w:t xml:space="preserve">(T2DM) </w:t>
      </w:r>
      <w:bookmarkStart w:id="0" w:name="_GoBack"/>
      <w:bookmarkEnd w:id="0"/>
      <w:r w:rsidRPr="00EC06EA">
        <w:rPr>
          <w:highlight w:val="green"/>
        </w:rPr>
        <w:t>is associated with a chronic inflammatory state and a disturbance in cytokine balance. This study aimed to evaluate the levels of TNF-α, IL-10, and albumin in the serum of males with type 2 diabetes compared to healthy individuals. A case-control study was conducted involving 60 participants (30 patients and 30 healthy individuals), and the samples were analyzed using ELISA techniques and the BCG method. The results showed a significant increase in TNF-α (53.97 ± 10.22 Vs 15.11 ± 2.82)</w:t>
      </w:r>
      <w:r w:rsidRPr="00EC06EA">
        <w:rPr>
          <w:highlight w:val="green"/>
        </w:rPr>
        <w:t xml:space="preserve"> </w:t>
      </w:r>
      <w:r w:rsidRPr="00EC06EA">
        <w:rPr>
          <w:highlight w:val="green"/>
        </w:rPr>
        <w:t xml:space="preserve">and IL-10 </w:t>
      </w:r>
      <w:r w:rsidRPr="00EC06EA">
        <w:rPr>
          <w:highlight w:val="green"/>
        </w:rPr>
        <w:t>(</w:t>
      </w:r>
      <w:r w:rsidRPr="00EC06EA">
        <w:rPr>
          <w:highlight w:val="green"/>
        </w:rPr>
        <w:t>17.07 ± 1.42 Vs 4.12 ± 0.88</w:t>
      </w:r>
      <w:r w:rsidRPr="00EC06EA">
        <w:rPr>
          <w:highlight w:val="green"/>
        </w:rPr>
        <w:t xml:space="preserve">) </w:t>
      </w:r>
      <w:r w:rsidRPr="00EC06EA">
        <w:rPr>
          <w:highlight w:val="green"/>
        </w:rPr>
        <w:t>levels among the patients</w:t>
      </w:r>
      <w:r w:rsidRPr="00EC06EA">
        <w:rPr>
          <w:highlight w:val="green"/>
        </w:rPr>
        <w:t xml:space="preserve"> (P = &lt;0.001)</w:t>
      </w:r>
      <w:r w:rsidRPr="00EC06EA">
        <w:rPr>
          <w:highlight w:val="green"/>
        </w:rPr>
        <w:t>, with no significant difference in albumin levels</w:t>
      </w:r>
      <w:r w:rsidRPr="00EC06EA">
        <w:rPr>
          <w:highlight w:val="green"/>
        </w:rPr>
        <w:t xml:space="preserve"> (p&gt;0.05)</w:t>
      </w:r>
      <w:r w:rsidRPr="00EC06EA">
        <w:rPr>
          <w:highlight w:val="green"/>
        </w:rPr>
        <w:t>. The results indicate the presence of a simultaneous inflammatory and anti-inflammatory response, which underscores the importance of these cytokines as biomarkers in diabetes monitoring.</w:t>
      </w:r>
    </w:p>
    <w:p w14:paraId="39C5DE25" w14:textId="77777777" w:rsidR="00EC06EA" w:rsidRDefault="004258F9" w:rsidP="00EC06EA">
      <w:pPr>
        <w:pStyle w:val="TOC2"/>
      </w:pPr>
      <w:r w:rsidRPr="00BC4758">
        <w:rPr>
          <w:b/>
        </w:rPr>
        <w:t xml:space="preserve">KEY WORDS: </w:t>
      </w:r>
      <w:r w:rsidR="00693E47" w:rsidRPr="00BC4758">
        <w:t xml:space="preserve">Diabetes mellitus, Inflammation, Biomarkers, TNF-α, IL-10, Serum albumin, male T2DM patients. </w:t>
      </w:r>
    </w:p>
    <w:p w14:paraId="71EB4A16" w14:textId="77777777" w:rsidR="00EC06EA" w:rsidRDefault="008A18F4" w:rsidP="00EC06EA">
      <w:pPr>
        <w:pStyle w:val="TOC2"/>
        <w:rPr>
          <w:b/>
        </w:rPr>
      </w:pPr>
      <w:r w:rsidRPr="00BC4758">
        <w:rPr>
          <w:b/>
        </w:rPr>
        <w:t>INTRODUCTION</w:t>
      </w:r>
    </w:p>
    <w:p w14:paraId="59148181" w14:textId="1F435725" w:rsidR="007649F9" w:rsidRPr="00BC4758" w:rsidRDefault="008A18F4" w:rsidP="00EC06EA">
      <w:pPr>
        <w:pStyle w:val="TOC2"/>
      </w:pPr>
      <w:r w:rsidRPr="00BC4758">
        <w:t xml:space="preserve">Type 2 Diabetes Mellitus (T2DM) formerly known as non-insulin-dependent Diabetes Mellitus is the most common form of Diabetes Mellitus characterized by hyperglycemia, insulin resistance and relative insulin deficiency (Agarwal </w:t>
      </w:r>
      <w:r w:rsidRPr="00BC4758">
        <w:rPr>
          <w:i/>
        </w:rPr>
        <w:t>et al</w:t>
      </w:r>
      <w:r w:rsidRPr="00BC4758">
        <w:t xml:space="preserve">., 2024; Ogbodo </w:t>
      </w:r>
      <w:r w:rsidRPr="00BC4758">
        <w:rPr>
          <w:i/>
        </w:rPr>
        <w:t>et al</w:t>
      </w:r>
      <w:r w:rsidRPr="00BC4758">
        <w:t>., 2019</w:t>
      </w:r>
      <w:r w:rsidR="008C58A7" w:rsidRPr="00BC4758">
        <w:t>). Individuals</w:t>
      </w:r>
      <w:r w:rsidRPr="00BC4758">
        <w:t xml:space="preserve"> living with T2DM are more </w:t>
      </w:r>
      <w:r w:rsidR="008C58A7" w:rsidRPr="00BC4758">
        <w:t xml:space="preserve">susceptible </w:t>
      </w:r>
      <w:r w:rsidRPr="00BC4758">
        <w:t>to various forms of both short- and long-term complications, which often lead to their premature death</w:t>
      </w:r>
      <w:r w:rsidR="008C58A7" w:rsidRPr="00BC4758">
        <w:t xml:space="preserve"> (Chijioke </w:t>
      </w:r>
      <w:r w:rsidR="008C58A7" w:rsidRPr="00BC4758">
        <w:rPr>
          <w:i/>
        </w:rPr>
        <w:t>et al</w:t>
      </w:r>
      <w:r w:rsidR="008C58A7" w:rsidRPr="00BC4758">
        <w:t>., 2010)</w:t>
      </w:r>
      <w:r w:rsidRPr="00BC4758">
        <w:t xml:space="preserve">. This tendency </w:t>
      </w:r>
      <w:r w:rsidRPr="00BC4758">
        <w:lastRenderedPageBreak/>
        <w:t>of increased morbidity and mo</w:t>
      </w:r>
      <w:r w:rsidR="00D0406A" w:rsidRPr="00BC4758">
        <w:t>rtality</w:t>
      </w:r>
      <w:r w:rsidRPr="00BC4758">
        <w:t xml:space="preserve"> seen in patients with T2DM especially in resource-poor developing countries like </w:t>
      </w:r>
      <w:r w:rsidR="00D0406A" w:rsidRPr="00BC4758">
        <w:t xml:space="preserve">Nigeria has been linked </w:t>
      </w:r>
      <w:r w:rsidR="009D1698" w:rsidRPr="00BC4758">
        <w:t xml:space="preserve">to rapid lifestyle changes, population growth, and increased longevity due to increasing urbanization and industrialization </w:t>
      </w:r>
      <w:r w:rsidRPr="00BC4758">
        <w:t>(</w:t>
      </w:r>
      <w:r w:rsidR="009D1698" w:rsidRPr="00BC4758">
        <w:t xml:space="preserve">Flood </w:t>
      </w:r>
      <w:r w:rsidR="009D1698" w:rsidRPr="00BC4758">
        <w:rPr>
          <w:i/>
        </w:rPr>
        <w:t>et al</w:t>
      </w:r>
      <w:r w:rsidR="009D1698" w:rsidRPr="00BC4758">
        <w:t xml:space="preserve">., 2021; Hill-Briggs </w:t>
      </w:r>
      <w:r w:rsidR="009D1698" w:rsidRPr="00BC4758">
        <w:rPr>
          <w:i/>
        </w:rPr>
        <w:t>et al</w:t>
      </w:r>
      <w:r w:rsidR="009D1698" w:rsidRPr="00BC4758">
        <w:t xml:space="preserve">., 2020). Globally, the prevalence of T2DM has reached alarming proportions, with significant regional variations influenced by socioeconomic factors, healthcare access, and urbanization (Pinchevsky </w:t>
      </w:r>
      <w:r w:rsidR="009D1698" w:rsidRPr="00BC4758">
        <w:rPr>
          <w:i/>
          <w:iCs/>
        </w:rPr>
        <w:t>et al</w:t>
      </w:r>
      <w:r w:rsidR="009D1698" w:rsidRPr="00BC4758">
        <w:t>., 2020).</w:t>
      </w:r>
      <w:r w:rsidR="00391E05">
        <w:t xml:space="preserve"> </w:t>
      </w:r>
      <w:r w:rsidR="00391E05" w:rsidRPr="00391E05">
        <w:rPr>
          <w:highlight w:val="green"/>
        </w:rPr>
        <w:t>Type 2 Diabetes Mellitus</w:t>
      </w:r>
      <w:r w:rsidR="009D1698" w:rsidRPr="00BC4758">
        <w:t xml:space="preserve"> is a chronic metabolic disorder characterized by persistent hyperglycemia and associated with systemic inflammation</w:t>
      </w:r>
      <w:r w:rsidR="00EA6752" w:rsidRPr="00BC4758">
        <w:t xml:space="preserve"> (Młynarska </w:t>
      </w:r>
      <w:r w:rsidR="00EA6752" w:rsidRPr="00BC4758">
        <w:rPr>
          <w:i/>
        </w:rPr>
        <w:t>et al</w:t>
      </w:r>
      <w:r w:rsidR="00EA6752" w:rsidRPr="00BC4758">
        <w:t>., 2025)</w:t>
      </w:r>
      <w:r w:rsidR="009D1698" w:rsidRPr="00BC4758">
        <w:t xml:space="preserve">. Elevated levels of pro-inflammatory cytokines, such as Tumor Necrosis Factor-alpha (TNF-α), and altered levels of anti-inflammatory cytokines like Interleukin-10 (IL-10), have been implicated in the pathogenesis of T2DM. Studies have demonstrated that T2DM patients exhibit significantly higher serum TNF-α concentrations compared to healthy individuals, suggesting a state of heightened inflammation (Chen </w:t>
      </w:r>
      <w:r w:rsidR="009D1698" w:rsidRPr="00BC4758">
        <w:rPr>
          <w:i/>
          <w:iCs/>
        </w:rPr>
        <w:t>et al</w:t>
      </w:r>
      <w:r w:rsidR="009D1698" w:rsidRPr="00BC4758">
        <w:t xml:space="preserve">., 2017; Akash </w:t>
      </w:r>
      <w:r w:rsidR="009D1698" w:rsidRPr="00BC4758">
        <w:rPr>
          <w:i/>
          <w:iCs/>
        </w:rPr>
        <w:t>et al</w:t>
      </w:r>
      <w:r w:rsidR="009D1698" w:rsidRPr="00BC4758">
        <w:t xml:space="preserve">., 2018). </w:t>
      </w:r>
      <w:r w:rsidR="007649F9" w:rsidRPr="00514A50">
        <w:rPr>
          <w:highlight w:val="green"/>
        </w:rPr>
        <w:t>Tumo</w:t>
      </w:r>
      <w:r w:rsidR="00514A50" w:rsidRPr="00514A50">
        <w:rPr>
          <w:highlight w:val="green"/>
        </w:rPr>
        <w:t>ur necrosis factor alpha</w:t>
      </w:r>
      <w:r w:rsidR="007649F9" w:rsidRPr="00BC4758">
        <w:t xml:space="preserve"> is a cytokine that has pleiotropic effects on various cell types. It has been identified as a major regulator of inflammatory responses and is known to be involved in the pathogenesis of some inflammatory and autoimmune diseases (Jang</w:t>
      </w:r>
      <w:r w:rsidR="007649F9" w:rsidRPr="00BC4758">
        <w:rPr>
          <w:i/>
          <w:iCs/>
        </w:rPr>
        <w:t xml:space="preserve"> et al.,</w:t>
      </w:r>
      <w:r w:rsidR="007649F9" w:rsidRPr="00BC4758">
        <w:t xml:space="preserve"> 2021). </w:t>
      </w:r>
    </w:p>
    <w:p w14:paraId="02B90749" w14:textId="012A994B" w:rsidR="00752C7B" w:rsidRPr="00BC4758" w:rsidRDefault="009D1698" w:rsidP="007649F9">
      <w:pPr>
        <w:spacing w:line="480" w:lineRule="auto"/>
        <w:jc w:val="both"/>
        <w:rPr>
          <w:rFonts w:ascii="Times New Roman" w:hAnsi="Times New Roman" w:cs="Times New Roman"/>
          <w:sz w:val="24"/>
          <w:szCs w:val="24"/>
        </w:rPr>
      </w:pPr>
      <w:r w:rsidRPr="00BC4758">
        <w:rPr>
          <w:rFonts w:ascii="Times New Roman" w:hAnsi="Times New Roman" w:cs="Times New Roman"/>
          <w:sz w:val="24"/>
          <w:szCs w:val="24"/>
        </w:rPr>
        <w:t>Conversely, IL-10, an anti-inflammatory cytokine, plays a crucial role in modulating immune responses and maintaining metabolic homeostasis</w:t>
      </w:r>
      <w:r w:rsidR="009D6788" w:rsidRPr="00BC4758">
        <w:rPr>
          <w:rFonts w:ascii="Times New Roman" w:hAnsi="Times New Roman" w:cs="Times New Roman"/>
          <w:sz w:val="24"/>
          <w:szCs w:val="24"/>
        </w:rPr>
        <w:t xml:space="preserve"> (</w:t>
      </w:r>
      <w:r w:rsidR="009D6788" w:rsidRPr="00284885">
        <w:rPr>
          <w:rStyle w:val="referencesauthors"/>
          <w:rFonts w:ascii="Times New Roman" w:hAnsi="Times New Roman" w:cs="Times New Roman"/>
          <w:sz w:val="24"/>
          <w:szCs w:val="24"/>
          <w:highlight w:val="green"/>
        </w:rPr>
        <w:t xml:space="preserve">Saraiva </w:t>
      </w:r>
      <w:r w:rsidR="009D6788" w:rsidRPr="00284885">
        <w:rPr>
          <w:rStyle w:val="referencesauthors"/>
          <w:rFonts w:ascii="Times New Roman" w:hAnsi="Times New Roman" w:cs="Times New Roman"/>
          <w:i/>
          <w:sz w:val="24"/>
          <w:szCs w:val="24"/>
          <w:highlight w:val="green"/>
        </w:rPr>
        <w:t>et al</w:t>
      </w:r>
      <w:r w:rsidR="009D6788" w:rsidRPr="00284885">
        <w:rPr>
          <w:rStyle w:val="referencesauthors"/>
          <w:rFonts w:ascii="Times New Roman" w:hAnsi="Times New Roman" w:cs="Times New Roman"/>
          <w:sz w:val="24"/>
          <w:szCs w:val="24"/>
          <w:highlight w:val="green"/>
        </w:rPr>
        <w:t>., 2020</w:t>
      </w:r>
      <w:r w:rsidR="009D6788" w:rsidRPr="00BC4758">
        <w:rPr>
          <w:rFonts w:ascii="Times New Roman" w:hAnsi="Times New Roman" w:cs="Times New Roman"/>
          <w:sz w:val="24"/>
          <w:szCs w:val="24"/>
        </w:rPr>
        <w:t>)</w:t>
      </w:r>
      <w:r w:rsidRPr="00BC4758">
        <w:rPr>
          <w:rFonts w:ascii="Times New Roman" w:hAnsi="Times New Roman" w:cs="Times New Roman"/>
          <w:sz w:val="24"/>
          <w:szCs w:val="24"/>
        </w:rPr>
        <w:t>. Dysregulation of IL-10 has been associated with the progression of T2DM and its complications (</w:t>
      </w:r>
      <w:r w:rsidR="00306230" w:rsidRPr="00BC4758">
        <w:rPr>
          <w:rFonts w:ascii="Times New Roman" w:hAnsi="Times New Roman" w:cs="Times New Roman"/>
          <w:sz w:val="24"/>
          <w:szCs w:val="24"/>
        </w:rPr>
        <w:t xml:space="preserve">Islam </w:t>
      </w:r>
      <w:r w:rsidR="00306230" w:rsidRPr="00BC4758">
        <w:rPr>
          <w:rFonts w:ascii="Times New Roman" w:hAnsi="Times New Roman" w:cs="Times New Roman"/>
          <w:i/>
          <w:sz w:val="24"/>
          <w:szCs w:val="24"/>
        </w:rPr>
        <w:t>et al</w:t>
      </w:r>
      <w:r w:rsidR="00306230" w:rsidRPr="00BC4758">
        <w:rPr>
          <w:rFonts w:ascii="Times New Roman" w:hAnsi="Times New Roman" w:cs="Times New Roman"/>
          <w:sz w:val="24"/>
          <w:szCs w:val="24"/>
        </w:rPr>
        <w:t xml:space="preserve">., 2025; </w:t>
      </w:r>
      <w:r w:rsidR="009D6788" w:rsidRPr="00BC4758">
        <w:rPr>
          <w:rFonts w:ascii="Times New Roman" w:eastAsia="Times New Roman" w:hAnsi="Times New Roman" w:cs="Times New Roman"/>
          <w:sz w:val="24"/>
          <w:szCs w:val="24"/>
        </w:rPr>
        <w:t>Novianti and Nur'aeny, 2024;</w:t>
      </w:r>
      <w:r w:rsidR="009D6788" w:rsidRPr="00BC4758">
        <w:rPr>
          <w:rFonts w:ascii="Times New Roman" w:hAnsi="Times New Roman" w:cs="Times New Roman"/>
          <w:sz w:val="24"/>
          <w:szCs w:val="24"/>
        </w:rPr>
        <w:t xml:space="preserve"> </w:t>
      </w:r>
      <w:r w:rsidR="009D6788" w:rsidRPr="00284885">
        <w:rPr>
          <w:rFonts w:ascii="Times New Roman" w:hAnsi="Times New Roman" w:cs="Times New Roman"/>
          <w:sz w:val="24"/>
          <w:szCs w:val="24"/>
          <w:highlight w:val="green"/>
        </w:rPr>
        <w:t xml:space="preserve">Ayelign </w:t>
      </w:r>
      <w:r w:rsidR="009D6788" w:rsidRPr="00284885">
        <w:rPr>
          <w:rFonts w:ascii="Times New Roman" w:hAnsi="Times New Roman" w:cs="Times New Roman"/>
          <w:i/>
          <w:sz w:val="24"/>
          <w:szCs w:val="24"/>
          <w:highlight w:val="green"/>
        </w:rPr>
        <w:t>et al</w:t>
      </w:r>
      <w:r w:rsidR="00306230" w:rsidRPr="00284885">
        <w:rPr>
          <w:rFonts w:ascii="Times New Roman" w:hAnsi="Times New Roman" w:cs="Times New Roman"/>
          <w:sz w:val="24"/>
          <w:szCs w:val="24"/>
          <w:highlight w:val="green"/>
        </w:rPr>
        <w:t>., 2021</w:t>
      </w:r>
      <w:r w:rsidRPr="00BC4758">
        <w:rPr>
          <w:rFonts w:ascii="Times New Roman" w:hAnsi="Times New Roman" w:cs="Times New Roman"/>
          <w:sz w:val="24"/>
          <w:szCs w:val="24"/>
        </w:rPr>
        <w:t xml:space="preserve">). </w:t>
      </w:r>
      <w:r w:rsidR="007649F9" w:rsidRPr="00BC4758">
        <w:rPr>
          <w:rFonts w:ascii="Times New Roman" w:hAnsi="Times New Roman" w:cs="Times New Roman"/>
          <w:sz w:val="24"/>
          <w:szCs w:val="24"/>
        </w:rPr>
        <w:t>According to Iyer &amp; Cheng</w:t>
      </w:r>
      <w:r w:rsidR="00284885">
        <w:rPr>
          <w:rFonts w:ascii="Times New Roman" w:hAnsi="Times New Roman" w:cs="Times New Roman"/>
          <w:sz w:val="24"/>
          <w:szCs w:val="24"/>
        </w:rPr>
        <w:t xml:space="preserve"> (2012), </w:t>
      </w:r>
      <w:r w:rsidR="00284885" w:rsidRPr="00284885">
        <w:rPr>
          <w:rFonts w:ascii="Times New Roman" w:hAnsi="Times New Roman" w:cs="Times New Roman"/>
          <w:sz w:val="24"/>
          <w:szCs w:val="24"/>
          <w:highlight w:val="green"/>
        </w:rPr>
        <w:t>interleukin 10</w:t>
      </w:r>
      <w:r w:rsidR="00284885">
        <w:rPr>
          <w:rFonts w:ascii="Times New Roman" w:hAnsi="Times New Roman" w:cs="Times New Roman"/>
          <w:sz w:val="24"/>
          <w:szCs w:val="24"/>
        </w:rPr>
        <w:t xml:space="preserve"> </w:t>
      </w:r>
      <w:r w:rsidR="007649F9" w:rsidRPr="00BC4758">
        <w:rPr>
          <w:rFonts w:ascii="Times New Roman" w:hAnsi="Times New Roman" w:cs="Times New Roman"/>
          <w:sz w:val="24"/>
          <w:szCs w:val="24"/>
        </w:rPr>
        <w:t xml:space="preserve">is a cytokine with potent anti-inflammatory properties that plays a central role in limiting host immune response to pathogens, thereby preventing damage to the host and maintaining normal tissue homeostasis. Dysregulation of IL-10 is associated with enhanced immunopathology in </w:t>
      </w:r>
      <w:r w:rsidR="007649F9" w:rsidRPr="00BC4758">
        <w:rPr>
          <w:rFonts w:ascii="Times New Roman" w:hAnsi="Times New Roman" w:cs="Times New Roman"/>
          <w:sz w:val="24"/>
          <w:szCs w:val="24"/>
        </w:rPr>
        <w:lastRenderedPageBreak/>
        <w:t>response to infection as well as an increased risk for the development of many autoimmune diseases.</w:t>
      </w:r>
    </w:p>
    <w:p w14:paraId="0F5931B2" w14:textId="77777777" w:rsidR="009D1698" w:rsidRPr="00BC4758" w:rsidRDefault="009D1698" w:rsidP="009D1698">
      <w:pPr>
        <w:spacing w:line="48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Albumin, a major serum protein, is essential for maintaining oncotic pressure and serves as a marker of nutritional and inflammatory status. Alterations in serum albumin levels have been observed in T2DM patients, with studies indicating a negative correlation between albumin levels and the presence of diabetic complications, such as retinopathy (Alhalwani </w:t>
      </w:r>
      <w:r w:rsidRPr="00BC4758">
        <w:rPr>
          <w:rFonts w:ascii="Times New Roman" w:hAnsi="Times New Roman" w:cs="Times New Roman"/>
          <w:i/>
          <w:iCs/>
          <w:sz w:val="24"/>
          <w:szCs w:val="24"/>
        </w:rPr>
        <w:t>et al</w:t>
      </w:r>
      <w:r w:rsidRPr="00BC4758">
        <w:rPr>
          <w:rFonts w:ascii="Times New Roman" w:hAnsi="Times New Roman" w:cs="Times New Roman"/>
          <w:sz w:val="24"/>
          <w:szCs w:val="24"/>
        </w:rPr>
        <w:t>., 2023</w:t>
      </w:r>
      <w:r w:rsidR="00627C6C" w:rsidRPr="00BC4758">
        <w:rPr>
          <w:rFonts w:ascii="Times New Roman" w:hAnsi="Times New Roman" w:cs="Times New Roman"/>
          <w:sz w:val="24"/>
          <w:szCs w:val="24"/>
        </w:rPr>
        <w:t xml:space="preserve">; </w:t>
      </w:r>
      <w:r w:rsidR="00627C6C" w:rsidRPr="00BC4758">
        <w:t xml:space="preserve">Hui </w:t>
      </w:r>
      <w:r w:rsidR="00627C6C" w:rsidRPr="00BC4758">
        <w:rPr>
          <w:i/>
        </w:rPr>
        <w:t>et al</w:t>
      </w:r>
      <w:r w:rsidR="00627C6C" w:rsidRPr="00BC4758">
        <w:t xml:space="preserve">., 2023; Wang </w:t>
      </w:r>
      <w:r w:rsidR="00627C6C" w:rsidRPr="00BC4758">
        <w:rPr>
          <w:i/>
        </w:rPr>
        <w:t>et al</w:t>
      </w:r>
      <w:r w:rsidR="00627C6C" w:rsidRPr="00BC4758">
        <w:t xml:space="preserve">., 2022; Zhang </w:t>
      </w:r>
      <w:r w:rsidR="00627C6C" w:rsidRPr="00BC4758">
        <w:rPr>
          <w:i/>
        </w:rPr>
        <w:t>et al</w:t>
      </w:r>
      <w:r w:rsidR="00627C6C" w:rsidRPr="00BC4758">
        <w:t>., 2022</w:t>
      </w:r>
      <w:r w:rsidRPr="00BC4758">
        <w:rPr>
          <w:rFonts w:ascii="Times New Roman" w:hAnsi="Times New Roman" w:cs="Times New Roman"/>
          <w:sz w:val="24"/>
          <w:szCs w:val="24"/>
        </w:rPr>
        <w:t xml:space="preserve">). </w:t>
      </w:r>
    </w:p>
    <w:p w14:paraId="6BD439A7" w14:textId="77777777" w:rsidR="00627C6C" w:rsidRPr="00BC4758" w:rsidRDefault="009D1698" w:rsidP="009D1698">
      <w:pPr>
        <w:spacing w:line="48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The interplay between these biomarkers reflects underlying pathophysiological processes in T2DM, including insulin resistance, beta-cell dysfunction, and systemic inflammation. Elevated TNF-α contributes to insulin resistance by interfering with insulin signaling pathways, while reduced IL-10 levels may exacerbate inflammatory responses, further impairing insulin sensitivity. Changes in albumin levels can indicate systemic inflammation and are associated with the severity of diabetic complications. Despite the global prevalence of T2DM, there is a paucity of data regarding the behavior of these biomarkers in male T2DM patients in Nigeria. This present study aims to unearth the relationship between the serum levels of the cytokines (interleukin-10, TNF-alpha) and albumin in correlation with type 2 diabetes mellitus in male subjects. </w:t>
      </w:r>
    </w:p>
    <w:p w14:paraId="47B4B128" w14:textId="77777777" w:rsidR="009D1698" w:rsidRPr="00BC4758" w:rsidRDefault="00627C6C" w:rsidP="009D1698">
      <w:pPr>
        <w:spacing w:line="48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This study </w:t>
      </w:r>
      <w:r w:rsidR="009D1698" w:rsidRPr="00BC4758">
        <w:rPr>
          <w:rFonts w:ascii="Times New Roman" w:hAnsi="Times New Roman" w:cs="Times New Roman"/>
          <w:sz w:val="24"/>
          <w:szCs w:val="24"/>
        </w:rPr>
        <w:t>employ</w:t>
      </w:r>
      <w:r w:rsidRPr="00BC4758">
        <w:rPr>
          <w:rFonts w:ascii="Times New Roman" w:hAnsi="Times New Roman" w:cs="Times New Roman"/>
          <w:sz w:val="24"/>
          <w:szCs w:val="24"/>
        </w:rPr>
        <w:t>ed</w:t>
      </w:r>
      <w:r w:rsidR="009D1698" w:rsidRPr="00BC4758">
        <w:rPr>
          <w:rFonts w:ascii="Times New Roman" w:hAnsi="Times New Roman" w:cs="Times New Roman"/>
          <w:sz w:val="24"/>
          <w:szCs w:val="24"/>
        </w:rPr>
        <w:t xml:space="preserve"> a case and control study design involving male subjects with Type 2 Diabetes Mellitus in Federal Medical Centre, Asaba. Thus, understanding the specific patterns of TNF-α, IL-10, and albumin levels in this population is crucial for early diagnosis, risk stratification, and monitoring of therapeutic responses. This study aims to fill this research gap, providing insights that could lead to personalized treatment strategies, ultimately improving clinical outcomes and informing public health policies in Nigeria.</w:t>
      </w:r>
    </w:p>
    <w:p w14:paraId="79FD1E2D" w14:textId="77777777" w:rsidR="00502892" w:rsidRPr="00BC4758" w:rsidRDefault="0082432D" w:rsidP="008A18F4">
      <w:pPr>
        <w:spacing w:line="480" w:lineRule="auto"/>
        <w:jc w:val="both"/>
        <w:rPr>
          <w:rFonts w:ascii="Times New Roman" w:hAnsi="Times New Roman" w:cs="Times New Roman"/>
          <w:sz w:val="24"/>
          <w:szCs w:val="24"/>
        </w:rPr>
      </w:pPr>
      <w:r w:rsidRPr="00BC4758">
        <w:rPr>
          <w:rFonts w:ascii="Times New Roman" w:hAnsi="Times New Roman" w:cs="Times New Roman"/>
          <w:sz w:val="24"/>
          <w:szCs w:val="24"/>
        </w:rPr>
        <w:lastRenderedPageBreak/>
        <w:t>MATERIALS AND METHODS</w:t>
      </w:r>
    </w:p>
    <w:p w14:paraId="7E7B8B98" w14:textId="77777777" w:rsidR="0082432D" w:rsidRPr="00BC4758" w:rsidRDefault="0082432D" w:rsidP="0082432D">
      <w:pPr>
        <w:pStyle w:val="Heading2"/>
        <w:spacing w:line="480" w:lineRule="auto"/>
        <w:rPr>
          <w:rFonts w:ascii="Times New Roman" w:hAnsi="Times New Roman" w:cs="Times New Roman"/>
          <w:b/>
          <w:color w:val="auto"/>
          <w:sz w:val="24"/>
          <w:szCs w:val="24"/>
        </w:rPr>
      </w:pPr>
      <w:r w:rsidRPr="00BC4758">
        <w:rPr>
          <w:rFonts w:ascii="Times New Roman" w:hAnsi="Times New Roman" w:cs="Times New Roman"/>
          <w:b/>
          <w:color w:val="auto"/>
          <w:sz w:val="24"/>
          <w:szCs w:val="24"/>
        </w:rPr>
        <w:t>Study Site</w:t>
      </w:r>
    </w:p>
    <w:p w14:paraId="64A7521C" w14:textId="6A8EE83D" w:rsidR="0082432D" w:rsidRPr="00BC4758" w:rsidRDefault="0082432D" w:rsidP="0082432D">
      <w:pPr>
        <w:spacing w:line="480" w:lineRule="auto"/>
        <w:jc w:val="both"/>
        <w:rPr>
          <w:rFonts w:ascii="Times New Roman" w:hAnsi="Times New Roman" w:cs="Times New Roman"/>
          <w:sz w:val="24"/>
          <w:szCs w:val="24"/>
        </w:rPr>
      </w:pPr>
      <w:r w:rsidRPr="00BC4758">
        <w:rPr>
          <w:rFonts w:ascii="Times New Roman" w:hAnsi="Times New Roman" w:cs="Times New Roman"/>
          <w:sz w:val="24"/>
          <w:szCs w:val="24"/>
        </w:rPr>
        <w:t>The research was conducted at the Federal Medical Centre (FMC) Asaba, Delta State, Nigeria, a tertiary healthcare facility with a well-equipped laboratory capable of conducting biomarker assays relevant to</w:t>
      </w:r>
      <w:r w:rsidR="00284885">
        <w:rPr>
          <w:rFonts w:ascii="Times New Roman" w:hAnsi="Times New Roman" w:cs="Times New Roman"/>
          <w:sz w:val="24"/>
          <w:szCs w:val="24"/>
        </w:rPr>
        <w:t xml:space="preserve"> </w:t>
      </w:r>
      <w:r w:rsidR="00284885" w:rsidRPr="00284885">
        <w:rPr>
          <w:rFonts w:ascii="Times New Roman" w:hAnsi="Times New Roman" w:cs="Times New Roman"/>
          <w:sz w:val="24"/>
          <w:szCs w:val="24"/>
          <w:highlight w:val="green"/>
        </w:rPr>
        <w:t>Type 2 Diabetes Mellitus</w:t>
      </w:r>
      <w:r w:rsidRPr="00284885">
        <w:rPr>
          <w:rFonts w:ascii="Times New Roman" w:hAnsi="Times New Roman" w:cs="Times New Roman"/>
          <w:sz w:val="24"/>
          <w:szCs w:val="24"/>
          <w:highlight w:val="green"/>
        </w:rPr>
        <w:t>.</w:t>
      </w:r>
    </w:p>
    <w:p w14:paraId="0205DACF" w14:textId="77777777" w:rsidR="0082432D" w:rsidRPr="00BC4758" w:rsidRDefault="0082432D" w:rsidP="0082432D">
      <w:pPr>
        <w:pStyle w:val="Heading2"/>
        <w:spacing w:line="480" w:lineRule="auto"/>
        <w:rPr>
          <w:rFonts w:ascii="Times New Roman" w:hAnsi="Times New Roman" w:cs="Times New Roman"/>
          <w:b/>
          <w:color w:val="auto"/>
          <w:sz w:val="24"/>
          <w:szCs w:val="24"/>
        </w:rPr>
      </w:pPr>
      <w:bookmarkStart w:id="1" w:name="_Toc191404482"/>
      <w:r w:rsidRPr="00BC4758">
        <w:rPr>
          <w:rFonts w:ascii="Times New Roman" w:hAnsi="Times New Roman" w:cs="Times New Roman"/>
          <w:b/>
          <w:color w:val="auto"/>
          <w:sz w:val="24"/>
          <w:szCs w:val="24"/>
        </w:rPr>
        <w:t>Study Design</w:t>
      </w:r>
      <w:bookmarkEnd w:id="1"/>
    </w:p>
    <w:p w14:paraId="35A7FA7C" w14:textId="182FC0E5" w:rsidR="0082432D" w:rsidRPr="00BC4758" w:rsidRDefault="0082432D" w:rsidP="0082432D">
      <w:pPr>
        <w:spacing w:line="48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This study adopted a case-control design to assess the </w:t>
      </w:r>
      <w:r w:rsidR="00540816" w:rsidRPr="00BC4758">
        <w:rPr>
          <w:rFonts w:ascii="Times New Roman" w:hAnsi="Times New Roman" w:cs="Times New Roman"/>
          <w:sz w:val="24"/>
          <w:szCs w:val="24"/>
        </w:rPr>
        <w:t xml:space="preserve">serum </w:t>
      </w:r>
      <w:r w:rsidRPr="00BC4758">
        <w:rPr>
          <w:rFonts w:ascii="Times New Roman" w:hAnsi="Times New Roman" w:cs="Times New Roman"/>
          <w:sz w:val="24"/>
          <w:szCs w:val="24"/>
        </w:rPr>
        <w:t xml:space="preserve">levels of TNF-α, IL-10, and albumin in male T2DM patients. A total of sixty (60) </w:t>
      </w:r>
      <w:r w:rsidR="00540816" w:rsidRPr="00BC4758">
        <w:rPr>
          <w:rFonts w:ascii="Times New Roman" w:hAnsi="Times New Roman" w:cs="Times New Roman"/>
          <w:sz w:val="24"/>
          <w:szCs w:val="24"/>
        </w:rPr>
        <w:t xml:space="preserve">participants </w:t>
      </w:r>
      <w:r w:rsidRPr="00BC4758">
        <w:rPr>
          <w:rFonts w:ascii="Times New Roman" w:hAnsi="Times New Roman" w:cs="Times New Roman"/>
          <w:sz w:val="24"/>
          <w:szCs w:val="24"/>
        </w:rPr>
        <w:t xml:space="preserve">were </w:t>
      </w:r>
      <w:r w:rsidR="00540816" w:rsidRPr="00BC4758">
        <w:rPr>
          <w:rFonts w:ascii="Times New Roman" w:hAnsi="Times New Roman" w:cs="Times New Roman"/>
          <w:sz w:val="24"/>
          <w:szCs w:val="24"/>
        </w:rPr>
        <w:t xml:space="preserve">randomly </w:t>
      </w:r>
      <w:r w:rsidRPr="00BC4758">
        <w:rPr>
          <w:rFonts w:ascii="Times New Roman" w:hAnsi="Times New Roman" w:cs="Times New Roman"/>
          <w:sz w:val="24"/>
          <w:szCs w:val="24"/>
        </w:rPr>
        <w:t xml:space="preserve">recruited, with 30 individuals diagnosed with T2DM serving as test subjects and 30 healthy individuals serving as controls. Informed consent was obtained from all participants, and each subject completed a structured questionnaire capturing demographic </w:t>
      </w:r>
      <w:r w:rsidR="00284885" w:rsidRPr="00284885">
        <w:rPr>
          <w:rFonts w:ascii="Times New Roman" w:hAnsi="Times New Roman" w:cs="Times New Roman"/>
          <w:sz w:val="24"/>
          <w:szCs w:val="24"/>
          <w:highlight w:val="green"/>
        </w:rPr>
        <w:t>data (such as age, gender),</w:t>
      </w:r>
      <w:r w:rsidR="00284885">
        <w:rPr>
          <w:rFonts w:ascii="Times New Roman" w:hAnsi="Times New Roman" w:cs="Times New Roman"/>
          <w:sz w:val="24"/>
          <w:szCs w:val="24"/>
        </w:rPr>
        <w:t xml:space="preserve"> </w:t>
      </w:r>
      <w:r w:rsidRPr="00BC4758">
        <w:rPr>
          <w:rFonts w:ascii="Times New Roman" w:hAnsi="Times New Roman" w:cs="Times New Roman"/>
          <w:sz w:val="24"/>
          <w:szCs w:val="24"/>
        </w:rPr>
        <w:t>and clinical information.</w:t>
      </w:r>
    </w:p>
    <w:p w14:paraId="0841453D" w14:textId="77777777" w:rsidR="0082432D" w:rsidRPr="00BC4758" w:rsidRDefault="0082432D" w:rsidP="0082432D">
      <w:pPr>
        <w:pStyle w:val="Heading2"/>
        <w:spacing w:line="480" w:lineRule="auto"/>
        <w:rPr>
          <w:rFonts w:ascii="Times New Roman" w:hAnsi="Times New Roman" w:cs="Times New Roman"/>
          <w:b/>
          <w:color w:val="auto"/>
          <w:sz w:val="24"/>
          <w:szCs w:val="24"/>
        </w:rPr>
      </w:pPr>
      <w:bookmarkStart w:id="2" w:name="_Toc191404483"/>
      <w:r w:rsidRPr="00BC4758">
        <w:rPr>
          <w:rFonts w:ascii="Times New Roman" w:hAnsi="Times New Roman" w:cs="Times New Roman"/>
          <w:b/>
          <w:color w:val="auto"/>
          <w:sz w:val="24"/>
          <w:szCs w:val="24"/>
        </w:rPr>
        <w:t>Sample Size Determination</w:t>
      </w:r>
      <w:bookmarkEnd w:id="2"/>
    </w:p>
    <w:p w14:paraId="4B09E5A3" w14:textId="77777777" w:rsidR="00EE54D0" w:rsidRPr="00BC4758" w:rsidRDefault="00EE54D0" w:rsidP="00EE54D0">
      <w:pPr>
        <w:spacing w:before="240" w:line="480" w:lineRule="auto"/>
        <w:jc w:val="both"/>
        <w:rPr>
          <w:rFonts w:ascii="Times New Roman" w:hAnsi="Times New Roman" w:cs="Times New Roman"/>
          <w:b/>
          <w:sz w:val="24"/>
          <w:szCs w:val="24"/>
        </w:rPr>
      </w:pPr>
      <w:bookmarkStart w:id="3" w:name="_Toc191404484"/>
      <w:r w:rsidRPr="00BC4758">
        <w:rPr>
          <w:rFonts w:ascii="Times New Roman" w:hAnsi="Times New Roman" w:cs="Times New Roman"/>
          <w:sz w:val="24"/>
          <w:szCs w:val="24"/>
        </w:rPr>
        <w:t>The sample size for this study was calculated using the documented prevalence of diabetes mellitus in Nigeria which was found to be 1.7% (</w:t>
      </w:r>
      <w:r w:rsidRPr="001B3DCB">
        <w:rPr>
          <w:rStyle w:val="HTMLCite"/>
          <w:rFonts w:ascii="Times New Roman" w:hAnsi="Times New Roman" w:cs="Times New Roman"/>
          <w:i w:val="0"/>
          <w:sz w:val="24"/>
          <w:szCs w:val="24"/>
          <w:highlight w:val="green"/>
        </w:rPr>
        <w:t>International Diabetes Federation</w:t>
      </w:r>
      <w:r w:rsidRPr="001B3DCB">
        <w:rPr>
          <w:rFonts w:ascii="Times New Roman" w:eastAsia="SimSun" w:hAnsi="Times New Roman" w:cs="Times New Roman"/>
          <w:i/>
          <w:sz w:val="24"/>
          <w:szCs w:val="24"/>
          <w:highlight w:val="green"/>
        </w:rPr>
        <w:t>,</w:t>
      </w:r>
      <w:r w:rsidRPr="00BC4758">
        <w:rPr>
          <w:rFonts w:ascii="Times New Roman" w:eastAsia="SimSun" w:hAnsi="Times New Roman" w:cs="Times New Roman"/>
          <w:sz w:val="24"/>
          <w:szCs w:val="24"/>
        </w:rPr>
        <w:t xml:space="preserve"> 2017</w:t>
      </w:r>
      <w:r w:rsidRPr="00BC4758">
        <w:rPr>
          <w:rFonts w:ascii="Times New Roman" w:hAnsi="Times New Roman" w:cs="Times New Roman"/>
          <w:sz w:val="24"/>
          <w:szCs w:val="24"/>
        </w:rPr>
        <w:t>). The sample size for this study was calculated using the formula described by Charan and Biswas (2013);</w:t>
      </w:r>
    </w:p>
    <w:p w14:paraId="55BB8C0F" w14:textId="77777777" w:rsidR="00EE54D0" w:rsidRPr="00BC4758" w:rsidRDefault="00EE54D0" w:rsidP="00EE54D0">
      <w:pPr>
        <w:tabs>
          <w:tab w:val="left" w:pos="6480"/>
        </w:tabs>
        <w:spacing w:before="240" w:line="480" w:lineRule="auto"/>
        <w:jc w:val="both"/>
        <w:rPr>
          <w:rFonts w:ascii="Times New Roman" w:eastAsia="SimSun" w:hAnsi="Times New Roman" w:cs="Times New Roman"/>
          <w:b/>
          <w:sz w:val="24"/>
          <w:szCs w:val="24"/>
        </w:rPr>
      </w:pPr>
      <w:r w:rsidRPr="00BC4758">
        <w:rPr>
          <w:rFonts w:ascii="Times New Roman" w:hAnsi="Times New Roman" w:cs="Times New Roman"/>
          <w:sz w:val="24"/>
          <w:szCs w:val="24"/>
        </w:rPr>
        <w:t xml:space="preserve">N = </w:t>
      </w:r>
      <m:oMath>
        <m:f>
          <m:fPr>
            <m:ctrlPr>
              <w:rPr>
                <w:rFonts w:ascii="Cambria Math" w:hAnsi="Cambria Math" w:cs="Times New Roman"/>
                <w:i/>
                <w:sz w:val="24"/>
                <w:szCs w:val="24"/>
              </w:rPr>
            </m:ctrlPr>
          </m:fPr>
          <m:num>
            <m:sSup>
              <m:sSupPr>
                <m:ctrlPr>
                  <w:rPr>
                    <w:rFonts w:ascii="Cambria Math" w:hAnsi="Cambria Math" w:cs="Times New Roman"/>
                    <w:sz w:val="24"/>
                    <w:szCs w:val="24"/>
                  </w:rPr>
                </m:ctrlPr>
              </m:sSupPr>
              <m:e>
                <m:r>
                  <m:rPr>
                    <m:sty m:val="bi"/>
                  </m:rPr>
                  <w:rPr>
                    <w:rFonts w:ascii="Cambria Math" w:hAnsi="Cambria Math" w:cs="Times New Roman"/>
                    <w:sz w:val="24"/>
                    <w:szCs w:val="24"/>
                  </w:rPr>
                  <m:t>Z</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p(1-p)</m:t>
            </m:r>
          </m:num>
          <m:den>
            <m:sSup>
              <m:sSupPr>
                <m:ctrlPr>
                  <w:rPr>
                    <w:rFonts w:ascii="Cambria Math" w:hAnsi="Cambria Math" w:cs="Times New Roman"/>
                    <w:i/>
                    <w:sz w:val="24"/>
                    <w:szCs w:val="24"/>
                  </w:rPr>
                </m:ctrlPr>
              </m:sSupPr>
              <m:e>
                <m:r>
                  <m:rPr>
                    <m:sty m:val="bi"/>
                  </m:rPr>
                  <w:rPr>
                    <w:rFonts w:ascii="Cambria Math" w:hAnsi="Cambria Math" w:cs="Times New Roman"/>
                    <w:sz w:val="24"/>
                    <w:szCs w:val="24"/>
                  </w:rPr>
                  <m:t>d</m:t>
                </m:r>
              </m:e>
              <m:sup>
                <m:r>
                  <m:rPr>
                    <m:sty m:val="bi"/>
                  </m:rPr>
                  <w:rPr>
                    <w:rFonts w:ascii="Cambria Math" w:hAnsi="Cambria Math" w:cs="Times New Roman"/>
                    <w:sz w:val="24"/>
                    <w:szCs w:val="24"/>
                  </w:rPr>
                  <m:t>2</m:t>
                </m:r>
              </m:sup>
            </m:sSup>
          </m:den>
        </m:f>
      </m:oMath>
    </w:p>
    <w:p w14:paraId="16F9003B" w14:textId="77777777" w:rsidR="00EE54D0" w:rsidRPr="00BC4758" w:rsidRDefault="00EE54D0" w:rsidP="00EE54D0">
      <w:pPr>
        <w:spacing w:before="240" w:line="480" w:lineRule="auto"/>
        <w:jc w:val="both"/>
        <w:rPr>
          <w:rFonts w:ascii="Times New Roman" w:eastAsia="SimSun" w:hAnsi="Times New Roman" w:cs="Times New Roman"/>
          <w:b/>
          <w:sz w:val="24"/>
          <w:szCs w:val="24"/>
        </w:rPr>
      </w:pPr>
      <w:r w:rsidRPr="00BC4758">
        <w:rPr>
          <w:rFonts w:ascii="Times New Roman" w:eastAsia="SimSun" w:hAnsi="Times New Roman" w:cs="Times New Roman"/>
          <w:sz w:val="24"/>
          <w:szCs w:val="24"/>
        </w:rPr>
        <w:t>Where:</w:t>
      </w:r>
    </w:p>
    <w:p w14:paraId="698A96AC" w14:textId="77777777" w:rsidR="00EE54D0" w:rsidRPr="00BC4758" w:rsidRDefault="00EE54D0" w:rsidP="00EE54D0">
      <w:pPr>
        <w:spacing w:before="240" w:line="480" w:lineRule="auto"/>
        <w:jc w:val="both"/>
        <w:rPr>
          <w:rFonts w:ascii="Times New Roman" w:eastAsia="SimSun" w:hAnsi="Times New Roman" w:cs="Times New Roman"/>
          <w:b/>
          <w:sz w:val="24"/>
          <w:szCs w:val="24"/>
        </w:rPr>
      </w:pPr>
      <w:r w:rsidRPr="00BC4758">
        <w:rPr>
          <w:rFonts w:ascii="Times New Roman" w:eastAsia="SimSun" w:hAnsi="Times New Roman" w:cs="Times New Roman"/>
          <w:sz w:val="24"/>
          <w:szCs w:val="24"/>
        </w:rPr>
        <w:t>N = Required sample size when population of the facility is large</w:t>
      </w:r>
    </w:p>
    <w:p w14:paraId="04C32A04" w14:textId="77777777" w:rsidR="00EE54D0" w:rsidRPr="00BC4758" w:rsidRDefault="00EE54D0" w:rsidP="00EE54D0">
      <w:pPr>
        <w:spacing w:before="240" w:line="480" w:lineRule="auto"/>
        <w:jc w:val="both"/>
        <w:rPr>
          <w:rFonts w:ascii="Times New Roman" w:eastAsia="SimSun" w:hAnsi="Times New Roman" w:cs="Times New Roman"/>
          <w:b/>
          <w:sz w:val="24"/>
          <w:szCs w:val="24"/>
        </w:rPr>
      </w:pPr>
      <w:r w:rsidRPr="00BC4758">
        <w:rPr>
          <w:rFonts w:ascii="Times New Roman" w:eastAsia="SimSun" w:hAnsi="Times New Roman" w:cs="Times New Roman"/>
          <w:sz w:val="24"/>
          <w:szCs w:val="24"/>
        </w:rPr>
        <w:t>Z = The standard normal deviate, set at 1.96 which corresponds to the 95% confidence level</w:t>
      </w:r>
    </w:p>
    <w:p w14:paraId="4E2F93A6" w14:textId="77777777" w:rsidR="00EE54D0" w:rsidRPr="00BC4758" w:rsidRDefault="00EE54D0" w:rsidP="00EE54D0">
      <w:pPr>
        <w:spacing w:before="240" w:line="480" w:lineRule="auto"/>
        <w:jc w:val="both"/>
        <w:rPr>
          <w:rFonts w:ascii="Times New Roman" w:eastAsia="SimSun" w:hAnsi="Times New Roman" w:cs="Times New Roman"/>
          <w:b/>
          <w:sz w:val="24"/>
          <w:szCs w:val="24"/>
        </w:rPr>
      </w:pPr>
      <w:r w:rsidRPr="00BC4758">
        <w:rPr>
          <w:rFonts w:ascii="Times New Roman" w:eastAsia="SimSun" w:hAnsi="Times New Roman" w:cs="Times New Roman"/>
          <w:sz w:val="24"/>
          <w:szCs w:val="24"/>
        </w:rPr>
        <w:lastRenderedPageBreak/>
        <w:t>p = Estimated prevalence of diabetes mellitus in Nigeria which was found to be 1.7% (</w:t>
      </w:r>
      <w:r w:rsidRPr="00847540">
        <w:rPr>
          <w:rStyle w:val="HTMLCite"/>
          <w:rFonts w:ascii="Times New Roman" w:hAnsi="Times New Roman" w:cs="Times New Roman"/>
          <w:i w:val="0"/>
          <w:sz w:val="24"/>
          <w:szCs w:val="24"/>
          <w:highlight w:val="green"/>
        </w:rPr>
        <w:t>International Diabetes Federation</w:t>
      </w:r>
      <w:r w:rsidRPr="00847540">
        <w:rPr>
          <w:rFonts w:ascii="Times New Roman" w:eastAsia="SimSun" w:hAnsi="Times New Roman" w:cs="Times New Roman"/>
          <w:i/>
          <w:sz w:val="24"/>
          <w:szCs w:val="24"/>
          <w:highlight w:val="green"/>
        </w:rPr>
        <w:t>,</w:t>
      </w:r>
      <w:r w:rsidRPr="00BC4758">
        <w:rPr>
          <w:rFonts w:ascii="Times New Roman" w:eastAsia="SimSun" w:hAnsi="Times New Roman" w:cs="Times New Roman"/>
          <w:sz w:val="24"/>
          <w:szCs w:val="24"/>
        </w:rPr>
        <w:t xml:space="preserve"> 2017)</w:t>
      </w:r>
    </w:p>
    <w:p w14:paraId="124029FD" w14:textId="77777777" w:rsidR="00EE54D0" w:rsidRPr="00BC4758" w:rsidRDefault="00EE54D0" w:rsidP="00EE54D0">
      <w:pPr>
        <w:spacing w:before="240" w:line="480" w:lineRule="auto"/>
        <w:jc w:val="both"/>
        <w:rPr>
          <w:rFonts w:ascii="Times New Roman" w:eastAsia="SimSun" w:hAnsi="Times New Roman" w:cs="Times New Roman"/>
          <w:b/>
          <w:sz w:val="24"/>
          <w:szCs w:val="24"/>
        </w:rPr>
      </w:pPr>
      <w:r w:rsidRPr="00BC4758">
        <w:rPr>
          <w:rFonts w:ascii="Times New Roman" w:eastAsia="SimSun" w:hAnsi="Times New Roman" w:cs="Times New Roman"/>
          <w:sz w:val="24"/>
          <w:szCs w:val="24"/>
        </w:rPr>
        <w:t>d = Degree of accuracy required which set at 0.05 (margin of error at 5%)</w:t>
      </w:r>
    </w:p>
    <w:p w14:paraId="42978ADA" w14:textId="77777777" w:rsidR="00EE54D0" w:rsidRPr="00BC4758" w:rsidRDefault="00EE54D0" w:rsidP="00EE54D0">
      <w:pPr>
        <w:spacing w:before="240" w:line="480" w:lineRule="auto"/>
        <w:jc w:val="both"/>
        <w:rPr>
          <w:rFonts w:ascii="Times New Roman" w:eastAsia="SimSun" w:hAnsi="Times New Roman" w:cs="Times New Roman"/>
          <w:b/>
          <w:sz w:val="24"/>
          <w:szCs w:val="24"/>
        </w:rPr>
      </w:pPr>
      <w:r w:rsidRPr="00BC4758">
        <w:rPr>
          <w:rFonts w:ascii="Times New Roman" w:eastAsia="SimSun" w:hAnsi="Times New Roman" w:cs="Times New Roman"/>
          <w:sz w:val="24"/>
          <w:szCs w:val="24"/>
        </w:rPr>
        <w:t>Applying the method,</w:t>
      </w:r>
    </w:p>
    <w:p w14:paraId="4AB6B306" w14:textId="77777777" w:rsidR="00EE54D0" w:rsidRPr="00BC4758" w:rsidRDefault="00EE54D0" w:rsidP="00EE54D0">
      <w:pPr>
        <w:spacing w:before="240" w:line="480" w:lineRule="auto"/>
        <w:jc w:val="both"/>
        <w:rPr>
          <w:rFonts w:ascii="Times New Roman" w:eastAsia="SimSun" w:hAnsi="Times New Roman" w:cs="Times New Roman"/>
          <w:sz w:val="24"/>
          <w:szCs w:val="24"/>
        </w:rPr>
      </w:pPr>
      <w:r w:rsidRPr="00BC4758">
        <w:rPr>
          <w:rFonts w:ascii="Times New Roman" w:eastAsia="SimSun" w:hAnsi="Times New Roman" w:cs="Times New Roman"/>
          <w:sz w:val="24"/>
          <w:szCs w:val="24"/>
        </w:rPr>
        <w:t xml:space="preserve">N = </w:t>
      </w:r>
      <m:oMath>
        <m:sSup>
          <m:sSupPr>
            <m:ctrlPr>
              <w:rPr>
                <w:rFonts w:ascii="Cambria Math" w:eastAsia="SimSun" w:hAnsi="Cambria Math" w:cs="Times New Roman"/>
                <w:sz w:val="24"/>
                <w:szCs w:val="24"/>
              </w:rPr>
            </m:ctrlPr>
          </m:sSupPr>
          <m:e>
            <m:r>
              <m:rPr>
                <m:sty m:val="p"/>
              </m:rPr>
              <w:rPr>
                <w:rFonts w:ascii="Cambria Math" w:eastAsia="SimSun" w:hAnsi="Cambria Math" w:cs="Times New Roman"/>
                <w:sz w:val="24"/>
                <w:szCs w:val="24"/>
              </w:rPr>
              <m:t>Z</m:t>
            </m:r>
          </m:e>
          <m:sup>
            <m:r>
              <m:rPr>
                <m:sty m:val="p"/>
              </m:rPr>
              <w:rPr>
                <w:rFonts w:ascii="Cambria Math" w:eastAsia="SimSun" w:hAnsi="Cambria Math" w:cs="Times New Roman"/>
                <w:sz w:val="24"/>
                <w:szCs w:val="24"/>
              </w:rPr>
              <m:t>2</m:t>
            </m:r>
          </m:sup>
        </m:sSup>
      </m:oMath>
      <w:r w:rsidRPr="00BC4758">
        <w:rPr>
          <w:rFonts w:ascii="Times New Roman" w:eastAsia="SimSun" w:hAnsi="Times New Roman" w:cs="Times New Roman"/>
          <w:sz w:val="24"/>
          <w:szCs w:val="24"/>
        </w:rPr>
        <w:t xml:space="preserve"> x p x (1-p)/</w:t>
      </w:r>
      <m:oMath>
        <m:sSup>
          <m:sSupPr>
            <m:ctrlPr>
              <w:rPr>
                <w:rFonts w:ascii="Cambria Math" w:eastAsia="SimSun" w:hAnsi="Cambria Math" w:cs="Times New Roman"/>
                <w:sz w:val="24"/>
                <w:szCs w:val="24"/>
              </w:rPr>
            </m:ctrlPr>
          </m:sSupPr>
          <m:e>
            <m:r>
              <m:rPr>
                <m:sty m:val="p"/>
              </m:rPr>
              <w:rPr>
                <w:rFonts w:ascii="Cambria Math" w:eastAsia="SimSun" w:hAnsi="Cambria Math" w:cs="Times New Roman"/>
                <w:sz w:val="24"/>
                <w:szCs w:val="24"/>
              </w:rPr>
              <m:t>d</m:t>
            </m:r>
          </m:e>
          <m:sup>
            <m:r>
              <m:rPr>
                <m:sty m:val="p"/>
              </m:rPr>
              <w:rPr>
                <w:rFonts w:ascii="Cambria Math" w:eastAsia="SimSun" w:hAnsi="Cambria Math" w:cs="Times New Roman"/>
                <w:sz w:val="24"/>
                <w:szCs w:val="24"/>
              </w:rPr>
              <m:t>2</m:t>
            </m:r>
          </m:sup>
        </m:sSup>
      </m:oMath>
    </w:p>
    <w:p w14:paraId="5DFEC13F" w14:textId="77777777" w:rsidR="00EE54D0" w:rsidRPr="00BC4758" w:rsidRDefault="00EE54D0" w:rsidP="00EE54D0">
      <w:pPr>
        <w:spacing w:before="240" w:line="480" w:lineRule="auto"/>
        <w:jc w:val="both"/>
        <w:rPr>
          <w:rFonts w:ascii="Times New Roman" w:eastAsia="SimSun" w:hAnsi="Times New Roman" w:cs="Times New Roman"/>
          <w:sz w:val="24"/>
          <w:szCs w:val="24"/>
        </w:rPr>
      </w:pPr>
      <w:r w:rsidRPr="00BC4758">
        <w:rPr>
          <w:rFonts w:ascii="Times New Roman" w:hAnsi="Times New Roman" w:cs="Times New Roman"/>
          <w:sz w:val="24"/>
          <w:szCs w:val="24"/>
        </w:rPr>
        <w:t xml:space="preserve">N =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1.96</m:t>
                </m:r>
              </m:e>
              <m:sup>
                <m:r>
                  <w:rPr>
                    <w:rFonts w:ascii="Cambria Math" w:hAnsi="Cambria Math" w:cs="Times New Roman"/>
                    <w:sz w:val="24"/>
                    <w:szCs w:val="24"/>
                  </w:rPr>
                  <m:t>2</m:t>
                </m:r>
              </m:sup>
            </m:sSup>
            <m:r>
              <w:rPr>
                <w:rFonts w:ascii="Cambria Math" w:hAnsi="Cambria Math" w:cs="Times New Roman"/>
                <w:sz w:val="24"/>
                <w:szCs w:val="24"/>
              </w:rPr>
              <m:t xml:space="preserve"> x 0.017(1-0.017)</m:t>
            </m:r>
          </m:num>
          <m:den>
            <m:sSup>
              <m:sSupPr>
                <m:ctrlPr>
                  <w:rPr>
                    <w:rFonts w:ascii="Cambria Math" w:hAnsi="Cambria Math" w:cs="Times New Roman"/>
                    <w:i/>
                    <w:sz w:val="24"/>
                    <w:szCs w:val="24"/>
                  </w:rPr>
                </m:ctrlPr>
              </m:sSupPr>
              <m:e>
                <m:r>
                  <w:rPr>
                    <w:rFonts w:ascii="Cambria Math" w:hAnsi="Cambria Math" w:cs="Times New Roman"/>
                    <w:sz w:val="24"/>
                    <w:szCs w:val="24"/>
                  </w:rPr>
                  <m:t>(0.05)</m:t>
                </m:r>
              </m:e>
              <m:sup>
                <m:r>
                  <w:rPr>
                    <w:rFonts w:ascii="Cambria Math" w:hAnsi="Cambria Math" w:cs="Times New Roman"/>
                    <w:sz w:val="24"/>
                    <w:szCs w:val="24"/>
                  </w:rPr>
                  <m:t>2</m:t>
                </m:r>
              </m:sup>
            </m:sSup>
          </m:den>
        </m:f>
      </m:oMath>
    </w:p>
    <w:p w14:paraId="11488673" w14:textId="77777777" w:rsidR="00EE54D0" w:rsidRPr="00BC4758" w:rsidRDefault="00EE54D0" w:rsidP="00EE54D0">
      <w:pPr>
        <w:spacing w:before="240" w:line="480" w:lineRule="auto"/>
        <w:jc w:val="both"/>
        <w:rPr>
          <w:rFonts w:ascii="Times New Roman" w:eastAsia="SimSun" w:hAnsi="Times New Roman" w:cs="Times New Roman"/>
          <w:sz w:val="24"/>
          <w:szCs w:val="24"/>
        </w:rPr>
      </w:pPr>
      <w:r w:rsidRPr="00BC4758">
        <w:rPr>
          <w:rFonts w:ascii="Times New Roman" w:eastAsia="SimSun" w:hAnsi="Times New Roman" w:cs="Times New Roman"/>
          <w:sz w:val="24"/>
          <w:szCs w:val="24"/>
        </w:rPr>
        <w:t>N =</w:t>
      </w:r>
      <w:r w:rsidRPr="00BC4758">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0.0653072(1-0.017)</m:t>
            </m:r>
          </m:num>
          <m:den>
            <m:r>
              <w:rPr>
                <w:rFonts w:ascii="Cambria Math" w:hAnsi="Cambria Math" w:cs="Times New Roman"/>
                <w:sz w:val="24"/>
                <w:szCs w:val="24"/>
              </w:rPr>
              <m:t>0.0025</m:t>
            </m:r>
          </m:den>
        </m:f>
      </m:oMath>
      <w:r w:rsidRPr="00BC4758">
        <w:rPr>
          <w:rFonts w:ascii="Times New Roman" w:eastAsia="SimSun" w:hAnsi="Times New Roman" w:cs="Times New Roman"/>
          <w:sz w:val="24"/>
          <w:szCs w:val="24"/>
        </w:rPr>
        <w:t xml:space="preserve">  </w:t>
      </w:r>
    </w:p>
    <w:p w14:paraId="265AA738" w14:textId="77777777" w:rsidR="00EE54D0" w:rsidRPr="00BC4758" w:rsidRDefault="00EE54D0" w:rsidP="00EE54D0">
      <w:pPr>
        <w:spacing w:before="240" w:line="480" w:lineRule="auto"/>
        <w:jc w:val="both"/>
        <w:rPr>
          <w:rFonts w:ascii="Times New Roman" w:eastAsia="SimSun" w:hAnsi="Times New Roman" w:cs="Times New Roman"/>
          <w:sz w:val="24"/>
          <w:szCs w:val="24"/>
        </w:rPr>
      </w:pPr>
      <w:r w:rsidRPr="00BC4758">
        <w:rPr>
          <w:rFonts w:ascii="Times New Roman" w:eastAsia="SimSun" w:hAnsi="Times New Roman" w:cs="Times New Roman"/>
          <w:sz w:val="24"/>
          <w:szCs w:val="24"/>
        </w:rPr>
        <w:t xml:space="preserve">N </w:t>
      </w:r>
      <w:r w:rsidRPr="00BC4758">
        <w:rPr>
          <w:rFonts w:ascii="Times New Roman" w:hAnsi="Times New Roman" w:cs="Times New Roman"/>
          <w:sz w:val="24"/>
          <w:szCs w:val="24"/>
        </w:rPr>
        <w:t>= 25.7  ̴  N = 26</w:t>
      </w:r>
    </w:p>
    <w:p w14:paraId="7ECDE715" w14:textId="77777777" w:rsidR="00EE54D0" w:rsidRPr="00BC4758" w:rsidRDefault="00EE54D0" w:rsidP="00EE54D0">
      <w:pPr>
        <w:spacing w:before="240" w:line="480" w:lineRule="auto"/>
        <w:jc w:val="both"/>
        <w:rPr>
          <w:rFonts w:ascii="Times New Roman" w:eastAsia="SimSun" w:hAnsi="Times New Roman" w:cs="Times New Roman"/>
          <w:b/>
          <w:sz w:val="24"/>
          <w:szCs w:val="24"/>
        </w:rPr>
      </w:pPr>
      <w:r w:rsidRPr="00BC4758">
        <w:rPr>
          <w:rFonts w:ascii="Times New Roman" w:eastAsia="SimSun" w:hAnsi="Times New Roman" w:cs="Times New Roman"/>
          <w:sz w:val="24"/>
          <w:szCs w:val="24"/>
        </w:rPr>
        <w:t>N = 26 minimum sample sizes</w:t>
      </w:r>
    </w:p>
    <w:p w14:paraId="3C27055E" w14:textId="77777777" w:rsidR="00EE54D0" w:rsidRPr="00BC4758" w:rsidRDefault="00EE54D0" w:rsidP="00EE54D0">
      <w:pPr>
        <w:spacing w:before="240" w:line="480" w:lineRule="auto"/>
        <w:jc w:val="both"/>
        <w:rPr>
          <w:rFonts w:ascii="Times New Roman" w:eastAsia="SimSun" w:hAnsi="Times New Roman" w:cs="Times New Roman"/>
          <w:b/>
          <w:sz w:val="24"/>
          <w:szCs w:val="24"/>
        </w:rPr>
      </w:pPr>
      <w:r w:rsidRPr="00BC4758">
        <w:rPr>
          <w:rFonts w:ascii="Times New Roman" w:eastAsia="SimSun" w:hAnsi="Times New Roman" w:cs="Times New Roman"/>
          <w:sz w:val="24"/>
          <w:szCs w:val="24"/>
        </w:rPr>
        <w:t xml:space="preserve">60 subjects were used for this study; 30 subjects served as control subjects while the other 30 </w:t>
      </w:r>
      <w:r w:rsidR="00C43F7B" w:rsidRPr="00BC4758">
        <w:rPr>
          <w:rFonts w:ascii="Times New Roman" w:eastAsia="SimSun" w:hAnsi="Times New Roman" w:cs="Times New Roman"/>
          <w:sz w:val="24"/>
          <w:szCs w:val="24"/>
        </w:rPr>
        <w:t xml:space="preserve">type 2 diabetic </w:t>
      </w:r>
      <w:r w:rsidRPr="00BC4758">
        <w:rPr>
          <w:rFonts w:ascii="Times New Roman" w:eastAsia="SimSun" w:hAnsi="Times New Roman" w:cs="Times New Roman"/>
          <w:sz w:val="24"/>
          <w:szCs w:val="24"/>
        </w:rPr>
        <w:t>male patients served as the test group.</w:t>
      </w:r>
    </w:p>
    <w:p w14:paraId="4005C0FD" w14:textId="77777777" w:rsidR="00C43F7B" w:rsidRPr="00BC4758" w:rsidRDefault="00C43F7B" w:rsidP="00C43F7B">
      <w:pPr>
        <w:spacing w:before="240" w:line="480" w:lineRule="auto"/>
        <w:jc w:val="both"/>
        <w:rPr>
          <w:rFonts w:ascii="Times New Roman" w:eastAsia="SimSun" w:hAnsi="Times New Roman" w:cs="Times New Roman"/>
          <w:b/>
          <w:sz w:val="24"/>
          <w:szCs w:val="24"/>
        </w:rPr>
      </w:pPr>
    </w:p>
    <w:p w14:paraId="37C97B95" w14:textId="77777777" w:rsidR="00C43F7B" w:rsidRPr="00BC4758" w:rsidRDefault="00C43F7B" w:rsidP="00C43F7B">
      <w:pPr>
        <w:spacing w:before="240" w:line="480" w:lineRule="auto"/>
        <w:jc w:val="both"/>
        <w:rPr>
          <w:rFonts w:ascii="Times New Roman" w:eastAsia="SimSun" w:hAnsi="Times New Roman" w:cs="Times New Roman"/>
          <w:b/>
          <w:sz w:val="24"/>
          <w:szCs w:val="24"/>
        </w:rPr>
      </w:pPr>
      <w:r w:rsidRPr="00BC4758">
        <w:rPr>
          <w:rFonts w:ascii="Times New Roman" w:eastAsia="SimSun" w:hAnsi="Times New Roman" w:cs="Times New Roman"/>
          <w:b/>
          <w:sz w:val="24"/>
          <w:szCs w:val="24"/>
        </w:rPr>
        <w:t>Inclusion Criteria</w:t>
      </w:r>
    </w:p>
    <w:p w14:paraId="4796DC85" w14:textId="77777777" w:rsidR="00C43F7B" w:rsidRPr="00BC4758" w:rsidRDefault="00C43F7B" w:rsidP="00C43F7B">
      <w:pPr>
        <w:spacing w:before="240" w:line="480" w:lineRule="auto"/>
        <w:jc w:val="both"/>
        <w:rPr>
          <w:rFonts w:ascii="Times New Roman" w:eastAsia="SimSun" w:hAnsi="Times New Roman" w:cs="Times New Roman"/>
          <w:b/>
          <w:sz w:val="24"/>
          <w:szCs w:val="24"/>
        </w:rPr>
      </w:pPr>
      <w:r w:rsidRPr="00BC4758">
        <w:rPr>
          <w:rFonts w:ascii="Times New Roman" w:eastAsia="SimSun" w:hAnsi="Times New Roman" w:cs="Times New Roman"/>
          <w:sz w:val="24"/>
          <w:szCs w:val="24"/>
        </w:rPr>
        <w:t>The study included male subjects who were up to the age of 18 and above (those with and without diabetes mellitus). Those with T2DM served as the test group while subjects without diabetes mellitus which served as controls.</w:t>
      </w:r>
    </w:p>
    <w:p w14:paraId="6F009B9A" w14:textId="77777777" w:rsidR="001E14BB" w:rsidRDefault="001E14BB" w:rsidP="00C43F7B">
      <w:pPr>
        <w:spacing w:before="240" w:line="480" w:lineRule="auto"/>
        <w:jc w:val="both"/>
        <w:rPr>
          <w:rFonts w:ascii="Times New Roman" w:eastAsia="SimSun" w:hAnsi="Times New Roman" w:cs="Times New Roman"/>
          <w:b/>
          <w:sz w:val="24"/>
          <w:szCs w:val="24"/>
        </w:rPr>
      </w:pPr>
    </w:p>
    <w:p w14:paraId="0196A88C" w14:textId="6ED4A666" w:rsidR="00C43F7B" w:rsidRPr="00BC4758" w:rsidRDefault="00C43F7B" w:rsidP="00C43F7B">
      <w:pPr>
        <w:spacing w:before="240" w:line="480" w:lineRule="auto"/>
        <w:jc w:val="both"/>
        <w:rPr>
          <w:rFonts w:ascii="Times New Roman" w:eastAsia="SimSun" w:hAnsi="Times New Roman" w:cs="Times New Roman"/>
          <w:b/>
          <w:sz w:val="24"/>
          <w:szCs w:val="24"/>
        </w:rPr>
      </w:pPr>
      <w:r w:rsidRPr="00BC4758">
        <w:rPr>
          <w:rFonts w:ascii="Times New Roman" w:eastAsia="SimSun" w:hAnsi="Times New Roman" w:cs="Times New Roman"/>
          <w:b/>
          <w:sz w:val="24"/>
          <w:szCs w:val="24"/>
        </w:rPr>
        <w:lastRenderedPageBreak/>
        <w:t>Exclusion Criteria</w:t>
      </w:r>
    </w:p>
    <w:p w14:paraId="0BCCA841" w14:textId="77777777" w:rsidR="00C43F7B" w:rsidRPr="00BC4758" w:rsidRDefault="00C43F7B" w:rsidP="00C43F7B">
      <w:pPr>
        <w:pStyle w:val="ListParagraph"/>
        <w:numPr>
          <w:ilvl w:val="0"/>
          <w:numId w:val="4"/>
        </w:numPr>
        <w:spacing w:before="240" w:line="480" w:lineRule="auto"/>
        <w:jc w:val="both"/>
        <w:rPr>
          <w:rFonts w:ascii="Times New Roman" w:eastAsia="SimSun" w:hAnsi="Times New Roman" w:cs="Times New Roman"/>
          <w:sz w:val="24"/>
          <w:szCs w:val="24"/>
        </w:rPr>
      </w:pPr>
      <w:r w:rsidRPr="00BC4758">
        <w:rPr>
          <w:rFonts w:ascii="Times New Roman" w:eastAsia="SimSun" w:hAnsi="Times New Roman" w:cs="Times New Roman"/>
          <w:sz w:val="24"/>
          <w:szCs w:val="24"/>
        </w:rPr>
        <w:t xml:space="preserve">The study excluded subjects that were below the age of 18, male subjects with or without diabetes mellitus and other forms of diabetes mellitus. </w:t>
      </w:r>
    </w:p>
    <w:p w14:paraId="455F6B3A" w14:textId="77777777" w:rsidR="00C43F7B" w:rsidRPr="00BC4758" w:rsidRDefault="00C43F7B" w:rsidP="00C43F7B">
      <w:pPr>
        <w:pStyle w:val="ListParagraph"/>
        <w:numPr>
          <w:ilvl w:val="0"/>
          <w:numId w:val="4"/>
        </w:numPr>
        <w:spacing w:before="240" w:line="480" w:lineRule="auto"/>
        <w:jc w:val="both"/>
        <w:rPr>
          <w:rFonts w:ascii="Times New Roman" w:eastAsia="SimSun" w:hAnsi="Times New Roman" w:cs="Times New Roman"/>
          <w:sz w:val="24"/>
          <w:szCs w:val="24"/>
        </w:rPr>
      </w:pPr>
      <w:r w:rsidRPr="00BC4758">
        <w:rPr>
          <w:rFonts w:ascii="Times New Roman" w:eastAsia="SimSun" w:hAnsi="Times New Roman" w:cs="Times New Roman"/>
          <w:sz w:val="24"/>
          <w:szCs w:val="24"/>
        </w:rPr>
        <w:t xml:space="preserve">Individuals with </w:t>
      </w:r>
      <w:r w:rsidRPr="00BC4758">
        <w:rPr>
          <w:rFonts w:ascii="Times New Roman" w:hAnsi="Times New Roman" w:cs="Times New Roman"/>
          <w:sz w:val="24"/>
          <w:szCs w:val="24"/>
        </w:rPr>
        <w:t xml:space="preserve">chronic inflammatory diseases, autoimmune disorders (e.g., rheumatoid arthritis), chronic infections (e.g., HIV, hepatitis), active malignancies, obesity, etc </w:t>
      </w:r>
      <w:r w:rsidR="00366790" w:rsidRPr="00BC4758">
        <w:rPr>
          <w:rFonts w:ascii="Times New Roman" w:hAnsi="Times New Roman" w:cs="Times New Roman"/>
          <w:sz w:val="24"/>
          <w:szCs w:val="24"/>
        </w:rPr>
        <w:t xml:space="preserve">as well as active smokers </w:t>
      </w:r>
      <w:r w:rsidRPr="00BC4758">
        <w:rPr>
          <w:rFonts w:ascii="Times New Roman" w:eastAsia="SimSun" w:hAnsi="Times New Roman" w:cs="Times New Roman"/>
          <w:sz w:val="24"/>
          <w:szCs w:val="24"/>
        </w:rPr>
        <w:t xml:space="preserve">were excluded from the study. </w:t>
      </w:r>
    </w:p>
    <w:p w14:paraId="78A17C73" w14:textId="77777777" w:rsidR="00C43F7B" w:rsidRPr="00BC4758" w:rsidRDefault="00C43F7B" w:rsidP="00366790">
      <w:pPr>
        <w:pStyle w:val="ListParagraph"/>
        <w:numPr>
          <w:ilvl w:val="0"/>
          <w:numId w:val="4"/>
        </w:numPr>
        <w:spacing w:line="480" w:lineRule="auto"/>
        <w:jc w:val="both"/>
        <w:rPr>
          <w:rFonts w:ascii="Times New Roman" w:hAnsi="Times New Roman" w:cs="Times New Roman"/>
          <w:sz w:val="24"/>
          <w:szCs w:val="24"/>
        </w:rPr>
      </w:pPr>
      <w:r w:rsidRPr="00BC4758">
        <w:rPr>
          <w:rFonts w:ascii="Times New Roman" w:hAnsi="Times New Roman" w:cs="Times New Roman"/>
          <w:sz w:val="24"/>
          <w:szCs w:val="24"/>
        </w:rPr>
        <w:t>Use of corticosteroids or nonsteroidal anti-inflammatory drugs (NSAIDs) within the past six months was also an exclusion criterion due to their potential immunomodulatory effects.</w:t>
      </w:r>
    </w:p>
    <w:p w14:paraId="66305158" w14:textId="77777777" w:rsidR="0075068F" w:rsidRPr="00BC4758" w:rsidRDefault="0075068F" w:rsidP="0075068F">
      <w:pPr>
        <w:pStyle w:val="Heading2"/>
        <w:spacing w:line="480" w:lineRule="auto"/>
        <w:rPr>
          <w:rFonts w:ascii="Times New Roman" w:hAnsi="Times New Roman" w:cs="Times New Roman"/>
          <w:b/>
          <w:color w:val="auto"/>
          <w:sz w:val="24"/>
          <w:szCs w:val="24"/>
        </w:rPr>
      </w:pPr>
      <w:bookmarkStart w:id="4" w:name="_Toc191404490"/>
      <w:r w:rsidRPr="00BC4758">
        <w:rPr>
          <w:rFonts w:ascii="Times New Roman" w:hAnsi="Times New Roman" w:cs="Times New Roman"/>
          <w:b/>
          <w:color w:val="auto"/>
          <w:sz w:val="24"/>
          <w:szCs w:val="24"/>
        </w:rPr>
        <w:t>Ethical Considerations</w:t>
      </w:r>
      <w:bookmarkEnd w:id="4"/>
    </w:p>
    <w:p w14:paraId="2A881448" w14:textId="0D2BE74D" w:rsidR="0075068F" w:rsidRPr="00BC4758" w:rsidRDefault="0075068F" w:rsidP="001E14BB">
      <w:pPr>
        <w:spacing w:line="48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The study adhered to ethical guidelines outlined in the Declaration of Helsinki (Puri </w:t>
      </w:r>
      <w:r w:rsidRPr="00BC4758">
        <w:rPr>
          <w:rFonts w:ascii="Times New Roman" w:hAnsi="Times New Roman" w:cs="Times New Roman"/>
          <w:i/>
          <w:iCs/>
          <w:sz w:val="24"/>
          <w:szCs w:val="24"/>
        </w:rPr>
        <w:t>et al</w:t>
      </w:r>
      <w:r w:rsidRPr="00BC4758">
        <w:rPr>
          <w:rFonts w:ascii="Times New Roman" w:hAnsi="Times New Roman" w:cs="Times New Roman"/>
          <w:sz w:val="24"/>
          <w:szCs w:val="24"/>
        </w:rPr>
        <w:t>., 2009). Ethical approval was obtained from the Ethics Committee of the Federal Medical Centre Asaba, Delta State, Nigeria. All participants provided informed consent before enrollment. Confidentiality was strictly maintained, and participants were assigned unique identification numbers to anonymize data. No financial compensation was provided to participants to minimize coercion. Participants had the right to withdraw at any stage without consequences.</w:t>
      </w:r>
      <w:r w:rsidRPr="00BC4758">
        <w:rPr>
          <w:rFonts w:ascii="Times New Roman" w:hAnsi="Times New Roman" w:cs="Times New Roman"/>
          <w:b/>
          <w:bCs/>
          <w:sz w:val="24"/>
          <w:szCs w:val="24"/>
        </w:rPr>
        <w:t xml:space="preserve"> </w:t>
      </w:r>
    </w:p>
    <w:p w14:paraId="417EE4D9" w14:textId="77777777" w:rsidR="0082432D" w:rsidRPr="00BC4758" w:rsidRDefault="0082432D" w:rsidP="0082432D">
      <w:pPr>
        <w:pStyle w:val="Heading2"/>
        <w:spacing w:line="480" w:lineRule="auto"/>
        <w:rPr>
          <w:rFonts w:ascii="Times New Roman" w:hAnsi="Times New Roman" w:cs="Times New Roman"/>
          <w:b/>
          <w:color w:val="auto"/>
          <w:sz w:val="24"/>
          <w:szCs w:val="24"/>
        </w:rPr>
      </w:pPr>
      <w:bookmarkStart w:id="5" w:name="_Toc191404485"/>
      <w:bookmarkEnd w:id="3"/>
      <w:r w:rsidRPr="00BC4758">
        <w:rPr>
          <w:rFonts w:ascii="Times New Roman" w:hAnsi="Times New Roman" w:cs="Times New Roman"/>
          <w:b/>
          <w:color w:val="auto"/>
          <w:sz w:val="24"/>
          <w:szCs w:val="24"/>
        </w:rPr>
        <w:t>Informed Consent</w:t>
      </w:r>
      <w:bookmarkEnd w:id="5"/>
    </w:p>
    <w:p w14:paraId="3C1E38BE" w14:textId="77777777" w:rsidR="0082432D" w:rsidRPr="00BC4758" w:rsidRDefault="0082432D" w:rsidP="0082432D">
      <w:pPr>
        <w:spacing w:line="480" w:lineRule="auto"/>
        <w:jc w:val="both"/>
        <w:rPr>
          <w:rFonts w:ascii="Times New Roman" w:hAnsi="Times New Roman" w:cs="Times New Roman"/>
          <w:sz w:val="24"/>
          <w:szCs w:val="24"/>
        </w:rPr>
      </w:pPr>
      <w:r w:rsidRPr="00BC4758">
        <w:rPr>
          <w:rFonts w:ascii="Times New Roman" w:hAnsi="Times New Roman" w:cs="Times New Roman"/>
          <w:sz w:val="24"/>
          <w:szCs w:val="24"/>
        </w:rPr>
        <w:t>Prior to participation, informed consent was obtained from all subjects. Each participant completed a questionnaire designed to capture relevant demographic and clinical information.</w:t>
      </w:r>
    </w:p>
    <w:p w14:paraId="6E7397AE" w14:textId="77777777" w:rsidR="0082432D" w:rsidRPr="00BC4758" w:rsidRDefault="0082432D" w:rsidP="0082432D">
      <w:pPr>
        <w:pStyle w:val="Heading2"/>
        <w:spacing w:line="480" w:lineRule="auto"/>
        <w:rPr>
          <w:rFonts w:ascii="Times New Roman" w:hAnsi="Times New Roman" w:cs="Times New Roman"/>
          <w:b/>
          <w:color w:val="auto"/>
          <w:sz w:val="24"/>
          <w:szCs w:val="24"/>
        </w:rPr>
      </w:pPr>
      <w:bookmarkStart w:id="6" w:name="_Toc191404487"/>
      <w:r w:rsidRPr="00BC4758">
        <w:rPr>
          <w:rFonts w:ascii="Times New Roman" w:hAnsi="Times New Roman" w:cs="Times New Roman"/>
          <w:b/>
          <w:color w:val="auto"/>
          <w:sz w:val="24"/>
          <w:szCs w:val="24"/>
        </w:rPr>
        <w:t>Sample Collection and Handling</w:t>
      </w:r>
      <w:bookmarkEnd w:id="6"/>
    </w:p>
    <w:p w14:paraId="638ED310" w14:textId="5F918D17" w:rsidR="0082432D" w:rsidRPr="00BC4758" w:rsidRDefault="001E4787" w:rsidP="0082432D">
      <w:pPr>
        <w:spacing w:line="480" w:lineRule="auto"/>
        <w:jc w:val="both"/>
        <w:rPr>
          <w:rFonts w:ascii="Times New Roman" w:hAnsi="Times New Roman" w:cs="Times New Roman"/>
          <w:sz w:val="24"/>
          <w:szCs w:val="24"/>
        </w:rPr>
      </w:pPr>
      <w:r w:rsidRPr="001E4787">
        <w:rPr>
          <w:rFonts w:ascii="Times New Roman" w:hAnsi="Times New Roman" w:cs="Times New Roman"/>
          <w:sz w:val="24"/>
          <w:szCs w:val="24"/>
          <w:highlight w:val="green"/>
        </w:rPr>
        <w:t>Fasting v</w:t>
      </w:r>
      <w:r w:rsidR="0082432D" w:rsidRPr="001E4787">
        <w:rPr>
          <w:rFonts w:ascii="Times New Roman" w:hAnsi="Times New Roman" w:cs="Times New Roman"/>
          <w:sz w:val="24"/>
          <w:szCs w:val="24"/>
          <w:highlight w:val="green"/>
        </w:rPr>
        <w:t>enous</w:t>
      </w:r>
      <w:r w:rsidR="0082432D" w:rsidRPr="00BC4758">
        <w:rPr>
          <w:rFonts w:ascii="Times New Roman" w:hAnsi="Times New Roman" w:cs="Times New Roman"/>
          <w:sz w:val="24"/>
          <w:szCs w:val="24"/>
        </w:rPr>
        <w:t xml:space="preserve"> blood samples (5 mL) were collected using standard venepuncture techniques and dispensed into plain tubes. Proper sample handling procedures were implemented to prevent </w:t>
      </w:r>
      <w:r w:rsidR="0082432D" w:rsidRPr="00BC4758">
        <w:rPr>
          <w:rFonts w:ascii="Times New Roman" w:hAnsi="Times New Roman" w:cs="Times New Roman"/>
          <w:sz w:val="24"/>
          <w:szCs w:val="24"/>
        </w:rPr>
        <w:lastRenderedPageBreak/>
        <w:t>biomarker degradation. Samples were immediately placed on ice and centrifuged at 3000 rpm for 10 minutes within one hour of collection to separate serum. Aliquots were stored at −20°C until analysis to preserve biomarker st</w:t>
      </w:r>
      <w:r w:rsidR="0015589E" w:rsidRPr="00BC4758">
        <w:rPr>
          <w:rFonts w:ascii="Times New Roman" w:hAnsi="Times New Roman" w:cs="Times New Roman"/>
          <w:sz w:val="24"/>
          <w:szCs w:val="24"/>
        </w:rPr>
        <w:t xml:space="preserve">ability and prevent degradation. </w:t>
      </w:r>
      <w:r w:rsidR="0082432D" w:rsidRPr="00BC4758">
        <w:rPr>
          <w:rFonts w:ascii="Times New Roman" w:hAnsi="Times New Roman" w:cs="Times New Roman"/>
          <w:sz w:val="24"/>
          <w:szCs w:val="24"/>
        </w:rPr>
        <w:t>Quality control measures included the use of positive and negative controls, adherence to manufacturer protocols, and strict compliance with standard operating procedures</w:t>
      </w:r>
      <w:r w:rsidR="0015589E" w:rsidRPr="00BC4758">
        <w:rPr>
          <w:rFonts w:ascii="Times New Roman" w:hAnsi="Times New Roman" w:cs="Times New Roman"/>
          <w:sz w:val="24"/>
          <w:szCs w:val="24"/>
        </w:rPr>
        <w:t>.</w:t>
      </w:r>
      <w:r w:rsidR="0082432D" w:rsidRPr="00BC4758">
        <w:rPr>
          <w:rFonts w:ascii="Times New Roman" w:hAnsi="Times New Roman" w:cs="Times New Roman"/>
          <w:sz w:val="24"/>
          <w:szCs w:val="24"/>
        </w:rPr>
        <w:t xml:space="preserve"> </w:t>
      </w:r>
    </w:p>
    <w:p w14:paraId="7943F988" w14:textId="77777777" w:rsidR="00CA5281" w:rsidRPr="00BC4758" w:rsidRDefault="00CA5281" w:rsidP="00CA5281">
      <w:pPr>
        <w:spacing w:before="240" w:line="480" w:lineRule="auto"/>
        <w:jc w:val="both"/>
        <w:rPr>
          <w:rFonts w:ascii="Times New Roman" w:eastAsia="SimSun" w:hAnsi="Times New Roman" w:cs="Times New Roman"/>
          <w:b/>
          <w:sz w:val="24"/>
          <w:szCs w:val="24"/>
        </w:rPr>
      </w:pPr>
      <w:bookmarkStart w:id="7" w:name="_Toc191404488"/>
      <w:r w:rsidRPr="00BC4758">
        <w:rPr>
          <w:rFonts w:ascii="Times New Roman" w:eastAsia="SimSun" w:hAnsi="Times New Roman" w:cs="Times New Roman"/>
          <w:b/>
          <w:sz w:val="24"/>
          <w:szCs w:val="24"/>
        </w:rPr>
        <w:t>Determination of Cytokine Levels Tumor necrosis factor-alpha (TNF-α)</w:t>
      </w:r>
    </w:p>
    <w:p w14:paraId="3FC8C5C0" w14:textId="22C6826A" w:rsidR="00CA5281" w:rsidRPr="00BC4758" w:rsidRDefault="00CA5281" w:rsidP="00CA5281">
      <w:pPr>
        <w:spacing w:line="480" w:lineRule="auto"/>
        <w:jc w:val="both"/>
        <w:rPr>
          <w:rFonts w:ascii="Times New Roman" w:hAnsi="Times New Roman" w:cs="Times New Roman"/>
          <w:b/>
          <w:sz w:val="24"/>
          <w:szCs w:val="24"/>
        </w:rPr>
      </w:pPr>
      <w:r w:rsidRPr="00BC4758">
        <w:rPr>
          <w:rFonts w:ascii="Times New Roman" w:eastAsia="SimSun" w:hAnsi="Times New Roman" w:cs="Times New Roman"/>
          <w:sz w:val="24"/>
          <w:szCs w:val="24"/>
        </w:rPr>
        <w:t xml:space="preserve">The </w:t>
      </w:r>
      <w:r w:rsidRPr="00BC4758">
        <w:rPr>
          <w:rFonts w:ascii="Times New Roman" w:hAnsi="Times New Roman" w:cs="Times New Roman"/>
          <w:sz w:val="24"/>
          <w:szCs w:val="24"/>
        </w:rPr>
        <w:t xml:space="preserve">sandwich </w:t>
      </w:r>
      <w:r w:rsidRPr="00BC4758">
        <w:rPr>
          <w:rFonts w:ascii="Times New Roman" w:eastAsia="SimSun" w:hAnsi="Times New Roman" w:cs="Times New Roman"/>
          <w:sz w:val="24"/>
          <w:szCs w:val="24"/>
        </w:rPr>
        <w:t xml:space="preserve">enzyme linked immunosorbent assay </w:t>
      </w:r>
      <w:r w:rsidRPr="00BC4758">
        <w:rPr>
          <w:rFonts w:ascii="Times New Roman" w:hAnsi="Times New Roman" w:cs="Times New Roman"/>
          <w:sz w:val="24"/>
          <w:szCs w:val="24"/>
        </w:rPr>
        <w:t xml:space="preserve">(sandwich-ELISA) method was used for the determination of </w:t>
      </w:r>
      <w:r w:rsidRPr="001E14BB">
        <w:rPr>
          <w:rFonts w:ascii="Times New Roman" w:eastAsia="SimSun" w:hAnsi="Times New Roman" w:cs="Times New Roman"/>
          <w:sz w:val="24"/>
          <w:szCs w:val="24"/>
          <w:highlight w:val="green"/>
        </w:rPr>
        <w:t>tum</w:t>
      </w:r>
      <w:r w:rsidR="001E14BB" w:rsidRPr="001E14BB">
        <w:rPr>
          <w:rFonts w:ascii="Times New Roman" w:eastAsia="SimSun" w:hAnsi="Times New Roman" w:cs="Times New Roman"/>
          <w:sz w:val="24"/>
          <w:szCs w:val="24"/>
          <w:highlight w:val="green"/>
        </w:rPr>
        <w:t>or necrosis factor-alpha</w:t>
      </w:r>
      <w:r w:rsidRPr="001E14BB">
        <w:rPr>
          <w:rFonts w:ascii="Times New Roman" w:eastAsia="SimSun" w:hAnsi="Times New Roman" w:cs="Times New Roman"/>
          <w:sz w:val="24"/>
          <w:szCs w:val="24"/>
          <w:highlight w:val="green"/>
        </w:rPr>
        <w:t xml:space="preserve"> and </w:t>
      </w:r>
      <w:r w:rsidR="001E14BB" w:rsidRPr="001E14BB">
        <w:rPr>
          <w:rFonts w:ascii="Times New Roman" w:hAnsi="Times New Roman" w:cs="Times New Roman"/>
          <w:sz w:val="24"/>
          <w:szCs w:val="24"/>
          <w:highlight w:val="green"/>
        </w:rPr>
        <w:t xml:space="preserve">interleukin-10 </w:t>
      </w:r>
      <w:r w:rsidRPr="001E14BB">
        <w:rPr>
          <w:rFonts w:ascii="Times New Roman" w:hAnsi="Times New Roman" w:cs="Times New Roman"/>
          <w:sz w:val="24"/>
          <w:szCs w:val="24"/>
          <w:highlight w:val="green"/>
        </w:rPr>
        <w:t xml:space="preserve"> levels</w:t>
      </w:r>
      <w:r w:rsidRPr="00BC4758">
        <w:rPr>
          <w:rFonts w:ascii="Times New Roman" w:hAnsi="Times New Roman" w:cs="Times New Roman"/>
          <w:sz w:val="24"/>
          <w:szCs w:val="24"/>
        </w:rPr>
        <w:t xml:space="preserve"> in the participants’ sera. </w:t>
      </w:r>
    </w:p>
    <w:p w14:paraId="14572D98" w14:textId="77777777" w:rsidR="00CA5281" w:rsidRPr="00BC4758" w:rsidRDefault="00CA5281" w:rsidP="00CA5281">
      <w:pPr>
        <w:spacing w:line="480" w:lineRule="auto"/>
        <w:jc w:val="both"/>
        <w:rPr>
          <w:rFonts w:ascii="Times New Roman" w:hAnsi="Times New Roman" w:cs="Times New Roman"/>
          <w:b/>
          <w:sz w:val="24"/>
          <w:szCs w:val="24"/>
        </w:rPr>
      </w:pPr>
      <w:r w:rsidRPr="00BC4758">
        <w:rPr>
          <w:rFonts w:ascii="Times New Roman" w:hAnsi="Times New Roman" w:cs="Times New Roman"/>
          <w:b/>
          <w:sz w:val="24"/>
          <w:szCs w:val="24"/>
        </w:rPr>
        <w:t>Estimation of Serum Albumin</w:t>
      </w:r>
    </w:p>
    <w:p w14:paraId="6F7CE7B3" w14:textId="77777777" w:rsidR="00CA5281" w:rsidRPr="00BC4758" w:rsidRDefault="00CA5281" w:rsidP="00CA5281">
      <w:pPr>
        <w:spacing w:line="480" w:lineRule="auto"/>
        <w:jc w:val="both"/>
        <w:rPr>
          <w:rFonts w:ascii="Times New Roman" w:hAnsi="Times New Roman" w:cs="Times New Roman"/>
          <w:b/>
          <w:sz w:val="24"/>
          <w:szCs w:val="24"/>
        </w:rPr>
      </w:pPr>
      <w:r w:rsidRPr="00BC4758">
        <w:rPr>
          <w:rFonts w:ascii="Times New Roman" w:hAnsi="Times New Roman" w:cs="Times New Roman"/>
          <w:sz w:val="24"/>
          <w:szCs w:val="24"/>
        </w:rPr>
        <w:t xml:space="preserve">This was determined using the Bromocresol green method (BCG), as described by Doumas and Watson (1971) and cited by Okpogba </w:t>
      </w:r>
      <w:r w:rsidRPr="00BC4758">
        <w:rPr>
          <w:rFonts w:ascii="Times New Roman" w:hAnsi="Times New Roman" w:cs="Times New Roman"/>
          <w:i/>
          <w:sz w:val="24"/>
          <w:szCs w:val="24"/>
        </w:rPr>
        <w:t>et al</w:t>
      </w:r>
      <w:r w:rsidRPr="00BC4758">
        <w:rPr>
          <w:rFonts w:ascii="Times New Roman" w:hAnsi="Times New Roman" w:cs="Times New Roman"/>
          <w:sz w:val="24"/>
          <w:szCs w:val="24"/>
        </w:rPr>
        <w:t>. (2021).</w:t>
      </w:r>
    </w:p>
    <w:p w14:paraId="25D1A2CF" w14:textId="77777777" w:rsidR="00CA5281" w:rsidRPr="00BC4758" w:rsidRDefault="00CA5281" w:rsidP="00CA5281">
      <w:pPr>
        <w:spacing w:line="480" w:lineRule="auto"/>
        <w:jc w:val="both"/>
        <w:rPr>
          <w:rFonts w:ascii="Times New Roman" w:eastAsia="SimSun" w:hAnsi="Times New Roman" w:cs="Times New Roman"/>
          <w:b/>
          <w:sz w:val="24"/>
          <w:szCs w:val="24"/>
        </w:rPr>
      </w:pPr>
      <w:r w:rsidRPr="00BC4758">
        <w:rPr>
          <w:rFonts w:ascii="Times New Roman" w:eastAsia="SimSun" w:hAnsi="Times New Roman" w:cs="Times New Roman"/>
          <w:b/>
          <w:sz w:val="24"/>
          <w:szCs w:val="24"/>
        </w:rPr>
        <w:t>Statistical Analysis</w:t>
      </w:r>
    </w:p>
    <w:p w14:paraId="491ED65B" w14:textId="4740EBFD" w:rsidR="00A77EBB" w:rsidRPr="00A77EBB" w:rsidRDefault="00CA5281" w:rsidP="00A77EBB">
      <w:pPr>
        <w:spacing w:line="480" w:lineRule="auto"/>
        <w:jc w:val="both"/>
        <w:rPr>
          <w:rFonts w:ascii="Times New Roman" w:eastAsia="SimSun" w:hAnsi="Times New Roman" w:cs="Times New Roman"/>
          <w:sz w:val="24"/>
          <w:szCs w:val="24"/>
        </w:rPr>
      </w:pPr>
      <w:r w:rsidRPr="00A77EBB">
        <w:rPr>
          <w:rFonts w:ascii="Times New Roman" w:hAnsi="Times New Roman" w:cs="Times New Roman"/>
          <w:sz w:val="24"/>
          <w:szCs w:val="24"/>
          <w:highlight w:val="green"/>
        </w:rPr>
        <w:t xml:space="preserve">Data were analyzed using IBM SPSS Statistics (version 25.0) </w:t>
      </w:r>
      <w:r w:rsidRPr="00A77EBB">
        <w:rPr>
          <w:rFonts w:ascii="Times New Roman" w:eastAsia="SimSun" w:hAnsi="Times New Roman" w:cs="Times New Roman"/>
          <w:sz w:val="24"/>
          <w:szCs w:val="24"/>
          <w:highlight w:val="green"/>
        </w:rPr>
        <w:t xml:space="preserve">and presented using mean </w:t>
      </w:r>
      <m:oMath>
        <m:r>
          <m:rPr>
            <m:sty m:val="bi"/>
          </m:rPr>
          <w:rPr>
            <w:rFonts w:ascii="Cambria Math" w:eastAsia="SimSun" w:hAnsi="Cambria Math" w:cs="Times New Roman"/>
            <w:sz w:val="24"/>
            <w:szCs w:val="24"/>
            <w:highlight w:val="green"/>
          </w:rPr>
          <m:t>±</m:t>
        </m:r>
      </m:oMath>
      <w:r w:rsidRPr="00A77EBB">
        <w:rPr>
          <w:rFonts w:ascii="Times New Roman" w:eastAsia="SimSun" w:hAnsi="Times New Roman" w:cs="Times New Roman"/>
          <w:sz w:val="24"/>
          <w:szCs w:val="24"/>
          <w:highlight w:val="green"/>
        </w:rPr>
        <w:t xml:space="preserve"> standard deviation. </w:t>
      </w:r>
      <w:r w:rsidR="00A77EBB">
        <w:rPr>
          <w:rFonts w:ascii="Times New Roman" w:hAnsi="Times New Roman" w:cs="Times New Roman"/>
          <w:sz w:val="24"/>
          <w:szCs w:val="24"/>
          <w:highlight w:val="green"/>
        </w:rPr>
        <w:t xml:space="preserve">For </w:t>
      </w:r>
      <w:r w:rsidR="00A77EBB" w:rsidRPr="00A77EBB">
        <w:rPr>
          <w:rFonts w:ascii="Times New Roman" w:hAnsi="Times New Roman" w:cs="Times New Roman"/>
          <w:sz w:val="24"/>
          <w:szCs w:val="24"/>
          <w:highlight w:val="green"/>
        </w:rPr>
        <w:t>comparison of continuous variables and testing associations of biomarkers with others,</w:t>
      </w:r>
      <w:r w:rsidR="00A77EBB" w:rsidRPr="00A77EBB">
        <w:rPr>
          <w:rFonts w:ascii="Times New Roman" w:hAnsi="Times New Roman" w:cs="Times New Roman"/>
          <w:sz w:val="24"/>
          <w:szCs w:val="24"/>
          <w:highlight w:val="green"/>
        </w:rPr>
        <w:t xml:space="preserve"> </w:t>
      </w:r>
      <w:r w:rsidR="00A77EBB" w:rsidRPr="00A77EBB">
        <w:rPr>
          <w:rFonts w:ascii="Times New Roman" w:hAnsi="Times New Roman" w:cs="Times New Roman"/>
          <w:sz w:val="24"/>
          <w:szCs w:val="24"/>
          <w:highlight w:val="green"/>
        </w:rPr>
        <w:t>we have used t-tests and Pe</w:t>
      </w:r>
      <w:r w:rsidR="00A77EBB">
        <w:rPr>
          <w:rFonts w:ascii="Times New Roman" w:hAnsi="Times New Roman" w:cs="Times New Roman"/>
          <w:sz w:val="24"/>
          <w:szCs w:val="24"/>
          <w:highlight w:val="green"/>
        </w:rPr>
        <w:t>arson analysis</w:t>
      </w:r>
      <w:r w:rsidR="00A77EBB" w:rsidRPr="00A77EBB">
        <w:rPr>
          <w:rFonts w:ascii="Times New Roman" w:hAnsi="Times New Roman" w:cs="Times New Roman"/>
          <w:sz w:val="24"/>
          <w:szCs w:val="24"/>
          <w:highlight w:val="green"/>
        </w:rPr>
        <w:t> </w:t>
      </w:r>
      <w:r w:rsidR="00A77EBB" w:rsidRPr="00A77EBB">
        <w:rPr>
          <w:rFonts w:ascii="Times New Roman" w:hAnsi="Times New Roman" w:cs="Times New Roman"/>
          <w:sz w:val="24"/>
          <w:szCs w:val="24"/>
          <w:highlight w:val="green"/>
        </w:rPr>
        <w:t>respectively.</w:t>
      </w:r>
      <w:r w:rsidR="00A77EBB">
        <w:rPr>
          <w:rFonts w:ascii="Times New Roman" w:hAnsi="Times New Roman" w:cs="Times New Roman"/>
          <w:sz w:val="24"/>
          <w:szCs w:val="24"/>
          <w:highlight w:val="green"/>
        </w:rPr>
        <w:t xml:space="preserve"> Significance was</w:t>
      </w:r>
      <w:r w:rsidR="00A77EBB" w:rsidRPr="00A77EBB">
        <w:rPr>
          <w:rFonts w:ascii="Times New Roman" w:hAnsi="Times New Roman" w:cs="Times New Roman"/>
          <w:sz w:val="24"/>
          <w:szCs w:val="24"/>
          <w:highlight w:val="green"/>
        </w:rPr>
        <w:t xml:space="preserve"> as</w:t>
      </w:r>
      <w:r w:rsidR="00A77EBB">
        <w:rPr>
          <w:rFonts w:ascii="Times New Roman" w:hAnsi="Times New Roman" w:cs="Times New Roman"/>
          <w:sz w:val="24"/>
          <w:szCs w:val="24"/>
          <w:highlight w:val="green"/>
        </w:rPr>
        <w:t xml:space="preserve">sumed </w:t>
      </w:r>
      <w:r w:rsidR="00A77EBB">
        <w:rPr>
          <w:rFonts w:ascii="Times New Roman" w:hAnsi="Times New Roman" w:cs="Times New Roman"/>
          <w:sz w:val="24"/>
          <w:szCs w:val="24"/>
          <w:highlight w:val="green"/>
        </w:rPr>
        <w:t xml:space="preserve">at </w:t>
      </w:r>
      <w:r w:rsidR="00A77EBB" w:rsidRPr="00A77EBB">
        <w:rPr>
          <w:rFonts w:ascii="Times New Roman" w:hAnsi="Times New Roman" w:cs="Times New Roman"/>
          <w:sz w:val="24"/>
          <w:szCs w:val="24"/>
          <w:highlight w:val="green"/>
        </w:rPr>
        <w:t>p</w:t>
      </w:r>
      <w:r w:rsidR="00A77EBB" w:rsidRPr="00A77EBB">
        <w:rPr>
          <w:rFonts w:ascii="Times New Roman" w:hAnsi="Times New Roman" w:cs="Times New Roman"/>
          <w:sz w:val="24"/>
          <w:szCs w:val="24"/>
          <w:highlight w:val="green"/>
        </w:rPr>
        <w:t> </w:t>
      </w:r>
      <w:r w:rsidR="00A77EBB" w:rsidRPr="00A77EBB">
        <w:rPr>
          <w:rFonts w:ascii="Times New Roman" w:hAnsi="Times New Roman" w:cs="Times New Roman"/>
          <w:sz w:val="24"/>
          <w:szCs w:val="24"/>
          <w:highlight w:val="green"/>
        </w:rPr>
        <w:t>&lt; 0.05.</w:t>
      </w:r>
    </w:p>
    <w:p w14:paraId="4D50F416" w14:textId="77777777" w:rsidR="00ED5755" w:rsidRPr="00BC4758" w:rsidRDefault="00ED5755" w:rsidP="00ED5755">
      <w:pPr>
        <w:spacing w:line="480" w:lineRule="auto"/>
        <w:jc w:val="both"/>
        <w:rPr>
          <w:rFonts w:ascii="Times New Roman" w:hAnsi="Times New Roman" w:cs="Times New Roman"/>
          <w:b/>
          <w:sz w:val="24"/>
          <w:szCs w:val="24"/>
        </w:rPr>
      </w:pPr>
      <w:r w:rsidRPr="00BC4758">
        <w:rPr>
          <w:rFonts w:ascii="Times New Roman" w:hAnsi="Times New Roman" w:cs="Times New Roman"/>
          <w:b/>
          <w:sz w:val="24"/>
          <w:szCs w:val="24"/>
        </w:rPr>
        <w:t>RESULTS</w:t>
      </w:r>
    </w:p>
    <w:p w14:paraId="35B0CA6E" w14:textId="5B3E21F4" w:rsidR="00ED5755" w:rsidRPr="00BC4758" w:rsidRDefault="001D5E74" w:rsidP="00BA42A9">
      <w:pPr>
        <w:spacing w:line="48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The analysis of the cytokine levels (TNF-α and </w:t>
      </w:r>
      <w:r w:rsidRPr="00BC4758">
        <w:rPr>
          <w:rFonts w:ascii="Times New Roman" w:hAnsi="Times New Roman" w:cs="Times New Roman"/>
          <w:sz w:val="24"/>
          <w:szCs w:val="24"/>
        </w:rPr>
        <w:tab/>
        <w:t>IL-10) revealed significant differences between the test and control groups. The mean concentration</w:t>
      </w:r>
      <w:r w:rsidR="001E14BB">
        <w:rPr>
          <w:rFonts w:ascii="Times New Roman" w:hAnsi="Times New Roman" w:cs="Times New Roman"/>
          <w:sz w:val="24"/>
          <w:szCs w:val="24"/>
        </w:rPr>
        <w:t xml:space="preserve"> of </w:t>
      </w:r>
      <w:r w:rsidR="001E14BB" w:rsidRPr="001E14BB">
        <w:rPr>
          <w:rFonts w:ascii="Times New Roman" w:hAnsi="Times New Roman" w:cs="Times New Roman"/>
          <w:sz w:val="24"/>
          <w:szCs w:val="24"/>
          <w:highlight w:val="green"/>
        </w:rPr>
        <w:t>tumor necrosis factor-alpha</w:t>
      </w:r>
      <w:r w:rsidRPr="00BC4758">
        <w:rPr>
          <w:rFonts w:ascii="Times New Roman" w:hAnsi="Times New Roman" w:cs="Times New Roman"/>
          <w:sz w:val="24"/>
          <w:szCs w:val="24"/>
        </w:rPr>
        <w:t xml:space="preserve"> was significantly elevated in the male T2DM patients test group (</w:t>
      </w:r>
      <w:r w:rsidR="00BA42A9" w:rsidRPr="00BC4758">
        <w:rPr>
          <w:rFonts w:ascii="Times New Roman" w:hAnsi="Times New Roman" w:cs="Times New Roman"/>
        </w:rPr>
        <w:t xml:space="preserve">53.97 ± 10.22 Vs 15.11 ± 2.82; </w:t>
      </w:r>
      <w:r w:rsidRPr="00BC4758">
        <w:rPr>
          <w:rFonts w:ascii="Times New Roman" w:hAnsi="Times New Roman" w:cs="Times New Roman"/>
          <w:sz w:val="24"/>
          <w:szCs w:val="24"/>
        </w:rPr>
        <w:t>p &lt; 0.001), suggesting a heightened inflammatory response in ind</w:t>
      </w:r>
      <w:r w:rsidR="00BA42A9" w:rsidRPr="00BC4758">
        <w:rPr>
          <w:rFonts w:ascii="Times New Roman" w:hAnsi="Times New Roman" w:cs="Times New Roman"/>
          <w:sz w:val="24"/>
          <w:szCs w:val="24"/>
        </w:rPr>
        <w:t>ividuals diagnosed with T2DM</w:t>
      </w:r>
      <w:r w:rsidRPr="00BC4758">
        <w:rPr>
          <w:rFonts w:ascii="Times New Roman" w:hAnsi="Times New Roman" w:cs="Times New Roman"/>
          <w:sz w:val="24"/>
          <w:szCs w:val="24"/>
        </w:rPr>
        <w:t xml:space="preserve">. </w:t>
      </w:r>
      <w:r w:rsidRPr="00BC4758">
        <w:rPr>
          <w:rFonts w:ascii="Times New Roman" w:hAnsi="Times New Roman" w:cs="Times New Roman"/>
          <w:sz w:val="24"/>
          <w:szCs w:val="24"/>
        </w:rPr>
        <w:lastRenderedPageBreak/>
        <w:t xml:space="preserve">Similarly, the mean </w:t>
      </w:r>
      <w:r w:rsidR="00BA42A9" w:rsidRPr="00BC4758">
        <w:rPr>
          <w:rFonts w:ascii="Times New Roman" w:hAnsi="Times New Roman" w:cs="Times New Roman"/>
          <w:sz w:val="24"/>
          <w:szCs w:val="24"/>
        </w:rPr>
        <w:t>serum level of IL-10</w:t>
      </w:r>
      <w:r w:rsidRPr="00BC4758">
        <w:rPr>
          <w:rFonts w:ascii="Times New Roman" w:hAnsi="Times New Roman" w:cs="Times New Roman"/>
          <w:sz w:val="24"/>
          <w:szCs w:val="24"/>
        </w:rPr>
        <w:t xml:space="preserve"> was significantly higher in the test group than in the control group (</w:t>
      </w:r>
      <w:r w:rsidR="00BA42A9" w:rsidRPr="00BC4758">
        <w:rPr>
          <w:rFonts w:ascii="Times New Roman" w:hAnsi="Times New Roman" w:cs="Times New Roman"/>
        </w:rPr>
        <w:t xml:space="preserve">17.07 ± 1.42 Vs 4.12 ± 0.88; </w:t>
      </w:r>
      <w:r w:rsidRPr="00BC4758">
        <w:rPr>
          <w:rFonts w:ascii="Times New Roman" w:hAnsi="Times New Roman" w:cs="Times New Roman"/>
          <w:sz w:val="24"/>
          <w:szCs w:val="24"/>
        </w:rPr>
        <w:t xml:space="preserve">p &lt; 0.001), indicating a potential compensatory anti-inflammatory mechanism in </w:t>
      </w:r>
      <w:r w:rsidR="00BA42A9" w:rsidRPr="00BC4758">
        <w:rPr>
          <w:rFonts w:ascii="Times New Roman" w:hAnsi="Times New Roman" w:cs="Times New Roman"/>
          <w:sz w:val="24"/>
          <w:szCs w:val="24"/>
        </w:rPr>
        <w:t xml:space="preserve">the male T2DM patients. </w:t>
      </w:r>
      <w:r w:rsidRPr="00BC4758">
        <w:rPr>
          <w:rFonts w:ascii="Times New Roman" w:hAnsi="Times New Roman" w:cs="Times New Roman"/>
          <w:sz w:val="24"/>
          <w:szCs w:val="24"/>
        </w:rPr>
        <w:t xml:space="preserve">Conversely, no significant difference in </w:t>
      </w:r>
      <w:r w:rsidR="00BA42A9" w:rsidRPr="00BC4758">
        <w:rPr>
          <w:rFonts w:ascii="Times New Roman" w:hAnsi="Times New Roman" w:cs="Times New Roman"/>
          <w:sz w:val="24"/>
          <w:szCs w:val="24"/>
        </w:rPr>
        <w:t xml:space="preserve">serum albumin level </w:t>
      </w:r>
      <w:r w:rsidRPr="00BC4758">
        <w:rPr>
          <w:rFonts w:ascii="Times New Roman" w:hAnsi="Times New Roman" w:cs="Times New Roman"/>
          <w:sz w:val="24"/>
          <w:szCs w:val="24"/>
        </w:rPr>
        <w:t>was observed between the test and</w:t>
      </w:r>
      <w:r w:rsidR="00BA42A9" w:rsidRPr="00BC4758">
        <w:rPr>
          <w:rFonts w:ascii="Times New Roman" w:hAnsi="Times New Roman" w:cs="Times New Roman"/>
          <w:sz w:val="24"/>
          <w:szCs w:val="24"/>
        </w:rPr>
        <w:t xml:space="preserve"> control groups (p = 0.267)</w:t>
      </w:r>
      <w:r w:rsidRPr="00BC4758">
        <w:rPr>
          <w:rFonts w:ascii="Times New Roman" w:hAnsi="Times New Roman" w:cs="Times New Roman"/>
          <w:sz w:val="24"/>
          <w:szCs w:val="24"/>
        </w:rPr>
        <w:t>. Furtherm</w:t>
      </w:r>
      <w:r w:rsidR="00BA42A9" w:rsidRPr="00BC4758">
        <w:rPr>
          <w:rFonts w:ascii="Times New Roman" w:hAnsi="Times New Roman" w:cs="Times New Roman"/>
          <w:sz w:val="24"/>
          <w:szCs w:val="24"/>
        </w:rPr>
        <w:t xml:space="preserve">ore, the test group exhibited no </w:t>
      </w:r>
      <w:r w:rsidRPr="00BC4758">
        <w:rPr>
          <w:rFonts w:ascii="Times New Roman" w:hAnsi="Times New Roman" w:cs="Times New Roman"/>
          <w:sz w:val="24"/>
          <w:szCs w:val="24"/>
        </w:rPr>
        <w:t>significant</w:t>
      </w:r>
      <w:r w:rsidR="00BA42A9" w:rsidRPr="00BC4758">
        <w:rPr>
          <w:rFonts w:ascii="Times New Roman" w:hAnsi="Times New Roman" w:cs="Times New Roman"/>
          <w:sz w:val="24"/>
          <w:szCs w:val="24"/>
        </w:rPr>
        <w:t xml:space="preserve"> differences in the mean</w:t>
      </w:r>
      <w:r w:rsidRPr="00BC4758">
        <w:rPr>
          <w:rFonts w:ascii="Times New Roman" w:hAnsi="Times New Roman" w:cs="Times New Roman"/>
          <w:sz w:val="24"/>
          <w:szCs w:val="24"/>
        </w:rPr>
        <w:t xml:space="preserve"> age compared to the control group (</w:t>
      </w:r>
      <w:r w:rsidR="00BA42A9" w:rsidRPr="00BC4758">
        <w:rPr>
          <w:rFonts w:ascii="Times New Roman" w:hAnsi="Times New Roman" w:cs="Times New Roman"/>
          <w:sz w:val="24"/>
          <w:szCs w:val="24"/>
        </w:rPr>
        <w:t xml:space="preserve">p = 0.705). (See table 1). </w:t>
      </w:r>
    </w:p>
    <w:p w14:paraId="5A52C104" w14:textId="77777777" w:rsidR="001D5E74" w:rsidRPr="00BC4758" w:rsidRDefault="001D5E74" w:rsidP="001D5E74">
      <w:pPr>
        <w:spacing w:line="480" w:lineRule="auto"/>
        <w:jc w:val="both"/>
        <w:rPr>
          <w:rFonts w:ascii="Times New Roman" w:hAnsi="Times New Roman" w:cs="Times New Roman"/>
          <w:sz w:val="24"/>
          <w:szCs w:val="24"/>
        </w:rPr>
      </w:pPr>
      <w:r w:rsidRPr="00BC4758">
        <w:rPr>
          <w:rFonts w:ascii="Times New Roman" w:hAnsi="Times New Roman" w:cs="Times New Roman"/>
          <w:b/>
          <w:bCs/>
          <w:sz w:val="24"/>
          <w:szCs w:val="24"/>
        </w:rPr>
        <w:t>Table 1: Comparison of TNF-α, IL-10, Albumin, and Mean Age Between Test (male T2DM patients) and Control Groups</w:t>
      </w:r>
    </w:p>
    <w:tbl>
      <w:tblPr>
        <w:tblW w:w="0" w:type="auto"/>
        <w:tblCellSpacing w:w="15" w:type="dxa"/>
        <w:tblBorders>
          <w:top w:val="single" w:sz="12" w:space="0" w:color="auto"/>
          <w:bottom w:val="single" w:sz="12" w:space="0" w:color="auto"/>
        </w:tblBorders>
        <w:tblCellMar>
          <w:top w:w="15" w:type="dxa"/>
          <w:left w:w="15" w:type="dxa"/>
          <w:bottom w:w="15" w:type="dxa"/>
          <w:right w:w="15" w:type="dxa"/>
        </w:tblCellMar>
        <w:tblLook w:val="04A0" w:firstRow="1" w:lastRow="0" w:firstColumn="1" w:lastColumn="0" w:noHBand="0" w:noVBand="1"/>
      </w:tblPr>
      <w:tblGrid>
        <w:gridCol w:w="1731"/>
        <w:gridCol w:w="2669"/>
        <w:gridCol w:w="3005"/>
        <w:gridCol w:w="940"/>
        <w:gridCol w:w="1015"/>
      </w:tblGrid>
      <w:tr w:rsidR="001D5E74" w:rsidRPr="00BC4758" w14:paraId="1DFD484E" w14:textId="77777777" w:rsidTr="00D27528">
        <w:trPr>
          <w:tblHeader/>
          <w:tblCellSpacing w:w="15" w:type="dxa"/>
        </w:trPr>
        <w:tc>
          <w:tcPr>
            <w:tcW w:w="0" w:type="auto"/>
            <w:tcBorders>
              <w:top w:val="nil"/>
              <w:bottom w:val="single" w:sz="12" w:space="0" w:color="auto"/>
            </w:tcBorders>
            <w:vAlign w:val="center"/>
            <w:hideMark/>
          </w:tcPr>
          <w:p w14:paraId="33C3953D" w14:textId="77777777" w:rsidR="001D5E74" w:rsidRPr="00BC4758" w:rsidRDefault="001D5E74" w:rsidP="00EC06EA">
            <w:pPr>
              <w:pStyle w:val="TOC2"/>
            </w:pPr>
            <w:r w:rsidRPr="00BC4758">
              <w:t>Variables</w:t>
            </w:r>
          </w:p>
        </w:tc>
        <w:tc>
          <w:tcPr>
            <w:tcW w:w="0" w:type="auto"/>
            <w:tcBorders>
              <w:top w:val="nil"/>
              <w:bottom w:val="single" w:sz="12" w:space="0" w:color="auto"/>
            </w:tcBorders>
            <w:vAlign w:val="center"/>
            <w:hideMark/>
          </w:tcPr>
          <w:p w14:paraId="71411661" w14:textId="77777777" w:rsidR="001D5E74" w:rsidRPr="00BC4758" w:rsidRDefault="001D5E74" w:rsidP="00EC06EA">
            <w:pPr>
              <w:pStyle w:val="TOC2"/>
            </w:pPr>
            <w:r w:rsidRPr="00BC4758">
              <w:t>Test Group (Mean ± SD)</w:t>
            </w:r>
          </w:p>
        </w:tc>
        <w:tc>
          <w:tcPr>
            <w:tcW w:w="0" w:type="auto"/>
            <w:tcBorders>
              <w:top w:val="nil"/>
              <w:bottom w:val="single" w:sz="12" w:space="0" w:color="auto"/>
            </w:tcBorders>
            <w:vAlign w:val="center"/>
            <w:hideMark/>
          </w:tcPr>
          <w:p w14:paraId="6904838B" w14:textId="77777777" w:rsidR="001D5E74" w:rsidRPr="00BC4758" w:rsidRDefault="001D5E74" w:rsidP="00EC06EA">
            <w:pPr>
              <w:pStyle w:val="TOC2"/>
            </w:pPr>
            <w:r w:rsidRPr="00BC4758">
              <w:t>Control Group (Mean ± SD)</w:t>
            </w:r>
          </w:p>
        </w:tc>
        <w:tc>
          <w:tcPr>
            <w:tcW w:w="0" w:type="auto"/>
            <w:tcBorders>
              <w:top w:val="nil"/>
              <w:bottom w:val="single" w:sz="12" w:space="0" w:color="auto"/>
            </w:tcBorders>
            <w:vAlign w:val="center"/>
            <w:hideMark/>
          </w:tcPr>
          <w:p w14:paraId="6D375285" w14:textId="77777777" w:rsidR="001D5E74" w:rsidRPr="00BC4758" w:rsidRDefault="001D5E74" w:rsidP="00EC06EA">
            <w:pPr>
              <w:pStyle w:val="TOC2"/>
            </w:pPr>
            <w:r w:rsidRPr="00BC4758">
              <w:t>t-test</w:t>
            </w:r>
          </w:p>
        </w:tc>
        <w:tc>
          <w:tcPr>
            <w:tcW w:w="0" w:type="auto"/>
            <w:tcBorders>
              <w:top w:val="nil"/>
              <w:bottom w:val="single" w:sz="12" w:space="0" w:color="auto"/>
            </w:tcBorders>
            <w:vAlign w:val="center"/>
            <w:hideMark/>
          </w:tcPr>
          <w:p w14:paraId="7E65AF26" w14:textId="77777777" w:rsidR="001D5E74" w:rsidRPr="00BC4758" w:rsidRDefault="001D5E74" w:rsidP="00EC06EA">
            <w:pPr>
              <w:pStyle w:val="TOC2"/>
            </w:pPr>
            <w:r w:rsidRPr="00BC4758">
              <w:t>p-value</w:t>
            </w:r>
          </w:p>
        </w:tc>
      </w:tr>
      <w:tr w:rsidR="001D5E74" w:rsidRPr="00BC4758" w14:paraId="43A1AF38" w14:textId="77777777" w:rsidTr="00D27528">
        <w:trPr>
          <w:tblCellSpacing w:w="15" w:type="dxa"/>
        </w:trPr>
        <w:tc>
          <w:tcPr>
            <w:tcW w:w="0" w:type="auto"/>
            <w:vAlign w:val="center"/>
            <w:hideMark/>
          </w:tcPr>
          <w:p w14:paraId="18CBA9C9" w14:textId="77777777" w:rsidR="001D5E74" w:rsidRPr="00BC4758" w:rsidRDefault="001D5E74" w:rsidP="00EC06EA">
            <w:pPr>
              <w:pStyle w:val="TOC2"/>
            </w:pPr>
            <w:r w:rsidRPr="00BC4758">
              <w:t>TNF-α (pg/ml)</w:t>
            </w:r>
          </w:p>
        </w:tc>
        <w:tc>
          <w:tcPr>
            <w:tcW w:w="0" w:type="auto"/>
            <w:vAlign w:val="center"/>
            <w:hideMark/>
          </w:tcPr>
          <w:p w14:paraId="583D4881" w14:textId="77777777" w:rsidR="001D5E74" w:rsidRPr="00BC4758" w:rsidRDefault="001D5E74" w:rsidP="00EC06EA">
            <w:pPr>
              <w:pStyle w:val="TOC2"/>
            </w:pPr>
            <w:r w:rsidRPr="00BC4758">
              <w:t>53.97 ± 10.22</w:t>
            </w:r>
          </w:p>
        </w:tc>
        <w:tc>
          <w:tcPr>
            <w:tcW w:w="0" w:type="auto"/>
            <w:vAlign w:val="center"/>
            <w:hideMark/>
          </w:tcPr>
          <w:p w14:paraId="42135774" w14:textId="77777777" w:rsidR="001D5E74" w:rsidRPr="00BC4758" w:rsidRDefault="001D5E74" w:rsidP="00EC06EA">
            <w:pPr>
              <w:pStyle w:val="TOC2"/>
            </w:pPr>
            <w:r w:rsidRPr="00BC4758">
              <w:t>15.11 ± 2.82</w:t>
            </w:r>
          </w:p>
        </w:tc>
        <w:tc>
          <w:tcPr>
            <w:tcW w:w="0" w:type="auto"/>
            <w:vAlign w:val="center"/>
            <w:hideMark/>
          </w:tcPr>
          <w:p w14:paraId="7B0EC7C4" w14:textId="77777777" w:rsidR="001D5E74" w:rsidRPr="00BC4758" w:rsidRDefault="001D5E74" w:rsidP="00EC06EA">
            <w:pPr>
              <w:pStyle w:val="TOC2"/>
            </w:pPr>
            <w:r w:rsidRPr="00BC4758">
              <w:t>17.216</w:t>
            </w:r>
          </w:p>
        </w:tc>
        <w:tc>
          <w:tcPr>
            <w:tcW w:w="0" w:type="auto"/>
            <w:vAlign w:val="center"/>
            <w:hideMark/>
          </w:tcPr>
          <w:p w14:paraId="0112A71D" w14:textId="77777777" w:rsidR="001D5E74" w:rsidRPr="00BC4758" w:rsidRDefault="001D5E74" w:rsidP="00EC06EA">
            <w:pPr>
              <w:pStyle w:val="TOC2"/>
            </w:pPr>
            <w:r w:rsidRPr="00BC4758">
              <w:t>&lt;0.001</w:t>
            </w:r>
          </w:p>
        </w:tc>
      </w:tr>
      <w:tr w:rsidR="001D5E74" w:rsidRPr="00BC4758" w14:paraId="1991FEEF" w14:textId="77777777" w:rsidTr="00D27528">
        <w:trPr>
          <w:tblCellSpacing w:w="15" w:type="dxa"/>
        </w:trPr>
        <w:tc>
          <w:tcPr>
            <w:tcW w:w="0" w:type="auto"/>
            <w:vAlign w:val="center"/>
            <w:hideMark/>
          </w:tcPr>
          <w:p w14:paraId="2CCBCD37" w14:textId="77777777" w:rsidR="001D5E74" w:rsidRPr="00BC4758" w:rsidRDefault="001D5E74" w:rsidP="00EC06EA">
            <w:pPr>
              <w:pStyle w:val="TOC2"/>
            </w:pPr>
            <w:r w:rsidRPr="00BC4758">
              <w:t>IL-10 (pg/ml)</w:t>
            </w:r>
          </w:p>
        </w:tc>
        <w:tc>
          <w:tcPr>
            <w:tcW w:w="0" w:type="auto"/>
            <w:vAlign w:val="center"/>
            <w:hideMark/>
          </w:tcPr>
          <w:p w14:paraId="218C7C11" w14:textId="77777777" w:rsidR="001D5E74" w:rsidRPr="00BC4758" w:rsidRDefault="001D5E74" w:rsidP="00EC06EA">
            <w:pPr>
              <w:pStyle w:val="TOC2"/>
            </w:pPr>
            <w:r w:rsidRPr="00BC4758">
              <w:t>17.07 ± 1.42</w:t>
            </w:r>
          </w:p>
        </w:tc>
        <w:tc>
          <w:tcPr>
            <w:tcW w:w="0" w:type="auto"/>
            <w:vAlign w:val="center"/>
            <w:hideMark/>
          </w:tcPr>
          <w:p w14:paraId="25805DC9" w14:textId="77777777" w:rsidR="001D5E74" w:rsidRPr="00BC4758" w:rsidRDefault="001D5E74" w:rsidP="00EC06EA">
            <w:pPr>
              <w:pStyle w:val="TOC2"/>
            </w:pPr>
            <w:r w:rsidRPr="00BC4758">
              <w:t>4.12 ± 0.88</w:t>
            </w:r>
          </w:p>
        </w:tc>
        <w:tc>
          <w:tcPr>
            <w:tcW w:w="0" w:type="auto"/>
            <w:vAlign w:val="center"/>
            <w:hideMark/>
          </w:tcPr>
          <w:p w14:paraId="489AB80B" w14:textId="77777777" w:rsidR="001D5E74" w:rsidRPr="00BC4758" w:rsidRDefault="001D5E74" w:rsidP="00EC06EA">
            <w:pPr>
              <w:pStyle w:val="TOC2"/>
            </w:pPr>
            <w:r w:rsidRPr="00BC4758">
              <w:t>36.662</w:t>
            </w:r>
          </w:p>
        </w:tc>
        <w:tc>
          <w:tcPr>
            <w:tcW w:w="0" w:type="auto"/>
            <w:vAlign w:val="center"/>
            <w:hideMark/>
          </w:tcPr>
          <w:p w14:paraId="72935788" w14:textId="77777777" w:rsidR="001D5E74" w:rsidRPr="00BC4758" w:rsidRDefault="001D5E74" w:rsidP="00EC06EA">
            <w:pPr>
              <w:pStyle w:val="TOC2"/>
            </w:pPr>
            <w:r w:rsidRPr="00BC4758">
              <w:t>&lt;0.001</w:t>
            </w:r>
          </w:p>
        </w:tc>
      </w:tr>
      <w:tr w:rsidR="001D5E74" w:rsidRPr="00BC4758" w14:paraId="4DAF3E15" w14:textId="77777777" w:rsidTr="00D27528">
        <w:trPr>
          <w:tblCellSpacing w:w="15" w:type="dxa"/>
        </w:trPr>
        <w:tc>
          <w:tcPr>
            <w:tcW w:w="0" w:type="auto"/>
            <w:vAlign w:val="center"/>
            <w:hideMark/>
          </w:tcPr>
          <w:p w14:paraId="10EDDA7D" w14:textId="77777777" w:rsidR="001D5E74" w:rsidRPr="00BC4758" w:rsidRDefault="001D5E74" w:rsidP="00EC06EA">
            <w:pPr>
              <w:pStyle w:val="TOC2"/>
            </w:pPr>
            <w:r w:rsidRPr="00BC4758">
              <w:t>Albumin (g/L)</w:t>
            </w:r>
          </w:p>
        </w:tc>
        <w:tc>
          <w:tcPr>
            <w:tcW w:w="0" w:type="auto"/>
            <w:vAlign w:val="center"/>
            <w:hideMark/>
          </w:tcPr>
          <w:p w14:paraId="0FE3A1B7" w14:textId="77777777" w:rsidR="001D5E74" w:rsidRPr="00BC4758" w:rsidRDefault="001D5E74" w:rsidP="00EC06EA">
            <w:pPr>
              <w:pStyle w:val="TOC2"/>
            </w:pPr>
            <w:r w:rsidRPr="00BC4758">
              <w:t>34.52 ± 5.43</w:t>
            </w:r>
          </w:p>
        </w:tc>
        <w:tc>
          <w:tcPr>
            <w:tcW w:w="0" w:type="auto"/>
            <w:vAlign w:val="center"/>
            <w:hideMark/>
          </w:tcPr>
          <w:p w14:paraId="2ABF94B7" w14:textId="77777777" w:rsidR="001D5E74" w:rsidRPr="00BC4758" w:rsidRDefault="001D5E74" w:rsidP="00EC06EA">
            <w:pPr>
              <w:pStyle w:val="TOC2"/>
            </w:pPr>
            <w:r w:rsidRPr="00BC4758">
              <w:t>36.14 ± 4.07</w:t>
            </w:r>
          </w:p>
        </w:tc>
        <w:tc>
          <w:tcPr>
            <w:tcW w:w="0" w:type="auto"/>
            <w:vAlign w:val="center"/>
            <w:hideMark/>
          </w:tcPr>
          <w:p w14:paraId="12B902E8" w14:textId="77777777" w:rsidR="001D5E74" w:rsidRPr="00BC4758" w:rsidRDefault="001D5E74" w:rsidP="00EC06EA">
            <w:pPr>
              <w:pStyle w:val="TOC2"/>
            </w:pPr>
            <w:r w:rsidRPr="00BC4758">
              <w:t>-1.124</w:t>
            </w:r>
          </w:p>
        </w:tc>
        <w:tc>
          <w:tcPr>
            <w:tcW w:w="0" w:type="auto"/>
            <w:vAlign w:val="center"/>
            <w:hideMark/>
          </w:tcPr>
          <w:p w14:paraId="5EB12A43" w14:textId="77777777" w:rsidR="001D5E74" w:rsidRPr="00BC4758" w:rsidRDefault="001D5E74" w:rsidP="00EC06EA">
            <w:pPr>
              <w:pStyle w:val="TOC2"/>
            </w:pPr>
            <w:r w:rsidRPr="00BC4758">
              <w:t>0.267</w:t>
            </w:r>
          </w:p>
        </w:tc>
      </w:tr>
      <w:tr w:rsidR="001D5E74" w:rsidRPr="00BC4758" w14:paraId="5BFDDDD8" w14:textId="77777777" w:rsidTr="00D27528">
        <w:trPr>
          <w:tblCellSpacing w:w="15" w:type="dxa"/>
        </w:trPr>
        <w:tc>
          <w:tcPr>
            <w:tcW w:w="0" w:type="auto"/>
            <w:vAlign w:val="center"/>
            <w:hideMark/>
          </w:tcPr>
          <w:p w14:paraId="56ED7B20" w14:textId="77777777" w:rsidR="001D5E74" w:rsidRPr="00BC4758" w:rsidRDefault="001D5E74" w:rsidP="00EC06EA">
            <w:pPr>
              <w:pStyle w:val="TOC2"/>
            </w:pPr>
            <w:r w:rsidRPr="00BC4758">
              <w:t>Age (years)</w:t>
            </w:r>
          </w:p>
        </w:tc>
        <w:tc>
          <w:tcPr>
            <w:tcW w:w="0" w:type="auto"/>
            <w:vAlign w:val="center"/>
            <w:hideMark/>
          </w:tcPr>
          <w:p w14:paraId="6F99701C" w14:textId="77777777" w:rsidR="001D5E74" w:rsidRPr="00BC4758" w:rsidRDefault="00BA42A9" w:rsidP="00EC06EA">
            <w:pPr>
              <w:pStyle w:val="TOC2"/>
            </w:pPr>
            <w:r w:rsidRPr="00BC4758">
              <w:t>56.09 ± 4</w:t>
            </w:r>
            <w:r w:rsidR="001D5E74" w:rsidRPr="00BC4758">
              <w:t>.32</w:t>
            </w:r>
          </w:p>
        </w:tc>
        <w:tc>
          <w:tcPr>
            <w:tcW w:w="0" w:type="auto"/>
            <w:vAlign w:val="center"/>
            <w:hideMark/>
          </w:tcPr>
          <w:p w14:paraId="6C6EDB2E" w14:textId="77777777" w:rsidR="001D5E74" w:rsidRPr="00BC4758" w:rsidRDefault="00BA42A9" w:rsidP="00EC06EA">
            <w:pPr>
              <w:pStyle w:val="TOC2"/>
            </w:pPr>
            <w:r w:rsidRPr="00BC4758">
              <w:t>54.86 ± 3</w:t>
            </w:r>
            <w:r w:rsidR="001D5E74" w:rsidRPr="00BC4758">
              <w:t>.25</w:t>
            </w:r>
          </w:p>
        </w:tc>
        <w:tc>
          <w:tcPr>
            <w:tcW w:w="0" w:type="auto"/>
            <w:vAlign w:val="center"/>
            <w:hideMark/>
          </w:tcPr>
          <w:p w14:paraId="73DB5B09" w14:textId="77777777" w:rsidR="001D5E74" w:rsidRPr="00BC4758" w:rsidRDefault="00BA42A9" w:rsidP="00EC06EA">
            <w:pPr>
              <w:pStyle w:val="TOC2"/>
            </w:pPr>
            <w:r w:rsidRPr="00BC4758">
              <w:t>0.968</w:t>
            </w:r>
          </w:p>
        </w:tc>
        <w:tc>
          <w:tcPr>
            <w:tcW w:w="0" w:type="auto"/>
            <w:vAlign w:val="center"/>
            <w:hideMark/>
          </w:tcPr>
          <w:p w14:paraId="414054B1" w14:textId="77777777" w:rsidR="001D5E74" w:rsidRPr="00BC4758" w:rsidRDefault="00BA42A9" w:rsidP="00EC06EA">
            <w:pPr>
              <w:pStyle w:val="TOC2"/>
            </w:pPr>
            <w:r w:rsidRPr="00BC4758">
              <w:t>0.705</w:t>
            </w:r>
          </w:p>
        </w:tc>
      </w:tr>
    </w:tbl>
    <w:p w14:paraId="3534959D" w14:textId="618E724E" w:rsidR="00ED5755" w:rsidRPr="00BC4758" w:rsidRDefault="00ED5755" w:rsidP="00FE33B1">
      <w:pPr>
        <w:jc w:val="both"/>
        <w:rPr>
          <w:rFonts w:ascii="Times New Roman" w:hAnsi="Times New Roman" w:cs="Times New Roman"/>
          <w:b/>
          <w:i/>
          <w:iCs/>
          <w:sz w:val="24"/>
          <w:szCs w:val="24"/>
        </w:rPr>
      </w:pPr>
      <w:r w:rsidRPr="00BC4758">
        <w:rPr>
          <w:rFonts w:ascii="Times New Roman" w:hAnsi="Times New Roman" w:cs="Times New Roman"/>
          <w:sz w:val="24"/>
          <w:szCs w:val="24"/>
        </w:rPr>
        <w:t xml:space="preserve">* </w:t>
      </w:r>
      <w:r w:rsidRPr="00351567">
        <w:rPr>
          <w:rFonts w:ascii="Times New Roman" w:hAnsi="Times New Roman" w:cs="Times New Roman"/>
          <w:i/>
          <w:iCs/>
          <w:sz w:val="24"/>
          <w:szCs w:val="24"/>
          <w:highlight w:val="green"/>
        </w:rPr>
        <w:t>Statistica</w:t>
      </w:r>
      <w:r w:rsidR="00351567" w:rsidRPr="00351567">
        <w:rPr>
          <w:rFonts w:ascii="Times New Roman" w:hAnsi="Times New Roman" w:cs="Times New Roman"/>
          <w:i/>
          <w:iCs/>
          <w:sz w:val="24"/>
          <w:szCs w:val="24"/>
          <w:highlight w:val="green"/>
        </w:rPr>
        <w:t>l</w:t>
      </w:r>
      <w:r w:rsidRPr="00351567">
        <w:rPr>
          <w:rFonts w:ascii="Times New Roman" w:hAnsi="Times New Roman" w:cs="Times New Roman"/>
          <w:i/>
          <w:iCs/>
          <w:sz w:val="24"/>
          <w:szCs w:val="24"/>
          <w:highlight w:val="green"/>
        </w:rPr>
        <w:t>l</w:t>
      </w:r>
      <w:r w:rsidR="00351567" w:rsidRPr="00351567">
        <w:rPr>
          <w:rFonts w:ascii="Times New Roman" w:hAnsi="Times New Roman" w:cs="Times New Roman"/>
          <w:i/>
          <w:iCs/>
          <w:sz w:val="24"/>
          <w:szCs w:val="24"/>
          <w:highlight w:val="green"/>
        </w:rPr>
        <w:t>y significant</w:t>
      </w:r>
      <w:r w:rsidRPr="00351567">
        <w:rPr>
          <w:rFonts w:ascii="Times New Roman" w:hAnsi="Times New Roman" w:cs="Times New Roman"/>
          <w:i/>
          <w:iCs/>
          <w:sz w:val="24"/>
          <w:szCs w:val="24"/>
          <w:highlight w:val="green"/>
        </w:rPr>
        <w:t xml:space="preserve"> at p &lt; 0.05</w:t>
      </w:r>
      <w:r w:rsidR="00351567">
        <w:rPr>
          <w:rFonts w:ascii="Times New Roman" w:hAnsi="Times New Roman" w:cs="Times New Roman"/>
          <w:i/>
          <w:iCs/>
          <w:sz w:val="24"/>
          <w:szCs w:val="24"/>
        </w:rPr>
        <w:t xml:space="preserve">; </w:t>
      </w:r>
      <w:r w:rsidR="00351567" w:rsidRPr="00351567">
        <w:rPr>
          <w:rFonts w:ascii="Times New Roman" w:hAnsi="Times New Roman" w:cs="Times New Roman"/>
          <w:i/>
          <w:iCs/>
          <w:sz w:val="24"/>
          <w:szCs w:val="24"/>
          <w:highlight w:val="green"/>
        </w:rPr>
        <w:t>SD = Standard deviation</w:t>
      </w:r>
      <w:r w:rsidR="00351567">
        <w:rPr>
          <w:rFonts w:ascii="Times New Roman" w:hAnsi="Times New Roman" w:cs="Times New Roman"/>
          <w:i/>
          <w:iCs/>
          <w:sz w:val="24"/>
          <w:szCs w:val="24"/>
        </w:rPr>
        <w:t>.</w:t>
      </w:r>
    </w:p>
    <w:p w14:paraId="3D5C8253" w14:textId="77777777" w:rsidR="00FE33B1" w:rsidRPr="00BC4758" w:rsidRDefault="00FE33B1" w:rsidP="00FE33B1">
      <w:pPr>
        <w:spacing w:line="48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Correlation analysis among TNF-α, IL-10, albumin, and age in the test group </w:t>
      </w:r>
      <w:r w:rsidR="002D1831" w:rsidRPr="00BC4758">
        <w:rPr>
          <w:rFonts w:ascii="Times New Roman" w:hAnsi="Times New Roman" w:cs="Times New Roman"/>
          <w:sz w:val="24"/>
          <w:szCs w:val="24"/>
        </w:rPr>
        <w:t xml:space="preserve">(male T2DM patients) </w:t>
      </w:r>
      <w:r w:rsidRPr="00BC4758">
        <w:rPr>
          <w:rFonts w:ascii="Times New Roman" w:hAnsi="Times New Roman" w:cs="Times New Roman"/>
          <w:sz w:val="24"/>
          <w:szCs w:val="24"/>
        </w:rPr>
        <w:t xml:space="preserve">revealed no statistically significant associations among the measured variables (p &gt; 0.05). Specifically, TNF-α did not exhibit a significant correlation with IL-10 (r = -0.124, p = 0.574), albumin (r = -0.130, p = 0.554), or age (r = 0.030, p = 0.890). Similarly, IL-10 was not significantly associated with albumin (r = 0.332, p = 0.122) or age (r = 0.224, p = 0.304). </w:t>
      </w:r>
      <w:r w:rsidR="005027DF" w:rsidRPr="00BC4758">
        <w:rPr>
          <w:rFonts w:ascii="Times New Roman" w:hAnsi="Times New Roman" w:cs="Times New Roman"/>
          <w:sz w:val="24"/>
          <w:szCs w:val="24"/>
        </w:rPr>
        <w:t>See table 2.</w:t>
      </w:r>
    </w:p>
    <w:p w14:paraId="21007F46" w14:textId="77777777" w:rsidR="00ED5755" w:rsidRPr="00BC4758" w:rsidRDefault="00ED5755" w:rsidP="00ED5755">
      <w:pPr>
        <w:rPr>
          <w:rFonts w:ascii="Times New Roman" w:hAnsi="Times New Roman" w:cs="Times New Roman"/>
          <w:sz w:val="24"/>
          <w:szCs w:val="24"/>
        </w:rPr>
      </w:pPr>
    </w:p>
    <w:p w14:paraId="2B1F6118" w14:textId="77777777" w:rsidR="00ED5755" w:rsidRPr="00BC4758" w:rsidRDefault="00ED5755" w:rsidP="00ED5755">
      <w:pPr>
        <w:rPr>
          <w:rFonts w:ascii="Times New Roman" w:hAnsi="Times New Roman" w:cs="Times New Roman"/>
          <w:sz w:val="24"/>
          <w:szCs w:val="24"/>
        </w:rPr>
      </w:pPr>
    </w:p>
    <w:p w14:paraId="6DDCA630" w14:textId="77777777" w:rsidR="000054DA" w:rsidRDefault="000054DA" w:rsidP="005027DF">
      <w:pPr>
        <w:spacing w:line="480" w:lineRule="auto"/>
        <w:jc w:val="both"/>
        <w:rPr>
          <w:rFonts w:ascii="Times New Roman" w:hAnsi="Times New Roman" w:cs="Times New Roman"/>
          <w:b/>
          <w:bCs/>
          <w:sz w:val="24"/>
          <w:szCs w:val="24"/>
        </w:rPr>
      </w:pPr>
    </w:p>
    <w:p w14:paraId="44E082C9" w14:textId="77777777" w:rsidR="000054DA" w:rsidRDefault="000054DA" w:rsidP="005027DF">
      <w:pPr>
        <w:spacing w:line="480" w:lineRule="auto"/>
        <w:jc w:val="both"/>
        <w:rPr>
          <w:rFonts w:ascii="Times New Roman" w:hAnsi="Times New Roman" w:cs="Times New Roman"/>
          <w:b/>
          <w:bCs/>
          <w:sz w:val="24"/>
          <w:szCs w:val="24"/>
        </w:rPr>
      </w:pPr>
    </w:p>
    <w:p w14:paraId="740642E4" w14:textId="77777777" w:rsidR="000054DA" w:rsidRDefault="000054DA" w:rsidP="005027DF">
      <w:pPr>
        <w:spacing w:line="480" w:lineRule="auto"/>
        <w:jc w:val="both"/>
        <w:rPr>
          <w:rFonts w:ascii="Times New Roman" w:hAnsi="Times New Roman" w:cs="Times New Roman"/>
          <w:b/>
          <w:bCs/>
          <w:sz w:val="24"/>
          <w:szCs w:val="24"/>
        </w:rPr>
      </w:pPr>
    </w:p>
    <w:p w14:paraId="2F4117EB" w14:textId="77777777" w:rsidR="000054DA" w:rsidRDefault="000054DA" w:rsidP="005027DF">
      <w:pPr>
        <w:spacing w:line="480" w:lineRule="auto"/>
        <w:jc w:val="both"/>
        <w:rPr>
          <w:rFonts w:ascii="Times New Roman" w:hAnsi="Times New Roman" w:cs="Times New Roman"/>
          <w:b/>
          <w:bCs/>
          <w:sz w:val="24"/>
          <w:szCs w:val="24"/>
        </w:rPr>
      </w:pPr>
    </w:p>
    <w:p w14:paraId="6F3F6C35" w14:textId="77777777" w:rsidR="005027DF" w:rsidRPr="00BC4758" w:rsidRDefault="005027DF" w:rsidP="005027DF">
      <w:pPr>
        <w:spacing w:line="480" w:lineRule="auto"/>
        <w:jc w:val="both"/>
        <w:rPr>
          <w:rFonts w:ascii="Times New Roman" w:hAnsi="Times New Roman" w:cs="Times New Roman"/>
          <w:sz w:val="24"/>
          <w:szCs w:val="24"/>
        </w:rPr>
      </w:pPr>
      <w:r w:rsidRPr="00BC4758">
        <w:rPr>
          <w:rFonts w:ascii="Times New Roman" w:hAnsi="Times New Roman" w:cs="Times New Roman"/>
          <w:b/>
          <w:bCs/>
          <w:sz w:val="24"/>
          <w:szCs w:val="24"/>
        </w:rPr>
        <w:t xml:space="preserve">Table 2: Correlation Analysis in Male T2DM Patients </w:t>
      </w:r>
    </w:p>
    <w:tbl>
      <w:tblPr>
        <w:tblpPr w:leftFromText="180" w:rightFromText="180" w:vertAnchor="text" w:tblpY="1"/>
        <w:tblOverlap w:val="never"/>
        <w:tblW w:w="5000" w:type="pct"/>
        <w:tblCellSpacing w:w="15" w:type="dxa"/>
        <w:tblBorders>
          <w:top w:val="single" w:sz="12" w:space="0" w:color="auto"/>
          <w:bottom w:val="single" w:sz="12" w:space="0" w:color="auto"/>
        </w:tblBorders>
        <w:tblCellMar>
          <w:top w:w="15" w:type="dxa"/>
          <w:left w:w="15" w:type="dxa"/>
          <w:bottom w:w="15" w:type="dxa"/>
          <w:right w:w="15" w:type="dxa"/>
        </w:tblCellMar>
        <w:tblLook w:val="04A0" w:firstRow="1" w:lastRow="0" w:firstColumn="1" w:lastColumn="0" w:noHBand="0" w:noVBand="1"/>
      </w:tblPr>
      <w:tblGrid>
        <w:gridCol w:w="1803"/>
        <w:gridCol w:w="1748"/>
        <w:gridCol w:w="1435"/>
        <w:gridCol w:w="1377"/>
        <w:gridCol w:w="1728"/>
        <w:gridCol w:w="1269"/>
      </w:tblGrid>
      <w:tr w:rsidR="005027DF" w:rsidRPr="00BC4758" w14:paraId="64F61504" w14:textId="77777777" w:rsidTr="005027DF">
        <w:trPr>
          <w:tblHeader/>
          <w:tblCellSpacing w:w="15" w:type="dxa"/>
        </w:trPr>
        <w:tc>
          <w:tcPr>
            <w:tcW w:w="925" w:type="pct"/>
            <w:tcBorders>
              <w:top w:val="nil"/>
              <w:bottom w:val="single" w:sz="12" w:space="0" w:color="auto"/>
            </w:tcBorders>
            <w:hideMark/>
          </w:tcPr>
          <w:p w14:paraId="6F272549" w14:textId="77777777" w:rsidR="005027DF" w:rsidRPr="00BC4758" w:rsidRDefault="005027DF" w:rsidP="00EC06EA">
            <w:pPr>
              <w:pStyle w:val="TOC2"/>
            </w:pPr>
            <w:r w:rsidRPr="00BC4758">
              <w:t>Variables</w:t>
            </w:r>
          </w:p>
        </w:tc>
        <w:tc>
          <w:tcPr>
            <w:tcW w:w="905" w:type="pct"/>
            <w:tcBorders>
              <w:top w:val="nil"/>
              <w:bottom w:val="single" w:sz="12" w:space="0" w:color="auto"/>
            </w:tcBorders>
          </w:tcPr>
          <w:p w14:paraId="4BCE616C" w14:textId="77777777" w:rsidR="005027DF" w:rsidRPr="00BC4758" w:rsidRDefault="005027DF" w:rsidP="00EC06EA">
            <w:pPr>
              <w:pStyle w:val="TOC2"/>
            </w:pPr>
            <w:r w:rsidRPr="00BC4758">
              <w:t>Statistics</w:t>
            </w:r>
          </w:p>
        </w:tc>
        <w:tc>
          <w:tcPr>
            <w:tcW w:w="740" w:type="pct"/>
            <w:tcBorders>
              <w:top w:val="nil"/>
              <w:bottom w:val="single" w:sz="12" w:space="0" w:color="auto"/>
            </w:tcBorders>
            <w:hideMark/>
          </w:tcPr>
          <w:p w14:paraId="477C4879" w14:textId="77777777" w:rsidR="005027DF" w:rsidRPr="00BC4758" w:rsidRDefault="005027DF" w:rsidP="00EC06EA">
            <w:pPr>
              <w:pStyle w:val="TOC2"/>
            </w:pPr>
            <w:r w:rsidRPr="00BC4758">
              <w:t>TNF-α</w:t>
            </w:r>
          </w:p>
        </w:tc>
        <w:tc>
          <w:tcPr>
            <w:tcW w:w="709" w:type="pct"/>
            <w:tcBorders>
              <w:top w:val="nil"/>
              <w:bottom w:val="single" w:sz="12" w:space="0" w:color="auto"/>
            </w:tcBorders>
            <w:hideMark/>
          </w:tcPr>
          <w:p w14:paraId="05F51471" w14:textId="77777777" w:rsidR="005027DF" w:rsidRPr="00BC4758" w:rsidRDefault="005027DF" w:rsidP="00EC06EA">
            <w:pPr>
              <w:pStyle w:val="TOC2"/>
            </w:pPr>
            <w:r w:rsidRPr="00BC4758">
              <w:t>IL-10</w:t>
            </w:r>
          </w:p>
        </w:tc>
        <w:tc>
          <w:tcPr>
            <w:tcW w:w="894" w:type="pct"/>
            <w:tcBorders>
              <w:top w:val="nil"/>
              <w:bottom w:val="single" w:sz="12" w:space="0" w:color="auto"/>
            </w:tcBorders>
            <w:hideMark/>
          </w:tcPr>
          <w:p w14:paraId="261DD54C" w14:textId="77777777" w:rsidR="005027DF" w:rsidRPr="00BC4758" w:rsidRDefault="005027DF" w:rsidP="00EC06EA">
            <w:pPr>
              <w:pStyle w:val="TOC2"/>
            </w:pPr>
            <w:r w:rsidRPr="00BC4758">
              <w:t>Albumin</w:t>
            </w:r>
          </w:p>
        </w:tc>
        <w:tc>
          <w:tcPr>
            <w:tcW w:w="645" w:type="pct"/>
            <w:tcBorders>
              <w:top w:val="nil"/>
              <w:bottom w:val="single" w:sz="12" w:space="0" w:color="auto"/>
            </w:tcBorders>
            <w:hideMark/>
          </w:tcPr>
          <w:p w14:paraId="618C7875" w14:textId="77777777" w:rsidR="005027DF" w:rsidRPr="00BC4758" w:rsidRDefault="005027DF" w:rsidP="00EC06EA">
            <w:pPr>
              <w:pStyle w:val="TOC2"/>
            </w:pPr>
            <w:r w:rsidRPr="00BC4758">
              <w:t>Age</w:t>
            </w:r>
          </w:p>
        </w:tc>
      </w:tr>
      <w:tr w:rsidR="005027DF" w:rsidRPr="00BC4758" w14:paraId="303116FE" w14:textId="77777777" w:rsidTr="005027DF">
        <w:trPr>
          <w:tblCellSpacing w:w="15" w:type="dxa"/>
        </w:trPr>
        <w:tc>
          <w:tcPr>
            <w:tcW w:w="925" w:type="pct"/>
            <w:hideMark/>
          </w:tcPr>
          <w:p w14:paraId="4F91259A" w14:textId="77777777" w:rsidR="005027DF" w:rsidRPr="00BC4758" w:rsidRDefault="005027DF" w:rsidP="00EC06EA">
            <w:pPr>
              <w:pStyle w:val="TOC2"/>
            </w:pPr>
            <w:r w:rsidRPr="00BC4758">
              <w:t>TNF-α</w:t>
            </w:r>
          </w:p>
        </w:tc>
        <w:tc>
          <w:tcPr>
            <w:tcW w:w="905" w:type="pct"/>
          </w:tcPr>
          <w:p w14:paraId="0E5C550C" w14:textId="77777777" w:rsidR="005027DF" w:rsidRPr="00BC4758" w:rsidRDefault="005027DF" w:rsidP="00EC06EA">
            <w:pPr>
              <w:pStyle w:val="TOC2"/>
            </w:pPr>
            <w:r w:rsidRPr="00BC4758">
              <w:t xml:space="preserve">r </w:t>
            </w:r>
          </w:p>
        </w:tc>
        <w:tc>
          <w:tcPr>
            <w:tcW w:w="740" w:type="pct"/>
            <w:hideMark/>
          </w:tcPr>
          <w:p w14:paraId="07376782" w14:textId="77777777" w:rsidR="005027DF" w:rsidRPr="00BC4758" w:rsidRDefault="005027DF" w:rsidP="00EC06EA">
            <w:pPr>
              <w:pStyle w:val="TOC2"/>
            </w:pPr>
            <w:r w:rsidRPr="00BC4758">
              <w:t>-</w:t>
            </w:r>
          </w:p>
        </w:tc>
        <w:tc>
          <w:tcPr>
            <w:tcW w:w="709" w:type="pct"/>
            <w:hideMark/>
          </w:tcPr>
          <w:p w14:paraId="738A97E7" w14:textId="77777777" w:rsidR="005027DF" w:rsidRPr="00BC4758" w:rsidRDefault="005027DF" w:rsidP="00EC06EA">
            <w:pPr>
              <w:pStyle w:val="TOC2"/>
            </w:pPr>
            <w:r w:rsidRPr="00BC4758">
              <w:t>-0.124</w:t>
            </w:r>
          </w:p>
        </w:tc>
        <w:tc>
          <w:tcPr>
            <w:tcW w:w="894" w:type="pct"/>
            <w:hideMark/>
          </w:tcPr>
          <w:p w14:paraId="26F2632B" w14:textId="77777777" w:rsidR="005027DF" w:rsidRPr="00BC4758" w:rsidRDefault="005027DF" w:rsidP="00EC06EA">
            <w:pPr>
              <w:pStyle w:val="TOC2"/>
            </w:pPr>
            <w:r w:rsidRPr="00BC4758">
              <w:t>-0.130</w:t>
            </w:r>
          </w:p>
        </w:tc>
        <w:tc>
          <w:tcPr>
            <w:tcW w:w="645" w:type="pct"/>
            <w:hideMark/>
          </w:tcPr>
          <w:p w14:paraId="3BD331FA" w14:textId="77777777" w:rsidR="005027DF" w:rsidRPr="00BC4758" w:rsidRDefault="005027DF" w:rsidP="00EC06EA">
            <w:pPr>
              <w:pStyle w:val="TOC2"/>
            </w:pPr>
            <w:r w:rsidRPr="00BC4758">
              <w:t>0.030</w:t>
            </w:r>
          </w:p>
        </w:tc>
      </w:tr>
      <w:tr w:rsidR="005027DF" w:rsidRPr="00BC4758" w14:paraId="432BA51D" w14:textId="77777777" w:rsidTr="005027DF">
        <w:trPr>
          <w:tblCellSpacing w:w="15" w:type="dxa"/>
        </w:trPr>
        <w:tc>
          <w:tcPr>
            <w:tcW w:w="925" w:type="pct"/>
            <w:hideMark/>
          </w:tcPr>
          <w:p w14:paraId="664BD993" w14:textId="77777777" w:rsidR="005027DF" w:rsidRPr="00BC4758" w:rsidRDefault="005027DF" w:rsidP="00EC06EA">
            <w:pPr>
              <w:pStyle w:val="TOC2"/>
            </w:pPr>
          </w:p>
        </w:tc>
        <w:tc>
          <w:tcPr>
            <w:tcW w:w="905" w:type="pct"/>
          </w:tcPr>
          <w:p w14:paraId="06E6CB4D" w14:textId="77777777" w:rsidR="005027DF" w:rsidRPr="00BC4758" w:rsidRDefault="005027DF" w:rsidP="00EC06EA">
            <w:pPr>
              <w:pStyle w:val="TOC2"/>
            </w:pPr>
            <w:r w:rsidRPr="00BC4758">
              <w:t>p-value</w:t>
            </w:r>
          </w:p>
        </w:tc>
        <w:tc>
          <w:tcPr>
            <w:tcW w:w="740" w:type="pct"/>
            <w:hideMark/>
          </w:tcPr>
          <w:p w14:paraId="5F11F5DA" w14:textId="77777777" w:rsidR="005027DF" w:rsidRPr="00BC4758" w:rsidRDefault="005027DF" w:rsidP="00EC06EA">
            <w:pPr>
              <w:pStyle w:val="TOC2"/>
            </w:pPr>
            <w:r w:rsidRPr="00BC4758">
              <w:t>-</w:t>
            </w:r>
          </w:p>
        </w:tc>
        <w:tc>
          <w:tcPr>
            <w:tcW w:w="709" w:type="pct"/>
            <w:hideMark/>
          </w:tcPr>
          <w:p w14:paraId="4F11A4D4" w14:textId="77777777" w:rsidR="005027DF" w:rsidRPr="00BC4758" w:rsidRDefault="005027DF" w:rsidP="00EC06EA">
            <w:pPr>
              <w:pStyle w:val="TOC2"/>
            </w:pPr>
            <w:r w:rsidRPr="00BC4758">
              <w:t>0.574</w:t>
            </w:r>
          </w:p>
        </w:tc>
        <w:tc>
          <w:tcPr>
            <w:tcW w:w="894" w:type="pct"/>
            <w:hideMark/>
          </w:tcPr>
          <w:p w14:paraId="72ED43C9" w14:textId="77777777" w:rsidR="005027DF" w:rsidRPr="00BC4758" w:rsidRDefault="005027DF" w:rsidP="00EC06EA">
            <w:pPr>
              <w:pStyle w:val="TOC2"/>
            </w:pPr>
            <w:r w:rsidRPr="00BC4758">
              <w:t>0.554</w:t>
            </w:r>
          </w:p>
        </w:tc>
        <w:tc>
          <w:tcPr>
            <w:tcW w:w="645" w:type="pct"/>
            <w:hideMark/>
          </w:tcPr>
          <w:p w14:paraId="134E7001" w14:textId="77777777" w:rsidR="005027DF" w:rsidRPr="00BC4758" w:rsidRDefault="005027DF" w:rsidP="00EC06EA">
            <w:pPr>
              <w:pStyle w:val="TOC2"/>
            </w:pPr>
            <w:r w:rsidRPr="00BC4758">
              <w:t>0.890</w:t>
            </w:r>
          </w:p>
        </w:tc>
      </w:tr>
      <w:tr w:rsidR="005027DF" w:rsidRPr="00BC4758" w14:paraId="67768C6B" w14:textId="77777777" w:rsidTr="005027DF">
        <w:trPr>
          <w:tblCellSpacing w:w="15" w:type="dxa"/>
        </w:trPr>
        <w:tc>
          <w:tcPr>
            <w:tcW w:w="925" w:type="pct"/>
            <w:hideMark/>
          </w:tcPr>
          <w:p w14:paraId="7C6A1FB3" w14:textId="77777777" w:rsidR="005027DF" w:rsidRPr="00BC4758" w:rsidRDefault="005027DF" w:rsidP="00EC06EA">
            <w:pPr>
              <w:pStyle w:val="TOC2"/>
            </w:pPr>
            <w:r w:rsidRPr="00BC4758">
              <w:t>IL-10</w:t>
            </w:r>
          </w:p>
        </w:tc>
        <w:tc>
          <w:tcPr>
            <w:tcW w:w="905" w:type="pct"/>
          </w:tcPr>
          <w:p w14:paraId="0E4F11E3" w14:textId="77777777" w:rsidR="005027DF" w:rsidRPr="00BC4758" w:rsidRDefault="005027DF" w:rsidP="00EC06EA">
            <w:pPr>
              <w:pStyle w:val="TOC2"/>
            </w:pPr>
            <w:r w:rsidRPr="00BC4758">
              <w:t xml:space="preserve">r </w:t>
            </w:r>
          </w:p>
        </w:tc>
        <w:tc>
          <w:tcPr>
            <w:tcW w:w="740" w:type="pct"/>
            <w:hideMark/>
          </w:tcPr>
          <w:p w14:paraId="0A6DEEAF" w14:textId="77777777" w:rsidR="005027DF" w:rsidRPr="00BC4758" w:rsidRDefault="005027DF" w:rsidP="00EC06EA">
            <w:pPr>
              <w:pStyle w:val="TOC2"/>
            </w:pPr>
            <w:r w:rsidRPr="00BC4758">
              <w:t>-0.124</w:t>
            </w:r>
          </w:p>
        </w:tc>
        <w:tc>
          <w:tcPr>
            <w:tcW w:w="709" w:type="pct"/>
            <w:hideMark/>
          </w:tcPr>
          <w:p w14:paraId="366A7269" w14:textId="77777777" w:rsidR="005027DF" w:rsidRPr="00BC4758" w:rsidRDefault="005027DF" w:rsidP="00EC06EA">
            <w:pPr>
              <w:pStyle w:val="TOC2"/>
            </w:pPr>
            <w:r w:rsidRPr="00BC4758">
              <w:t>-</w:t>
            </w:r>
          </w:p>
        </w:tc>
        <w:tc>
          <w:tcPr>
            <w:tcW w:w="894" w:type="pct"/>
            <w:hideMark/>
          </w:tcPr>
          <w:p w14:paraId="2CB400E2" w14:textId="77777777" w:rsidR="005027DF" w:rsidRPr="00BC4758" w:rsidRDefault="005027DF" w:rsidP="00EC06EA">
            <w:pPr>
              <w:pStyle w:val="TOC2"/>
            </w:pPr>
            <w:r w:rsidRPr="00BC4758">
              <w:t>0.332</w:t>
            </w:r>
          </w:p>
        </w:tc>
        <w:tc>
          <w:tcPr>
            <w:tcW w:w="645" w:type="pct"/>
            <w:hideMark/>
          </w:tcPr>
          <w:p w14:paraId="1092B6AC" w14:textId="77777777" w:rsidR="005027DF" w:rsidRPr="00BC4758" w:rsidRDefault="005027DF" w:rsidP="00EC06EA">
            <w:pPr>
              <w:pStyle w:val="TOC2"/>
            </w:pPr>
            <w:r w:rsidRPr="00BC4758">
              <w:t>0.224</w:t>
            </w:r>
          </w:p>
        </w:tc>
      </w:tr>
      <w:tr w:rsidR="005027DF" w:rsidRPr="00BC4758" w14:paraId="2FBA28E9" w14:textId="77777777" w:rsidTr="005027DF">
        <w:trPr>
          <w:tblCellSpacing w:w="15" w:type="dxa"/>
        </w:trPr>
        <w:tc>
          <w:tcPr>
            <w:tcW w:w="925" w:type="pct"/>
            <w:hideMark/>
          </w:tcPr>
          <w:p w14:paraId="49F5DDF4" w14:textId="77777777" w:rsidR="005027DF" w:rsidRPr="00BC4758" w:rsidRDefault="005027DF" w:rsidP="00EC06EA">
            <w:pPr>
              <w:pStyle w:val="TOC2"/>
            </w:pPr>
          </w:p>
        </w:tc>
        <w:tc>
          <w:tcPr>
            <w:tcW w:w="905" w:type="pct"/>
          </w:tcPr>
          <w:p w14:paraId="7850C7DB" w14:textId="77777777" w:rsidR="005027DF" w:rsidRPr="00BC4758" w:rsidRDefault="005027DF" w:rsidP="00EC06EA">
            <w:pPr>
              <w:pStyle w:val="TOC2"/>
            </w:pPr>
            <w:r w:rsidRPr="00BC4758">
              <w:t>p-value</w:t>
            </w:r>
          </w:p>
        </w:tc>
        <w:tc>
          <w:tcPr>
            <w:tcW w:w="740" w:type="pct"/>
            <w:hideMark/>
          </w:tcPr>
          <w:p w14:paraId="4E10242E" w14:textId="77777777" w:rsidR="005027DF" w:rsidRPr="00BC4758" w:rsidRDefault="005027DF" w:rsidP="00EC06EA">
            <w:pPr>
              <w:pStyle w:val="TOC2"/>
            </w:pPr>
            <w:r w:rsidRPr="00BC4758">
              <w:t>0.574</w:t>
            </w:r>
          </w:p>
        </w:tc>
        <w:tc>
          <w:tcPr>
            <w:tcW w:w="709" w:type="pct"/>
            <w:hideMark/>
          </w:tcPr>
          <w:p w14:paraId="5C48C9DB" w14:textId="77777777" w:rsidR="005027DF" w:rsidRPr="00BC4758" w:rsidRDefault="005027DF" w:rsidP="00EC06EA">
            <w:pPr>
              <w:pStyle w:val="TOC2"/>
            </w:pPr>
            <w:r w:rsidRPr="00BC4758">
              <w:t>-</w:t>
            </w:r>
          </w:p>
        </w:tc>
        <w:tc>
          <w:tcPr>
            <w:tcW w:w="894" w:type="pct"/>
            <w:hideMark/>
          </w:tcPr>
          <w:p w14:paraId="6F74CBE5" w14:textId="77777777" w:rsidR="005027DF" w:rsidRPr="00BC4758" w:rsidRDefault="005027DF" w:rsidP="00EC06EA">
            <w:pPr>
              <w:pStyle w:val="TOC2"/>
            </w:pPr>
            <w:r w:rsidRPr="00BC4758">
              <w:t>0.122</w:t>
            </w:r>
          </w:p>
        </w:tc>
        <w:tc>
          <w:tcPr>
            <w:tcW w:w="645" w:type="pct"/>
            <w:hideMark/>
          </w:tcPr>
          <w:p w14:paraId="6EBEFB43" w14:textId="77777777" w:rsidR="005027DF" w:rsidRPr="00BC4758" w:rsidRDefault="005027DF" w:rsidP="00EC06EA">
            <w:pPr>
              <w:pStyle w:val="TOC2"/>
            </w:pPr>
            <w:r w:rsidRPr="00BC4758">
              <w:t>0.304</w:t>
            </w:r>
          </w:p>
        </w:tc>
      </w:tr>
      <w:tr w:rsidR="005027DF" w:rsidRPr="00BC4758" w14:paraId="27F59609" w14:textId="77777777" w:rsidTr="005027DF">
        <w:trPr>
          <w:tblCellSpacing w:w="15" w:type="dxa"/>
        </w:trPr>
        <w:tc>
          <w:tcPr>
            <w:tcW w:w="925" w:type="pct"/>
            <w:hideMark/>
          </w:tcPr>
          <w:p w14:paraId="13C037F5" w14:textId="77777777" w:rsidR="005027DF" w:rsidRPr="00BC4758" w:rsidRDefault="005027DF" w:rsidP="00EC06EA">
            <w:pPr>
              <w:pStyle w:val="TOC2"/>
            </w:pPr>
            <w:r w:rsidRPr="00BC4758">
              <w:t>Albumin</w:t>
            </w:r>
          </w:p>
        </w:tc>
        <w:tc>
          <w:tcPr>
            <w:tcW w:w="905" w:type="pct"/>
          </w:tcPr>
          <w:p w14:paraId="502F6627" w14:textId="77777777" w:rsidR="005027DF" w:rsidRPr="00BC4758" w:rsidRDefault="005027DF" w:rsidP="00EC06EA">
            <w:pPr>
              <w:pStyle w:val="TOC2"/>
            </w:pPr>
            <w:r w:rsidRPr="00BC4758">
              <w:t xml:space="preserve">r </w:t>
            </w:r>
          </w:p>
        </w:tc>
        <w:tc>
          <w:tcPr>
            <w:tcW w:w="740" w:type="pct"/>
            <w:hideMark/>
          </w:tcPr>
          <w:p w14:paraId="456ED031" w14:textId="77777777" w:rsidR="005027DF" w:rsidRPr="00BC4758" w:rsidRDefault="005027DF" w:rsidP="00EC06EA">
            <w:pPr>
              <w:pStyle w:val="TOC2"/>
            </w:pPr>
            <w:r w:rsidRPr="00BC4758">
              <w:t>-0.130</w:t>
            </w:r>
          </w:p>
        </w:tc>
        <w:tc>
          <w:tcPr>
            <w:tcW w:w="709" w:type="pct"/>
            <w:hideMark/>
          </w:tcPr>
          <w:p w14:paraId="4735C277" w14:textId="77777777" w:rsidR="005027DF" w:rsidRPr="00BC4758" w:rsidRDefault="005027DF" w:rsidP="00EC06EA">
            <w:pPr>
              <w:pStyle w:val="TOC2"/>
            </w:pPr>
            <w:r w:rsidRPr="00BC4758">
              <w:t>0.332</w:t>
            </w:r>
          </w:p>
        </w:tc>
        <w:tc>
          <w:tcPr>
            <w:tcW w:w="894" w:type="pct"/>
            <w:hideMark/>
          </w:tcPr>
          <w:p w14:paraId="747220D3" w14:textId="77777777" w:rsidR="005027DF" w:rsidRPr="00BC4758" w:rsidRDefault="005027DF" w:rsidP="00EC06EA">
            <w:pPr>
              <w:pStyle w:val="TOC2"/>
            </w:pPr>
            <w:r w:rsidRPr="00BC4758">
              <w:t>-</w:t>
            </w:r>
          </w:p>
        </w:tc>
        <w:tc>
          <w:tcPr>
            <w:tcW w:w="645" w:type="pct"/>
            <w:hideMark/>
          </w:tcPr>
          <w:p w14:paraId="5962376F" w14:textId="77777777" w:rsidR="005027DF" w:rsidRPr="00BC4758" w:rsidRDefault="005027DF" w:rsidP="00EC06EA">
            <w:pPr>
              <w:pStyle w:val="TOC2"/>
            </w:pPr>
            <w:r w:rsidRPr="00BC4758">
              <w:t>0.244</w:t>
            </w:r>
          </w:p>
        </w:tc>
      </w:tr>
      <w:tr w:rsidR="005027DF" w:rsidRPr="00BC4758" w14:paraId="7D13362B" w14:textId="77777777" w:rsidTr="005027DF">
        <w:trPr>
          <w:tblCellSpacing w:w="15" w:type="dxa"/>
        </w:trPr>
        <w:tc>
          <w:tcPr>
            <w:tcW w:w="925" w:type="pct"/>
            <w:hideMark/>
          </w:tcPr>
          <w:p w14:paraId="1389A2A7" w14:textId="77777777" w:rsidR="005027DF" w:rsidRPr="00BC4758" w:rsidRDefault="005027DF" w:rsidP="00EC06EA">
            <w:pPr>
              <w:pStyle w:val="TOC2"/>
            </w:pPr>
          </w:p>
        </w:tc>
        <w:tc>
          <w:tcPr>
            <w:tcW w:w="905" w:type="pct"/>
          </w:tcPr>
          <w:p w14:paraId="223189CE" w14:textId="77777777" w:rsidR="005027DF" w:rsidRPr="00BC4758" w:rsidRDefault="005027DF" w:rsidP="00EC06EA">
            <w:pPr>
              <w:pStyle w:val="TOC2"/>
            </w:pPr>
            <w:r w:rsidRPr="00BC4758">
              <w:t>p-value</w:t>
            </w:r>
          </w:p>
        </w:tc>
        <w:tc>
          <w:tcPr>
            <w:tcW w:w="740" w:type="pct"/>
            <w:hideMark/>
          </w:tcPr>
          <w:p w14:paraId="618072F5" w14:textId="77777777" w:rsidR="005027DF" w:rsidRPr="00BC4758" w:rsidRDefault="005027DF" w:rsidP="00EC06EA">
            <w:pPr>
              <w:pStyle w:val="TOC2"/>
            </w:pPr>
            <w:r w:rsidRPr="00BC4758">
              <w:t>0.554</w:t>
            </w:r>
          </w:p>
        </w:tc>
        <w:tc>
          <w:tcPr>
            <w:tcW w:w="709" w:type="pct"/>
            <w:hideMark/>
          </w:tcPr>
          <w:p w14:paraId="17C71A04" w14:textId="77777777" w:rsidR="005027DF" w:rsidRPr="00BC4758" w:rsidRDefault="005027DF" w:rsidP="00EC06EA">
            <w:pPr>
              <w:pStyle w:val="TOC2"/>
            </w:pPr>
            <w:r w:rsidRPr="00BC4758">
              <w:t>0.122</w:t>
            </w:r>
          </w:p>
        </w:tc>
        <w:tc>
          <w:tcPr>
            <w:tcW w:w="894" w:type="pct"/>
            <w:hideMark/>
          </w:tcPr>
          <w:p w14:paraId="4C3DCC57" w14:textId="77777777" w:rsidR="005027DF" w:rsidRPr="00BC4758" w:rsidRDefault="005027DF" w:rsidP="00EC06EA">
            <w:pPr>
              <w:pStyle w:val="TOC2"/>
            </w:pPr>
            <w:r w:rsidRPr="00BC4758">
              <w:t>-</w:t>
            </w:r>
          </w:p>
        </w:tc>
        <w:tc>
          <w:tcPr>
            <w:tcW w:w="645" w:type="pct"/>
            <w:hideMark/>
          </w:tcPr>
          <w:p w14:paraId="79D50AFB" w14:textId="77777777" w:rsidR="005027DF" w:rsidRPr="00BC4758" w:rsidRDefault="005027DF" w:rsidP="00EC06EA">
            <w:pPr>
              <w:pStyle w:val="TOC2"/>
            </w:pPr>
            <w:r w:rsidRPr="00BC4758">
              <w:t>0.262</w:t>
            </w:r>
          </w:p>
        </w:tc>
      </w:tr>
      <w:tr w:rsidR="005027DF" w:rsidRPr="00BC4758" w14:paraId="580ABB4C" w14:textId="77777777" w:rsidTr="005027DF">
        <w:trPr>
          <w:tblCellSpacing w:w="15" w:type="dxa"/>
        </w:trPr>
        <w:tc>
          <w:tcPr>
            <w:tcW w:w="925" w:type="pct"/>
            <w:hideMark/>
          </w:tcPr>
          <w:p w14:paraId="6511FA8B" w14:textId="77777777" w:rsidR="005027DF" w:rsidRPr="00BC4758" w:rsidRDefault="005027DF" w:rsidP="00EC06EA">
            <w:pPr>
              <w:pStyle w:val="TOC2"/>
            </w:pPr>
            <w:r w:rsidRPr="00BC4758">
              <w:t>Age</w:t>
            </w:r>
          </w:p>
        </w:tc>
        <w:tc>
          <w:tcPr>
            <w:tcW w:w="905" w:type="pct"/>
          </w:tcPr>
          <w:p w14:paraId="7DC58820" w14:textId="77777777" w:rsidR="005027DF" w:rsidRPr="00BC4758" w:rsidRDefault="005027DF" w:rsidP="00EC06EA">
            <w:pPr>
              <w:pStyle w:val="TOC2"/>
            </w:pPr>
            <w:r w:rsidRPr="00BC4758">
              <w:t xml:space="preserve">r </w:t>
            </w:r>
          </w:p>
        </w:tc>
        <w:tc>
          <w:tcPr>
            <w:tcW w:w="740" w:type="pct"/>
            <w:hideMark/>
          </w:tcPr>
          <w:p w14:paraId="1E042777" w14:textId="77777777" w:rsidR="005027DF" w:rsidRPr="00BC4758" w:rsidRDefault="005027DF" w:rsidP="00EC06EA">
            <w:pPr>
              <w:pStyle w:val="TOC2"/>
            </w:pPr>
            <w:r w:rsidRPr="00BC4758">
              <w:t>0.030</w:t>
            </w:r>
          </w:p>
        </w:tc>
        <w:tc>
          <w:tcPr>
            <w:tcW w:w="709" w:type="pct"/>
            <w:hideMark/>
          </w:tcPr>
          <w:p w14:paraId="206AD32E" w14:textId="77777777" w:rsidR="005027DF" w:rsidRPr="00BC4758" w:rsidRDefault="005027DF" w:rsidP="00EC06EA">
            <w:pPr>
              <w:pStyle w:val="TOC2"/>
            </w:pPr>
            <w:r w:rsidRPr="00BC4758">
              <w:t>0.224</w:t>
            </w:r>
          </w:p>
        </w:tc>
        <w:tc>
          <w:tcPr>
            <w:tcW w:w="894" w:type="pct"/>
            <w:hideMark/>
          </w:tcPr>
          <w:p w14:paraId="3D34421C" w14:textId="77777777" w:rsidR="005027DF" w:rsidRPr="00BC4758" w:rsidRDefault="005027DF" w:rsidP="00EC06EA">
            <w:pPr>
              <w:pStyle w:val="TOC2"/>
            </w:pPr>
            <w:r w:rsidRPr="00BC4758">
              <w:t>0.244</w:t>
            </w:r>
          </w:p>
        </w:tc>
        <w:tc>
          <w:tcPr>
            <w:tcW w:w="645" w:type="pct"/>
            <w:hideMark/>
          </w:tcPr>
          <w:p w14:paraId="18D90111" w14:textId="77777777" w:rsidR="005027DF" w:rsidRPr="00BC4758" w:rsidRDefault="005027DF" w:rsidP="00EC06EA">
            <w:pPr>
              <w:pStyle w:val="TOC2"/>
            </w:pPr>
            <w:r w:rsidRPr="00BC4758">
              <w:t>-</w:t>
            </w:r>
          </w:p>
        </w:tc>
      </w:tr>
      <w:tr w:rsidR="005027DF" w:rsidRPr="00BC4758" w14:paraId="57B4B586" w14:textId="77777777" w:rsidTr="005027DF">
        <w:trPr>
          <w:tblCellSpacing w:w="15" w:type="dxa"/>
        </w:trPr>
        <w:tc>
          <w:tcPr>
            <w:tcW w:w="925" w:type="pct"/>
            <w:hideMark/>
          </w:tcPr>
          <w:p w14:paraId="2EC02F72" w14:textId="77777777" w:rsidR="005027DF" w:rsidRPr="00BC4758" w:rsidRDefault="005027DF" w:rsidP="00EC06EA">
            <w:pPr>
              <w:pStyle w:val="TOC2"/>
            </w:pPr>
          </w:p>
        </w:tc>
        <w:tc>
          <w:tcPr>
            <w:tcW w:w="905" w:type="pct"/>
          </w:tcPr>
          <w:p w14:paraId="1DE90447" w14:textId="77777777" w:rsidR="005027DF" w:rsidRPr="00BC4758" w:rsidRDefault="005027DF" w:rsidP="00EC06EA">
            <w:pPr>
              <w:pStyle w:val="TOC2"/>
            </w:pPr>
            <w:r w:rsidRPr="00BC4758">
              <w:t>p-value</w:t>
            </w:r>
          </w:p>
        </w:tc>
        <w:tc>
          <w:tcPr>
            <w:tcW w:w="740" w:type="pct"/>
            <w:hideMark/>
          </w:tcPr>
          <w:p w14:paraId="0F55E5CC" w14:textId="77777777" w:rsidR="005027DF" w:rsidRPr="00BC4758" w:rsidRDefault="005027DF" w:rsidP="00EC06EA">
            <w:pPr>
              <w:pStyle w:val="TOC2"/>
            </w:pPr>
            <w:r w:rsidRPr="00BC4758">
              <w:t>0.890</w:t>
            </w:r>
          </w:p>
        </w:tc>
        <w:tc>
          <w:tcPr>
            <w:tcW w:w="709" w:type="pct"/>
            <w:hideMark/>
          </w:tcPr>
          <w:p w14:paraId="6D5D79F4" w14:textId="77777777" w:rsidR="005027DF" w:rsidRPr="00BC4758" w:rsidRDefault="005027DF" w:rsidP="00EC06EA">
            <w:pPr>
              <w:pStyle w:val="TOC2"/>
            </w:pPr>
            <w:r w:rsidRPr="00BC4758">
              <w:t>0.304</w:t>
            </w:r>
          </w:p>
        </w:tc>
        <w:tc>
          <w:tcPr>
            <w:tcW w:w="894" w:type="pct"/>
            <w:hideMark/>
          </w:tcPr>
          <w:p w14:paraId="361C8458" w14:textId="77777777" w:rsidR="005027DF" w:rsidRPr="00BC4758" w:rsidRDefault="005027DF" w:rsidP="00EC06EA">
            <w:pPr>
              <w:pStyle w:val="TOC2"/>
            </w:pPr>
            <w:r w:rsidRPr="00BC4758">
              <w:t>0.262</w:t>
            </w:r>
          </w:p>
        </w:tc>
        <w:tc>
          <w:tcPr>
            <w:tcW w:w="645" w:type="pct"/>
            <w:hideMark/>
          </w:tcPr>
          <w:p w14:paraId="7F0E03CC" w14:textId="77777777" w:rsidR="005027DF" w:rsidRPr="00BC4758" w:rsidRDefault="005027DF" w:rsidP="00EC06EA">
            <w:pPr>
              <w:pStyle w:val="TOC2"/>
            </w:pPr>
            <w:r w:rsidRPr="00BC4758">
              <w:t>-</w:t>
            </w:r>
          </w:p>
        </w:tc>
      </w:tr>
    </w:tbl>
    <w:p w14:paraId="4AA4BECE" w14:textId="68BE7AC7" w:rsidR="00ED5755" w:rsidRPr="00BC4758" w:rsidRDefault="00ED5755" w:rsidP="00ED5755">
      <w:pPr>
        <w:jc w:val="both"/>
        <w:rPr>
          <w:rFonts w:ascii="Times New Roman" w:hAnsi="Times New Roman" w:cs="Times New Roman"/>
          <w:i/>
          <w:iCs/>
          <w:sz w:val="24"/>
          <w:szCs w:val="24"/>
        </w:rPr>
      </w:pPr>
      <w:r w:rsidRPr="00BC4758">
        <w:rPr>
          <w:rFonts w:ascii="Times New Roman" w:hAnsi="Times New Roman" w:cs="Times New Roman"/>
          <w:sz w:val="24"/>
          <w:szCs w:val="24"/>
        </w:rPr>
        <w:t xml:space="preserve">* </w:t>
      </w:r>
      <w:r w:rsidR="00351567" w:rsidRPr="00351567">
        <w:rPr>
          <w:rFonts w:ascii="Times New Roman" w:hAnsi="Times New Roman" w:cs="Times New Roman"/>
          <w:i/>
          <w:iCs/>
          <w:sz w:val="24"/>
          <w:szCs w:val="24"/>
          <w:highlight w:val="green"/>
        </w:rPr>
        <w:t>Statistically significant</w:t>
      </w:r>
      <w:r w:rsidRPr="00351567">
        <w:rPr>
          <w:rFonts w:ascii="Times New Roman" w:hAnsi="Times New Roman" w:cs="Times New Roman"/>
          <w:i/>
          <w:iCs/>
          <w:sz w:val="24"/>
          <w:szCs w:val="24"/>
          <w:highlight w:val="green"/>
        </w:rPr>
        <w:t xml:space="preserve"> at p &lt; 0.05</w:t>
      </w:r>
    </w:p>
    <w:p w14:paraId="2D38B89B" w14:textId="77777777" w:rsidR="00ED5755" w:rsidRPr="00BC4758" w:rsidRDefault="00ED5755" w:rsidP="00ED5755">
      <w:pPr>
        <w:rPr>
          <w:rFonts w:ascii="Times New Roman" w:hAnsi="Times New Roman" w:cs="Times New Roman"/>
          <w:sz w:val="24"/>
          <w:szCs w:val="24"/>
        </w:rPr>
      </w:pPr>
    </w:p>
    <w:p w14:paraId="740EEEFE" w14:textId="77777777" w:rsidR="00ED5755" w:rsidRPr="00BC4758" w:rsidRDefault="00ED5755" w:rsidP="00ED5755">
      <w:pPr>
        <w:rPr>
          <w:rFonts w:ascii="Times New Roman" w:hAnsi="Times New Roman" w:cs="Times New Roman"/>
          <w:sz w:val="24"/>
          <w:szCs w:val="24"/>
        </w:rPr>
      </w:pPr>
      <w:r w:rsidRPr="00BC4758">
        <w:rPr>
          <w:rFonts w:ascii="Times New Roman" w:hAnsi="Times New Roman" w:cs="Times New Roman"/>
          <w:sz w:val="24"/>
          <w:szCs w:val="24"/>
        </w:rPr>
        <w:br/>
      </w:r>
    </w:p>
    <w:p w14:paraId="7BF37A8F" w14:textId="77777777" w:rsidR="005027DF" w:rsidRPr="00BC4758" w:rsidRDefault="005027DF" w:rsidP="00ED5755">
      <w:pPr>
        <w:rPr>
          <w:rFonts w:ascii="Times New Roman" w:hAnsi="Times New Roman" w:cs="Times New Roman"/>
          <w:sz w:val="24"/>
          <w:szCs w:val="24"/>
        </w:rPr>
      </w:pPr>
    </w:p>
    <w:p w14:paraId="46B1BC8E" w14:textId="77777777" w:rsidR="005027DF" w:rsidRPr="00BC4758" w:rsidRDefault="005027DF" w:rsidP="005027DF">
      <w:pPr>
        <w:spacing w:line="480" w:lineRule="auto"/>
        <w:jc w:val="both"/>
        <w:rPr>
          <w:rFonts w:ascii="Times New Roman" w:hAnsi="Times New Roman" w:cs="Times New Roman"/>
          <w:sz w:val="24"/>
          <w:szCs w:val="24"/>
        </w:rPr>
      </w:pPr>
      <w:r w:rsidRPr="00BC4758">
        <w:rPr>
          <w:rFonts w:ascii="Times New Roman" w:hAnsi="Times New Roman" w:cs="Times New Roman"/>
          <w:sz w:val="24"/>
          <w:szCs w:val="24"/>
        </w:rPr>
        <w:lastRenderedPageBreak/>
        <w:t>In contrast to the test group, correlation analysis among control subjects revealed a significant negative correlation between IL-10 and age (r = -0.521, p = 0.013), suggesting that IL-10 levels declined with increasing age in healthy individuals. However, no significant correlations were found between TNF-α and IL-10 (r = 0.201, p = 0.370), albumin (r = 0.245, p = 0.273), or age (r = 0.204, p = 0.362). Likewise, albumin did not exhibit a significant correlation with IL-10 (r = -0.259, p = 0.245) or age (r = 0.194, p = 0.387). These findings suggest that, unlike T2DM patients, the regulatory mechanisms influencing inflammatory cytokine levels in healthy individuals may be influenced by age-related physiological changes rather than metabolic dysregulation.</w:t>
      </w:r>
    </w:p>
    <w:p w14:paraId="2B9B7020" w14:textId="77777777" w:rsidR="005027DF" w:rsidRPr="00BC4758" w:rsidRDefault="005027DF" w:rsidP="005027DF">
      <w:pPr>
        <w:spacing w:line="480" w:lineRule="auto"/>
        <w:jc w:val="both"/>
        <w:rPr>
          <w:rFonts w:ascii="Times New Roman" w:hAnsi="Times New Roman" w:cs="Times New Roman"/>
          <w:sz w:val="24"/>
          <w:szCs w:val="24"/>
        </w:rPr>
      </w:pPr>
      <w:r w:rsidRPr="00BC4758">
        <w:rPr>
          <w:rFonts w:ascii="Times New Roman" w:hAnsi="Times New Roman" w:cs="Times New Roman"/>
          <w:b/>
          <w:bCs/>
          <w:sz w:val="24"/>
          <w:szCs w:val="24"/>
        </w:rPr>
        <w:t>Table 3: Correlation Analysis in Male Control Subjects</w:t>
      </w:r>
    </w:p>
    <w:tbl>
      <w:tblPr>
        <w:tblW w:w="5000" w:type="pct"/>
        <w:tblCellSpacing w:w="15" w:type="dxa"/>
        <w:tblBorders>
          <w:top w:val="single" w:sz="12" w:space="0" w:color="auto"/>
          <w:bottom w:val="single" w:sz="12" w:space="0" w:color="auto"/>
        </w:tblBorders>
        <w:tblCellMar>
          <w:top w:w="15" w:type="dxa"/>
          <w:left w:w="15" w:type="dxa"/>
          <w:bottom w:w="15" w:type="dxa"/>
          <w:right w:w="15" w:type="dxa"/>
        </w:tblCellMar>
        <w:tblLook w:val="04A0" w:firstRow="1" w:lastRow="0" w:firstColumn="1" w:lastColumn="0" w:noHBand="0" w:noVBand="1"/>
      </w:tblPr>
      <w:tblGrid>
        <w:gridCol w:w="1717"/>
        <w:gridCol w:w="1663"/>
        <w:gridCol w:w="1365"/>
        <w:gridCol w:w="1479"/>
        <w:gridCol w:w="1642"/>
        <w:gridCol w:w="1494"/>
      </w:tblGrid>
      <w:tr w:rsidR="005027DF" w:rsidRPr="00BC4758" w14:paraId="1E291B95" w14:textId="77777777" w:rsidTr="005027DF">
        <w:trPr>
          <w:tblHeader/>
          <w:tblCellSpacing w:w="15" w:type="dxa"/>
        </w:trPr>
        <w:tc>
          <w:tcPr>
            <w:tcW w:w="881" w:type="pct"/>
            <w:tcBorders>
              <w:top w:val="nil"/>
              <w:bottom w:val="single" w:sz="12" w:space="0" w:color="auto"/>
            </w:tcBorders>
            <w:hideMark/>
          </w:tcPr>
          <w:p w14:paraId="05293B9E" w14:textId="77777777" w:rsidR="005027DF" w:rsidRPr="00BC4758" w:rsidRDefault="005027DF" w:rsidP="00EC06EA">
            <w:pPr>
              <w:pStyle w:val="TOC2"/>
            </w:pPr>
            <w:r w:rsidRPr="00BC4758">
              <w:t>Variables</w:t>
            </w:r>
          </w:p>
        </w:tc>
        <w:tc>
          <w:tcPr>
            <w:tcW w:w="861" w:type="pct"/>
            <w:tcBorders>
              <w:top w:val="nil"/>
              <w:bottom w:val="single" w:sz="12" w:space="0" w:color="auto"/>
            </w:tcBorders>
          </w:tcPr>
          <w:p w14:paraId="19E0D486" w14:textId="77777777" w:rsidR="005027DF" w:rsidRPr="00BC4758" w:rsidRDefault="005027DF" w:rsidP="00EC06EA">
            <w:pPr>
              <w:pStyle w:val="TOC2"/>
            </w:pPr>
            <w:r w:rsidRPr="00BC4758">
              <w:t>Statistics</w:t>
            </w:r>
          </w:p>
        </w:tc>
        <w:tc>
          <w:tcPr>
            <w:tcW w:w="704" w:type="pct"/>
            <w:tcBorders>
              <w:top w:val="nil"/>
              <w:bottom w:val="single" w:sz="12" w:space="0" w:color="auto"/>
            </w:tcBorders>
            <w:hideMark/>
          </w:tcPr>
          <w:p w14:paraId="6145CE07" w14:textId="77777777" w:rsidR="005027DF" w:rsidRPr="00BC4758" w:rsidRDefault="005027DF" w:rsidP="00EC06EA">
            <w:pPr>
              <w:pStyle w:val="TOC2"/>
            </w:pPr>
            <w:r w:rsidRPr="00BC4758">
              <w:t>TNF-α</w:t>
            </w:r>
          </w:p>
        </w:tc>
        <w:tc>
          <w:tcPr>
            <w:tcW w:w="765" w:type="pct"/>
            <w:tcBorders>
              <w:top w:val="nil"/>
              <w:bottom w:val="single" w:sz="12" w:space="0" w:color="auto"/>
            </w:tcBorders>
            <w:hideMark/>
          </w:tcPr>
          <w:p w14:paraId="4DFDC8F8" w14:textId="77777777" w:rsidR="005027DF" w:rsidRPr="00BC4758" w:rsidRDefault="005027DF" w:rsidP="00EC06EA">
            <w:pPr>
              <w:pStyle w:val="TOC2"/>
            </w:pPr>
            <w:r w:rsidRPr="00BC4758">
              <w:t>IL-10</w:t>
            </w:r>
          </w:p>
        </w:tc>
        <w:tc>
          <w:tcPr>
            <w:tcW w:w="851" w:type="pct"/>
            <w:tcBorders>
              <w:top w:val="nil"/>
              <w:bottom w:val="single" w:sz="12" w:space="0" w:color="auto"/>
            </w:tcBorders>
            <w:hideMark/>
          </w:tcPr>
          <w:p w14:paraId="1C13B78D" w14:textId="77777777" w:rsidR="005027DF" w:rsidRPr="00BC4758" w:rsidRDefault="005027DF" w:rsidP="00EC06EA">
            <w:pPr>
              <w:pStyle w:val="TOC2"/>
            </w:pPr>
            <w:r w:rsidRPr="00BC4758">
              <w:t>Albumin</w:t>
            </w:r>
          </w:p>
        </w:tc>
        <w:tc>
          <w:tcPr>
            <w:tcW w:w="765" w:type="pct"/>
            <w:tcBorders>
              <w:top w:val="nil"/>
              <w:bottom w:val="single" w:sz="12" w:space="0" w:color="auto"/>
            </w:tcBorders>
            <w:hideMark/>
          </w:tcPr>
          <w:p w14:paraId="3B754D73" w14:textId="77777777" w:rsidR="005027DF" w:rsidRPr="00BC4758" w:rsidRDefault="005027DF" w:rsidP="00EC06EA">
            <w:pPr>
              <w:pStyle w:val="TOC2"/>
            </w:pPr>
            <w:r w:rsidRPr="00BC4758">
              <w:t>Age</w:t>
            </w:r>
          </w:p>
        </w:tc>
      </w:tr>
      <w:tr w:rsidR="005027DF" w:rsidRPr="00BC4758" w14:paraId="5568FE10" w14:textId="77777777" w:rsidTr="005027DF">
        <w:trPr>
          <w:tblCellSpacing w:w="15" w:type="dxa"/>
        </w:trPr>
        <w:tc>
          <w:tcPr>
            <w:tcW w:w="881" w:type="pct"/>
            <w:hideMark/>
          </w:tcPr>
          <w:p w14:paraId="2A13DEB3" w14:textId="77777777" w:rsidR="005027DF" w:rsidRPr="00BC4758" w:rsidRDefault="005027DF" w:rsidP="00EC06EA">
            <w:pPr>
              <w:pStyle w:val="TOC2"/>
            </w:pPr>
            <w:r w:rsidRPr="00BC4758">
              <w:t>TNF-α</w:t>
            </w:r>
          </w:p>
        </w:tc>
        <w:tc>
          <w:tcPr>
            <w:tcW w:w="861" w:type="pct"/>
          </w:tcPr>
          <w:p w14:paraId="57533C03" w14:textId="77777777" w:rsidR="005027DF" w:rsidRPr="00BC4758" w:rsidRDefault="005027DF" w:rsidP="00EC06EA">
            <w:pPr>
              <w:pStyle w:val="TOC2"/>
            </w:pPr>
            <w:r w:rsidRPr="00BC4758">
              <w:t xml:space="preserve">r </w:t>
            </w:r>
          </w:p>
        </w:tc>
        <w:tc>
          <w:tcPr>
            <w:tcW w:w="704" w:type="pct"/>
            <w:hideMark/>
          </w:tcPr>
          <w:p w14:paraId="2F3227C4" w14:textId="77777777" w:rsidR="005027DF" w:rsidRPr="00BC4758" w:rsidRDefault="005027DF" w:rsidP="00EC06EA">
            <w:pPr>
              <w:pStyle w:val="TOC2"/>
            </w:pPr>
            <w:r w:rsidRPr="00BC4758">
              <w:t>-</w:t>
            </w:r>
          </w:p>
        </w:tc>
        <w:tc>
          <w:tcPr>
            <w:tcW w:w="765" w:type="pct"/>
            <w:hideMark/>
          </w:tcPr>
          <w:p w14:paraId="322C5A87" w14:textId="77777777" w:rsidR="005027DF" w:rsidRPr="00BC4758" w:rsidRDefault="005027DF" w:rsidP="00EC06EA">
            <w:pPr>
              <w:pStyle w:val="TOC2"/>
            </w:pPr>
            <w:r w:rsidRPr="00BC4758">
              <w:t>0.201</w:t>
            </w:r>
          </w:p>
        </w:tc>
        <w:tc>
          <w:tcPr>
            <w:tcW w:w="851" w:type="pct"/>
            <w:hideMark/>
          </w:tcPr>
          <w:p w14:paraId="6A99BC17" w14:textId="77777777" w:rsidR="005027DF" w:rsidRPr="00BC4758" w:rsidRDefault="005027DF" w:rsidP="00EC06EA">
            <w:pPr>
              <w:pStyle w:val="TOC2"/>
            </w:pPr>
            <w:r w:rsidRPr="00BC4758">
              <w:t>0.245</w:t>
            </w:r>
          </w:p>
        </w:tc>
        <w:tc>
          <w:tcPr>
            <w:tcW w:w="765" w:type="pct"/>
            <w:hideMark/>
          </w:tcPr>
          <w:p w14:paraId="26D1B066" w14:textId="77777777" w:rsidR="005027DF" w:rsidRPr="00BC4758" w:rsidRDefault="005027DF" w:rsidP="00EC06EA">
            <w:pPr>
              <w:pStyle w:val="TOC2"/>
            </w:pPr>
            <w:r w:rsidRPr="00BC4758">
              <w:t>0.204</w:t>
            </w:r>
          </w:p>
        </w:tc>
      </w:tr>
      <w:tr w:rsidR="005027DF" w:rsidRPr="00BC4758" w14:paraId="64DD9CA4" w14:textId="77777777" w:rsidTr="005027DF">
        <w:trPr>
          <w:tblCellSpacing w:w="15" w:type="dxa"/>
        </w:trPr>
        <w:tc>
          <w:tcPr>
            <w:tcW w:w="881" w:type="pct"/>
            <w:hideMark/>
          </w:tcPr>
          <w:p w14:paraId="37E790D1" w14:textId="77777777" w:rsidR="005027DF" w:rsidRPr="00BC4758" w:rsidRDefault="005027DF" w:rsidP="00EC06EA">
            <w:pPr>
              <w:pStyle w:val="TOC2"/>
            </w:pPr>
          </w:p>
        </w:tc>
        <w:tc>
          <w:tcPr>
            <w:tcW w:w="861" w:type="pct"/>
          </w:tcPr>
          <w:p w14:paraId="49AB7612" w14:textId="77777777" w:rsidR="005027DF" w:rsidRPr="00BC4758" w:rsidRDefault="005027DF" w:rsidP="00EC06EA">
            <w:pPr>
              <w:pStyle w:val="TOC2"/>
            </w:pPr>
            <w:r w:rsidRPr="00BC4758">
              <w:t>p-value</w:t>
            </w:r>
          </w:p>
        </w:tc>
        <w:tc>
          <w:tcPr>
            <w:tcW w:w="704" w:type="pct"/>
            <w:hideMark/>
          </w:tcPr>
          <w:p w14:paraId="51DD69B4" w14:textId="77777777" w:rsidR="005027DF" w:rsidRPr="00BC4758" w:rsidRDefault="005027DF" w:rsidP="00EC06EA">
            <w:pPr>
              <w:pStyle w:val="TOC2"/>
            </w:pPr>
            <w:r w:rsidRPr="00BC4758">
              <w:t>-</w:t>
            </w:r>
          </w:p>
        </w:tc>
        <w:tc>
          <w:tcPr>
            <w:tcW w:w="765" w:type="pct"/>
            <w:hideMark/>
          </w:tcPr>
          <w:p w14:paraId="362CFE13" w14:textId="77777777" w:rsidR="005027DF" w:rsidRPr="00BC4758" w:rsidRDefault="005027DF" w:rsidP="00EC06EA">
            <w:pPr>
              <w:pStyle w:val="TOC2"/>
            </w:pPr>
            <w:r w:rsidRPr="00BC4758">
              <w:t>0.370</w:t>
            </w:r>
          </w:p>
        </w:tc>
        <w:tc>
          <w:tcPr>
            <w:tcW w:w="851" w:type="pct"/>
            <w:hideMark/>
          </w:tcPr>
          <w:p w14:paraId="771BF704" w14:textId="77777777" w:rsidR="005027DF" w:rsidRPr="00BC4758" w:rsidRDefault="005027DF" w:rsidP="00EC06EA">
            <w:pPr>
              <w:pStyle w:val="TOC2"/>
            </w:pPr>
            <w:r w:rsidRPr="00BC4758">
              <w:t>0.273</w:t>
            </w:r>
          </w:p>
        </w:tc>
        <w:tc>
          <w:tcPr>
            <w:tcW w:w="765" w:type="pct"/>
            <w:hideMark/>
          </w:tcPr>
          <w:p w14:paraId="06E045AC" w14:textId="77777777" w:rsidR="005027DF" w:rsidRPr="00BC4758" w:rsidRDefault="005027DF" w:rsidP="00EC06EA">
            <w:pPr>
              <w:pStyle w:val="TOC2"/>
            </w:pPr>
            <w:r w:rsidRPr="00BC4758">
              <w:t>0.362</w:t>
            </w:r>
          </w:p>
        </w:tc>
      </w:tr>
      <w:tr w:rsidR="005027DF" w:rsidRPr="00BC4758" w14:paraId="7FB85153" w14:textId="77777777" w:rsidTr="005027DF">
        <w:trPr>
          <w:tblCellSpacing w:w="15" w:type="dxa"/>
        </w:trPr>
        <w:tc>
          <w:tcPr>
            <w:tcW w:w="881" w:type="pct"/>
            <w:hideMark/>
          </w:tcPr>
          <w:p w14:paraId="24CF3285" w14:textId="77777777" w:rsidR="005027DF" w:rsidRPr="00BC4758" w:rsidRDefault="005027DF" w:rsidP="00EC06EA">
            <w:pPr>
              <w:pStyle w:val="TOC2"/>
            </w:pPr>
            <w:r w:rsidRPr="00BC4758">
              <w:t>IL-10</w:t>
            </w:r>
          </w:p>
        </w:tc>
        <w:tc>
          <w:tcPr>
            <w:tcW w:w="861" w:type="pct"/>
          </w:tcPr>
          <w:p w14:paraId="3BD1E438" w14:textId="77777777" w:rsidR="005027DF" w:rsidRPr="00BC4758" w:rsidRDefault="005027DF" w:rsidP="00EC06EA">
            <w:pPr>
              <w:pStyle w:val="TOC2"/>
            </w:pPr>
            <w:r w:rsidRPr="00BC4758">
              <w:t xml:space="preserve">r </w:t>
            </w:r>
          </w:p>
        </w:tc>
        <w:tc>
          <w:tcPr>
            <w:tcW w:w="704" w:type="pct"/>
            <w:hideMark/>
          </w:tcPr>
          <w:p w14:paraId="7E2D1241" w14:textId="77777777" w:rsidR="005027DF" w:rsidRPr="00BC4758" w:rsidRDefault="005027DF" w:rsidP="00EC06EA">
            <w:pPr>
              <w:pStyle w:val="TOC2"/>
            </w:pPr>
            <w:r w:rsidRPr="00BC4758">
              <w:t>0.201</w:t>
            </w:r>
          </w:p>
        </w:tc>
        <w:tc>
          <w:tcPr>
            <w:tcW w:w="765" w:type="pct"/>
            <w:hideMark/>
          </w:tcPr>
          <w:p w14:paraId="2222469E" w14:textId="77777777" w:rsidR="005027DF" w:rsidRPr="00BC4758" w:rsidRDefault="005027DF" w:rsidP="00EC06EA">
            <w:pPr>
              <w:pStyle w:val="TOC2"/>
            </w:pPr>
            <w:r w:rsidRPr="00BC4758">
              <w:t>-</w:t>
            </w:r>
          </w:p>
        </w:tc>
        <w:tc>
          <w:tcPr>
            <w:tcW w:w="851" w:type="pct"/>
            <w:hideMark/>
          </w:tcPr>
          <w:p w14:paraId="17FBF0BF" w14:textId="77777777" w:rsidR="005027DF" w:rsidRPr="00BC4758" w:rsidRDefault="005027DF" w:rsidP="00EC06EA">
            <w:pPr>
              <w:pStyle w:val="TOC2"/>
            </w:pPr>
            <w:r w:rsidRPr="00BC4758">
              <w:t>-0.259</w:t>
            </w:r>
          </w:p>
        </w:tc>
        <w:tc>
          <w:tcPr>
            <w:tcW w:w="765" w:type="pct"/>
            <w:hideMark/>
          </w:tcPr>
          <w:p w14:paraId="374F7E98" w14:textId="77777777" w:rsidR="005027DF" w:rsidRPr="00BC4758" w:rsidRDefault="005027DF" w:rsidP="00EC06EA">
            <w:pPr>
              <w:pStyle w:val="TOC2"/>
            </w:pPr>
            <w:r w:rsidRPr="00BC4758">
              <w:t>-0.521*</w:t>
            </w:r>
          </w:p>
        </w:tc>
      </w:tr>
      <w:tr w:rsidR="005027DF" w:rsidRPr="00BC4758" w14:paraId="229C5EF0" w14:textId="77777777" w:rsidTr="005027DF">
        <w:trPr>
          <w:tblCellSpacing w:w="15" w:type="dxa"/>
        </w:trPr>
        <w:tc>
          <w:tcPr>
            <w:tcW w:w="881" w:type="pct"/>
            <w:hideMark/>
          </w:tcPr>
          <w:p w14:paraId="5D14E1A0" w14:textId="77777777" w:rsidR="005027DF" w:rsidRPr="00BC4758" w:rsidRDefault="005027DF" w:rsidP="00EC06EA">
            <w:pPr>
              <w:pStyle w:val="TOC2"/>
            </w:pPr>
          </w:p>
        </w:tc>
        <w:tc>
          <w:tcPr>
            <w:tcW w:w="861" w:type="pct"/>
          </w:tcPr>
          <w:p w14:paraId="0520965D" w14:textId="77777777" w:rsidR="005027DF" w:rsidRPr="00BC4758" w:rsidRDefault="005027DF" w:rsidP="00EC06EA">
            <w:pPr>
              <w:pStyle w:val="TOC2"/>
            </w:pPr>
            <w:r w:rsidRPr="00BC4758">
              <w:t>p-value</w:t>
            </w:r>
          </w:p>
        </w:tc>
        <w:tc>
          <w:tcPr>
            <w:tcW w:w="704" w:type="pct"/>
            <w:hideMark/>
          </w:tcPr>
          <w:p w14:paraId="4E351C17" w14:textId="77777777" w:rsidR="005027DF" w:rsidRPr="00BC4758" w:rsidRDefault="005027DF" w:rsidP="00EC06EA">
            <w:pPr>
              <w:pStyle w:val="TOC2"/>
            </w:pPr>
            <w:r w:rsidRPr="00BC4758">
              <w:t>0.370</w:t>
            </w:r>
          </w:p>
        </w:tc>
        <w:tc>
          <w:tcPr>
            <w:tcW w:w="765" w:type="pct"/>
            <w:hideMark/>
          </w:tcPr>
          <w:p w14:paraId="668381EF" w14:textId="77777777" w:rsidR="005027DF" w:rsidRPr="00BC4758" w:rsidRDefault="005027DF" w:rsidP="00EC06EA">
            <w:pPr>
              <w:pStyle w:val="TOC2"/>
            </w:pPr>
            <w:r w:rsidRPr="00BC4758">
              <w:t>-</w:t>
            </w:r>
          </w:p>
        </w:tc>
        <w:tc>
          <w:tcPr>
            <w:tcW w:w="851" w:type="pct"/>
            <w:hideMark/>
          </w:tcPr>
          <w:p w14:paraId="5E1C9706" w14:textId="77777777" w:rsidR="005027DF" w:rsidRPr="00BC4758" w:rsidRDefault="005027DF" w:rsidP="00EC06EA">
            <w:pPr>
              <w:pStyle w:val="TOC2"/>
            </w:pPr>
            <w:r w:rsidRPr="00BC4758">
              <w:t>0.245</w:t>
            </w:r>
          </w:p>
        </w:tc>
        <w:tc>
          <w:tcPr>
            <w:tcW w:w="765" w:type="pct"/>
            <w:hideMark/>
          </w:tcPr>
          <w:p w14:paraId="09DA9BEC" w14:textId="77777777" w:rsidR="005027DF" w:rsidRPr="00BC4758" w:rsidRDefault="005027DF" w:rsidP="00EC06EA">
            <w:pPr>
              <w:pStyle w:val="TOC2"/>
            </w:pPr>
            <w:r w:rsidRPr="00BC4758">
              <w:t>0.013*</w:t>
            </w:r>
          </w:p>
        </w:tc>
      </w:tr>
      <w:tr w:rsidR="005027DF" w:rsidRPr="00BC4758" w14:paraId="3AB69059" w14:textId="77777777" w:rsidTr="005027DF">
        <w:trPr>
          <w:tblCellSpacing w:w="15" w:type="dxa"/>
        </w:trPr>
        <w:tc>
          <w:tcPr>
            <w:tcW w:w="881" w:type="pct"/>
            <w:hideMark/>
          </w:tcPr>
          <w:p w14:paraId="63F2EB7C" w14:textId="77777777" w:rsidR="005027DF" w:rsidRPr="00BC4758" w:rsidRDefault="005027DF" w:rsidP="00EC06EA">
            <w:pPr>
              <w:pStyle w:val="TOC2"/>
            </w:pPr>
            <w:r w:rsidRPr="00BC4758">
              <w:t>Albumin</w:t>
            </w:r>
          </w:p>
        </w:tc>
        <w:tc>
          <w:tcPr>
            <w:tcW w:w="861" w:type="pct"/>
          </w:tcPr>
          <w:p w14:paraId="7940ED21" w14:textId="77777777" w:rsidR="005027DF" w:rsidRPr="00BC4758" w:rsidRDefault="005027DF" w:rsidP="00EC06EA">
            <w:pPr>
              <w:pStyle w:val="TOC2"/>
            </w:pPr>
            <w:r w:rsidRPr="00BC4758">
              <w:t xml:space="preserve">r </w:t>
            </w:r>
          </w:p>
        </w:tc>
        <w:tc>
          <w:tcPr>
            <w:tcW w:w="704" w:type="pct"/>
            <w:hideMark/>
          </w:tcPr>
          <w:p w14:paraId="4AD5F935" w14:textId="77777777" w:rsidR="005027DF" w:rsidRPr="00BC4758" w:rsidRDefault="005027DF" w:rsidP="00EC06EA">
            <w:pPr>
              <w:pStyle w:val="TOC2"/>
            </w:pPr>
            <w:r w:rsidRPr="00BC4758">
              <w:t>0.245</w:t>
            </w:r>
          </w:p>
        </w:tc>
        <w:tc>
          <w:tcPr>
            <w:tcW w:w="765" w:type="pct"/>
            <w:hideMark/>
          </w:tcPr>
          <w:p w14:paraId="0DC64797" w14:textId="77777777" w:rsidR="005027DF" w:rsidRPr="00BC4758" w:rsidRDefault="005027DF" w:rsidP="00EC06EA">
            <w:pPr>
              <w:pStyle w:val="TOC2"/>
            </w:pPr>
            <w:r w:rsidRPr="00BC4758">
              <w:t>-0.259</w:t>
            </w:r>
          </w:p>
        </w:tc>
        <w:tc>
          <w:tcPr>
            <w:tcW w:w="851" w:type="pct"/>
            <w:hideMark/>
          </w:tcPr>
          <w:p w14:paraId="0AB51D76" w14:textId="77777777" w:rsidR="005027DF" w:rsidRPr="00BC4758" w:rsidRDefault="005027DF" w:rsidP="00EC06EA">
            <w:pPr>
              <w:pStyle w:val="TOC2"/>
            </w:pPr>
            <w:r w:rsidRPr="00BC4758">
              <w:t>-</w:t>
            </w:r>
          </w:p>
        </w:tc>
        <w:tc>
          <w:tcPr>
            <w:tcW w:w="765" w:type="pct"/>
            <w:hideMark/>
          </w:tcPr>
          <w:p w14:paraId="6137F4C8" w14:textId="77777777" w:rsidR="005027DF" w:rsidRPr="00BC4758" w:rsidRDefault="005027DF" w:rsidP="00EC06EA">
            <w:pPr>
              <w:pStyle w:val="TOC2"/>
            </w:pPr>
            <w:r w:rsidRPr="00BC4758">
              <w:t>0.194</w:t>
            </w:r>
          </w:p>
        </w:tc>
      </w:tr>
      <w:tr w:rsidR="005027DF" w:rsidRPr="00BC4758" w14:paraId="3819214C" w14:textId="77777777" w:rsidTr="005027DF">
        <w:trPr>
          <w:tblCellSpacing w:w="15" w:type="dxa"/>
        </w:trPr>
        <w:tc>
          <w:tcPr>
            <w:tcW w:w="881" w:type="pct"/>
            <w:hideMark/>
          </w:tcPr>
          <w:p w14:paraId="08CC6B32" w14:textId="77777777" w:rsidR="005027DF" w:rsidRPr="00BC4758" w:rsidRDefault="005027DF" w:rsidP="00EC06EA">
            <w:pPr>
              <w:pStyle w:val="TOC2"/>
            </w:pPr>
          </w:p>
        </w:tc>
        <w:tc>
          <w:tcPr>
            <w:tcW w:w="861" w:type="pct"/>
          </w:tcPr>
          <w:p w14:paraId="25390DDF" w14:textId="77777777" w:rsidR="005027DF" w:rsidRPr="00BC4758" w:rsidRDefault="005027DF" w:rsidP="00EC06EA">
            <w:pPr>
              <w:pStyle w:val="TOC2"/>
            </w:pPr>
            <w:r w:rsidRPr="00BC4758">
              <w:t>p-value</w:t>
            </w:r>
          </w:p>
        </w:tc>
        <w:tc>
          <w:tcPr>
            <w:tcW w:w="704" w:type="pct"/>
            <w:hideMark/>
          </w:tcPr>
          <w:p w14:paraId="18D5DA0A" w14:textId="77777777" w:rsidR="005027DF" w:rsidRPr="00BC4758" w:rsidRDefault="005027DF" w:rsidP="00EC06EA">
            <w:pPr>
              <w:pStyle w:val="TOC2"/>
            </w:pPr>
            <w:r w:rsidRPr="00BC4758">
              <w:t>0.273</w:t>
            </w:r>
          </w:p>
        </w:tc>
        <w:tc>
          <w:tcPr>
            <w:tcW w:w="765" w:type="pct"/>
            <w:hideMark/>
          </w:tcPr>
          <w:p w14:paraId="5F1A63AF" w14:textId="77777777" w:rsidR="005027DF" w:rsidRPr="00BC4758" w:rsidRDefault="005027DF" w:rsidP="00EC06EA">
            <w:pPr>
              <w:pStyle w:val="TOC2"/>
            </w:pPr>
            <w:r w:rsidRPr="00BC4758">
              <w:t>0.245</w:t>
            </w:r>
          </w:p>
        </w:tc>
        <w:tc>
          <w:tcPr>
            <w:tcW w:w="851" w:type="pct"/>
            <w:hideMark/>
          </w:tcPr>
          <w:p w14:paraId="126F174E" w14:textId="77777777" w:rsidR="005027DF" w:rsidRPr="00BC4758" w:rsidRDefault="005027DF" w:rsidP="00EC06EA">
            <w:pPr>
              <w:pStyle w:val="TOC2"/>
            </w:pPr>
            <w:r w:rsidRPr="00BC4758">
              <w:t>-</w:t>
            </w:r>
          </w:p>
        </w:tc>
        <w:tc>
          <w:tcPr>
            <w:tcW w:w="765" w:type="pct"/>
            <w:hideMark/>
          </w:tcPr>
          <w:p w14:paraId="4ADDBFEF" w14:textId="77777777" w:rsidR="005027DF" w:rsidRPr="00BC4758" w:rsidRDefault="005027DF" w:rsidP="00EC06EA">
            <w:pPr>
              <w:pStyle w:val="TOC2"/>
            </w:pPr>
            <w:r w:rsidRPr="00BC4758">
              <w:t>0.387</w:t>
            </w:r>
          </w:p>
        </w:tc>
      </w:tr>
      <w:tr w:rsidR="005027DF" w:rsidRPr="00BC4758" w14:paraId="1040BC35" w14:textId="77777777" w:rsidTr="005027DF">
        <w:trPr>
          <w:tblCellSpacing w:w="15" w:type="dxa"/>
        </w:trPr>
        <w:tc>
          <w:tcPr>
            <w:tcW w:w="881" w:type="pct"/>
            <w:hideMark/>
          </w:tcPr>
          <w:p w14:paraId="371F228C" w14:textId="77777777" w:rsidR="005027DF" w:rsidRPr="00BC4758" w:rsidRDefault="005027DF" w:rsidP="00EC06EA">
            <w:pPr>
              <w:pStyle w:val="TOC2"/>
            </w:pPr>
            <w:r w:rsidRPr="00BC4758">
              <w:t>Age</w:t>
            </w:r>
          </w:p>
        </w:tc>
        <w:tc>
          <w:tcPr>
            <w:tcW w:w="861" w:type="pct"/>
          </w:tcPr>
          <w:p w14:paraId="407D28B4" w14:textId="77777777" w:rsidR="005027DF" w:rsidRPr="00BC4758" w:rsidRDefault="005027DF" w:rsidP="00EC06EA">
            <w:pPr>
              <w:pStyle w:val="TOC2"/>
            </w:pPr>
            <w:r w:rsidRPr="00BC4758">
              <w:t xml:space="preserve">r </w:t>
            </w:r>
          </w:p>
        </w:tc>
        <w:tc>
          <w:tcPr>
            <w:tcW w:w="704" w:type="pct"/>
            <w:hideMark/>
          </w:tcPr>
          <w:p w14:paraId="1C8F650C" w14:textId="77777777" w:rsidR="005027DF" w:rsidRPr="00BC4758" w:rsidRDefault="005027DF" w:rsidP="00EC06EA">
            <w:pPr>
              <w:pStyle w:val="TOC2"/>
            </w:pPr>
            <w:r w:rsidRPr="00BC4758">
              <w:t>0.204</w:t>
            </w:r>
          </w:p>
        </w:tc>
        <w:tc>
          <w:tcPr>
            <w:tcW w:w="765" w:type="pct"/>
            <w:hideMark/>
          </w:tcPr>
          <w:p w14:paraId="4424472A" w14:textId="77777777" w:rsidR="005027DF" w:rsidRPr="00BC4758" w:rsidRDefault="005027DF" w:rsidP="00EC06EA">
            <w:pPr>
              <w:pStyle w:val="TOC2"/>
            </w:pPr>
            <w:r w:rsidRPr="00BC4758">
              <w:t>-0.521*</w:t>
            </w:r>
          </w:p>
        </w:tc>
        <w:tc>
          <w:tcPr>
            <w:tcW w:w="851" w:type="pct"/>
            <w:hideMark/>
          </w:tcPr>
          <w:p w14:paraId="3ECAECE0" w14:textId="77777777" w:rsidR="005027DF" w:rsidRPr="00BC4758" w:rsidRDefault="005027DF" w:rsidP="00EC06EA">
            <w:pPr>
              <w:pStyle w:val="TOC2"/>
            </w:pPr>
            <w:r w:rsidRPr="00BC4758">
              <w:t>0.194</w:t>
            </w:r>
          </w:p>
        </w:tc>
        <w:tc>
          <w:tcPr>
            <w:tcW w:w="765" w:type="pct"/>
            <w:hideMark/>
          </w:tcPr>
          <w:p w14:paraId="09EE2652" w14:textId="77777777" w:rsidR="005027DF" w:rsidRPr="00BC4758" w:rsidRDefault="005027DF" w:rsidP="00EC06EA">
            <w:pPr>
              <w:pStyle w:val="TOC2"/>
            </w:pPr>
            <w:r w:rsidRPr="00BC4758">
              <w:t>-</w:t>
            </w:r>
          </w:p>
        </w:tc>
      </w:tr>
      <w:tr w:rsidR="005027DF" w:rsidRPr="00BC4758" w14:paraId="44AC1071" w14:textId="77777777" w:rsidTr="005027DF">
        <w:trPr>
          <w:tblCellSpacing w:w="15" w:type="dxa"/>
        </w:trPr>
        <w:tc>
          <w:tcPr>
            <w:tcW w:w="881" w:type="pct"/>
            <w:hideMark/>
          </w:tcPr>
          <w:p w14:paraId="1E80FB5F" w14:textId="77777777" w:rsidR="005027DF" w:rsidRPr="00BC4758" w:rsidRDefault="005027DF" w:rsidP="00EC06EA">
            <w:pPr>
              <w:pStyle w:val="TOC2"/>
            </w:pPr>
          </w:p>
        </w:tc>
        <w:tc>
          <w:tcPr>
            <w:tcW w:w="861" w:type="pct"/>
          </w:tcPr>
          <w:p w14:paraId="5538353D" w14:textId="77777777" w:rsidR="005027DF" w:rsidRPr="00BC4758" w:rsidRDefault="005027DF" w:rsidP="00EC06EA">
            <w:pPr>
              <w:pStyle w:val="TOC2"/>
            </w:pPr>
            <w:r w:rsidRPr="00BC4758">
              <w:t>p-value</w:t>
            </w:r>
          </w:p>
        </w:tc>
        <w:tc>
          <w:tcPr>
            <w:tcW w:w="704" w:type="pct"/>
            <w:hideMark/>
          </w:tcPr>
          <w:p w14:paraId="685F5B2C" w14:textId="77777777" w:rsidR="005027DF" w:rsidRPr="00BC4758" w:rsidRDefault="005027DF" w:rsidP="00EC06EA">
            <w:pPr>
              <w:pStyle w:val="TOC2"/>
            </w:pPr>
            <w:r w:rsidRPr="00BC4758">
              <w:t>0.362</w:t>
            </w:r>
          </w:p>
        </w:tc>
        <w:tc>
          <w:tcPr>
            <w:tcW w:w="765" w:type="pct"/>
            <w:hideMark/>
          </w:tcPr>
          <w:p w14:paraId="2D39840C" w14:textId="77777777" w:rsidR="005027DF" w:rsidRPr="00BC4758" w:rsidRDefault="005027DF" w:rsidP="00EC06EA">
            <w:pPr>
              <w:pStyle w:val="TOC2"/>
            </w:pPr>
            <w:r w:rsidRPr="00BC4758">
              <w:t>0.013*</w:t>
            </w:r>
          </w:p>
        </w:tc>
        <w:tc>
          <w:tcPr>
            <w:tcW w:w="851" w:type="pct"/>
            <w:hideMark/>
          </w:tcPr>
          <w:p w14:paraId="128B8AC4" w14:textId="77777777" w:rsidR="005027DF" w:rsidRPr="00BC4758" w:rsidRDefault="005027DF" w:rsidP="00EC06EA">
            <w:pPr>
              <w:pStyle w:val="TOC2"/>
            </w:pPr>
            <w:r w:rsidRPr="00BC4758">
              <w:t>0.387</w:t>
            </w:r>
          </w:p>
        </w:tc>
        <w:tc>
          <w:tcPr>
            <w:tcW w:w="765" w:type="pct"/>
            <w:hideMark/>
          </w:tcPr>
          <w:p w14:paraId="0E5742D8" w14:textId="77777777" w:rsidR="005027DF" w:rsidRPr="00BC4758" w:rsidRDefault="005027DF" w:rsidP="00EC06EA">
            <w:pPr>
              <w:pStyle w:val="TOC2"/>
            </w:pPr>
            <w:r w:rsidRPr="00BC4758">
              <w:t>-</w:t>
            </w:r>
          </w:p>
        </w:tc>
      </w:tr>
    </w:tbl>
    <w:p w14:paraId="17FF8CD4" w14:textId="77777777" w:rsidR="005027DF" w:rsidRPr="00BC4758" w:rsidRDefault="005027DF" w:rsidP="005027DF">
      <w:pPr>
        <w:spacing w:line="480" w:lineRule="auto"/>
        <w:jc w:val="both"/>
        <w:rPr>
          <w:rFonts w:ascii="Times New Roman" w:hAnsi="Times New Roman" w:cs="Times New Roman"/>
          <w:i/>
          <w:sz w:val="24"/>
          <w:szCs w:val="24"/>
        </w:rPr>
      </w:pPr>
      <w:r w:rsidRPr="00BC4758">
        <w:rPr>
          <w:rFonts w:ascii="Times New Roman" w:hAnsi="Times New Roman" w:cs="Times New Roman"/>
          <w:sz w:val="24"/>
          <w:szCs w:val="24"/>
        </w:rPr>
        <w:t>*</w:t>
      </w:r>
      <w:r w:rsidRPr="00BC4758">
        <w:rPr>
          <w:rFonts w:ascii="Times New Roman" w:hAnsi="Times New Roman" w:cs="Times New Roman"/>
          <w:i/>
          <w:sz w:val="24"/>
          <w:szCs w:val="24"/>
        </w:rPr>
        <w:t>Statistically significant at p&lt;0.05.</w:t>
      </w:r>
    </w:p>
    <w:p w14:paraId="41CA6952" w14:textId="77777777" w:rsidR="00A16B73" w:rsidRPr="00BC4758" w:rsidRDefault="00783F8F" w:rsidP="00A16B73">
      <w:pPr>
        <w:pStyle w:val="Heading2"/>
        <w:spacing w:line="480" w:lineRule="auto"/>
        <w:rPr>
          <w:rFonts w:ascii="Times New Roman" w:hAnsi="Times New Roman" w:cs="Times New Roman"/>
          <w:b/>
          <w:color w:val="auto"/>
          <w:sz w:val="24"/>
          <w:szCs w:val="24"/>
        </w:rPr>
      </w:pPr>
      <w:bookmarkStart w:id="8" w:name="_Toc191404497"/>
      <w:r w:rsidRPr="00BC4758">
        <w:rPr>
          <w:rFonts w:ascii="Times New Roman" w:hAnsi="Times New Roman" w:cs="Times New Roman"/>
          <w:b/>
          <w:color w:val="auto"/>
          <w:sz w:val="24"/>
          <w:szCs w:val="24"/>
        </w:rPr>
        <w:lastRenderedPageBreak/>
        <w:t>DISCUSSION</w:t>
      </w:r>
      <w:bookmarkEnd w:id="8"/>
    </w:p>
    <w:p w14:paraId="0D37537F" w14:textId="52C6C885" w:rsidR="00D44C7B" w:rsidRPr="00BC4758" w:rsidRDefault="00A16B73" w:rsidP="00A16B73">
      <w:pPr>
        <w:spacing w:line="480" w:lineRule="auto"/>
        <w:jc w:val="both"/>
        <w:rPr>
          <w:rFonts w:ascii="Times New Roman" w:hAnsi="Times New Roman" w:cs="Times New Roman"/>
          <w:sz w:val="24"/>
          <w:szCs w:val="24"/>
        </w:rPr>
      </w:pPr>
      <w:r w:rsidRPr="00BC4758">
        <w:rPr>
          <w:rFonts w:ascii="Times New Roman" w:hAnsi="Times New Roman" w:cs="Times New Roman"/>
          <w:sz w:val="24"/>
          <w:szCs w:val="24"/>
        </w:rPr>
        <w:t>In the current study, we found significantly elevated levels</w:t>
      </w:r>
      <w:r w:rsidR="00B9454B">
        <w:rPr>
          <w:rFonts w:ascii="Times New Roman" w:hAnsi="Times New Roman" w:cs="Times New Roman"/>
          <w:sz w:val="24"/>
          <w:szCs w:val="24"/>
        </w:rPr>
        <w:t xml:space="preserve"> of </w:t>
      </w:r>
      <w:r w:rsidR="00B9454B" w:rsidRPr="00B9454B">
        <w:rPr>
          <w:rFonts w:ascii="Times New Roman" w:hAnsi="Times New Roman" w:cs="Times New Roman"/>
          <w:sz w:val="24"/>
          <w:szCs w:val="24"/>
          <w:highlight w:val="green"/>
        </w:rPr>
        <w:t>tumor necrosis factor-alpha and interleukin-10</w:t>
      </w:r>
      <w:r w:rsidR="00B9454B">
        <w:rPr>
          <w:rFonts w:ascii="Times New Roman" w:hAnsi="Times New Roman" w:cs="Times New Roman"/>
          <w:sz w:val="24"/>
          <w:szCs w:val="24"/>
        </w:rPr>
        <w:t xml:space="preserve"> </w:t>
      </w:r>
      <w:r w:rsidR="00EF0716">
        <w:rPr>
          <w:rFonts w:ascii="Times New Roman" w:hAnsi="Times New Roman" w:cs="Times New Roman"/>
          <w:sz w:val="24"/>
          <w:szCs w:val="24"/>
        </w:rPr>
        <w:t xml:space="preserve">in the </w:t>
      </w:r>
      <w:r w:rsidRPr="00EF0716">
        <w:rPr>
          <w:rFonts w:ascii="Times New Roman" w:hAnsi="Times New Roman" w:cs="Times New Roman"/>
          <w:sz w:val="24"/>
          <w:szCs w:val="24"/>
          <w:highlight w:val="green"/>
        </w:rPr>
        <w:t>patients</w:t>
      </w:r>
      <w:r w:rsidRPr="00BC4758">
        <w:rPr>
          <w:rFonts w:ascii="Times New Roman" w:hAnsi="Times New Roman" w:cs="Times New Roman"/>
          <w:sz w:val="24"/>
          <w:szCs w:val="24"/>
        </w:rPr>
        <w:t xml:space="preserve"> compared to the control group, indicating a dysregulated inflammatory response in individuals with</w:t>
      </w:r>
      <w:r w:rsidR="00B9454B">
        <w:rPr>
          <w:rFonts w:ascii="Times New Roman" w:hAnsi="Times New Roman" w:cs="Times New Roman"/>
          <w:sz w:val="24"/>
          <w:szCs w:val="24"/>
        </w:rPr>
        <w:t xml:space="preserve"> </w:t>
      </w:r>
      <w:r w:rsidR="00B9454B" w:rsidRPr="00B9454B">
        <w:rPr>
          <w:rFonts w:ascii="Times New Roman" w:hAnsi="Times New Roman" w:cs="Times New Roman"/>
          <w:sz w:val="24"/>
          <w:szCs w:val="24"/>
          <w:highlight w:val="green"/>
        </w:rPr>
        <w:t>Type 2 Diabetes Mellitus</w:t>
      </w:r>
      <w:r w:rsidRPr="00B9454B">
        <w:rPr>
          <w:rFonts w:ascii="Times New Roman" w:hAnsi="Times New Roman" w:cs="Times New Roman"/>
          <w:sz w:val="24"/>
          <w:szCs w:val="24"/>
          <w:highlight w:val="green"/>
        </w:rPr>
        <w:t>.</w:t>
      </w:r>
      <w:r w:rsidRPr="00BC4758">
        <w:rPr>
          <w:rFonts w:ascii="Times New Roman" w:hAnsi="Times New Roman" w:cs="Times New Roman"/>
          <w:sz w:val="24"/>
          <w:szCs w:val="24"/>
        </w:rPr>
        <w:t xml:space="preserve"> This finding aligns with previous research demonstrating increased pro-inflammatory cytokines in</w:t>
      </w:r>
      <w:r w:rsidR="000C5E7C" w:rsidRPr="00BC4758">
        <w:rPr>
          <w:rFonts w:ascii="Times New Roman" w:hAnsi="Times New Roman" w:cs="Times New Roman"/>
          <w:sz w:val="24"/>
          <w:szCs w:val="24"/>
        </w:rPr>
        <w:t xml:space="preserve"> </w:t>
      </w:r>
      <w:r w:rsidRPr="00BC4758">
        <w:rPr>
          <w:rFonts w:ascii="Times New Roman" w:hAnsi="Times New Roman" w:cs="Times New Roman"/>
          <w:sz w:val="24"/>
          <w:szCs w:val="24"/>
        </w:rPr>
        <w:t>T2DM patients (</w:t>
      </w:r>
      <w:r w:rsidR="00A815D1" w:rsidRPr="00BC4758">
        <w:rPr>
          <w:rFonts w:ascii="Times New Roman" w:hAnsi="Times New Roman" w:cs="Times New Roman"/>
          <w:sz w:val="24"/>
          <w:szCs w:val="24"/>
        </w:rPr>
        <w:t xml:space="preserve">Bashir </w:t>
      </w:r>
      <w:r w:rsidR="00A815D1" w:rsidRPr="00BC4758">
        <w:rPr>
          <w:rFonts w:ascii="Times New Roman" w:hAnsi="Times New Roman" w:cs="Times New Roman"/>
          <w:i/>
          <w:sz w:val="24"/>
          <w:szCs w:val="24"/>
        </w:rPr>
        <w:t>et al</w:t>
      </w:r>
      <w:r w:rsidR="00A815D1" w:rsidRPr="00BC4758">
        <w:rPr>
          <w:rFonts w:ascii="Times New Roman" w:hAnsi="Times New Roman" w:cs="Times New Roman"/>
          <w:sz w:val="24"/>
          <w:szCs w:val="24"/>
        </w:rPr>
        <w:t>., 2022</w:t>
      </w:r>
      <w:r w:rsidR="000C5E7C" w:rsidRPr="00BC4758">
        <w:rPr>
          <w:rFonts w:ascii="Times New Roman" w:hAnsi="Times New Roman" w:cs="Times New Roman"/>
          <w:sz w:val="24"/>
          <w:szCs w:val="24"/>
        </w:rPr>
        <w:t xml:space="preserve">; </w:t>
      </w:r>
      <w:r w:rsidRPr="00BC4758">
        <w:rPr>
          <w:rFonts w:ascii="Times New Roman" w:hAnsi="Times New Roman" w:cs="Times New Roman"/>
          <w:sz w:val="24"/>
          <w:szCs w:val="24"/>
        </w:rPr>
        <w:t xml:space="preserve">Akash </w:t>
      </w:r>
      <w:r w:rsidRPr="00BC4758">
        <w:rPr>
          <w:rFonts w:ascii="Times New Roman" w:hAnsi="Times New Roman" w:cs="Times New Roman"/>
          <w:i/>
          <w:iCs/>
          <w:sz w:val="24"/>
          <w:szCs w:val="24"/>
        </w:rPr>
        <w:t>et al</w:t>
      </w:r>
      <w:r w:rsidRPr="00BC4758">
        <w:rPr>
          <w:rFonts w:ascii="Times New Roman" w:hAnsi="Times New Roman" w:cs="Times New Roman"/>
          <w:sz w:val="24"/>
          <w:szCs w:val="24"/>
        </w:rPr>
        <w:t xml:space="preserve">., 2018). The significantly elevated TNF-α levels in </w:t>
      </w:r>
      <w:r w:rsidR="00EF0716" w:rsidRPr="00EF0716">
        <w:rPr>
          <w:rFonts w:ascii="Times New Roman" w:hAnsi="Times New Roman" w:cs="Times New Roman"/>
          <w:sz w:val="24"/>
          <w:szCs w:val="24"/>
          <w:highlight w:val="green"/>
        </w:rPr>
        <w:t>patients</w:t>
      </w:r>
      <w:r w:rsidRPr="00BC4758">
        <w:rPr>
          <w:rFonts w:ascii="Times New Roman" w:hAnsi="Times New Roman" w:cs="Times New Roman"/>
          <w:sz w:val="24"/>
          <w:szCs w:val="24"/>
        </w:rPr>
        <w:t xml:space="preserve"> reinforce the cytokine's role in insulin resistance as TNF-α is known to impair insulin and contribute to chronic low-grade inflammation (</w:t>
      </w:r>
      <w:r w:rsidRPr="00BC4758">
        <w:t>Bashir</w:t>
      </w:r>
      <w:r w:rsidRPr="00BC4758">
        <w:rPr>
          <w:rFonts w:ascii="Times New Roman" w:hAnsi="Times New Roman" w:cs="Times New Roman"/>
          <w:sz w:val="24"/>
          <w:szCs w:val="24"/>
        </w:rPr>
        <w:t xml:space="preserve"> </w:t>
      </w:r>
      <w:r w:rsidRPr="00BC4758">
        <w:rPr>
          <w:rFonts w:ascii="Times New Roman" w:hAnsi="Times New Roman" w:cs="Times New Roman"/>
          <w:i/>
          <w:iCs/>
          <w:sz w:val="24"/>
          <w:szCs w:val="24"/>
        </w:rPr>
        <w:t>et al</w:t>
      </w:r>
      <w:r w:rsidRPr="00BC4758">
        <w:rPr>
          <w:rFonts w:ascii="Times New Roman" w:hAnsi="Times New Roman" w:cs="Times New Roman"/>
          <w:sz w:val="24"/>
          <w:szCs w:val="24"/>
        </w:rPr>
        <w:t>., 2020). TNF-α has been implicated in the disruption of insulin signaling via serine phosphorylation of insulin receptor substrate-1 (IRS-1), thus exacerbating hyperglycaemia (</w:t>
      </w:r>
      <w:r w:rsidR="00D44C7B" w:rsidRPr="00BC4758">
        <w:rPr>
          <w:rFonts w:ascii="Times New Roman" w:hAnsi="Times New Roman" w:cs="Times New Roman"/>
          <w:sz w:val="24"/>
          <w:szCs w:val="24"/>
        </w:rPr>
        <w:t>Lee</w:t>
      </w:r>
      <w:r w:rsidRPr="00BC4758">
        <w:rPr>
          <w:rFonts w:ascii="Times New Roman" w:hAnsi="Times New Roman" w:cs="Times New Roman"/>
          <w:sz w:val="24"/>
          <w:szCs w:val="24"/>
        </w:rPr>
        <w:t xml:space="preserve"> </w:t>
      </w:r>
      <w:r w:rsidRPr="00BC4758">
        <w:rPr>
          <w:rFonts w:ascii="Times New Roman" w:hAnsi="Times New Roman" w:cs="Times New Roman"/>
          <w:i/>
          <w:iCs/>
          <w:sz w:val="24"/>
          <w:szCs w:val="24"/>
        </w:rPr>
        <w:t>et al</w:t>
      </w:r>
      <w:r w:rsidR="00D44C7B" w:rsidRPr="00BC4758">
        <w:rPr>
          <w:rFonts w:ascii="Times New Roman" w:hAnsi="Times New Roman" w:cs="Times New Roman"/>
          <w:sz w:val="24"/>
          <w:szCs w:val="24"/>
        </w:rPr>
        <w:t>., 2022</w:t>
      </w:r>
      <w:r w:rsidRPr="00BC4758">
        <w:rPr>
          <w:rFonts w:ascii="Times New Roman" w:hAnsi="Times New Roman" w:cs="Times New Roman"/>
          <w:sz w:val="24"/>
          <w:szCs w:val="24"/>
        </w:rPr>
        <w:t xml:space="preserve">). </w:t>
      </w:r>
    </w:p>
    <w:p w14:paraId="1E8AE769" w14:textId="0886C595" w:rsidR="00D44C7B" w:rsidRPr="00BC4758" w:rsidRDefault="00D44C7B" w:rsidP="00A16B73">
      <w:pPr>
        <w:spacing w:line="48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Furthermore, the </w:t>
      </w:r>
      <w:r w:rsidR="00A16B73" w:rsidRPr="00BC4758">
        <w:rPr>
          <w:rFonts w:ascii="Times New Roman" w:hAnsi="Times New Roman" w:cs="Times New Roman"/>
          <w:sz w:val="24"/>
          <w:szCs w:val="24"/>
        </w:rPr>
        <w:t xml:space="preserve">increased IL-10 levels observed in </w:t>
      </w:r>
      <w:r w:rsidRPr="00BC4758">
        <w:rPr>
          <w:rFonts w:ascii="Times New Roman" w:hAnsi="Times New Roman" w:cs="Times New Roman"/>
          <w:sz w:val="24"/>
          <w:szCs w:val="24"/>
        </w:rPr>
        <w:t xml:space="preserve">the </w:t>
      </w:r>
      <w:r w:rsidR="00A16B73" w:rsidRPr="00BC4758">
        <w:rPr>
          <w:rFonts w:ascii="Times New Roman" w:hAnsi="Times New Roman" w:cs="Times New Roman"/>
          <w:sz w:val="24"/>
          <w:szCs w:val="24"/>
        </w:rPr>
        <w:t xml:space="preserve">male test subjects </w:t>
      </w:r>
      <w:r w:rsidRPr="00BC4758">
        <w:rPr>
          <w:rFonts w:ascii="Times New Roman" w:hAnsi="Times New Roman" w:cs="Times New Roman"/>
          <w:sz w:val="24"/>
          <w:szCs w:val="24"/>
        </w:rPr>
        <w:t xml:space="preserve">in this study </w:t>
      </w:r>
      <w:r w:rsidR="00A16B73" w:rsidRPr="00BC4758">
        <w:rPr>
          <w:rFonts w:ascii="Times New Roman" w:hAnsi="Times New Roman" w:cs="Times New Roman"/>
          <w:sz w:val="24"/>
          <w:szCs w:val="24"/>
        </w:rPr>
        <w:t xml:space="preserve">contradict earlier studies suggesting an anti-inflammatory role of IL-10 (Islam </w:t>
      </w:r>
      <w:r w:rsidR="00A16B73" w:rsidRPr="00BC4758">
        <w:rPr>
          <w:rFonts w:ascii="Times New Roman" w:hAnsi="Times New Roman" w:cs="Times New Roman"/>
          <w:i/>
          <w:iCs/>
          <w:sz w:val="24"/>
          <w:szCs w:val="24"/>
        </w:rPr>
        <w:t>et al</w:t>
      </w:r>
      <w:r w:rsidR="00A16B73" w:rsidRPr="00BC4758">
        <w:rPr>
          <w:rFonts w:ascii="Times New Roman" w:hAnsi="Times New Roman" w:cs="Times New Roman"/>
          <w:sz w:val="24"/>
          <w:szCs w:val="24"/>
        </w:rPr>
        <w:t xml:space="preserve">., 2022). </w:t>
      </w:r>
      <w:r w:rsidR="00EF0716" w:rsidRPr="00EF0716">
        <w:rPr>
          <w:rFonts w:ascii="Times New Roman" w:hAnsi="Times New Roman" w:cs="Times New Roman"/>
          <w:sz w:val="24"/>
          <w:szCs w:val="24"/>
          <w:highlight w:val="green"/>
        </w:rPr>
        <w:t>T</w:t>
      </w:r>
      <w:r w:rsidR="00A16B73" w:rsidRPr="00EF0716">
        <w:rPr>
          <w:rFonts w:ascii="Times New Roman" w:hAnsi="Times New Roman" w:cs="Times New Roman"/>
          <w:sz w:val="24"/>
          <w:szCs w:val="24"/>
          <w:highlight w:val="green"/>
        </w:rPr>
        <w:t>his</w:t>
      </w:r>
      <w:r w:rsidR="00A16B73" w:rsidRPr="00BC4758">
        <w:rPr>
          <w:rFonts w:ascii="Times New Roman" w:hAnsi="Times New Roman" w:cs="Times New Roman"/>
          <w:sz w:val="24"/>
          <w:szCs w:val="24"/>
        </w:rPr>
        <w:t xml:space="preserve"> paradoxical increase may indicate a compensatory response to heightened inflam</w:t>
      </w:r>
      <w:r w:rsidRPr="00BC4758">
        <w:rPr>
          <w:rFonts w:ascii="Times New Roman" w:hAnsi="Times New Roman" w:cs="Times New Roman"/>
          <w:sz w:val="24"/>
          <w:szCs w:val="24"/>
        </w:rPr>
        <w:t>matory burden in T2DM (</w:t>
      </w:r>
      <w:r w:rsidR="00A16B73" w:rsidRPr="00BC4758">
        <w:rPr>
          <w:rFonts w:ascii="Times New Roman" w:hAnsi="Times New Roman" w:cs="Times New Roman"/>
          <w:sz w:val="24"/>
          <w:szCs w:val="24"/>
        </w:rPr>
        <w:t xml:space="preserve">dos Santos Haber </w:t>
      </w:r>
      <w:r w:rsidR="00A16B73" w:rsidRPr="00BC4758">
        <w:rPr>
          <w:rFonts w:ascii="Times New Roman" w:hAnsi="Times New Roman" w:cs="Times New Roman"/>
          <w:i/>
          <w:iCs/>
          <w:sz w:val="24"/>
          <w:szCs w:val="24"/>
        </w:rPr>
        <w:t>et al</w:t>
      </w:r>
      <w:r w:rsidR="00A16B73" w:rsidRPr="00BC4758">
        <w:rPr>
          <w:rFonts w:ascii="Times New Roman" w:hAnsi="Times New Roman" w:cs="Times New Roman"/>
          <w:sz w:val="24"/>
          <w:szCs w:val="24"/>
        </w:rPr>
        <w:t xml:space="preserve">., 2023). </w:t>
      </w:r>
    </w:p>
    <w:p w14:paraId="51DC6A6E" w14:textId="03B873EA" w:rsidR="00D44C7B" w:rsidRPr="00BC4758" w:rsidRDefault="00A16B73" w:rsidP="00A16B73">
      <w:pPr>
        <w:spacing w:line="480" w:lineRule="auto"/>
        <w:jc w:val="both"/>
        <w:rPr>
          <w:rFonts w:ascii="Times New Roman" w:hAnsi="Times New Roman" w:cs="Times New Roman"/>
          <w:sz w:val="24"/>
          <w:szCs w:val="24"/>
        </w:rPr>
      </w:pPr>
      <w:r w:rsidRPr="00BC4758">
        <w:rPr>
          <w:rFonts w:ascii="Times New Roman" w:hAnsi="Times New Roman" w:cs="Times New Roman"/>
          <w:sz w:val="24"/>
          <w:szCs w:val="24"/>
        </w:rPr>
        <w:t>Notably, albumin levels remained compar</w:t>
      </w:r>
      <w:r w:rsidR="00D44C7B" w:rsidRPr="00BC4758">
        <w:rPr>
          <w:rFonts w:ascii="Times New Roman" w:hAnsi="Times New Roman" w:cs="Times New Roman"/>
          <w:sz w:val="24"/>
          <w:szCs w:val="24"/>
        </w:rPr>
        <w:t>a</w:t>
      </w:r>
      <w:r w:rsidR="00EF0716">
        <w:rPr>
          <w:rFonts w:ascii="Times New Roman" w:hAnsi="Times New Roman" w:cs="Times New Roman"/>
          <w:sz w:val="24"/>
          <w:szCs w:val="24"/>
        </w:rPr>
        <w:t xml:space="preserve">ble between groups (p &gt; 0.05). </w:t>
      </w:r>
      <w:r w:rsidR="00EF0716" w:rsidRPr="00EF0716">
        <w:rPr>
          <w:rFonts w:ascii="Times New Roman" w:hAnsi="Times New Roman" w:cs="Times New Roman"/>
          <w:sz w:val="24"/>
          <w:szCs w:val="24"/>
          <w:highlight w:val="green"/>
        </w:rPr>
        <w:t>T</w:t>
      </w:r>
      <w:r w:rsidR="00D44C7B" w:rsidRPr="00EF0716">
        <w:rPr>
          <w:rFonts w:ascii="Times New Roman" w:hAnsi="Times New Roman" w:cs="Times New Roman"/>
          <w:sz w:val="24"/>
          <w:szCs w:val="24"/>
          <w:highlight w:val="green"/>
        </w:rPr>
        <w:t>his</w:t>
      </w:r>
      <w:r w:rsidR="00D44C7B" w:rsidRPr="00BC4758">
        <w:rPr>
          <w:rFonts w:ascii="Times New Roman" w:hAnsi="Times New Roman" w:cs="Times New Roman"/>
          <w:sz w:val="24"/>
          <w:szCs w:val="24"/>
        </w:rPr>
        <w:t xml:space="preserve"> is in keeping with the reports of Analike </w:t>
      </w:r>
      <w:r w:rsidR="00D44C7B" w:rsidRPr="00BC4758">
        <w:rPr>
          <w:rFonts w:ascii="Times New Roman" w:hAnsi="Times New Roman" w:cs="Times New Roman"/>
          <w:i/>
          <w:sz w:val="24"/>
          <w:szCs w:val="24"/>
        </w:rPr>
        <w:t>et al</w:t>
      </w:r>
      <w:r w:rsidR="00D44C7B" w:rsidRPr="00BC4758">
        <w:rPr>
          <w:rFonts w:ascii="Times New Roman" w:hAnsi="Times New Roman" w:cs="Times New Roman"/>
          <w:sz w:val="24"/>
          <w:szCs w:val="24"/>
        </w:rPr>
        <w:t>. (2019) that documented no significant alterations in diabetic patients compared to control subjects.</w:t>
      </w:r>
      <w:r w:rsidR="009B3179" w:rsidRPr="00BC4758">
        <w:rPr>
          <w:rFonts w:ascii="Times New Roman" w:hAnsi="Times New Roman" w:cs="Times New Roman"/>
          <w:sz w:val="24"/>
          <w:szCs w:val="24"/>
        </w:rPr>
        <w:t xml:space="preserve"> </w:t>
      </w:r>
      <w:r w:rsidR="00EE79BB" w:rsidRPr="00BC4758">
        <w:rPr>
          <w:rFonts w:ascii="Times New Roman" w:hAnsi="Times New Roman" w:cs="Times New Roman"/>
          <w:sz w:val="24"/>
          <w:szCs w:val="24"/>
        </w:rPr>
        <w:t>Nevertheless, some other studies showed lower serum albumin levels in diabetic patients than in control group (</w:t>
      </w:r>
      <w:r w:rsidR="006935AF" w:rsidRPr="00BC4758">
        <w:rPr>
          <w:rFonts w:ascii="Times New Roman" w:hAnsi="Times New Roman" w:cs="Times New Roman"/>
          <w:sz w:val="24"/>
          <w:szCs w:val="24"/>
        </w:rPr>
        <w:t xml:space="preserve">Ubani </w:t>
      </w:r>
      <w:r w:rsidR="006935AF" w:rsidRPr="00BC4758">
        <w:rPr>
          <w:rFonts w:ascii="Times New Roman" w:hAnsi="Times New Roman" w:cs="Times New Roman"/>
          <w:i/>
          <w:sz w:val="24"/>
          <w:szCs w:val="24"/>
        </w:rPr>
        <w:t>et al</w:t>
      </w:r>
      <w:r w:rsidR="006935AF" w:rsidRPr="00BC4758">
        <w:rPr>
          <w:rFonts w:ascii="Times New Roman" w:hAnsi="Times New Roman" w:cs="Times New Roman"/>
          <w:sz w:val="24"/>
          <w:szCs w:val="24"/>
        </w:rPr>
        <w:t xml:space="preserve">., 2024; Junaid </w:t>
      </w:r>
      <w:r w:rsidR="006935AF" w:rsidRPr="00BC4758">
        <w:rPr>
          <w:rFonts w:ascii="Times New Roman" w:hAnsi="Times New Roman" w:cs="Times New Roman"/>
          <w:i/>
          <w:sz w:val="24"/>
          <w:szCs w:val="24"/>
        </w:rPr>
        <w:t>et al</w:t>
      </w:r>
      <w:r w:rsidR="006935AF" w:rsidRPr="00BC4758">
        <w:rPr>
          <w:rFonts w:ascii="Times New Roman" w:hAnsi="Times New Roman" w:cs="Times New Roman"/>
          <w:sz w:val="24"/>
          <w:szCs w:val="24"/>
        </w:rPr>
        <w:t xml:space="preserve">., 2022; </w:t>
      </w:r>
      <w:r w:rsidR="00EE79BB" w:rsidRPr="00BC4758">
        <w:rPr>
          <w:rFonts w:ascii="Times New Roman" w:hAnsi="Times New Roman" w:cs="Times New Roman"/>
          <w:sz w:val="24"/>
          <w:szCs w:val="24"/>
        </w:rPr>
        <w:t xml:space="preserve">Chang </w:t>
      </w:r>
      <w:r w:rsidR="00EE79BB" w:rsidRPr="00BC4758">
        <w:rPr>
          <w:rFonts w:ascii="Times New Roman" w:hAnsi="Times New Roman" w:cs="Times New Roman"/>
          <w:i/>
          <w:sz w:val="24"/>
          <w:szCs w:val="24"/>
        </w:rPr>
        <w:t>et al</w:t>
      </w:r>
      <w:r w:rsidR="00EE79BB" w:rsidRPr="00BC4758">
        <w:rPr>
          <w:rFonts w:ascii="Times New Roman" w:hAnsi="Times New Roman" w:cs="Times New Roman"/>
          <w:sz w:val="24"/>
          <w:szCs w:val="24"/>
        </w:rPr>
        <w:t xml:space="preserve">., 2019). </w:t>
      </w:r>
      <w:r w:rsidR="006935AF" w:rsidRPr="00BC4758">
        <w:rPr>
          <w:rFonts w:ascii="Times New Roman" w:hAnsi="Times New Roman" w:cs="Times New Roman"/>
          <w:sz w:val="24"/>
          <w:szCs w:val="24"/>
        </w:rPr>
        <w:t>T</w:t>
      </w:r>
      <w:r w:rsidR="009B3179" w:rsidRPr="00BC4758">
        <w:rPr>
          <w:rFonts w:ascii="Times New Roman" w:hAnsi="Times New Roman" w:cs="Times New Roman"/>
          <w:sz w:val="24"/>
          <w:szCs w:val="24"/>
        </w:rPr>
        <w:t xml:space="preserve">he disparity in the results by </w:t>
      </w:r>
      <w:r w:rsidR="006935AF" w:rsidRPr="00BC4758">
        <w:rPr>
          <w:rFonts w:ascii="Times New Roman" w:hAnsi="Times New Roman" w:cs="Times New Roman"/>
          <w:sz w:val="24"/>
          <w:szCs w:val="24"/>
        </w:rPr>
        <w:t xml:space="preserve">these various studies may be due to variations in the durations of diabetes mellitus patients recruited in the different studies as well as the differences in the sample sizes employed. </w:t>
      </w:r>
    </w:p>
    <w:p w14:paraId="0FEBDC26" w14:textId="2D966DC8" w:rsidR="00A16B73" w:rsidRPr="00BC4758" w:rsidRDefault="00A16B73" w:rsidP="00A16B73">
      <w:pPr>
        <w:spacing w:line="480" w:lineRule="auto"/>
        <w:jc w:val="both"/>
        <w:rPr>
          <w:rFonts w:ascii="Times New Roman" w:hAnsi="Times New Roman" w:cs="Times New Roman"/>
          <w:sz w:val="24"/>
          <w:szCs w:val="24"/>
        </w:rPr>
      </w:pPr>
      <w:r w:rsidRPr="00BC4758">
        <w:rPr>
          <w:rFonts w:ascii="Times New Roman" w:hAnsi="Times New Roman" w:cs="Times New Roman"/>
          <w:sz w:val="24"/>
          <w:szCs w:val="24"/>
        </w:rPr>
        <w:t>The lack of significant correlations in this study may be attributed</w:t>
      </w:r>
      <w:r w:rsidR="00ED4B62" w:rsidRPr="00BC4758">
        <w:rPr>
          <w:rFonts w:ascii="Times New Roman" w:hAnsi="Times New Roman" w:cs="Times New Roman"/>
          <w:sz w:val="24"/>
          <w:szCs w:val="24"/>
        </w:rPr>
        <w:t xml:space="preserve"> to sample size limitations</w:t>
      </w:r>
      <w:r w:rsidRPr="00BC4758">
        <w:rPr>
          <w:rFonts w:ascii="Times New Roman" w:hAnsi="Times New Roman" w:cs="Times New Roman"/>
          <w:sz w:val="24"/>
          <w:szCs w:val="24"/>
        </w:rPr>
        <w:t xml:space="preserve">. In male control subjects, a significant negative correlation between IL-10 and age was observed, </w:t>
      </w:r>
      <w:r w:rsidRPr="00BC4758">
        <w:rPr>
          <w:rFonts w:ascii="Times New Roman" w:hAnsi="Times New Roman" w:cs="Times New Roman"/>
          <w:sz w:val="24"/>
          <w:szCs w:val="24"/>
        </w:rPr>
        <w:lastRenderedPageBreak/>
        <w:t xml:space="preserve">indicating that IL-10 levels declined with increasing age in healthy individuals. This aligns with studies suggesting that aging is associated with a decrease in anti-inflammatory cytokines, potentially contributing to a pro-inflammatory state (Navarro-González </w:t>
      </w:r>
      <w:r w:rsidRPr="00BC4758">
        <w:rPr>
          <w:rFonts w:ascii="Times New Roman" w:hAnsi="Times New Roman" w:cs="Times New Roman"/>
          <w:i/>
          <w:iCs/>
          <w:sz w:val="24"/>
          <w:szCs w:val="24"/>
        </w:rPr>
        <w:t>et al</w:t>
      </w:r>
      <w:r w:rsidRPr="00BC4758">
        <w:rPr>
          <w:rFonts w:ascii="Times New Roman" w:hAnsi="Times New Roman" w:cs="Times New Roman"/>
          <w:sz w:val="24"/>
          <w:szCs w:val="24"/>
        </w:rPr>
        <w:t xml:space="preserve">., 2011). However, no significant correlations were found between TNF-α and IL-10, albumin, or age, suggesting that in the absence of metabolic dysregulation, these biomarkers </w:t>
      </w:r>
      <w:r w:rsidR="00EF0716">
        <w:rPr>
          <w:rFonts w:ascii="Times New Roman" w:hAnsi="Times New Roman" w:cs="Times New Roman"/>
          <w:sz w:val="24"/>
          <w:szCs w:val="24"/>
        </w:rPr>
        <w:t xml:space="preserve">may not be interrelated. </w:t>
      </w:r>
      <w:r w:rsidR="00EF0716" w:rsidRPr="00EF0716">
        <w:rPr>
          <w:rFonts w:ascii="Times New Roman" w:hAnsi="Times New Roman" w:cs="Times New Roman"/>
          <w:sz w:val="24"/>
          <w:szCs w:val="24"/>
          <w:highlight w:val="green"/>
        </w:rPr>
        <w:t>Notably</w:t>
      </w:r>
      <w:r w:rsidRPr="00EF0716">
        <w:rPr>
          <w:rFonts w:ascii="Times New Roman" w:hAnsi="Times New Roman" w:cs="Times New Roman"/>
          <w:sz w:val="24"/>
          <w:szCs w:val="24"/>
          <w:highlight w:val="green"/>
        </w:rPr>
        <w:t>,</w:t>
      </w:r>
      <w:r w:rsidRPr="00BC4758">
        <w:rPr>
          <w:rFonts w:ascii="Times New Roman" w:hAnsi="Times New Roman" w:cs="Times New Roman"/>
          <w:sz w:val="24"/>
          <w:szCs w:val="24"/>
        </w:rPr>
        <w:t xml:space="preserve"> the study did not assess correlations in female subjects, limiting the ability to assess sex-based differences in these associations. Previous research has indicated that inflammatory responses and cytokine profiles may differ between sexes, potentially influencing T2DM path</w:t>
      </w:r>
      <w:r w:rsidR="00534624" w:rsidRPr="00BC4758">
        <w:rPr>
          <w:rFonts w:ascii="Times New Roman" w:hAnsi="Times New Roman" w:cs="Times New Roman"/>
          <w:sz w:val="24"/>
          <w:szCs w:val="24"/>
        </w:rPr>
        <w:t xml:space="preserve">ogenesis and progression (Panagi </w:t>
      </w:r>
      <w:r w:rsidR="00534624" w:rsidRPr="00BC4758">
        <w:rPr>
          <w:rFonts w:ascii="Times New Roman" w:hAnsi="Times New Roman" w:cs="Times New Roman"/>
          <w:i/>
          <w:sz w:val="24"/>
          <w:szCs w:val="24"/>
        </w:rPr>
        <w:t>et al</w:t>
      </w:r>
      <w:r w:rsidR="00534624" w:rsidRPr="00BC4758">
        <w:rPr>
          <w:rFonts w:ascii="Times New Roman" w:hAnsi="Times New Roman" w:cs="Times New Roman"/>
          <w:sz w:val="24"/>
          <w:szCs w:val="24"/>
        </w:rPr>
        <w:t>., 2019</w:t>
      </w:r>
      <w:r w:rsidRPr="00BC4758">
        <w:rPr>
          <w:rFonts w:ascii="Times New Roman" w:hAnsi="Times New Roman" w:cs="Times New Roman"/>
          <w:sz w:val="24"/>
          <w:szCs w:val="24"/>
        </w:rPr>
        <w:t xml:space="preserve">). Future studies should include sex-specific analyses to elucidate these potential differences. </w:t>
      </w:r>
    </w:p>
    <w:bookmarkEnd w:id="7"/>
    <w:p w14:paraId="66695DA4" w14:textId="77777777" w:rsidR="0082432D" w:rsidRPr="00BC4758" w:rsidRDefault="0082432D" w:rsidP="0082432D">
      <w:pPr>
        <w:spacing w:line="480" w:lineRule="auto"/>
        <w:jc w:val="both"/>
        <w:rPr>
          <w:rFonts w:ascii="Times New Roman" w:hAnsi="Times New Roman" w:cs="Times New Roman"/>
          <w:sz w:val="24"/>
          <w:szCs w:val="24"/>
        </w:rPr>
      </w:pPr>
      <w:r w:rsidRPr="00BC4758">
        <w:rPr>
          <w:rFonts w:ascii="Times New Roman" w:hAnsi="Times New Roman" w:cs="Times New Roman"/>
          <w:sz w:val="24"/>
          <w:szCs w:val="24"/>
        </w:rPr>
        <w:t>Potential limitations included the small sample size, which may limit generalizability. Additionally, only male participants were included, precluding sex-based comparisons. Biomarker levels were assessed at a single time point, limiting insights into temporal changes in inflammation and albumin levels. Future studies should incorporate longitudinal designs with larger, more diverse populations to enhance generalizability and causal inference.</w:t>
      </w:r>
    </w:p>
    <w:p w14:paraId="733A537D" w14:textId="77777777" w:rsidR="00553012" w:rsidRPr="00BC4758" w:rsidRDefault="00514472">
      <w:pPr>
        <w:rPr>
          <w:rFonts w:ascii="Times New Roman" w:hAnsi="Times New Roman" w:cs="Times New Roman"/>
          <w:b/>
          <w:sz w:val="24"/>
          <w:szCs w:val="24"/>
        </w:rPr>
      </w:pPr>
      <w:r w:rsidRPr="00BC4758">
        <w:rPr>
          <w:rFonts w:ascii="Times New Roman" w:hAnsi="Times New Roman" w:cs="Times New Roman"/>
          <w:b/>
          <w:sz w:val="24"/>
          <w:szCs w:val="24"/>
        </w:rPr>
        <w:t>CONCLUSION</w:t>
      </w:r>
    </w:p>
    <w:p w14:paraId="1FA1C65E" w14:textId="4C66C8A2" w:rsidR="007C7BD4" w:rsidRDefault="007C7BD4" w:rsidP="007C7BD4">
      <w:pPr>
        <w:spacing w:line="480" w:lineRule="auto"/>
        <w:jc w:val="both"/>
        <w:rPr>
          <w:rFonts w:ascii="Times New Roman" w:hAnsi="Times New Roman" w:cs="Times New Roman"/>
          <w:sz w:val="24"/>
          <w:szCs w:val="24"/>
        </w:rPr>
      </w:pPr>
      <w:r w:rsidRPr="00BC4758">
        <w:rPr>
          <w:rFonts w:ascii="Times New Roman" w:hAnsi="Times New Roman" w:cs="Times New Roman"/>
          <w:sz w:val="24"/>
          <w:szCs w:val="24"/>
        </w:rPr>
        <w:t>The study highlights the significant role of inflammatory markers in</w:t>
      </w:r>
      <w:r w:rsidR="00B9454B">
        <w:rPr>
          <w:rFonts w:ascii="Times New Roman" w:hAnsi="Times New Roman" w:cs="Times New Roman"/>
          <w:sz w:val="24"/>
          <w:szCs w:val="24"/>
        </w:rPr>
        <w:t xml:space="preserve"> </w:t>
      </w:r>
      <w:r w:rsidR="00B9454B" w:rsidRPr="00B9454B">
        <w:rPr>
          <w:rFonts w:ascii="Times New Roman" w:hAnsi="Times New Roman" w:cs="Times New Roman"/>
          <w:sz w:val="24"/>
          <w:szCs w:val="24"/>
          <w:highlight w:val="green"/>
        </w:rPr>
        <w:t>Type 2 Diabetes Mellitus</w:t>
      </w:r>
      <w:r w:rsidRPr="00B9454B">
        <w:rPr>
          <w:rFonts w:ascii="Times New Roman" w:hAnsi="Times New Roman" w:cs="Times New Roman"/>
          <w:sz w:val="24"/>
          <w:szCs w:val="24"/>
          <w:highlight w:val="green"/>
        </w:rPr>
        <w:t>,</w:t>
      </w:r>
      <w:r w:rsidRPr="00BC4758">
        <w:rPr>
          <w:rFonts w:ascii="Times New Roman" w:hAnsi="Times New Roman" w:cs="Times New Roman"/>
          <w:sz w:val="24"/>
          <w:szCs w:val="24"/>
        </w:rPr>
        <w:t xml:space="preserve"> with elevated TNF-α and IL-10 levels observed in male T2DM patients, indicating a complex interplay between pro- and anti-inflammatory responses. While albumin levels did not differ significantly between groups, the negative correlation between IL-10 and age in male controls suggests age-related declines in anti-inflammatory activity. </w:t>
      </w:r>
    </w:p>
    <w:p w14:paraId="6B4C37A4" w14:textId="77777777" w:rsidR="00912F64" w:rsidRPr="00573D01" w:rsidRDefault="00912F64" w:rsidP="00912F64">
      <w:pPr>
        <w:rPr>
          <w:rFonts w:ascii="Calibri" w:eastAsia="Calibri" w:hAnsi="Calibri" w:cs="Times New Roman"/>
          <w:kern w:val="2"/>
          <w:highlight w:val="green"/>
        </w:rPr>
      </w:pPr>
      <w:bookmarkStart w:id="9" w:name="_Hlk197682619"/>
      <w:bookmarkStart w:id="10" w:name="_Hlk180402183"/>
      <w:bookmarkStart w:id="11" w:name="_Hlk183680988"/>
      <w:r w:rsidRPr="00573D01">
        <w:rPr>
          <w:rFonts w:ascii="Calibri" w:eastAsia="Calibri" w:hAnsi="Calibri" w:cs="Times New Roman"/>
          <w:kern w:val="2"/>
          <w:highlight w:val="green"/>
        </w:rPr>
        <w:t>Disclaimer (Artificial intelligence)</w:t>
      </w:r>
    </w:p>
    <w:p w14:paraId="65FF759A" w14:textId="77777777" w:rsidR="00912F64" w:rsidRPr="00573D01" w:rsidRDefault="00912F64" w:rsidP="00912F64">
      <w:pPr>
        <w:rPr>
          <w:rFonts w:ascii="Calibri" w:eastAsia="Calibri" w:hAnsi="Calibri" w:cs="Times New Roman"/>
          <w:kern w:val="2"/>
          <w:highlight w:val="green"/>
        </w:rPr>
      </w:pPr>
      <w:r w:rsidRPr="00573D01">
        <w:rPr>
          <w:rFonts w:ascii="Calibri" w:eastAsia="Calibri" w:hAnsi="Calibri" w:cs="Times New Roman"/>
          <w:kern w:val="2"/>
          <w:highlight w:val="green"/>
        </w:rPr>
        <w:t xml:space="preserve">Option 1: </w:t>
      </w:r>
    </w:p>
    <w:p w14:paraId="144F8BDC" w14:textId="77777777" w:rsidR="00912F64" w:rsidRPr="00573D01" w:rsidRDefault="00912F64" w:rsidP="00912F64">
      <w:pPr>
        <w:rPr>
          <w:rFonts w:ascii="Calibri" w:eastAsia="Calibri" w:hAnsi="Calibri" w:cs="Times New Roman"/>
          <w:kern w:val="2"/>
          <w:highlight w:val="green"/>
        </w:rPr>
      </w:pPr>
      <w:r w:rsidRPr="00573D01">
        <w:rPr>
          <w:rFonts w:ascii="Calibri" w:eastAsia="Calibri" w:hAnsi="Calibri" w:cs="Times New Roman"/>
          <w:kern w:val="2"/>
          <w:highlight w:val="green"/>
        </w:rPr>
        <w:lastRenderedPageBreak/>
        <w:t xml:space="preserve">Author(s) hereby declare that NO generative AI technologies such as Large Language Models (ChatGPT, COPILOT, etc.) and text-to-image generators have been used during the writing or editing of this manuscript. </w:t>
      </w:r>
    </w:p>
    <w:bookmarkEnd w:id="9"/>
    <w:bookmarkEnd w:id="10"/>
    <w:bookmarkEnd w:id="11"/>
    <w:p w14:paraId="6B53074E" w14:textId="77777777" w:rsidR="00912F64" w:rsidRPr="00BC4758" w:rsidRDefault="00912F64" w:rsidP="007C7BD4">
      <w:pPr>
        <w:spacing w:line="480" w:lineRule="auto"/>
        <w:jc w:val="both"/>
        <w:rPr>
          <w:rFonts w:ascii="Times New Roman" w:hAnsi="Times New Roman" w:cs="Times New Roman"/>
          <w:sz w:val="24"/>
          <w:szCs w:val="24"/>
        </w:rPr>
      </w:pPr>
    </w:p>
    <w:p w14:paraId="1C43C39D" w14:textId="77777777" w:rsidR="00514472" w:rsidRPr="00BC4758" w:rsidRDefault="00FE08B2">
      <w:pPr>
        <w:rPr>
          <w:rFonts w:ascii="Times New Roman" w:hAnsi="Times New Roman" w:cs="Times New Roman"/>
          <w:b/>
          <w:sz w:val="24"/>
          <w:szCs w:val="24"/>
        </w:rPr>
      </w:pPr>
      <w:r w:rsidRPr="00BC4758">
        <w:rPr>
          <w:rFonts w:ascii="Times New Roman" w:hAnsi="Times New Roman" w:cs="Times New Roman"/>
          <w:b/>
          <w:sz w:val="24"/>
          <w:szCs w:val="24"/>
        </w:rPr>
        <w:t>REFERENCES</w:t>
      </w:r>
    </w:p>
    <w:p w14:paraId="6EB4321A" w14:textId="77777777" w:rsidR="00331EF5" w:rsidRPr="00BC4758" w:rsidRDefault="00331EF5" w:rsidP="00331EF5">
      <w:pPr>
        <w:spacing w:line="240" w:lineRule="auto"/>
        <w:jc w:val="both"/>
        <w:rPr>
          <w:rFonts w:ascii="Times New Roman" w:hAnsi="Times New Roman" w:cs="Times New Roman"/>
          <w:sz w:val="24"/>
          <w:szCs w:val="24"/>
        </w:rPr>
      </w:pPr>
    </w:p>
    <w:p w14:paraId="11F30802" w14:textId="77777777" w:rsidR="00331EF5" w:rsidRPr="00BC4758" w:rsidRDefault="00331EF5" w:rsidP="00331EF5">
      <w:pPr>
        <w:spacing w:line="24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Agarwal, S., Mishra, A., Katiyar, P., Kumar, C., Kushwaha, S., kumar, H. (2024). Diabetes Mellitus: Understanding the Disease, Its Diagnosis, and Management Strategies in Present Scenario. </w:t>
      </w:r>
      <w:r w:rsidRPr="00BC4758">
        <w:rPr>
          <w:rFonts w:ascii="Times New Roman" w:hAnsi="Times New Roman" w:cs="Times New Roman"/>
          <w:i/>
          <w:sz w:val="24"/>
          <w:szCs w:val="24"/>
        </w:rPr>
        <w:t>African Journal of Biomedical Research</w:t>
      </w:r>
      <w:r w:rsidRPr="00BC4758">
        <w:rPr>
          <w:rFonts w:ascii="Times New Roman" w:hAnsi="Times New Roman" w:cs="Times New Roman"/>
          <w:sz w:val="24"/>
          <w:szCs w:val="24"/>
        </w:rPr>
        <w:t xml:space="preserve">, 27(3), 320-331. </w:t>
      </w:r>
    </w:p>
    <w:p w14:paraId="3386F23E" w14:textId="77777777" w:rsidR="00331EF5" w:rsidRPr="00BC4758" w:rsidRDefault="00331EF5" w:rsidP="00331EF5">
      <w:pPr>
        <w:spacing w:line="240" w:lineRule="auto"/>
        <w:jc w:val="both"/>
        <w:rPr>
          <w:rFonts w:ascii="Times New Roman" w:hAnsi="Times New Roman" w:cs="Times New Roman"/>
          <w:sz w:val="24"/>
          <w:szCs w:val="24"/>
        </w:rPr>
      </w:pPr>
    </w:p>
    <w:p w14:paraId="5B08133B" w14:textId="77777777" w:rsidR="00331EF5" w:rsidRPr="00BC4758" w:rsidRDefault="00331EF5" w:rsidP="00331EF5">
      <w:pPr>
        <w:spacing w:line="24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Akash, M.S.H., Rehman, K., &amp; Liaqat, A. (2018). Tumor Necrosis Factor-Alpha: Role in Development of Insulin Resistance and Pathogenesis of Type 2 Diabetes Mellitus. </w:t>
      </w:r>
      <w:r w:rsidRPr="00BC4758">
        <w:rPr>
          <w:rFonts w:ascii="Times New Roman" w:hAnsi="Times New Roman" w:cs="Times New Roman"/>
          <w:i/>
          <w:iCs/>
          <w:sz w:val="24"/>
          <w:szCs w:val="24"/>
        </w:rPr>
        <w:t>Journal of Cellular Biochemistry</w:t>
      </w:r>
      <w:r w:rsidRPr="00BC4758">
        <w:rPr>
          <w:rFonts w:ascii="Times New Roman" w:hAnsi="Times New Roman" w:cs="Times New Roman"/>
          <w:sz w:val="24"/>
          <w:szCs w:val="24"/>
        </w:rPr>
        <w:t xml:space="preserve">, </w:t>
      </w:r>
      <w:r w:rsidRPr="00BC4758">
        <w:rPr>
          <w:rFonts w:ascii="Times New Roman" w:hAnsi="Times New Roman" w:cs="Times New Roman"/>
          <w:i/>
          <w:iCs/>
          <w:sz w:val="24"/>
          <w:szCs w:val="24"/>
        </w:rPr>
        <w:t>119</w:t>
      </w:r>
      <w:r w:rsidRPr="00BC4758">
        <w:rPr>
          <w:rFonts w:ascii="Times New Roman" w:hAnsi="Times New Roman" w:cs="Times New Roman"/>
          <w:sz w:val="24"/>
          <w:szCs w:val="24"/>
        </w:rPr>
        <w:t xml:space="preserve">(1), 105–110. </w:t>
      </w:r>
      <w:hyperlink r:id="rId7" w:history="1">
        <w:r w:rsidRPr="00BC4758">
          <w:rPr>
            <w:rStyle w:val="Hyperlink"/>
            <w:rFonts w:ascii="Times New Roman" w:hAnsi="Times New Roman" w:cs="Times New Roman"/>
            <w:sz w:val="24"/>
            <w:szCs w:val="24"/>
          </w:rPr>
          <w:t>https://doi.org/10.1002/jcb.26174</w:t>
        </w:r>
      </w:hyperlink>
    </w:p>
    <w:p w14:paraId="5FD6AF0D" w14:textId="77777777" w:rsidR="00331EF5" w:rsidRPr="00BC4758" w:rsidRDefault="00331EF5" w:rsidP="00331EF5">
      <w:pPr>
        <w:spacing w:line="240" w:lineRule="auto"/>
        <w:jc w:val="both"/>
        <w:rPr>
          <w:rFonts w:ascii="Times New Roman" w:hAnsi="Times New Roman" w:cs="Times New Roman"/>
          <w:sz w:val="24"/>
          <w:szCs w:val="24"/>
        </w:rPr>
      </w:pPr>
    </w:p>
    <w:p w14:paraId="4A065FC9" w14:textId="77777777" w:rsidR="00331EF5" w:rsidRPr="00BC4758" w:rsidRDefault="00331EF5" w:rsidP="00331EF5">
      <w:pPr>
        <w:spacing w:line="24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Alhalwani, A., Khan, M., Bahadur, R., Almalki, H., &amp; Sannan, N. (2023). Assessment of Globulin Levels and Albumin-to-globulin Ratio in Patients with Type 2 Diabetes and Retinopathy: A Retrospective Single-center Study . </w:t>
      </w:r>
      <w:r w:rsidRPr="00BC4758">
        <w:rPr>
          <w:rFonts w:ascii="Times New Roman" w:hAnsi="Times New Roman" w:cs="Times New Roman"/>
          <w:i/>
          <w:sz w:val="24"/>
          <w:szCs w:val="24"/>
        </w:rPr>
        <w:t>Open Ophthalmology Journal</w:t>
      </w:r>
      <w:r w:rsidRPr="00BC4758">
        <w:rPr>
          <w:rFonts w:ascii="Times New Roman" w:hAnsi="Times New Roman" w:cs="Times New Roman"/>
          <w:sz w:val="24"/>
          <w:szCs w:val="24"/>
        </w:rPr>
        <w:t xml:space="preserve">, 2023; </w:t>
      </w:r>
      <w:r w:rsidRPr="00BC4758">
        <w:rPr>
          <w:rFonts w:ascii="Times New Roman" w:hAnsi="Times New Roman" w:cs="Times New Roman"/>
          <w:i/>
          <w:sz w:val="24"/>
          <w:szCs w:val="24"/>
        </w:rPr>
        <w:t>17</w:t>
      </w:r>
      <w:r w:rsidRPr="00BC4758">
        <w:rPr>
          <w:rFonts w:ascii="Times New Roman" w:hAnsi="Times New Roman" w:cs="Times New Roman"/>
          <w:sz w:val="24"/>
          <w:szCs w:val="24"/>
        </w:rPr>
        <w:t xml:space="preserve">, e18743641277168. </w:t>
      </w:r>
      <w:hyperlink r:id="rId8" w:tgtFrame="_blank" w:history="1">
        <w:r w:rsidRPr="00BC4758">
          <w:rPr>
            <w:rStyle w:val="Hyperlink"/>
            <w:rFonts w:ascii="Times New Roman" w:hAnsi="Times New Roman" w:cs="Times New Roman"/>
            <w:sz w:val="24"/>
            <w:szCs w:val="24"/>
          </w:rPr>
          <w:t>http://dx.doi.org/10.2174/0118743641277168231201102545</w:t>
        </w:r>
      </w:hyperlink>
    </w:p>
    <w:p w14:paraId="71958898" w14:textId="77777777" w:rsidR="00331EF5" w:rsidRPr="00BC4758" w:rsidRDefault="00331EF5" w:rsidP="00331EF5">
      <w:pPr>
        <w:spacing w:line="240" w:lineRule="auto"/>
        <w:jc w:val="both"/>
        <w:rPr>
          <w:rFonts w:ascii="Times New Roman" w:hAnsi="Times New Roman" w:cs="Times New Roman"/>
          <w:sz w:val="24"/>
          <w:szCs w:val="24"/>
        </w:rPr>
      </w:pPr>
    </w:p>
    <w:p w14:paraId="10A6229D" w14:textId="77777777" w:rsidR="00331EF5" w:rsidRPr="00BC4758" w:rsidRDefault="00331EF5" w:rsidP="00331EF5">
      <w:pPr>
        <w:autoSpaceDE w:val="0"/>
        <w:autoSpaceDN w:val="0"/>
        <w:adjustRightInd w:val="0"/>
        <w:spacing w:line="240" w:lineRule="auto"/>
        <w:jc w:val="both"/>
        <w:rPr>
          <w:rFonts w:ascii="Times New Roman" w:hAnsi="Times New Roman" w:cs="Times New Roman"/>
          <w:b/>
          <w:sz w:val="24"/>
          <w:szCs w:val="24"/>
        </w:rPr>
      </w:pPr>
      <w:r w:rsidRPr="00BC4758">
        <w:rPr>
          <w:rFonts w:ascii="Times New Roman" w:hAnsi="Times New Roman" w:cs="Times New Roman"/>
          <w:sz w:val="24"/>
          <w:szCs w:val="24"/>
        </w:rPr>
        <w:t xml:space="preserve">Analike, R.A., Ihim, A.C., Iweanya, S.C., Ogbodo, E.C., Onah, C.E., Asomugha, A.L., Amah, A.K., Obi, P.C., Nwobodo, E.I., &amp; Timothy, C.O. (2019). Assessment of glycated haemoglobin, total protein and albumin levels in patients with type 2 diabetes mellitus visiting NAUTH, Nnewi. </w:t>
      </w:r>
      <w:r w:rsidRPr="00BC4758">
        <w:rPr>
          <w:rFonts w:ascii="Times New Roman" w:hAnsi="Times New Roman" w:cs="Times New Roman"/>
          <w:i/>
          <w:iCs/>
          <w:sz w:val="24"/>
          <w:szCs w:val="24"/>
        </w:rPr>
        <w:t xml:space="preserve">Indian Journal of Pathology and Oncology, </w:t>
      </w:r>
      <w:r w:rsidRPr="00BC4758">
        <w:rPr>
          <w:rFonts w:ascii="Times New Roman" w:hAnsi="Times New Roman" w:cs="Times New Roman"/>
          <w:i/>
          <w:sz w:val="24"/>
          <w:szCs w:val="24"/>
        </w:rPr>
        <w:t>6</w:t>
      </w:r>
      <w:r w:rsidRPr="00BC4758">
        <w:rPr>
          <w:rFonts w:ascii="Times New Roman" w:hAnsi="Times New Roman" w:cs="Times New Roman"/>
          <w:sz w:val="24"/>
          <w:szCs w:val="24"/>
        </w:rPr>
        <w:t xml:space="preserve">(4), 700-703. </w:t>
      </w:r>
      <w:hyperlink r:id="rId9" w:tgtFrame="_blank" w:tooltip="Article DOI" w:history="1">
        <w:r w:rsidRPr="00BC4758">
          <w:rPr>
            <w:rStyle w:val="Hyperlink"/>
            <w:rFonts w:ascii="Times New Roman" w:hAnsi="Times New Roman" w:cs="Times New Roman"/>
            <w:sz w:val="24"/>
            <w:szCs w:val="24"/>
          </w:rPr>
          <w:t xml:space="preserve">https://doi.org/ 10.18231/j.ijpo.2019.132 </w:t>
        </w:r>
      </w:hyperlink>
    </w:p>
    <w:p w14:paraId="508A8A05" w14:textId="77777777" w:rsidR="00331EF5" w:rsidRPr="00BC4758" w:rsidRDefault="00331EF5" w:rsidP="00331EF5">
      <w:pPr>
        <w:spacing w:line="240" w:lineRule="auto"/>
        <w:jc w:val="both"/>
        <w:rPr>
          <w:rFonts w:ascii="Times New Roman" w:hAnsi="Times New Roman" w:cs="Times New Roman"/>
          <w:b/>
          <w:sz w:val="24"/>
          <w:szCs w:val="24"/>
        </w:rPr>
      </w:pPr>
    </w:p>
    <w:p w14:paraId="6DDDC95D" w14:textId="77777777" w:rsidR="00331EF5" w:rsidRPr="00BC4758" w:rsidRDefault="00331EF5" w:rsidP="00331EF5">
      <w:pPr>
        <w:spacing w:line="24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Ayelign, B., Negash, M., Andualem, H., Wondemagegn, T., Kassa, E., Shibabaw, T., Akalu, Y., &amp; Molla, M. D. (2021). Association of IL-10 (- 1082 A/G) and IL-6 (- 174 G/C) gene polymorphism with type 2 diabetes mellitus in Ethiopia population. </w:t>
      </w:r>
      <w:r w:rsidRPr="00BC4758">
        <w:rPr>
          <w:rFonts w:ascii="Times New Roman" w:hAnsi="Times New Roman" w:cs="Times New Roman"/>
          <w:i/>
          <w:iCs/>
          <w:sz w:val="24"/>
          <w:szCs w:val="24"/>
        </w:rPr>
        <w:t>BMC Endocrine Disorders</w:t>
      </w:r>
      <w:r w:rsidRPr="00BC4758">
        <w:rPr>
          <w:rFonts w:ascii="Times New Roman" w:hAnsi="Times New Roman" w:cs="Times New Roman"/>
          <w:sz w:val="24"/>
          <w:szCs w:val="24"/>
        </w:rPr>
        <w:t xml:space="preserve">, </w:t>
      </w:r>
      <w:r w:rsidRPr="00BC4758">
        <w:rPr>
          <w:rFonts w:ascii="Times New Roman" w:hAnsi="Times New Roman" w:cs="Times New Roman"/>
          <w:i/>
          <w:iCs/>
          <w:sz w:val="24"/>
          <w:szCs w:val="24"/>
        </w:rPr>
        <w:t>21</w:t>
      </w:r>
      <w:r w:rsidRPr="00BC4758">
        <w:rPr>
          <w:rFonts w:ascii="Times New Roman" w:hAnsi="Times New Roman" w:cs="Times New Roman"/>
          <w:sz w:val="24"/>
          <w:szCs w:val="24"/>
        </w:rPr>
        <w:t>(1), 70. https://doi.org/10.1186/s12902-021-00738-1</w:t>
      </w:r>
    </w:p>
    <w:p w14:paraId="7082F609" w14:textId="77777777" w:rsidR="00331EF5" w:rsidRPr="00BC4758" w:rsidRDefault="00331EF5" w:rsidP="00331EF5">
      <w:pPr>
        <w:spacing w:line="240" w:lineRule="auto"/>
        <w:jc w:val="both"/>
        <w:rPr>
          <w:rFonts w:ascii="Times New Roman" w:hAnsi="Times New Roman" w:cs="Times New Roman"/>
          <w:sz w:val="24"/>
          <w:szCs w:val="24"/>
        </w:rPr>
      </w:pPr>
    </w:p>
    <w:p w14:paraId="6B259DD8" w14:textId="77777777" w:rsidR="00331EF5" w:rsidRPr="00BC4758" w:rsidRDefault="00331EF5" w:rsidP="00331EF5">
      <w:pPr>
        <w:spacing w:line="24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Bashir, H., Ahmad Bhat, S., Majid, S., Hamid, R., Koul, R. K., Rehman, M. U., Din, I., Ahmad Bhat, J., Qadir, J., &amp; Masood, A. (2020). Role of inflammatory mediators (TNF-α, IL-6, CRP), biochemical and hematological parameters in type 2 diabetes mellitus patients of Kashmir, India. </w:t>
      </w:r>
      <w:r w:rsidRPr="00BC4758">
        <w:rPr>
          <w:rFonts w:ascii="Times New Roman" w:hAnsi="Times New Roman" w:cs="Times New Roman"/>
          <w:i/>
          <w:iCs/>
          <w:sz w:val="24"/>
          <w:szCs w:val="24"/>
        </w:rPr>
        <w:t>Medical Journal of the Islamic Republic of Iran</w:t>
      </w:r>
      <w:r w:rsidRPr="00BC4758">
        <w:rPr>
          <w:rFonts w:ascii="Times New Roman" w:hAnsi="Times New Roman" w:cs="Times New Roman"/>
          <w:sz w:val="24"/>
          <w:szCs w:val="24"/>
        </w:rPr>
        <w:t xml:space="preserve">, </w:t>
      </w:r>
      <w:r w:rsidRPr="00BC4758">
        <w:rPr>
          <w:rFonts w:ascii="Times New Roman" w:hAnsi="Times New Roman" w:cs="Times New Roman"/>
          <w:i/>
          <w:iCs/>
          <w:sz w:val="24"/>
          <w:szCs w:val="24"/>
        </w:rPr>
        <w:t>34</w:t>
      </w:r>
      <w:r w:rsidRPr="00BC4758">
        <w:rPr>
          <w:rFonts w:ascii="Times New Roman" w:hAnsi="Times New Roman" w:cs="Times New Roman"/>
          <w:sz w:val="24"/>
          <w:szCs w:val="24"/>
        </w:rPr>
        <w:t>, 5. https://doi.org/10.34171/mjiri.34.5</w:t>
      </w:r>
    </w:p>
    <w:p w14:paraId="1D255AF0" w14:textId="77777777" w:rsidR="00331EF5" w:rsidRPr="00BC4758" w:rsidRDefault="00331EF5" w:rsidP="00331EF5">
      <w:pPr>
        <w:spacing w:line="240" w:lineRule="auto"/>
        <w:jc w:val="both"/>
        <w:rPr>
          <w:rFonts w:ascii="Times New Roman" w:hAnsi="Times New Roman" w:cs="Times New Roman"/>
          <w:sz w:val="24"/>
          <w:szCs w:val="24"/>
        </w:rPr>
      </w:pPr>
    </w:p>
    <w:p w14:paraId="3D1E5938" w14:textId="6F29D25B" w:rsidR="00331EF5" w:rsidRPr="00BC4758" w:rsidRDefault="00331EF5" w:rsidP="00331EF5">
      <w:pPr>
        <w:spacing w:line="240" w:lineRule="auto"/>
        <w:jc w:val="both"/>
        <w:rPr>
          <w:rFonts w:ascii="Times New Roman" w:hAnsi="Times New Roman" w:cs="Times New Roman"/>
          <w:sz w:val="24"/>
          <w:szCs w:val="24"/>
        </w:rPr>
      </w:pPr>
      <w:r w:rsidRPr="00BC4758">
        <w:rPr>
          <w:rFonts w:ascii="Times New Roman" w:hAnsi="Times New Roman" w:cs="Times New Roman"/>
          <w:sz w:val="24"/>
          <w:szCs w:val="24"/>
        </w:rPr>
        <w:lastRenderedPageBreak/>
        <w:t>Bashir, H., Hayat Bhat, M., &amp; Majid, S. (2022). Molecular Pathogenesis of Inflammatory Cytokines in Insuli</w:t>
      </w:r>
      <w:r w:rsidR="00B30841">
        <w:rPr>
          <w:rFonts w:ascii="Times New Roman" w:hAnsi="Times New Roman" w:cs="Times New Roman"/>
          <w:sz w:val="24"/>
          <w:szCs w:val="24"/>
        </w:rPr>
        <w:t xml:space="preserve">n Resistance Diabetes Mellitus. </w:t>
      </w:r>
      <w:r w:rsidRPr="00B30841">
        <w:rPr>
          <w:rFonts w:ascii="Times New Roman" w:hAnsi="Times New Roman" w:cs="Times New Roman"/>
          <w:sz w:val="24"/>
          <w:szCs w:val="24"/>
          <w:highlight w:val="green"/>
        </w:rPr>
        <w:t>I</w:t>
      </w:r>
      <w:r w:rsidRPr="00B30841">
        <w:rPr>
          <w:rFonts w:ascii="Times New Roman" w:hAnsi="Times New Roman" w:cs="Times New Roman"/>
          <w:i/>
          <w:sz w:val="24"/>
          <w:szCs w:val="24"/>
          <w:highlight w:val="green"/>
        </w:rPr>
        <w:t>ntechOpen</w:t>
      </w:r>
      <w:r w:rsidR="00B30841" w:rsidRPr="00B30841">
        <w:rPr>
          <w:rFonts w:ascii="Times New Roman" w:hAnsi="Times New Roman" w:cs="Times New Roman"/>
          <w:sz w:val="24"/>
          <w:szCs w:val="24"/>
          <w:highlight w:val="green"/>
        </w:rPr>
        <w:t xml:space="preserve">. </w:t>
      </w:r>
      <w:hyperlink r:id="rId10" w:history="1">
        <w:r w:rsidR="00B30841" w:rsidRPr="00B30841">
          <w:rPr>
            <w:rStyle w:val="Hyperlink"/>
            <w:rFonts w:ascii="Times New Roman" w:hAnsi="Times New Roman" w:cs="Times New Roman"/>
            <w:sz w:val="24"/>
            <w:szCs w:val="24"/>
            <w:highlight w:val="green"/>
          </w:rPr>
          <w:t>https://doi.org/10.5772/intechopen.100971</w:t>
        </w:r>
      </w:hyperlink>
      <w:r w:rsidR="00B30841">
        <w:rPr>
          <w:rFonts w:ascii="Times New Roman" w:hAnsi="Times New Roman" w:cs="Times New Roman"/>
          <w:sz w:val="24"/>
          <w:szCs w:val="24"/>
        </w:rPr>
        <w:t xml:space="preserve"> </w:t>
      </w:r>
    </w:p>
    <w:p w14:paraId="50517D61" w14:textId="77777777" w:rsidR="00331EF5" w:rsidRPr="00BC4758" w:rsidRDefault="00331EF5" w:rsidP="00331EF5">
      <w:pPr>
        <w:spacing w:line="240" w:lineRule="auto"/>
        <w:jc w:val="both"/>
        <w:rPr>
          <w:rFonts w:ascii="Times New Roman" w:hAnsi="Times New Roman" w:cs="Times New Roman"/>
          <w:sz w:val="24"/>
          <w:szCs w:val="24"/>
        </w:rPr>
      </w:pPr>
    </w:p>
    <w:p w14:paraId="6143C961" w14:textId="77777777" w:rsidR="00331EF5" w:rsidRPr="00BC4758" w:rsidRDefault="00331EF5" w:rsidP="00331EF5">
      <w:pPr>
        <w:spacing w:line="24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Chang, D.C., Xu, X., Ferrante, A.W., Krakoff, J. (2019). Reduced plasma albumin predicts type 2 diabetes and is associated with greater adipose tissue macrophage content and activation. </w:t>
      </w:r>
      <w:r w:rsidRPr="00BC4758">
        <w:rPr>
          <w:rFonts w:ascii="Times New Roman" w:hAnsi="Times New Roman" w:cs="Times New Roman"/>
          <w:i/>
          <w:iCs/>
          <w:sz w:val="24"/>
          <w:szCs w:val="24"/>
        </w:rPr>
        <w:t>Diabetology and Metabolic Syndr</w:t>
      </w:r>
      <w:r w:rsidRPr="00BC4758">
        <w:rPr>
          <w:rFonts w:ascii="Times New Roman" w:hAnsi="Times New Roman" w:cs="Times New Roman"/>
          <w:sz w:val="24"/>
          <w:szCs w:val="24"/>
        </w:rPr>
        <w:t xml:space="preserve">ome, </w:t>
      </w:r>
      <w:r w:rsidRPr="00BC4758">
        <w:rPr>
          <w:rFonts w:ascii="Times New Roman" w:hAnsi="Times New Roman" w:cs="Times New Roman"/>
          <w:bCs/>
          <w:i/>
          <w:sz w:val="24"/>
          <w:szCs w:val="24"/>
        </w:rPr>
        <w:t>11</w:t>
      </w:r>
      <w:r w:rsidRPr="00BC4758">
        <w:rPr>
          <w:rFonts w:ascii="Times New Roman" w:hAnsi="Times New Roman" w:cs="Times New Roman"/>
          <w:sz w:val="24"/>
          <w:szCs w:val="24"/>
        </w:rPr>
        <w:t xml:space="preserve">, 14. </w:t>
      </w:r>
      <w:hyperlink r:id="rId11" w:history="1">
        <w:r w:rsidRPr="00BC4758">
          <w:rPr>
            <w:rStyle w:val="Hyperlink"/>
            <w:rFonts w:ascii="Times New Roman" w:hAnsi="Times New Roman" w:cs="Times New Roman"/>
            <w:sz w:val="24"/>
            <w:szCs w:val="24"/>
          </w:rPr>
          <w:t>https://doi.org/10.1186/s13098-019-0409-y</w:t>
        </w:r>
      </w:hyperlink>
    </w:p>
    <w:p w14:paraId="00917199" w14:textId="77777777" w:rsidR="00331EF5" w:rsidRPr="00BC4758" w:rsidRDefault="00331EF5" w:rsidP="00331EF5">
      <w:pPr>
        <w:spacing w:line="240" w:lineRule="auto"/>
        <w:jc w:val="both"/>
        <w:rPr>
          <w:rFonts w:ascii="Times New Roman" w:hAnsi="Times New Roman" w:cs="Times New Roman"/>
          <w:sz w:val="24"/>
          <w:szCs w:val="24"/>
        </w:rPr>
      </w:pPr>
    </w:p>
    <w:p w14:paraId="66BFA883" w14:textId="77777777" w:rsidR="00331EF5" w:rsidRPr="00BC4758" w:rsidRDefault="00331EF5" w:rsidP="00331EF5">
      <w:pPr>
        <w:spacing w:line="24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Charan, J., &amp; Biswas, T. (2013). How to calculate sample size for different study designs in medical research?. </w:t>
      </w:r>
      <w:r w:rsidRPr="00BC4758">
        <w:rPr>
          <w:rFonts w:ascii="Times New Roman" w:hAnsi="Times New Roman" w:cs="Times New Roman"/>
          <w:i/>
          <w:iCs/>
          <w:sz w:val="24"/>
          <w:szCs w:val="24"/>
        </w:rPr>
        <w:t>Indian Journal of Psychological Medicine</w:t>
      </w:r>
      <w:r w:rsidRPr="00BC4758">
        <w:rPr>
          <w:rFonts w:ascii="Times New Roman" w:hAnsi="Times New Roman" w:cs="Times New Roman"/>
          <w:sz w:val="24"/>
          <w:szCs w:val="24"/>
        </w:rPr>
        <w:t xml:space="preserve">, </w:t>
      </w:r>
      <w:r w:rsidRPr="00BC4758">
        <w:rPr>
          <w:rFonts w:ascii="Times New Roman" w:hAnsi="Times New Roman" w:cs="Times New Roman"/>
          <w:i/>
          <w:iCs/>
          <w:sz w:val="24"/>
          <w:szCs w:val="24"/>
        </w:rPr>
        <w:t>35</w:t>
      </w:r>
      <w:r w:rsidRPr="00BC4758">
        <w:rPr>
          <w:rFonts w:ascii="Times New Roman" w:hAnsi="Times New Roman" w:cs="Times New Roman"/>
          <w:sz w:val="24"/>
          <w:szCs w:val="24"/>
        </w:rPr>
        <w:t xml:space="preserve">(2), 121–126. </w:t>
      </w:r>
      <w:hyperlink r:id="rId12" w:history="1">
        <w:r w:rsidRPr="00BC4758">
          <w:rPr>
            <w:rStyle w:val="Hyperlink"/>
            <w:rFonts w:ascii="Times New Roman" w:hAnsi="Times New Roman" w:cs="Times New Roman"/>
            <w:sz w:val="24"/>
            <w:szCs w:val="24"/>
          </w:rPr>
          <w:t>https://doi.org/10.4103/0253-7176.116232</w:t>
        </w:r>
      </w:hyperlink>
      <w:r w:rsidRPr="00BC4758">
        <w:rPr>
          <w:rFonts w:ascii="Times New Roman" w:hAnsi="Times New Roman" w:cs="Times New Roman"/>
          <w:sz w:val="24"/>
          <w:szCs w:val="24"/>
        </w:rPr>
        <w:t xml:space="preserve"> </w:t>
      </w:r>
    </w:p>
    <w:p w14:paraId="61B090B1" w14:textId="77777777" w:rsidR="00331EF5" w:rsidRPr="00BC4758" w:rsidRDefault="00331EF5" w:rsidP="00331EF5">
      <w:pPr>
        <w:spacing w:line="240" w:lineRule="auto"/>
        <w:jc w:val="both"/>
        <w:rPr>
          <w:rFonts w:ascii="Times New Roman" w:hAnsi="Times New Roman" w:cs="Times New Roman"/>
          <w:b/>
          <w:sz w:val="24"/>
          <w:szCs w:val="24"/>
        </w:rPr>
      </w:pPr>
    </w:p>
    <w:p w14:paraId="4DABB935" w14:textId="6C2629EF" w:rsidR="00331EF5" w:rsidRPr="00BC4758" w:rsidRDefault="00331EF5" w:rsidP="00331EF5">
      <w:pPr>
        <w:spacing w:line="24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Chen, Y. L., Qiao, Y. C., Xu, Y., Ling, W., Pan, Y. H., Huang, Y. C., Geng, L. J., Zhao, H. L., &amp; Zhang, X. X. (2017). Serum TNF-α concentrations in type 2 diabetes mellitus patients and diabetic nephropathy patients: A systematic review and meta-analysis. </w:t>
      </w:r>
      <w:r w:rsidRPr="00BC4758">
        <w:rPr>
          <w:rFonts w:ascii="Times New Roman" w:hAnsi="Times New Roman" w:cs="Times New Roman"/>
          <w:i/>
          <w:iCs/>
          <w:sz w:val="24"/>
          <w:szCs w:val="24"/>
        </w:rPr>
        <w:t>Immunology Letters</w:t>
      </w:r>
      <w:r w:rsidRPr="00BC4758">
        <w:rPr>
          <w:rFonts w:ascii="Times New Roman" w:hAnsi="Times New Roman" w:cs="Times New Roman"/>
          <w:sz w:val="24"/>
          <w:szCs w:val="24"/>
        </w:rPr>
        <w:t xml:space="preserve">, </w:t>
      </w:r>
      <w:r w:rsidRPr="00BC4758">
        <w:rPr>
          <w:rFonts w:ascii="Times New Roman" w:hAnsi="Times New Roman" w:cs="Times New Roman"/>
          <w:i/>
          <w:iCs/>
          <w:sz w:val="24"/>
          <w:szCs w:val="24"/>
        </w:rPr>
        <w:t>186</w:t>
      </w:r>
      <w:r w:rsidRPr="00BC4758">
        <w:rPr>
          <w:rFonts w:ascii="Times New Roman" w:hAnsi="Times New Roman" w:cs="Times New Roman"/>
          <w:sz w:val="24"/>
          <w:szCs w:val="24"/>
        </w:rPr>
        <w:t xml:space="preserve">, 52–58. </w:t>
      </w:r>
      <w:hyperlink r:id="rId13" w:history="1">
        <w:r w:rsidR="00B30841" w:rsidRPr="00304538">
          <w:rPr>
            <w:rStyle w:val="Hyperlink"/>
            <w:rFonts w:ascii="Times New Roman" w:hAnsi="Times New Roman" w:cs="Times New Roman"/>
            <w:sz w:val="24"/>
            <w:szCs w:val="24"/>
          </w:rPr>
          <w:t>https://doi.org/10.1016/j.imlet.2017.04.003</w:t>
        </w:r>
      </w:hyperlink>
      <w:r w:rsidR="00B30841">
        <w:rPr>
          <w:rFonts w:ascii="Times New Roman" w:hAnsi="Times New Roman" w:cs="Times New Roman"/>
          <w:sz w:val="24"/>
          <w:szCs w:val="24"/>
        </w:rPr>
        <w:t xml:space="preserve"> </w:t>
      </w:r>
    </w:p>
    <w:p w14:paraId="4FECF71A" w14:textId="77777777" w:rsidR="00331EF5" w:rsidRPr="00BC4758" w:rsidRDefault="00331EF5" w:rsidP="00331EF5">
      <w:pPr>
        <w:spacing w:line="240" w:lineRule="auto"/>
        <w:jc w:val="both"/>
        <w:rPr>
          <w:rFonts w:ascii="Times New Roman" w:hAnsi="Times New Roman" w:cs="Times New Roman"/>
          <w:b/>
          <w:sz w:val="24"/>
          <w:szCs w:val="24"/>
        </w:rPr>
      </w:pPr>
    </w:p>
    <w:p w14:paraId="50D079E9" w14:textId="77777777" w:rsidR="00331EF5" w:rsidRPr="00BC4758" w:rsidRDefault="00331EF5" w:rsidP="00331EF5">
      <w:pPr>
        <w:spacing w:line="24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Chijioke, A., Adamu, A.N, </w:t>
      </w:r>
      <w:r w:rsidRPr="00093158">
        <w:rPr>
          <w:rFonts w:ascii="Times New Roman" w:hAnsi="Times New Roman" w:cs="Times New Roman"/>
          <w:sz w:val="24"/>
          <w:szCs w:val="24"/>
        </w:rPr>
        <w:t>&amp;</w:t>
      </w:r>
      <w:r w:rsidRPr="00BC4758">
        <w:rPr>
          <w:rFonts w:ascii="Times New Roman" w:hAnsi="Times New Roman" w:cs="Times New Roman"/>
          <w:sz w:val="24"/>
          <w:szCs w:val="24"/>
        </w:rPr>
        <w:t xml:space="preserve"> Makusidi, A.M. (2010). Mortality patterns among type 2 diabetes mellitus patients in Ilorin, Nigeria. </w:t>
      </w:r>
      <w:r w:rsidRPr="00BC4758">
        <w:rPr>
          <w:rStyle w:val="Emphasis"/>
          <w:rFonts w:ascii="Times New Roman" w:hAnsi="Times New Roman" w:cs="Times New Roman"/>
          <w:sz w:val="24"/>
          <w:szCs w:val="24"/>
        </w:rPr>
        <w:t>Journal of Endocrinology, Metabolism and Diabetes of South Africa (</w:t>
      </w:r>
      <w:r w:rsidRPr="00BC4758">
        <w:rPr>
          <w:rFonts w:ascii="Times New Roman" w:hAnsi="Times New Roman" w:cs="Times New Roman"/>
          <w:sz w:val="24"/>
          <w:szCs w:val="24"/>
        </w:rPr>
        <w:t xml:space="preserve">JEMDSA), </w:t>
      </w:r>
      <w:r w:rsidRPr="00BC4758">
        <w:rPr>
          <w:rFonts w:ascii="Times New Roman" w:hAnsi="Times New Roman" w:cs="Times New Roman"/>
          <w:i/>
          <w:sz w:val="24"/>
          <w:szCs w:val="24"/>
        </w:rPr>
        <w:t>15</w:t>
      </w:r>
      <w:r w:rsidRPr="00BC4758">
        <w:rPr>
          <w:rFonts w:ascii="Times New Roman" w:hAnsi="Times New Roman" w:cs="Times New Roman"/>
          <w:sz w:val="24"/>
          <w:szCs w:val="24"/>
        </w:rPr>
        <w:t>(2), 79–82.</w:t>
      </w:r>
    </w:p>
    <w:p w14:paraId="68E1B4D6" w14:textId="77777777" w:rsidR="00331EF5" w:rsidRPr="00BC4758" w:rsidRDefault="00331EF5" w:rsidP="00331EF5">
      <w:pPr>
        <w:spacing w:line="240" w:lineRule="auto"/>
        <w:jc w:val="both"/>
        <w:rPr>
          <w:rFonts w:ascii="Times New Roman" w:hAnsi="Times New Roman" w:cs="Times New Roman"/>
          <w:sz w:val="24"/>
          <w:szCs w:val="24"/>
        </w:rPr>
      </w:pPr>
    </w:p>
    <w:p w14:paraId="35E363BD" w14:textId="77777777" w:rsidR="00331EF5" w:rsidRPr="00BC4758" w:rsidRDefault="00331EF5" w:rsidP="00331EF5">
      <w:pPr>
        <w:spacing w:line="240" w:lineRule="auto"/>
        <w:jc w:val="both"/>
        <w:rPr>
          <w:rFonts w:ascii="Times New Roman" w:hAnsi="Times New Roman" w:cs="Times New Roman"/>
          <w:b/>
          <w:sz w:val="24"/>
          <w:szCs w:val="24"/>
        </w:rPr>
      </w:pPr>
      <w:r w:rsidRPr="00BC4758">
        <w:rPr>
          <w:rFonts w:ascii="Times New Roman" w:hAnsi="Times New Roman" w:cs="Times New Roman"/>
          <w:sz w:val="24"/>
          <w:szCs w:val="24"/>
        </w:rPr>
        <w:t xml:space="preserve">Dos Santos Haber, J.F., Barbalho, S.M., Sgarbi, J.A., de Argollo Haber, R.S., de Labio, R.W., Laurindo, L.F., Chagas, E.F.B., &amp; Payão, S.L.M. (2023). The Relationship between Type 1 Diabetes Mellitus, TNF-α, and IL-10 Gene Expression. </w:t>
      </w:r>
      <w:r w:rsidRPr="00BC4758">
        <w:rPr>
          <w:rFonts w:ascii="Times New Roman" w:hAnsi="Times New Roman" w:cs="Times New Roman"/>
          <w:i/>
          <w:iCs/>
          <w:sz w:val="24"/>
          <w:szCs w:val="24"/>
        </w:rPr>
        <w:t>Biomedicines</w:t>
      </w:r>
      <w:r w:rsidRPr="00BC4758">
        <w:rPr>
          <w:rFonts w:ascii="Times New Roman" w:hAnsi="Times New Roman" w:cs="Times New Roman"/>
          <w:sz w:val="24"/>
          <w:szCs w:val="24"/>
        </w:rPr>
        <w:t xml:space="preserve">, </w:t>
      </w:r>
      <w:r w:rsidRPr="00BC4758">
        <w:rPr>
          <w:rFonts w:ascii="Times New Roman" w:hAnsi="Times New Roman" w:cs="Times New Roman"/>
          <w:i/>
          <w:iCs/>
          <w:sz w:val="24"/>
          <w:szCs w:val="24"/>
        </w:rPr>
        <w:t>11</w:t>
      </w:r>
      <w:r w:rsidRPr="00BC4758">
        <w:rPr>
          <w:rFonts w:ascii="Times New Roman" w:hAnsi="Times New Roman" w:cs="Times New Roman"/>
          <w:sz w:val="24"/>
          <w:szCs w:val="24"/>
        </w:rPr>
        <w:t xml:space="preserve">(4), 1120. </w:t>
      </w:r>
      <w:hyperlink r:id="rId14" w:history="1">
        <w:r w:rsidRPr="00BC4758">
          <w:rPr>
            <w:rStyle w:val="Hyperlink"/>
            <w:rFonts w:ascii="Times New Roman" w:hAnsi="Times New Roman" w:cs="Times New Roman"/>
            <w:sz w:val="24"/>
            <w:szCs w:val="24"/>
          </w:rPr>
          <w:t>https://doi.org/10.3390/biomedicines11041120</w:t>
        </w:r>
      </w:hyperlink>
      <w:r w:rsidRPr="00BC4758">
        <w:rPr>
          <w:rFonts w:ascii="Times New Roman" w:hAnsi="Times New Roman" w:cs="Times New Roman"/>
          <w:sz w:val="24"/>
          <w:szCs w:val="24"/>
        </w:rPr>
        <w:t xml:space="preserve"> </w:t>
      </w:r>
    </w:p>
    <w:p w14:paraId="6F761602" w14:textId="77777777" w:rsidR="00331EF5" w:rsidRPr="00BC4758" w:rsidRDefault="00331EF5" w:rsidP="00331EF5">
      <w:pPr>
        <w:autoSpaceDE w:val="0"/>
        <w:autoSpaceDN w:val="0"/>
        <w:adjustRightInd w:val="0"/>
        <w:spacing w:line="240" w:lineRule="auto"/>
        <w:jc w:val="both"/>
        <w:rPr>
          <w:rFonts w:ascii="Times New Roman" w:hAnsi="Times New Roman" w:cs="Times New Roman"/>
          <w:b/>
          <w:sz w:val="24"/>
          <w:szCs w:val="24"/>
        </w:rPr>
      </w:pPr>
      <w:r w:rsidRPr="00BC4758">
        <w:rPr>
          <w:rFonts w:ascii="Times New Roman" w:hAnsi="Times New Roman" w:cs="Times New Roman"/>
          <w:sz w:val="24"/>
          <w:szCs w:val="24"/>
        </w:rPr>
        <w:t xml:space="preserve"> </w:t>
      </w:r>
    </w:p>
    <w:p w14:paraId="20374E74" w14:textId="77777777" w:rsidR="00331EF5" w:rsidRPr="00BC4758" w:rsidRDefault="00331EF5" w:rsidP="00331EF5">
      <w:pPr>
        <w:spacing w:line="240" w:lineRule="auto"/>
        <w:jc w:val="both"/>
        <w:rPr>
          <w:rFonts w:ascii="Times New Roman" w:hAnsi="Times New Roman" w:cs="Times New Roman"/>
          <w:b/>
          <w:sz w:val="24"/>
          <w:szCs w:val="24"/>
        </w:rPr>
      </w:pPr>
      <w:r w:rsidRPr="00BC4758">
        <w:rPr>
          <w:rFonts w:ascii="Times New Roman" w:hAnsi="Times New Roman" w:cs="Times New Roman"/>
          <w:sz w:val="24"/>
          <w:szCs w:val="24"/>
        </w:rPr>
        <w:t xml:space="preserve">Doumas, B.T., Watson, W.A., &amp; Biggs, H.G. (1971). Albumin standards and the measurement of serum albumin with bromcresol green. </w:t>
      </w:r>
      <w:r w:rsidRPr="00BC4758">
        <w:rPr>
          <w:rFonts w:ascii="Times New Roman" w:hAnsi="Times New Roman" w:cs="Times New Roman"/>
          <w:i/>
          <w:iCs/>
          <w:sz w:val="24"/>
          <w:szCs w:val="24"/>
        </w:rPr>
        <w:t>Clinica Chimica Acta; International Journal of Clinical Chemistry</w:t>
      </w:r>
      <w:r w:rsidRPr="00BC4758">
        <w:rPr>
          <w:rFonts w:ascii="Times New Roman" w:hAnsi="Times New Roman" w:cs="Times New Roman"/>
          <w:sz w:val="24"/>
          <w:szCs w:val="24"/>
        </w:rPr>
        <w:t xml:space="preserve">, </w:t>
      </w:r>
      <w:r w:rsidRPr="00BC4758">
        <w:rPr>
          <w:rFonts w:ascii="Times New Roman" w:hAnsi="Times New Roman" w:cs="Times New Roman"/>
          <w:i/>
          <w:iCs/>
          <w:sz w:val="24"/>
          <w:szCs w:val="24"/>
        </w:rPr>
        <w:t>31</w:t>
      </w:r>
      <w:r w:rsidRPr="00BC4758">
        <w:rPr>
          <w:rFonts w:ascii="Times New Roman" w:hAnsi="Times New Roman" w:cs="Times New Roman"/>
          <w:sz w:val="24"/>
          <w:szCs w:val="24"/>
        </w:rPr>
        <w:t xml:space="preserve">(1), 87–96. </w:t>
      </w:r>
      <w:hyperlink r:id="rId15" w:history="1">
        <w:r w:rsidRPr="00BC4758">
          <w:rPr>
            <w:rStyle w:val="Hyperlink"/>
            <w:rFonts w:ascii="Times New Roman" w:hAnsi="Times New Roman" w:cs="Times New Roman"/>
            <w:sz w:val="24"/>
            <w:szCs w:val="24"/>
          </w:rPr>
          <w:t>https://doi.org/10.1016/0009-8981(71)90365-2</w:t>
        </w:r>
      </w:hyperlink>
      <w:r w:rsidRPr="00BC4758">
        <w:rPr>
          <w:rFonts w:ascii="Times New Roman" w:hAnsi="Times New Roman" w:cs="Times New Roman"/>
          <w:sz w:val="24"/>
          <w:szCs w:val="24"/>
        </w:rPr>
        <w:t xml:space="preserve"> </w:t>
      </w:r>
    </w:p>
    <w:p w14:paraId="40154858" w14:textId="0F23B38F" w:rsidR="00331EF5" w:rsidRPr="00BC4758" w:rsidRDefault="00331EF5" w:rsidP="00331EF5">
      <w:pPr>
        <w:spacing w:line="240" w:lineRule="auto"/>
        <w:jc w:val="both"/>
        <w:rPr>
          <w:rFonts w:ascii="Times New Roman" w:hAnsi="Times New Roman" w:cs="Times New Roman"/>
          <w:sz w:val="24"/>
          <w:szCs w:val="24"/>
        </w:rPr>
      </w:pPr>
    </w:p>
    <w:p w14:paraId="0B852F90" w14:textId="30E00585" w:rsidR="00331EF5" w:rsidRPr="00093158" w:rsidRDefault="00331EF5" w:rsidP="00331EF5">
      <w:pPr>
        <w:spacing w:line="240" w:lineRule="auto"/>
        <w:jc w:val="both"/>
        <w:rPr>
          <w:rFonts w:ascii="Times New Roman" w:hAnsi="Times New Roman" w:cs="Times New Roman"/>
          <w:sz w:val="24"/>
          <w:szCs w:val="24"/>
        </w:rPr>
      </w:pPr>
      <w:r w:rsidRPr="00BC4758">
        <w:rPr>
          <w:rFonts w:ascii="Times New Roman" w:hAnsi="Times New Roman" w:cs="Times New Roman"/>
          <w:sz w:val="24"/>
          <w:szCs w:val="24"/>
        </w:rPr>
        <w:t>Flood, D., Seiglie, J.</w:t>
      </w:r>
      <w:r w:rsidRPr="00093158">
        <w:rPr>
          <w:rFonts w:ascii="Times New Roman" w:hAnsi="Times New Roman" w:cs="Times New Roman"/>
          <w:sz w:val="24"/>
          <w:szCs w:val="24"/>
        </w:rPr>
        <w:t>A., Dunn, M., Tschida</w:t>
      </w:r>
      <w:r w:rsidRPr="00BC4758">
        <w:rPr>
          <w:rFonts w:ascii="Times New Roman" w:hAnsi="Times New Roman" w:cs="Times New Roman"/>
          <w:sz w:val="24"/>
          <w:szCs w:val="24"/>
        </w:rPr>
        <w:t>, S., Theilmann, M., Marcus, M.</w:t>
      </w:r>
      <w:r w:rsidRPr="00093158">
        <w:rPr>
          <w:rFonts w:ascii="Times New Roman" w:hAnsi="Times New Roman" w:cs="Times New Roman"/>
          <w:sz w:val="24"/>
          <w:szCs w:val="24"/>
        </w:rPr>
        <w:t>E., B</w:t>
      </w:r>
      <w:r w:rsidRPr="00BC4758">
        <w:rPr>
          <w:rFonts w:ascii="Times New Roman" w:hAnsi="Times New Roman" w:cs="Times New Roman"/>
          <w:sz w:val="24"/>
          <w:szCs w:val="24"/>
        </w:rPr>
        <w:t>rian, G., Norov, B., Mayige, M.T., Singh Gurung, M., Aryal, K.</w:t>
      </w:r>
      <w:r w:rsidRPr="00093158">
        <w:rPr>
          <w:rFonts w:ascii="Times New Roman" w:hAnsi="Times New Roman" w:cs="Times New Roman"/>
          <w:sz w:val="24"/>
          <w:szCs w:val="24"/>
        </w:rPr>
        <w:t>K., Labadarios</w:t>
      </w:r>
      <w:r w:rsidRPr="00BC4758">
        <w:rPr>
          <w:rFonts w:ascii="Times New Roman" w:hAnsi="Times New Roman" w:cs="Times New Roman"/>
          <w:sz w:val="24"/>
          <w:szCs w:val="24"/>
        </w:rPr>
        <w:t>, D., Dorobantu, M., Silver, B.</w:t>
      </w:r>
      <w:r w:rsidRPr="00093158">
        <w:rPr>
          <w:rFonts w:ascii="Times New Roman" w:hAnsi="Times New Roman" w:cs="Times New Roman"/>
          <w:sz w:val="24"/>
          <w:szCs w:val="24"/>
        </w:rPr>
        <w:t xml:space="preserve">K., </w:t>
      </w:r>
      <w:r w:rsidRPr="00BC4758">
        <w:rPr>
          <w:rFonts w:ascii="Times New Roman" w:hAnsi="Times New Roman" w:cs="Times New Roman"/>
          <w:sz w:val="24"/>
          <w:szCs w:val="24"/>
        </w:rPr>
        <w:t>Bovet, P., Adelin Jorgensen, J.</w:t>
      </w:r>
      <w:r w:rsidRPr="00093158">
        <w:rPr>
          <w:rFonts w:ascii="Times New Roman" w:hAnsi="Times New Roman" w:cs="Times New Roman"/>
          <w:sz w:val="24"/>
          <w:szCs w:val="24"/>
        </w:rPr>
        <w:t>M., Guwatudde, D., Houehanou, C., Andall-Brereton, G., Q</w:t>
      </w:r>
      <w:r w:rsidRPr="00BC4758">
        <w:rPr>
          <w:rFonts w:ascii="Times New Roman" w:hAnsi="Times New Roman" w:cs="Times New Roman"/>
          <w:sz w:val="24"/>
          <w:szCs w:val="24"/>
        </w:rPr>
        <w:t xml:space="preserve">uesnel-Crooks, S., </w:t>
      </w:r>
      <w:r w:rsidRPr="00093158">
        <w:rPr>
          <w:rFonts w:ascii="Times New Roman" w:hAnsi="Times New Roman" w:cs="Times New Roman"/>
          <w:sz w:val="24"/>
          <w:szCs w:val="24"/>
        </w:rPr>
        <w:t xml:space="preserve">Manne-Goehler, J. (2021). The state of diabetes treatment coverage in 55 low-income and middle-income countries: a cross-sectional study of nationally representative, individual-level data in 680 102 adults. </w:t>
      </w:r>
      <w:r w:rsidRPr="00BC4758">
        <w:rPr>
          <w:rFonts w:ascii="Times New Roman" w:hAnsi="Times New Roman" w:cs="Times New Roman"/>
          <w:i/>
          <w:iCs/>
          <w:sz w:val="24"/>
          <w:szCs w:val="24"/>
        </w:rPr>
        <w:t>The Lancet. Healthy L</w:t>
      </w:r>
      <w:r w:rsidRPr="00093158">
        <w:rPr>
          <w:rFonts w:ascii="Times New Roman" w:hAnsi="Times New Roman" w:cs="Times New Roman"/>
          <w:i/>
          <w:iCs/>
          <w:sz w:val="24"/>
          <w:szCs w:val="24"/>
        </w:rPr>
        <w:t>ongevity</w:t>
      </w:r>
      <w:r w:rsidRPr="00093158">
        <w:rPr>
          <w:rFonts w:ascii="Times New Roman" w:hAnsi="Times New Roman" w:cs="Times New Roman"/>
          <w:sz w:val="24"/>
          <w:szCs w:val="24"/>
        </w:rPr>
        <w:t xml:space="preserve">, </w:t>
      </w:r>
      <w:r w:rsidRPr="00093158">
        <w:rPr>
          <w:rFonts w:ascii="Times New Roman" w:hAnsi="Times New Roman" w:cs="Times New Roman"/>
          <w:i/>
          <w:iCs/>
          <w:sz w:val="24"/>
          <w:szCs w:val="24"/>
        </w:rPr>
        <w:t>2</w:t>
      </w:r>
      <w:r w:rsidRPr="00093158">
        <w:rPr>
          <w:rFonts w:ascii="Times New Roman" w:hAnsi="Times New Roman" w:cs="Times New Roman"/>
          <w:sz w:val="24"/>
          <w:szCs w:val="24"/>
        </w:rPr>
        <w:t xml:space="preserve">(6), e340–e351. </w:t>
      </w:r>
      <w:hyperlink r:id="rId16" w:history="1">
        <w:r w:rsidR="00B30841" w:rsidRPr="00304538">
          <w:rPr>
            <w:rStyle w:val="Hyperlink"/>
            <w:rFonts w:ascii="Times New Roman" w:hAnsi="Times New Roman" w:cs="Times New Roman"/>
            <w:sz w:val="24"/>
            <w:szCs w:val="24"/>
          </w:rPr>
          <w:t>https://doi.org/10.1016/s2666-7568(21)00089-1</w:t>
        </w:r>
      </w:hyperlink>
      <w:r w:rsidR="00B30841">
        <w:rPr>
          <w:rFonts w:ascii="Times New Roman" w:hAnsi="Times New Roman" w:cs="Times New Roman"/>
          <w:sz w:val="24"/>
          <w:szCs w:val="24"/>
        </w:rPr>
        <w:t xml:space="preserve"> </w:t>
      </w:r>
    </w:p>
    <w:p w14:paraId="0F7E67C1" w14:textId="77777777" w:rsidR="00331EF5" w:rsidRPr="00BC4758" w:rsidRDefault="00331EF5" w:rsidP="00331EF5">
      <w:pPr>
        <w:spacing w:line="240" w:lineRule="auto"/>
        <w:jc w:val="both"/>
        <w:rPr>
          <w:rFonts w:ascii="Times New Roman" w:hAnsi="Times New Roman" w:cs="Times New Roman"/>
          <w:sz w:val="24"/>
          <w:szCs w:val="24"/>
        </w:rPr>
      </w:pPr>
    </w:p>
    <w:p w14:paraId="7F5F12AE" w14:textId="77777777" w:rsidR="00331EF5" w:rsidRPr="00BC4758" w:rsidRDefault="00331EF5" w:rsidP="00331EF5">
      <w:pPr>
        <w:spacing w:line="240" w:lineRule="auto"/>
        <w:jc w:val="both"/>
        <w:rPr>
          <w:rFonts w:ascii="Times New Roman" w:hAnsi="Times New Roman" w:cs="Times New Roman"/>
          <w:sz w:val="24"/>
          <w:szCs w:val="24"/>
        </w:rPr>
      </w:pPr>
      <w:r w:rsidRPr="00BC4758">
        <w:rPr>
          <w:rFonts w:ascii="Times New Roman" w:hAnsi="Times New Roman" w:cs="Times New Roman"/>
          <w:sz w:val="24"/>
          <w:szCs w:val="24"/>
        </w:rPr>
        <w:lastRenderedPageBreak/>
        <w:t>He, K.</w:t>
      </w:r>
      <w:r w:rsidRPr="00093158">
        <w:rPr>
          <w:rFonts w:ascii="Times New Roman" w:hAnsi="Times New Roman" w:cs="Times New Roman"/>
          <w:sz w:val="24"/>
          <w:szCs w:val="24"/>
        </w:rPr>
        <w:t xml:space="preserve">J., Wang, H., Xu, J., Gong, G., Liu, X., &amp; Guan, H. (2024). Global burden of type 2 diabetes mellitus from 1990 to 2021, with projections of prevalence to 2044: a systematic analysis across SDI levels for the global burden of disease study 2021. </w:t>
      </w:r>
      <w:r w:rsidRPr="00BC4758">
        <w:rPr>
          <w:rFonts w:ascii="Times New Roman" w:hAnsi="Times New Roman" w:cs="Times New Roman"/>
          <w:i/>
          <w:iCs/>
          <w:sz w:val="24"/>
          <w:szCs w:val="24"/>
        </w:rPr>
        <w:t>Frontiers in E</w:t>
      </w:r>
      <w:r w:rsidRPr="00093158">
        <w:rPr>
          <w:rFonts w:ascii="Times New Roman" w:hAnsi="Times New Roman" w:cs="Times New Roman"/>
          <w:i/>
          <w:iCs/>
          <w:sz w:val="24"/>
          <w:szCs w:val="24"/>
        </w:rPr>
        <w:t>ndocrinology</w:t>
      </w:r>
      <w:r w:rsidRPr="00093158">
        <w:rPr>
          <w:rFonts w:ascii="Times New Roman" w:hAnsi="Times New Roman" w:cs="Times New Roman"/>
          <w:sz w:val="24"/>
          <w:szCs w:val="24"/>
        </w:rPr>
        <w:t xml:space="preserve">, </w:t>
      </w:r>
      <w:r w:rsidRPr="00093158">
        <w:rPr>
          <w:rFonts w:ascii="Times New Roman" w:hAnsi="Times New Roman" w:cs="Times New Roman"/>
          <w:i/>
          <w:iCs/>
          <w:sz w:val="24"/>
          <w:szCs w:val="24"/>
        </w:rPr>
        <w:t>15</w:t>
      </w:r>
      <w:r w:rsidRPr="00093158">
        <w:rPr>
          <w:rFonts w:ascii="Times New Roman" w:hAnsi="Times New Roman" w:cs="Times New Roman"/>
          <w:sz w:val="24"/>
          <w:szCs w:val="24"/>
        </w:rPr>
        <w:t xml:space="preserve">, 1501690. </w:t>
      </w:r>
      <w:hyperlink r:id="rId17" w:history="1">
        <w:r w:rsidRPr="00BC4758">
          <w:rPr>
            <w:rStyle w:val="Hyperlink"/>
            <w:rFonts w:ascii="Times New Roman" w:hAnsi="Times New Roman" w:cs="Times New Roman"/>
            <w:sz w:val="24"/>
            <w:szCs w:val="24"/>
          </w:rPr>
          <w:t>https://doi.org/10.3389/fendo.2024.1501690</w:t>
        </w:r>
      </w:hyperlink>
    </w:p>
    <w:p w14:paraId="7D5C868F" w14:textId="77777777" w:rsidR="00331EF5" w:rsidRPr="00BC4758" w:rsidRDefault="00331EF5" w:rsidP="00331EF5">
      <w:pPr>
        <w:spacing w:line="240" w:lineRule="auto"/>
        <w:jc w:val="both"/>
        <w:rPr>
          <w:rFonts w:ascii="Times New Roman" w:hAnsi="Times New Roman" w:cs="Times New Roman"/>
          <w:sz w:val="24"/>
          <w:szCs w:val="24"/>
        </w:rPr>
      </w:pPr>
    </w:p>
    <w:p w14:paraId="61A304C6" w14:textId="0CA2BA8C" w:rsidR="00331EF5" w:rsidRPr="00093158" w:rsidRDefault="00331EF5" w:rsidP="00331EF5">
      <w:pPr>
        <w:spacing w:line="240" w:lineRule="auto"/>
        <w:jc w:val="both"/>
        <w:rPr>
          <w:rFonts w:ascii="Times New Roman" w:hAnsi="Times New Roman" w:cs="Times New Roman"/>
          <w:sz w:val="24"/>
          <w:szCs w:val="24"/>
        </w:rPr>
      </w:pPr>
      <w:r w:rsidRPr="00BC4758">
        <w:rPr>
          <w:rFonts w:ascii="Times New Roman" w:hAnsi="Times New Roman" w:cs="Times New Roman"/>
          <w:sz w:val="24"/>
          <w:szCs w:val="24"/>
        </w:rPr>
        <w:t>Hill-Briggs, F., Adler, N.E., Berkowitz, S.A., Chin, M.H., Gary-Webb, T.</w:t>
      </w:r>
      <w:r w:rsidRPr="00093158">
        <w:rPr>
          <w:rFonts w:ascii="Times New Roman" w:hAnsi="Times New Roman" w:cs="Times New Roman"/>
          <w:sz w:val="24"/>
          <w:szCs w:val="24"/>
        </w:rPr>
        <w:t>L.</w:t>
      </w:r>
      <w:r w:rsidRPr="00BC4758">
        <w:rPr>
          <w:rFonts w:ascii="Times New Roman" w:hAnsi="Times New Roman" w:cs="Times New Roman"/>
          <w:sz w:val="24"/>
          <w:szCs w:val="24"/>
        </w:rPr>
        <w:t>, Navas-Acien, A., Thornton, P.</w:t>
      </w:r>
      <w:r w:rsidRPr="00093158">
        <w:rPr>
          <w:rFonts w:ascii="Times New Roman" w:hAnsi="Times New Roman" w:cs="Times New Roman"/>
          <w:sz w:val="24"/>
          <w:szCs w:val="24"/>
        </w:rPr>
        <w:t xml:space="preserve">L., &amp; Haire-Joshu, D. (2020). Social Determinants of Health and Diabetes: A Scientific Review. </w:t>
      </w:r>
      <w:r w:rsidRPr="00BC4758">
        <w:rPr>
          <w:rFonts w:ascii="Times New Roman" w:hAnsi="Times New Roman" w:cs="Times New Roman"/>
          <w:i/>
          <w:iCs/>
          <w:sz w:val="24"/>
          <w:szCs w:val="24"/>
        </w:rPr>
        <w:t>Diabetes C</w:t>
      </w:r>
      <w:r w:rsidRPr="00093158">
        <w:rPr>
          <w:rFonts w:ascii="Times New Roman" w:hAnsi="Times New Roman" w:cs="Times New Roman"/>
          <w:i/>
          <w:iCs/>
          <w:sz w:val="24"/>
          <w:szCs w:val="24"/>
        </w:rPr>
        <w:t>are</w:t>
      </w:r>
      <w:r w:rsidRPr="00093158">
        <w:rPr>
          <w:rFonts w:ascii="Times New Roman" w:hAnsi="Times New Roman" w:cs="Times New Roman"/>
          <w:sz w:val="24"/>
          <w:szCs w:val="24"/>
        </w:rPr>
        <w:t xml:space="preserve">, </w:t>
      </w:r>
      <w:r w:rsidRPr="00093158">
        <w:rPr>
          <w:rFonts w:ascii="Times New Roman" w:hAnsi="Times New Roman" w:cs="Times New Roman"/>
          <w:i/>
          <w:iCs/>
          <w:sz w:val="24"/>
          <w:szCs w:val="24"/>
        </w:rPr>
        <w:t>44</w:t>
      </w:r>
      <w:r w:rsidRPr="00BC4758">
        <w:rPr>
          <w:rFonts w:ascii="Times New Roman" w:hAnsi="Times New Roman" w:cs="Times New Roman"/>
          <w:sz w:val="24"/>
          <w:szCs w:val="24"/>
        </w:rPr>
        <w:t>(1), 258–279</w:t>
      </w:r>
      <w:r w:rsidRPr="00093158">
        <w:rPr>
          <w:rFonts w:ascii="Times New Roman" w:hAnsi="Times New Roman" w:cs="Times New Roman"/>
          <w:sz w:val="24"/>
          <w:szCs w:val="24"/>
        </w:rPr>
        <w:t xml:space="preserve">. </w:t>
      </w:r>
      <w:hyperlink r:id="rId18" w:history="1">
        <w:r w:rsidR="00B30841" w:rsidRPr="00304538">
          <w:rPr>
            <w:rStyle w:val="Hyperlink"/>
            <w:rFonts w:ascii="Times New Roman" w:hAnsi="Times New Roman" w:cs="Times New Roman"/>
            <w:sz w:val="24"/>
            <w:szCs w:val="24"/>
          </w:rPr>
          <w:t>https://doi.org/10.2337/dci20-0053</w:t>
        </w:r>
      </w:hyperlink>
      <w:r w:rsidR="00B30841">
        <w:rPr>
          <w:rFonts w:ascii="Times New Roman" w:hAnsi="Times New Roman" w:cs="Times New Roman"/>
          <w:sz w:val="24"/>
          <w:szCs w:val="24"/>
        </w:rPr>
        <w:t xml:space="preserve"> </w:t>
      </w:r>
    </w:p>
    <w:p w14:paraId="45FAFE44" w14:textId="77777777" w:rsidR="00331EF5" w:rsidRPr="00BC4758" w:rsidRDefault="00331EF5" w:rsidP="00331EF5">
      <w:pPr>
        <w:spacing w:line="240" w:lineRule="auto"/>
        <w:jc w:val="both"/>
        <w:rPr>
          <w:rFonts w:ascii="Times New Roman" w:hAnsi="Times New Roman" w:cs="Times New Roman"/>
          <w:sz w:val="24"/>
          <w:szCs w:val="24"/>
        </w:rPr>
      </w:pPr>
    </w:p>
    <w:p w14:paraId="48F9447A" w14:textId="77777777" w:rsidR="00331EF5" w:rsidRPr="00BC4758" w:rsidRDefault="00331EF5" w:rsidP="00331EF5">
      <w:pPr>
        <w:spacing w:line="24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Hui, D., Zhang, F., Lu, Y., Hao, H., Tian, S., Fan, X., Liu, Y., Zhou, X., &amp; Li, R. (2023). A Multifactorial Risk Score System for the Prediction of Diabetic Kidney Disease in Patients with Type 2 Diabetes Mellitus. </w:t>
      </w:r>
      <w:r w:rsidRPr="00BC4758">
        <w:rPr>
          <w:rFonts w:ascii="Times New Roman" w:hAnsi="Times New Roman" w:cs="Times New Roman"/>
          <w:i/>
          <w:iCs/>
          <w:sz w:val="24"/>
          <w:szCs w:val="24"/>
        </w:rPr>
        <w:t>Diabetes, Metabolic Syndrome and Obesity: Targets and Therapy</w:t>
      </w:r>
      <w:r w:rsidRPr="00BC4758">
        <w:rPr>
          <w:rFonts w:ascii="Times New Roman" w:hAnsi="Times New Roman" w:cs="Times New Roman"/>
          <w:sz w:val="24"/>
          <w:szCs w:val="24"/>
        </w:rPr>
        <w:t xml:space="preserve">, </w:t>
      </w:r>
      <w:r w:rsidRPr="00BC4758">
        <w:rPr>
          <w:rFonts w:ascii="Times New Roman" w:hAnsi="Times New Roman" w:cs="Times New Roman"/>
          <w:i/>
          <w:iCs/>
          <w:sz w:val="24"/>
          <w:szCs w:val="24"/>
        </w:rPr>
        <w:t>16</w:t>
      </w:r>
      <w:r w:rsidRPr="00BC4758">
        <w:rPr>
          <w:rFonts w:ascii="Times New Roman" w:hAnsi="Times New Roman" w:cs="Times New Roman"/>
          <w:sz w:val="24"/>
          <w:szCs w:val="24"/>
        </w:rPr>
        <w:t xml:space="preserve">, 385–395. </w:t>
      </w:r>
      <w:hyperlink r:id="rId19" w:history="1">
        <w:r w:rsidRPr="00BC4758">
          <w:rPr>
            <w:rStyle w:val="Hyperlink"/>
            <w:rFonts w:ascii="Times New Roman" w:hAnsi="Times New Roman" w:cs="Times New Roman"/>
            <w:sz w:val="24"/>
            <w:szCs w:val="24"/>
          </w:rPr>
          <w:t>https://doi.org/10.2147/DMSO.S391781</w:t>
        </w:r>
      </w:hyperlink>
    </w:p>
    <w:p w14:paraId="1DC4EAFE" w14:textId="77777777" w:rsidR="00331EF5" w:rsidRPr="00BC4758" w:rsidRDefault="00331EF5" w:rsidP="00331EF5">
      <w:pPr>
        <w:spacing w:line="240" w:lineRule="auto"/>
        <w:jc w:val="both"/>
        <w:rPr>
          <w:rFonts w:ascii="Times New Roman" w:hAnsi="Times New Roman" w:cs="Times New Roman"/>
          <w:sz w:val="24"/>
          <w:szCs w:val="24"/>
        </w:rPr>
      </w:pPr>
    </w:p>
    <w:p w14:paraId="2677D09E" w14:textId="77777777" w:rsidR="00331EF5" w:rsidRPr="00BC4758" w:rsidRDefault="00331EF5" w:rsidP="00331EF5">
      <w:pPr>
        <w:autoSpaceDE w:val="0"/>
        <w:autoSpaceDN w:val="0"/>
        <w:adjustRightInd w:val="0"/>
        <w:spacing w:line="240" w:lineRule="auto"/>
        <w:jc w:val="both"/>
        <w:rPr>
          <w:rStyle w:val="HTMLCite"/>
          <w:rFonts w:ascii="Times New Roman" w:hAnsi="Times New Roman" w:cs="Times New Roman"/>
          <w:i w:val="0"/>
          <w:sz w:val="24"/>
          <w:szCs w:val="24"/>
        </w:rPr>
      </w:pPr>
      <w:r w:rsidRPr="00BC4758">
        <w:rPr>
          <w:rStyle w:val="HTMLCite"/>
          <w:rFonts w:ascii="Times New Roman" w:hAnsi="Times New Roman" w:cs="Times New Roman"/>
          <w:i w:val="0"/>
          <w:sz w:val="24"/>
          <w:szCs w:val="24"/>
        </w:rPr>
        <w:t>International Diabetes Federation. Diabetes atlas. 8th ed. Brussels: International Diabetes Federation; 2017.</w:t>
      </w:r>
    </w:p>
    <w:p w14:paraId="5D8AF5AB" w14:textId="77777777" w:rsidR="00331EF5" w:rsidRPr="00BC4758" w:rsidRDefault="00331EF5" w:rsidP="00331EF5">
      <w:pPr>
        <w:spacing w:line="240" w:lineRule="auto"/>
        <w:jc w:val="both"/>
        <w:rPr>
          <w:rFonts w:ascii="Times New Roman" w:hAnsi="Times New Roman" w:cs="Times New Roman"/>
          <w:b/>
          <w:sz w:val="24"/>
          <w:szCs w:val="24"/>
        </w:rPr>
      </w:pPr>
    </w:p>
    <w:p w14:paraId="36FF8AC5" w14:textId="77777777" w:rsidR="00331EF5" w:rsidRPr="00BC4758" w:rsidRDefault="00331EF5" w:rsidP="00331EF5">
      <w:pPr>
        <w:spacing w:line="240" w:lineRule="auto"/>
        <w:jc w:val="both"/>
        <w:rPr>
          <w:rFonts w:ascii="Times New Roman" w:hAnsi="Times New Roman" w:cs="Times New Roman"/>
          <w:sz w:val="24"/>
          <w:szCs w:val="24"/>
        </w:rPr>
      </w:pPr>
      <w:r w:rsidRPr="00BC4758">
        <w:rPr>
          <w:rFonts w:ascii="Times New Roman" w:hAnsi="Times New Roman" w:cs="Times New Roman"/>
          <w:sz w:val="24"/>
          <w:szCs w:val="24"/>
        </w:rPr>
        <w:t>Islam, H., Jackson, G.S., Boultbee, J., Tsai, S.</w:t>
      </w:r>
      <w:r w:rsidRPr="00B53AD9">
        <w:rPr>
          <w:rFonts w:ascii="Times New Roman" w:hAnsi="Times New Roman" w:cs="Times New Roman"/>
          <w:sz w:val="24"/>
          <w:szCs w:val="24"/>
        </w:rPr>
        <w:t>H., Moreno-Cabañas, A.,</w:t>
      </w:r>
      <w:r w:rsidRPr="00BC4758">
        <w:rPr>
          <w:rFonts w:ascii="Times New Roman" w:hAnsi="Times New Roman" w:cs="Times New Roman"/>
          <w:sz w:val="24"/>
          <w:szCs w:val="24"/>
        </w:rPr>
        <w:t xml:space="preserve"> Teixeira, A.A.S., Wright, D.C., Mui, A.</w:t>
      </w:r>
      <w:r w:rsidRPr="00B53AD9">
        <w:rPr>
          <w:rFonts w:ascii="Times New Roman" w:hAnsi="Times New Roman" w:cs="Times New Roman"/>
          <w:sz w:val="24"/>
          <w:szCs w:val="24"/>
        </w:rPr>
        <w:t>L., &amp; Litt</w:t>
      </w:r>
      <w:r w:rsidRPr="00BC4758">
        <w:rPr>
          <w:rFonts w:ascii="Times New Roman" w:hAnsi="Times New Roman" w:cs="Times New Roman"/>
          <w:sz w:val="24"/>
          <w:szCs w:val="24"/>
        </w:rPr>
        <w:t>le, J.</w:t>
      </w:r>
      <w:r w:rsidRPr="00B53AD9">
        <w:rPr>
          <w:rFonts w:ascii="Times New Roman" w:hAnsi="Times New Roman" w:cs="Times New Roman"/>
          <w:sz w:val="24"/>
          <w:szCs w:val="24"/>
        </w:rPr>
        <w:t xml:space="preserve">P. (2025). Interleukin-10 resistance in type 2 diabetes is associated with defective STAT3 signaling in human blood leukocytes. </w:t>
      </w:r>
      <w:r w:rsidRPr="00BC4758">
        <w:rPr>
          <w:rFonts w:ascii="Times New Roman" w:hAnsi="Times New Roman" w:cs="Times New Roman"/>
          <w:i/>
          <w:iCs/>
          <w:sz w:val="24"/>
          <w:szCs w:val="24"/>
        </w:rPr>
        <w:t>American Journal of Physiology. Cell P</w:t>
      </w:r>
      <w:r w:rsidRPr="00B53AD9">
        <w:rPr>
          <w:rFonts w:ascii="Times New Roman" w:hAnsi="Times New Roman" w:cs="Times New Roman"/>
          <w:i/>
          <w:iCs/>
          <w:sz w:val="24"/>
          <w:szCs w:val="24"/>
        </w:rPr>
        <w:t>hysiology</w:t>
      </w:r>
      <w:r w:rsidRPr="00B53AD9">
        <w:rPr>
          <w:rFonts w:ascii="Times New Roman" w:hAnsi="Times New Roman" w:cs="Times New Roman"/>
          <w:sz w:val="24"/>
          <w:szCs w:val="24"/>
        </w:rPr>
        <w:t xml:space="preserve">, </w:t>
      </w:r>
      <w:r w:rsidRPr="00B53AD9">
        <w:rPr>
          <w:rFonts w:ascii="Times New Roman" w:hAnsi="Times New Roman" w:cs="Times New Roman"/>
          <w:i/>
          <w:iCs/>
          <w:sz w:val="24"/>
          <w:szCs w:val="24"/>
        </w:rPr>
        <w:t>328</w:t>
      </w:r>
      <w:r w:rsidRPr="00B53AD9">
        <w:rPr>
          <w:rFonts w:ascii="Times New Roman" w:hAnsi="Times New Roman" w:cs="Times New Roman"/>
          <w:sz w:val="24"/>
          <w:szCs w:val="24"/>
        </w:rPr>
        <w:t xml:space="preserve">(4), C1293–C1302. </w:t>
      </w:r>
      <w:hyperlink r:id="rId20" w:history="1">
        <w:r w:rsidRPr="00BC4758">
          <w:rPr>
            <w:rStyle w:val="Hyperlink"/>
            <w:rFonts w:ascii="Times New Roman" w:hAnsi="Times New Roman" w:cs="Times New Roman"/>
            <w:sz w:val="24"/>
            <w:szCs w:val="24"/>
          </w:rPr>
          <w:t>https://doi.org/10.1152/ajpcell.00124.2025</w:t>
        </w:r>
      </w:hyperlink>
    </w:p>
    <w:p w14:paraId="047B85C1" w14:textId="77777777" w:rsidR="00331EF5" w:rsidRPr="00BC4758" w:rsidRDefault="00331EF5" w:rsidP="00331EF5">
      <w:pPr>
        <w:spacing w:line="240" w:lineRule="auto"/>
        <w:jc w:val="both"/>
        <w:rPr>
          <w:rFonts w:ascii="Times New Roman" w:hAnsi="Times New Roman" w:cs="Times New Roman"/>
          <w:sz w:val="24"/>
          <w:szCs w:val="24"/>
        </w:rPr>
      </w:pPr>
    </w:p>
    <w:p w14:paraId="11C6FCF5" w14:textId="07AE2A2C" w:rsidR="00331EF5" w:rsidRPr="00BC4758" w:rsidRDefault="00331EF5" w:rsidP="00331EF5">
      <w:pPr>
        <w:spacing w:line="24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Iyer, S. S., &amp; Cheng, G. (2012). Role of interleukin 10 transcriptional regulation in inflammation and autoimmune disease. </w:t>
      </w:r>
      <w:r w:rsidRPr="00BC4758">
        <w:rPr>
          <w:rFonts w:ascii="Times New Roman" w:hAnsi="Times New Roman" w:cs="Times New Roman"/>
          <w:i/>
          <w:iCs/>
          <w:sz w:val="24"/>
          <w:szCs w:val="24"/>
        </w:rPr>
        <w:t>Critical Reviews in Immunology</w:t>
      </w:r>
      <w:r w:rsidRPr="00BC4758">
        <w:rPr>
          <w:rFonts w:ascii="Times New Roman" w:hAnsi="Times New Roman" w:cs="Times New Roman"/>
          <w:sz w:val="24"/>
          <w:szCs w:val="24"/>
        </w:rPr>
        <w:t xml:space="preserve">, </w:t>
      </w:r>
      <w:r w:rsidRPr="00BC4758">
        <w:rPr>
          <w:rFonts w:ascii="Times New Roman" w:hAnsi="Times New Roman" w:cs="Times New Roman"/>
          <w:i/>
          <w:iCs/>
          <w:sz w:val="24"/>
          <w:szCs w:val="24"/>
        </w:rPr>
        <w:t>32</w:t>
      </w:r>
      <w:r w:rsidRPr="00BC4758">
        <w:rPr>
          <w:rFonts w:ascii="Times New Roman" w:hAnsi="Times New Roman" w:cs="Times New Roman"/>
          <w:sz w:val="24"/>
          <w:szCs w:val="24"/>
        </w:rPr>
        <w:t xml:space="preserve">(1), 23–63. </w:t>
      </w:r>
      <w:hyperlink r:id="rId21" w:history="1">
        <w:r w:rsidR="00B30841" w:rsidRPr="00304538">
          <w:rPr>
            <w:rStyle w:val="Hyperlink"/>
            <w:rFonts w:ascii="Times New Roman" w:hAnsi="Times New Roman" w:cs="Times New Roman"/>
            <w:sz w:val="24"/>
            <w:szCs w:val="24"/>
          </w:rPr>
          <w:t>https://doi.org/10.1615/critrevimmunol.v32.i1.30</w:t>
        </w:r>
      </w:hyperlink>
      <w:r w:rsidR="00B30841">
        <w:rPr>
          <w:rFonts w:ascii="Times New Roman" w:hAnsi="Times New Roman" w:cs="Times New Roman"/>
          <w:sz w:val="24"/>
          <w:szCs w:val="24"/>
        </w:rPr>
        <w:t xml:space="preserve"> </w:t>
      </w:r>
    </w:p>
    <w:p w14:paraId="19E2ED31" w14:textId="77777777" w:rsidR="00331EF5" w:rsidRPr="00BC4758" w:rsidRDefault="00331EF5" w:rsidP="00331EF5">
      <w:pPr>
        <w:spacing w:line="240" w:lineRule="auto"/>
        <w:jc w:val="both"/>
        <w:rPr>
          <w:rFonts w:ascii="Times New Roman" w:hAnsi="Times New Roman" w:cs="Times New Roman"/>
          <w:sz w:val="24"/>
          <w:szCs w:val="24"/>
        </w:rPr>
      </w:pPr>
    </w:p>
    <w:p w14:paraId="31B22E65" w14:textId="7C09DEE5" w:rsidR="00331EF5" w:rsidRPr="00BC4758" w:rsidRDefault="00331EF5" w:rsidP="00331EF5">
      <w:pPr>
        <w:spacing w:line="24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Jang, D. I., Lee, A. H., Shin, H. Y., Song, H. R., Park, J. H., Kang, T. B., Lee, S. R., &amp; Yang, S. H. (2021). The Role of Tumor Necrosis Factor Alpha (TNF-α) in Autoimmune Disease and Current TNF-α Inhibitors in Therapeutics. </w:t>
      </w:r>
      <w:r w:rsidRPr="00BC4758">
        <w:rPr>
          <w:rFonts w:ascii="Times New Roman" w:hAnsi="Times New Roman" w:cs="Times New Roman"/>
          <w:i/>
          <w:iCs/>
          <w:sz w:val="24"/>
          <w:szCs w:val="24"/>
        </w:rPr>
        <w:t>International Journal of Molecular Sciences</w:t>
      </w:r>
      <w:r w:rsidRPr="00BC4758">
        <w:rPr>
          <w:rFonts w:ascii="Times New Roman" w:hAnsi="Times New Roman" w:cs="Times New Roman"/>
          <w:sz w:val="24"/>
          <w:szCs w:val="24"/>
        </w:rPr>
        <w:t xml:space="preserve">, </w:t>
      </w:r>
      <w:r w:rsidRPr="00BC4758">
        <w:rPr>
          <w:rFonts w:ascii="Times New Roman" w:hAnsi="Times New Roman" w:cs="Times New Roman"/>
          <w:i/>
          <w:iCs/>
          <w:sz w:val="24"/>
          <w:szCs w:val="24"/>
        </w:rPr>
        <w:t>22</w:t>
      </w:r>
      <w:r w:rsidRPr="00BC4758">
        <w:rPr>
          <w:rFonts w:ascii="Times New Roman" w:hAnsi="Times New Roman" w:cs="Times New Roman"/>
          <w:sz w:val="24"/>
          <w:szCs w:val="24"/>
        </w:rPr>
        <w:t xml:space="preserve">(5), 2719. </w:t>
      </w:r>
      <w:hyperlink r:id="rId22" w:history="1">
        <w:r w:rsidR="00B30841" w:rsidRPr="00304538">
          <w:rPr>
            <w:rStyle w:val="Hyperlink"/>
            <w:rFonts w:ascii="Times New Roman" w:hAnsi="Times New Roman" w:cs="Times New Roman"/>
            <w:sz w:val="24"/>
            <w:szCs w:val="24"/>
          </w:rPr>
          <w:t>https://doi.org/10.3390/ijms22052719</w:t>
        </w:r>
      </w:hyperlink>
      <w:r w:rsidR="00B30841">
        <w:rPr>
          <w:rFonts w:ascii="Times New Roman" w:hAnsi="Times New Roman" w:cs="Times New Roman"/>
          <w:sz w:val="24"/>
          <w:szCs w:val="24"/>
        </w:rPr>
        <w:t xml:space="preserve"> </w:t>
      </w:r>
    </w:p>
    <w:p w14:paraId="1BAA9802" w14:textId="77777777" w:rsidR="00331EF5" w:rsidRPr="00BC4758" w:rsidRDefault="00331EF5" w:rsidP="00331EF5">
      <w:pPr>
        <w:spacing w:line="240" w:lineRule="auto"/>
        <w:jc w:val="both"/>
        <w:rPr>
          <w:rFonts w:ascii="Times New Roman" w:hAnsi="Times New Roman" w:cs="Times New Roman"/>
          <w:sz w:val="24"/>
          <w:szCs w:val="24"/>
        </w:rPr>
      </w:pPr>
    </w:p>
    <w:p w14:paraId="7A964ADB" w14:textId="77777777" w:rsidR="00331EF5" w:rsidRPr="00BC4758" w:rsidRDefault="00331EF5" w:rsidP="00331EF5">
      <w:pPr>
        <w:jc w:val="both"/>
        <w:rPr>
          <w:rFonts w:ascii="Times New Roman" w:hAnsi="Times New Roman" w:cs="Times New Roman"/>
          <w:sz w:val="24"/>
          <w:szCs w:val="24"/>
        </w:rPr>
      </w:pPr>
      <w:r w:rsidRPr="00BC4758">
        <w:rPr>
          <w:rFonts w:ascii="Times New Roman" w:hAnsi="Times New Roman" w:cs="Times New Roman"/>
          <w:sz w:val="24"/>
          <w:szCs w:val="24"/>
        </w:rPr>
        <w:t xml:space="preserve">Junaid, O.A., Ojo, O.A., Adejumo, O.A., Junaid, F.M., Ajiboye, K.J., Ojo, O.E., Akitikori, T.O., Kolawole, A.B., &amp; Ikem, T.R. (2022). Malnutrition in elderly patients with type 2 diabetes mellitus in a Nigerian tertiary hospital: A cross-sectional study. Dialogues in Health, 1, 100030. </w:t>
      </w:r>
      <w:hyperlink r:id="rId23" w:tgtFrame="_blank" w:tooltip="Persistent link using digital object identifier" w:history="1">
        <w:r w:rsidRPr="00BC4758">
          <w:rPr>
            <w:rStyle w:val="Hyperlink"/>
            <w:rFonts w:ascii="Times New Roman" w:hAnsi="Times New Roman" w:cs="Times New Roman"/>
            <w:sz w:val="24"/>
            <w:szCs w:val="24"/>
          </w:rPr>
          <w:t>https://doi.org/10.1016/j.dialog.2022.100030</w:t>
        </w:r>
      </w:hyperlink>
    </w:p>
    <w:p w14:paraId="72C2B45C" w14:textId="77777777" w:rsidR="00331EF5" w:rsidRPr="00BC4758" w:rsidRDefault="00331EF5" w:rsidP="00331EF5">
      <w:pPr>
        <w:spacing w:line="240" w:lineRule="auto"/>
        <w:jc w:val="both"/>
        <w:rPr>
          <w:rFonts w:ascii="Times New Roman" w:hAnsi="Times New Roman" w:cs="Times New Roman"/>
          <w:sz w:val="24"/>
          <w:szCs w:val="24"/>
        </w:rPr>
      </w:pPr>
    </w:p>
    <w:p w14:paraId="328E108E" w14:textId="77777777" w:rsidR="00331EF5" w:rsidRPr="00BC4758" w:rsidRDefault="00331EF5" w:rsidP="00331EF5">
      <w:pPr>
        <w:spacing w:line="240" w:lineRule="auto"/>
        <w:jc w:val="both"/>
        <w:rPr>
          <w:rFonts w:ascii="Times New Roman" w:hAnsi="Times New Roman" w:cs="Times New Roman"/>
          <w:sz w:val="24"/>
          <w:szCs w:val="24"/>
        </w:rPr>
      </w:pPr>
      <w:r w:rsidRPr="00BC4758">
        <w:rPr>
          <w:rFonts w:ascii="Times New Roman" w:hAnsi="Times New Roman" w:cs="Times New Roman"/>
          <w:sz w:val="24"/>
          <w:szCs w:val="24"/>
        </w:rPr>
        <w:lastRenderedPageBreak/>
        <w:t xml:space="preserve">Lee, S. H., Park, S. Y., Choi, C. S. (2022). Insulin Resistance: From Mechanisms to Therapeutic Strategies. </w:t>
      </w:r>
      <w:r w:rsidRPr="00BC4758">
        <w:rPr>
          <w:rFonts w:ascii="Times New Roman" w:hAnsi="Times New Roman" w:cs="Times New Roman"/>
          <w:i/>
          <w:iCs/>
          <w:sz w:val="24"/>
          <w:szCs w:val="24"/>
        </w:rPr>
        <w:t>Diabetes &amp; Metabolism Journal</w:t>
      </w:r>
      <w:r w:rsidRPr="00BC4758">
        <w:rPr>
          <w:rFonts w:ascii="Times New Roman" w:hAnsi="Times New Roman" w:cs="Times New Roman"/>
          <w:sz w:val="24"/>
          <w:szCs w:val="24"/>
        </w:rPr>
        <w:t xml:space="preserve">, </w:t>
      </w:r>
      <w:r w:rsidRPr="00BC4758">
        <w:rPr>
          <w:rFonts w:ascii="Times New Roman" w:hAnsi="Times New Roman" w:cs="Times New Roman"/>
          <w:i/>
          <w:iCs/>
          <w:sz w:val="24"/>
          <w:szCs w:val="24"/>
        </w:rPr>
        <w:t>46</w:t>
      </w:r>
      <w:r w:rsidRPr="00BC4758">
        <w:rPr>
          <w:rFonts w:ascii="Times New Roman" w:hAnsi="Times New Roman" w:cs="Times New Roman"/>
          <w:sz w:val="24"/>
          <w:szCs w:val="24"/>
        </w:rPr>
        <w:t>(1), 15–37.</w:t>
      </w:r>
    </w:p>
    <w:p w14:paraId="0F1DD70E" w14:textId="77777777" w:rsidR="00331EF5" w:rsidRPr="00BC4758" w:rsidRDefault="00331EF5" w:rsidP="00331EF5">
      <w:pPr>
        <w:spacing w:line="240" w:lineRule="auto"/>
        <w:jc w:val="both"/>
        <w:rPr>
          <w:rFonts w:ascii="Times New Roman" w:hAnsi="Times New Roman" w:cs="Times New Roman"/>
          <w:sz w:val="24"/>
          <w:szCs w:val="24"/>
        </w:rPr>
      </w:pPr>
    </w:p>
    <w:p w14:paraId="06CFE1CC" w14:textId="77777777" w:rsidR="00331EF5" w:rsidRPr="00BC4758" w:rsidRDefault="00331EF5" w:rsidP="00331EF5">
      <w:pPr>
        <w:spacing w:line="240" w:lineRule="auto"/>
        <w:jc w:val="both"/>
        <w:rPr>
          <w:rStyle w:val="Hyperlink"/>
          <w:rFonts w:ascii="Times New Roman" w:hAnsi="Times New Roman" w:cs="Times New Roman"/>
          <w:sz w:val="24"/>
          <w:szCs w:val="24"/>
        </w:rPr>
      </w:pPr>
      <w:r w:rsidRPr="00BC4758">
        <w:rPr>
          <w:rFonts w:ascii="Times New Roman" w:hAnsi="Times New Roman" w:cs="Times New Roman"/>
          <w:sz w:val="24"/>
          <w:szCs w:val="24"/>
        </w:rPr>
        <w:t xml:space="preserve">Młynarska, E., Czarnik, W., Dzieża, N., Jędraszak, W., Majchrowicz, G., Prusinowski, F., Stabrawa, M., Rysz, J., &amp; Franczyk, B. (2025). Type 2 Diabetes Mellitus: New Pathogenetic Mechanisms, Treatment and the Most Important Complications. </w:t>
      </w:r>
      <w:r w:rsidRPr="00BC4758">
        <w:rPr>
          <w:rStyle w:val="Emphasis"/>
          <w:rFonts w:ascii="Times New Roman" w:hAnsi="Times New Roman" w:cs="Times New Roman"/>
          <w:sz w:val="24"/>
          <w:szCs w:val="24"/>
        </w:rPr>
        <w:t>International Journal of Molecular Sciences</w:t>
      </w:r>
      <w:r w:rsidRPr="00BC4758">
        <w:rPr>
          <w:rFonts w:ascii="Times New Roman" w:hAnsi="Times New Roman" w:cs="Times New Roman"/>
          <w:sz w:val="24"/>
          <w:szCs w:val="24"/>
        </w:rPr>
        <w:t xml:space="preserve">, </w:t>
      </w:r>
      <w:r w:rsidRPr="00BC4758">
        <w:rPr>
          <w:rStyle w:val="Emphasis"/>
          <w:rFonts w:ascii="Times New Roman" w:hAnsi="Times New Roman" w:cs="Times New Roman"/>
          <w:sz w:val="24"/>
          <w:szCs w:val="24"/>
        </w:rPr>
        <w:t>26</w:t>
      </w:r>
      <w:r w:rsidRPr="00BC4758">
        <w:rPr>
          <w:rFonts w:ascii="Times New Roman" w:hAnsi="Times New Roman" w:cs="Times New Roman"/>
          <w:sz w:val="24"/>
          <w:szCs w:val="24"/>
        </w:rPr>
        <w:t xml:space="preserve">(3), 1094. </w:t>
      </w:r>
      <w:hyperlink r:id="rId24" w:history="1">
        <w:r w:rsidRPr="00BC4758">
          <w:rPr>
            <w:rStyle w:val="Hyperlink"/>
            <w:rFonts w:ascii="Times New Roman" w:hAnsi="Times New Roman" w:cs="Times New Roman"/>
            <w:sz w:val="24"/>
            <w:szCs w:val="24"/>
          </w:rPr>
          <w:t>https://doi.org/10.3390/ijms26031094</w:t>
        </w:r>
      </w:hyperlink>
    </w:p>
    <w:p w14:paraId="7015FAF1" w14:textId="77777777" w:rsidR="00331EF5" w:rsidRPr="00BC4758" w:rsidRDefault="00331EF5" w:rsidP="00331EF5">
      <w:pPr>
        <w:spacing w:line="240" w:lineRule="auto"/>
        <w:jc w:val="both"/>
        <w:rPr>
          <w:rFonts w:ascii="Times New Roman" w:hAnsi="Times New Roman" w:cs="Times New Roman"/>
          <w:sz w:val="24"/>
          <w:szCs w:val="24"/>
        </w:rPr>
      </w:pPr>
    </w:p>
    <w:p w14:paraId="1648D35C" w14:textId="77777777" w:rsidR="00331EF5" w:rsidRPr="00BC4758" w:rsidRDefault="00331EF5" w:rsidP="00331EF5">
      <w:pPr>
        <w:spacing w:line="24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Navarro-González, J. F., Mora-Fernández, C., Muros de Fuentes, M., &amp; García-Pérez, J. (2011). Inflammatory molecules and pathways in the pathogenesis of diabetic nephropathy. </w:t>
      </w:r>
      <w:r w:rsidRPr="00BC4758">
        <w:rPr>
          <w:rFonts w:ascii="Times New Roman" w:hAnsi="Times New Roman" w:cs="Times New Roman"/>
          <w:i/>
          <w:iCs/>
          <w:sz w:val="24"/>
          <w:szCs w:val="24"/>
        </w:rPr>
        <w:t>Nature Reviews. Nephrology</w:t>
      </w:r>
      <w:r w:rsidRPr="00BC4758">
        <w:rPr>
          <w:rFonts w:ascii="Times New Roman" w:hAnsi="Times New Roman" w:cs="Times New Roman"/>
          <w:sz w:val="24"/>
          <w:szCs w:val="24"/>
        </w:rPr>
        <w:t xml:space="preserve">, </w:t>
      </w:r>
      <w:r w:rsidRPr="00BC4758">
        <w:rPr>
          <w:rFonts w:ascii="Times New Roman" w:hAnsi="Times New Roman" w:cs="Times New Roman"/>
          <w:i/>
          <w:iCs/>
          <w:sz w:val="24"/>
          <w:szCs w:val="24"/>
        </w:rPr>
        <w:t>7</w:t>
      </w:r>
      <w:r w:rsidRPr="00BC4758">
        <w:rPr>
          <w:rFonts w:ascii="Times New Roman" w:hAnsi="Times New Roman" w:cs="Times New Roman"/>
          <w:sz w:val="24"/>
          <w:szCs w:val="24"/>
        </w:rPr>
        <w:t>(6), 327–340. https://doi.org/10.1038/nrneph.2011.51</w:t>
      </w:r>
    </w:p>
    <w:p w14:paraId="02E121CE" w14:textId="77777777" w:rsidR="00331EF5" w:rsidRPr="00BC4758" w:rsidRDefault="00331EF5" w:rsidP="00331EF5">
      <w:pPr>
        <w:spacing w:line="240" w:lineRule="auto"/>
        <w:jc w:val="both"/>
        <w:rPr>
          <w:rFonts w:ascii="Times New Roman" w:hAnsi="Times New Roman" w:cs="Times New Roman"/>
          <w:b/>
          <w:sz w:val="24"/>
          <w:szCs w:val="24"/>
        </w:rPr>
      </w:pPr>
    </w:p>
    <w:p w14:paraId="11DA83DA" w14:textId="69BEA2C2" w:rsidR="00331EF5" w:rsidRPr="00BC4758" w:rsidRDefault="00331EF5" w:rsidP="00331EF5">
      <w:pPr>
        <w:spacing w:line="24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Novianti, Y., &amp; Nur'aeny, N. (2024). Exploring Interleukin-10 Levels in Diabetes Patients with and without Oral Diseases: A Systematic Review. </w:t>
      </w:r>
      <w:r w:rsidRPr="00BC4758">
        <w:rPr>
          <w:rFonts w:ascii="Times New Roman" w:hAnsi="Times New Roman" w:cs="Times New Roman"/>
          <w:i/>
          <w:iCs/>
          <w:sz w:val="24"/>
          <w:szCs w:val="24"/>
        </w:rPr>
        <w:t>Journal of Inflammation Research</w:t>
      </w:r>
      <w:r w:rsidRPr="00BC4758">
        <w:rPr>
          <w:rFonts w:ascii="Times New Roman" w:hAnsi="Times New Roman" w:cs="Times New Roman"/>
          <w:sz w:val="24"/>
          <w:szCs w:val="24"/>
        </w:rPr>
        <w:t xml:space="preserve">, </w:t>
      </w:r>
      <w:r w:rsidRPr="00BC4758">
        <w:rPr>
          <w:rFonts w:ascii="Times New Roman" w:hAnsi="Times New Roman" w:cs="Times New Roman"/>
          <w:i/>
          <w:iCs/>
          <w:sz w:val="24"/>
          <w:szCs w:val="24"/>
        </w:rPr>
        <w:t>17</w:t>
      </w:r>
      <w:r w:rsidRPr="00BC4758">
        <w:rPr>
          <w:rFonts w:ascii="Times New Roman" w:hAnsi="Times New Roman" w:cs="Times New Roman"/>
          <w:sz w:val="24"/>
          <w:szCs w:val="24"/>
        </w:rPr>
        <w:t xml:space="preserve">, 541–552. </w:t>
      </w:r>
      <w:hyperlink r:id="rId25" w:history="1">
        <w:r w:rsidR="00B30841" w:rsidRPr="00304538">
          <w:rPr>
            <w:rStyle w:val="Hyperlink"/>
            <w:rFonts w:ascii="Times New Roman" w:hAnsi="Times New Roman" w:cs="Times New Roman"/>
            <w:sz w:val="24"/>
            <w:szCs w:val="24"/>
          </w:rPr>
          <w:t>https://doi.org/10.2147/JIR.S449546</w:t>
        </w:r>
      </w:hyperlink>
      <w:r w:rsidR="00B30841">
        <w:rPr>
          <w:rFonts w:ascii="Times New Roman" w:hAnsi="Times New Roman" w:cs="Times New Roman"/>
          <w:sz w:val="24"/>
          <w:szCs w:val="24"/>
        </w:rPr>
        <w:t xml:space="preserve"> </w:t>
      </w:r>
    </w:p>
    <w:p w14:paraId="0700F587" w14:textId="77777777" w:rsidR="00331EF5" w:rsidRPr="00BC4758" w:rsidRDefault="00331EF5" w:rsidP="00331EF5">
      <w:pPr>
        <w:spacing w:line="240" w:lineRule="auto"/>
        <w:jc w:val="both"/>
        <w:rPr>
          <w:rFonts w:ascii="Times New Roman" w:hAnsi="Times New Roman" w:cs="Times New Roman"/>
          <w:sz w:val="24"/>
          <w:szCs w:val="24"/>
        </w:rPr>
      </w:pPr>
    </w:p>
    <w:p w14:paraId="4AD7F06B" w14:textId="77777777" w:rsidR="00331EF5" w:rsidRPr="00BC4758" w:rsidRDefault="00331EF5" w:rsidP="00331EF5">
      <w:pPr>
        <w:spacing w:line="24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Ogbodo, E.C., Okafor, C.C., Ogah, H.G.O., Ezeugwunne, I.P., Igwebuobi, C.F., Okezie, A.O., Agada, U.N., Amah, A.K., </w:t>
      </w:r>
      <w:r w:rsidRPr="00093158">
        <w:rPr>
          <w:rFonts w:ascii="Times New Roman" w:hAnsi="Times New Roman" w:cs="Times New Roman"/>
          <w:sz w:val="24"/>
          <w:szCs w:val="24"/>
        </w:rPr>
        <w:t>&amp;</w:t>
      </w:r>
      <w:r w:rsidRPr="00BC4758">
        <w:rPr>
          <w:rFonts w:ascii="Times New Roman" w:hAnsi="Times New Roman" w:cs="Times New Roman"/>
          <w:sz w:val="24"/>
          <w:szCs w:val="24"/>
        </w:rPr>
        <w:t xml:space="preserve"> Odumodu, I.O. (2019). Thyroid hormone profiling and enzymatic antioxidant status in diagnosis and management of type-ii-diabetes mellitus: a review of literature. </w:t>
      </w:r>
      <w:r w:rsidRPr="00BC4758">
        <w:rPr>
          <w:rFonts w:ascii="Times New Roman" w:hAnsi="Times New Roman" w:cs="Times New Roman"/>
          <w:i/>
          <w:sz w:val="24"/>
          <w:szCs w:val="24"/>
        </w:rPr>
        <w:t>World Journal of Pharmaceutical and Life Sciences, 5</w:t>
      </w:r>
      <w:r w:rsidRPr="00BC4758">
        <w:rPr>
          <w:rFonts w:ascii="Times New Roman" w:hAnsi="Times New Roman" w:cs="Times New Roman"/>
          <w:sz w:val="24"/>
          <w:szCs w:val="24"/>
        </w:rPr>
        <w:t xml:space="preserve">(12), 6-21. </w:t>
      </w:r>
    </w:p>
    <w:p w14:paraId="592F116F" w14:textId="77777777" w:rsidR="00331EF5" w:rsidRPr="00BC4758" w:rsidRDefault="00331EF5" w:rsidP="00331EF5">
      <w:pPr>
        <w:spacing w:line="240" w:lineRule="auto"/>
        <w:jc w:val="both"/>
        <w:rPr>
          <w:rFonts w:ascii="Times New Roman" w:hAnsi="Times New Roman" w:cs="Times New Roman"/>
          <w:sz w:val="24"/>
          <w:szCs w:val="24"/>
        </w:rPr>
      </w:pPr>
    </w:p>
    <w:p w14:paraId="7DBCC3FC" w14:textId="77777777" w:rsidR="00331EF5" w:rsidRPr="00BC4758" w:rsidRDefault="00331EF5" w:rsidP="006906FA">
      <w:pPr>
        <w:autoSpaceDE w:val="0"/>
        <w:autoSpaceDN w:val="0"/>
        <w:adjustRightInd w:val="0"/>
        <w:spacing w:line="240" w:lineRule="auto"/>
        <w:jc w:val="both"/>
        <w:rPr>
          <w:rFonts w:ascii="Times New Roman" w:hAnsi="Times New Roman" w:cs="Times New Roman"/>
          <w:b/>
          <w:sz w:val="24"/>
          <w:szCs w:val="24"/>
        </w:rPr>
      </w:pPr>
      <w:r w:rsidRPr="00BC4758">
        <w:rPr>
          <w:rFonts w:ascii="Times New Roman" w:hAnsi="Times New Roman" w:cs="Times New Roman"/>
          <w:sz w:val="24"/>
          <w:szCs w:val="24"/>
        </w:rPr>
        <w:t xml:space="preserve">Okpogba, A.N., Odeghe, O.B., Ogbodo, E.C., Okwara, N.A., Izuchukwu, E.C.O., Ejovi, O., Gbodo, E.A., &amp; Obi-Ezeani, C.N. (2021). Effect of occupational exposure to heavy metals on the liver functions in persons working in cable manufacturing factory in Nnewi. </w:t>
      </w:r>
      <w:r w:rsidRPr="00BC4758">
        <w:rPr>
          <w:rFonts w:ascii="Times New Roman" w:hAnsi="Times New Roman" w:cs="Times New Roman"/>
          <w:i/>
          <w:iCs/>
          <w:sz w:val="24"/>
          <w:szCs w:val="24"/>
        </w:rPr>
        <w:t>IP International Journal of Forensic Medicine and</w:t>
      </w:r>
      <w:r w:rsidRPr="00BC4758">
        <w:rPr>
          <w:rFonts w:ascii="Times New Roman" w:hAnsi="Times New Roman" w:cs="Times New Roman"/>
          <w:sz w:val="24"/>
          <w:szCs w:val="24"/>
        </w:rPr>
        <w:t xml:space="preserve"> </w:t>
      </w:r>
      <w:r w:rsidRPr="00BC4758">
        <w:rPr>
          <w:rFonts w:ascii="Times New Roman" w:hAnsi="Times New Roman" w:cs="Times New Roman"/>
          <w:i/>
          <w:iCs/>
          <w:sz w:val="24"/>
          <w:szCs w:val="24"/>
        </w:rPr>
        <w:t xml:space="preserve">Toxicological Science, </w:t>
      </w:r>
      <w:r w:rsidRPr="00BC4758">
        <w:rPr>
          <w:rFonts w:ascii="Times New Roman" w:hAnsi="Times New Roman" w:cs="Times New Roman"/>
          <w:i/>
          <w:sz w:val="24"/>
          <w:szCs w:val="24"/>
        </w:rPr>
        <w:t>6</w:t>
      </w:r>
      <w:r w:rsidRPr="00BC4758">
        <w:rPr>
          <w:rFonts w:ascii="Times New Roman" w:hAnsi="Times New Roman" w:cs="Times New Roman"/>
          <w:sz w:val="24"/>
          <w:szCs w:val="24"/>
        </w:rPr>
        <w:t>(1), 20-27.</w:t>
      </w:r>
    </w:p>
    <w:p w14:paraId="4DB793A1" w14:textId="77777777" w:rsidR="00331EF5" w:rsidRPr="00BC4758" w:rsidRDefault="00331EF5" w:rsidP="00331EF5">
      <w:pPr>
        <w:spacing w:line="240" w:lineRule="auto"/>
        <w:jc w:val="both"/>
        <w:rPr>
          <w:rFonts w:ascii="Times New Roman" w:hAnsi="Times New Roman" w:cs="Times New Roman"/>
          <w:b/>
          <w:sz w:val="24"/>
          <w:szCs w:val="24"/>
        </w:rPr>
      </w:pPr>
    </w:p>
    <w:p w14:paraId="16A775B6" w14:textId="77777777" w:rsidR="00331EF5" w:rsidRPr="00BC4758" w:rsidRDefault="00331EF5" w:rsidP="00331EF5">
      <w:pPr>
        <w:spacing w:line="240" w:lineRule="auto"/>
        <w:jc w:val="both"/>
        <w:rPr>
          <w:rFonts w:ascii="Times New Roman" w:hAnsi="Times New Roman" w:cs="Times New Roman"/>
          <w:sz w:val="24"/>
          <w:szCs w:val="24"/>
        </w:rPr>
      </w:pPr>
      <w:r w:rsidRPr="00BC4758">
        <w:rPr>
          <w:rStyle w:val="author"/>
          <w:rFonts w:ascii="Times New Roman" w:hAnsi="Times New Roman" w:cs="Times New Roman"/>
          <w:sz w:val="24"/>
          <w:szCs w:val="24"/>
        </w:rPr>
        <w:t>Panagi, L.</w:t>
      </w:r>
      <w:r w:rsidRPr="00BC4758">
        <w:rPr>
          <w:rFonts w:ascii="Times New Roman" w:hAnsi="Times New Roman" w:cs="Times New Roman"/>
          <w:sz w:val="24"/>
          <w:szCs w:val="24"/>
        </w:rPr>
        <w:t xml:space="preserve">, </w:t>
      </w:r>
      <w:r w:rsidRPr="00BC4758">
        <w:rPr>
          <w:rStyle w:val="author"/>
          <w:rFonts w:ascii="Times New Roman" w:hAnsi="Times New Roman" w:cs="Times New Roman"/>
          <w:sz w:val="24"/>
          <w:szCs w:val="24"/>
        </w:rPr>
        <w:t>Poole, L.</w:t>
      </w:r>
      <w:r w:rsidRPr="00BC4758">
        <w:rPr>
          <w:rFonts w:ascii="Times New Roman" w:hAnsi="Times New Roman" w:cs="Times New Roman"/>
          <w:sz w:val="24"/>
          <w:szCs w:val="24"/>
        </w:rPr>
        <w:t xml:space="preserve">, </w:t>
      </w:r>
      <w:r w:rsidRPr="00BC4758">
        <w:rPr>
          <w:rStyle w:val="author"/>
          <w:rFonts w:ascii="Times New Roman" w:hAnsi="Times New Roman" w:cs="Times New Roman"/>
          <w:sz w:val="24"/>
          <w:szCs w:val="24"/>
        </w:rPr>
        <w:t>Hackett, R.A.</w:t>
      </w:r>
      <w:r w:rsidRPr="00BC4758">
        <w:rPr>
          <w:rFonts w:ascii="Times New Roman" w:hAnsi="Times New Roman" w:cs="Times New Roman"/>
          <w:sz w:val="24"/>
          <w:szCs w:val="24"/>
        </w:rPr>
        <w:t xml:space="preserve">, </w:t>
      </w:r>
      <w:r w:rsidRPr="00BC4758">
        <w:rPr>
          <w:rStyle w:val="author"/>
          <w:rFonts w:ascii="Times New Roman" w:hAnsi="Times New Roman" w:cs="Times New Roman"/>
          <w:sz w:val="24"/>
          <w:szCs w:val="24"/>
        </w:rPr>
        <w:t>Steptoe, A</w:t>
      </w:r>
      <w:r w:rsidRPr="00BC4758">
        <w:rPr>
          <w:rFonts w:ascii="Times New Roman" w:hAnsi="Times New Roman" w:cs="Times New Roman"/>
          <w:sz w:val="24"/>
          <w:szCs w:val="24"/>
        </w:rPr>
        <w:t xml:space="preserve">. (2019). </w:t>
      </w:r>
      <w:r w:rsidRPr="00BC4758">
        <w:rPr>
          <w:rStyle w:val="articletitle"/>
          <w:rFonts w:ascii="Times New Roman" w:hAnsi="Times New Roman" w:cs="Times New Roman"/>
          <w:sz w:val="24"/>
          <w:szCs w:val="24"/>
        </w:rPr>
        <w:t>Sex differences in interleukin-6 stress responses in people with Type 2 diabetes</w:t>
      </w:r>
      <w:r w:rsidRPr="00BC4758">
        <w:rPr>
          <w:rFonts w:ascii="Times New Roman" w:hAnsi="Times New Roman" w:cs="Times New Roman"/>
          <w:sz w:val="24"/>
          <w:szCs w:val="24"/>
        </w:rPr>
        <w:t xml:space="preserve">. </w:t>
      </w:r>
      <w:r w:rsidRPr="00BC4758">
        <w:rPr>
          <w:rFonts w:ascii="Times New Roman" w:hAnsi="Times New Roman" w:cs="Times New Roman"/>
          <w:i/>
          <w:iCs/>
          <w:sz w:val="24"/>
          <w:szCs w:val="24"/>
        </w:rPr>
        <w:t>Psychophysiology</w:t>
      </w:r>
      <w:r w:rsidRPr="00BC4758">
        <w:rPr>
          <w:rFonts w:ascii="Times New Roman" w:hAnsi="Times New Roman" w:cs="Times New Roman"/>
          <w:sz w:val="24"/>
          <w:szCs w:val="24"/>
        </w:rPr>
        <w:t xml:space="preserve">, </w:t>
      </w:r>
      <w:r w:rsidRPr="00BC4758">
        <w:rPr>
          <w:rStyle w:val="vol"/>
          <w:rFonts w:ascii="Times New Roman" w:hAnsi="Times New Roman" w:cs="Times New Roman"/>
          <w:i/>
          <w:sz w:val="24"/>
          <w:szCs w:val="24"/>
        </w:rPr>
        <w:t>56</w:t>
      </w:r>
      <w:r w:rsidRPr="00BC4758">
        <w:rPr>
          <w:rFonts w:ascii="Times New Roman" w:hAnsi="Times New Roman" w:cs="Times New Roman"/>
          <w:sz w:val="24"/>
          <w:szCs w:val="24"/>
        </w:rPr>
        <w:t xml:space="preserve">, e13334. </w:t>
      </w:r>
      <w:hyperlink r:id="rId26" w:history="1">
        <w:r w:rsidRPr="00BC4758">
          <w:rPr>
            <w:rStyle w:val="Hyperlink"/>
            <w:rFonts w:ascii="Times New Roman" w:hAnsi="Times New Roman" w:cs="Times New Roman"/>
            <w:sz w:val="24"/>
            <w:szCs w:val="24"/>
          </w:rPr>
          <w:t>https://doi.org/10.1111/psyp.13334</w:t>
        </w:r>
      </w:hyperlink>
      <w:r w:rsidRPr="00BC4758">
        <w:rPr>
          <w:rFonts w:ascii="Times New Roman" w:hAnsi="Times New Roman" w:cs="Times New Roman"/>
          <w:sz w:val="24"/>
          <w:szCs w:val="24"/>
        </w:rPr>
        <w:t xml:space="preserve"> </w:t>
      </w:r>
    </w:p>
    <w:p w14:paraId="315B8203" w14:textId="77777777" w:rsidR="00331EF5" w:rsidRPr="00BC4758" w:rsidRDefault="00331EF5" w:rsidP="00331EF5">
      <w:pPr>
        <w:spacing w:line="240" w:lineRule="auto"/>
        <w:jc w:val="both"/>
        <w:rPr>
          <w:rFonts w:ascii="Times New Roman" w:hAnsi="Times New Roman" w:cs="Times New Roman"/>
          <w:b/>
          <w:sz w:val="24"/>
          <w:szCs w:val="24"/>
        </w:rPr>
      </w:pPr>
    </w:p>
    <w:p w14:paraId="1E977E17" w14:textId="2979A2CB" w:rsidR="00331EF5" w:rsidRPr="00BC4758" w:rsidRDefault="00331EF5" w:rsidP="00331EF5">
      <w:pPr>
        <w:spacing w:line="24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Pinchevsky, Y., Butkow, N., Raal, F. J., Chirwa, T., &amp; Rothberg, A. (2020). Demographic and Clinical Factors Associated with Development of Type 2 Diabetes: A Review of the Literature. </w:t>
      </w:r>
      <w:r w:rsidRPr="00BC4758">
        <w:rPr>
          <w:rFonts w:ascii="Times New Roman" w:hAnsi="Times New Roman" w:cs="Times New Roman"/>
          <w:i/>
          <w:iCs/>
          <w:sz w:val="24"/>
          <w:szCs w:val="24"/>
        </w:rPr>
        <w:t>International Journal of General Medicine</w:t>
      </w:r>
      <w:r w:rsidRPr="00BC4758">
        <w:rPr>
          <w:rFonts w:ascii="Times New Roman" w:hAnsi="Times New Roman" w:cs="Times New Roman"/>
          <w:sz w:val="24"/>
          <w:szCs w:val="24"/>
        </w:rPr>
        <w:t xml:space="preserve">, </w:t>
      </w:r>
      <w:r w:rsidRPr="00BC4758">
        <w:rPr>
          <w:rFonts w:ascii="Times New Roman" w:hAnsi="Times New Roman" w:cs="Times New Roman"/>
          <w:i/>
          <w:iCs/>
          <w:sz w:val="24"/>
          <w:szCs w:val="24"/>
        </w:rPr>
        <w:t>13</w:t>
      </w:r>
      <w:r w:rsidRPr="00BC4758">
        <w:rPr>
          <w:rFonts w:ascii="Times New Roman" w:hAnsi="Times New Roman" w:cs="Times New Roman"/>
          <w:sz w:val="24"/>
          <w:szCs w:val="24"/>
        </w:rPr>
        <w:t xml:space="preserve">, 121–129. </w:t>
      </w:r>
      <w:hyperlink r:id="rId27" w:history="1">
        <w:r w:rsidR="00B30841" w:rsidRPr="00304538">
          <w:rPr>
            <w:rStyle w:val="Hyperlink"/>
            <w:rFonts w:ascii="Times New Roman" w:hAnsi="Times New Roman" w:cs="Times New Roman"/>
            <w:sz w:val="24"/>
            <w:szCs w:val="24"/>
          </w:rPr>
          <w:t>https://doi.org/10.2147/IJGM.S226010</w:t>
        </w:r>
      </w:hyperlink>
      <w:r w:rsidR="00B30841">
        <w:rPr>
          <w:rFonts w:ascii="Times New Roman" w:hAnsi="Times New Roman" w:cs="Times New Roman"/>
          <w:sz w:val="24"/>
          <w:szCs w:val="24"/>
        </w:rPr>
        <w:t xml:space="preserve"> </w:t>
      </w:r>
    </w:p>
    <w:p w14:paraId="34CCF965" w14:textId="77777777" w:rsidR="00331EF5" w:rsidRPr="00BC4758" w:rsidRDefault="00331EF5" w:rsidP="00331EF5">
      <w:pPr>
        <w:spacing w:line="240" w:lineRule="auto"/>
        <w:jc w:val="both"/>
        <w:rPr>
          <w:rFonts w:ascii="Times New Roman" w:hAnsi="Times New Roman" w:cs="Times New Roman"/>
          <w:sz w:val="24"/>
          <w:szCs w:val="24"/>
        </w:rPr>
      </w:pPr>
    </w:p>
    <w:p w14:paraId="368864A5" w14:textId="77777777" w:rsidR="00331EF5" w:rsidRPr="00BC4758" w:rsidRDefault="00331EF5" w:rsidP="00331EF5">
      <w:pPr>
        <w:spacing w:line="240" w:lineRule="auto"/>
        <w:jc w:val="both"/>
        <w:rPr>
          <w:rFonts w:ascii="Times New Roman" w:hAnsi="Times New Roman" w:cs="Times New Roman"/>
          <w:sz w:val="24"/>
          <w:szCs w:val="24"/>
        </w:rPr>
      </w:pPr>
      <w:r w:rsidRPr="00BC4758">
        <w:rPr>
          <w:rFonts w:ascii="Times New Roman" w:hAnsi="Times New Roman" w:cs="Times New Roman"/>
          <w:sz w:val="24"/>
          <w:szCs w:val="24"/>
        </w:rPr>
        <w:t>Puri, K. S., Suresh, K. R., Gogtay, N. J., &amp; Thatte, U. M. (2009). Declaration of Helsinki, 2008: implications for stakeholders in research. </w:t>
      </w:r>
      <w:r w:rsidRPr="00BC4758">
        <w:rPr>
          <w:rFonts w:ascii="Times New Roman" w:hAnsi="Times New Roman" w:cs="Times New Roman"/>
          <w:i/>
          <w:iCs/>
          <w:sz w:val="24"/>
          <w:szCs w:val="24"/>
        </w:rPr>
        <w:t>Journal of Postgraduate Medicine</w:t>
      </w:r>
      <w:r w:rsidRPr="00BC4758">
        <w:rPr>
          <w:rFonts w:ascii="Times New Roman" w:hAnsi="Times New Roman" w:cs="Times New Roman"/>
          <w:sz w:val="24"/>
          <w:szCs w:val="24"/>
        </w:rPr>
        <w:t>, </w:t>
      </w:r>
      <w:r w:rsidRPr="00BC4758">
        <w:rPr>
          <w:rFonts w:ascii="Times New Roman" w:hAnsi="Times New Roman" w:cs="Times New Roman"/>
          <w:i/>
          <w:iCs/>
          <w:sz w:val="24"/>
          <w:szCs w:val="24"/>
        </w:rPr>
        <w:t>55</w:t>
      </w:r>
      <w:r w:rsidRPr="00BC4758">
        <w:rPr>
          <w:rFonts w:ascii="Times New Roman" w:hAnsi="Times New Roman" w:cs="Times New Roman"/>
          <w:sz w:val="24"/>
          <w:szCs w:val="24"/>
        </w:rPr>
        <w:t>(2), 131-134..</w:t>
      </w:r>
    </w:p>
    <w:p w14:paraId="2989D653" w14:textId="77777777" w:rsidR="00331EF5" w:rsidRPr="00BC4758" w:rsidRDefault="00331EF5" w:rsidP="00331EF5">
      <w:pPr>
        <w:spacing w:line="240" w:lineRule="auto"/>
        <w:jc w:val="both"/>
        <w:rPr>
          <w:rFonts w:ascii="Times New Roman" w:hAnsi="Times New Roman" w:cs="Times New Roman"/>
          <w:b/>
          <w:sz w:val="24"/>
          <w:szCs w:val="24"/>
        </w:rPr>
      </w:pPr>
    </w:p>
    <w:p w14:paraId="27EFF376" w14:textId="5CF96F5B" w:rsidR="00331EF5" w:rsidRPr="00BC4758" w:rsidRDefault="00331EF5" w:rsidP="00331EF5">
      <w:pPr>
        <w:spacing w:line="240" w:lineRule="auto"/>
        <w:jc w:val="both"/>
        <w:rPr>
          <w:rFonts w:ascii="Times New Roman" w:hAnsi="Times New Roman" w:cs="Times New Roman"/>
          <w:sz w:val="24"/>
          <w:szCs w:val="24"/>
        </w:rPr>
      </w:pPr>
      <w:r w:rsidRPr="00BC4758">
        <w:rPr>
          <w:rStyle w:val="referencesauthors"/>
          <w:rFonts w:ascii="Times New Roman" w:hAnsi="Times New Roman" w:cs="Times New Roman"/>
          <w:sz w:val="24"/>
          <w:szCs w:val="24"/>
        </w:rPr>
        <w:lastRenderedPageBreak/>
        <w:t xml:space="preserve">Saraiva, M., Vieira, P., </w:t>
      </w:r>
      <w:r w:rsidRPr="00BC4758">
        <w:rPr>
          <w:rFonts w:ascii="Times New Roman" w:hAnsi="Times New Roman" w:cs="Times New Roman"/>
          <w:sz w:val="24"/>
          <w:szCs w:val="24"/>
        </w:rPr>
        <w:t xml:space="preserve">&amp; </w:t>
      </w:r>
      <w:r w:rsidRPr="00BC4758">
        <w:rPr>
          <w:rStyle w:val="referencesauthors"/>
          <w:rFonts w:ascii="Times New Roman" w:hAnsi="Times New Roman" w:cs="Times New Roman"/>
          <w:sz w:val="24"/>
          <w:szCs w:val="24"/>
        </w:rPr>
        <w:t>O’Garra, A</w:t>
      </w:r>
      <w:r w:rsidRPr="00BC4758">
        <w:rPr>
          <w:rStyle w:val="referencesnote"/>
          <w:rFonts w:ascii="Times New Roman" w:hAnsi="Times New Roman" w:cs="Times New Roman"/>
          <w:sz w:val="24"/>
          <w:szCs w:val="24"/>
        </w:rPr>
        <w:t xml:space="preserve">. (2020). </w:t>
      </w:r>
      <w:r w:rsidRPr="00BC4758">
        <w:rPr>
          <w:rStyle w:val="referencesarticle-title"/>
          <w:rFonts w:ascii="Times New Roman" w:hAnsi="Times New Roman" w:cs="Times New Roman"/>
          <w:sz w:val="24"/>
          <w:szCs w:val="24"/>
        </w:rPr>
        <w:t>Biology and therapeutic potential of interleukin-10</w:t>
      </w:r>
      <w:r w:rsidRPr="00BC4758">
        <w:rPr>
          <w:rStyle w:val="referencesnote"/>
          <w:rFonts w:ascii="Times New Roman" w:hAnsi="Times New Roman" w:cs="Times New Roman"/>
          <w:sz w:val="24"/>
          <w:szCs w:val="24"/>
        </w:rPr>
        <w:t xml:space="preserve">. </w:t>
      </w:r>
      <w:r w:rsidRPr="00BC4758">
        <w:rPr>
          <w:rStyle w:val="Strong"/>
          <w:rFonts w:ascii="Times New Roman" w:hAnsi="Times New Roman" w:cs="Times New Roman"/>
          <w:b w:val="0"/>
          <w:i/>
          <w:sz w:val="24"/>
          <w:szCs w:val="24"/>
        </w:rPr>
        <w:t>Journal of Experimental Medicine</w:t>
      </w:r>
      <w:r w:rsidRPr="00BC4758">
        <w:rPr>
          <w:rStyle w:val="referencesnote"/>
          <w:rFonts w:ascii="Times New Roman" w:hAnsi="Times New Roman" w:cs="Times New Roman"/>
          <w:sz w:val="24"/>
          <w:szCs w:val="24"/>
        </w:rPr>
        <w:t xml:space="preserve">, 217: e20190418. </w:t>
      </w:r>
      <w:hyperlink r:id="rId28" w:history="1">
        <w:r w:rsidR="00B30841" w:rsidRPr="00304538">
          <w:rPr>
            <w:rStyle w:val="Hyperlink"/>
            <w:rFonts w:ascii="Times New Roman" w:hAnsi="Times New Roman" w:cs="Times New Roman"/>
            <w:sz w:val="24"/>
            <w:szCs w:val="24"/>
          </w:rPr>
          <w:t>https://doi.org/10.1084/jem.20190418</w:t>
        </w:r>
      </w:hyperlink>
      <w:r w:rsidR="00B30841">
        <w:rPr>
          <w:rStyle w:val="ref-doi"/>
          <w:rFonts w:ascii="Times New Roman" w:hAnsi="Times New Roman" w:cs="Times New Roman"/>
          <w:sz w:val="24"/>
          <w:szCs w:val="24"/>
        </w:rPr>
        <w:t xml:space="preserve"> </w:t>
      </w:r>
      <w:r w:rsidR="00B30841">
        <w:rPr>
          <w:rStyle w:val="referencesnote"/>
          <w:rFonts w:ascii="Times New Roman" w:hAnsi="Times New Roman" w:cs="Times New Roman"/>
          <w:sz w:val="24"/>
          <w:szCs w:val="24"/>
        </w:rPr>
        <w:t xml:space="preserve"> </w:t>
      </w:r>
    </w:p>
    <w:p w14:paraId="3B5BD062" w14:textId="77777777" w:rsidR="00331EF5" w:rsidRPr="00BC4758" w:rsidRDefault="00331EF5" w:rsidP="00331EF5">
      <w:pPr>
        <w:spacing w:line="240" w:lineRule="auto"/>
        <w:jc w:val="both"/>
        <w:rPr>
          <w:rFonts w:ascii="Times New Roman" w:hAnsi="Times New Roman" w:cs="Times New Roman"/>
          <w:sz w:val="24"/>
          <w:szCs w:val="24"/>
        </w:rPr>
      </w:pPr>
    </w:p>
    <w:p w14:paraId="4C560343" w14:textId="77777777" w:rsidR="00331EF5" w:rsidRPr="00BC4758" w:rsidRDefault="00331EF5" w:rsidP="00331EF5">
      <w:pPr>
        <w:spacing w:line="24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Ubani, B.C., Umoren, U., Nwafor, N.N., Dike, F.O. (2024). Malnutrition-related diabetes mellitus in a destitute male Nigerian. </w:t>
      </w:r>
      <w:r w:rsidRPr="00BC4758">
        <w:rPr>
          <w:rFonts w:ascii="Times New Roman" w:hAnsi="Times New Roman" w:cs="Times New Roman"/>
          <w:i/>
          <w:sz w:val="24"/>
          <w:szCs w:val="24"/>
        </w:rPr>
        <w:t>Ibom Medical Journal, 17</w:t>
      </w:r>
      <w:r w:rsidRPr="00BC4758">
        <w:rPr>
          <w:rFonts w:ascii="Times New Roman" w:hAnsi="Times New Roman" w:cs="Times New Roman"/>
          <w:sz w:val="24"/>
          <w:szCs w:val="24"/>
        </w:rPr>
        <w:t>(3),</w:t>
      </w:r>
      <w:r w:rsidRPr="00BC4758">
        <w:rPr>
          <w:rFonts w:ascii="Times New Roman" w:hAnsi="Times New Roman" w:cs="Times New Roman"/>
          <w:i/>
          <w:sz w:val="24"/>
          <w:szCs w:val="24"/>
        </w:rPr>
        <w:t xml:space="preserve"> </w:t>
      </w:r>
      <w:r w:rsidRPr="00BC4758">
        <w:rPr>
          <w:rFonts w:ascii="Times New Roman" w:hAnsi="Times New Roman" w:cs="Times New Roman"/>
          <w:sz w:val="24"/>
          <w:szCs w:val="24"/>
        </w:rPr>
        <w:t>598-601.</w:t>
      </w:r>
    </w:p>
    <w:p w14:paraId="1AC7FC01" w14:textId="77777777" w:rsidR="00331EF5" w:rsidRPr="00BC4758" w:rsidRDefault="00331EF5" w:rsidP="00331EF5">
      <w:pPr>
        <w:spacing w:line="240" w:lineRule="auto"/>
        <w:jc w:val="both"/>
        <w:rPr>
          <w:rFonts w:ascii="Times New Roman" w:hAnsi="Times New Roman" w:cs="Times New Roman"/>
          <w:sz w:val="24"/>
          <w:szCs w:val="24"/>
        </w:rPr>
      </w:pPr>
    </w:p>
    <w:p w14:paraId="051B83F7" w14:textId="6C527001" w:rsidR="00331EF5" w:rsidRPr="00BC4758" w:rsidRDefault="00331EF5" w:rsidP="00331EF5">
      <w:pPr>
        <w:spacing w:line="24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Wang, G. X., Fang, Z. B., Li, J. T., Huang, B. L., Liu, D. L., Chu, S. F., &amp; Li, H. L. (2022). The correlation between serum albumin and diabetic retinopathy among people with type 2 diabetes mellitus: NHANES 2011-2020. </w:t>
      </w:r>
      <w:r w:rsidRPr="00BC4758">
        <w:rPr>
          <w:rFonts w:ascii="Times New Roman" w:hAnsi="Times New Roman" w:cs="Times New Roman"/>
          <w:i/>
          <w:iCs/>
          <w:sz w:val="24"/>
          <w:szCs w:val="24"/>
        </w:rPr>
        <w:t>PloS one</w:t>
      </w:r>
      <w:r w:rsidRPr="00BC4758">
        <w:rPr>
          <w:rFonts w:ascii="Times New Roman" w:hAnsi="Times New Roman" w:cs="Times New Roman"/>
          <w:sz w:val="24"/>
          <w:szCs w:val="24"/>
        </w:rPr>
        <w:t xml:space="preserve">, </w:t>
      </w:r>
      <w:r w:rsidRPr="00BC4758">
        <w:rPr>
          <w:rFonts w:ascii="Times New Roman" w:hAnsi="Times New Roman" w:cs="Times New Roman"/>
          <w:i/>
          <w:iCs/>
          <w:sz w:val="24"/>
          <w:szCs w:val="24"/>
        </w:rPr>
        <w:t>17</w:t>
      </w:r>
      <w:r w:rsidRPr="00BC4758">
        <w:rPr>
          <w:rFonts w:ascii="Times New Roman" w:hAnsi="Times New Roman" w:cs="Times New Roman"/>
          <w:sz w:val="24"/>
          <w:szCs w:val="24"/>
        </w:rPr>
        <w:t xml:space="preserve">(6), e0270019. </w:t>
      </w:r>
      <w:hyperlink r:id="rId29" w:history="1">
        <w:r w:rsidR="00B30841" w:rsidRPr="00304538">
          <w:rPr>
            <w:rStyle w:val="Hyperlink"/>
            <w:rFonts w:ascii="Times New Roman" w:hAnsi="Times New Roman" w:cs="Times New Roman"/>
            <w:sz w:val="24"/>
            <w:szCs w:val="24"/>
          </w:rPr>
          <w:t>https://doi.org/10.1371/journal.pone.0270019</w:t>
        </w:r>
      </w:hyperlink>
      <w:r w:rsidR="00B30841">
        <w:rPr>
          <w:rFonts w:ascii="Times New Roman" w:hAnsi="Times New Roman" w:cs="Times New Roman"/>
          <w:sz w:val="24"/>
          <w:szCs w:val="24"/>
        </w:rPr>
        <w:t xml:space="preserve"> </w:t>
      </w:r>
    </w:p>
    <w:p w14:paraId="0BA246CB" w14:textId="77777777" w:rsidR="00331EF5" w:rsidRPr="00BC4758" w:rsidRDefault="00331EF5" w:rsidP="00331EF5">
      <w:pPr>
        <w:spacing w:line="240" w:lineRule="auto"/>
        <w:jc w:val="both"/>
        <w:rPr>
          <w:rFonts w:ascii="Times New Roman" w:hAnsi="Times New Roman" w:cs="Times New Roman"/>
          <w:b/>
          <w:sz w:val="24"/>
          <w:szCs w:val="24"/>
        </w:rPr>
      </w:pPr>
    </w:p>
    <w:p w14:paraId="6B8285BA" w14:textId="48BF5771" w:rsidR="00331EF5" w:rsidRPr="00904FC0" w:rsidRDefault="00331EF5" w:rsidP="00331EF5">
      <w:pPr>
        <w:spacing w:line="240" w:lineRule="auto"/>
        <w:jc w:val="both"/>
        <w:rPr>
          <w:rFonts w:ascii="Times New Roman" w:hAnsi="Times New Roman" w:cs="Times New Roman"/>
          <w:sz w:val="24"/>
          <w:szCs w:val="24"/>
        </w:rPr>
      </w:pPr>
      <w:r w:rsidRPr="00BC4758">
        <w:rPr>
          <w:rFonts w:ascii="Times New Roman" w:hAnsi="Times New Roman" w:cs="Times New Roman"/>
          <w:sz w:val="24"/>
          <w:szCs w:val="24"/>
        </w:rPr>
        <w:t xml:space="preserve">Zhang, J., Deng, Y., Wan, Y., He, S., Cai, W., &amp; Xu, J. (2022). Association Between Serum Albumin Level and Microvascular Complications of Type 2 Diabetes Mellitus. </w:t>
      </w:r>
      <w:r w:rsidRPr="00BC4758">
        <w:rPr>
          <w:rFonts w:ascii="Times New Roman" w:hAnsi="Times New Roman" w:cs="Times New Roman"/>
          <w:i/>
          <w:iCs/>
          <w:sz w:val="24"/>
          <w:szCs w:val="24"/>
        </w:rPr>
        <w:t>Diabetes, Metabolic Syndrome and Obesity: Targets and Therapy</w:t>
      </w:r>
      <w:r w:rsidRPr="00BC4758">
        <w:rPr>
          <w:rFonts w:ascii="Times New Roman" w:hAnsi="Times New Roman" w:cs="Times New Roman"/>
          <w:sz w:val="24"/>
          <w:szCs w:val="24"/>
        </w:rPr>
        <w:t xml:space="preserve">, </w:t>
      </w:r>
      <w:r w:rsidRPr="00BC4758">
        <w:rPr>
          <w:rFonts w:ascii="Times New Roman" w:hAnsi="Times New Roman" w:cs="Times New Roman"/>
          <w:i/>
          <w:iCs/>
          <w:sz w:val="24"/>
          <w:szCs w:val="24"/>
        </w:rPr>
        <w:t>15</w:t>
      </w:r>
      <w:r w:rsidRPr="00BC4758">
        <w:rPr>
          <w:rFonts w:ascii="Times New Roman" w:hAnsi="Times New Roman" w:cs="Times New Roman"/>
          <w:sz w:val="24"/>
          <w:szCs w:val="24"/>
        </w:rPr>
        <w:t xml:space="preserve">, 2173–2182. </w:t>
      </w:r>
      <w:hyperlink r:id="rId30" w:history="1">
        <w:r w:rsidR="00B30841" w:rsidRPr="00304538">
          <w:rPr>
            <w:rStyle w:val="Hyperlink"/>
            <w:rFonts w:ascii="Times New Roman" w:hAnsi="Times New Roman" w:cs="Times New Roman"/>
            <w:sz w:val="24"/>
            <w:szCs w:val="24"/>
          </w:rPr>
          <w:t>https://doi.org/10.2147/DMSO.S373160</w:t>
        </w:r>
      </w:hyperlink>
      <w:r w:rsidR="00B30841">
        <w:rPr>
          <w:rFonts w:ascii="Times New Roman" w:hAnsi="Times New Roman" w:cs="Times New Roman"/>
          <w:sz w:val="24"/>
          <w:szCs w:val="24"/>
        </w:rPr>
        <w:t xml:space="preserve"> </w:t>
      </w:r>
    </w:p>
    <w:p w14:paraId="09512251" w14:textId="77777777" w:rsidR="00331EF5" w:rsidRPr="00904FC0" w:rsidRDefault="00331EF5" w:rsidP="00331EF5">
      <w:pPr>
        <w:spacing w:line="240" w:lineRule="auto"/>
        <w:jc w:val="both"/>
        <w:rPr>
          <w:rFonts w:ascii="Times New Roman" w:hAnsi="Times New Roman" w:cs="Times New Roman"/>
          <w:sz w:val="24"/>
          <w:szCs w:val="24"/>
        </w:rPr>
      </w:pPr>
    </w:p>
    <w:p w14:paraId="089E26B7" w14:textId="77777777" w:rsidR="00FE08B2" w:rsidRDefault="00FE08B2"/>
    <w:sectPr w:rsidR="00FE08B2">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8FC51" w14:textId="77777777" w:rsidR="000A3734" w:rsidRDefault="000A3734" w:rsidP="00393011">
      <w:pPr>
        <w:spacing w:after="0" w:line="240" w:lineRule="auto"/>
      </w:pPr>
      <w:r>
        <w:separator/>
      </w:r>
    </w:p>
  </w:endnote>
  <w:endnote w:type="continuationSeparator" w:id="0">
    <w:p w14:paraId="37C75DD6" w14:textId="77777777" w:rsidR="000A3734" w:rsidRDefault="000A3734" w:rsidP="00393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EB614" w14:textId="77777777" w:rsidR="00393011" w:rsidRDefault="0039301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3C3FE" w14:textId="77777777" w:rsidR="00393011" w:rsidRDefault="0039301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44A53" w14:textId="77777777" w:rsidR="00393011" w:rsidRDefault="003930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E7A6E" w14:textId="77777777" w:rsidR="000A3734" w:rsidRDefault="000A3734" w:rsidP="00393011">
      <w:pPr>
        <w:spacing w:after="0" w:line="240" w:lineRule="auto"/>
      </w:pPr>
      <w:r>
        <w:separator/>
      </w:r>
    </w:p>
  </w:footnote>
  <w:footnote w:type="continuationSeparator" w:id="0">
    <w:p w14:paraId="43C89148" w14:textId="77777777" w:rsidR="000A3734" w:rsidRDefault="000A3734" w:rsidP="00393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719CA" w14:textId="3803A9D2" w:rsidR="00393011" w:rsidRDefault="000A3734">
    <w:pPr>
      <w:pStyle w:val="Header"/>
    </w:pPr>
    <w:r>
      <w:rPr>
        <w:noProof/>
      </w:rPr>
      <w:pict w14:anchorId="261613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3103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BE210" w14:textId="25EADD05" w:rsidR="00393011" w:rsidRDefault="000A3734">
    <w:pPr>
      <w:pStyle w:val="Header"/>
    </w:pPr>
    <w:r>
      <w:rPr>
        <w:noProof/>
      </w:rPr>
      <w:pict w14:anchorId="4D0DCF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3103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F4515" w14:textId="78146054" w:rsidR="00393011" w:rsidRDefault="000A3734">
    <w:pPr>
      <w:pStyle w:val="Header"/>
    </w:pPr>
    <w:r>
      <w:rPr>
        <w:noProof/>
      </w:rPr>
      <w:pict w14:anchorId="3240B9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3103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BED"/>
    <w:multiLevelType w:val="hybridMultilevel"/>
    <w:tmpl w:val="ED14A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B5A77"/>
    <w:multiLevelType w:val="hybridMultilevel"/>
    <w:tmpl w:val="0554D6DA"/>
    <w:lvl w:ilvl="0" w:tplc="C7246E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8552C1"/>
    <w:multiLevelType w:val="hybridMultilevel"/>
    <w:tmpl w:val="1B46B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DD33B1"/>
    <w:multiLevelType w:val="hybridMultilevel"/>
    <w:tmpl w:val="0E3ED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6C0"/>
    <w:rsid w:val="000054DA"/>
    <w:rsid w:val="00034B1E"/>
    <w:rsid w:val="00041037"/>
    <w:rsid w:val="000A3734"/>
    <w:rsid w:val="000C5E7C"/>
    <w:rsid w:val="000D1F5A"/>
    <w:rsid w:val="000E094A"/>
    <w:rsid w:val="0015589E"/>
    <w:rsid w:val="001B3DCB"/>
    <w:rsid w:val="001C3CB0"/>
    <w:rsid w:val="001D5E74"/>
    <w:rsid w:val="001E14BB"/>
    <w:rsid w:val="001E4787"/>
    <w:rsid w:val="00284885"/>
    <w:rsid w:val="002A2BF1"/>
    <w:rsid w:val="002D1831"/>
    <w:rsid w:val="002F0B3E"/>
    <w:rsid w:val="00306230"/>
    <w:rsid w:val="00320B4A"/>
    <w:rsid w:val="00331EF5"/>
    <w:rsid w:val="00351567"/>
    <w:rsid w:val="00366790"/>
    <w:rsid w:val="00391E05"/>
    <w:rsid w:val="00393011"/>
    <w:rsid w:val="003B59D6"/>
    <w:rsid w:val="004066C0"/>
    <w:rsid w:val="004258F9"/>
    <w:rsid w:val="00444F8C"/>
    <w:rsid w:val="00460AFD"/>
    <w:rsid w:val="00490F87"/>
    <w:rsid w:val="005027DF"/>
    <w:rsid w:val="00502892"/>
    <w:rsid w:val="00514472"/>
    <w:rsid w:val="00514A50"/>
    <w:rsid w:val="00534624"/>
    <w:rsid w:val="00540816"/>
    <w:rsid w:val="00553012"/>
    <w:rsid w:val="005620AC"/>
    <w:rsid w:val="00573D01"/>
    <w:rsid w:val="00627C6C"/>
    <w:rsid w:val="006565D9"/>
    <w:rsid w:val="006906FA"/>
    <w:rsid w:val="006935AF"/>
    <w:rsid w:val="00693E47"/>
    <w:rsid w:val="006A6A1E"/>
    <w:rsid w:val="006E7B45"/>
    <w:rsid w:val="00730018"/>
    <w:rsid w:val="0075068F"/>
    <w:rsid w:val="00752C7B"/>
    <w:rsid w:val="007560A0"/>
    <w:rsid w:val="007649F9"/>
    <w:rsid w:val="00783F8F"/>
    <w:rsid w:val="007B5A98"/>
    <w:rsid w:val="007C7BD4"/>
    <w:rsid w:val="0082432D"/>
    <w:rsid w:val="00847540"/>
    <w:rsid w:val="008A18F4"/>
    <w:rsid w:val="008C58A7"/>
    <w:rsid w:val="008D78C8"/>
    <w:rsid w:val="00912F64"/>
    <w:rsid w:val="009B3179"/>
    <w:rsid w:val="009D1698"/>
    <w:rsid w:val="009D6788"/>
    <w:rsid w:val="00A16B73"/>
    <w:rsid w:val="00A22137"/>
    <w:rsid w:val="00A35923"/>
    <w:rsid w:val="00A77EBB"/>
    <w:rsid w:val="00A815D1"/>
    <w:rsid w:val="00AB0B9C"/>
    <w:rsid w:val="00B30841"/>
    <w:rsid w:val="00B576FA"/>
    <w:rsid w:val="00B9454B"/>
    <w:rsid w:val="00BA42A9"/>
    <w:rsid w:val="00BC4758"/>
    <w:rsid w:val="00BC6231"/>
    <w:rsid w:val="00BE5570"/>
    <w:rsid w:val="00C07ED0"/>
    <w:rsid w:val="00C43F7B"/>
    <w:rsid w:val="00CA5281"/>
    <w:rsid w:val="00CB3A2C"/>
    <w:rsid w:val="00D0406A"/>
    <w:rsid w:val="00D10CBE"/>
    <w:rsid w:val="00D404A4"/>
    <w:rsid w:val="00D44C7B"/>
    <w:rsid w:val="00DA5715"/>
    <w:rsid w:val="00E1776B"/>
    <w:rsid w:val="00E82785"/>
    <w:rsid w:val="00EA6752"/>
    <w:rsid w:val="00EB3962"/>
    <w:rsid w:val="00EC06EA"/>
    <w:rsid w:val="00ED4B62"/>
    <w:rsid w:val="00ED5755"/>
    <w:rsid w:val="00EE54D0"/>
    <w:rsid w:val="00EE79BB"/>
    <w:rsid w:val="00EF0716"/>
    <w:rsid w:val="00F65BEB"/>
    <w:rsid w:val="00FE08B2"/>
    <w:rsid w:val="00FE2913"/>
    <w:rsid w:val="00FE33B1"/>
    <w:rsid w:val="00FF0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530C88"/>
  <w15:chartTrackingRefBased/>
  <w15:docId w15:val="{ED36A011-DF9C-4D54-AB24-20A8CDB3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66C0"/>
    <w:pPr>
      <w:keepNext/>
      <w:keepLines/>
      <w:spacing w:before="360" w:after="80"/>
      <w:outlineLvl w:val="0"/>
    </w:pPr>
    <w:rPr>
      <w:rFonts w:asciiTheme="majorHAnsi" w:eastAsiaTheme="majorEastAsia" w:hAnsiTheme="majorHAnsi" w:cstheme="majorBidi"/>
      <w:color w:val="2E74B5" w:themeColor="accent1" w:themeShade="BF"/>
      <w:kern w:val="2"/>
      <w:sz w:val="40"/>
      <w:szCs w:val="40"/>
      <w:lang w:val="en-GB"/>
      <w14:ligatures w14:val="standardContextual"/>
    </w:rPr>
  </w:style>
  <w:style w:type="paragraph" w:styleId="Heading2">
    <w:name w:val="heading 2"/>
    <w:basedOn w:val="Normal"/>
    <w:next w:val="Normal"/>
    <w:link w:val="Heading2Char"/>
    <w:uiPriority w:val="9"/>
    <w:unhideWhenUsed/>
    <w:qFormat/>
    <w:rsid w:val="0082432D"/>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565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6C0"/>
    <w:rPr>
      <w:rFonts w:asciiTheme="majorHAnsi" w:eastAsiaTheme="majorEastAsia" w:hAnsiTheme="majorHAnsi" w:cstheme="majorBidi"/>
      <w:color w:val="2E74B5" w:themeColor="accent1" w:themeShade="BF"/>
      <w:kern w:val="2"/>
      <w:sz w:val="40"/>
      <w:szCs w:val="40"/>
      <w:lang w:val="en-GB"/>
      <w14:ligatures w14:val="standardContextual"/>
    </w:rPr>
  </w:style>
  <w:style w:type="character" w:styleId="Hyperlink">
    <w:name w:val="Hyperlink"/>
    <w:basedOn w:val="DefaultParagraphFont"/>
    <w:uiPriority w:val="99"/>
    <w:unhideWhenUsed/>
    <w:rsid w:val="00D0406A"/>
    <w:rPr>
      <w:color w:val="0000FF"/>
      <w:u w:val="single"/>
    </w:rPr>
  </w:style>
  <w:style w:type="character" w:customStyle="1" w:styleId="referencesauthors">
    <w:name w:val="references__authors"/>
    <w:basedOn w:val="DefaultParagraphFont"/>
    <w:rsid w:val="009D6788"/>
  </w:style>
  <w:style w:type="character" w:customStyle="1" w:styleId="Heading2Char">
    <w:name w:val="Heading 2 Char"/>
    <w:basedOn w:val="DefaultParagraphFont"/>
    <w:link w:val="Heading2"/>
    <w:uiPriority w:val="9"/>
    <w:rsid w:val="0082432D"/>
    <w:rPr>
      <w:rFonts w:asciiTheme="majorHAnsi" w:eastAsiaTheme="majorEastAsia" w:hAnsiTheme="majorHAnsi" w:cstheme="majorBidi"/>
      <w:color w:val="2E74B5" w:themeColor="accent1" w:themeShade="BF"/>
      <w:sz w:val="26"/>
      <w:szCs w:val="26"/>
    </w:rPr>
  </w:style>
  <w:style w:type="character" w:styleId="HTMLCite">
    <w:name w:val="HTML Cite"/>
    <w:basedOn w:val="DefaultParagraphFont"/>
    <w:uiPriority w:val="99"/>
    <w:semiHidden/>
    <w:unhideWhenUsed/>
    <w:rsid w:val="00EE54D0"/>
    <w:rPr>
      <w:i/>
      <w:iCs/>
    </w:rPr>
  </w:style>
  <w:style w:type="paragraph" w:styleId="ListParagraph">
    <w:name w:val="List Paragraph"/>
    <w:basedOn w:val="Normal"/>
    <w:uiPriority w:val="34"/>
    <w:qFormat/>
    <w:rsid w:val="00C43F7B"/>
    <w:pPr>
      <w:ind w:left="720"/>
      <w:contextualSpacing/>
    </w:pPr>
  </w:style>
  <w:style w:type="table" w:styleId="TableGrid">
    <w:name w:val="Table Grid"/>
    <w:basedOn w:val="TableNormal"/>
    <w:uiPriority w:val="59"/>
    <w:qFormat/>
    <w:rsid w:val="00ED5755"/>
    <w:pPr>
      <w:spacing w:after="0" w:line="240" w:lineRule="auto"/>
    </w:pPr>
    <w:rPr>
      <w:rFonts w:ascii="Times New Roman" w:eastAsia="SimSu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2">
    <w:name w:val="toc 2"/>
    <w:basedOn w:val="Normal"/>
    <w:next w:val="Normal"/>
    <w:autoRedefine/>
    <w:uiPriority w:val="39"/>
    <w:unhideWhenUsed/>
    <w:rsid w:val="00EC06EA"/>
    <w:pPr>
      <w:spacing w:after="100" w:line="480" w:lineRule="auto"/>
      <w:ind w:left="220"/>
      <w:jc w:val="both"/>
    </w:pPr>
    <w:rPr>
      <w:rFonts w:ascii="Times New Roman" w:hAnsi="Times New Roman" w:cs="Times New Roman"/>
      <w:kern w:val="2"/>
      <w:sz w:val="24"/>
      <w:szCs w:val="24"/>
      <w:lang w:val="en-GB"/>
      <w14:ligatures w14:val="standardContextual"/>
    </w:rPr>
  </w:style>
  <w:style w:type="character" w:customStyle="1" w:styleId="text">
    <w:name w:val="text"/>
    <w:basedOn w:val="DefaultParagraphFont"/>
    <w:rsid w:val="000D1F5A"/>
  </w:style>
  <w:style w:type="character" w:styleId="Emphasis">
    <w:name w:val="Emphasis"/>
    <w:basedOn w:val="DefaultParagraphFont"/>
    <w:uiPriority w:val="20"/>
    <w:qFormat/>
    <w:rsid w:val="00331EF5"/>
    <w:rPr>
      <w:i/>
      <w:iCs/>
    </w:rPr>
  </w:style>
  <w:style w:type="character" w:customStyle="1" w:styleId="title-text">
    <w:name w:val="title-text"/>
    <w:basedOn w:val="DefaultParagraphFont"/>
    <w:rsid w:val="00331EF5"/>
  </w:style>
  <w:style w:type="character" w:customStyle="1" w:styleId="given-name">
    <w:name w:val="given-name"/>
    <w:basedOn w:val="DefaultParagraphFont"/>
    <w:rsid w:val="00331EF5"/>
  </w:style>
  <w:style w:type="character" w:customStyle="1" w:styleId="anchor-text">
    <w:name w:val="anchor-text"/>
    <w:basedOn w:val="DefaultParagraphFont"/>
    <w:rsid w:val="00331EF5"/>
  </w:style>
  <w:style w:type="character" w:customStyle="1" w:styleId="author">
    <w:name w:val="author"/>
    <w:basedOn w:val="DefaultParagraphFont"/>
    <w:rsid w:val="00331EF5"/>
  </w:style>
  <w:style w:type="character" w:customStyle="1" w:styleId="articletitle">
    <w:name w:val="articletitle"/>
    <w:basedOn w:val="DefaultParagraphFont"/>
    <w:rsid w:val="00331EF5"/>
  </w:style>
  <w:style w:type="character" w:customStyle="1" w:styleId="vol">
    <w:name w:val="vol"/>
    <w:basedOn w:val="DefaultParagraphFont"/>
    <w:rsid w:val="00331EF5"/>
  </w:style>
  <w:style w:type="character" w:customStyle="1" w:styleId="referencesnote">
    <w:name w:val="references__note"/>
    <w:basedOn w:val="DefaultParagraphFont"/>
    <w:rsid w:val="00331EF5"/>
  </w:style>
  <w:style w:type="character" w:customStyle="1" w:styleId="referencesarticle-title">
    <w:name w:val="references__article-title"/>
    <w:basedOn w:val="DefaultParagraphFont"/>
    <w:rsid w:val="00331EF5"/>
  </w:style>
  <w:style w:type="character" w:styleId="Strong">
    <w:name w:val="Strong"/>
    <w:basedOn w:val="DefaultParagraphFont"/>
    <w:uiPriority w:val="22"/>
    <w:qFormat/>
    <w:rsid w:val="00331EF5"/>
    <w:rPr>
      <w:b/>
      <w:bCs/>
    </w:rPr>
  </w:style>
  <w:style w:type="character" w:customStyle="1" w:styleId="ref-doi">
    <w:name w:val="ref-doi"/>
    <w:basedOn w:val="DefaultParagraphFont"/>
    <w:rsid w:val="00331EF5"/>
  </w:style>
  <w:style w:type="paragraph" w:customStyle="1" w:styleId="Default">
    <w:name w:val="Default"/>
    <w:rsid w:val="007560A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320B4A"/>
    <w:rPr>
      <w:color w:val="605E5C"/>
      <w:shd w:val="clear" w:color="auto" w:fill="E1DFDD"/>
    </w:rPr>
  </w:style>
  <w:style w:type="character" w:customStyle="1" w:styleId="Heading3Char">
    <w:name w:val="Heading 3 Char"/>
    <w:basedOn w:val="DefaultParagraphFont"/>
    <w:link w:val="Heading3"/>
    <w:uiPriority w:val="9"/>
    <w:semiHidden/>
    <w:rsid w:val="006565D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3930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011"/>
  </w:style>
  <w:style w:type="paragraph" w:styleId="Footer">
    <w:name w:val="footer"/>
    <w:basedOn w:val="Normal"/>
    <w:link w:val="FooterChar"/>
    <w:uiPriority w:val="99"/>
    <w:unhideWhenUsed/>
    <w:rsid w:val="003930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imlet.2017.04.003" TargetMode="External"/><Relationship Id="rId18" Type="http://schemas.openxmlformats.org/officeDocument/2006/relationships/hyperlink" Target="https://doi.org/10.2337/dci20-0053" TargetMode="External"/><Relationship Id="rId26" Type="http://schemas.openxmlformats.org/officeDocument/2006/relationships/hyperlink" Target="https://doi.org/10.1111/psyp.13334" TargetMode="External"/><Relationship Id="rId21" Type="http://schemas.openxmlformats.org/officeDocument/2006/relationships/hyperlink" Target="https://doi.org/10.1615/critrevimmunol.v32.i1.30" TargetMode="External"/><Relationship Id="rId34" Type="http://schemas.openxmlformats.org/officeDocument/2006/relationships/footer" Target="footer2.xml"/><Relationship Id="rId7" Type="http://schemas.openxmlformats.org/officeDocument/2006/relationships/hyperlink" Target="https://doi.org/10.1002/jcb.26174" TargetMode="External"/><Relationship Id="rId12" Type="http://schemas.openxmlformats.org/officeDocument/2006/relationships/hyperlink" Target="https://doi.org/10.4103/0253-7176.116232" TargetMode="External"/><Relationship Id="rId17" Type="http://schemas.openxmlformats.org/officeDocument/2006/relationships/hyperlink" Target="https://doi.org/10.3389/fendo.2024.1501690" TargetMode="External"/><Relationship Id="rId25" Type="http://schemas.openxmlformats.org/officeDocument/2006/relationships/hyperlink" Target="https://doi.org/10.2147/JIR.S449546"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16/s2666-7568(21)00089-1" TargetMode="External"/><Relationship Id="rId20" Type="http://schemas.openxmlformats.org/officeDocument/2006/relationships/hyperlink" Target="https://doi.org/10.1152/ajpcell.00124.2025" TargetMode="External"/><Relationship Id="rId29" Type="http://schemas.openxmlformats.org/officeDocument/2006/relationships/hyperlink" Target="https://doi.org/10.1371/journal.pone.02700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86/s13098-019-0409-y" TargetMode="External"/><Relationship Id="rId24" Type="http://schemas.openxmlformats.org/officeDocument/2006/relationships/hyperlink" Target="https://doi.org/10.3390/ijms26031094"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16/0009-8981(71)90365-2" TargetMode="External"/><Relationship Id="rId23" Type="http://schemas.openxmlformats.org/officeDocument/2006/relationships/hyperlink" Target="https://doi.org/10.1016/j.dialog.2022.100030" TargetMode="External"/><Relationship Id="rId28" Type="http://schemas.openxmlformats.org/officeDocument/2006/relationships/hyperlink" Target="https://doi.org/10.1084/jem.20190418" TargetMode="External"/><Relationship Id="rId36" Type="http://schemas.openxmlformats.org/officeDocument/2006/relationships/footer" Target="footer3.xml"/><Relationship Id="rId10" Type="http://schemas.openxmlformats.org/officeDocument/2006/relationships/hyperlink" Target="https://doi.org/10.5772/intechopen.100971" TargetMode="External"/><Relationship Id="rId19" Type="http://schemas.openxmlformats.org/officeDocument/2006/relationships/hyperlink" Target="https://doi.org/10.2147/DMSO.S391781"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8231/j.ijpo.2019.132" TargetMode="External"/><Relationship Id="rId14" Type="http://schemas.openxmlformats.org/officeDocument/2006/relationships/hyperlink" Target="https://doi.org/10.3390/biomedicines11041120" TargetMode="External"/><Relationship Id="rId22" Type="http://schemas.openxmlformats.org/officeDocument/2006/relationships/hyperlink" Target="https://doi.org/10.3390/ijms22052719" TargetMode="External"/><Relationship Id="rId27" Type="http://schemas.openxmlformats.org/officeDocument/2006/relationships/hyperlink" Target="https://doi.org/10.2147/IJGM.S226010" TargetMode="External"/><Relationship Id="rId30" Type="http://schemas.openxmlformats.org/officeDocument/2006/relationships/hyperlink" Target="https://doi.org/10.2147/DMSO.S373160" TargetMode="External"/><Relationship Id="rId35" Type="http://schemas.openxmlformats.org/officeDocument/2006/relationships/header" Target="header3.xml"/><Relationship Id="rId8" Type="http://schemas.openxmlformats.org/officeDocument/2006/relationships/hyperlink" Target="http://dx.doi.org/10.2174/0118743641277168231201102545"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17</Pages>
  <Words>4338</Words>
  <Characters>24731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87</cp:revision>
  <dcterms:created xsi:type="dcterms:W3CDTF">2025-06-04T08:03:00Z</dcterms:created>
  <dcterms:modified xsi:type="dcterms:W3CDTF">2025-06-12T14:32:00Z</dcterms:modified>
</cp:coreProperties>
</file>