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243F" w14:textId="77777777" w:rsidR="009D11F7" w:rsidRDefault="00000000">
      <w:pPr>
        <w:pBdr>
          <w:top w:val="nil"/>
          <w:left w:val="nil"/>
          <w:bottom w:val="nil"/>
          <w:right w:val="nil"/>
          <w:between w:val="nil"/>
        </w:pBdr>
        <w:spacing w:line="276" w:lineRule="auto"/>
      </w:pPr>
      <w:r>
        <w:rPr>
          <w:noProof/>
        </w:rPr>
        <w:pict w14:anchorId="5A095A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9264;visibility:hidden">
            <o:lock v:ext="edit" selection="t"/>
          </v:shape>
        </w:pict>
      </w:r>
      <w:r>
        <w:rPr>
          <w:noProof/>
        </w:rPr>
        <w:pict w14:anchorId="33EDD7FF">
          <v:shape id="_x0000_s2051" type="#_x0000_t136" style="position:absolute;margin-left:0;margin-top:0;width:50pt;height:50pt;z-index:251660288;visibility:hidden">
            <o:lock v:ext="edit" selection="t"/>
          </v:shape>
        </w:pict>
      </w:r>
      <w:r>
        <w:rPr>
          <w:noProof/>
        </w:rPr>
        <w:pict w14:anchorId="565F862F">
          <v:shape id="_x0000_s2050" type="#_x0000_t136" style="position:absolute;margin-left:0;margin-top:0;width:50pt;height:50pt;z-index:251661312;visibility:hidden">
            <o:lock v:ext="edit" selection="t"/>
          </v:shape>
        </w:pict>
      </w:r>
    </w:p>
    <w:p w14:paraId="7881884F" w14:textId="77777777" w:rsidR="009D11F7" w:rsidRPr="00136D4B" w:rsidRDefault="001E69B8">
      <w:pPr>
        <w:ind w:left="440"/>
        <w:rPr>
          <w:b/>
          <w:color w:val="111111"/>
          <w:sz w:val="40"/>
          <w:szCs w:val="40"/>
          <w:u w:val="single"/>
        </w:rPr>
      </w:pPr>
      <w:r w:rsidRPr="00136D4B">
        <w:rPr>
          <w:b/>
          <w:color w:val="111111"/>
          <w:sz w:val="40"/>
          <w:szCs w:val="40"/>
          <w:u w:val="single"/>
        </w:rPr>
        <w:t>Digital Twins in Pharmaceuticals: A Narrative Review with Industry Case Insights</w:t>
      </w:r>
    </w:p>
    <w:p w14:paraId="1C572F78" w14:textId="77777777" w:rsidR="009D11F7" w:rsidRPr="00136D4B" w:rsidRDefault="009D11F7">
      <w:pPr>
        <w:ind w:left="440"/>
        <w:rPr>
          <w:b/>
          <w:color w:val="111111"/>
          <w:sz w:val="40"/>
          <w:szCs w:val="40"/>
          <w:u w:val="single"/>
        </w:rPr>
      </w:pPr>
    </w:p>
    <w:p w14:paraId="57C4D04E" w14:textId="77777777" w:rsidR="009D11F7" w:rsidRPr="00136D4B" w:rsidRDefault="001E69B8">
      <w:pPr>
        <w:ind w:left="440"/>
        <w:rPr>
          <w:b/>
          <w:color w:val="111111"/>
          <w:sz w:val="40"/>
          <w:szCs w:val="40"/>
          <w:u w:val="single"/>
        </w:rPr>
      </w:pPr>
      <w:r w:rsidRPr="009933E3">
        <w:rPr>
          <w:b/>
          <w:color w:val="111111"/>
          <w:sz w:val="40"/>
          <w:szCs w:val="40"/>
        </w:rPr>
        <w:t xml:space="preserve">Type of Article: </w:t>
      </w:r>
      <w:r w:rsidRPr="00136D4B">
        <w:rPr>
          <w:b/>
          <w:color w:val="111111"/>
          <w:sz w:val="40"/>
          <w:szCs w:val="40"/>
          <w:u w:val="single"/>
        </w:rPr>
        <w:t>Review Article</w:t>
      </w:r>
    </w:p>
    <w:p w14:paraId="347825A4" w14:textId="77777777" w:rsidR="009D11F7" w:rsidRDefault="009D11F7">
      <w:pPr>
        <w:pBdr>
          <w:top w:val="nil"/>
          <w:left w:val="nil"/>
          <w:bottom w:val="nil"/>
          <w:right w:val="nil"/>
          <w:between w:val="nil"/>
        </w:pBdr>
        <w:rPr>
          <w:b/>
          <w:sz w:val="26"/>
          <w:szCs w:val="26"/>
        </w:rPr>
      </w:pPr>
    </w:p>
    <w:p w14:paraId="0048CE3D" w14:textId="77777777" w:rsidR="009D11F7" w:rsidRDefault="009D11F7">
      <w:pPr>
        <w:pBdr>
          <w:top w:val="nil"/>
          <w:left w:val="nil"/>
          <w:bottom w:val="nil"/>
          <w:right w:val="nil"/>
          <w:between w:val="nil"/>
        </w:pBdr>
        <w:spacing w:before="294"/>
        <w:rPr>
          <w:rFonts w:ascii="Arial" w:eastAsia="Arial" w:hAnsi="Arial" w:cs="Arial"/>
          <w:b/>
          <w:color w:val="000000"/>
          <w:sz w:val="26"/>
          <w:szCs w:val="26"/>
        </w:rPr>
      </w:pPr>
    </w:p>
    <w:p w14:paraId="041C9C7B" w14:textId="77777777" w:rsidR="009D11F7" w:rsidRDefault="009D11F7">
      <w:pPr>
        <w:pBdr>
          <w:top w:val="nil"/>
          <w:left w:val="nil"/>
          <w:bottom w:val="nil"/>
          <w:right w:val="nil"/>
          <w:between w:val="nil"/>
        </w:pBdr>
        <w:rPr>
          <w:rFonts w:ascii="Arial" w:eastAsia="Arial" w:hAnsi="Arial" w:cs="Arial"/>
          <w:b/>
          <w:color w:val="000000"/>
          <w:sz w:val="20"/>
          <w:szCs w:val="20"/>
        </w:rPr>
      </w:pPr>
    </w:p>
    <w:p w14:paraId="58ABD581" w14:textId="77777777" w:rsidR="009D11F7" w:rsidRDefault="001E69B8">
      <w:pPr>
        <w:pBdr>
          <w:top w:val="nil"/>
          <w:left w:val="nil"/>
          <w:bottom w:val="nil"/>
          <w:right w:val="nil"/>
          <w:between w:val="nil"/>
        </w:pBdr>
        <w:spacing w:before="53"/>
        <w:rPr>
          <w:rFonts w:ascii="Arial" w:eastAsia="Arial" w:hAnsi="Arial" w:cs="Arial"/>
          <w:b/>
          <w:color w:val="000000"/>
          <w:sz w:val="20"/>
          <w:szCs w:val="20"/>
        </w:rPr>
      </w:pPr>
      <w:r>
        <w:rPr>
          <w:noProof/>
        </w:rPr>
        <mc:AlternateContent>
          <mc:Choice Requires="wps">
            <w:drawing>
              <wp:anchor distT="0" distB="0" distL="0" distR="0" simplePos="0" relativeHeight="251650560" behindDoc="0" locked="0" layoutInCell="1" hidden="0" allowOverlap="1" wp14:anchorId="770660A4" wp14:editId="4AB6737B">
                <wp:simplePos x="0" y="0"/>
                <wp:positionH relativeFrom="column">
                  <wp:posOffset>228600</wp:posOffset>
                </wp:positionH>
                <wp:positionV relativeFrom="paragraph">
                  <wp:posOffset>177800</wp:posOffset>
                </wp:positionV>
                <wp:extent cx="1270" cy="12700"/>
                <wp:effectExtent l="0" t="0" r="0" b="0"/>
                <wp:wrapTopAndBottom distT="0" distB="0"/>
                <wp:docPr id="16" name="Freeform: Shape 16"/>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5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228600</wp:posOffset>
                </wp:positionH>
                <wp:positionV relativeFrom="paragraph">
                  <wp:posOffset>177800</wp:posOffset>
                </wp:positionV>
                <wp:extent cx="1270" cy="12700"/>
                <wp:effectExtent b="0" l="0" r="0" t="0"/>
                <wp:wrapTopAndBottom distB="0" distT="0"/>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532A8E44" w14:textId="77777777" w:rsidR="009D11F7" w:rsidRDefault="009D11F7">
      <w:pPr>
        <w:pBdr>
          <w:top w:val="nil"/>
          <w:left w:val="nil"/>
          <w:bottom w:val="nil"/>
          <w:right w:val="nil"/>
          <w:between w:val="nil"/>
        </w:pBdr>
        <w:spacing w:before="9"/>
        <w:rPr>
          <w:rFonts w:ascii="Arial" w:eastAsia="Arial" w:hAnsi="Arial" w:cs="Arial"/>
          <w:b/>
          <w:color w:val="000000"/>
        </w:rPr>
      </w:pPr>
    </w:p>
    <w:p w14:paraId="22A09694" w14:textId="77777777" w:rsidR="009D11F7" w:rsidRDefault="001E69B8">
      <w:pPr>
        <w:ind w:left="165"/>
        <w:rPr>
          <w:rFonts w:ascii="Arial" w:eastAsia="Arial" w:hAnsi="Arial" w:cs="Arial"/>
          <w:b/>
          <w:sz w:val="32"/>
          <w:szCs w:val="32"/>
        </w:rPr>
      </w:pPr>
      <w:bookmarkStart w:id="0" w:name="bookmark=id.paiz5a52b7d7" w:colFirst="0" w:colLast="0"/>
      <w:bookmarkEnd w:id="0"/>
      <w:r>
        <w:rPr>
          <w:rFonts w:ascii="Arial" w:eastAsia="Arial" w:hAnsi="Arial" w:cs="Arial"/>
          <w:b/>
          <w:sz w:val="32"/>
          <w:szCs w:val="32"/>
          <w:u w:val="single"/>
        </w:rPr>
        <w:t>ABSTRACT</w:t>
      </w:r>
    </w:p>
    <w:p w14:paraId="05BD775F" w14:textId="77777777" w:rsidR="009D11F7" w:rsidRDefault="001E69B8">
      <w:pPr>
        <w:spacing w:before="206"/>
        <w:ind w:left="150"/>
        <w:rPr>
          <w:rFonts w:ascii="Arial" w:eastAsia="Arial" w:hAnsi="Arial" w:cs="Arial"/>
          <w:b/>
        </w:rPr>
      </w:pPr>
      <w:r>
        <w:rPr>
          <w:rFonts w:ascii="Arial" w:eastAsia="Arial" w:hAnsi="Arial" w:cs="Arial"/>
          <w:b/>
        </w:rPr>
        <w:t>Background:</w:t>
      </w:r>
    </w:p>
    <w:p w14:paraId="5099358D" w14:textId="77777777" w:rsidR="009D11F7" w:rsidRDefault="009D11F7">
      <w:pPr>
        <w:pBdr>
          <w:top w:val="nil"/>
          <w:left w:val="nil"/>
          <w:bottom w:val="nil"/>
          <w:right w:val="nil"/>
          <w:between w:val="nil"/>
        </w:pBdr>
        <w:spacing w:before="40"/>
        <w:rPr>
          <w:rFonts w:ascii="Arial" w:eastAsia="Arial" w:hAnsi="Arial" w:cs="Arial"/>
          <w:b/>
          <w:color w:val="000000"/>
        </w:rPr>
      </w:pPr>
    </w:p>
    <w:p w14:paraId="0D50276B" w14:textId="77777777" w:rsidR="00A55E32" w:rsidRPr="00F21DD9" w:rsidRDefault="00A55E32" w:rsidP="00A55E32">
      <w:pPr>
        <w:ind w:left="225"/>
        <w:rPr>
          <w:rFonts w:ascii=".AppleSystemUIFont" w:eastAsia="Times New Roman" w:hAnsi=".AppleSystemUIFont" w:cs="Times New Roman"/>
          <w:color w:val="111111"/>
          <w:sz w:val="30"/>
          <w:szCs w:val="30"/>
        </w:rPr>
      </w:pPr>
      <w:r w:rsidRPr="00F21DD9">
        <w:rPr>
          <w:rFonts w:ascii=".AppleSystemUIFont" w:eastAsia="Times New Roman" w:hAnsi=".AppleSystemUIFont" w:cs="Times New Roman"/>
          <w:color w:val="111111"/>
          <w:sz w:val="30"/>
          <w:szCs w:val="30"/>
        </w:rPr>
        <w:t>Background: The integration of digital twin technology is reshaping pharmaceutical innovation across R&amp;D, manufacturing, and patient care.</w:t>
      </w:r>
    </w:p>
    <w:p w14:paraId="5704F1C3" w14:textId="77777777" w:rsidR="00A55E32" w:rsidRPr="00F21DD9" w:rsidRDefault="00A55E32" w:rsidP="00A55E32">
      <w:pPr>
        <w:ind w:left="225"/>
        <w:rPr>
          <w:rFonts w:ascii=".AppleSystemUIFont" w:eastAsia="Times New Roman" w:hAnsi=".AppleSystemUIFont" w:cs="Times New Roman"/>
          <w:color w:val="111111"/>
          <w:sz w:val="30"/>
          <w:szCs w:val="30"/>
        </w:rPr>
      </w:pPr>
    </w:p>
    <w:p w14:paraId="73BBA106" w14:textId="77777777" w:rsidR="00A55E32" w:rsidRPr="00F21DD9" w:rsidRDefault="00A55E32" w:rsidP="00A55E32">
      <w:pPr>
        <w:ind w:left="225"/>
        <w:rPr>
          <w:rFonts w:ascii=".AppleSystemUIFont" w:eastAsia="Times New Roman" w:hAnsi=".AppleSystemUIFont" w:cs="Times New Roman"/>
          <w:color w:val="111111"/>
          <w:sz w:val="30"/>
          <w:szCs w:val="30"/>
        </w:rPr>
      </w:pPr>
      <w:r w:rsidRPr="00F21DD9">
        <w:rPr>
          <w:rFonts w:ascii=".AppleSystemUIFont" w:eastAsia="Times New Roman" w:hAnsi=".AppleSystemUIFont" w:cs="Times New Roman"/>
          <w:color w:val="111111"/>
          <w:sz w:val="30"/>
          <w:szCs w:val="30"/>
        </w:rPr>
        <w:t>Objective: This narrative review synthesizes real-world applications and current literature to evaluate the impact of digital twins on pharmaceutical workflows.</w:t>
      </w:r>
    </w:p>
    <w:p w14:paraId="001D658F" w14:textId="77777777" w:rsidR="00A55E32" w:rsidRPr="00F21DD9" w:rsidRDefault="00A55E32" w:rsidP="00A55E32">
      <w:pPr>
        <w:ind w:left="225"/>
        <w:rPr>
          <w:rFonts w:ascii=".AppleSystemUIFont" w:eastAsia="Times New Roman" w:hAnsi=".AppleSystemUIFont" w:cs="Times New Roman"/>
          <w:color w:val="111111"/>
          <w:sz w:val="30"/>
          <w:szCs w:val="30"/>
        </w:rPr>
      </w:pPr>
    </w:p>
    <w:p w14:paraId="02CDD487" w14:textId="77777777" w:rsidR="00A55E32" w:rsidRPr="00F21DD9" w:rsidRDefault="00A55E32" w:rsidP="00A55E32">
      <w:pPr>
        <w:ind w:left="225"/>
        <w:rPr>
          <w:rFonts w:ascii=".AppleSystemUIFont" w:eastAsia="Times New Roman" w:hAnsi=".AppleSystemUIFont" w:cs="Times New Roman"/>
          <w:color w:val="111111"/>
          <w:sz w:val="30"/>
          <w:szCs w:val="30"/>
        </w:rPr>
      </w:pPr>
      <w:r w:rsidRPr="00F21DD9">
        <w:rPr>
          <w:rFonts w:ascii=".AppleSystemUIFont" w:eastAsia="Times New Roman" w:hAnsi=".AppleSystemUIFont" w:cs="Times New Roman"/>
          <w:color w:val="111111"/>
          <w:sz w:val="30"/>
          <w:szCs w:val="30"/>
        </w:rPr>
        <w:t>Methods: A structured search of publications from 2020–2024 was conducted, emphasizing industry case reports, peer-reviewed studies, and technology whitepapers.</w:t>
      </w:r>
    </w:p>
    <w:p w14:paraId="2D5EEDA7" w14:textId="77777777" w:rsidR="00A55E32" w:rsidRPr="00F21DD9" w:rsidRDefault="00A55E32" w:rsidP="00A55E32">
      <w:pPr>
        <w:ind w:left="225"/>
        <w:rPr>
          <w:rFonts w:ascii=".AppleSystemUIFont" w:eastAsia="Times New Roman" w:hAnsi=".AppleSystemUIFont" w:cs="Times New Roman"/>
          <w:color w:val="111111"/>
          <w:sz w:val="30"/>
          <w:szCs w:val="30"/>
        </w:rPr>
      </w:pPr>
    </w:p>
    <w:p w14:paraId="2DCFE0C5" w14:textId="77777777" w:rsidR="00A55E32" w:rsidRPr="00F21DD9" w:rsidRDefault="00A55E32" w:rsidP="00A55E32">
      <w:pPr>
        <w:ind w:left="225"/>
        <w:rPr>
          <w:rFonts w:ascii=".AppleSystemUIFont" w:eastAsia="Times New Roman" w:hAnsi=".AppleSystemUIFont" w:cs="Times New Roman"/>
          <w:color w:val="111111"/>
          <w:sz w:val="30"/>
          <w:szCs w:val="30"/>
        </w:rPr>
      </w:pPr>
      <w:r w:rsidRPr="00F21DD9">
        <w:rPr>
          <w:rFonts w:ascii=".AppleSystemUIFont" w:eastAsia="Times New Roman" w:hAnsi=".AppleSystemUIFont" w:cs="Times New Roman"/>
          <w:color w:val="111111"/>
          <w:sz w:val="30"/>
          <w:szCs w:val="30"/>
        </w:rPr>
        <w:t>Results: Digital twins have enhanced process optimization, accelerated drug discovery, and improved clinical trial designs. However, challenges remain in regulatory alignment, data standardization, and implementation costs.</w:t>
      </w:r>
    </w:p>
    <w:p w14:paraId="1AEEB99A" w14:textId="77777777" w:rsidR="00A55E32" w:rsidRPr="00F21DD9" w:rsidRDefault="00A55E32" w:rsidP="00A55E32">
      <w:pPr>
        <w:ind w:left="225"/>
        <w:rPr>
          <w:rFonts w:ascii=".AppleSystemUIFont" w:eastAsia="Times New Roman" w:hAnsi=".AppleSystemUIFont" w:cs="Times New Roman"/>
          <w:color w:val="111111"/>
          <w:sz w:val="30"/>
          <w:szCs w:val="30"/>
        </w:rPr>
      </w:pPr>
    </w:p>
    <w:p w14:paraId="5353047A" w14:textId="77777777" w:rsidR="00A55E32" w:rsidRPr="00F21DD9" w:rsidRDefault="00A55E32" w:rsidP="00A55E32">
      <w:pPr>
        <w:ind w:left="225"/>
        <w:rPr>
          <w:rFonts w:ascii=".AppleSystemUIFont" w:eastAsia="Times New Roman" w:hAnsi=".AppleSystemUIFont" w:cs="Times New Roman"/>
          <w:color w:val="111111"/>
          <w:sz w:val="30"/>
          <w:szCs w:val="30"/>
        </w:rPr>
      </w:pPr>
      <w:r w:rsidRPr="00F21DD9">
        <w:rPr>
          <w:rFonts w:ascii=".AppleSystemUIFont" w:eastAsia="Times New Roman" w:hAnsi=".AppleSystemUIFont" w:cs="Times New Roman"/>
          <w:color w:val="111111"/>
          <w:sz w:val="30"/>
          <w:szCs w:val="30"/>
        </w:rPr>
        <w:t>Conclusion: Digital twins offer substantial potential for personalized medicine and operational excellence. Future research must address limitations in interoperability, reproducibility, and ethical use to ensure sustainable adoption.</w:t>
      </w:r>
    </w:p>
    <w:p w14:paraId="7052658B" w14:textId="77777777" w:rsidR="009D11F7" w:rsidRDefault="009D11F7">
      <w:pPr>
        <w:pBdr>
          <w:top w:val="nil"/>
          <w:left w:val="nil"/>
          <w:bottom w:val="nil"/>
          <w:right w:val="nil"/>
          <w:between w:val="nil"/>
        </w:pBdr>
        <w:rPr>
          <w:rFonts w:ascii="Arial" w:eastAsia="Arial" w:hAnsi="Arial" w:cs="Arial"/>
          <w:color w:val="000000"/>
          <w:sz w:val="20"/>
          <w:szCs w:val="20"/>
        </w:rPr>
      </w:pPr>
    </w:p>
    <w:p w14:paraId="240E693A" w14:textId="77777777" w:rsidR="009D11F7" w:rsidRDefault="001E69B8">
      <w:pPr>
        <w:pBdr>
          <w:top w:val="nil"/>
          <w:left w:val="nil"/>
          <w:bottom w:val="nil"/>
          <w:right w:val="nil"/>
          <w:between w:val="nil"/>
        </w:pBdr>
        <w:spacing w:before="8"/>
        <w:rPr>
          <w:rFonts w:ascii="Arial" w:eastAsia="Arial" w:hAnsi="Arial" w:cs="Arial"/>
          <w:color w:val="000000"/>
          <w:sz w:val="20"/>
          <w:szCs w:val="20"/>
        </w:rPr>
      </w:pPr>
      <w:r>
        <w:rPr>
          <w:noProof/>
        </w:rPr>
        <mc:AlternateContent>
          <mc:Choice Requires="wps">
            <w:drawing>
              <wp:anchor distT="0" distB="0" distL="0" distR="0" simplePos="0" relativeHeight="251651584" behindDoc="0" locked="0" layoutInCell="1" hidden="0" allowOverlap="1" wp14:anchorId="547911EB" wp14:editId="43B15537">
                <wp:simplePos x="0" y="0"/>
                <wp:positionH relativeFrom="column">
                  <wp:posOffset>215900</wp:posOffset>
                </wp:positionH>
                <wp:positionV relativeFrom="paragraph">
                  <wp:posOffset>152400</wp:posOffset>
                </wp:positionV>
                <wp:extent cx="1270" cy="12700"/>
                <wp:effectExtent l="0" t="0" r="0" b="0"/>
                <wp:wrapTopAndBottom distT="0" distB="0"/>
                <wp:docPr id="24" name="Freeform: Shape 24"/>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152400</wp:posOffset>
                </wp:positionV>
                <wp:extent cx="1270" cy="12700"/>
                <wp:effectExtent b="0" l="0" r="0" t="0"/>
                <wp:wrapTopAndBottom distB="0" distT="0"/>
                <wp:docPr id="2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57E7A6EB" w14:textId="77777777" w:rsidR="009D11F7" w:rsidRDefault="009D11F7">
      <w:pPr>
        <w:pBdr>
          <w:top w:val="nil"/>
          <w:left w:val="nil"/>
          <w:bottom w:val="nil"/>
          <w:right w:val="nil"/>
          <w:between w:val="nil"/>
        </w:pBdr>
        <w:spacing w:before="93"/>
        <w:rPr>
          <w:rFonts w:ascii="Arial" w:eastAsia="Arial" w:hAnsi="Arial" w:cs="Arial"/>
          <w:color w:val="000000"/>
          <w:sz w:val="24"/>
          <w:szCs w:val="24"/>
        </w:rPr>
      </w:pPr>
    </w:p>
    <w:p w14:paraId="6CFB5ED5" w14:textId="77777777" w:rsidR="009D11F7" w:rsidRDefault="001E69B8">
      <w:pPr>
        <w:pStyle w:val="Heading1"/>
        <w:ind w:left="150" w:firstLine="0"/>
        <w:rPr>
          <w:u w:val="none"/>
        </w:rPr>
      </w:pPr>
      <w:bookmarkStart w:id="1" w:name="bookmark=id.54m7fo8yc4pw" w:colFirst="0" w:colLast="0"/>
      <w:bookmarkEnd w:id="1"/>
      <w:r>
        <w:t>KEYWORDS</w:t>
      </w:r>
    </w:p>
    <w:p w14:paraId="02720CF1" w14:textId="77777777" w:rsidR="009D11F7" w:rsidRDefault="001E69B8">
      <w:pPr>
        <w:pBdr>
          <w:top w:val="nil"/>
          <w:left w:val="nil"/>
          <w:bottom w:val="nil"/>
          <w:right w:val="nil"/>
          <w:between w:val="nil"/>
        </w:pBdr>
        <w:spacing w:before="236"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t xml:space="preserve">Pharmaceutical sector, digital twin, process </w:t>
      </w:r>
      <w:proofErr w:type="spellStart"/>
      <w:r>
        <w:rPr>
          <w:rFonts w:ascii="Arial" w:eastAsia="Arial" w:hAnsi="Arial" w:cs="Arial"/>
          <w:color w:val="000000"/>
          <w:sz w:val="24"/>
          <w:szCs w:val="24"/>
        </w:rPr>
        <w:t>optimisation</w:t>
      </w:r>
      <w:proofErr w:type="spellEnd"/>
      <w:r>
        <w:rPr>
          <w:rFonts w:ascii="Arial" w:eastAsia="Arial" w:hAnsi="Arial" w:cs="Arial"/>
          <w:color w:val="000000"/>
          <w:sz w:val="24"/>
          <w:szCs w:val="24"/>
        </w:rPr>
        <w:t xml:space="preserve">, sector 4.0, virtual </w:t>
      </w:r>
      <w:r>
        <w:rPr>
          <w:rFonts w:ascii="Arial" w:eastAsia="Arial" w:hAnsi="Arial" w:cs="Arial"/>
          <w:color w:val="000000"/>
          <w:sz w:val="24"/>
          <w:szCs w:val="24"/>
        </w:rPr>
        <w:lastRenderedPageBreak/>
        <w:t>simulation, and predictive modelling</w:t>
      </w:r>
    </w:p>
    <w:p w14:paraId="6C671AE4" w14:textId="77777777" w:rsidR="009D11F7" w:rsidRDefault="001E69B8">
      <w:pPr>
        <w:pBdr>
          <w:top w:val="nil"/>
          <w:left w:val="nil"/>
          <w:bottom w:val="nil"/>
          <w:right w:val="nil"/>
          <w:between w:val="nil"/>
        </w:pBdr>
        <w:spacing w:before="219"/>
        <w:rPr>
          <w:rFonts w:ascii="Arial" w:eastAsia="Arial" w:hAnsi="Arial" w:cs="Arial"/>
          <w:color w:val="000000"/>
          <w:sz w:val="20"/>
          <w:szCs w:val="20"/>
        </w:rPr>
      </w:pPr>
      <w:r>
        <w:rPr>
          <w:noProof/>
        </w:rPr>
        <mc:AlternateContent>
          <mc:Choice Requires="wps">
            <w:drawing>
              <wp:anchor distT="0" distB="0" distL="0" distR="0" simplePos="0" relativeHeight="251652608" behindDoc="0" locked="0" layoutInCell="1" hidden="0" allowOverlap="1" wp14:anchorId="051EE797" wp14:editId="0DA73FB6">
                <wp:simplePos x="0" y="0"/>
                <wp:positionH relativeFrom="column">
                  <wp:posOffset>215900</wp:posOffset>
                </wp:positionH>
                <wp:positionV relativeFrom="paragraph">
                  <wp:posOffset>292100</wp:posOffset>
                </wp:positionV>
                <wp:extent cx="1270" cy="12700"/>
                <wp:effectExtent l="0" t="0" r="0" b="0"/>
                <wp:wrapTopAndBottom distT="0" distB="0"/>
                <wp:docPr id="22" name="Freeform: Shape 22"/>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292100</wp:posOffset>
                </wp:positionV>
                <wp:extent cx="1270" cy="12700"/>
                <wp:effectExtent b="0" l="0" r="0" t="0"/>
                <wp:wrapTopAndBottom distB="0" distT="0"/>
                <wp:docPr id="2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4A7F9684" w14:textId="77777777" w:rsidR="009D11F7" w:rsidRDefault="009D11F7">
      <w:pPr>
        <w:pBdr>
          <w:top w:val="nil"/>
          <w:left w:val="nil"/>
          <w:bottom w:val="nil"/>
          <w:right w:val="nil"/>
          <w:between w:val="nil"/>
        </w:pBdr>
        <w:spacing w:before="88"/>
        <w:rPr>
          <w:rFonts w:ascii="Arial" w:eastAsia="Arial" w:hAnsi="Arial" w:cs="Arial"/>
          <w:color w:val="000000"/>
          <w:sz w:val="24"/>
          <w:szCs w:val="24"/>
        </w:rPr>
      </w:pPr>
    </w:p>
    <w:p w14:paraId="1BBE0FC3" w14:textId="77777777" w:rsidR="009D11F7" w:rsidRDefault="001E69B8">
      <w:pPr>
        <w:pStyle w:val="Heading1"/>
        <w:numPr>
          <w:ilvl w:val="0"/>
          <w:numId w:val="13"/>
        </w:numPr>
        <w:tabs>
          <w:tab w:val="left" w:pos="390"/>
        </w:tabs>
        <w:ind w:left="390" w:hanging="225"/>
        <w:rPr>
          <w:rFonts w:ascii="Times New Roman" w:eastAsia="Times New Roman" w:hAnsi="Times New Roman" w:cs="Times New Roman"/>
        </w:rPr>
        <w:sectPr w:rsidR="009D11F7">
          <w:headerReference w:type="even" r:id="rId9"/>
          <w:headerReference w:type="default" r:id="rId10"/>
          <w:footerReference w:type="even" r:id="rId11"/>
          <w:footerReference w:type="default" r:id="rId12"/>
          <w:headerReference w:type="first" r:id="rId13"/>
          <w:footerReference w:type="first" r:id="rId14"/>
          <w:pgSz w:w="11920" w:h="16840"/>
          <w:pgMar w:top="1380" w:right="1275" w:bottom="280" w:left="1275" w:header="720" w:footer="720" w:gutter="0"/>
          <w:cols w:space="720"/>
        </w:sectPr>
      </w:pPr>
      <w:r>
        <w:rPr>
          <w:rFonts w:ascii="Times New Roman" w:eastAsia="Times New Roman" w:hAnsi="Times New Roman" w:cs="Times New Roman"/>
        </w:rPr>
        <w:t xml:space="preserve"> ​INTRODUCTION</w:t>
      </w:r>
    </w:p>
    <w:p w14:paraId="4A862087" w14:textId="77777777" w:rsidR="004B1543" w:rsidRPr="00857F04" w:rsidRDefault="004B1543" w:rsidP="004B1543">
      <w:pPr>
        <w:rPr>
          <w:rFonts w:ascii=".AppleSystemUIFont" w:eastAsia="Times New Roman" w:hAnsi=".AppleSystemUIFont" w:cs="Times New Roman"/>
          <w:color w:val="111111"/>
          <w:sz w:val="30"/>
          <w:szCs w:val="30"/>
        </w:rPr>
      </w:pPr>
      <w:r w:rsidRPr="00857F04">
        <w:rPr>
          <w:rFonts w:ascii=".AppleSystemUIFont" w:eastAsia="Times New Roman" w:hAnsi=".AppleSystemUIFont" w:cs="Times New Roman"/>
          <w:color w:val="111111"/>
          <w:sz w:val="30"/>
          <w:szCs w:val="30"/>
        </w:rPr>
        <w:lastRenderedPageBreak/>
        <w:t>The pharmaceutical industry is at a pivotal point, challenged by rising R&amp;D costs, increasing regulatory scrutiny, and growing demand for precision therapies. In response, digital transformation is reshaping how medicines are discovered, developed, and delivered. Among these technologies, digital twin systems—virtual replicas of physical systems powered by real-time data—are emerging as a disruptive force in biopharmaceutical innovation.</w:t>
      </w:r>
    </w:p>
    <w:p w14:paraId="169ABF73" w14:textId="77777777" w:rsidR="004B1543" w:rsidRPr="00857F04" w:rsidRDefault="004B1543" w:rsidP="004B1543">
      <w:pPr>
        <w:rPr>
          <w:rFonts w:ascii=".AppleSystemUIFont" w:eastAsia="Times New Roman" w:hAnsi=".AppleSystemUIFont" w:cs="Times New Roman"/>
          <w:color w:val="111111"/>
          <w:sz w:val="30"/>
          <w:szCs w:val="30"/>
        </w:rPr>
      </w:pPr>
    </w:p>
    <w:p w14:paraId="49AF618A" w14:textId="77777777" w:rsidR="004B1543" w:rsidRPr="00857F04" w:rsidRDefault="004B1543" w:rsidP="004B1543">
      <w:pPr>
        <w:rPr>
          <w:rFonts w:ascii=".AppleSystemUIFont" w:eastAsia="Times New Roman" w:hAnsi=".AppleSystemUIFont" w:cs="Times New Roman"/>
          <w:color w:val="111111"/>
          <w:sz w:val="30"/>
          <w:szCs w:val="30"/>
        </w:rPr>
      </w:pPr>
      <w:r w:rsidRPr="00857F04">
        <w:rPr>
          <w:rFonts w:ascii=".AppleSystemUIFont" w:eastAsia="Times New Roman" w:hAnsi=".AppleSystemUIFont" w:cs="Times New Roman"/>
          <w:color w:val="111111"/>
          <w:sz w:val="30"/>
          <w:szCs w:val="30"/>
        </w:rPr>
        <w:t>Originally popularized in manufacturing and aerospace, digital twins are now being adapted to simulate drug behavior, optimize production lines, and personalize treatment strategies. Their application spans drug discovery pipelines, smart manufacturing platforms, and adaptive clinical trials, offering new avenues for cost efficiency, safety, and speed.</w:t>
      </w:r>
    </w:p>
    <w:p w14:paraId="683DBEE7" w14:textId="77777777" w:rsidR="004B1543" w:rsidRPr="00857F04" w:rsidRDefault="004B1543" w:rsidP="004B1543">
      <w:pPr>
        <w:rPr>
          <w:rFonts w:ascii=".AppleSystemUIFont" w:eastAsia="Times New Roman" w:hAnsi=".AppleSystemUIFont" w:cs="Times New Roman"/>
          <w:color w:val="111111"/>
          <w:sz w:val="30"/>
          <w:szCs w:val="30"/>
        </w:rPr>
      </w:pPr>
    </w:p>
    <w:p w14:paraId="23D1809B" w14:textId="77777777" w:rsidR="004B1543" w:rsidRPr="00857F04" w:rsidRDefault="004B1543" w:rsidP="004B1543">
      <w:pPr>
        <w:rPr>
          <w:rFonts w:ascii=".AppleSystemUIFont" w:eastAsia="Times New Roman" w:hAnsi=".AppleSystemUIFont" w:cs="Times New Roman"/>
          <w:color w:val="111111"/>
          <w:sz w:val="30"/>
          <w:szCs w:val="30"/>
        </w:rPr>
      </w:pPr>
      <w:r w:rsidRPr="00857F04">
        <w:rPr>
          <w:rFonts w:ascii=".AppleSystemUIFont" w:eastAsia="Times New Roman" w:hAnsi=".AppleSystemUIFont" w:cs="Times New Roman"/>
          <w:color w:val="111111"/>
          <w:sz w:val="30"/>
          <w:szCs w:val="30"/>
        </w:rPr>
        <w:t>Despite this promise, digital twin adoption in pharma remains uneven, constrained by technical, ethical, and regulatory barriers. This narrative review explores the current landscape, real-world use cases, and future prospects of digital twins in the pharmaceutical sector, aiming to provide critical insight into this evolving paradigm.</w:t>
      </w:r>
    </w:p>
    <w:p w14:paraId="4738E242" w14:textId="77777777" w:rsidR="009D11F7" w:rsidRDefault="001E69B8">
      <w:pPr>
        <w:pStyle w:val="Heading2"/>
        <w:spacing w:before="302"/>
        <w:ind w:left="165"/>
        <w:rPr>
          <w:rFonts w:ascii="Times New Roman" w:eastAsia="Times New Roman" w:hAnsi="Times New Roman" w:cs="Times New Roman"/>
        </w:rPr>
      </w:pPr>
      <w:r>
        <w:rPr>
          <w:rFonts w:ascii="Times New Roman" w:eastAsia="Times New Roman" w:hAnsi="Times New Roman" w:cs="Times New Roman"/>
        </w:rPr>
        <w:t>This article aims to:</w:t>
      </w:r>
    </w:p>
    <w:p w14:paraId="6C4CC707" w14:textId="77777777" w:rsidR="009D11F7" w:rsidRDefault="001E69B8">
      <w:pPr>
        <w:numPr>
          <w:ilvl w:val="0"/>
          <w:numId w:val="12"/>
        </w:numPr>
        <w:pBdr>
          <w:top w:val="nil"/>
          <w:left w:val="nil"/>
          <w:bottom w:val="nil"/>
          <w:right w:val="nil"/>
          <w:between w:val="nil"/>
        </w:pBdr>
        <w:tabs>
          <w:tab w:val="left" w:pos="1245"/>
        </w:tabs>
        <w:spacing w:before="195"/>
        <w:ind w:left="1245" w:hanging="359"/>
        <w:rPr>
          <w:rFonts w:ascii="Arial" w:eastAsia="Arial" w:hAnsi="Arial" w:cs="Arial"/>
          <w:color w:val="000000"/>
          <w:sz w:val="26"/>
          <w:szCs w:val="26"/>
        </w:rPr>
      </w:pPr>
      <w:r>
        <w:rPr>
          <w:rFonts w:ascii="Arial" w:eastAsia="Arial" w:hAnsi="Arial" w:cs="Arial"/>
          <w:color w:val="000000"/>
          <w:sz w:val="26"/>
          <w:szCs w:val="26"/>
        </w:rPr>
        <w:t>Define and contextualize Digital Twin technology,</w:t>
      </w:r>
    </w:p>
    <w:p w14:paraId="587C5B91" w14:textId="77777777" w:rsidR="009D11F7" w:rsidRDefault="001E69B8">
      <w:pPr>
        <w:numPr>
          <w:ilvl w:val="0"/>
          <w:numId w:val="12"/>
        </w:numPr>
        <w:pBdr>
          <w:top w:val="nil"/>
          <w:left w:val="nil"/>
          <w:bottom w:val="nil"/>
          <w:right w:val="nil"/>
          <w:between w:val="nil"/>
        </w:pBdr>
        <w:tabs>
          <w:tab w:val="left" w:pos="1245"/>
        </w:tabs>
        <w:spacing w:before="41"/>
        <w:ind w:left="1245" w:hanging="359"/>
        <w:rPr>
          <w:rFonts w:ascii="Arial" w:eastAsia="Arial" w:hAnsi="Arial" w:cs="Arial"/>
          <w:color w:val="000000"/>
          <w:sz w:val="26"/>
          <w:szCs w:val="26"/>
        </w:rPr>
      </w:pPr>
      <w:r>
        <w:rPr>
          <w:rFonts w:ascii="Arial" w:eastAsia="Arial" w:hAnsi="Arial" w:cs="Arial"/>
          <w:color w:val="000000"/>
          <w:sz w:val="26"/>
          <w:szCs w:val="26"/>
        </w:rPr>
        <w:t>Explore its applications across the pharmaceutical pipeline,</w:t>
      </w:r>
    </w:p>
    <w:p w14:paraId="35D1A577" w14:textId="77777777" w:rsidR="009D11F7" w:rsidRDefault="001E69B8">
      <w:pPr>
        <w:numPr>
          <w:ilvl w:val="0"/>
          <w:numId w:val="12"/>
        </w:numPr>
        <w:pBdr>
          <w:top w:val="nil"/>
          <w:left w:val="nil"/>
          <w:bottom w:val="nil"/>
          <w:right w:val="nil"/>
          <w:between w:val="nil"/>
        </w:pBdr>
        <w:tabs>
          <w:tab w:val="left" w:pos="1245"/>
        </w:tabs>
        <w:spacing w:before="46"/>
        <w:ind w:left="1245" w:hanging="359"/>
        <w:rPr>
          <w:rFonts w:ascii="Arial" w:eastAsia="Arial" w:hAnsi="Arial" w:cs="Arial"/>
          <w:color w:val="000000"/>
          <w:sz w:val="26"/>
          <w:szCs w:val="26"/>
        </w:rPr>
      </w:pPr>
      <w:r>
        <w:rPr>
          <w:rFonts w:ascii="Arial" w:eastAsia="Arial" w:hAnsi="Arial" w:cs="Arial"/>
          <w:color w:val="000000"/>
          <w:sz w:val="26"/>
          <w:szCs w:val="26"/>
        </w:rPr>
        <w:t>Highlight case studies and real-world implementations,</w:t>
      </w:r>
    </w:p>
    <w:p w14:paraId="46C58D43" w14:textId="77777777" w:rsidR="009D11F7" w:rsidRDefault="001E69B8">
      <w:pPr>
        <w:numPr>
          <w:ilvl w:val="0"/>
          <w:numId w:val="12"/>
        </w:numPr>
        <w:pBdr>
          <w:top w:val="nil"/>
          <w:left w:val="nil"/>
          <w:bottom w:val="nil"/>
          <w:right w:val="nil"/>
          <w:between w:val="nil"/>
        </w:pBdr>
        <w:tabs>
          <w:tab w:val="left" w:pos="1246"/>
        </w:tabs>
        <w:spacing w:before="66" w:line="268" w:lineRule="auto"/>
        <w:ind w:right="653"/>
        <w:rPr>
          <w:rFonts w:ascii="Arial" w:eastAsia="Arial" w:hAnsi="Arial" w:cs="Arial"/>
          <w:color w:val="000000"/>
          <w:sz w:val="26"/>
          <w:szCs w:val="26"/>
        </w:rPr>
      </w:pPr>
      <w:r>
        <w:rPr>
          <w:rFonts w:ascii="Arial" w:eastAsia="Arial" w:hAnsi="Arial" w:cs="Arial"/>
          <w:color w:val="000000"/>
          <w:sz w:val="26"/>
          <w:szCs w:val="26"/>
        </w:rPr>
        <w:t xml:space="preserve">Talk about the advantages, difficulties, and possibilities for DTs to </w:t>
      </w:r>
      <w:proofErr w:type="spellStart"/>
      <w:r>
        <w:rPr>
          <w:rFonts w:ascii="Arial" w:eastAsia="Arial" w:hAnsi="Arial" w:cs="Arial"/>
          <w:color w:val="000000"/>
          <w:sz w:val="26"/>
          <w:szCs w:val="26"/>
        </w:rPr>
        <w:t>revolutionise</w:t>
      </w:r>
      <w:proofErr w:type="spellEnd"/>
      <w:r>
        <w:rPr>
          <w:rFonts w:ascii="Arial" w:eastAsia="Arial" w:hAnsi="Arial" w:cs="Arial"/>
          <w:color w:val="000000"/>
          <w:sz w:val="26"/>
          <w:szCs w:val="26"/>
        </w:rPr>
        <w:t xml:space="preserve"> the pharmaceutical sector in the future.</w:t>
      </w:r>
    </w:p>
    <w:p w14:paraId="23C924AC" w14:textId="77777777" w:rsidR="009D11F7" w:rsidRDefault="009D11F7">
      <w:pPr>
        <w:pBdr>
          <w:top w:val="nil"/>
          <w:left w:val="nil"/>
          <w:bottom w:val="nil"/>
          <w:right w:val="nil"/>
          <w:between w:val="nil"/>
        </w:pBdr>
        <w:rPr>
          <w:rFonts w:ascii="Arial" w:eastAsia="Arial" w:hAnsi="Arial" w:cs="Arial"/>
          <w:color w:val="000000"/>
          <w:sz w:val="20"/>
          <w:szCs w:val="20"/>
        </w:rPr>
      </w:pPr>
    </w:p>
    <w:p w14:paraId="7690B272" w14:textId="77777777" w:rsidR="009D11F7" w:rsidRDefault="009D11F7">
      <w:pPr>
        <w:pBdr>
          <w:top w:val="nil"/>
          <w:left w:val="nil"/>
          <w:bottom w:val="nil"/>
          <w:right w:val="nil"/>
          <w:between w:val="nil"/>
        </w:pBdr>
        <w:rPr>
          <w:rFonts w:ascii="Arial" w:eastAsia="Arial" w:hAnsi="Arial" w:cs="Arial"/>
          <w:color w:val="000000"/>
          <w:sz w:val="20"/>
          <w:szCs w:val="20"/>
        </w:rPr>
      </w:pPr>
    </w:p>
    <w:p w14:paraId="281AC90F" w14:textId="77777777" w:rsidR="009D11F7" w:rsidRDefault="001E69B8">
      <w:pPr>
        <w:pBdr>
          <w:top w:val="nil"/>
          <w:left w:val="nil"/>
          <w:bottom w:val="nil"/>
          <w:right w:val="nil"/>
          <w:between w:val="nil"/>
        </w:pBdr>
        <w:spacing w:before="136"/>
        <w:rPr>
          <w:rFonts w:ascii="Arial" w:eastAsia="Arial" w:hAnsi="Arial" w:cs="Arial"/>
          <w:color w:val="000000"/>
          <w:sz w:val="20"/>
          <w:szCs w:val="20"/>
        </w:rPr>
      </w:pPr>
      <w:r>
        <w:rPr>
          <w:noProof/>
        </w:rPr>
        <mc:AlternateContent>
          <mc:Choice Requires="wps">
            <w:drawing>
              <wp:anchor distT="0" distB="0" distL="0" distR="0" simplePos="0" relativeHeight="251653632" behindDoc="0" locked="0" layoutInCell="1" hidden="0" allowOverlap="1" wp14:anchorId="6443D0E7" wp14:editId="18B21911">
                <wp:simplePos x="0" y="0"/>
                <wp:positionH relativeFrom="column">
                  <wp:posOffset>215900</wp:posOffset>
                </wp:positionH>
                <wp:positionV relativeFrom="paragraph">
                  <wp:posOffset>241300</wp:posOffset>
                </wp:positionV>
                <wp:extent cx="1270" cy="12700"/>
                <wp:effectExtent l="0" t="0" r="0" b="0"/>
                <wp:wrapTopAndBottom distT="0" distB="0"/>
                <wp:docPr id="23" name="Freeform: Shape 23"/>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241300</wp:posOffset>
                </wp:positionV>
                <wp:extent cx="1270" cy="12700"/>
                <wp:effectExtent b="0" l="0" r="0" t="0"/>
                <wp:wrapTopAndBottom distB="0" distT="0"/>
                <wp:docPr id="2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26A011DA" w14:textId="77777777" w:rsidR="009D11F7" w:rsidRDefault="009D11F7">
      <w:pPr>
        <w:pBdr>
          <w:top w:val="nil"/>
          <w:left w:val="nil"/>
          <w:bottom w:val="nil"/>
          <w:right w:val="nil"/>
          <w:between w:val="nil"/>
        </w:pBdr>
        <w:spacing w:before="139"/>
        <w:rPr>
          <w:rFonts w:ascii="Arial" w:eastAsia="Arial" w:hAnsi="Arial" w:cs="Arial"/>
          <w:color w:val="000000"/>
          <w:sz w:val="26"/>
          <w:szCs w:val="26"/>
        </w:rPr>
      </w:pPr>
    </w:p>
    <w:p w14:paraId="65D9A405" w14:textId="77777777" w:rsidR="009D11F7" w:rsidRDefault="001E69B8">
      <w:pPr>
        <w:pStyle w:val="Heading1"/>
        <w:numPr>
          <w:ilvl w:val="0"/>
          <w:numId w:val="13"/>
        </w:numPr>
        <w:tabs>
          <w:tab w:val="left" w:pos="398"/>
        </w:tabs>
        <w:ind w:left="398" w:hanging="248"/>
      </w:pPr>
      <w:bookmarkStart w:id="2" w:name="bookmark=id.h5fmlz3suqt" w:colFirst="0" w:colLast="0"/>
      <w:bookmarkEnd w:id="2"/>
      <w:r>
        <w:t xml:space="preserve"> MATERIALS AND METHODS</w:t>
      </w:r>
    </w:p>
    <w:p w14:paraId="7149248D" w14:textId="77777777" w:rsidR="007A6EF9" w:rsidRDefault="007A6EF9" w:rsidP="007A6EF9">
      <w:pPr>
        <w:pStyle w:val="Heading1"/>
        <w:tabs>
          <w:tab w:val="left" w:pos="398"/>
        </w:tabs>
        <w:ind w:firstLine="0"/>
      </w:pPr>
    </w:p>
    <w:p w14:paraId="50B69D14" w14:textId="77777777" w:rsidR="007A6EF9" w:rsidRPr="00AA6643" w:rsidRDefault="007A6EF9" w:rsidP="007A6EF9">
      <w:pPr>
        <w:rPr>
          <w:rFonts w:ascii=".AppleSystemUIFont" w:eastAsia="Times New Roman" w:hAnsi=".AppleSystemUIFont" w:cs="Times New Roman"/>
          <w:color w:val="111111"/>
          <w:sz w:val="30"/>
          <w:szCs w:val="30"/>
        </w:rPr>
      </w:pPr>
      <w:r w:rsidRPr="00AA6643">
        <w:rPr>
          <w:rFonts w:ascii=".AppleSystemUIFont" w:eastAsia="Times New Roman" w:hAnsi=".AppleSystemUIFont" w:cs="Times New Roman"/>
          <w:color w:val="111111"/>
          <w:sz w:val="30"/>
          <w:szCs w:val="30"/>
        </w:rPr>
        <w:t>This article is a narrative review based on qualitative thematic synthesis of academic and industry literature published between 2020 and 2024. Unlike a systematic review, this approach allows broader inclusion of diverse study types and real-world applications.</w:t>
      </w:r>
    </w:p>
    <w:p w14:paraId="08B4F12B" w14:textId="77777777" w:rsidR="007A6EF9" w:rsidRPr="00156DCF" w:rsidRDefault="007A6EF9" w:rsidP="007A6EF9">
      <w:pPr>
        <w:rPr>
          <w:rFonts w:ascii=".AppleSystemUIFont" w:eastAsia="Times New Roman" w:hAnsi=".AppleSystemUIFont" w:cs="Times New Roman"/>
          <w:color w:val="111111"/>
          <w:sz w:val="30"/>
          <w:szCs w:val="30"/>
        </w:rPr>
      </w:pPr>
    </w:p>
    <w:p w14:paraId="2094BD7D" w14:textId="77777777" w:rsidR="007A6EF9" w:rsidRPr="00156DCF" w:rsidRDefault="007A6EF9" w:rsidP="007A6EF9">
      <w:pPr>
        <w:rPr>
          <w:rFonts w:ascii=".AppleSystemUIFont" w:eastAsia="Times New Roman" w:hAnsi=".AppleSystemUIFont" w:cs="Times New Roman"/>
          <w:color w:val="111111"/>
          <w:sz w:val="30"/>
          <w:szCs w:val="30"/>
        </w:rPr>
      </w:pPr>
      <w:r w:rsidRPr="00156DCF">
        <w:rPr>
          <w:rFonts w:ascii=".AppleSystemUIFont" w:eastAsia="Times New Roman" w:hAnsi=".AppleSystemUIFont" w:cs="Times New Roman"/>
          <w:color w:val="111111"/>
          <w:sz w:val="30"/>
          <w:szCs w:val="30"/>
        </w:rPr>
        <w:t xml:space="preserve">Sources were identified through searches in PubMed, Scopus, IEEE Xplore, and Google Scholar, using keywords: “digital twins,” “pharmaceutical manufacturing,” “precision medicine,” and “healthcare AI.” Industry reports from reputable pharmaceutical companies were </w:t>
      </w:r>
      <w:r w:rsidRPr="00156DCF">
        <w:rPr>
          <w:rFonts w:ascii=".AppleSystemUIFont" w:eastAsia="Times New Roman" w:hAnsi=".AppleSystemUIFont" w:cs="Times New Roman"/>
          <w:color w:val="111111"/>
          <w:sz w:val="30"/>
          <w:szCs w:val="30"/>
        </w:rPr>
        <w:lastRenderedPageBreak/>
        <w:t>included only when peer-reviewed alternatives were unavailable.</w:t>
      </w:r>
    </w:p>
    <w:p w14:paraId="0536271A" w14:textId="77777777" w:rsidR="007A6EF9" w:rsidRPr="00156DCF" w:rsidRDefault="007A6EF9" w:rsidP="007A6EF9">
      <w:pPr>
        <w:rPr>
          <w:rFonts w:ascii=".AppleSystemUIFont" w:eastAsia="Times New Roman" w:hAnsi=".AppleSystemUIFont" w:cs="Times New Roman"/>
          <w:color w:val="111111"/>
          <w:sz w:val="30"/>
          <w:szCs w:val="30"/>
        </w:rPr>
      </w:pPr>
    </w:p>
    <w:p w14:paraId="0986B6E3" w14:textId="77777777" w:rsidR="007A6EF9" w:rsidRPr="00156DCF" w:rsidRDefault="007A6EF9" w:rsidP="007A6EF9">
      <w:pPr>
        <w:rPr>
          <w:rFonts w:ascii=".AppleSystemUIFont" w:eastAsia="Times New Roman" w:hAnsi=".AppleSystemUIFont" w:cs="Times New Roman"/>
          <w:color w:val="111111"/>
          <w:sz w:val="30"/>
          <w:szCs w:val="30"/>
        </w:rPr>
      </w:pPr>
      <w:r w:rsidRPr="00156DCF">
        <w:rPr>
          <w:rFonts w:ascii=".AppleSystemUIFont" w:eastAsia="Times New Roman" w:hAnsi=".AppleSystemUIFont" w:cs="Times New Roman"/>
          <w:color w:val="111111"/>
          <w:sz w:val="30"/>
          <w:szCs w:val="30"/>
        </w:rPr>
        <w:t>Thematic areas were constructed based on recurring patterns in applications, challenges, and future implications. Critical analysis focused on technological readiness, regulatory maturity, and clinical potential.</w:t>
      </w:r>
    </w:p>
    <w:p w14:paraId="1022DCEA" w14:textId="77777777" w:rsidR="007A6EF9" w:rsidRPr="00156DCF" w:rsidRDefault="007A6EF9" w:rsidP="007A6EF9">
      <w:pPr>
        <w:rPr>
          <w:rFonts w:ascii=".AppleSystemUIFont" w:eastAsia="Times New Roman" w:hAnsi=".AppleSystemUIFont" w:cs="Times New Roman"/>
          <w:color w:val="111111"/>
          <w:sz w:val="30"/>
          <w:szCs w:val="30"/>
        </w:rPr>
      </w:pPr>
    </w:p>
    <w:p w14:paraId="2481A433" w14:textId="77777777" w:rsidR="007A6EF9" w:rsidRPr="00156DCF" w:rsidRDefault="007A6EF9" w:rsidP="007A6EF9">
      <w:pPr>
        <w:rPr>
          <w:rFonts w:ascii=".AppleSystemUIFont" w:eastAsia="Times New Roman" w:hAnsi=".AppleSystemUIFont" w:cs="Times New Roman"/>
          <w:color w:val="111111"/>
          <w:sz w:val="30"/>
          <w:szCs w:val="30"/>
        </w:rPr>
      </w:pPr>
      <w:r w:rsidRPr="00156DCF">
        <w:rPr>
          <w:rFonts w:ascii=".AppleSystemUIFont" w:eastAsia="Times New Roman" w:hAnsi=".AppleSystemUIFont" w:cs="Times New Roman"/>
          <w:color w:val="111111"/>
          <w:sz w:val="30"/>
          <w:szCs w:val="30"/>
        </w:rPr>
        <w:t>This review emphasizes use-case driven insights with policy relevance.</w:t>
      </w:r>
    </w:p>
    <w:p w14:paraId="7A79A162" w14:textId="77777777" w:rsidR="009D11F7" w:rsidRDefault="009D11F7">
      <w:pPr>
        <w:pBdr>
          <w:top w:val="nil"/>
          <w:left w:val="nil"/>
          <w:bottom w:val="nil"/>
          <w:right w:val="nil"/>
          <w:between w:val="nil"/>
        </w:pBdr>
        <w:spacing w:before="44"/>
        <w:rPr>
          <w:rFonts w:ascii="Arial" w:eastAsia="Arial" w:hAnsi="Arial" w:cs="Arial"/>
          <w:color w:val="000000"/>
          <w:sz w:val="24"/>
          <w:szCs w:val="24"/>
        </w:rPr>
      </w:pPr>
    </w:p>
    <w:p w14:paraId="273127DC" w14:textId="77777777" w:rsidR="009D11F7" w:rsidRDefault="001E69B8">
      <w:pPr>
        <w:pStyle w:val="Heading3"/>
        <w:ind w:firstLine="0"/>
      </w:pPr>
      <w:r>
        <w:t>Among the selection criteria were:</w:t>
      </w:r>
    </w:p>
    <w:p w14:paraId="23D2F51F" w14:textId="77777777" w:rsidR="009D11F7" w:rsidRDefault="009D11F7">
      <w:pPr>
        <w:pBdr>
          <w:top w:val="nil"/>
          <w:left w:val="nil"/>
          <w:bottom w:val="nil"/>
          <w:right w:val="nil"/>
          <w:between w:val="nil"/>
        </w:pBdr>
        <w:spacing w:before="9"/>
        <w:rPr>
          <w:rFonts w:ascii="Arial" w:eastAsia="Arial" w:hAnsi="Arial" w:cs="Arial"/>
          <w:b/>
          <w:color w:val="000000"/>
          <w:sz w:val="24"/>
          <w:szCs w:val="24"/>
        </w:rPr>
      </w:pPr>
    </w:p>
    <w:p w14:paraId="6F1263B3" w14:textId="77777777" w:rsidR="009D11F7" w:rsidRDefault="001E69B8">
      <w:pPr>
        <w:numPr>
          <w:ilvl w:val="0"/>
          <w:numId w:val="10"/>
        </w:numPr>
        <w:pBdr>
          <w:top w:val="nil"/>
          <w:left w:val="nil"/>
          <w:bottom w:val="nil"/>
          <w:right w:val="nil"/>
          <w:between w:val="nil"/>
        </w:pBdr>
        <w:tabs>
          <w:tab w:val="left" w:pos="314"/>
        </w:tabs>
        <w:ind w:left="314" w:hanging="149"/>
        <w:rPr>
          <w:rFonts w:ascii="Arial" w:eastAsia="Arial" w:hAnsi="Arial" w:cs="Arial"/>
          <w:color w:val="000000"/>
          <w:sz w:val="24"/>
          <w:szCs w:val="24"/>
        </w:rPr>
      </w:pPr>
      <w:r>
        <w:rPr>
          <w:rFonts w:ascii="Arial" w:eastAsia="Arial" w:hAnsi="Arial" w:cs="Arial"/>
          <w:color w:val="000000"/>
          <w:sz w:val="24"/>
          <w:szCs w:val="24"/>
        </w:rPr>
        <w:t>Publications from 2018 to 2024 to guarantee recentness,</w:t>
      </w:r>
    </w:p>
    <w:p w14:paraId="2F87C822" w14:textId="77777777" w:rsidR="009D11F7" w:rsidRDefault="009D11F7">
      <w:pPr>
        <w:pBdr>
          <w:top w:val="nil"/>
          <w:left w:val="nil"/>
          <w:bottom w:val="nil"/>
          <w:right w:val="nil"/>
          <w:between w:val="nil"/>
        </w:pBdr>
        <w:spacing w:before="3"/>
        <w:rPr>
          <w:rFonts w:ascii="Arial" w:eastAsia="Arial" w:hAnsi="Arial" w:cs="Arial"/>
          <w:color w:val="000000"/>
          <w:sz w:val="24"/>
          <w:szCs w:val="24"/>
        </w:rPr>
      </w:pPr>
    </w:p>
    <w:p w14:paraId="07158ECE" w14:textId="77777777" w:rsidR="009D11F7" w:rsidRDefault="001E69B8">
      <w:pPr>
        <w:numPr>
          <w:ilvl w:val="0"/>
          <w:numId w:val="10"/>
        </w:numPr>
        <w:pBdr>
          <w:top w:val="nil"/>
          <w:left w:val="nil"/>
          <w:bottom w:val="nil"/>
          <w:right w:val="nil"/>
          <w:between w:val="nil"/>
        </w:pBdr>
        <w:tabs>
          <w:tab w:val="left" w:pos="314"/>
        </w:tabs>
        <w:spacing w:line="273" w:lineRule="auto"/>
        <w:ind w:right="434" w:firstLine="15"/>
        <w:rPr>
          <w:rFonts w:ascii="Arial" w:eastAsia="Arial" w:hAnsi="Arial" w:cs="Arial"/>
          <w:color w:val="000000"/>
          <w:sz w:val="24"/>
          <w:szCs w:val="24"/>
        </w:rPr>
      </w:pPr>
      <w:r>
        <w:rPr>
          <w:rFonts w:ascii="Arial" w:eastAsia="Arial" w:hAnsi="Arial" w:cs="Arial"/>
          <w:color w:val="000000"/>
          <w:sz w:val="24"/>
          <w:szCs w:val="24"/>
        </w:rPr>
        <w:t>Reports from regulatory bodies and top pharmaceutical businesses implementing digital twins;</w:t>
      </w:r>
    </w:p>
    <w:p w14:paraId="61142F21" w14:textId="77777777" w:rsidR="009D11F7" w:rsidRDefault="001E69B8">
      <w:pPr>
        <w:numPr>
          <w:ilvl w:val="0"/>
          <w:numId w:val="10"/>
        </w:numPr>
        <w:pBdr>
          <w:top w:val="nil"/>
          <w:left w:val="nil"/>
          <w:bottom w:val="nil"/>
          <w:right w:val="nil"/>
          <w:between w:val="nil"/>
        </w:pBdr>
        <w:tabs>
          <w:tab w:val="left" w:pos="315"/>
        </w:tabs>
        <w:spacing w:before="241" w:line="268" w:lineRule="auto"/>
        <w:ind w:left="315" w:right="1621"/>
        <w:rPr>
          <w:rFonts w:ascii="Arial" w:eastAsia="Arial" w:hAnsi="Arial" w:cs="Arial"/>
          <w:color w:val="000000"/>
          <w:sz w:val="24"/>
          <w:szCs w:val="24"/>
        </w:rPr>
      </w:pPr>
      <w:r>
        <w:rPr>
          <w:rFonts w:ascii="Arial" w:eastAsia="Arial" w:hAnsi="Arial" w:cs="Arial"/>
          <w:color w:val="000000"/>
          <w:sz w:val="24"/>
          <w:szCs w:val="24"/>
        </w:rPr>
        <w:t>Articles concentrating on real-world applications or pilot projects in the pharmaceutical sector.</w:t>
      </w:r>
    </w:p>
    <w:p w14:paraId="5E60EAF7" w14:textId="77777777" w:rsidR="009D11F7" w:rsidRDefault="001E69B8">
      <w:pPr>
        <w:pBdr>
          <w:top w:val="nil"/>
          <w:left w:val="nil"/>
          <w:bottom w:val="nil"/>
          <w:right w:val="nil"/>
          <w:between w:val="nil"/>
        </w:pBdr>
        <w:spacing w:before="247" w:line="268" w:lineRule="auto"/>
        <w:ind w:left="160" w:right="191" w:hanging="10"/>
        <w:rPr>
          <w:rFonts w:ascii="Arial" w:eastAsia="Arial" w:hAnsi="Arial" w:cs="Arial"/>
          <w:color w:val="000000"/>
          <w:sz w:val="24"/>
          <w:szCs w:val="24"/>
        </w:rPr>
      </w:pPr>
      <w:r>
        <w:rPr>
          <w:rFonts w:ascii="Arial" w:eastAsia="Arial" w:hAnsi="Arial" w:cs="Arial"/>
          <w:color w:val="000000"/>
          <w:sz w:val="24"/>
          <w:szCs w:val="24"/>
        </w:rPr>
        <w:t>A qualitative analytical method was used to find recurring themes in the various use cases. Four primary application areas were identified in the literature:</w:t>
      </w:r>
    </w:p>
    <w:p w14:paraId="4722E7BD" w14:textId="77777777" w:rsidR="009D11F7" w:rsidRDefault="001E69B8">
      <w:pPr>
        <w:numPr>
          <w:ilvl w:val="0"/>
          <w:numId w:val="11"/>
        </w:numPr>
        <w:pBdr>
          <w:top w:val="nil"/>
          <w:left w:val="nil"/>
          <w:bottom w:val="nil"/>
          <w:right w:val="nil"/>
          <w:between w:val="nil"/>
        </w:pBdr>
        <w:tabs>
          <w:tab w:val="left" w:pos="428"/>
        </w:tabs>
        <w:spacing w:before="247"/>
        <w:ind w:left="428" w:hanging="263"/>
        <w:rPr>
          <w:rFonts w:ascii="Arial" w:eastAsia="Arial" w:hAnsi="Arial" w:cs="Arial"/>
          <w:color w:val="000000"/>
          <w:sz w:val="24"/>
          <w:szCs w:val="24"/>
        </w:rPr>
      </w:pPr>
      <w:r>
        <w:rPr>
          <w:rFonts w:ascii="Arial" w:eastAsia="Arial" w:hAnsi="Arial" w:cs="Arial"/>
          <w:color w:val="000000"/>
          <w:sz w:val="24"/>
          <w:szCs w:val="24"/>
        </w:rPr>
        <w:t>Manufacturing and process management of pharmaceuticals</w:t>
      </w:r>
    </w:p>
    <w:p w14:paraId="2121079E" w14:textId="77777777" w:rsidR="009D11F7" w:rsidRDefault="009D11F7">
      <w:pPr>
        <w:pBdr>
          <w:top w:val="nil"/>
          <w:left w:val="nil"/>
          <w:bottom w:val="nil"/>
          <w:right w:val="nil"/>
          <w:between w:val="nil"/>
        </w:pBdr>
        <w:spacing w:before="73"/>
        <w:rPr>
          <w:rFonts w:ascii="Arial" w:eastAsia="Arial" w:hAnsi="Arial" w:cs="Arial"/>
          <w:color w:val="000000"/>
          <w:sz w:val="24"/>
          <w:szCs w:val="24"/>
        </w:rPr>
      </w:pPr>
    </w:p>
    <w:p w14:paraId="0B2DF698" w14:textId="77777777" w:rsidR="009D11F7" w:rsidRDefault="001E69B8">
      <w:pPr>
        <w:numPr>
          <w:ilvl w:val="0"/>
          <w:numId w:val="11"/>
        </w:numPr>
        <w:pBdr>
          <w:top w:val="nil"/>
          <w:left w:val="nil"/>
          <w:bottom w:val="nil"/>
          <w:right w:val="nil"/>
          <w:between w:val="nil"/>
        </w:pBdr>
        <w:tabs>
          <w:tab w:val="left" w:pos="428"/>
        </w:tabs>
        <w:ind w:left="428" w:hanging="263"/>
        <w:rPr>
          <w:rFonts w:ascii="Arial" w:eastAsia="Arial" w:hAnsi="Arial" w:cs="Arial"/>
          <w:color w:val="000000"/>
          <w:sz w:val="24"/>
          <w:szCs w:val="24"/>
        </w:rPr>
        <w:sectPr w:rsidR="009D11F7">
          <w:pgSz w:w="11920" w:h="16840"/>
          <w:pgMar w:top="1380" w:right="1275" w:bottom="280" w:left="1275" w:header="720" w:footer="720" w:gutter="0"/>
          <w:cols w:space="720"/>
        </w:sectPr>
      </w:pPr>
      <w:r>
        <w:rPr>
          <w:rFonts w:ascii="Arial" w:eastAsia="Arial" w:hAnsi="Arial" w:cs="Arial"/>
          <w:color w:val="000000"/>
          <w:sz w:val="24"/>
          <w:szCs w:val="24"/>
        </w:rPr>
        <w:t>Drug development and testing</w:t>
      </w:r>
    </w:p>
    <w:p w14:paraId="7D59CF8D" w14:textId="77777777" w:rsidR="009D11F7" w:rsidRDefault="001E69B8">
      <w:pPr>
        <w:numPr>
          <w:ilvl w:val="0"/>
          <w:numId w:val="11"/>
        </w:numPr>
        <w:pBdr>
          <w:top w:val="nil"/>
          <w:left w:val="nil"/>
          <w:bottom w:val="nil"/>
          <w:right w:val="nil"/>
          <w:between w:val="nil"/>
        </w:pBdr>
        <w:tabs>
          <w:tab w:val="left" w:pos="428"/>
        </w:tabs>
        <w:spacing w:before="75"/>
        <w:ind w:left="428" w:hanging="263"/>
        <w:rPr>
          <w:rFonts w:ascii="Arial" w:eastAsia="Arial" w:hAnsi="Arial" w:cs="Arial"/>
          <w:color w:val="000000"/>
          <w:sz w:val="24"/>
          <w:szCs w:val="24"/>
        </w:rPr>
      </w:pPr>
      <w:r>
        <w:rPr>
          <w:rFonts w:ascii="Arial" w:eastAsia="Arial" w:hAnsi="Arial" w:cs="Arial"/>
          <w:color w:val="000000"/>
          <w:sz w:val="24"/>
          <w:szCs w:val="24"/>
        </w:rPr>
        <w:lastRenderedPageBreak/>
        <w:t xml:space="preserve">Modelling for </w:t>
      </w:r>
      <w:proofErr w:type="spellStart"/>
      <w:r>
        <w:rPr>
          <w:rFonts w:ascii="Arial" w:eastAsia="Arial" w:hAnsi="Arial" w:cs="Arial"/>
          <w:color w:val="000000"/>
          <w:sz w:val="24"/>
          <w:szCs w:val="24"/>
        </w:rPr>
        <w:t>personalised</w:t>
      </w:r>
      <w:proofErr w:type="spellEnd"/>
      <w:r>
        <w:rPr>
          <w:rFonts w:ascii="Arial" w:eastAsia="Arial" w:hAnsi="Arial" w:cs="Arial"/>
          <w:color w:val="000000"/>
          <w:sz w:val="24"/>
          <w:szCs w:val="24"/>
        </w:rPr>
        <w:t xml:space="preserve"> medicine</w:t>
      </w:r>
    </w:p>
    <w:p w14:paraId="797C461C" w14:textId="77777777" w:rsidR="009D11F7" w:rsidRDefault="009D11F7">
      <w:pPr>
        <w:pBdr>
          <w:top w:val="nil"/>
          <w:left w:val="nil"/>
          <w:bottom w:val="nil"/>
          <w:right w:val="nil"/>
          <w:between w:val="nil"/>
        </w:pBdr>
        <w:spacing w:before="8"/>
        <w:rPr>
          <w:rFonts w:ascii="Arial" w:eastAsia="Arial" w:hAnsi="Arial" w:cs="Arial"/>
          <w:color w:val="000000"/>
          <w:sz w:val="24"/>
          <w:szCs w:val="24"/>
        </w:rPr>
      </w:pPr>
    </w:p>
    <w:p w14:paraId="2F9AA3F9" w14:textId="77777777" w:rsidR="009D11F7" w:rsidRDefault="001E69B8">
      <w:pPr>
        <w:numPr>
          <w:ilvl w:val="0"/>
          <w:numId w:val="11"/>
        </w:numPr>
        <w:pBdr>
          <w:top w:val="nil"/>
          <w:left w:val="nil"/>
          <w:bottom w:val="nil"/>
          <w:right w:val="nil"/>
          <w:between w:val="nil"/>
        </w:pBdr>
        <w:tabs>
          <w:tab w:val="left" w:pos="428"/>
        </w:tabs>
        <w:ind w:left="428" w:hanging="263"/>
        <w:rPr>
          <w:rFonts w:ascii="Arial" w:eastAsia="Arial" w:hAnsi="Arial" w:cs="Arial"/>
          <w:color w:val="000000"/>
          <w:sz w:val="24"/>
          <w:szCs w:val="24"/>
        </w:rPr>
      </w:pPr>
      <w:proofErr w:type="spellStart"/>
      <w:r>
        <w:rPr>
          <w:rFonts w:ascii="Arial" w:eastAsia="Arial" w:hAnsi="Arial" w:cs="Arial"/>
          <w:color w:val="000000"/>
          <w:sz w:val="24"/>
          <w:szCs w:val="24"/>
        </w:rPr>
        <w:t>Optimisation</w:t>
      </w:r>
      <w:proofErr w:type="spellEnd"/>
      <w:r>
        <w:rPr>
          <w:rFonts w:ascii="Arial" w:eastAsia="Arial" w:hAnsi="Arial" w:cs="Arial"/>
          <w:color w:val="000000"/>
          <w:sz w:val="24"/>
          <w:szCs w:val="24"/>
        </w:rPr>
        <w:t xml:space="preserve"> of clinical trials</w:t>
      </w:r>
    </w:p>
    <w:p w14:paraId="5A914E6A" w14:textId="77777777" w:rsidR="009D11F7" w:rsidRDefault="001E69B8">
      <w:pPr>
        <w:pBdr>
          <w:top w:val="nil"/>
          <w:left w:val="nil"/>
          <w:bottom w:val="nil"/>
          <w:right w:val="nil"/>
          <w:between w:val="nil"/>
        </w:pBdr>
        <w:spacing w:before="275" w:line="268" w:lineRule="auto"/>
        <w:ind w:left="160" w:right="191" w:hanging="10"/>
        <w:rPr>
          <w:rFonts w:ascii="Arial" w:eastAsia="Arial" w:hAnsi="Arial" w:cs="Arial"/>
          <w:color w:val="000000"/>
          <w:sz w:val="24"/>
          <w:szCs w:val="24"/>
        </w:rPr>
      </w:pPr>
      <w:r>
        <w:rPr>
          <w:rFonts w:ascii="Arial" w:eastAsia="Arial" w:hAnsi="Arial" w:cs="Arial"/>
          <w:color w:val="000000"/>
          <w:sz w:val="24"/>
          <w:szCs w:val="24"/>
        </w:rPr>
        <w:t>To assess effect, key performance metrics were taken from each instance, including cost savings, process efficiency, and quality improvement. Issues were also examined in light of system integration, data protection, and regulatory approval.</w:t>
      </w:r>
    </w:p>
    <w:p w14:paraId="137A12E0" w14:textId="77777777" w:rsidR="009D11F7" w:rsidRDefault="001E69B8">
      <w:pPr>
        <w:pBdr>
          <w:top w:val="nil"/>
          <w:left w:val="nil"/>
          <w:bottom w:val="nil"/>
          <w:right w:val="nil"/>
          <w:between w:val="nil"/>
        </w:pBdr>
        <w:spacing w:before="1"/>
        <w:rPr>
          <w:rFonts w:ascii="Arial" w:eastAsia="Arial" w:hAnsi="Arial" w:cs="Arial"/>
          <w:color w:val="000000"/>
          <w:sz w:val="20"/>
          <w:szCs w:val="20"/>
        </w:rPr>
      </w:pPr>
      <w:r>
        <w:rPr>
          <w:noProof/>
        </w:rPr>
        <mc:AlternateContent>
          <mc:Choice Requires="wps">
            <w:drawing>
              <wp:anchor distT="0" distB="0" distL="0" distR="0" simplePos="0" relativeHeight="251654656" behindDoc="0" locked="0" layoutInCell="1" hidden="0" allowOverlap="1" wp14:anchorId="03787147" wp14:editId="3E9E6AF0">
                <wp:simplePos x="0" y="0"/>
                <wp:positionH relativeFrom="column">
                  <wp:posOffset>215900</wp:posOffset>
                </wp:positionH>
                <wp:positionV relativeFrom="paragraph">
                  <wp:posOffset>152400</wp:posOffset>
                </wp:positionV>
                <wp:extent cx="1270" cy="12700"/>
                <wp:effectExtent l="0" t="0" r="0" b="0"/>
                <wp:wrapTopAndBottom distT="0" distB="0"/>
                <wp:docPr id="25" name="Freeform: Shape 25"/>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5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152400</wp:posOffset>
                </wp:positionV>
                <wp:extent cx="1270" cy="12700"/>
                <wp:effectExtent b="0" l="0" r="0" t="0"/>
                <wp:wrapTopAndBottom distB="0" distT="0"/>
                <wp:docPr id="2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4D32D119" w14:textId="77777777" w:rsidR="009D11F7" w:rsidRDefault="009D11F7">
      <w:pPr>
        <w:pBdr>
          <w:top w:val="nil"/>
          <w:left w:val="nil"/>
          <w:bottom w:val="nil"/>
          <w:right w:val="nil"/>
          <w:between w:val="nil"/>
        </w:pBdr>
        <w:spacing w:before="146"/>
        <w:rPr>
          <w:rFonts w:ascii="Arial" w:eastAsia="Arial" w:hAnsi="Arial" w:cs="Arial"/>
          <w:color w:val="000000"/>
          <w:sz w:val="24"/>
          <w:szCs w:val="24"/>
        </w:rPr>
      </w:pPr>
    </w:p>
    <w:p w14:paraId="318C8EFD" w14:textId="77777777" w:rsidR="009D11F7" w:rsidRDefault="001E69B8">
      <w:pPr>
        <w:pStyle w:val="Heading1"/>
        <w:numPr>
          <w:ilvl w:val="0"/>
          <w:numId w:val="13"/>
        </w:numPr>
        <w:tabs>
          <w:tab w:val="left" w:pos="398"/>
        </w:tabs>
        <w:ind w:left="398" w:hanging="248"/>
      </w:pPr>
      <w:bookmarkStart w:id="3" w:name="bookmark=id.ut8d0cykekpi" w:colFirst="0" w:colLast="0"/>
      <w:bookmarkEnd w:id="3"/>
      <w:r>
        <w:t xml:space="preserve"> RESULTS</w:t>
      </w:r>
    </w:p>
    <w:p w14:paraId="785650C1" w14:textId="77777777" w:rsidR="009D11F7" w:rsidRDefault="001E69B8">
      <w:pPr>
        <w:pStyle w:val="Heading3"/>
        <w:numPr>
          <w:ilvl w:val="1"/>
          <w:numId w:val="13"/>
        </w:numPr>
        <w:tabs>
          <w:tab w:val="left" w:pos="548"/>
        </w:tabs>
        <w:spacing w:before="236"/>
        <w:ind w:left="548" w:hanging="398"/>
      </w:pPr>
      <w:r>
        <w:t>Pfizer: Improving the Efficiency of Vaccine Production</w:t>
      </w:r>
    </w:p>
    <w:p w14:paraId="2264FBF1" w14:textId="77777777" w:rsidR="009D11F7" w:rsidRDefault="009D11F7">
      <w:pPr>
        <w:pBdr>
          <w:top w:val="nil"/>
          <w:left w:val="nil"/>
          <w:bottom w:val="nil"/>
          <w:right w:val="nil"/>
          <w:between w:val="nil"/>
        </w:pBdr>
        <w:spacing w:before="8"/>
        <w:rPr>
          <w:rFonts w:ascii="Arial" w:eastAsia="Arial" w:hAnsi="Arial" w:cs="Arial"/>
          <w:b/>
          <w:color w:val="000000"/>
          <w:sz w:val="24"/>
          <w:szCs w:val="24"/>
        </w:rPr>
      </w:pPr>
    </w:p>
    <w:p w14:paraId="172221BF" w14:textId="77777777" w:rsidR="009D11F7" w:rsidRDefault="001E69B8">
      <w:pPr>
        <w:pBdr>
          <w:top w:val="nil"/>
          <w:left w:val="nil"/>
          <w:bottom w:val="nil"/>
          <w:right w:val="nil"/>
          <w:between w:val="nil"/>
        </w:pBdr>
        <w:spacing w:line="266" w:lineRule="auto"/>
        <w:ind w:left="160" w:hanging="10"/>
        <w:rPr>
          <w:rFonts w:ascii="Arial" w:eastAsia="Arial" w:hAnsi="Arial" w:cs="Arial"/>
          <w:color w:val="000000"/>
          <w:sz w:val="24"/>
          <w:szCs w:val="24"/>
        </w:rPr>
      </w:pPr>
      <w:r>
        <w:rPr>
          <w:rFonts w:ascii="Arial" w:eastAsia="Arial" w:hAnsi="Arial" w:cs="Arial"/>
          <w:color w:val="000000"/>
          <w:sz w:val="24"/>
          <w:szCs w:val="24"/>
        </w:rPr>
        <w:t xml:space="preserve">Pfizer's COVID-19 vaccine manufacturing has been </w:t>
      </w:r>
      <w:proofErr w:type="spellStart"/>
      <w:r>
        <w:rPr>
          <w:rFonts w:ascii="Arial" w:eastAsia="Arial" w:hAnsi="Arial" w:cs="Arial"/>
          <w:color w:val="000000"/>
          <w:sz w:val="24"/>
          <w:szCs w:val="24"/>
        </w:rPr>
        <w:t>optimised</w:t>
      </w:r>
      <w:proofErr w:type="spellEnd"/>
      <w:r>
        <w:rPr>
          <w:rFonts w:ascii="Arial" w:eastAsia="Arial" w:hAnsi="Arial" w:cs="Arial"/>
          <w:color w:val="000000"/>
          <w:sz w:val="24"/>
          <w:szCs w:val="24"/>
        </w:rPr>
        <w:t xml:space="preserve"> by the effective integration of Digital Twin (DT) technology. Pfizer made many significant advancements by building virtual models of its production procedures:</w:t>
      </w:r>
    </w:p>
    <w:p w14:paraId="13756405" w14:textId="77777777" w:rsidR="009D11F7" w:rsidRDefault="001E69B8">
      <w:pPr>
        <w:pBdr>
          <w:top w:val="nil"/>
          <w:left w:val="nil"/>
          <w:bottom w:val="nil"/>
          <w:right w:val="nil"/>
          <w:between w:val="nil"/>
        </w:pBdr>
        <w:spacing w:before="256"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t>Production Scenario Simulation: made it possible for the business to anticipate and spot possible bottlenecks, enabling real-time modifications.</w:t>
      </w:r>
    </w:p>
    <w:p w14:paraId="198AE02C" w14:textId="77777777" w:rsidR="009D11F7" w:rsidRDefault="001E69B8">
      <w:pPr>
        <w:pBdr>
          <w:top w:val="nil"/>
          <w:left w:val="nil"/>
          <w:bottom w:val="nil"/>
          <w:right w:val="nil"/>
          <w:between w:val="nil"/>
        </w:pBdr>
        <w:spacing w:before="192" w:line="266" w:lineRule="auto"/>
        <w:ind w:left="160" w:hanging="10"/>
        <w:rPr>
          <w:rFonts w:ascii="Arial" w:eastAsia="Arial" w:hAnsi="Arial" w:cs="Arial"/>
          <w:color w:val="000000"/>
          <w:sz w:val="24"/>
          <w:szCs w:val="24"/>
        </w:rPr>
      </w:pPr>
      <w:r>
        <w:rPr>
          <w:rFonts w:ascii="Arial" w:eastAsia="Arial" w:hAnsi="Arial" w:cs="Arial"/>
          <w:color w:val="000000"/>
          <w:sz w:val="24"/>
          <w:szCs w:val="24"/>
        </w:rPr>
        <w:t xml:space="preserve">Resource Allocation </w:t>
      </w:r>
      <w:proofErr w:type="spellStart"/>
      <w:r>
        <w:rPr>
          <w:rFonts w:ascii="Arial" w:eastAsia="Arial" w:hAnsi="Arial" w:cs="Arial"/>
          <w:color w:val="000000"/>
          <w:sz w:val="24"/>
          <w:szCs w:val="24"/>
        </w:rPr>
        <w:t>Optimisation</w:t>
      </w:r>
      <w:proofErr w:type="spellEnd"/>
      <w:r>
        <w:rPr>
          <w:rFonts w:ascii="Arial" w:eastAsia="Arial" w:hAnsi="Arial" w:cs="Arial"/>
          <w:color w:val="000000"/>
          <w:sz w:val="24"/>
          <w:szCs w:val="24"/>
        </w:rPr>
        <w:t>: Enhanced productivity through less downtime and better resource allocation among its manufacturing sites.</w:t>
      </w:r>
    </w:p>
    <w:p w14:paraId="7FC6AEFA" w14:textId="77777777" w:rsidR="009D11F7" w:rsidRDefault="001E69B8">
      <w:pPr>
        <w:pBdr>
          <w:top w:val="nil"/>
          <w:left w:val="nil"/>
          <w:bottom w:val="nil"/>
          <w:right w:val="nil"/>
          <w:between w:val="nil"/>
        </w:pBdr>
        <w:spacing w:before="198" w:line="266" w:lineRule="auto"/>
        <w:ind w:left="160" w:hanging="10"/>
        <w:rPr>
          <w:rFonts w:ascii="Arial" w:eastAsia="Arial" w:hAnsi="Arial" w:cs="Arial"/>
          <w:color w:val="000000"/>
          <w:sz w:val="24"/>
          <w:szCs w:val="24"/>
        </w:rPr>
      </w:pPr>
      <w:r>
        <w:rPr>
          <w:rFonts w:ascii="Arial" w:eastAsia="Arial" w:hAnsi="Arial" w:cs="Arial"/>
          <w:color w:val="000000"/>
          <w:sz w:val="24"/>
          <w:szCs w:val="24"/>
        </w:rPr>
        <w:t>Predictive maintenance made it possible to anticipate equipment failures, reducing unscheduled downtime and enabling proactive maintenance.</w:t>
      </w:r>
    </w:p>
    <w:p w14:paraId="0433B977" w14:textId="77777777" w:rsidR="009D11F7" w:rsidRDefault="009D11F7">
      <w:pPr>
        <w:pBdr>
          <w:top w:val="nil"/>
          <w:left w:val="nil"/>
          <w:bottom w:val="nil"/>
          <w:right w:val="nil"/>
          <w:between w:val="nil"/>
        </w:pBdr>
        <w:rPr>
          <w:rFonts w:ascii="Arial" w:eastAsia="Arial" w:hAnsi="Arial" w:cs="Arial"/>
          <w:color w:val="000000"/>
          <w:sz w:val="24"/>
          <w:szCs w:val="24"/>
        </w:rPr>
      </w:pPr>
    </w:p>
    <w:p w14:paraId="4F5EBB75" w14:textId="77777777" w:rsidR="009D11F7" w:rsidRDefault="009D11F7">
      <w:pPr>
        <w:pBdr>
          <w:top w:val="nil"/>
          <w:left w:val="nil"/>
          <w:bottom w:val="nil"/>
          <w:right w:val="nil"/>
          <w:between w:val="nil"/>
        </w:pBdr>
        <w:rPr>
          <w:rFonts w:ascii="Arial" w:eastAsia="Arial" w:hAnsi="Arial" w:cs="Arial"/>
          <w:color w:val="000000"/>
          <w:sz w:val="24"/>
          <w:szCs w:val="24"/>
        </w:rPr>
      </w:pPr>
    </w:p>
    <w:p w14:paraId="004A5E4F" w14:textId="77777777" w:rsidR="009D11F7" w:rsidRDefault="009D11F7">
      <w:pPr>
        <w:pBdr>
          <w:top w:val="nil"/>
          <w:left w:val="nil"/>
          <w:bottom w:val="nil"/>
          <w:right w:val="nil"/>
          <w:between w:val="nil"/>
        </w:pBdr>
        <w:rPr>
          <w:rFonts w:ascii="Arial" w:eastAsia="Arial" w:hAnsi="Arial" w:cs="Arial"/>
          <w:color w:val="000000"/>
          <w:sz w:val="24"/>
          <w:szCs w:val="24"/>
        </w:rPr>
      </w:pPr>
    </w:p>
    <w:p w14:paraId="4010B844" w14:textId="77777777" w:rsidR="009D11F7" w:rsidRDefault="009D11F7">
      <w:pPr>
        <w:pBdr>
          <w:top w:val="nil"/>
          <w:left w:val="nil"/>
          <w:bottom w:val="nil"/>
          <w:right w:val="nil"/>
          <w:between w:val="nil"/>
        </w:pBdr>
        <w:spacing w:before="209"/>
        <w:rPr>
          <w:rFonts w:ascii="Arial" w:eastAsia="Arial" w:hAnsi="Arial" w:cs="Arial"/>
          <w:color w:val="000000"/>
          <w:sz w:val="24"/>
          <w:szCs w:val="24"/>
        </w:rPr>
      </w:pPr>
    </w:p>
    <w:p w14:paraId="5C79F20D" w14:textId="77777777" w:rsidR="009D11F7" w:rsidRDefault="001E69B8">
      <w:pPr>
        <w:pBdr>
          <w:top w:val="nil"/>
          <w:left w:val="nil"/>
          <w:bottom w:val="nil"/>
          <w:right w:val="nil"/>
          <w:between w:val="nil"/>
        </w:pBdr>
        <w:spacing w:line="331" w:lineRule="auto"/>
        <w:ind w:left="165" w:right="139"/>
        <w:rPr>
          <w:rFonts w:ascii="Arial" w:eastAsia="Arial" w:hAnsi="Arial" w:cs="Arial"/>
          <w:color w:val="000000"/>
          <w:sz w:val="24"/>
          <w:szCs w:val="24"/>
        </w:rPr>
      </w:pPr>
      <w:r>
        <w:rPr>
          <w:rFonts w:ascii="Arial" w:eastAsia="Arial" w:hAnsi="Arial" w:cs="Arial"/>
          <w:color w:val="666666"/>
          <w:sz w:val="24"/>
          <w:szCs w:val="24"/>
        </w:rPr>
        <w:t>A 2020 research claims that these DT solutions greatly increased Pfizer's worldwide vaccine supply chain's scalability and agility while cutting down on material waste and speeding up production schedules. This illustration shows how DTs may increase productivity, lower expenses, and guarantee the prompt delivery of vital medications like mRNA vaccinations.</w:t>
      </w:r>
    </w:p>
    <w:p w14:paraId="4D47D3C9" w14:textId="77777777" w:rsidR="009D11F7" w:rsidRDefault="009D11F7">
      <w:pPr>
        <w:pBdr>
          <w:top w:val="nil"/>
          <w:left w:val="nil"/>
          <w:bottom w:val="nil"/>
          <w:right w:val="nil"/>
          <w:between w:val="nil"/>
        </w:pBdr>
        <w:spacing w:before="80"/>
        <w:rPr>
          <w:rFonts w:ascii="Arial" w:eastAsia="Arial" w:hAnsi="Arial" w:cs="Arial"/>
          <w:color w:val="000000"/>
          <w:sz w:val="24"/>
          <w:szCs w:val="24"/>
        </w:rPr>
      </w:pPr>
    </w:p>
    <w:p w14:paraId="5794918C" w14:textId="77777777" w:rsidR="009D11F7" w:rsidRDefault="001E69B8">
      <w:pPr>
        <w:pStyle w:val="Heading3"/>
        <w:numPr>
          <w:ilvl w:val="1"/>
          <w:numId w:val="13"/>
        </w:numPr>
        <w:tabs>
          <w:tab w:val="left" w:pos="604"/>
        </w:tabs>
        <w:ind w:left="604" w:hanging="454"/>
      </w:pPr>
      <w:r>
        <w:t>Merck: Optimizing Biomanufacturing and Real-Time Process Control</w:t>
      </w:r>
    </w:p>
    <w:p w14:paraId="79A0854B" w14:textId="77777777" w:rsidR="009D11F7" w:rsidRDefault="001E69B8">
      <w:pPr>
        <w:pBdr>
          <w:top w:val="nil"/>
          <w:left w:val="nil"/>
          <w:bottom w:val="nil"/>
          <w:right w:val="nil"/>
          <w:between w:val="nil"/>
        </w:pBdr>
        <w:spacing w:before="155"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t>In order to produce monoclonal antibodies (mAbs), Merck has used DT technology into their biologics manufacturing process. The business employed DTs in 2023 to:</w:t>
      </w:r>
    </w:p>
    <w:p w14:paraId="1E267B7E" w14:textId="77777777" w:rsidR="009D11F7" w:rsidRDefault="001E69B8">
      <w:pPr>
        <w:numPr>
          <w:ilvl w:val="2"/>
          <w:numId w:val="13"/>
        </w:numPr>
        <w:pBdr>
          <w:top w:val="nil"/>
          <w:left w:val="nil"/>
          <w:bottom w:val="nil"/>
          <w:right w:val="nil"/>
          <w:between w:val="nil"/>
        </w:pBdr>
        <w:tabs>
          <w:tab w:val="left" w:pos="886"/>
        </w:tabs>
        <w:spacing w:before="7" w:line="266" w:lineRule="auto"/>
        <w:ind w:right="309"/>
        <w:rPr>
          <w:rFonts w:ascii="Arial" w:eastAsia="Arial" w:hAnsi="Arial" w:cs="Arial"/>
          <w:color w:val="000000"/>
          <w:sz w:val="24"/>
          <w:szCs w:val="24"/>
        </w:rPr>
      </w:pPr>
      <w:r>
        <w:rPr>
          <w:rFonts w:ascii="Arial" w:eastAsia="Arial" w:hAnsi="Arial" w:cs="Arial"/>
          <w:color w:val="000000"/>
          <w:sz w:val="24"/>
          <w:szCs w:val="24"/>
        </w:rPr>
        <w:t xml:space="preserve">Model Bioreactor Dynamics: This reduced production variability by </w:t>
      </w:r>
      <w:proofErr w:type="spellStart"/>
      <w:r>
        <w:rPr>
          <w:rFonts w:ascii="Arial" w:eastAsia="Arial" w:hAnsi="Arial" w:cs="Arial"/>
          <w:color w:val="000000"/>
          <w:sz w:val="24"/>
          <w:szCs w:val="24"/>
        </w:rPr>
        <w:t>optimising</w:t>
      </w:r>
      <w:proofErr w:type="spellEnd"/>
      <w:r>
        <w:rPr>
          <w:rFonts w:ascii="Arial" w:eastAsia="Arial" w:hAnsi="Arial" w:cs="Arial"/>
          <w:color w:val="000000"/>
          <w:sz w:val="24"/>
          <w:szCs w:val="24"/>
        </w:rPr>
        <w:t xml:space="preserve"> food delivery regimens and improving cell culture conditions.</w:t>
      </w:r>
    </w:p>
    <w:p w14:paraId="455C642B" w14:textId="77777777" w:rsidR="009D11F7" w:rsidRDefault="001E69B8">
      <w:pPr>
        <w:numPr>
          <w:ilvl w:val="2"/>
          <w:numId w:val="13"/>
        </w:numPr>
        <w:pBdr>
          <w:top w:val="nil"/>
          <w:left w:val="nil"/>
          <w:bottom w:val="nil"/>
          <w:right w:val="nil"/>
          <w:between w:val="nil"/>
        </w:pBdr>
        <w:tabs>
          <w:tab w:val="left" w:pos="886"/>
        </w:tabs>
        <w:spacing w:before="7" w:line="268" w:lineRule="auto"/>
        <w:ind w:right="532"/>
        <w:rPr>
          <w:rFonts w:ascii="Arial" w:eastAsia="Arial" w:hAnsi="Arial" w:cs="Arial"/>
          <w:color w:val="000000"/>
          <w:sz w:val="24"/>
          <w:szCs w:val="24"/>
        </w:rPr>
        <w:sectPr w:rsidR="009D11F7">
          <w:pgSz w:w="11920" w:h="16840"/>
          <w:pgMar w:top="1380" w:right="1275" w:bottom="280" w:left="1275" w:header="720" w:footer="720" w:gutter="0"/>
          <w:cols w:space="720"/>
        </w:sectPr>
      </w:pPr>
      <w:r>
        <w:rPr>
          <w:rFonts w:ascii="Arial" w:eastAsia="Arial" w:hAnsi="Arial" w:cs="Arial"/>
          <w:color w:val="000000"/>
          <w:sz w:val="24"/>
          <w:szCs w:val="24"/>
        </w:rPr>
        <w:t>Boost Product Consistency: Merck reduced the chance of batch failure and ensured more consistent production by anticipating process variations beforehand.</w:t>
      </w:r>
    </w:p>
    <w:p w14:paraId="047BA5D5" w14:textId="77777777" w:rsidR="009D11F7" w:rsidRDefault="001E69B8">
      <w:pPr>
        <w:numPr>
          <w:ilvl w:val="2"/>
          <w:numId w:val="13"/>
        </w:numPr>
        <w:pBdr>
          <w:top w:val="nil"/>
          <w:left w:val="nil"/>
          <w:bottom w:val="nil"/>
          <w:right w:val="nil"/>
          <w:between w:val="nil"/>
        </w:pBdr>
        <w:tabs>
          <w:tab w:val="left" w:pos="886"/>
        </w:tabs>
        <w:spacing w:before="70" w:line="268" w:lineRule="auto"/>
        <w:ind w:right="336"/>
        <w:jc w:val="both"/>
        <w:rPr>
          <w:rFonts w:ascii="Arial" w:eastAsia="Arial" w:hAnsi="Arial" w:cs="Arial"/>
          <w:color w:val="000000"/>
          <w:sz w:val="24"/>
          <w:szCs w:val="24"/>
        </w:rPr>
      </w:pPr>
      <w:r>
        <w:rPr>
          <w:rFonts w:ascii="Arial" w:eastAsia="Arial" w:hAnsi="Arial" w:cs="Arial"/>
          <w:color w:val="000000"/>
          <w:sz w:val="24"/>
          <w:szCs w:val="24"/>
        </w:rPr>
        <w:lastRenderedPageBreak/>
        <w:t>Real-Time Feedback Loops: By bridging the gap between lab-scale research and full-scale manufacturing, the DTs enabled real-time modifications for the best possible production results.</w:t>
      </w:r>
    </w:p>
    <w:p w14:paraId="1695988D" w14:textId="77777777" w:rsidR="009D11F7" w:rsidRDefault="009D11F7">
      <w:pPr>
        <w:pBdr>
          <w:top w:val="nil"/>
          <w:left w:val="nil"/>
          <w:bottom w:val="nil"/>
          <w:right w:val="nil"/>
          <w:between w:val="nil"/>
        </w:pBdr>
        <w:spacing w:before="37"/>
        <w:rPr>
          <w:rFonts w:ascii="Arial" w:eastAsia="Arial" w:hAnsi="Arial" w:cs="Arial"/>
          <w:color w:val="000000"/>
          <w:sz w:val="24"/>
          <w:szCs w:val="24"/>
        </w:rPr>
      </w:pPr>
    </w:p>
    <w:p w14:paraId="040A073C" w14:textId="77777777" w:rsidR="009D11F7" w:rsidRDefault="001E69B8">
      <w:pPr>
        <w:pBdr>
          <w:top w:val="nil"/>
          <w:left w:val="nil"/>
          <w:bottom w:val="nil"/>
          <w:right w:val="nil"/>
          <w:between w:val="nil"/>
        </w:pBdr>
        <w:spacing w:line="249" w:lineRule="auto"/>
        <w:ind w:left="165"/>
        <w:rPr>
          <w:rFonts w:ascii="Arial" w:eastAsia="Arial" w:hAnsi="Arial" w:cs="Arial"/>
          <w:color w:val="000000"/>
          <w:sz w:val="24"/>
          <w:szCs w:val="24"/>
        </w:rPr>
      </w:pPr>
      <w:r>
        <w:rPr>
          <w:rFonts w:ascii="Arial" w:eastAsia="Arial" w:hAnsi="Arial" w:cs="Arial"/>
          <w:color w:val="111111"/>
          <w:sz w:val="24"/>
          <w:szCs w:val="24"/>
        </w:rPr>
        <w:t>Similarly, GSK has employed digital twin simulations in their vaccine production pipelines to improve process stability and batch quality. This has contributed to a significant reduction in production deviations and facilitated more reliable scale-up during commercial manufacturing (GSK, 2021).</w:t>
      </w:r>
    </w:p>
    <w:p w14:paraId="0FC42A25" w14:textId="77777777" w:rsidR="009D11F7" w:rsidRDefault="009D11F7">
      <w:pPr>
        <w:pBdr>
          <w:top w:val="nil"/>
          <w:left w:val="nil"/>
          <w:bottom w:val="nil"/>
          <w:right w:val="nil"/>
          <w:between w:val="nil"/>
        </w:pBdr>
        <w:spacing w:before="62"/>
        <w:rPr>
          <w:rFonts w:ascii="Arial" w:eastAsia="Arial" w:hAnsi="Arial" w:cs="Arial"/>
          <w:color w:val="000000"/>
          <w:sz w:val="24"/>
          <w:szCs w:val="24"/>
        </w:rPr>
      </w:pPr>
    </w:p>
    <w:p w14:paraId="73917A65" w14:textId="77777777" w:rsidR="009D11F7" w:rsidRDefault="001E69B8">
      <w:pPr>
        <w:pBdr>
          <w:top w:val="nil"/>
          <w:left w:val="nil"/>
          <w:bottom w:val="nil"/>
          <w:right w:val="nil"/>
          <w:between w:val="nil"/>
        </w:pBdr>
        <w:spacing w:line="268" w:lineRule="auto"/>
        <w:ind w:left="160" w:right="191" w:hanging="10"/>
        <w:rPr>
          <w:rFonts w:ascii="Arial" w:eastAsia="Arial" w:hAnsi="Arial" w:cs="Arial"/>
          <w:color w:val="000000"/>
          <w:sz w:val="24"/>
          <w:szCs w:val="24"/>
        </w:rPr>
      </w:pPr>
      <w:r>
        <w:rPr>
          <w:rFonts w:ascii="Arial" w:eastAsia="Arial" w:hAnsi="Arial" w:cs="Arial"/>
          <w:color w:val="000000"/>
          <w:sz w:val="24"/>
          <w:szCs w:val="24"/>
        </w:rPr>
        <w:t>Additionally, predictive monitoring has been made possible by Merck's use of DTs in quality assurance, guaranteeing adherence to legal requirements and reducing the need for manual quality control interventions.</w:t>
      </w:r>
    </w:p>
    <w:p w14:paraId="2F11744C" w14:textId="77777777" w:rsidR="009D11F7" w:rsidRDefault="009D11F7">
      <w:pPr>
        <w:pBdr>
          <w:top w:val="nil"/>
          <w:left w:val="nil"/>
          <w:bottom w:val="nil"/>
          <w:right w:val="nil"/>
          <w:between w:val="nil"/>
        </w:pBdr>
        <w:spacing w:before="41"/>
        <w:rPr>
          <w:rFonts w:ascii="Arial" w:eastAsia="Arial" w:hAnsi="Arial" w:cs="Arial"/>
          <w:color w:val="000000"/>
          <w:sz w:val="24"/>
          <w:szCs w:val="24"/>
        </w:rPr>
      </w:pPr>
    </w:p>
    <w:p w14:paraId="4BA747F9" w14:textId="77777777" w:rsidR="009D11F7" w:rsidRDefault="001E69B8">
      <w:pPr>
        <w:pBdr>
          <w:top w:val="nil"/>
          <w:left w:val="nil"/>
          <w:bottom w:val="nil"/>
          <w:right w:val="nil"/>
          <w:between w:val="nil"/>
        </w:pBdr>
        <w:spacing w:line="249" w:lineRule="auto"/>
        <w:ind w:left="165" w:right="304"/>
        <w:rPr>
          <w:rFonts w:ascii="Arial" w:eastAsia="Arial" w:hAnsi="Arial" w:cs="Arial"/>
          <w:color w:val="000000"/>
          <w:sz w:val="24"/>
          <w:szCs w:val="24"/>
        </w:rPr>
      </w:pPr>
      <w:r>
        <w:rPr>
          <w:rFonts w:ascii="Arial" w:eastAsia="Arial" w:hAnsi="Arial" w:cs="Arial"/>
          <w:color w:val="111111"/>
          <w:sz w:val="24"/>
          <w:szCs w:val="24"/>
        </w:rPr>
        <w:t>In addition to Pfizer and Merck, Siemens has developed end-to-end digital twin platforms specifically for pharmaceutical manufacturing. These systems enable virtual simulation of entire production lines, allowing real-time identification of process inefficiencies, optimization of equipment use, and enhanced compliance with Good Manufacturing Practices (GMP) (Siemens, 2021).</w:t>
      </w:r>
    </w:p>
    <w:p w14:paraId="6B80F66B" w14:textId="77777777" w:rsidR="009D11F7" w:rsidRDefault="001E69B8">
      <w:pPr>
        <w:pStyle w:val="Heading3"/>
        <w:numPr>
          <w:ilvl w:val="1"/>
          <w:numId w:val="13"/>
        </w:numPr>
        <w:tabs>
          <w:tab w:val="left" w:pos="564"/>
        </w:tabs>
        <w:spacing w:before="251"/>
        <w:ind w:left="564" w:hanging="399"/>
      </w:pPr>
      <w:r>
        <w:t>Novartis: Accelerating Drug Discovery and Regulatory Preparedness</w:t>
      </w:r>
    </w:p>
    <w:p w14:paraId="4D7A5457" w14:textId="77777777" w:rsidR="009D11F7" w:rsidRDefault="009D11F7">
      <w:pPr>
        <w:pBdr>
          <w:top w:val="nil"/>
          <w:left w:val="nil"/>
          <w:bottom w:val="nil"/>
          <w:right w:val="nil"/>
          <w:between w:val="nil"/>
        </w:pBdr>
        <w:spacing w:before="68"/>
        <w:rPr>
          <w:rFonts w:ascii="Arial" w:eastAsia="Arial" w:hAnsi="Arial" w:cs="Arial"/>
          <w:b/>
          <w:color w:val="000000"/>
          <w:sz w:val="24"/>
          <w:szCs w:val="24"/>
        </w:rPr>
      </w:pPr>
    </w:p>
    <w:p w14:paraId="690275FA" w14:textId="77777777" w:rsidR="009D11F7" w:rsidRDefault="001E69B8">
      <w:pPr>
        <w:pBdr>
          <w:top w:val="nil"/>
          <w:left w:val="nil"/>
          <w:bottom w:val="nil"/>
          <w:right w:val="nil"/>
          <w:between w:val="nil"/>
        </w:pBdr>
        <w:spacing w:line="326" w:lineRule="auto"/>
        <w:ind w:left="165" w:right="171"/>
        <w:rPr>
          <w:rFonts w:ascii="Arial" w:eastAsia="Arial" w:hAnsi="Arial" w:cs="Arial"/>
          <w:color w:val="000000"/>
          <w:sz w:val="24"/>
          <w:szCs w:val="24"/>
        </w:rPr>
      </w:pPr>
      <w:r>
        <w:rPr>
          <w:rFonts w:ascii="Arial" w:eastAsia="Arial" w:hAnsi="Arial" w:cs="Arial"/>
          <w:color w:val="666666"/>
          <w:sz w:val="24"/>
          <w:szCs w:val="24"/>
        </w:rPr>
        <w:t>Novartis has used DTs to prepare regulatory submissions and conduct drug discovery. By simulating drug-target interactions with computer models, the business has:</w:t>
      </w:r>
    </w:p>
    <w:p w14:paraId="1E74F900" w14:textId="77777777" w:rsidR="009D11F7" w:rsidRDefault="001E69B8">
      <w:pPr>
        <w:numPr>
          <w:ilvl w:val="2"/>
          <w:numId w:val="13"/>
        </w:numPr>
        <w:pBdr>
          <w:top w:val="nil"/>
          <w:left w:val="nil"/>
          <w:bottom w:val="nil"/>
          <w:right w:val="nil"/>
          <w:between w:val="nil"/>
        </w:pBdr>
        <w:tabs>
          <w:tab w:val="left" w:pos="886"/>
        </w:tabs>
        <w:spacing w:before="250" w:line="331" w:lineRule="auto"/>
        <w:ind w:right="333"/>
        <w:rPr>
          <w:rFonts w:ascii="Arial" w:eastAsia="Arial" w:hAnsi="Arial" w:cs="Arial"/>
          <w:color w:val="000000"/>
          <w:sz w:val="24"/>
          <w:szCs w:val="24"/>
        </w:rPr>
      </w:pPr>
      <w:r>
        <w:rPr>
          <w:rFonts w:ascii="Arial" w:eastAsia="Arial" w:hAnsi="Arial" w:cs="Arial"/>
          <w:color w:val="000000"/>
          <w:sz w:val="24"/>
          <w:szCs w:val="24"/>
        </w:rPr>
        <w:t>Predicted Compound Toxicity and Efficacy: This reduced the need for conventional lab tests by allowing researchers to model interactions between drug candidates and biological systems.</w:t>
      </w:r>
    </w:p>
    <w:p w14:paraId="08812E2D" w14:textId="77777777" w:rsidR="009D11F7" w:rsidRDefault="001E69B8">
      <w:pPr>
        <w:numPr>
          <w:ilvl w:val="2"/>
          <w:numId w:val="13"/>
        </w:numPr>
        <w:pBdr>
          <w:top w:val="nil"/>
          <w:left w:val="nil"/>
          <w:bottom w:val="nil"/>
          <w:right w:val="nil"/>
          <w:between w:val="nil"/>
        </w:pBdr>
        <w:tabs>
          <w:tab w:val="left" w:pos="886"/>
        </w:tabs>
        <w:spacing w:before="3" w:line="331" w:lineRule="auto"/>
        <w:ind w:right="238"/>
        <w:rPr>
          <w:rFonts w:ascii="Arial" w:eastAsia="Arial" w:hAnsi="Arial" w:cs="Arial"/>
          <w:color w:val="000000"/>
          <w:sz w:val="24"/>
          <w:szCs w:val="24"/>
        </w:rPr>
      </w:pPr>
      <w:r>
        <w:rPr>
          <w:rFonts w:ascii="Arial" w:eastAsia="Arial" w:hAnsi="Arial" w:cs="Arial"/>
          <w:color w:val="000000"/>
          <w:sz w:val="24"/>
          <w:szCs w:val="24"/>
        </w:rPr>
        <w:t>Simplified medication Development: Made it possible to quickly weed out low- potential medication candidates, which significantly shortened lead identification times.</w:t>
      </w:r>
    </w:p>
    <w:p w14:paraId="5ED51829" w14:textId="77777777" w:rsidR="009D11F7" w:rsidRDefault="001E69B8">
      <w:pPr>
        <w:numPr>
          <w:ilvl w:val="2"/>
          <w:numId w:val="13"/>
        </w:numPr>
        <w:pBdr>
          <w:top w:val="nil"/>
          <w:left w:val="nil"/>
          <w:bottom w:val="nil"/>
          <w:right w:val="nil"/>
          <w:between w:val="nil"/>
        </w:pBdr>
        <w:tabs>
          <w:tab w:val="left" w:pos="886"/>
        </w:tabs>
        <w:spacing w:before="3" w:line="333" w:lineRule="auto"/>
        <w:ind w:right="424"/>
        <w:rPr>
          <w:rFonts w:ascii="Arial" w:eastAsia="Arial" w:hAnsi="Arial" w:cs="Arial"/>
          <w:color w:val="000000"/>
          <w:sz w:val="24"/>
          <w:szCs w:val="24"/>
        </w:rPr>
      </w:pPr>
      <w:r>
        <w:rPr>
          <w:rFonts w:ascii="Arial" w:eastAsia="Arial" w:hAnsi="Arial" w:cs="Arial"/>
          <w:color w:val="000000"/>
          <w:sz w:val="24"/>
          <w:szCs w:val="24"/>
        </w:rPr>
        <w:t>Enhanced Regulatory Submission: Before submission, documentation was improved and any issues were proactively addressed by simulating possible regulatory reviews of clinical trial data using DTs.</w:t>
      </w:r>
    </w:p>
    <w:p w14:paraId="300CD65B" w14:textId="77777777" w:rsidR="009D11F7" w:rsidRDefault="001E69B8">
      <w:pPr>
        <w:pBdr>
          <w:top w:val="nil"/>
          <w:left w:val="nil"/>
          <w:bottom w:val="nil"/>
          <w:right w:val="nil"/>
          <w:between w:val="nil"/>
        </w:pBdr>
        <w:spacing w:before="234" w:line="331" w:lineRule="auto"/>
        <w:ind w:left="160" w:right="220" w:hanging="10"/>
        <w:rPr>
          <w:rFonts w:ascii="Arial" w:eastAsia="Arial" w:hAnsi="Arial" w:cs="Arial"/>
          <w:color w:val="000000"/>
          <w:sz w:val="24"/>
          <w:szCs w:val="24"/>
        </w:rPr>
      </w:pPr>
      <w:r>
        <w:rPr>
          <w:rFonts w:ascii="Arial" w:eastAsia="Arial" w:hAnsi="Arial" w:cs="Arial"/>
          <w:color w:val="000000"/>
          <w:sz w:val="24"/>
          <w:szCs w:val="24"/>
        </w:rPr>
        <w:t>As demonstrated by Novartis' 2022 report on the use of DTs for regulatory readiness, these tactics have enhanced the company's capacity to negotiate the regulatory environment, lowering the time-to-market for medications and raising the possibility of successful approval.</w:t>
      </w:r>
    </w:p>
    <w:p w14:paraId="77882564" w14:textId="77777777" w:rsidR="009D11F7" w:rsidRDefault="001E69B8">
      <w:pPr>
        <w:numPr>
          <w:ilvl w:val="1"/>
          <w:numId w:val="13"/>
        </w:numPr>
        <w:pBdr>
          <w:top w:val="nil"/>
          <w:left w:val="nil"/>
          <w:bottom w:val="nil"/>
          <w:right w:val="nil"/>
          <w:between w:val="nil"/>
        </w:pBdr>
        <w:tabs>
          <w:tab w:val="left" w:pos="508"/>
        </w:tabs>
        <w:spacing w:before="1"/>
        <w:ind w:left="508" w:hanging="358"/>
        <w:rPr>
          <w:rFonts w:ascii="Arial" w:eastAsia="Arial" w:hAnsi="Arial" w:cs="Arial"/>
          <w:b/>
          <w:color w:val="000000"/>
        </w:rPr>
      </w:pPr>
      <w:r>
        <w:rPr>
          <w:rFonts w:ascii="Arial" w:eastAsia="Arial" w:hAnsi="Arial" w:cs="Arial"/>
          <w:b/>
          <w:color w:val="000000"/>
        </w:rPr>
        <w:t>AstraZeneca: Personalizing Clinical Trials and Oncology Care</w:t>
      </w:r>
    </w:p>
    <w:p w14:paraId="3D0F6058" w14:textId="77777777" w:rsidR="009D11F7" w:rsidRDefault="001E69B8">
      <w:pPr>
        <w:pBdr>
          <w:top w:val="nil"/>
          <w:left w:val="nil"/>
          <w:bottom w:val="nil"/>
          <w:right w:val="nil"/>
          <w:between w:val="nil"/>
        </w:pBdr>
        <w:spacing w:before="158" w:line="268" w:lineRule="auto"/>
        <w:ind w:left="160" w:hanging="10"/>
        <w:rPr>
          <w:rFonts w:ascii="Arial" w:eastAsia="Arial" w:hAnsi="Arial" w:cs="Arial"/>
          <w:color w:val="000000"/>
          <w:sz w:val="24"/>
          <w:szCs w:val="24"/>
        </w:rPr>
      </w:pPr>
      <w:r>
        <w:rPr>
          <w:rFonts w:ascii="Arial" w:eastAsia="Arial" w:hAnsi="Arial" w:cs="Arial"/>
          <w:color w:val="000000"/>
          <w:sz w:val="24"/>
          <w:szCs w:val="24"/>
        </w:rPr>
        <w:t>In cancer in particular, AstraZeneca has used patient-specific DTs to model how each patient might react to treatment.</w:t>
      </w:r>
    </w:p>
    <w:p w14:paraId="11EFE2EB" w14:textId="77777777" w:rsidR="009D11F7" w:rsidRDefault="001E69B8">
      <w:pPr>
        <w:pBdr>
          <w:top w:val="nil"/>
          <w:left w:val="nil"/>
          <w:bottom w:val="nil"/>
          <w:right w:val="nil"/>
          <w:between w:val="nil"/>
        </w:pBdr>
        <w:spacing w:before="2"/>
        <w:ind w:left="150"/>
        <w:rPr>
          <w:rFonts w:ascii="Arial" w:eastAsia="Arial" w:hAnsi="Arial" w:cs="Arial"/>
          <w:color w:val="000000"/>
          <w:sz w:val="24"/>
          <w:szCs w:val="24"/>
        </w:rPr>
        <w:sectPr w:rsidR="009D11F7">
          <w:pgSz w:w="11920" w:h="16840"/>
          <w:pgMar w:top="1380" w:right="1275" w:bottom="280" w:left="1275" w:header="720" w:footer="720" w:gutter="0"/>
          <w:cols w:space="720"/>
        </w:sectPr>
      </w:pPr>
      <w:r>
        <w:rPr>
          <w:rFonts w:ascii="Arial" w:eastAsia="Arial" w:hAnsi="Arial" w:cs="Arial"/>
          <w:color w:val="000000"/>
          <w:sz w:val="24"/>
          <w:szCs w:val="24"/>
        </w:rPr>
        <w:t>The DTs include:</w:t>
      </w:r>
    </w:p>
    <w:p w14:paraId="3AE107C5" w14:textId="77777777" w:rsidR="009D11F7" w:rsidRDefault="001E69B8">
      <w:pPr>
        <w:numPr>
          <w:ilvl w:val="2"/>
          <w:numId w:val="13"/>
        </w:numPr>
        <w:pBdr>
          <w:top w:val="nil"/>
          <w:left w:val="nil"/>
          <w:bottom w:val="nil"/>
          <w:right w:val="nil"/>
          <w:between w:val="nil"/>
        </w:pBdr>
        <w:tabs>
          <w:tab w:val="left" w:pos="886"/>
        </w:tabs>
        <w:spacing w:before="70" w:line="268" w:lineRule="auto"/>
        <w:ind w:right="645"/>
        <w:jc w:val="both"/>
        <w:rPr>
          <w:rFonts w:ascii="Arial" w:eastAsia="Arial" w:hAnsi="Arial" w:cs="Arial"/>
          <w:color w:val="000000"/>
          <w:sz w:val="24"/>
          <w:szCs w:val="24"/>
        </w:rPr>
      </w:pPr>
      <w:r>
        <w:rPr>
          <w:rFonts w:ascii="Arial" w:eastAsia="Arial" w:hAnsi="Arial" w:cs="Arial"/>
          <w:color w:val="000000"/>
          <w:sz w:val="24"/>
          <w:szCs w:val="24"/>
        </w:rPr>
        <w:lastRenderedPageBreak/>
        <w:t>Physiological and Genomic Information: This makes it possible to forecast patient-specific therapy responses with greater accuracy.</w:t>
      </w:r>
    </w:p>
    <w:p w14:paraId="65F3E575" w14:textId="77777777" w:rsidR="009D11F7" w:rsidRDefault="001E69B8">
      <w:pPr>
        <w:numPr>
          <w:ilvl w:val="2"/>
          <w:numId w:val="13"/>
        </w:numPr>
        <w:pBdr>
          <w:top w:val="nil"/>
          <w:left w:val="nil"/>
          <w:bottom w:val="nil"/>
          <w:right w:val="nil"/>
          <w:between w:val="nil"/>
        </w:pBdr>
        <w:tabs>
          <w:tab w:val="left" w:pos="886"/>
        </w:tabs>
        <w:spacing w:before="7" w:line="266" w:lineRule="auto"/>
        <w:ind w:right="274"/>
        <w:jc w:val="both"/>
        <w:rPr>
          <w:rFonts w:ascii="Arial" w:eastAsia="Arial" w:hAnsi="Arial" w:cs="Arial"/>
          <w:color w:val="000000"/>
          <w:sz w:val="24"/>
          <w:szCs w:val="24"/>
        </w:rPr>
      </w:pPr>
      <w:r>
        <w:rPr>
          <w:rFonts w:ascii="Arial" w:eastAsia="Arial" w:hAnsi="Arial" w:cs="Arial"/>
          <w:color w:val="000000"/>
          <w:sz w:val="24"/>
          <w:szCs w:val="24"/>
        </w:rPr>
        <w:t xml:space="preserve">Dynamic </w:t>
      </w:r>
      <w:proofErr w:type="spellStart"/>
      <w:r>
        <w:rPr>
          <w:rFonts w:ascii="Arial" w:eastAsia="Arial" w:hAnsi="Arial" w:cs="Arial"/>
          <w:color w:val="000000"/>
          <w:sz w:val="24"/>
          <w:szCs w:val="24"/>
        </w:rPr>
        <w:t>Tumour</w:t>
      </w:r>
      <w:proofErr w:type="spellEnd"/>
      <w:r>
        <w:rPr>
          <w:rFonts w:ascii="Arial" w:eastAsia="Arial" w:hAnsi="Arial" w:cs="Arial"/>
          <w:color w:val="000000"/>
          <w:sz w:val="24"/>
          <w:szCs w:val="24"/>
        </w:rPr>
        <w:t xml:space="preserve"> Growth and Drug Metabolism Models: These models model the progression of </w:t>
      </w:r>
      <w:proofErr w:type="spellStart"/>
      <w:r>
        <w:rPr>
          <w:rFonts w:ascii="Arial" w:eastAsia="Arial" w:hAnsi="Arial" w:cs="Arial"/>
          <w:color w:val="000000"/>
          <w:sz w:val="24"/>
          <w:szCs w:val="24"/>
        </w:rPr>
        <w:t>tumours</w:t>
      </w:r>
      <w:proofErr w:type="spellEnd"/>
      <w:r>
        <w:rPr>
          <w:rFonts w:ascii="Arial" w:eastAsia="Arial" w:hAnsi="Arial" w:cs="Arial"/>
          <w:color w:val="000000"/>
          <w:sz w:val="24"/>
          <w:szCs w:val="24"/>
        </w:rPr>
        <w:t xml:space="preserve"> and the long-term interactions of medications with the body under different treatment plans.</w:t>
      </w:r>
    </w:p>
    <w:p w14:paraId="58B6B1FD" w14:textId="77777777" w:rsidR="009D11F7" w:rsidRDefault="001E69B8">
      <w:pPr>
        <w:pBdr>
          <w:top w:val="nil"/>
          <w:left w:val="nil"/>
          <w:bottom w:val="nil"/>
          <w:right w:val="nil"/>
          <w:between w:val="nil"/>
        </w:pBdr>
        <w:spacing w:before="256"/>
        <w:ind w:left="150"/>
        <w:rPr>
          <w:rFonts w:ascii="Arial" w:eastAsia="Arial" w:hAnsi="Arial" w:cs="Arial"/>
          <w:color w:val="000000"/>
          <w:sz w:val="24"/>
          <w:szCs w:val="24"/>
        </w:rPr>
      </w:pPr>
      <w:r>
        <w:rPr>
          <w:rFonts w:ascii="Arial" w:eastAsia="Arial" w:hAnsi="Arial" w:cs="Arial"/>
          <w:color w:val="000000"/>
          <w:sz w:val="24"/>
          <w:szCs w:val="24"/>
        </w:rPr>
        <w:t>AstraZeneca has employed DTs in clinical trials to:</w:t>
      </w:r>
    </w:p>
    <w:p w14:paraId="73D713BE" w14:textId="77777777" w:rsidR="009D11F7" w:rsidRDefault="009D11F7">
      <w:pPr>
        <w:pBdr>
          <w:top w:val="nil"/>
          <w:left w:val="nil"/>
          <w:bottom w:val="nil"/>
          <w:right w:val="nil"/>
          <w:between w:val="nil"/>
        </w:pBdr>
        <w:spacing w:before="68"/>
        <w:rPr>
          <w:rFonts w:ascii="Arial" w:eastAsia="Arial" w:hAnsi="Arial" w:cs="Arial"/>
          <w:color w:val="000000"/>
          <w:sz w:val="24"/>
          <w:szCs w:val="24"/>
        </w:rPr>
      </w:pPr>
    </w:p>
    <w:p w14:paraId="1D1D6240" w14:textId="77777777" w:rsidR="009D11F7" w:rsidRDefault="001E69B8">
      <w:pPr>
        <w:numPr>
          <w:ilvl w:val="2"/>
          <w:numId w:val="13"/>
        </w:numPr>
        <w:pBdr>
          <w:top w:val="nil"/>
          <w:left w:val="nil"/>
          <w:bottom w:val="nil"/>
          <w:right w:val="nil"/>
          <w:between w:val="nil"/>
        </w:pBdr>
        <w:tabs>
          <w:tab w:val="left" w:pos="886"/>
        </w:tabs>
        <w:spacing w:line="331" w:lineRule="auto"/>
        <w:ind w:right="1117"/>
        <w:rPr>
          <w:rFonts w:ascii="Arial" w:eastAsia="Arial" w:hAnsi="Arial" w:cs="Arial"/>
          <w:color w:val="000000"/>
          <w:sz w:val="24"/>
          <w:szCs w:val="24"/>
        </w:rPr>
      </w:pPr>
      <w:r>
        <w:rPr>
          <w:rFonts w:ascii="Arial" w:eastAsia="Arial" w:hAnsi="Arial" w:cs="Arial"/>
          <w:color w:val="000000"/>
          <w:sz w:val="24"/>
          <w:szCs w:val="24"/>
        </w:rPr>
        <w:t xml:space="preserve">Create Adaptive Trials: AstraZeneca can </w:t>
      </w:r>
      <w:proofErr w:type="spellStart"/>
      <w:r>
        <w:rPr>
          <w:rFonts w:ascii="Arial" w:eastAsia="Arial" w:hAnsi="Arial" w:cs="Arial"/>
          <w:color w:val="000000"/>
          <w:sz w:val="24"/>
          <w:szCs w:val="24"/>
        </w:rPr>
        <w:t>optimise</w:t>
      </w:r>
      <w:proofErr w:type="spellEnd"/>
      <w:r>
        <w:rPr>
          <w:rFonts w:ascii="Arial" w:eastAsia="Arial" w:hAnsi="Arial" w:cs="Arial"/>
          <w:color w:val="000000"/>
          <w:sz w:val="24"/>
          <w:szCs w:val="24"/>
        </w:rPr>
        <w:t xml:space="preserve"> patient selection by modifying inclusion criteria in real-time in response to incoming data.</w:t>
      </w:r>
    </w:p>
    <w:p w14:paraId="0B4EFF41" w14:textId="77777777" w:rsidR="009D11F7" w:rsidRDefault="001E69B8">
      <w:pPr>
        <w:numPr>
          <w:ilvl w:val="2"/>
          <w:numId w:val="13"/>
        </w:numPr>
        <w:pBdr>
          <w:top w:val="nil"/>
          <w:left w:val="nil"/>
          <w:bottom w:val="nil"/>
          <w:right w:val="nil"/>
          <w:between w:val="nil"/>
        </w:pBdr>
        <w:tabs>
          <w:tab w:val="left" w:pos="886"/>
        </w:tabs>
        <w:spacing w:before="4" w:line="331" w:lineRule="auto"/>
        <w:ind w:right="496"/>
        <w:rPr>
          <w:rFonts w:ascii="Arial" w:eastAsia="Arial" w:hAnsi="Arial" w:cs="Arial"/>
          <w:color w:val="000000"/>
          <w:sz w:val="24"/>
          <w:szCs w:val="24"/>
        </w:rPr>
      </w:pPr>
      <w:r>
        <w:rPr>
          <w:rFonts w:ascii="Arial" w:eastAsia="Arial" w:hAnsi="Arial" w:cs="Arial"/>
          <w:color w:val="000000"/>
          <w:sz w:val="24"/>
          <w:szCs w:val="24"/>
        </w:rPr>
        <w:t xml:space="preserve">Boost Dosing Accuracy: AstraZeneca can </w:t>
      </w:r>
      <w:proofErr w:type="spellStart"/>
      <w:r>
        <w:rPr>
          <w:rFonts w:ascii="Arial" w:eastAsia="Arial" w:hAnsi="Arial" w:cs="Arial"/>
          <w:color w:val="000000"/>
          <w:sz w:val="24"/>
          <w:szCs w:val="24"/>
        </w:rPr>
        <w:t>customise</w:t>
      </w:r>
      <w:proofErr w:type="spellEnd"/>
      <w:r>
        <w:rPr>
          <w:rFonts w:ascii="Arial" w:eastAsia="Arial" w:hAnsi="Arial" w:cs="Arial"/>
          <w:color w:val="000000"/>
          <w:sz w:val="24"/>
          <w:szCs w:val="24"/>
        </w:rPr>
        <w:t xml:space="preserve"> dosage schedules to reduce side effects by modelling treatment outcomes in specific individuals.</w:t>
      </w:r>
    </w:p>
    <w:p w14:paraId="70A31775" w14:textId="77777777" w:rsidR="009D11F7" w:rsidRDefault="001E69B8">
      <w:pPr>
        <w:numPr>
          <w:ilvl w:val="2"/>
          <w:numId w:val="13"/>
        </w:numPr>
        <w:pBdr>
          <w:top w:val="nil"/>
          <w:left w:val="nil"/>
          <w:bottom w:val="nil"/>
          <w:right w:val="nil"/>
          <w:between w:val="nil"/>
        </w:pBdr>
        <w:tabs>
          <w:tab w:val="left" w:pos="886"/>
        </w:tabs>
        <w:spacing w:before="4" w:line="336" w:lineRule="auto"/>
        <w:ind w:right="579"/>
        <w:rPr>
          <w:rFonts w:ascii="Arial" w:eastAsia="Arial" w:hAnsi="Arial" w:cs="Arial"/>
          <w:color w:val="000000"/>
          <w:sz w:val="24"/>
          <w:szCs w:val="24"/>
        </w:rPr>
      </w:pPr>
      <w:r>
        <w:rPr>
          <w:rFonts w:ascii="Arial" w:eastAsia="Arial" w:hAnsi="Arial" w:cs="Arial"/>
          <w:color w:val="000000"/>
          <w:sz w:val="24"/>
          <w:szCs w:val="24"/>
        </w:rPr>
        <w:t>Increase Trial Efficiency: Trial success rates can be raised by choosing the patient groups who respond the best.</w:t>
      </w:r>
    </w:p>
    <w:p w14:paraId="3BC7E235" w14:textId="77777777" w:rsidR="009D11F7" w:rsidRDefault="001E69B8">
      <w:pPr>
        <w:pBdr>
          <w:top w:val="nil"/>
          <w:left w:val="nil"/>
          <w:bottom w:val="nil"/>
          <w:right w:val="nil"/>
          <w:between w:val="nil"/>
        </w:pBdr>
        <w:spacing w:before="232" w:line="331" w:lineRule="auto"/>
        <w:ind w:left="160" w:right="191" w:hanging="10"/>
        <w:rPr>
          <w:rFonts w:ascii="Arial" w:eastAsia="Arial" w:hAnsi="Arial" w:cs="Arial"/>
          <w:color w:val="000000"/>
          <w:sz w:val="24"/>
          <w:szCs w:val="24"/>
        </w:rPr>
      </w:pPr>
      <w:r>
        <w:rPr>
          <w:rFonts w:ascii="Arial" w:eastAsia="Arial" w:hAnsi="Arial" w:cs="Arial"/>
          <w:color w:val="000000"/>
          <w:sz w:val="24"/>
          <w:szCs w:val="24"/>
        </w:rPr>
        <w:t>The revolutionary potential of DT technology in advancing precision medicine and enhancing treatment results is demonstrated by AstraZeneca's application of DTs in clinical trials and cancer care.</w:t>
      </w:r>
    </w:p>
    <w:p w14:paraId="7E3DEB15" w14:textId="77777777" w:rsidR="009D11F7" w:rsidRDefault="009D11F7">
      <w:pPr>
        <w:pBdr>
          <w:top w:val="nil"/>
          <w:left w:val="nil"/>
          <w:bottom w:val="nil"/>
          <w:right w:val="nil"/>
          <w:between w:val="nil"/>
        </w:pBdr>
        <w:spacing w:before="23"/>
        <w:rPr>
          <w:rFonts w:ascii="Arial" w:eastAsia="Arial" w:hAnsi="Arial" w:cs="Arial"/>
          <w:color w:val="000000"/>
          <w:sz w:val="24"/>
          <w:szCs w:val="24"/>
        </w:rPr>
      </w:pPr>
    </w:p>
    <w:p w14:paraId="2870910C" w14:textId="77777777" w:rsidR="009D11F7" w:rsidRDefault="001E69B8">
      <w:pPr>
        <w:pStyle w:val="Heading2"/>
        <w:numPr>
          <w:ilvl w:val="1"/>
          <w:numId w:val="13"/>
        </w:numPr>
        <w:tabs>
          <w:tab w:val="left" w:pos="579"/>
        </w:tabs>
        <w:ind w:left="579" w:hanging="429"/>
      </w:pPr>
      <w:bookmarkStart w:id="4" w:name="bookmark=id.i0e0qxep2c6i" w:colFirst="0" w:colLast="0"/>
      <w:bookmarkEnd w:id="4"/>
      <w:r>
        <w:t>Summary of Key Benefits</w:t>
      </w:r>
    </w:p>
    <w:p w14:paraId="01793BFA" w14:textId="77777777" w:rsidR="009D11F7" w:rsidRDefault="009D11F7">
      <w:pPr>
        <w:pBdr>
          <w:top w:val="nil"/>
          <w:left w:val="nil"/>
          <w:bottom w:val="nil"/>
          <w:right w:val="nil"/>
          <w:between w:val="nil"/>
        </w:pBdr>
        <w:spacing w:before="36"/>
        <w:rPr>
          <w:rFonts w:ascii="Arial" w:eastAsia="Arial" w:hAnsi="Arial" w:cs="Arial"/>
          <w:b/>
          <w:color w:val="000000"/>
          <w:sz w:val="26"/>
          <w:szCs w:val="26"/>
        </w:rPr>
      </w:pPr>
    </w:p>
    <w:p w14:paraId="22FE854B" w14:textId="77777777" w:rsidR="009D11F7" w:rsidRDefault="001E69B8">
      <w:pPr>
        <w:pBdr>
          <w:top w:val="nil"/>
          <w:left w:val="nil"/>
          <w:bottom w:val="nil"/>
          <w:right w:val="nil"/>
          <w:between w:val="nil"/>
        </w:pBdr>
        <w:spacing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t>These large pharmaceutical firms' incorporation of DTs shows how effective they can be at streamlining a number of pharmaceutical operations:</w:t>
      </w:r>
    </w:p>
    <w:p w14:paraId="194C4CD1" w14:textId="77777777" w:rsidR="009D11F7" w:rsidRDefault="001E69B8">
      <w:pPr>
        <w:numPr>
          <w:ilvl w:val="2"/>
          <w:numId w:val="13"/>
        </w:numPr>
        <w:pBdr>
          <w:top w:val="nil"/>
          <w:left w:val="nil"/>
          <w:bottom w:val="nil"/>
          <w:right w:val="nil"/>
          <w:between w:val="nil"/>
        </w:pBdr>
        <w:tabs>
          <w:tab w:val="left" w:pos="886"/>
        </w:tabs>
        <w:spacing w:before="248" w:line="268" w:lineRule="auto"/>
        <w:ind w:right="245"/>
        <w:rPr>
          <w:rFonts w:ascii="Arial" w:eastAsia="Arial" w:hAnsi="Arial" w:cs="Arial"/>
          <w:color w:val="000000"/>
          <w:sz w:val="24"/>
          <w:szCs w:val="24"/>
        </w:rPr>
      </w:pPr>
      <w:r>
        <w:rPr>
          <w:rFonts w:ascii="Arial" w:eastAsia="Arial" w:hAnsi="Arial" w:cs="Arial"/>
          <w:color w:val="000000"/>
          <w:sz w:val="24"/>
          <w:szCs w:val="24"/>
        </w:rPr>
        <w:t>Operational Efficiency: DTs have significantly reduced production bottlenecks, downtime, and improved scalability, especially in critical vaccine</w:t>
      </w:r>
    </w:p>
    <w:p w14:paraId="1F2BA03E" w14:textId="77777777" w:rsidR="009D11F7" w:rsidRDefault="001E69B8">
      <w:pPr>
        <w:pBdr>
          <w:top w:val="nil"/>
          <w:left w:val="nil"/>
          <w:bottom w:val="nil"/>
          <w:right w:val="nil"/>
          <w:between w:val="nil"/>
        </w:pBdr>
        <w:spacing w:line="273" w:lineRule="auto"/>
        <w:ind w:left="886"/>
        <w:rPr>
          <w:rFonts w:ascii="Arial" w:eastAsia="Arial" w:hAnsi="Arial" w:cs="Arial"/>
          <w:color w:val="000000"/>
          <w:sz w:val="24"/>
          <w:szCs w:val="24"/>
        </w:rPr>
      </w:pPr>
      <w:r>
        <w:rPr>
          <w:rFonts w:ascii="Arial" w:eastAsia="Arial" w:hAnsi="Arial" w:cs="Arial"/>
          <w:color w:val="000000"/>
          <w:sz w:val="24"/>
          <w:szCs w:val="24"/>
        </w:rPr>
        <w:t>manufacturing (Pfizer).</w:t>
      </w:r>
    </w:p>
    <w:p w14:paraId="67AF3018" w14:textId="77777777" w:rsidR="009D11F7" w:rsidRDefault="001E69B8">
      <w:pPr>
        <w:numPr>
          <w:ilvl w:val="2"/>
          <w:numId w:val="13"/>
        </w:numPr>
        <w:pBdr>
          <w:top w:val="nil"/>
          <w:left w:val="nil"/>
          <w:bottom w:val="nil"/>
          <w:right w:val="nil"/>
          <w:between w:val="nil"/>
        </w:pBdr>
        <w:tabs>
          <w:tab w:val="left" w:pos="886"/>
        </w:tabs>
        <w:spacing w:before="39" w:line="268" w:lineRule="auto"/>
        <w:ind w:right="239"/>
        <w:rPr>
          <w:rFonts w:ascii="Arial" w:eastAsia="Arial" w:hAnsi="Arial" w:cs="Arial"/>
          <w:color w:val="000000"/>
          <w:sz w:val="24"/>
          <w:szCs w:val="24"/>
        </w:rPr>
      </w:pPr>
      <w:r>
        <w:rPr>
          <w:rFonts w:ascii="Arial" w:eastAsia="Arial" w:hAnsi="Arial" w:cs="Arial"/>
          <w:color w:val="000000"/>
          <w:sz w:val="24"/>
          <w:szCs w:val="24"/>
        </w:rPr>
        <w:t>Regulatory Compliance: DTs assist with real-time monitoring and ensure adherence to Good Manufacturing Practices (GMP), which reduces the risk of regulatory non-compliance and saves money, according to Novartis and</w:t>
      </w:r>
    </w:p>
    <w:p w14:paraId="46D4E871" w14:textId="77777777" w:rsidR="009D11F7" w:rsidRDefault="001E69B8">
      <w:pPr>
        <w:pBdr>
          <w:top w:val="nil"/>
          <w:left w:val="nil"/>
          <w:bottom w:val="nil"/>
          <w:right w:val="nil"/>
          <w:between w:val="nil"/>
        </w:pBdr>
        <w:spacing w:before="3"/>
        <w:ind w:left="886"/>
        <w:rPr>
          <w:rFonts w:ascii="Arial" w:eastAsia="Arial" w:hAnsi="Arial" w:cs="Arial"/>
          <w:color w:val="000000"/>
          <w:sz w:val="24"/>
          <w:szCs w:val="24"/>
        </w:rPr>
      </w:pPr>
      <w:r>
        <w:rPr>
          <w:rFonts w:ascii="Arial" w:eastAsia="Arial" w:hAnsi="Arial" w:cs="Arial"/>
          <w:color w:val="000000"/>
          <w:sz w:val="24"/>
          <w:szCs w:val="24"/>
        </w:rPr>
        <w:t>AstraZeneca.</w:t>
      </w:r>
    </w:p>
    <w:p w14:paraId="70E5FF81" w14:textId="77777777" w:rsidR="009D11F7" w:rsidRDefault="001E69B8">
      <w:pPr>
        <w:numPr>
          <w:ilvl w:val="2"/>
          <w:numId w:val="13"/>
        </w:numPr>
        <w:pBdr>
          <w:top w:val="nil"/>
          <w:left w:val="nil"/>
          <w:bottom w:val="nil"/>
          <w:right w:val="nil"/>
          <w:between w:val="nil"/>
        </w:pBdr>
        <w:tabs>
          <w:tab w:val="left" w:pos="886"/>
        </w:tabs>
        <w:spacing w:before="39" w:line="268" w:lineRule="auto"/>
        <w:ind w:right="649"/>
        <w:rPr>
          <w:rFonts w:ascii="Arial" w:eastAsia="Arial" w:hAnsi="Arial" w:cs="Arial"/>
          <w:color w:val="000000"/>
          <w:sz w:val="24"/>
          <w:szCs w:val="24"/>
        </w:rPr>
      </w:pPr>
      <w:r>
        <w:rPr>
          <w:rFonts w:ascii="Arial" w:eastAsia="Arial" w:hAnsi="Arial" w:cs="Arial"/>
          <w:color w:val="000000"/>
          <w:sz w:val="24"/>
          <w:szCs w:val="24"/>
        </w:rPr>
        <w:t xml:space="preserve">Innovation and Precision Medicine: DTs facilitate </w:t>
      </w:r>
      <w:proofErr w:type="spellStart"/>
      <w:r>
        <w:rPr>
          <w:rFonts w:ascii="Arial" w:eastAsia="Arial" w:hAnsi="Arial" w:cs="Arial"/>
          <w:color w:val="000000"/>
          <w:sz w:val="24"/>
          <w:szCs w:val="24"/>
        </w:rPr>
        <w:t>individualised</w:t>
      </w:r>
      <w:proofErr w:type="spellEnd"/>
      <w:r>
        <w:rPr>
          <w:rFonts w:ascii="Arial" w:eastAsia="Arial" w:hAnsi="Arial" w:cs="Arial"/>
          <w:color w:val="000000"/>
          <w:sz w:val="24"/>
          <w:szCs w:val="24"/>
        </w:rPr>
        <w:t xml:space="preserve"> treatment plans and increase the effectiveness of clinical trials by mimicking patient- specific reactions (AstraZeneca). They also promote innovation in drug development (Novartis).</w:t>
      </w:r>
    </w:p>
    <w:p w14:paraId="4287EA81" w14:textId="77777777" w:rsidR="009D11F7" w:rsidRDefault="009D11F7">
      <w:pPr>
        <w:pBdr>
          <w:top w:val="nil"/>
          <w:left w:val="nil"/>
          <w:bottom w:val="nil"/>
          <w:right w:val="nil"/>
          <w:between w:val="nil"/>
        </w:pBdr>
        <w:spacing w:before="18"/>
        <w:rPr>
          <w:rFonts w:ascii="Arial" w:eastAsia="Arial" w:hAnsi="Arial" w:cs="Arial"/>
          <w:color w:val="000000"/>
          <w:sz w:val="24"/>
          <w:szCs w:val="24"/>
        </w:rPr>
      </w:pPr>
    </w:p>
    <w:p w14:paraId="733C2D41" w14:textId="77777777" w:rsidR="009D11F7" w:rsidRDefault="001E69B8">
      <w:pPr>
        <w:numPr>
          <w:ilvl w:val="2"/>
          <w:numId w:val="13"/>
        </w:numPr>
        <w:pBdr>
          <w:top w:val="nil"/>
          <w:left w:val="nil"/>
          <w:bottom w:val="nil"/>
          <w:right w:val="nil"/>
          <w:between w:val="nil"/>
        </w:pBdr>
        <w:tabs>
          <w:tab w:val="left" w:pos="886"/>
        </w:tabs>
        <w:spacing w:line="268" w:lineRule="auto"/>
        <w:ind w:right="348"/>
        <w:rPr>
          <w:rFonts w:ascii="Arial" w:eastAsia="Arial" w:hAnsi="Arial" w:cs="Arial"/>
          <w:color w:val="000000"/>
          <w:sz w:val="24"/>
          <w:szCs w:val="24"/>
        </w:rPr>
      </w:pPr>
      <w:r>
        <w:rPr>
          <w:rFonts w:ascii="Arial" w:eastAsia="Arial" w:hAnsi="Arial" w:cs="Arial"/>
          <w:color w:val="000000"/>
          <w:sz w:val="24"/>
          <w:szCs w:val="24"/>
        </w:rPr>
        <w:t xml:space="preserve">Biomanufacturing </w:t>
      </w:r>
      <w:proofErr w:type="spellStart"/>
      <w:r>
        <w:rPr>
          <w:rFonts w:ascii="Arial" w:eastAsia="Arial" w:hAnsi="Arial" w:cs="Arial"/>
          <w:color w:val="000000"/>
          <w:sz w:val="24"/>
          <w:szCs w:val="24"/>
        </w:rPr>
        <w:t>Optimisation</w:t>
      </w:r>
      <w:proofErr w:type="spellEnd"/>
      <w:r>
        <w:rPr>
          <w:rFonts w:ascii="Arial" w:eastAsia="Arial" w:hAnsi="Arial" w:cs="Arial"/>
          <w:color w:val="000000"/>
          <w:sz w:val="24"/>
          <w:szCs w:val="24"/>
        </w:rPr>
        <w:t>: By offering real-time process management and guaranteeing product consistency, DTs have improved biomanufacturing procedures, especially in the manufacture of biologics (Merck).</w:t>
      </w:r>
    </w:p>
    <w:p w14:paraId="66A10102" w14:textId="77777777" w:rsidR="009D11F7" w:rsidRDefault="009D11F7">
      <w:pPr>
        <w:pBdr>
          <w:top w:val="nil"/>
          <w:left w:val="nil"/>
          <w:bottom w:val="nil"/>
          <w:right w:val="nil"/>
          <w:between w:val="nil"/>
        </w:pBdr>
        <w:spacing w:before="7"/>
        <w:rPr>
          <w:rFonts w:ascii="Arial" w:eastAsia="Arial" w:hAnsi="Arial" w:cs="Arial"/>
          <w:color w:val="000000"/>
          <w:sz w:val="24"/>
          <w:szCs w:val="24"/>
        </w:rPr>
      </w:pPr>
    </w:p>
    <w:p w14:paraId="49B0A73B" w14:textId="77777777" w:rsidR="009D11F7" w:rsidRDefault="001E69B8">
      <w:pPr>
        <w:pBdr>
          <w:top w:val="nil"/>
          <w:left w:val="nil"/>
          <w:bottom w:val="nil"/>
          <w:right w:val="nil"/>
          <w:between w:val="nil"/>
        </w:pBdr>
        <w:ind w:left="150"/>
        <w:rPr>
          <w:rFonts w:ascii="Arial" w:eastAsia="Arial" w:hAnsi="Arial" w:cs="Arial"/>
          <w:color w:val="000000"/>
          <w:sz w:val="24"/>
          <w:szCs w:val="24"/>
        </w:rPr>
      </w:pPr>
      <w:r>
        <w:rPr>
          <w:rFonts w:ascii="Arial" w:eastAsia="Arial" w:hAnsi="Arial" w:cs="Arial"/>
          <w:color w:val="000000"/>
          <w:sz w:val="24"/>
          <w:szCs w:val="24"/>
        </w:rPr>
        <w:t>Digital twins have had a significant influence on pharmaceutical production.</w:t>
      </w:r>
    </w:p>
    <w:p w14:paraId="190C65CB" w14:textId="77777777" w:rsidR="009D11F7" w:rsidRDefault="001E69B8">
      <w:pPr>
        <w:pBdr>
          <w:top w:val="nil"/>
          <w:left w:val="nil"/>
          <w:bottom w:val="nil"/>
          <w:right w:val="nil"/>
          <w:between w:val="nil"/>
        </w:pBdr>
        <w:spacing w:before="64" w:line="254" w:lineRule="auto"/>
        <w:ind w:left="160" w:hanging="10"/>
        <w:rPr>
          <w:rFonts w:ascii="Arial" w:eastAsia="Arial" w:hAnsi="Arial" w:cs="Arial"/>
          <w:color w:val="000000"/>
          <w:sz w:val="24"/>
          <w:szCs w:val="24"/>
        </w:rPr>
        <w:sectPr w:rsidR="009D11F7">
          <w:pgSz w:w="11920" w:h="16840"/>
          <w:pgMar w:top="1380" w:right="1275" w:bottom="280" w:left="1275" w:header="720" w:footer="720" w:gutter="0"/>
          <w:cols w:space="720"/>
        </w:sectPr>
      </w:pPr>
      <w:r>
        <w:rPr>
          <w:rFonts w:ascii="Arial" w:eastAsia="Arial" w:hAnsi="Arial" w:cs="Arial"/>
          <w:color w:val="000000"/>
          <w:sz w:val="24"/>
          <w:szCs w:val="24"/>
        </w:rPr>
        <w:lastRenderedPageBreak/>
        <w:t>By simulating its COVID-19 vaccine production lines using digital twins, Pfizer (2020) was able to identify bottlenecks early and improve scalability throughout worldwide distribution. Similar to this, Merck (2021) used digital twin systems in the</w:t>
      </w:r>
    </w:p>
    <w:p w14:paraId="0BA9CAAE" w14:textId="77777777" w:rsidR="009D11F7" w:rsidRDefault="001E69B8">
      <w:pPr>
        <w:pBdr>
          <w:top w:val="nil"/>
          <w:left w:val="nil"/>
          <w:bottom w:val="nil"/>
          <w:right w:val="nil"/>
          <w:between w:val="nil"/>
        </w:pBdr>
        <w:spacing w:before="75" w:line="252" w:lineRule="auto"/>
        <w:ind w:left="160"/>
        <w:rPr>
          <w:rFonts w:ascii="Arial" w:eastAsia="Arial" w:hAnsi="Arial" w:cs="Arial"/>
          <w:color w:val="000000"/>
          <w:sz w:val="24"/>
          <w:szCs w:val="24"/>
        </w:rPr>
      </w:pPr>
      <w:r>
        <w:rPr>
          <w:rFonts w:ascii="Arial" w:eastAsia="Arial" w:hAnsi="Arial" w:cs="Arial"/>
          <w:color w:val="000000"/>
          <w:sz w:val="24"/>
          <w:szCs w:val="24"/>
        </w:rPr>
        <w:lastRenderedPageBreak/>
        <w:t xml:space="preserve">manufacture of biologics to </w:t>
      </w:r>
      <w:proofErr w:type="spellStart"/>
      <w:r>
        <w:rPr>
          <w:rFonts w:ascii="Arial" w:eastAsia="Arial" w:hAnsi="Arial" w:cs="Arial"/>
          <w:color w:val="000000"/>
          <w:sz w:val="24"/>
          <w:szCs w:val="24"/>
        </w:rPr>
        <w:t>minimise</w:t>
      </w:r>
      <w:proofErr w:type="spellEnd"/>
      <w:r>
        <w:rPr>
          <w:rFonts w:ascii="Arial" w:eastAsia="Arial" w:hAnsi="Arial" w:cs="Arial"/>
          <w:color w:val="000000"/>
          <w:sz w:val="24"/>
          <w:szCs w:val="24"/>
        </w:rPr>
        <w:t xml:space="preserve"> process failures and reduce batch variability, improving the dependability of high-stakes biomanufacturing.</w:t>
      </w:r>
    </w:p>
    <w:p w14:paraId="0BD135F4" w14:textId="77777777" w:rsidR="009D11F7" w:rsidRDefault="009D11F7">
      <w:pPr>
        <w:pBdr>
          <w:top w:val="nil"/>
          <w:left w:val="nil"/>
          <w:bottom w:val="nil"/>
          <w:right w:val="nil"/>
          <w:between w:val="nil"/>
        </w:pBdr>
        <w:spacing w:before="155"/>
        <w:rPr>
          <w:rFonts w:ascii="Arial" w:eastAsia="Arial" w:hAnsi="Arial" w:cs="Arial"/>
          <w:color w:val="000000"/>
          <w:sz w:val="24"/>
          <w:szCs w:val="24"/>
        </w:rPr>
      </w:pPr>
    </w:p>
    <w:p w14:paraId="740F82B7" w14:textId="77777777" w:rsidR="009D11F7" w:rsidRDefault="001E69B8">
      <w:pPr>
        <w:pBdr>
          <w:top w:val="nil"/>
          <w:left w:val="nil"/>
          <w:bottom w:val="nil"/>
          <w:right w:val="nil"/>
          <w:between w:val="nil"/>
        </w:pBdr>
        <w:spacing w:line="254" w:lineRule="auto"/>
        <w:ind w:left="160" w:right="240" w:hanging="10"/>
        <w:rPr>
          <w:rFonts w:ascii="Arial" w:eastAsia="Arial" w:hAnsi="Arial" w:cs="Arial"/>
          <w:color w:val="000000"/>
          <w:sz w:val="24"/>
          <w:szCs w:val="24"/>
        </w:rPr>
      </w:pPr>
      <w:r>
        <w:rPr>
          <w:rFonts w:ascii="Arial" w:eastAsia="Arial" w:hAnsi="Arial" w:cs="Arial"/>
          <w:color w:val="000000"/>
          <w:sz w:val="24"/>
          <w:szCs w:val="24"/>
        </w:rPr>
        <w:t xml:space="preserve">To increase the consistency and quality of vaccine manufacturing, GSK has also used digital twin models. GSK was able to </w:t>
      </w:r>
      <w:proofErr w:type="spellStart"/>
      <w:r>
        <w:rPr>
          <w:rFonts w:ascii="Arial" w:eastAsia="Arial" w:hAnsi="Arial" w:cs="Arial"/>
          <w:color w:val="000000"/>
          <w:sz w:val="24"/>
          <w:szCs w:val="24"/>
        </w:rPr>
        <w:t>minimise</w:t>
      </w:r>
      <w:proofErr w:type="spellEnd"/>
      <w:r>
        <w:rPr>
          <w:rFonts w:ascii="Arial" w:eastAsia="Arial" w:hAnsi="Arial" w:cs="Arial"/>
          <w:color w:val="000000"/>
          <w:sz w:val="24"/>
          <w:szCs w:val="24"/>
        </w:rPr>
        <w:t xml:space="preserve"> errors and expedite scale-up stages for commercial manufacturing by modelling process variances and forecasting batch results (GSK, 2021).</w:t>
      </w:r>
    </w:p>
    <w:p w14:paraId="1216A5B6" w14:textId="77777777" w:rsidR="009D11F7" w:rsidRDefault="009D11F7">
      <w:pPr>
        <w:pBdr>
          <w:top w:val="nil"/>
          <w:left w:val="nil"/>
          <w:bottom w:val="nil"/>
          <w:right w:val="nil"/>
          <w:between w:val="nil"/>
        </w:pBdr>
        <w:spacing w:before="119"/>
        <w:rPr>
          <w:rFonts w:ascii="Arial" w:eastAsia="Arial" w:hAnsi="Arial" w:cs="Arial"/>
          <w:color w:val="000000"/>
          <w:sz w:val="24"/>
          <w:szCs w:val="24"/>
        </w:rPr>
      </w:pPr>
    </w:p>
    <w:p w14:paraId="09DFFAEE" w14:textId="77777777" w:rsidR="009D11F7" w:rsidRDefault="001E69B8">
      <w:pPr>
        <w:pBdr>
          <w:top w:val="nil"/>
          <w:left w:val="nil"/>
          <w:bottom w:val="nil"/>
          <w:right w:val="nil"/>
          <w:between w:val="nil"/>
        </w:pBdr>
        <w:spacing w:before="1" w:line="254" w:lineRule="auto"/>
        <w:ind w:left="160" w:right="240" w:hanging="10"/>
        <w:rPr>
          <w:rFonts w:ascii="Arial" w:eastAsia="Arial" w:hAnsi="Arial" w:cs="Arial"/>
          <w:color w:val="000000"/>
          <w:sz w:val="24"/>
          <w:szCs w:val="24"/>
        </w:rPr>
      </w:pPr>
      <w:r>
        <w:rPr>
          <w:rFonts w:ascii="Arial" w:eastAsia="Arial" w:hAnsi="Arial" w:cs="Arial"/>
          <w:color w:val="000000"/>
          <w:sz w:val="24"/>
          <w:szCs w:val="24"/>
        </w:rPr>
        <w:t xml:space="preserve">Siemens has concurrently created extensive digital twin systems specifically designed for pharmaceutical industrial settings. By simulating whole production processes in real time, these technologies help businesses </w:t>
      </w:r>
      <w:proofErr w:type="spellStart"/>
      <w:r>
        <w:rPr>
          <w:rFonts w:ascii="Arial" w:eastAsia="Arial" w:hAnsi="Arial" w:cs="Arial"/>
          <w:color w:val="000000"/>
          <w:sz w:val="24"/>
          <w:szCs w:val="24"/>
        </w:rPr>
        <w:t>maximise</w:t>
      </w:r>
      <w:proofErr w:type="spellEnd"/>
      <w:r>
        <w:rPr>
          <w:rFonts w:ascii="Arial" w:eastAsia="Arial" w:hAnsi="Arial" w:cs="Arial"/>
          <w:color w:val="000000"/>
          <w:sz w:val="24"/>
          <w:szCs w:val="24"/>
        </w:rPr>
        <w:t xml:space="preserve"> equipment </w:t>
      </w:r>
      <w:proofErr w:type="spellStart"/>
      <w:r>
        <w:rPr>
          <w:rFonts w:ascii="Arial" w:eastAsia="Arial" w:hAnsi="Arial" w:cs="Arial"/>
          <w:color w:val="000000"/>
          <w:sz w:val="24"/>
          <w:szCs w:val="24"/>
        </w:rPr>
        <w:t>utilisation</w:t>
      </w:r>
      <w:proofErr w:type="spellEnd"/>
      <w:r>
        <w:rPr>
          <w:rFonts w:ascii="Arial" w:eastAsia="Arial" w:hAnsi="Arial" w:cs="Arial"/>
          <w:color w:val="000000"/>
          <w:sz w:val="24"/>
          <w:szCs w:val="24"/>
        </w:rPr>
        <w:t>, proactively detect inefficiencies, and guarantee compliance with strict regulatory frameworks like Good Manufacturing Practices (GMP) (Siemens, 2021).</w:t>
      </w:r>
    </w:p>
    <w:p w14:paraId="70AA3EB2" w14:textId="77777777" w:rsidR="009D11F7" w:rsidRDefault="001E69B8">
      <w:pPr>
        <w:pStyle w:val="Heading2"/>
        <w:numPr>
          <w:ilvl w:val="1"/>
          <w:numId w:val="13"/>
        </w:numPr>
        <w:tabs>
          <w:tab w:val="left" w:pos="579"/>
        </w:tabs>
        <w:spacing w:before="264"/>
        <w:ind w:left="579" w:hanging="429"/>
      </w:pPr>
      <w:bookmarkStart w:id="5" w:name="bookmark=id.supjp0oqdm8l" w:colFirst="0" w:colLast="0"/>
      <w:bookmarkEnd w:id="5"/>
      <w:r>
        <w:t>Summary of Industrial Use Case</w:t>
      </w:r>
      <w:r>
        <w:rPr>
          <w:noProof/>
        </w:rPr>
        <w:drawing>
          <wp:anchor distT="0" distB="0" distL="0" distR="0" simplePos="0" relativeHeight="251655680" behindDoc="0" locked="0" layoutInCell="1" hidden="0" allowOverlap="1" wp14:anchorId="5E79513A" wp14:editId="6F2E0851">
            <wp:simplePos x="0" y="0"/>
            <wp:positionH relativeFrom="column">
              <wp:posOffset>66675</wp:posOffset>
            </wp:positionH>
            <wp:positionV relativeFrom="paragraph">
              <wp:posOffset>368985</wp:posOffset>
            </wp:positionV>
            <wp:extent cx="5431157" cy="3390900"/>
            <wp:effectExtent l="0" t="0" r="0" b="0"/>
            <wp:wrapTopAndBottom distT="0" distB="0"/>
            <wp:docPr id="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5431157" cy="3390900"/>
                    </a:xfrm>
                    <a:prstGeom prst="rect">
                      <a:avLst/>
                    </a:prstGeom>
                    <a:ln/>
                  </pic:spPr>
                </pic:pic>
              </a:graphicData>
            </a:graphic>
          </wp:anchor>
        </w:drawing>
      </w:r>
      <w:r>
        <w:rPr>
          <w:noProof/>
        </w:rPr>
        <mc:AlternateContent>
          <mc:Choice Requires="wps">
            <w:drawing>
              <wp:anchor distT="0" distB="0" distL="0" distR="0" simplePos="0" relativeHeight="251656704" behindDoc="0" locked="0" layoutInCell="1" hidden="0" allowOverlap="1" wp14:anchorId="5401FAFE" wp14:editId="6B06CDF1">
                <wp:simplePos x="0" y="0"/>
                <wp:positionH relativeFrom="column">
                  <wp:posOffset>215900</wp:posOffset>
                </wp:positionH>
                <wp:positionV relativeFrom="paragraph">
                  <wp:posOffset>3924300</wp:posOffset>
                </wp:positionV>
                <wp:extent cx="1270" cy="12700"/>
                <wp:effectExtent l="0" t="0" r="0" b="0"/>
                <wp:wrapTopAndBottom distT="0" distB="0"/>
                <wp:docPr id="17" name="Freeform: Shape 17"/>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3924300</wp:posOffset>
                </wp:positionV>
                <wp:extent cx="1270" cy="12700"/>
                <wp:effectExtent b="0" l="0" r="0" t="0"/>
                <wp:wrapTopAndBottom distB="0" distT="0"/>
                <wp:docPr id="1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4E342262" w14:textId="77777777" w:rsidR="009D11F7" w:rsidRDefault="009D11F7">
      <w:pPr>
        <w:pBdr>
          <w:top w:val="nil"/>
          <w:left w:val="nil"/>
          <w:bottom w:val="nil"/>
          <w:right w:val="nil"/>
          <w:between w:val="nil"/>
        </w:pBdr>
        <w:spacing w:before="30"/>
        <w:rPr>
          <w:rFonts w:ascii="Arial" w:eastAsia="Arial" w:hAnsi="Arial" w:cs="Arial"/>
          <w:b/>
          <w:color w:val="000000"/>
          <w:sz w:val="20"/>
          <w:szCs w:val="20"/>
        </w:rPr>
      </w:pPr>
    </w:p>
    <w:p w14:paraId="4117DCD9" w14:textId="77777777" w:rsidR="009D11F7" w:rsidRDefault="009D11F7">
      <w:pPr>
        <w:pBdr>
          <w:top w:val="nil"/>
          <w:left w:val="nil"/>
          <w:bottom w:val="nil"/>
          <w:right w:val="nil"/>
          <w:between w:val="nil"/>
        </w:pBdr>
        <w:rPr>
          <w:rFonts w:ascii="Arial" w:eastAsia="Arial" w:hAnsi="Arial" w:cs="Arial"/>
          <w:b/>
          <w:color w:val="000000"/>
          <w:sz w:val="26"/>
          <w:szCs w:val="26"/>
        </w:rPr>
      </w:pPr>
    </w:p>
    <w:p w14:paraId="4B80431A" w14:textId="77777777" w:rsidR="009D11F7" w:rsidRDefault="009D11F7">
      <w:pPr>
        <w:pBdr>
          <w:top w:val="nil"/>
          <w:left w:val="nil"/>
          <w:bottom w:val="nil"/>
          <w:right w:val="nil"/>
          <w:between w:val="nil"/>
        </w:pBdr>
        <w:spacing w:before="13"/>
        <w:rPr>
          <w:rFonts w:ascii="Arial" w:eastAsia="Arial" w:hAnsi="Arial" w:cs="Arial"/>
          <w:b/>
          <w:color w:val="000000"/>
          <w:sz w:val="26"/>
          <w:szCs w:val="26"/>
        </w:rPr>
      </w:pPr>
    </w:p>
    <w:p w14:paraId="129B2739" w14:textId="77777777" w:rsidR="009D11F7" w:rsidRDefault="001E69B8">
      <w:pPr>
        <w:spacing w:before="1"/>
        <w:ind w:left="165"/>
        <w:rPr>
          <w:rFonts w:ascii="Arial" w:eastAsia="Arial" w:hAnsi="Arial" w:cs="Arial"/>
          <w:b/>
        </w:rPr>
      </w:pPr>
      <w:r>
        <w:rPr>
          <w:rFonts w:ascii="Arial" w:eastAsia="Arial" w:hAnsi="Arial" w:cs="Arial"/>
          <w:b/>
          <w:u w:val="single"/>
        </w:rPr>
        <w:t>Digital Twin Hub Integration in Pharmaceutical Systems</w:t>
      </w:r>
    </w:p>
    <w:p w14:paraId="653C62F6" w14:textId="77777777" w:rsidR="009D11F7" w:rsidRDefault="009D11F7">
      <w:pPr>
        <w:pBdr>
          <w:top w:val="nil"/>
          <w:left w:val="nil"/>
          <w:bottom w:val="nil"/>
          <w:right w:val="nil"/>
          <w:between w:val="nil"/>
        </w:pBdr>
        <w:spacing w:before="17"/>
        <w:rPr>
          <w:rFonts w:ascii="Arial" w:eastAsia="Arial" w:hAnsi="Arial" w:cs="Arial"/>
          <w:b/>
          <w:color w:val="000000"/>
          <w:sz w:val="24"/>
          <w:szCs w:val="24"/>
        </w:rPr>
      </w:pPr>
    </w:p>
    <w:p w14:paraId="58AD6C7B" w14:textId="77777777" w:rsidR="009D11F7" w:rsidRDefault="001E69B8">
      <w:pPr>
        <w:pBdr>
          <w:top w:val="nil"/>
          <w:left w:val="nil"/>
          <w:bottom w:val="nil"/>
          <w:right w:val="nil"/>
          <w:between w:val="nil"/>
        </w:pBdr>
        <w:spacing w:line="268" w:lineRule="auto"/>
        <w:ind w:left="160" w:right="240" w:hanging="10"/>
        <w:rPr>
          <w:rFonts w:ascii="Arial" w:eastAsia="Arial" w:hAnsi="Arial" w:cs="Arial"/>
          <w:color w:val="000000"/>
          <w:sz w:val="24"/>
          <w:szCs w:val="24"/>
        </w:rPr>
      </w:pPr>
      <w:proofErr w:type="spellStart"/>
      <w:r>
        <w:rPr>
          <w:rFonts w:ascii="Arial" w:eastAsia="Arial" w:hAnsi="Arial" w:cs="Arial"/>
          <w:color w:val="000000"/>
          <w:sz w:val="24"/>
          <w:szCs w:val="24"/>
        </w:rPr>
        <w:t>Centralised</w:t>
      </w:r>
      <w:proofErr w:type="spellEnd"/>
      <w:r>
        <w:rPr>
          <w:rFonts w:ascii="Arial" w:eastAsia="Arial" w:hAnsi="Arial" w:cs="Arial"/>
          <w:color w:val="000000"/>
          <w:sz w:val="24"/>
          <w:szCs w:val="24"/>
        </w:rPr>
        <w:t xml:space="preserve"> Digital Twin Hubs are progressively supporting the integration of AI and IoT into pharmaceutical systems, as seen in Figure 1.</w:t>
      </w:r>
    </w:p>
    <w:p w14:paraId="102780DB" w14:textId="77777777" w:rsidR="009D11F7" w:rsidRDefault="001E69B8">
      <w:pPr>
        <w:pBdr>
          <w:top w:val="nil"/>
          <w:left w:val="nil"/>
          <w:bottom w:val="nil"/>
          <w:right w:val="nil"/>
          <w:between w:val="nil"/>
        </w:pBdr>
        <w:spacing w:before="247" w:line="268" w:lineRule="auto"/>
        <w:ind w:left="160" w:right="267" w:hanging="10"/>
        <w:rPr>
          <w:rFonts w:ascii="Arial" w:eastAsia="Arial" w:hAnsi="Arial" w:cs="Arial"/>
          <w:color w:val="000000"/>
          <w:sz w:val="24"/>
          <w:szCs w:val="24"/>
        </w:rPr>
        <w:sectPr w:rsidR="009D11F7">
          <w:pgSz w:w="11920" w:h="16840"/>
          <w:pgMar w:top="1380" w:right="1275" w:bottom="280" w:left="1275" w:header="720" w:footer="720" w:gutter="0"/>
          <w:cols w:space="720"/>
        </w:sectPr>
      </w:pPr>
      <w:r>
        <w:rPr>
          <w:rFonts w:ascii="Arial" w:eastAsia="Arial" w:hAnsi="Arial" w:cs="Arial"/>
          <w:color w:val="000000"/>
          <w:sz w:val="24"/>
          <w:szCs w:val="24"/>
        </w:rPr>
        <w:t>The following graphic demonstrates how Artificial Intelligence (AI), the Internet of Things (IoT), and the Digital Twin Hub are integrated to streamline the medication lifecycle—from discovery to delivery—in order to highlight the interrelated elements of digital twin technology in the pharmaceutical industry.</w:t>
      </w:r>
    </w:p>
    <w:p w14:paraId="568700B0" w14:textId="77777777" w:rsidR="009D11F7" w:rsidRDefault="001E69B8">
      <w:pPr>
        <w:pBdr>
          <w:top w:val="nil"/>
          <w:left w:val="nil"/>
          <w:bottom w:val="nil"/>
          <w:right w:val="nil"/>
          <w:between w:val="nil"/>
        </w:pBdr>
        <w:ind w:left="195"/>
        <w:rPr>
          <w:rFonts w:ascii="Arial" w:eastAsia="Arial" w:hAnsi="Arial" w:cs="Arial"/>
          <w:color w:val="000000"/>
          <w:sz w:val="20"/>
          <w:szCs w:val="20"/>
        </w:rPr>
      </w:pPr>
      <w:r>
        <w:rPr>
          <w:rFonts w:ascii="Arial" w:eastAsia="Arial" w:hAnsi="Arial" w:cs="Arial"/>
          <w:noProof/>
          <w:color w:val="000000"/>
          <w:sz w:val="20"/>
          <w:szCs w:val="20"/>
        </w:rPr>
        <w:lastRenderedPageBreak/>
        <w:drawing>
          <wp:inline distT="0" distB="0" distL="0" distR="0" wp14:anchorId="7F17976D" wp14:editId="47191A9F">
            <wp:extent cx="4658218" cy="3678269"/>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4658218" cy="3678269"/>
                    </a:xfrm>
                    <a:prstGeom prst="rect">
                      <a:avLst/>
                    </a:prstGeom>
                    <a:ln/>
                  </pic:spPr>
                </pic:pic>
              </a:graphicData>
            </a:graphic>
          </wp:inline>
        </w:drawing>
      </w:r>
    </w:p>
    <w:p w14:paraId="14324372" w14:textId="77777777" w:rsidR="009D11F7" w:rsidRDefault="009D11F7">
      <w:pPr>
        <w:pBdr>
          <w:top w:val="nil"/>
          <w:left w:val="nil"/>
          <w:bottom w:val="nil"/>
          <w:right w:val="nil"/>
          <w:between w:val="nil"/>
        </w:pBdr>
        <w:spacing w:before="160"/>
        <w:rPr>
          <w:rFonts w:ascii="Arial" w:eastAsia="Arial" w:hAnsi="Arial" w:cs="Arial"/>
          <w:color w:val="000000"/>
        </w:rPr>
      </w:pPr>
    </w:p>
    <w:p w14:paraId="67522848" w14:textId="77777777" w:rsidR="009D11F7" w:rsidRDefault="001E69B8">
      <w:pPr>
        <w:ind w:left="150"/>
        <w:rPr>
          <w:rFonts w:ascii="Arial" w:eastAsia="Arial" w:hAnsi="Arial" w:cs="Arial"/>
          <w:b/>
        </w:rPr>
      </w:pPr>
      <w:r>
        <w:rPr>
          <w:rFonts w:ascii="Arial" w:eastAsia="Arial" w:hAnsi="Arial" w:cs="Arial"/>
          <w:b/>
        </w:rPr>
        <w:t>Figure 1. Digital Twin Hub Integration in the Pharmaceutical Industry</w:t>
      </w:r>
    </w:p>
    <w:p w14:paraId="55E03104" w14:textId="77777777" w:rsidR="009D11F7" w:rsidRDefault="009D11F7">
      <w:pPr>
        <w:pBdr>
          <w:top w:val="nil"/>
          <w:left w:val="nil"/>
          <w:bottom w:val="nil"/>
          <w:right w:val="nil"/>
          <w:between w:val="nil"/>
        </w:pBdr>
        <w:spacing w:before="40"/>
        <w:rPr>
          <w:rFonts w:ascii="Arial" w:eastAsia="Arial" w:hAnsi="Arial" w:cs="Arial"/>
          <w:b/>
          <w:color w:val="000000"/>
        </w:rPr>
      </w:pPr>
    </w:p>
    <w:p w14:paraId="14C53EA6" w14:textId="77777777" w:rsidR="009D11F7" w:rsidRDefault="001E69B8">
      <w:pPr>
        <w:pBdr>
          <w:top w:val="nil"/>
          <w:left w:val="nil"/>
          <w:bottom w:val="nil"/>
          <w:right w:val="nil"/>
          <w:between w:val="nil"/>
        </w:pBdr>
        <w:spacing w:line="268" w:lineRule="auto"/>
        <w:ind w:left="160" w:right="304" w:hanging="10"/>
        <w:rPr>
          <w:rFonts w:ascii="Arial" w:eastAsia="Arial" w:hAnsi="Arial" w:cs="Arial"/>
          <w:color w:val="000000"/>
          <w:sz w:val="24"/>
          <w:szCs w:val="24"/>
        </w:rPr>
      </w:pPr>
      <w:r>
        <w:rPr>
          <w:rFonts w:ascii="Arial" w:eastAsia="Arial" w:hAnsi="Arial" w:cs="Arial"/>
          <w:color w:val="000000"/>
          <w:sz w:val="24"/>
          <w:szCs w:val="24"/>
        </w:rPr>
        <w:t>This picture illustrates the primary role of a Digital Twin Hub, which integrates artificial intelligence (AI) and Internet of Things (IoT) technologies to support</w:t>
      </w:r>
    </w:p>
    <w:p w14:paraId="6E0111C3" w14:textId="77777777" w:rsidR="009D11F7" w:rsidRDefault="001E69B8">
      <w:pPr>
        <w:pBdr>
          <w:top w:val="nil"/>
          <w:left w:val="nil"/>
          <w:bottom w:val="nil"/>
          <w:right w:val="nil"/>
          <w:between w:val="nil"/>
        </w:pBdr>
        <w:spacing w:before="2" w:line="268" w:lineRule="auto"/>
        <w:ind w:left="160"/>
        <w:rPr>
          <w:rFonts w:ascii="Arial" w:eastAsia="Arial" w:hAnsi="Arial" w:cs="Arial"/>
          <w:color w:val="000000"/>
          <w:sz w:val="24"/>
          <w:szCs w:val="24"/>
        </w:rPr>
      </w:pPr>
      <w:r>
        <w:rPr>
          <w:rFonts w:ascii="Arial" w:eastAsia="Arial" w:hAnsi="Arial" w:cs="Arial"/>
          <w:color w:val="000000"/>
          <w:sz w:val="24"/>
          <w:szCs w:val="24"/>
        </w:rPr>
        <w:t xml:space="preserve">manufacturing, drug development, supply chain logistics, and </w:t>
      </w:r>
      <w:proofErr w:type="spellStart"/>
      <w:r>
        <w:rPr>
          <w:rFonts w:ascii="Arial" w:eastAsia="Arial" w:hAnsi="Arial" w:cs="Arial"/>
          <w:color w:val="000000"/>
          <w:sz w:val="24"/>
          <w:szCs w:val="24"/>
        </w:rPr>
        <w:t>individualised</w:t>
      </w:r>
      <w:proofErr w:type="spellEnd"/>
      <w:r>
        <w:rPr>
          <w:rFonts w:ascii="Arial" w:eastAsia="Arial" w:hAnsi="Arial" w:cs="Arial"/>
          <w:color w:val="000000"/>
          <w:sz w:val="24"/>
          <w:szCs w:val="24"/>
        </w:rPr>
        <w:t xml:space="preserve"> therapy. Predictive analytics and real-time monitoring improve regulatory compliance while improving sustainability and resource efficiency.</w:t>
      </w:r>
    </w:p>
    <w:p w14:paraId="3A134D2B" w14:textId="77777777" w:rsidR="009D11F7" w:rsidRDefault="001E69B8">
      <w:pPr>
        <w:pBdr>
          <w:top w:val="nil"/>
          <w:left w:val="nil"/>
          <w:bottom w:val="nil"/>
          <w:right w:val="nil"/>
          <w:between w:val="nil"/>
        </w:pBdr>
        <w:spacing w:before="219"/>
        <w:rPr>
          <w:rFonts w:ascii="Arial" w:eastAsia="Arial" w:hAnsi="Arial" w:cs="Arial"/>
          <w:color w:val="000000"/>
          <w:sz w:val="20"/>
          <w:szCs w:val="20"/>
        </w:rPr>
      </w:pPr>
      <w:r>
        <w:rPr>
          <w:noProof/>
        </w:rPr>
        <mc:AlternateContent>
          <mc:Choice Requires="wps">
            <w:drawing>
              <wp:anchor distT="0" distB="0" distL="0" distR="0" simplePos="0" relativeHeight="251657728" behindDoc="0" locked="0" layoutInCell="1" hidden="0" allowOverlap="1" wp14:anchorId="291F2080" wp14:editId="2A2EA711">
                <wp:simplePos x="0" y="0"/>
                <wp:positionH relativeFrom="column">
                  <wp:posOffset>215900</wp:posOffset>
                </wp:positionH>
                <wp:positionV relativeFrom="paragraph">
                  <wp:posOffset>292100</wp:posOffset>
                </wp:positionV>
                <wp:extent cx="1270" cy="12700"/>
                <wp:effectExtent l="0" t="0" r="0" b="0"/>
                <wp:wrapTopAndBottom distT="0" distB="0"/>
                <wp:docPr id="15" name="Freeform: Shape 15"/>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292100</wp:posOffset>
                </wp:positionV>
                <wp:extent cx="1270" cy="12700"/>
                <wp:effectExtent b="0" l="0" r="0" t="0"/>
                <wp:wrapTopAndBottom distB="0" distT="0"/>
                <wp:docPr id="1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118430AF" w14:textId="77777777" w:rsidR="009D11F7" w:rsidRDefault="009D11F7">
      <w:pPr>
        <w:pBdr>
          <w:top w:val="nil"/>
          <w:left w:val="nil"/>
          <w:bottom w:val="nil"/>
          <w:right w:val="nil"/>
          <w:between w:val="nil"/>
        </w:pBdr>
        <w:spacing w:before="88"/>
        <w:rPr>
          <w:rFonts w:ascii="Arial" w:eastAsia="Arial" w:hAnsi="Arial" w:cs="Arial"/>
          <w:color w:val="000000"/>
          <w:sz w:val="24"/>
          <w:szCs w:val="24"/>
        </w:rPr>
      </w:pPr>
    </w:p>
    <w:p w14:paraId="174C56AF" w14:textId="77777777" w:rsidR="009D11F7" w:rsidRDefault="001E69B8">
      <w:pPr>
        <w:pStyle w:val="Heading1"/>
        <w:numPr>
          <w:ilvl w:val="0"/>
          <w:numId w:val="13"/>
        </w:numPr>
        <w:tabs>
          <w:tab w:val="left" w:pos="398"/>
        </w:tabs>
        <w:ind w:left="398" w:hanging="248"/>
      </w:pPr>
      <w:bookmarkStart w:id="6" w:name="bookmark=id.280rbaa6cabt" w:colFirst="0" w:colLast="0"/>
      <w:bookmarkEnd w:id="6"/>
      <w:r>
        <w:t xml:space="preserve"> DISCUSSION</w:t>
      </w:r>
    </w:p>
    <w:p w14:paraId="322A5320" w14:textId="77777777" w:rsidR="006D746F" w:rsidRDefault="006D746F" w:rsidP="006D746F">
      <w:pPr>
        <w:pStyle w:val="Heading1"/>
        <w:tabs>
          <w:tab w:val="left" w:pos="398"/>
        </w:tabs>
        <w:ind w:left="150" w:firstLine="0"/>
      </w:pPr>
    </w:p>
    <w:p w14:paraId="29997144" w14:textId="4BAEC578" w:rsidR="006D746F" w:rsidRPr="007B60AF" w:rsidRDefault="006D746F" w:rsidP="006D746F">
      <w:pPr>
        <w:rPr>
          <w:rFonts w:ascii=".AppleSystemUIFont" w:eastAsia="Times New Roman" w:hAnsi=".AppleSystemUIFont" w:cs="Times New Roman"/>
          <w:color w:val="111111"/>
          <w:sz w:val="30"/>
          <w:szCs w:val="30"/>
        </w:rPr>
      </w:pPr>
      <w:r w:rsidRPr="007B60AF">
        <w:rPr>
          <w:rFonts w:ascii=".AppleSystemUIFont" w:eastAsia="Times New Roman" w:hAnsi=".AppleSystemUIFont" w:cs="Times New Roman"/>
          <w:color w:val="111111"/>
          <w:sz w:val="30"/>
          <w:szCs w:val="30"/>
        </w:rPr>
        <w:t>The adoption of digital twins in pharmaceuticals reflects a broader shift toward predictive, data-driven healthcare. Use cases reported by Pfizer, Merck, and AstraZeneca suggest that digital twins can reduce process variability, accelerate timelines, and enable more responsive production strategies. However, these case studies often originate from corporate press releases or internal documents, limiting reproducibility and external validation.</w:t>
      </w:r>
    </w:p>
    <w:p w14:paraId="7E9B04A8" w14:textId="77777777" w:rsidR="006D746F" w:rsidRPr="007B60AF" w:rsidRDefault="006D746F" w:rsidP="006D746F">
      <w:pPr>
        <w:rPr>
          <w:rFonts w:ascii=".AppleSystemUIFont" w:eastAsia="Times New Roman" w:hAnsi=".AppleSystemUIFont" w:cs="Times New Roman"/>
          <w:color w:val="111111"/>
          <w:sz w:val="30"/>
          <w:szCs w:val="30"/>
        </w:rPr>
      </w:pPr>
    </w:p>
    <w:p w14:paraId="1C0EA1C3" w14:textId="77777777" w:rsidR="006D746F" w:rsidRPr="007B60AF" w:rsidRDefault="006D746F" w:rsidP="006D746F">
      <w:pPr>
        <w:rPr>
          <w:rFonts w:ascii=".AppleSystemUIFont" w:eastAsia="Times New Roman" w:hAnsi=".AppleSystemUIFont" w:cs="Times New Roman"/>
          <w:color w:val="111111"/>
          <w:sz w:val="30"/>
          <w:szCs w:val="30"/>
        </w:rPr>
      </w:pPr>
      <w:r w:rsidRPr="007B60AF">
        <w:rPr>
          <w:rFonts w:ascii=".AppleSystemUIFont" w:eastAsia="Times New Roman" w:hAnsi=".AppleSystemUIFont" w:cs="Times New Roman"/>
          <w:color w:val="111111"/>
          <w:sz w:val="30"/>
          <w:szCs w:val="30"/>
        </w:rPr>
        <w:t xml:space="preserve">More rigorous, peer-reviewed evidence is needed to establish clear standards for modeling accuracy, validation frameworks, and integration into existing regulatory pathways. While digital twins show immense promise in early-stage drug design and biomanufacturing control, their role in patient-level decision support (e.g., precision medicine) remains </w:t>
      </w:r>
      <w:r w:rsidRPr="007B60AF">
        <w:rPr>
          <w:rFonts w:ascii=".AppleSystemUIFont" w:eastAsia="Times New Roman" w:hAnsi=".AppleSystemUIFont" w:cs="Times New Roman"/>
          <w:color w:val="111111"/>
          <w:sz w:val="30"/>
          <w:szCs w:val="30"/>
        </w:rPr>
        <w:lastRenderedPageBreak/>
        <w:t>underdeveloped.</w:t>
      </w:r>
    </w:p>
    <w:p w14:paraId="78606BB6" w14:textId="77777777" w:rsidR="006D746F" w:rsidRPr="007B60AF" w:rsidRDefault="006D746F" w:rsidP="006D746F">
      <w:pPr>
        <w:rPr>
          <w:rFonts w:ascii=".AppleSystemUIFont" w:eastAsia="Times New Roman" w:hAnsi=".AppleSystemUIFont" w:cs="Times New Roman"/>
          <w:color w:val="111111"/>
          <w:sz w:val="30"/>
          <w:szCs w:val="30"/>
        </w:rPr>
      </w:pPr>
    </w:p>
    <w:p w14:paraId="261115F6" w14:textId="77777777" w:rsidR="006D746F" w:rsidRPr="007B60AF" w:rsidRDefault="006D746F" w:rsidP="006D746F">
      <w:pPr>
        <w:rPr>
          <w:rFonts w:ascii=".AppleSystemUIFont" w:eastAsia="Times New Roman" w:hAnsi=".AppleSystemUIFont" w:cs="Times New Roman"/>
          <w:color w:val="111111"/>
          <w:sz w:val="30"/>
          <w:szCs w:val="30"/>
        </w:rPr>
      </w:pPr>
      <w:r w:rsidRPr="007B60AF">
        <w:rPr>
          <w:rFonts w:ascii=".AppleSystemUIFont" w:eastAsia="Times New Roman" w:hAnsi=".AppleSystemUIFont" w:cs="Times New Roman"/>
          <w:color w:val="111111"/>
          <w:sz w:val="30"/>
          <w:szCs w:val="30"/>
        </w:rPr>
        <w:t>Key limitations include data interoperability, lack of unified ontologies, real-time data quality issues, and computational cost. Ethical challenges, such as algorithmic bias and transparency, are also underexplored in current literature.</w:t>
      </w:r>
    </w:p>
    <w:p w14:paraId="2BFB979E" w14:textId="2DFFBD50" w:rsidR="009D11F7" w:rsidRDefault="009D11F7">
      <w:pPr>
        <w:pBdr>
          <w:top w:val="nil"/>
          <w:left w:val="nil"/>
          <w:bottom w:val="nil"/>
          <w:right w:val="nil"/>
          <w:between w:val="nil"/>
        </w:pBdr>
        <w:spacing w:before="252" w:line="266" w:lineRule="auto"/>
        <w:ind w:left="160" w:right="139" w:hanging="10"/>
        <w:rPr>
          <w:rFonts w:ascii="Arial" w:eastAsia="Arial" w:hAnsi="Arial" w:cs="Arial"/>
          <w:color w:val="000000"/>
          <w:sz w:val="24"/>
          <w:szCs w:val="24"/>
        </w:rPr>
      </w:pPr>
    </w:p>
    <w:p w14:paraId="6DF455A6" w14:textId="77777777" w:rsidR="009D11F7" w:rsidRDefault="009D11F7">
      <w:pPr>
        <w:pBdr>
          <w:top w:val="nil"/>
          <w:left w:val="nil"/>
          <w:bottom w:val="nil"/>
          <w:right w:val="nil"/>
          <w:between w:val="nil"/>
        </w:pBdr>
        <w:rPr>
          <w:rFonts w:ascii="Arial" w:eastAsia="Arial" w:hAnsi="Arial" w:cs="Arial"/>
          <w:color w:val="000000"/>
          <w:sz w:val="20"/>
          <w:szCs w:val="20"/>
        </w:rPr>
      </w:pPr>
    </w:p>
    <w:p w14:paraId="5186A58F" w14:textId="77777777" w:rsidR="009D11F7" w:rsidRDefault="001E69B8">
      <w:pPr>
        <w:pBdr>
          <w:top w:val="nil"/>
          <w:left w:val="nil"/>
          <w:bottom w:val="nil"/>
          <w:right w:val="nil"/>
          <w:between w:val="nil"/>
        </w:pBdr>
        <w:spacing w:before="15"/>
        <w:rPr>
          <w:rFonts w:ascii="Arial" w:eastAsia="Arial" w:hAnsi="Arial" w:cs="Arial"/>
          <w:color w:val="000000"/>
          <w:sz w:val="20"/>
          <w:szCs w:val="20"/>
        </w:rPr>
      </w:pPr>
      <w:r>
        <w:rPr>
          <w:noProof/>
        </w:rPr>
        <mc:AlternateContent>
          <mc:Choice Requires="wps">
            <w:drawing>
              <wp:anchor distT="0" distB="0" distL="0" distR="0" simplePos="0" relativeHeight="251658752" behindDoc="0" locked="0" layoutInCell="1" hidden="0" allowOverlap="1" wp14:anchorId="5ACC0579" wp14:editId="5FFAEC0A">
                <wp:simplePos x="0" y="0"/>
                <wp:positionH relativeFrom="column">
                  <wp:posOffset>215900</wp:posOffset>
                </wp:positionH>
                <wp:positionV relativeFrom="paragraph">
                  <wp:posOffset>152400</wp:posOffset>
                </wp:positionV>
                <wp:extent cx="1270" cy="12700"/>
                <wp:effectExtent l="0" t="0" r="0" b="0"/>
                <wp:wrapTopAndBottom distT="0" distB="0"/>
                <wp:docPr id="21" name="Freeform: Shape 21"/>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152400</wp:posOffset>
                </wp:positionV>
                <wp:extent cx="1270" cy="12700"/>
                <wp:effectExtent b="0" l="0" r="0" t="0"/>
                <wp:wrapTopAndBottom distB="0" distT="0"/>
                <wp:docPr id="2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358A3A23" w14:textId="77777777" w:rsidR="009D11F7" w:rsidRDefault="009D11F7">
      <w:pPr>
        <w:pBdr>
          <w:top w:val="nil"/>
          <w:left w:val="nil"/>
          <w:bottom w:val="nil"/>
          <w:right w:val="nil"/>
          <w:between w:val="nil"/>
        </w:pBdr>
        <w:spacing w:before="90"/>
        <w:rPr>
          <w:rFonts w:ascii="Arial" w:eastAsia="Arial" w:hAnsi="Arial" w:cs="Arial"/>
          <w:color w:val="000000"/>
          <w:sz w:val="24"/>
          <w:szCs w:val="24"/>
        </w:rPr>
      </w:pPr>
    </w:p>
    <w:p w14:paraId="2354308F" w14:textId="77777777" w:rsidR="00D4192A" w:rsidRPr="00AA6643" w:rsidRDefault="00D4192A" w:rsidP="00D4192A">
      <w:pPr>
        <w:rPr>
          <w:b/>
          <w:bCs/>
          <w:sz w:val="40"/>
          <w:szCs w:val="40"/>
          <w:u w:val="single"/>
        </w:rPr>
      </w:pPr>
      <w:bookmarkStart w:id="7" w:name="bookmark=id.uc1w6xlxa4gq" w:colFirst="0" w:colLast="0"/>
      <w:bookmarkEnd w:id="7"/>
      <w:r w:rsidRPr="00AA6643">
        <w:rPr>
          <w:b/>
          <w:bCs/>
          <w:sz w:val="40"/>
          <w:szCs w:val="40"/>
          <w:u w:val="single"/>
        </w:rPr>
        <w:t>Conclusion and Future Directions:</w:t>
      </w:r>
    </w:p>
    <w:p w14:paraId="6FD7A79A" w14:textId="77777777" w:rsidR="00D4192A" w:rsidRPr="00770ECC" w:rsidRDefault="00D4192A" w:rsidP="00D4192A">
      <w:pPr>
        <w:rPr>
          <w:rFonts w:ascii=".AppleSystemUIFont" w:eastAsia="Times New Roman" w:hAnsi=".AppleSystemUIFont" w:cs="Times New Roman"/>
          <w:color w:val="111111"/>
          <w:sz w:val="30"/>
          <w:szCs w:val="30"/>
        </w:rPr>
      </w:pPr>
      <w:r w:rsidRPr="00770ECC">
        <w:rPr>
          <w:rFonts w:ascii=".AppleSystemUIFont" w:eastAsia="Times New Roman" w:hAnsi=".AppleSystemUIFont" w:cs="Times New Roman"/>
          <w:color w:val="111111"/>
          <w:sz w:val="30"/>
          <w:szCs w:val="30"/>
        </w:rPr>
        <w:t>Digital twin technology has the potential to transform pharmaceutical development and delivery, with benefits ranging from streamlined manufacturing to individualized therapy design. However, much of the current enthusiasm is driven by proof-of-concept demonstrations, rather than large-scale, validated clinical implementations.</w:t>
      </w:r>
    </w:p>
    <w:p w14:paraId="3F45ADFD" w14:textId="77777777" w:rsidR="00D4192A" w:rsidRPr="00770ECC" w:rsidRDefault="00D4192A" w:rsidP="00D4192A">
      <w:pPr>
        <w:rPr>
          <w:rFonts w:ascii=".AppleSystemUIFont" w:eastAsia="Times New Roman" w:hAnsi=".AppleSystemUIFont" w:cs="Times New Roman"/>
          <w:color w:val="111111"/>
          <w:sz w:val="30"/>
          <w:szCs w:val="30"/>
        </w:rPr>
      </w:pPr>
    </w:p>
    <w:p w14:paraId="6F30A43D" w14:textId="77777777" w:rsidR="00D4192A" w:rsidRPr="00770ECC" w:rsidRDefault="00D4192A" w:rsidP="00D4192A">
      <w:pPr>
        <w:rPr>
          <w:rFonts w:ascii=".AppleSystemUIFont" w:eastAsia="Times New Roman" w:hAnsi=".AppleSystemUIFont" w:cs="Times New Roman"/>
          <w:color w:val="111111"/>
          <w:sz w:val="30"/>
          <w:szCs w:val="30"/>
        </w:rPr>
      </w:pPr>
      <w:r w:rsidRPr="00770ECC">
        <w:rPr>
          <w:rFonts w:ascii=".AppleSystemUIFont" w:eastAsia="Times New Roman" w:hAnsi=".AppleSystemUIFont" w:cs="Times New Roman"/>
          <w:color w:val="111111"/>
          <w:sz w:val="30"/>
          <w:szCs w:val="30"/>
        </w:rPr>
        <w:t>Moving forward, research must focus on improving model transparency, standardizing validation methods, and addressing regulatory ambiguity. Cross-sector collaboration—between academia, regulators, and industry—will be crucial to realizing digital twins’ full potential.</w:t>
      </w:r>
    </w:p>
    <w:p w14:paraId="3819B67D" w14:textId="77777777" w:rsidR="00D4192A" w:rsidRPr="00770ECC" w:rsidRDefault="00D4192A" w:rsidP="00D4192A">
      <w:pPr>
        <w:rPr>
          <w:rFonts w:ascii=".AppleSystemUIFont" w:eastAsia="Times New Roman" w:hAnsi=".AppleSystemUIFont" w:cs="Times New Roman"/>
          <w:color w:val="111111"/>
          <w:sz w:val="30"/>
          <w:szCs w:val="30"/>
        </w:rPr>
      </w:pPr>
    </w:p>
    <w:p w14:paraId="1D3B6A48" w14:textId="4D7ABCD7" w:rsidR="009D11F7" w:rsidRDefault="00D4192A" w:rsidP="00D4192A">
      <w:pPr>
        <w:pBdr>
          <w:top w:val="nil"/>
          <w:left w:val="nil"/>
          <w:bottom w:val="nil"/>
          <w:right w:val="nil"/>
          <w:between w:val="nil"/>
        </w:pBdr>
        <w:spacing w:before="221"/>
        <w:rPr>
          <w:rFonts w:ascii="Arial" w:eastAsia="Arial" w:hAnsi="Arial" w:cs="Arial"/>
          <w:color w:val="000000"/>
          <w:sz w:val="20"/>
          <w:szCs w:val="20"/>
        </w:rPr>
      </w:pPr>
      <w:r w:rsidRPr="00770ECC">
        <w:rPr>
          <w:rFonts w:ascii=".AppleSystemUIFont" w:eastAsia="Times New Roman" w:hAnsi=".AppleSystemUIFont" w:cs="Times New Roman"/>
          <w:color w:val="111111"/>
          <w:sz w:val="30"/>
          <w:szCs w:val="30"/>
        </w:rPr>
        <w:t>Future studies should explore real-world effectiveness, cost-benefit profiles, and ethical considerations of patient-specific digital twin systems to ensure safe and equitable deployment across the pharmaceutical landscape.</w:t>
      </w:r>
      <w:r w:rsidR="001E69B8">
        <w:rPr>
          <w:noProof/>
        </w:rPr>
        <mc:AlternateContent>
          <mc:Choice Requires="wps">
            <w:drawing>
              <wp:anchor distT="0" distB="0" distL="0" distR="0" simplePos="0" relativeHeight="251659776" behindDoc="0" locked="0" layoutInCell="1" hidden="0" allowOverlap="1" wp14:anchorId="383E29DA" wp14:editId="43D87174">
                <wp:simplePos x="0" y="0"/>
                <wp:positionH relativeFrom="column">
                  <wp:posOffset>215900</wp:posOffset>
                </wp:positionH>
                <wp:positionV relativeFrom="paragraph">
                  <wp:posOffset>292100</wp:posOffset>
                </wp:positionV>
                <wp:extent cx="1270" cy="12700"/>
                <wp:effectExtent l="0" t="0" r="0" b="0"/>
                <wp:wrapTopAndBottom distT="0" distB="0"/>
                <wp:docPr id="20" name="Freeform: Shape 20"/>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292100</wp:posOffset>
                </wp:positionV>
                <wp:extent cx="1270" cy="12700"/>
                <wp:effectExtent b="0" l="0" r="0" t="0"/>
                <wp:wrapTopAndBottom distB="0" distT="0"/>
                <wp:docPr id="2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0B6902C8" w14:textId="77777777" w:rsidR="009D11F7" w:rsidRDefault="009D11F7">
      <w:pPr>
        <w:pBdr>
          <w:top w:val="nil"/>
          <w:left w:val="nil"/>
          <w:bottom w:val="nil"/>
          <w:right w:val="nil"/>
          <w:between w:val="nil"/>
        </w:pBdr>
        <w:spacing w:before="18"/>
        <w:rPr>
          <w:rFonts w:ascii="Arial" w:eastAsia="Arial" w:hAnsi="Arial" w:cs="Arial"/>
          <w:color w:val="000000"/>
          <w:sz w:val="24"/>
          <w:szCs w:val="24"/>
        </w:rPr>
      </w:pPr>
    </w:p>
    <w:p w14:paraId="569C7617" w14:textId="77777777" w:rsidR="009D11F7" w:rsidRDefault="001E69B8">
      <w:pPr>
        <w:ind w:left="150"/>
        <w:rPr>
          <w:rFonts w:ascii="Arial" w:eastAsia="Arial" w:hAnsi="Arial" w:cs="Arial"/>
          <w:b/>
        </w:rPr>
      </w:pPr>
      <w:r>
        <w:rPr>
          <w:rFonts w:ascii="Arial" w:eastAsia="Arial" w:hAnsi="Arial" w:cs="Arial"/>
          <w:b/>
        </w:rPr>
        <w:t>Table 1. Key Applications of Digital Twins in the Pharmaceutical Industry</w:t>
      </w:r>
    </w:p>
    <w:p w14:paraId="4B6B3C7A" w14:textId="77777777" w:rsidR="009D11F7" w:rsidRDefault="009D11F7">
      <w:pPr>
        <w:pBdr>
          <w:top w:val="nil"/>
          <w:left w:val="nil"/>
          <w:bottom w:val="nil"/>
          <w:right w:val="nil"/>
          <w:between w:val="nil"/>
        </w:pBdr>
        <w:spacing w:before="41"/>
        <w:rPr>
          <w:rFonts w:ascii="Arial" w:eastAsia="Arial" w:hAnsi="Arial" w:cs="Arial"/>
          <w:b/>
          <w:color w:val="000000"/>
        </w:rPr>
      </w:pPr>
    </w:p>
    <w:p w14:paraId="6BFBF247" w14:textId="77777777" w:rsidR="009D11F7" w:rsidRDefault="001E69B8">
      <w:pPr>
        <w:pBdr>
          <w:top w:val="nil"/>
          <w:left w:val="nil"/>
          <w:bottom w:val="nil"/>
          <w:right w:val="nil"/>
          <w:between w:val="nil"/>
        </w:pBdr>
        <w:spacing w:after="8"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t>-Digital twins are being incorporated into the pharmaceutical sector more and more, from clinical trials to production. The main application areas, illustrative use cases, and related advantages are compiled in the table below.</w:t>
      </w:r>
    </w:p>
    <w:tbl>
      <w:tblPr>
        <w:tblStyle w:val="a"/>
        <w:tblW w:w="9027"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22"/>
        <w:gridCol w:w="3182"/>
        <w:gridCol w:w="3023"/>
      </w:tblGrid>
      <w:tr w:rsidR="009D11F7" w14:paraId="025DC773" w14:textId="77777777">
        <w:trPr>
          <w:trHeight w:val="655"/>
        </w:trPr>
        <w:tc>
          <w:tcPr>
            <w:tcW w:w="2822" w:type="dxa"/>
          </w:tcPr>
          <w:p w14:paraId="3B8A8574" w14:textId="77777777" w:rsidR="009D11F7" w:rsidRDefault="009D11F7">
            <w:pPr>
              <w:pBdr>
                <w:top w:val="nil"/>
                <w:left w:val="nil"/>
                <w:bottom w:val="nil"/>
                <w:right w:val="nil"/>
                <w:between w:val="nil"/>
              </w:pBdr>
              <w:spacing w:before="20"/>
              <w:rPr>
                <w:rFonts w:ascii="Arial" w:eastAsia="Arial" w:hAnsi="Arial" w:cs="Arial"/>
                <w:color w:val="000000"/>
              </w:rPr>
            </w:pPr>
          </w:p>
          <w:p w14:paraId="4C2E9020" w14:textId="77777777" w:rsidR="009D11F7" w:rsidRDefault="001E69B8">
            <w:pPr>
              <w:pBdr>
                <w:top w:val="nil"/>
                <w:left w:val="nil"/>
                <w:bottom w:val="nil"/>
                <w:right w:val="nil"/>
                <w:between w:val="nil"/>
              </w:pBdr>
              <w:ind w:left="95"/>
              <w:rPr>
                <w:rFonts w:ascii="Arial" w:eastAsia="Arial" w:hAnsi="Arial" w:cs="Arial"/>
                <w:color w:val="000000"/>
              </w:rPr>
            </w:pPr>
            <w:r>
              <w:rPr>
                <w:rFonts w:ascii="Arial" w:eastAsia="Arial" w:hAnsi="Arial" w:cs="Arial"/>
                <w:color w:val="000000"/>
              </w:rPr>
              <w:t>Application area</w:t>
            </w:r>
          </w:p>
        </w:tc>
        <w:tc>
          <w:tcPr>
            <w:tcW w:w="3182" w:type="dxa"/>
          </w:tcPr>
          <w:p w14:paraId="315C056D" w14:textId="77777777" w:rsidR="009D11F7" w:rsidRDefault="009D11F7">
            <w:pPr>
              <w:pBdr>
                <w:top w:val="nil"/>
                <w:left w:val="nil"/>
                <w:bottom w:val="nil"/>
                <w:right w:val="nil"/>
                <w:between w:val="nil"/>
              </w:pBdr>
              <w:spacing w:before="20"/>
              <w:rPr>
                <w:rFonts w:ascii="Arial" w:eastAsia="Arial" w:hAnsi="Arial" w:cs="Arial"/>
                <w:color w:val="000000"/>
              </w:rPr>
            </w:pPr>
          </w:p>
          <w:p w14:paraId="3248EC5B" w14:textId="77777777" w:rsidR="009D11F7" w:rsidRDefault="001E69B8">
            <w:pPr>
              <w:pBdr>
                <w:top w:val="nil"/>
                <w:left w:val="nil"/>
                <w:bottom w:val="nil"/>
                <w:right w:val="nil"/>
                <w:between w:val="nil"/>
              </w:pBdr>
              <w:ind w:left="94"/>
              <w:rPr>
                <w:rFonts w:ascii="Arial" w:eastAsia="Arial" w:hAnsi="Arial" w:cs="Arial"/>
                <w:color w:val="000000"/>
              </w:rPr>
            </w:pPr>
            <w:r>
              <w:rPr>
                <w:rFonts w:ascii="Arial" w:eastAsia="Arial" w:hAnsi="Arial" w:cs="Arial"/>
                <w:color w:val="000000"/>
              </w:rPr>
              <w:t>Use Case Example</w:t>
            </w:r>
          </w:p>
        </w:tc>
        <w:tc>
          <w:tcPr>
            <w:tcW w:w="3023" w:type="dxa"/>
          </w:tcPr>
          <w:p w14:paraId="32A03D05" w14:textId="77777777" w:rsidR="009D11F7" w:rsidRDefault="009D11F7">
            <w:pPr>
              <w:pBdr>
                <w:top w:val="nil"/>
                <w:left w:val="nil"/>
                <w:bottom w:val="nil"/>
                <w:right w:val="nil"/>
                <w:between w:val="nil"/>
              </w:pBdr>
              <w:spacing w:before="20"/>
              <w:rPr>
                <w:rFonts w:ascii="Arial" w:eastAsia="Arial" w:hAnsi="Arial" w:cs="Arial"/>
                <w:color w:val="000000"/>
              </w:rPr>
            </w:pPr>
          </w:p>
          <w:p w14:paraId="4851BA1D" w14:textId="77777777" w:rsidR="009D11F7" w:rsidRDefault="001E69B8">
            <w:pPr>
              <w:pBdr>
                <w:top w:val="nil"/>
                <w:left w:val="nil"/>
                <w:bottom w:val="nil"/>
                <w:right w:val="nil"/>
                <w:between w:val="nil"/>
              </w:pBdr>
              <w:ind w:left="93"/>
              <w:rPr>
                <w:rFonts w:ascii="Arial" w:eastAsia="Arial" w:hAnsi="Arial" w:cs="Arial"/>
                <w:color w:val="000000"/>
              </w:rPr>
            </w:pPr>
            <w:r>
              <w:rPr>
                <w:rFonts w:ascii="Arial" w:eastAsia="Arial" w:hAnsi="Arial" w:cs="Arial"/>
                <w:color w:val="000000"/>
              </w:rPr>
              <w:t>Primary Benefit</w:t>
            </w:r>
          </w:p>
        </w:tc>
      </w:tr>
      <w:tr w:rsidR="009D11F7" w14:paraId="47402A34" w14:textId="77777777">
        <w:trPr>
          <w:trHeight w:val="895"/>
        </w:trPr>
        <w:tc>
          <w:tcPr>
            <w:tcW w:w="2822" w:type="dxa"/>
          </w:tcPr>
          <w:p w14:paraId="62B9433E" w14:textId="77777777" w:rsidR="009D11F7" w:rsidRDefault="001E69B8">
            <w:pPr>
              <w:pBdr>
                <w:top w:val="nil"/>
                <w:left w:val="nil"/>
                <w:bottom w:val="nil"/>
                <w:right w:val="nil"/>
                <w:between w:val="nil"/>
              </w:pBdr>
              <w:spacing w:before="159"/>
              <w:ind w:left="95"/>
              <w:rPr>
                <w:rFonts w:ascii="Arial" w:eastAsia="Arial" w:hAnsi="Arial" w:cs="Arial"/>
                <w:color w:val="000000"/>
              </w:rPr>
            </w:pPr>
            <w:r>
              <w:rPr>
                <w:rFonts w:ascii="Arial" w:eastAsia="Arial" w:hAnsi="Arial" w:cs="Arial"/>
                <w:color w:val="000000"/>
              </w:rPr>
              <w:t>Manufacturing</w:t>
            </w:r>
          </w:p>
        </w:tc>
        <w:tc>
          <w:tcPr>
            <w:tcW w:w="3182" w:type="dxa"/>
          </w:tcPr>
          <w:p w14:paraId="785591C4" w14:textId="77777777" w:rsidR="009D11F7" w:rsidRDefault="009D11F7">
            <w:pPr>
              <w:pBdr>
                <w:top w:val="nil"/>
                <w:left w:val="nil"/>
                <w:bottom w:val="nil"/>
                <w:right w:val="nil"/>
                <w:between w:val="nil"/>
              </w:pBdr>
              <w:spacing w:before="6"/>
              <w:rPr>
                <w:rFonts w:ascii="Arial" w:eastAsia="Arial" w:hAnsi="Arial" w:cs="Arial"/>
                <w:color w:val="000000"/>
              </w:rPr>
            </w:pPr>
          </w:p>
          <w:p w14:paraId="05C600CC" w14:textId="77777777" w:rsidR="009D11F7" w:rsidRDefault="001E69B8">
            <w:pPr>
              <w:pBdr>
                <w:top w:val="nil"/>
                <w:left w:val="nil"/>
                <w:bottom w:val="nil"/>
                <w:right w:val="nil"/>
                <w:between w:val="nil"/>
              </w:pBdr>
              <w:spacing w:line="256" w:lineRule="auto"/>
              <w:ind w:left="94"/>
              <w:rPr>
                <w:rFonts w:ascii="Arial" w:eastAsia="Arial" w:hAnsi="Arial" w:cs="Arial"/>
                <w:color w:val="000000"/>
              </w:rPr>
            </w:pPr>
            <w:r>
              <w:rPr>
                <w:rFonts w:ascii="Arial" w:eastAsia="Arial" w:hAnsi="Arial" w:cs="Arial"/>
                <w:color w:val="000000"/>
              </w:rPr>
              <w:t>Monitoring and simulating production lines</w:t>
            </w:r>
          </w:p>
        </w:tc>
        <w:tc>
          <w:tcPr>
            <w:tcW w:w="3023" w:type="dxa"/>
          </w:tcPr>
          <w:p w14:paraId="18193780" w14:textId="77777777" w:rsidR="009D11F7" w:rsidRDefault="009D11F7">
            <w:pPr>
              <w:pBdr>
                <w:top w:val="nil"/>
                <w:left w:val="nil"/>
                <w:bottom w:val="nil"/>
                <w:right w:val="nil"/>
                <w:between w:val="nil"/>
              </w:pBdr>
              <w:spacing w:before="6"/>
              <w:rPr>
                <w:rFonts w:ascii="Arial" w:eastAsia="Arial" w:hAnsi="Arial" w:cs="Arial"/>
                <w:color w:val="000000"/>
              </w:rPr>
            </w:pPr>
          </w:p>
          <w:p w14:paraId="1A72F57B" w14:textId="77777777" w:rsidR="009D11F7" w:rsidRDefault="001E69B8">
            <w:pPr>
              <w:pBdr>
                <w:top w:val="nil"/>
                <w:left w:val="nil"/>
                <w:bottom w:val="nil"/>
                <w:right w:val="nil"/>
                <w:between w:val="nil"/>
              </w:pBdr>
              <w:spacing w:line="256" w:lineRule="auto"/>
              <w:ind w:left="93"/>
              <w:rPr>
                <w:rFonts w:ascii="Arial" w:eastAsia="Arial" w:hAnsi="Arial" w:cs="Arial"/>
                <w:color w:val="000000"/>
              </w:rPr>
            </w:pPr>
            <w:r>
              <w:rPr>
                <w:rFonts w:ascii="Arial" w:eastAsia="Arial" w:hAnsi="Arial" w:cs="Arial"/>
                <w:color w:val="000000"/>
              </w:rPr>
              <w:t xml:space="preserve">Reduced </w:t>
            </w:r>
            <w:proofErr w:type="spellStart"/>
            <w:r>
              <w:rPr>
                <w:rFonts w:ascii="Arial" w:eastAsia="Arial" w:hAnsi="Arial" w:cs="Arial"/>
                <w:color w:val="000000"/>
              </w:rPr>
              <w:t>doenime</w:t>
            </w:r>
            <w:proofErr w:type="spellEnd"/>
            <w:r>
              <w:rPr>
                <w:rFonts w:ascii="Arial" w:eastAsia="Arial" w:hAnsi="Arial" w:cs="Arial"/>
                <w:color w:val="000000"/>
              </w:rPr>
              <w:t>, improved quality control</w:t>
            </w:r>
          </w:p>
        </w:tc>
      </w:tr>
      <w:tr w:rsidR="009D11F7" w14:paraId="5A8596DB" w14:textId="77777777">
        <w:trPr>
          <w:trHeight w:val="875"/>
        </w:trPr>
        <w:tc>
          <w:tcPr>
            <w:tcW w:w="2822" w:type="dxa"/>
          </w:tcPr>
          <w:p w14:paraId="039FE16A" w14:textId="77777777" w:rsidR="009D11F7" w:rsidRDefault="001E69B8">
            <w:pPr>
              <w:pBdr>
                <w:top w:val="nil"/>
                <w:left w:val="nil"/>
                <w:bottom w:val="nil"/>
                <w:right w:val="nil"/>
                <w:between w:val="nil"/>
              </w:pBdr>
              <w:spacing w:before="158"/>
              <w:ind w:left="95"/>
              <w:rPr>
                <w:rFonts w:ascii="Arial" w:eastAsia="Arial" w:hAnsi="Arial" w:cs="Arial"/>
                <w:color w:val="000000"/>
              </w:rPr>
            </w:pPr>
            <w:r>
              <w:rPr>
                <w:rFonts w:ascii="Arial" w:eastAsia="Arial" w:hAnsi="Arial" w:cs="Arial"/>
                <w:color w:val="000000"/>
              </w:rPr>
              <w:t xml:space="preserve">Drug </w:t>
            </w:r>
            <w:proofErr w:type="spellStart"/>
            <w:r>
              <w:rPr>
                <w:rFonts w:ascii="Arial" w:eastAsia="Arial" w:hAnsi="Arial" w:cs="Arial"/>
                <w:color w:val="000000"/>
              </w:rPr>
              <w:t>Develoment</w:t>
            </w:r>
            <w:proofErr w:type="spellEnd"/>
          </w:p>
        </w:tc>
        <w:tc>
          <w:tcPr>
            <w:tcW w:w="3182" w:type="dxa"/>
          </w:tcPr>
          <w:p w14:paraId="27974ECA" w14:textId="77777777" w:rsidR="009D11F7" w:rsidRDefault="001E69B8">
            <w:pPr>
              <w:pBdr>
                <w:top w:val="nil"/>
                <w:left w:val="nil"/>
                <w:bottom w:val="nil"/>
                <w:right w:val="nil"/>
                <w:between w:val="nil"/>
              </w:pBdr>
              <w:spacing w:before="248" w:line="256" w:lineRule="auto"/>
              <w:ind w:left="94"/>
              <w:rPr>
                <w:rFonts w:ascii="Arial" w:eastAsia="Arial" w:hAnsi="Arial" w:cs="Arial"/>
                <w:color w:val="000000"/>
              </w:rPr>
            </w:pPr>
            <w:r>
              <w:rPr>
                <w:rFonts w:ascii="Arial" w:eastAsia="Arial" w:hAnsi="Arial" w:cs="Arial"/>
                <w:color w:val="000000"/>
              </w:rPr>
              <w:t xml:space="preserve">In silico modeling of </w:t>
            </w:r>
            <w:proofErr w:type="spellStart"/>
            <w:r>
              <w:rPr>
                <w:rFonts w:ascii="Arial" w:eastAsia="Arial" w:hAnsi="Arial" w:cs="Arial"/>
                <w:color w:val="000000"/>
              </w:rPr>
              <w:t>rug</w:t>
            </w:r>
            <w:proofErr w:type="spellEnd"/>
            <w:r>
              <w:rPr>
                <w:rFonts w:ascii="Arial" w:eastAsia="Arial" w:hAnsi="Arial" w:cs="Arial"/>
                <w:color w:val="000000"/>
              </w:rPr>
              <w:t xml:space="preserve"> interactions</w:t>
            </w:r>
          </w:p>
        </w:tc>
        <w:tc>
          <w:tcPr>
            <w:tcW w:w="3023" w:type="dxa"/>
          </w:tcPr>
          <w:p w14:paraId="72B66675" w14:textId="77777777" w:rsidR="009D11F7" w:rsidRDefault="001E69B8">
            <w:pPr>
              <w:pBdr>
                <w:top w:val="nil"/>
                <w:left w:val="nil"/>
                <w:bottom w:val="nil"/>
                <w:right w:val="nil"/>
                <w:between w:val="nil"/>
              </w:pBdr>
              <w:spacing w:before="248" w:line="256" w:lineRule="auto"/>
              <w:ind w:left="93"/>
              <w:rPr>
                <w:rFonts w:ascii="Arial" w:eastAsia="Arial" w:hAnsi="Arial" w:cs="Arial"/>
                <w:color w:val="000000"/>
              </w:rPr>
            </w:pPr>
            <w:r>
              <w:rPr>
                <w:rFonts w:ascii="Arial" w:eastAsia="Arial" w:hAnsi="Arial" w:cs="Arial"/>
                <w:color w:val="000000"/>
              </w:rPr>
              <w:t>Faster candidate screening, lower costs</w:t>
            </w:r>
          </w:p>
        </w:tc>
      </w:tr>
      <w:tr w:rsidR="009D11F7" w14:paraId="53EA9323" w14:textId="77777777">
        <w:trPr>
          <w:trHeight w:val="900"/>
        </w:trPr>
        <w:tc>
          <w:tcPr>
            <w:tcW w:w="2822" w:type="dxa"/>
          </w:tcPr>
          <w:p w14:paraId="51F92F3E" w14:textId="77777777" w:rsidR="009D11F7" w:rsidRDefault="001E69B8">
            <w:pPr>
              <w:pBdr>
                <w:top w:val="nil"/>
                <w:left w:val="nil"/>
                <w:bottom w:val="nil"/>
                <w:right w:val="nil"/>
                <w:between w:val="nil"/>
              </w:pBdr>
              <w:spacing w:before="163"/>
              <w:ind w:left="95"/>
              <w:rPr>
                <w:rFonts w:ascii="Arial" w:eastAsia="Arial" w:hAnsi="Arial" w:cs="Arial"/>
                <w:color w:val="000000"/>
              </w:rPr>
            </w:pPr>
            <w:r>
              <w:rPr>
                <w:rFonts w:ascii="Arial" w:eastAsia="Arial" w:hAnsi="Arial" w:cs="Arial"/>
                <w:color w:val="000000"/>
              </w:rPr>
              <w:lastRenderedPageBreak/>
              <w:t>Clinical Trials</w:t>
            </w:r>
          </w:p>
        </w:tc>
        <w:tc>
          <w:tcPr>
            <w:tcW w:w="3182" w:type="dxa"/>
          </w:tcPr>
          <w:p w14:paraId="5F9635A3" w14:textId="77777777" w:rsidR="009D11F7" w:rsidRDefault="009D11F7">
            <w:pPr>
              <w:pBdr>
                <w:top w:val="nil"/>
                <w:left w:val="nil"/>
                <w:bottom w:val="nil"/>
                <w:right w:val="nil"/>
                <w:between w:val="nil"/>
              </w:pBdr>
              <w:spacing w:before="5"/>
              <w:rPr>
                <w:rFonts w:ascii="Arial" w:eastAsia="Arial" w:hAnsi="Arial" w:cs="Arial"/>
                <w:color w:val="000000"/>
              </w:rPr>
            </w:pPr>
          </w:p>
          <w:p w14:paraId="20949F6F" w14:textId="77777777" w:rsidR="009D11F7" w:rsidRDefault="001E69B8">
            <w:pPr>
              <w:pBdr>
                <w:top w:val="nil"/>
                <w:left w:val="nil"/>
                <w:bottom w:val="nil"/>
                <w:right w:val="nil"/>
                <w:between w:val="nil"/>
              </w:pBdr>
              <w:spacing w:line="261" w:lineRule="auto"/>
              <w:ind w:left="94" w:right="581"/>
              <w:rPr>
                <w:rFonts w:ascii="Arial" w:eastAsia="Arial" w:hAnsi="Arial" w:cs="Arial"/>
                <w:color w:val="000000"/>
              </w:rPr>
            </w:pPr>
            <w:r>
              <w:rPr>
                <w:rFonts w:ascii="Arial" w:eastAsia="Arial" w:hAnsi="Arial" w:cs="Arial"/>
                <w:color w:val="000000"/>
              </w:rPr>
              <w:t>Virtual patient cohort simulations</w:t>
            </w:r>
          </w:p>
        </w:tc>
        <w:tc>
          <w:tcPr>
            <w:tcW w:w="3023" w:type="dxa"/>
          </w:tcPr>
          <w:p w14:paraId="00B52A6A" w14:textId="77777777" w:rsidR="009D11F7" w:rsidRDefault="009D11F7">
            <w:pPr>
              <w:pBdr>
                <w:top w:val="nil"/>
                <w:left w:val="nil"/>
                <w:bottom w:val="nil"/>
                <w:right w:val="nil"/>
                <w:between w:val="nil"/>
              </w:pBdr>
              <w:spacing w:before="5"/>
              <w:rPr>
                <w:rFonts w:ascii="Arial" w:eastAsia="Arial" w:hAnsi="Arial" w:cs="Arial"/>
                <w:color w:val="000000"/>
              </w:rPr>
            </w:pPr>
          </w:p>
          <w:p w14:paraId="4128C3C1" w14:textId="77777777" w:rsidR="009D11F7" w:rsidRDefault="001E69B8">
            <w:pPr>
              <w:pBdr>
                <w:top w:val="nil"/>
                <w:left w:val="nil"/>
                <w:bottom w:val="nil"/>
                <w:right w:val="nil"/>
                <w:between w:val="nil"/>
              </w:pBdr>
              <w:spacing w:line="261" w:lineRule="auto"/>
              <w:ind w:left="93"/>
              <w:rPr>
                <w:rFonts w:ascii="Arial" w:eastAsia="Arial" w:hAnsi="Arial" w:cs="Arial"/>
                <w:color w:val="000000"/>
              </w:rPr>
            </w:pPr>
            <w:r>
              <w:rPr>
                <w:rFonts w:ascii="Arial" w:eastAsia="Arial" w:hAnsi="Arial" w:cs="Arial"/>
                <w:color w:val="000000"/>
              </w:rPr>
              <w:t>Accelerated trial design and reduced risk</w:t>
            </w:r>
          </w:p>
        </w:tc>
      </w:tr>
      <w:tr w:rsidR="009D11F7" w14:paraId="14D25797" w14:textId="77777777">
        <w:trPr>
          <w:trHeight w:val="875"/>
        </w:trPr>
        <w:tc>
          <w:tcPr>
            <w:tcW w:w="2822" w:type="dxa"/>
          </w:tcPr>
          <w:p w14:paraId="691B8AB7" w14:textId="77777777" w:rsidR="009D11F7" w:rsidRDefault="001E69B8">
            <w:pPr>
              <w:pBdr>
                <w:top w:val="nil"/>
                <w:left w:val="nil"/>
                <w:bottom w:val="nil"/>
                <w:right w:val="nil"/>
                <w:between w:val="nil"/>
              </w:pBdr>
              <w:spacing w:before="158"/>
              <w:ind w:left="95"/>
              <w:rPr>
                <w:rFonts w:ascii="Arial" w:eastAsia="Arial" w:hAnsi="Arial" w:cs="Arial"/>
                <w:color w:val="000000"/>
              </w:rPr>
            </w:pPr>
            <w:r>
              <w:rPr>
                <w:rFonts w:ascii="Arial" w:eastAsia="Arial" w:hAnsi="Arial" w:cs="Arial"/>
                <w:color w:val="000000"/>
              </w:rPr>
              <w:t>Personalized Medicine</w:t>
            </w:r>
          </w:p>
        </w:tc>
        <w:tc>
          <w:tcPr>
            <w:tcW w:w="3182" w:type="dxa"/>
          </w:tcPr>
          <w:p w14:paraId="60A588FD" w14:textId="77777777" w:rsidR="009D11F7" w:rsidRDefault="001E69B8">
            <w:pPr>
              <w:pBdr>
                <w:top w:val="nil"/>
                <w:left w:val="nil"/>
                <w:bottom w:val="nil"/>
                <w:right w:val="nil"/>
                <w:between w:val="nil"/>
              </w:pBdr>
              <w:spacing w:before="243" w:line="261" w:lineRule="auto"/>
              <w:ind w:left="94" w:right="581"/>
              <w:rPr>
                <w:rFonts w:ascii="Arial" w:eastAsia="Arial" w:hAnsi="Arial" w:cs="Arial"/>
                <w:color w:val="000000"/>
              </w:rPr>
            </w:pPr>
            <w:r>
              <w:rPr>
                <w:rFonts w:ascii="Arial" w:eastAsia="Arial" w:hAnsi="Arial" w:cs="Arial"/>
                <w:color w:val="000000"/>
              </w:rPr>
              <w:t>Patient-specific pharmacokinetics models</w:t>
            </w:r>
          </w:p>
        </w:tc>
        <w:tc>
          <w:tcPr>
            <w:tcW w:w="3023" w:type="dxa"/>
          </w:tcPr>
          <w:p w14:paraId="49852B13" w14:textId="77777777" w:rsidR="009D11F7" w:rsidRDefault="001E69B8">
            <w:pPr>
              <w:pBdr>
                <w:top w:val="nil"/>
                <w:left w:val="nil"/>
                <w:bottom w:val="nil"/>
                <w:right w:val="nil"/>
                <w:between w:val="nil"/>
              </w:pBdr>
              <w:spacing w:before="243" w:line="261" w:lineRule="auto"/>
              <w:ind w:left="93" w:right="26"/>
              <w:rPr>
                <w:rFonts w:ascii="Arial" w:eastAsia="Arial" w:hAnsi="Arial" w:cs="Arial"/>
                <w:color w:val="000000"/>
              </w:rPr>
            </w:pPr>
            <w:r>
              <w:rPr>
                <w:rFonts w:ascii="Arial" w:eastAsia="Arial" w:hAnsi="Arial" w:cs="Arial"/>
                <w:color w:val="000000"/>
              </w:rPr>
              <w:t>Customized dosing, fewer side effects</w:t>
            </w:r>
          </w:p>
        </w:tc>
      </w:tr>
      <w:tr w:rsidR="009D11F7" w14:paraId="76CFEFD8" w14:textId="77777777">
        <w:trPr>
          <w:trHeight w:val="894"/>
        </w:trPr>
        <w:tc>
          <w:tcPr>
            <w:tcW w:w="2822" w:type="dxa"/>
          </w:tcPr>
          <w:p w14:paraId="6476ED9B" w14:textId="77777777" w:rsidR="009D11F7" w:rsidRDefault="001E69B8">
            <w:pPr>
              <w:pBdr>
                <w:top w:val="nil"/>
                <w:left w:val="nil"/>
                <w:bottom w:val="nil"/>
                <w:right w:val="nil"/>
                <w:between w:val="nil"/>
              </w:pBdr>
              <w:spacing w:before="158"/>
              <w:ind w:left="95"/>
              <w:rPr>
                <w:rFonts w:ascii="Arial" w:eastAsia="Arial" w:hAnsi="Arial" w:cs="Arial"/>
                <w:color w:val="000000"/>
              </w:rPr>
            </w:pPr>
            <w:r>
              <w:rPr>
                <w:rFonts w:ascii="Arial" w:eastAsia="Arial" w:hAnsi="Arial" w:cs="Arial"/>
                <w:color w:val="000000"/>
              </w:rPr>
              <w:t>Regulatory Compliance</w:t>
            </w:r>
          </w:p>
        </w:tc>
        <w:tc>
          <w:tcPr>
            <w:tcW w:w="3182" w:type="dxa"/>
          </w:tcPr>
          <w:p w14:paraId="41864487" w14:textId="77777777" w:rsidR="009D11F7" w:rsidRDefault="009D11F7">
            <w:pPr>
              <w:pBdr>
                <w:top w:val="nil"/>
                <w:left w:val="nil"/>
                <w:bottom w:val="nil"/>
                <w:right w:val="nil"/>
                <w:between w:val="nil"/>
              </w:pBdr>
              <w:rPr>
                <w:rFonts w:ascii="Arial" w:eastAsia="Arial" w:hAnsi="Arial" w:cs="Arial"/>
                <w:color w:val="000000"/>
              </w:rPr>
            </w:pPr>
          </w:p>
          <w:p w14:paraId="56FFB420" w14:textId="77777777" w:rsidR="009D11F7" w:rsidRDefault="001E69B8">
            <w:pPr>
              <w:pBdr>
                <w:top w:val="nil"/>
                <w:left w:val="nil"/>
                <w:bottom w:val="nil"/>
                <w:right w:val="nil"/>
                <w:between w:val="nil"/>
              </w:pBdr>
              <w:spacing w:line="261" w:lineRule="auto"/>
              <w:ind w:left="94" w:right="752"/>
              <w:rPr>
                <w:rFonts w:ascii="Arial" w:eastAsia="Arial" w:hAnsi="Arial" w:cs="Arial"/>
                <w:color w:val="000000"/>
              </w:rPr>
            </w:pPr>
            <w:r>
              <w:rPr>
                <w:rFonts w:ascii="Arial" w:eastAsia="Arial" w:hAnsi="Arial" w:cs="Arial"/>
                <w:color w:val="000000"/>
              </w:rPr>
              <w:t>Real-time audit and documentation systems</w:t>
            </w:r>
          </w:p>
        </w:tc>
        <w:tc>
          <w:tcPr>
            <w:tcW w:w="3023" w:type="dxa"/>
          </w:tcPr>
          <w:p w14:paraId="2AAE1B99" w14:textId="77777777" w:rsidR="009D11F7" w:rsidRDefault="009D11F7">
            <w:pPr>
              <w:pBdr>
                <w:top w:val="nil"/>
                <w:left w:val="nil"/>
                <w:bottom w:val="nil"/>
                <w:right w:val="nil"/>
                <w:between w:val="nil"/>
              </w:pBdr>
              <w:rPr>
                <w:rFonts w:ascii="Arial" w:eastAsia="Arial" w:hAnsi="Arial" w:cs="Arial"/>
                <w:color w:val="000000"/>
              </w:rPr>
            </w:pPr>
          </w:p>
          <w:p w14:paraId="74658C9A" w14:textId="77777777" w:rsidR="009D11F7" w:rsidRDefault="001E69B8">
            <w:pPr>
              <w:pBdr>
                <w:top w:val="nil"/>
                <w:left w:val="nil"/>
                <w:bottom w:val="nil"/>
                <w:right w:val="nil"/>
                <w:between w:val="nil"/>
              </w:pBdr>
              <w:spacing w:line="261" w:lineRule="auto"/>
              <w:ind w:left="93"/>
              <w:rPr>
                <w:rFonts w:ascii="Arial" w:eastAsia="Arial" w:hAnsi="Arial" w:cs="Arial"/>
                <w:color w:val="000000"/>
              </w:rPr>
            </w:pPr>
            <w:r>
              <w:rPr>
                <w:rFonts w:ascii="Arial" w:eastAsia="Arial" w:hAnsi="Arial" w:cs="Arial"/>
                <w:color w:val="000000"/>
              </w:rPr>
              <w:t>Improved GMP adherence, faster approvals</w:t>
            </w:r>
          </w:p>
        </w:tc>
      </w:tr>
    </w:tbl>
    <w:p w14:paraId="22313412" w14:textId="77777777" w:rsidR="009D11F7" w:rsidRDefault="009D11F7">
      <w:pPr>
        <w:pBdr>
          <w:top w:val="nil"/>
          <w:left w:val="nil"/>
          <w:bottom w:val="nil"/>
          <w:right w:val="nil"/>
          <w:between w:val="nil"/>
        </w:pBdr>
        <w:spacing w:line="261" w:lineRule="auto"/>
        <w:rPr>
          <w:rFonts w:ascii="Arial" w:eastAsia="Arial" w:hAnsi="Arial" w:cs="Arial"/>
          <w:color w:val="000000"/>
        </w:rPr>
        <w:sectPr w:rsidR="009D11F7">
          <w:pgSz w:w="11920" w:h="16840"/>
          <w:pgMar w:top="1380" w:right="1275" w:bottom="280" w:left="1275" w:header="720" w:footer="720" w:gutter="0"/>
          <w:cols w:space="720"/>
        </w:sectPr>
      </w:pPr>
    </w:p>
    <w:p w14:paraId="54A76117" w14:textId="77777777" w:rsidR="009D11F7" w:rsidRDefault="001E69B8">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lastRenderedPageBreak/>
        <w:t>As seen above, by facilitating real-time decision-making and predictive analytics, digital twins not only improve operational efficiency but also stimulate creativity. In the heavily regulated and budget-conscious pharmaceutical industry, these benefits are especially important.</w:t>
      </w:r>
    </w:p>
    <w:p w14:paraId="6084CB93"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6BBA5726"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46A504B8" w14:textId="4D1D74A8" w:rsidR="003E6922" w:rsidRDefault="00626C8B">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r>
        <w:rPr>
          <w:rFonts w:ascii="Arial" w:eastAsia="Arial" w:hAnsi="Arial" w:cs="Arial"/>
          <w:color w:val="000000"/>
          <w:sz w:val="24"/>
          <w:szCs w:val="24"/>
        </w:rPr>
        <w:br/>
      </w:r>
    </w:p>
    <w:p w14:paraId="75CE65DA" w14:textId="77777777" w:rsidR="00626C8B" w:rsidRDefault="00626C8B">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790A70F5" w14:textId="77777777" w:rsidR="00626C8B" w:rsidRDefault="00626C8B">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74917F41" w14:textId="3B0F02BB" w:rsidR="00CE4309" w:rsidRPr="00776457" w:rsidRDefault="00776457">
      <w:pPr>
        <w:pStyle w:val="p1"/>
        <w:divId w:val="684015051"/>
        <w:rPr>
          <w:b/>
          <w:bCs/>
        </w:rPr>
      </w:pPr>
      <w:r>
        <w:rPr>
          <w:rStyle w:val="s1"/>
          <w:b/>
          <w:bCs/>
        </w:rPr>
        <w:t>-</w:t>
      </w:r>
      <w:r w:rsidR="00CE4309" w:rsidRPr="00776457">
        <w:rPr>
          <w:rStyle w:val="s1"/>
          <w:b/>
          <w:bCs/>
        </w:rPr>
        <w:t>hereby declare that generative AI technologies such as Large Language Models (e.g., ChatGPT) were used during the editing of this manuscript.</w:t>
      </w:r>
    </w:p>
    <w:p w14:paraId="0CCBC911" w14:textId="77777777" w:rsidR="00CE4309" w:rsidRDefault="00CE4309">
      <w:pPr>
        <w:pStyle w:val="p2"/>
        <w:divId w:val="684015051"/>
      </w:pPr>
    </w:p>
    <w:p w14:paraId="00ED4C99" w14:textId="77777777" w:rsidR="00CE4309" w:rsidRPr="00776457" w:rsidRDefault="00CE4309">
      <w:pPr>
        <w:pStyle w:val="p1"/>
        <w:divId w:val="684015051"/>
        <w:rPr>
          <w:b/>
          <w:bCs/>
        </w:rPr>
      </w:pPr>
      <w:r w:rsidRPr="00776457">
        <w:rPr>
          <w:rStyle w:val="s2"/>
          <w:b/>
          <w:bCs/>
        </w:rPr>
        <w:t>Details of AI Usage:</w:t>
      </w:r>
    </w:p>
    <w:p w14:paraId="2AA03EA2" w14:textId="77777777" w:rsidR="00CE4309" w:rsidRDefault="00CE4309" w:rsidP="00CE4309">
      <w:pPr>
        <w:pStyle w:val="p1"/>
        <w:numPr>
          <w:ilvl w:val="0"/>
          <w:numId w:val="15"/>
        </w:numPr>
        <w:divId w:val="684015051"/>
      </w:pPr>
      <w:r>
        <w:rPr>
          <w:rStyle w:val="s1"/>
        </w:rPr>
        <w:t>AI Tool Used:</w:t>
      </w:r>
      <w:r>
        <w:rPr>
          <w:rStyle w:val="s2"/>
        </w:rPr>
        <w:t xml:space="preserve"> ChatGPT (GPT-4, OpenAI, May 2024 version)</w:t>
      </w:r>
    </w:p>
    <w:p w14:paraId="608F9768" w14:textId="77777777" w:rsidR="00CE4309" w:rsidRDefault="00CE4309" w:rsidP="00CE4309">
      <w:pPr>
        <w:pStyle w:val="p1"/>
        <w:numPr>
          <w:ilvl w:val="0"/>
          <w:numId w:val="15"/>
        </w:numPr>
        <w:divId w:val="684015051"/>
      </w:pPr>
      <w:r>
        <w:rPr>
          <w:rStyle w:val="s1"/>
        </w:rPr>
        <w:t>Purpose:</w:t>
      </w:r>
      <w:r>
        <w:rPr>
          <w:rStyle w:val="s2"/>
        </w:rPr>
        <w:t xml:space="preserve"> Editing abstract, enhancing language clarity, refining academic tone, replacing non-peer-reviewed references, and formulating reviewer responses.</w:t>
      </w:r>
    </w:p>
    <w:p w14:paraId="7FB04BDA" w14:textId="77777777" w:rsidR="00CE4309" w:rsidRDefault="00CE4309" w:rsidP="00CE4309">
      <w:pPr>
        <w:pStyle w:val="p1"/>
        <w:numPr>
          <w:ilvl w:val="0"/>
          <w:numId w:val="15"/>
        </w:numPr>
        <w:divId w:val="684015051"/>
      </w:pPr>
      <w:r>
        <w:rPr>
          <w:rStyle w:val="s1"/>
        </w:rPr>
        <w:t>Input Prompts Provided:</w:t>
      </w:r>
    </w:p>
    <w:p w14:paraId="295AF557" w14:textId="77777777" w:rsidR="00CE4309" w:rsidRDefault="00CE4309" w:rsidP="00CE4309">
      <w:pPr>
        <w:pStyle w:val="p1"/>
        <w:numPr>
          <w:ilvl w:val="1"/>
          <w:numId w:val="15"/>
        </w:numPr>
        <w:divId w:val="684015051"/>
      </w:pPr>
      <w:r>
        <w:rPr>
          <w:rStyle w:val="s1"/>
        </w:rPr>
        <w:t>“Polish this abstract using academic structure and tone”</w:t>
      </w:r>
    </w:p>
    <w:p w14:paraId="2182C9EC" w14:textId="77777777" w:rsidR="00CE4309" w:rsidRDefault="00CE4309" w:rsidP="00CE4309">
      <w:pPr>
        <w:pStyle w:val="p1"/>
        <w:numPr>
          <w:ilvl w:val="1"/>
          <w:numId w:val="15"/>
        </w:numPr>
        <w:divId w:val="684015051"/>
      </w:pPr>
      <w:r>
        <w:rPr>
          <w:rStyle w:val="s1"/>
        </w:rPr>
        <w:t>“Suggest replacements for grey literature references with peer-reviewed articles”</w:t>
      </w:r>
    </w:p>
    <w:p w14:paraId="318928DE" w14:textId="77777777" w:rsidR="00CE4309" w:rsidRDefault="00CE4309" w:rsidP="00CE4309">
      <w:pPr>
        <w:pStyle w:val="p1"/>
        <w:numPr>
          <w:ilvl w:val="1"/>
          <w:numId w:val="15"/>
        </w:numPr>
        <w:divId w:val="684015051"/>
      </w:pPr>
      <w:r>
        <w:rPr>
          <w:rStyle w:val="s1"/>
        </w:rPr>
        <w:t>“Respond professionally to reviewer comments”</w:t>
      </w:r>
    </w:p>
    <w:p w14:paraId="75F1A715" w14:textId="77777777" w:rsidR="00CE4309" w:rsidRDefault="00CE4309" w:rsidP="00CE4309">
      <w:pPr>
        <w:pStyle w:val="p1"/>
        <w:numPr>
          <w:ilvl w:val="1"/>
          <w:numId w:val="15"/>
        </w:numPr>
        <w:divId w:val="684015051"/>
      </w:pPr>
      <w:r>
        <w:rPr>
          <w:rStyle w:val="s1"/>
        </w:rPr>
        <w:t>“Restructure this paragraph to improve logic and flow”</w:t>
      </w:r>
    </w:p>
    <w:p w14:paraId="52A3DA0C" w14:textId="77777777" w:rsidR="00CE4309" w:rsidRDefault="00CE4309">
      <w:pPr>
        <w:pStyle w:val="p2"/>
        <w:divId w:val="684015051"/>
      </w:pPr>
    </w:p>
    <w:p w14:paraId="72F0DD24" w14:textId="77777777" w:rsidR="00CE4309" w:rsidRPr="00776457" w:rsidRDefault="00CE4309">
      <w:pPr>
        <w:pStyle w:val="p1"/>
        <w:divId w:val="684015051"/>
        <w:rPr>
          <w:b/>
          <w:bCs/>
        </w:rPr>
      </w:pPr>
      <w:r w:rsidRPr="00776457">
        <w:rPr>
          <w:rStyle w:val="s1"/>
          <w:b/>
          <w:bCs/>
        </w:rPr>
        <w:t>All output was critically reviewed by the author to ensure factual accuracy and scholarly integrity.</w:t>
      </w:r>
    </w:p>
    <w:p w14:paraId="40B007C1" w14:textId="77777777" w:rsidR="003E6922" w:rsidRPr="00776457" w:rsidRDefault="003E6922">
      <w:pPr>
        <w:pBdr>
          <w:top w:val="nil"/>
          <w:left w:val="nil"/>
          <w:bottom w:val="nil"/>
          <w:right w:val="nil"/>
          <w:between w:val="nil"/>
        </w:pBdr>
        <w:spacing w:before="80" w:line="268" w:lineRule="auto"/>
        <w:ind w:left="160" w:right="240" w:hanging="10"/>
        <w:rPr>
          <w:rFonts w:ascii="Arial" w:eastAsia="Arial" w:hAnsi="Arial" w:cs="Arial"/>
          <w:b/>
          <w:bCs/>
          <w:color w:val="000000"/>
          <w:sz w:val="24"/>
          <w:szCs w:val="24"/>
        </w:rPr>
      </w:pPr>
    </w:p>
    <w:p w14:paraId="257DCC7F"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FB1897E"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6419D9AF"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5BD182F6"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003AD36"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7891EDE4"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336CAC1B"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62C98123"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36923969"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04E18AE1"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E9CF3B4"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51FB686"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31506BC4"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A882976"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7EA5558B"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67C7D6C5"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76936181"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09BAA82F"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2B4E276B"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0959FC4D"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59D7ADFA"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505C5C07"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6A469C15"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4BDFC428"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414E3454"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07CEA3BA"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4BE53803"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0380FA69" w14:textId="77777777" w:rsidR="003E6922" w:rsidRDefault="003E6922">
      <w:pPr>
        <w:pBdr>
          <w:top w:val="nil"/>
          <w:left w:val="nil"/>
          <w:bottom w:val="nil"/>
          <w:right w:val="nil"/>
          <w:between w:val="nil"/>
        </w:pBdr>
        <w:spacing w:before="80" w:line="268" w:lineRule="auto"/>
        <w:ind w:left="160" w:right="240" w:hanging="10"/>
        <w:rPr>
          <w:rFonts w:ascii="Arial" w:eastAsia="Arial" w:hAnsi="Arial" w:cs="Arial"/>
          <w:color w:val="000000"/>
          <w:sz w:val="24"/>
          <w:szCs w:val="24"/>
        </w:rPr>
      </w:pPr>
    </w:p>
    <w:p w14:paraId="3444A54B" w14:textId="77777777" w:rsidR="009D11F7" w:rsidRDefault="001E69B8">
      <w:pPr>
        <w:pBdr>
          <w:top w:val="nil"/>
          <w:left w:val="nil"/>
          <w:bottom w:val="nil"/>
          <w:right w:val="nil"/>
          <w:between w:val="nil"/>
        </w:pBdr>
        <w:spacing w:before="10"/>
        <w:rPr>
          <w:rFonts w:ascii="Arial" w:eastAsia="Arial" w:hAnsi="Arial" w:cs="Arial"/>
          <w:color w:val="000000"/>
          <w:sz w:val="19"/>
          <w:szCs w:val="19"/>
        </w:rPr>
      </w:pPr>
      <w:r>
        <w:rPr>
          <w:noProof/>
        </w:rPr>
        <mc:AlternateContent>
          <mc:Choice Requires="wps">
            <w:drawing>
              <wp:anchor distT="0" distB="0" distL="0" distR="0" simplePos="0" relativeHeight="251660800" behindDoc="0" locked="0" layoutInCell="1" hidden="0" allowOverlap="1" wp14:anchorId="61854023" wp14:editId="4FFA661E">
                <wp:simplePos x="0" y="0"/>
                <wp:positionH relativeFrom="column">
                  <wp:posOffset>215900</wp:posOffset>
                </wp:positionH>
                <wp:positionV relativeFrom="paragraph">
                  <wp:posOffset>152400</wp:posOffset>
                </wp:positionV>
                <wp:extent cx="1270" cy="12700"/>
                <wp:effectExtent l="0" t="0" r="0" b="0"/>
                <wp:wrapTopAndBottom distT="0" distB="0"/>
                <wp:docPr id="18" name="Freeform: Shape 18"/>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152400</wp:posOffset>
                </wp:positionV>
                <wp:extent cx="1270" cy="12700"/>
                <wp:effectExtent b="0" l="0" r="0" t="0"/>
                <wp:wrapTopAndBottom distB="0" distT="0"/>
                <wp:docPr id="1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4CF7DEBE" w14:textId="05B9DA36" w:rsidR="009D11F7" w:rsidRDefault="001E69B8">
      <w:pPr>
        <w:pStyle w:val="Heading1"/>
        <w:numPr>
          <w:ilvl w:val="0"/>
          <w:numId w:val="9"/>
        </w:numPr>
        <w:tabs>
          <w:tab w:val="left" w:pos="398"/>
        </w:tabs>
        <w:ind w:left="398" w:hanging="248"/>
        <w:rPr>
          <w:u w:val="none"/>
        </w:rPr>
      </w:pPr>
      <w:bookmarkStart w:id="8" w:name="_heading=h.jq6grpm180mk" w:colFirst="0" w:colLast="0"/>
      <w:bookmarkEnd w:id="8"/>
      <w:r>
        <w:t>REFERENCES</w:t>
      </w:r>
    </w:p>
    <w:p w14:paraId="5C28F5CA" w14:textId="77777777" w:rsidR="009D11F7" w:rsidRDefault="001E69B8">
      <w:pPr>
        <w:numPr>
          <w:ilvl w:val="1"/>
          <w:numId w:val="9"/>
        </w:numPr>
        <w:pBdr>
          <w:top w:val="nil"/>
          <w:left w:val="nil"/>
          <w:bottom w:val="nil"/>
          <w:right w:val="nil"/>
          <w:between w:val="nil"/>
        </w:pBdr>
        <w:tabs>
          <w:tab w:val="left" w:pos="869"/>
          <w:tab w:val="left" w:pos="871"/>
        </w:tabs>
        <w:spacing w:before="237" w:line="246" w:lineRule="auto"/>
        <w:ind w:right="534"/>
        <w:rPr>
          <w:rFonts w:ascii="Arial" w:eastAsia="Arial" w:hAnsi="Arial" w:cs="Arial"/>
          <w:color w:val="000000"/>
          <w:sz w:val="24"/>
          <w:szCs w:val="24"/>
        </w:rPr>
      </w:pPr>
      <w:r>
        <w:rPr>
          <w:rFonts w:ascii="Arial" w:eastAsia="Arial" w:hAnsi="Arial" w:cs="Arial"/>
          <w:color w:val="111111"/>
          <w:sz w:val="24"/>
          <w:szCs w:val="24"/>
        </w:rPr>
        <w:t>Pfizer Inc. How Pfizer scaled up COVID-19 vaccine production using digital twins. 2020 [cited 2025 May 14]. Available from:</w:t>
      </w:r>
    </w:p>
    <w:p w14:paraId="2A6A2D43" w14:textId="77777777" w:rsidR="009D11F7" w:rsidRDefault="001E69B8">
      <w:pPr>
        <w:pBdr>
          <w:top w:val="nil"/>
          <w:left w:val="nil"/>
          <w:bottom w:val="nil"/>
          <w:right w:val="nil"/>
          <w:between w:val="nil"/>
        </w:pBdr>
        <w:spacing w:before="6" w:line="246" w:lineRule="auto"/>
        <w:ind w:left="871"/>
        <w:rPr>
          <w:rFonts w:ascii="Arial" w:eastAsia="Arial" w:hAnsi="Arial" w:cs="Arial"/>
          <w:color w:val="000000"/>
          <w:sz w:val="24"/>
          <w:szCs w:val="24"/>
        </w:rPr>
      </w:pPr>
      <w:r>
        <w:rPr>
          <w:rFonts w:ascii="Arial" w:eastAsia="Arial" w:hAnsi="Arial" w:cs="Arial"/>
          <w:color w:val="111111"/>
          <w:sz w:val="24"/>
          <w:szCs w:val="24"/>
        </w:rPr>
        <w:t>https://</w:t>
      </w:r>
      <w:hyperlink r:id="rId17">
        <w:r>
          <w:rPr>
            <w:rFonts w:ascii="Arial" w:eastAsia="Arial" w:hAnsi="Arial" w:cs="Arial"/>
            <w:color w:val="111111"/>
            <w:sz w:val="24"/>
            <w:szCs w:val="24"/>
          </w:rPr>
          <w:t>www.pfizer.com/news/articles/how_pfizer_scaled_up_covid_19_vaccin</w:t>
        </w:r>
      </w:hyperlink>
      <w:r>
        <w:rPr>
          <w:rFonts w:ascii="Arial" w:eastAsia="Arial" w:hAnsi="Arial" w:cs="Arial"/>
          <w:color w:val="111111"/>
          <w:sz w:val="24"/>
          <w:szCs w:val="24"/>
        </w:rPr>
        <w:t xml:space="preserve"> e_production_using_digital_twins</w:t>
      </w:r>
    </w:p>
    <w:p w14:paraId="465725E0" w14:textId="77777777" w:rsidR="009D11F7" w:rsidRDefault="009D11F7">
      <w:pPr>
        <w:pBdr>
          <w:top w:val="nil"/>
          <w:left w:val="nil"/>
          <w:bottom w:val="nil"/>
          <w:right w:val="nil"/>
          <w:between w:val="nil"/>
        </w:pBdr>
        <w:spacing w:before="25"/>
        <w:rPr>
          <w:rFonts w:ascii="Arial" w:eastAsia="Arial" w:hAnsi="Arial" w:cs="Arial"/>
          <w:color w:val="000000"/>
          <w:sz w:val="24"/>
          <w:szCs w:val="24"/>
        </w:rPr>
      </w:pPr>
    </w:p>
    <w:p w14:paraId="1854E79B" w14:textId="77777777" w:rsidR="009D11F7" w:rsidRDefault="001E69B8">
      <w:pPr>
        <w:numPr>
          <w:ilvl w:val="1"/>
          <w:numId w:val="9"/>
        </w:numPr>
        <w:pBdr>
          <w:top w:val="nil"/>
          <w:left w:val="nil"/>
          <w:bottom w:val="nil"/>
          <w:right w:val="nil"/>
          <w:between w:val="nil"/>
        </w:pBdr>
        <w:tabs>
          <w:tab w:val="left" w:pos="869"/>
          <w:tab w:val="left" w:pos="871"/>
        </w:tabs>
        <w:spacing w:line="246" w:lineRule="auto"/>
        <w:ind w:right="558"/>
        <w:rPr>
          <w:rFonts w:ascii="Arial" w:eastAsia="Arial" w:hAnsi="Arial" w:cs="Arial"/>
          <w:color w:val="000000"/>
          <w:sz w:val="24"/>
          <w:szCs w:val="24"/>
        </w:rPr>
      </w:pPr>
      <w:r>
        <w:rPr>
          <w:sz w:val="24"/>
          <w:szCs w:val="24"/>
        </w:rPr>
        <w:t>Chen et al. (2020) Digital Twins in Pharmaceutical and Biopharmaceutical Manufacturing: A Literature Review. Processes, 8(9), 1088.</w:t>
      </w:r>
      <w:hyperlink r:id="rId18">
        <w:r>
          <w:rPr>
            <w:sz w:val="24"/>
            <w:szCs w:val="24"/>
          </w:rPr>
          <w:t xml:space="preserve"> </w:t>
        </w:r>
      </w:hyperlink>
      <w:hyperlink r:id="rId19">
        <w:r>
          <w:rPr>
            <w:color w:val="1155CC"/>
            <w:sz w:val="24"/>
            <w:szCs w:val="24"/>
            <w:u w:val="single"/>
          </w:rPr>
          <w:t>🔗 DOI</w:t>
        </w:r>
      </w:hyperlink>
    </w:p>
    <w:p w14:paraId="0C45E800" w14:textId="77777777" w:rsidR="009D11F7" w:rsidRDefault="009D11F7">
      <w:pPr>
        <w:pBdr>
          <w:top w:val="nil"/>
          <w:left w:val="nil"/>
          <w:bottom w:val="nil"/>
          <w:right w:val="nil"/>
          <w:between w:val="nil"/>
        </w:pBdr>
        <w:spacing w:before="25"/>
        <w:rPr>
          <w:sz w:val="24"/>
          <w:szCs w:val="24"/>
        </w:rPr>
      </w:pPr>
    </w:p>
    <w:p w14:paraId="70E1EE70" w14:textId="77777777" w:rsidR="009D11F7" w:rsidRDefault="001E69B8">
      <w:pPr>
        <w:numPr>
          <w:ilvl w:val="1"/>
          <w:numId w:val="9"/>
        </w:numPr>
        <w:pBdr>
          <w:top w:val="nil"/>
          <w:left w:val="nil"/>
          <w:bottom w:val="nil"/>
          <w:right w:val="nil"/>
          <w:between w:val="nil"/>
        </w:pBdr>
        <w:tabs>
          <w:tab w:val="left" w:pos="869"/>
          <w:tab w:val="left" w:pos="886"/>
        </w:tabs>
        <w:spacing w:line="252" w:lineRule="auto"/>
        <w:ind w:left="886" w:right="669" w:hanging="375"/>
        <w:rPr>
          <w:rFonts w:ascii="Arial" w:eastAsia="Arial" w:hAnsi="Arial" w:cs="Arial"/>
          <w:color w:val="000000"/>
          <w:sz w:val="24"/>
          <w:szCs w:val="24"/>
        </w:rPr>
      </w:pPr>
      <w:r>
        <w:rPr>
          <w:color w:val="111111"/>
          <w:sz w:val="24"/>
          <w:szCs w:val="24"/>
        </w:rPr>
        <w:t>Fischer et al. (2024) Digital Patient Twins for Personalized Therapeutics and Pharmaceutical Manufacturing. Frontiers in Digital Health, 5, 1302338.</w:t>
      </w:r>
      <w:hyperlink r:id="rId20">
        <w:r>
          <w:rPr>
            <w:color w:val="111111"/>
            <w:sz w:val="24"/>
            <w:szCs w:val="24"/>
          </w:rPr>
          <w:t xml:space="preserve"> </w:t>
        </w:r>
      </w:hyperlink>
      <w:hyperlink r:id="rId21">
        <w:r>
          <w:rPr>
            <w:color w:val="1155CC"/>
            <w:sz w:val="24"/>
            <w:szCs w:val="24"/>
            <w:u w:val="single"/>
          </w:rPr>
          <w:t>🔗 DOI</w:t>
        </w:r>
      </w:hyperlink>
    </w:p>
    <w:p w14:paraId="26851F7F" w14:textId="77777777" w:rsidR="009D11F7" w:rsidRDefault="009D11F7">
      <w:pPr>
        <w:pBdr>
          <w:top w:val="nil"/>
          <w:left w:val="nil"/>
          <w:bottom w:val="nil"/>
          <w:right w:val="nil"/>
          <w:between w:val="nil"/>
        </w:pBdr>
        <w:spacing w:before="28"/>
        <w:rPr>
          <w:rFonts w:ascii="Arial" w:eastAsia="Arial" w:hAnsi="Arial" w:cs="Arial"/>
          <w:color w:val="000000"/>
          <w:sz w:val="24"/>
          <w:szCs w:val="24"/>
        </w:rPr>
      </w:pPr>
    </w:p>
    <w:p w14:paraId="5C1618B0" w14:textId="77777777" w:rsidR="009D11F7" w:rsidRDefault="001E69B8">
      <w:pPr>
        <w:numPr>
          <w:ilvl w:val="1"/>
          <w:numId w:val="9"/>
        </w:numPr>
        <w:pBdr>
          <w:top w:val="nil"/>
          <w:left w:val="nil"/>
          <w:bottom w:val="nil"/>
          <w:right w:val="nil"/>
          <w:between w:val="nil"/>
        </w:pBdr>
        <w:tabs>
          <w:tab w:val="left" w:pos="869"/>
          <w:tab w:val="left" w:pos="871"/>
        </w:tabs>
        <w:spacing w:line="249" w:lineRule="auto"/>
        <w:ind w:right="494"/>
        <w:rPr>
          <w:rFonts w:ascii="Arial" w:eastAsia="Arial" w:hAnsi="Arial" w:cs="Arial"/>
          <w:color w:val="000000"/>
          <w:sz w:val="24"/>
          <w:szCs w:val="24"/>
        </w:rPr>
      </w:pPr>
      <w:proofErr w:type="spellStart"/>
      <w:r>
        <w:rPr>
          <w:color w:val="111111"/>
          <w:sz w:val="24"/>
          <w:szCs w:val="24"/>
        </w:rPr>
        <w:t>Laubenbacher</w:t>
      </w:r>
      <w:proofErr w:type="spellEnd"/>
      <w:r>
        <w:rPr>
          <w:color w:val="111111"/>
          <w:sz w:val="24"/>
          <w:szCs w:val="24"/>
        </w:rPr>
        <w:t xml:space="preserve"> et al. (2024) Digital Twins in Medicine. Nature Computational Science, 4(3), 184–191.</w:t>
      </w:r>
      <w:hyperlink r:id="rId22">
        <w:r>
          <w:rPr>
            <w:color w:val="111111"/>
            <w:sz w:val="24"/>
            <w:szCs w:val="24"/>
          </w:rPr>
          <w:t xml:space="preserve"> </w:t>
        </w:r>
      </w:hyperlink>
      <w:hyperlink r:id="rId23">
        <w:r>
          <w:rPr>
            <w:color w:val="1155CC"/>
            <w:sz w:val="24"/>
            <w:szCs w:val="24"/>
            <w:u w:val="single"/>
          </w:rPr>
          <w:t>🔗 DOI</w:t>
        </w:r>
      </w:hyperlink>
    </w:p>
    <w:p w14:paraId="56BDF1B3" w14:textId="77777777" w:rsidR="009D11F7" w:rsidRDefault="009D11F7">
      <w:pPr>
        <w:pBdr>
          <w:top w:val="nil"/>
          <w:left w:val="nil"/>
          <w:bottom w:val="nil"/>
          <w:right w:val="nil"/>
          <w:between w:val="nil"/>
        </w:pBdr>
        <w:spacing w:before="23"/>
        <w:rPr>
          <w:rFonts w:ascii="Arial" w:eastAsia="Arial" w:hAnsi="Arial" w:cs="Arial"/>
          <w:color w:val="000000"/>
          <w:sz w:val="24"/>
          <w:szCs w:val="24"/>
        </w:rPr>
      </w:pPr>
    </w:p>
    <w:p w14:paraId="4FEE5118" w14:textId="77777777" w:rsidR="009D11F7" w:rsidRDefault="001E69B8">
      <w:pPr>
        <w:numPr>
          <w:ilvl w:val="1"/>
          <w:numId w:val="9"/>
        </w:numPr>
        <w:pBdr>
          <w:top w:val="nil"/>
          <w:left w:val="nil"/>
          <w:bottom w:val="nil"/>
          <w:right w:val="nil"/>
          <w:between w:val="nil"/>
        </w:pBdr>
        <w:tabs>
          <w:tab w:val="left" w:pos="869"/>
          <w:tab w:val="left" w:pos="871"/>
        </w:tabs>
        <w:spacing w:before="1" w:line="246" w:lineRule="auto"/>
        <w:ind w:right="723"/>
        <w:rPr>
          <w:rFonts w:ascii="Arial" w:eastAsia="Arial" w:hAnsi="Arial" w:cs="Arial"/>
          <w:color w:val="000000"/>
          <w:sz w:val="24"/>
          <w:szCs w:val="24"/>
        </w:rPr>
      </w:pPr>
      <w:r>
        <w:rPr>
          <w:color w:val="111111"/>
          <w:sz w:val="24"/>
          <w:szCs w:val="24"/>
        </w:rPr>
        <w:t>Boulos &amp; Zhang (2021) Digital Twins: From Personalized Medicine to Precision Public Health. Journal of Personalized Medicine, 11(8), 745.</w:t>
      </w:r>
      <w:hyperlink r:id="rId24">
        <w:r>
          <w:rPr>
            <w:color w:val="111111"/>
            <w:sz w:val="24"/>
            <w:szCs w:val="24"/>
          </w:rPr>
          <w:t xml:space="preserve"> </w:t>
        </w:r>
      </w:hyperlink>
      <w:hyperlink r:id="rId25">
        <w:r>
          <w:rPr>
            <w:color w:val="1155CC"/>
            <w:sz w:val="24"/>
            <w:szCs w:val="24"/>
            <w:u w:val="single"/>
          </w:rPr>
          <w:t>🔗 DOI</w:t>
        </w:r>
      </w:hyperlink>
    </w:p>
    <w:p w14:paraId="04A9E33C" w14:textId="77777777" w:rsidR="009D11F7" w:rsidRDefault="009D11F7">
      <w:pPr>
        <w:pBdr>
          <w:top w:val="nil"/>
          <w:left w:val="nil"/>
          <w:bottom w:val="nil"/>
          <w:right w:val="nil"/>
          <w:between w:val="nil"/>
        </w:pBdr>
        <w:tabs>
          <w:tab w:val="left" w:pos="869"/>
          <w:tab w:val="left" w:pos="871"/>
        </w:tabs>
        <w:spacing w:before="1" w:line="246" w:lineRule="auto"/>
        <w:ind w:right="723"/>
        <w:rPr>
          <w:color w:val="111111"/>
          <w:sz w:val="24"/>
          <w:szCs w:val="24"/>
        </w:rPr>
      </w:pPr>
    </w:p>
    <w:p w14:paraId="047F1C4A" w14:textId="77777777" w:rsidR="009D11F7" w:rsidRDefault="001E69B8">
      <w:pPr>
        <w:numPr>
          <w:ilvl w:val="1"/>
          <w:numId w:val="9"/>
        </w:numPr>
        <w:pBdr>
          <w:top w:val="nil"/>
          <w:left w:val="nil"/>
          <w:bottom w:val="nil"/>
          <w:right w:val="nil"/>
          <w:between w:val="nil"/>
        </w:pBdr>
        <w:tabs>
          <w:tab w:val="left" w:pos="869"/>
          <w:tab w:val="left" w:pos="871"/>
        </w:tabs>
        <w:spacing w:before="179" w:line="249" w:lineRule="auto"/>
        <w:ind w:right="294"/>
        <w:jc w:val="both"/>
        <w:rPr>
          <w:rFonts w:ascii="Arial" w:eastAsia="Arial" w:hAnsi="Arial" w:cs="Arial"/>
          <w:color w:val="000000"/>
          <w:sz w:val="24"/>
          <w:szCs w:val="24"/>
        </w:rPr>
      </w:pPr>
      <w:r>
        <w:rPr>
          <w:color w:val="111111"/>
          <w:sz w:val="24"/>
          <w:szCs w:val="24"/>
        </w:rPr>
        <w:t xml:space="preserve">Cellina et al. (2023) Digital Twins: The New Frontier for Personalized </w:t>
      </w:r>
      <w:r>
        <w:rPr>
          <w:color w:val="111111"/>
          <w:sz w:val="24"/>
          <w:szCs w:val="24"/>
        </w:rPr>
        <w:lastRenderedPageBreak/>
        <w:t>Medicine? Applied Sciences, 13(13), 7940.</w:t>
      </w:r>
      <w:hyperlink r:id="rId26">
        <w:r>
          <w:rPr>
            <w:color w:val="111111"/>
            <w:sz w:val="24"/>
            <w:szCs w:val="24"/>
          </w:rPr>
          <w:t xml:space="preserve"> </w:t>
        </w:r>
      </w:hyperlink>
      <w:hyperlink r:id="rId27">
        <w:r>
          <w:rPr>
            <w:color w:val="1155CC"/>
            <w:sz w:val="24"/>
            <w:szCs w:val="24"/>
            <w:u w:val="single"/>
          </w:rPr>
          <w:t>🔗 DOI</w:t>
        </w:r>
      </w:hyperlink>
    </w:p>
    <w:p w14:paraId="1B6CEBCC" w14:textId="77777777" w:rsidR="009D11F7" w:rsidRDefault="009D11F7">
      <w:pPr>
        <w:pBdr>
          <w:top w:val="nil"/>
          <w:left w:val="nil"/>
          <w:bottom w:val="nil"/>
          <w:right w:val="nil"/>
          <w:between w:val="nil"/>
        </w:pBdr>
        <w:spacing w:before="28"/>
        <w:rPr>
          <w:rFonts w:ascii="Arial" w:eastAsia="Arial" w:hAnsi="Arial" w:cs="Arial"/>
          <w:color w:val="000000"/>
          <w:sz w:val="24"/>
          <w:szCs w:val="24"/>
        </w:rPr>
      </w:pPr>
    </w:p>
    <w:p w14:paraId="3C9EAB54" w14:textId="77777777" w:rsidR="009D11F7" w:rsidRDefault="001E69B8">
      <w:pPr>
        <w:numPr>
          <w:ilvl w:val="1"/>
          <w:numId w:val="9"/>
        </w:numPr>
        <w:pBdr>
          <w:top w:val="nil"/>
          <w:left w:val="nil"/>
          <w:bottom w:val="nil"/>
          <w:right w:val="nil"/>
          <w:between w:val="nil"/>
        </w:pBdr>
        <w:tabs>
          <w:tab w:val="left" w:pos="869"/>
          <w:tab w:val="left" w:pos="871"/>
        </w:tabs>
        <w:spacing w:before="1" w:line="266" w:lineRule="auto"/>
        <w:ind w:right="604"/>
        <w:rPr>
          <w:rFonts w:ascii="Arial" w:eastAsia="Arial" w:hAnsi="Arial" w:cs="Arial"/>
          <w:color w:val="000000"/>
          <w:sz w:val="24"/>
          <w:szCs w:val="24"/>
        </w:rPr>
      </w:pPr>
      <w:proofErr w:type="spellStart"/>
      <w:r>
        <w:rPr>
          <w:sz w:val="24"/>
          <w:szCs w:val="24"/>
        </w:rPr>
        <w:t>Katsoulakis</w:t>
      </w:r>
      <w:proofErr w:type="spellEnd"/>
      <w:r>
        <w:rPr>
          <w:sz w:val="24"/>
          <w:szCs w:val="24"/>
        </w:rPr>
        <w:t xml:space="preserve"> et al. (2024) Digital Twins for Health: A Scoping Review. NPJ Digital Medicine, 7(1), 77.</w:t>
      </w:r>
      <w:hyperlink r:id="rId28">
        <w:r>
          <w:rPr>
            <w:sz w:val="24"/>
            <w:szCs w:val="24"/>
          </w:rPr>
          <w:t xml:space="preserve"> </w:t>
        </w:r>
      </w:hyperlink>
      <w:hyperlink r:id="rId29">
        <w:r>
          <w:rPr>
            <w:color w:val="1155CC"/>
            <w:sz w:val="24"/>
            <w:szCs w:val="24"/>
            <w:u w:val="single"/>
          </w:rPr>
          <w:t>🔗 Link</w:t>
        </w:r>
      </w:hyperlink>
    </w:p>
    <w:p w14:paraId="2E1F9487" w14:textId="77777777" w:rsidR="009D11F7" w:rsidRDefault="009D11F7">
      <w:pPr>
        <w:pBdr>
          <w:top w:val="nil"/>
          <w:left w:val="nil"/>
          <w:bottom w:val="nil"/>
          <w:right w:val="nil"/>
          <w:between w:val="nil"/>
        </w:pBdr>
        <w:spacing w:before="80"/>
        <w:rPr>
          <w:rFonts w:ascii="Arial" w:eastAsia="Arial" w:hAnsi="Arial" w:cs="Arial"/>
          <w:color w:val="000000"/>
          <w:sz w:val="24"/>
          <w:szCs w:val="24"/>
        </w:rPr>
      </w:pPr>
    </w:p>
    <w:p w14:paraId="0C91BECF" w14:textId="77777777" w:rsidR="009D11F7" w:rsidRDefault="001E69B8">
      <w:pPr>
        <w:numPr>
          <w:ilvl w:val="1"/>
          <w:numId w:val="9"/>
        </w:numPr>
        <w:pBdr>
          <w:top w:val="nil"/>
          <w:left w:val="nil"/>
          <w:bottom w:val="nil"/>
          <w:right w:val="nil"/>
          <w:between w:val="nil"/>
        </w:pBdr>
        <w:tabs>
          <w:tab w:val="left" w:pos="869"/>
          <w:tab w:val="left" w:pos="871"/>
        </w:tabs>
        <w:spacing w:line="276" w:lineRule="auto"/>
        <w:ind w:right="420"/>
        <w:rPr>
          <w:rFonts w:ascii="Arial" w:eastAsia="Arial" w:hAnsi="Arial" w:cs="Arial"/>
          <w:color w:val="000000"/>
          <w:sz w:val="24"/>
          <w:szCs w:val="24"/>
        </w:rPr>
      </w:pPr>
      <w:r>
        <w:rPr>
          <w:sz w:val="24"/>
          <w:szCs w:val="24"/>
        </w:rPr>
        <w:t>Ritu et al. (2024) Digital Twins for Healthcare in Industry 5.0. Springer Nature.</w:t>
      </w:r>
      <w:hyperlink r:id="rId30">
        <w:r>
          <w:rPr>
            <w:sz w:val="24"/>
            <w:szCs w:val="24"/>
          </w:rPr>
          <w:t xml:space="preserve"> </w:t>
        </w:r>
      </w:hyperlink>
      <w:hyperlink r:id="rId31">
        <w:r>
          <w:rPr>
            <w:color w:val="1155CC"/>
            <w:sz w:val="24"/>
            <w:szCs w:val="24"/>
            <w:u w:val="single"/>
          </w:rPr>
          <w:t>🔗 DOI</w:t>
        </w:r>
      </w:hyperlink>
    </w:p>
    <w:p w14:paraId="4E51D4C7" w14:textId="77777777" w:rsidR="009D11F7" w:rsidRDefault="009D11F7">
      <w:pPr>
        <w:pBdr>
          <w:top w:val="nil"/>
          <w:left w:val="nil"/>
          <w:bottom w:val="nil"/>
          <w:right w:val="nil"/>
          <w:between w:val="nil"/>
        </w:pBdr>
        <w:spacing w:before="67"/>
        <w:rPr>
          <w:rFonts w:ascii="Arial" w:eastAsia="Arial" w:hAnsi="Arial" w:cs="Arial"/>
          <w:color w:val="000000"/>
          <w:sz w:val="24"/>
          <w:szCs w:val="24"/>
        </w:rPr>
      </w:pPr>
    </w:p>
    <w:p w14:paraId="345CBE5F" w14:textId="77777777" w:rsidR="009D11F7" w:rsidRDefault="001E69B8">
      <w:pPr>
        <w:numPr>
          <w:ilvl w:val="1"/>
          <w:numId w:val="9"/>
        </w:numPr>
        <w:pBdr>
          <w:top w:val="nil"/>
          <w:left w:val="nil"/>
          <w:bottom w:val="nil"/>
          <w:right w:val="nil"/>
          <w:between w:val="nil"/>
        </w:pBdr>
        <w:tabs>
          <w:tab w:val="left" w:pos="869"/>
          <w:tab w:val="left" w:pos="871"/>
        </w:tabs>
        <w:spacing w:line="266" w:lineRule="auto"/>
        <w:ind w:right="943"/>
        <w:rPr>
          <w:rFonts w:ascii="Arial" w:eastAsia="Arial" w:hAnsi="Arial" w:cs="Arial"/>
          <w:color w:val="000000"/>
          <w:sz w:val="24"/>
          <w:szCs w:val="24"/>
        </w:rPr>
        <w:sectPr w:rsidR="009D11F7">
          <w:pgSz w:w="11920" w:h="16840"/>
          <w:pgMar w:top="1680" w:right="1275" w:bottom="280" w:left="1275" w:header="720" w:footer="720" w:gutter="0"/>
          <w:cols w:space="720"/>
        </w:sectPr>
      </w:pPr>
      <w:r>
        <w:rPr>
          <w:sz w:val="24"/>
          <w:szCs w:val="24"/>
        </w:rPr>
        <w:t>Manzoor &amp; Riaz (2025) Blockchain and Digital Twins in Smart Hospitals. Elsevier.</w:t>
      </w:r>
      <w:hyperlink r:id="rId32">
        <w:r>
          <w:rPr>
            <w:sz w:val="24"/>
            <w:szCs w:val="24"/>
          </w:rPr>
          <w:t xml:space="preserve"> </w:t>
        </w:r>
      </w:hyperlink>
      <w:hyperlink r:id="rId33">
        <w:r>
          <w:rPr>
            <w:color w:val="1155CC"/>
            <w:sz w:val="24"/>
            <w:szCs w:val="24"/>
            <w:u w:val="single"/>
          </w:rPr>
          <w:t>🔗 Link</w:t>
        </w:r>
      </w:hyperlink>
    </w:p>
    <w:p w14:paraId="65000173" w14:textId="77777777" w:rsidR="009D11F7" w:rsidRDefault="001E69B8">
      <w:pPr>
        <w:numPr>
          <w:ilvl w:val="1"/>
          <w:numId w:val="9"/>
        </w:numPr>
        <w:pBdr>
          <w:top w:val="nil"/>
          <w:left w:val="nil"/>
          <w:bottom w:val="nil"/>
          <w:right w:val="nil"/>
          <w:between w:val="nil"/>
        </w:pBdr>
        <w:tabs>
          <w:tab w:val="left" w:pos="869"/>
          <w:tab w:val="left" w:pos="871"/>
        </w:tabs>
        <w:spacing w:before="75" w:line="266" w:lineRule="auto"/>
        <w:ind w:right="729"/>
        <w:rPr>
          <w:rFonts w:ascii="Arial" w:eastAsia="Arial" w:hAnsi="Arial" w:cs="Arial"/>
          <w:color w:val="000000"/>
          <w:sz w:val="24"/>
          <w:szCs w:val="24"/>
        </w:rPr>
      </w:pPr>
      <w:r>
        <w:rPr>
          <w:sz w:val="24"/>
          <w:szCs w:val="24"/>
        </w:rPr>
        <w:lastRenderedPageBreak/>
        <w:t>Singh &amp; Nayyar (2025) Exploring Digital Twin Use Cases. Elsevier.</w:t>
      </w:r>
      <w:hyperlink r:id="rId34">
        <w:r>
          <w:rPr>
            <w:sz w:val="24"/>
            <w:szCs w:val="24"/>
          </w:rPr>
          <w:t xml:space="preserve"> </w:t>
        </w:r>
      </w:hyperlink>
      <w:hyperlink r:id="rId35">
        <w:r>
          <w:rPr>
            <w:color w:val="1155CC"/>
            <w:sz w:val="24"/>
            <w:szCs w:val="24"/>
            <w:u w:val="single"/>
          </w:rPr>
          <w:t>🔗 Link</w:t>
        </w:r>
      </w:hyperlink>
    </w:p>
    <w:p w14:paraId="4C4488CB" w14:textId="77777777" w:rsidR="009D11F7" w:rsidRDefault="009D11F7">
      <w:pPr>
        <w:pBdr>
          <w:top w:val="nil"/>
          <w:left w:val="nil"/>
          <w:bottom w:val="nil"/>
          <w:right w:val="nil"/>
          <w:between w:val="nil"/>
        </w:pBdr>
        <w:spacing w:before="98"/>
        <w:rPr>
          <w:rFonts w:ascii="Arial" w:eastAsia="Arial" w:hAnsi="Arial" w:cs="Arial"/>
          <w:color w:val="000000"/>
          <w:sz w:val="24"/>
          <w:szCs w:val="24"/>
        </w:rPr>
      </w:pPr>
    </w:p>
    <w:p w14:paraId="7C40C2C9" w14:textId="77777777" w:rsidR="009D11F7" w:rsidRDefault="001E69B8">
      <w:pPr>
        <w:numPr>
          <w:ilvl w:val="1"/>
          <w:numId w:val="9"/>
        </w:numPr>
        <w:pBdr>
          <w:top w:val="nil"/>
          <w:left w:val="nil"/>
          <w:bottom w:val="nil"/>
          <w:right w:val="nil"/>
          <w:between w:val="nil"/>
        </w:pBdr>
        <w:tabs>
          <w:tab w:val="left" w:pos="869"/>
          <w:tab w:val="left" w:pos="871"/>
        </w:tabs>
        <w:spacing w:line="266" w:lineRule="auto"/>
        <w:ind w:right="690"/>
        <w:rPr>
          <w:rFonts w:ascii="Arial" w:eastAsia="Arial" w:hAnsi="Arial" w:cs="Arial"/>
          <w:color w:val="000000"/>
          <w:sz w:val="24"/>
          <w:szCs w:val="24"/>
        </w:rPr>
      </w:pPr>
      <w:r>
        <w:rPr>
          <w:sz w:val="24"/>
          <w:szCs w:val="24"/>
        </w:rPr>
        <w:t>Vallée (2024) Envisioning Personalized Medicine: Role and Realities of Digital Twins. Journal of Medical Internet Research, 26, e50204.</w:t>
      </w:r>
      <w:hyperlink r:id="rId36">
        <w:r>
          <w:rPr>
            <w:sz w:val="24"/>
            <w:szCs w:val="24"/>
          </w:rPr>
          <w:t xml:space="preserve"> </w:t>
        </w:r>
      </w:hyperlink>
      <w:hyperlink r:id="rId37">
        <w:r>
          <w:rPr>
            <w:color w:val="1155CC"/>
            <w:sz w:val="24"/>
            <w:szCs w:val="24"/>
            <w:u w:val="single"/>
          </w:rPr>
          <w:t>🔗 Link</w:t>
        </w:r>
      </w:hyperlink>
    </w:p>
    <w:p w14:paraId="5B7DA090" w14:textId="77777777" w:rsidR="009D11F7" w:rsidRDefault="009D11F7">
      <w:pPr>
        <w:pBdr>
          <w:top w:val="nil"/>
          <w:left w:val="nil"/>
          <w:bottom w:val="nil"/>
          <w:right w:val="nil"/>
          <w:between w:val="nil"/>
        </w:pBdr>
        <w:tabs>
          <w:tab w:val="left" w:pos="869"/>
          <w:tab w:val="left" w:pos="871"/>
        </w:tabs>
        <w:spacing w:line="266" w:lineRule="auto"/>
        <w:ind w:right="690"/>
        <w:rPr>
          <w:sz w:val="24"/>
          <w:szCs w:val="24"/>
        </w:rPr>
      </w:pPr>
    </w:p>
    <w:p w14:paraId="7D85A4C7" w14:textId="77777777" w:rsidR="009D11F7" w:rsidRDefault="001E69B8">
      <w:pPr>
        <w:numPr>
          <w:ilvl w:val="1"/>
          <w:numId w:val="9"/>
        </w:numPr>
        <w:pBdr>
          <w:top w:val="nil"/>
          <w:left w:val="nil"/>
          <w:bottom w:val="nil"/>
          <w:right w:val="nil"/>
          <w:between w:val="nil"/>
        </w:pBdr>
        <w:tabs>
          <w:tab w:val="left" w:pos="869"/>
          <w:tab w:val="left" w:pos="871"/>
        </w:tabs>
        <w:spacing w:line="266" w:lineRule="auto"/>
        <w:ind w:right="690"/>
        <w:rPr>
          <w:rFonts w:ascii="Arial" w:eastAsia="Arial" w:hAnsi="Arial" w:cs="Arial"/>
          <w:color w:val="000000"/>
          <w:sz w:val="24"/>
          <w:szCs w:val="24"/>
        </w:rPr>
      </w:pPr>
      <w:proofErr w:type="spellStart"/>
      <w:r>
        <w:rPr>
          <w:sz w:val="24"/>
          <w:szCs w:val="24"/>
        </w:rPr>
        <w:t>Balasubramanyam</w:t>
      </w:r>
      <w:proofErr w:type="spellEnd"/>
      <w:r>
        <w:rPr>
          <w:sz w:val="24"/>
          <w:szCs w:val="24"/>
        </w:rPr>
        <w:t xml:space="preserve">, A., Ramesh, R., Sudheer, R., &amp; </w:t>
      </w:r>
      <w:proofErr w:type="spellStart"/>
      <w:r>
        <w:rPr>
          <w:sz w:val="24"/>
          <w:szCs w:val="24"/>
        </w:rPr>
        <w:t>Honnavalli</w:t>
      </w:r>
      <w:proofErr w:type="spellEnd"/>
      <w:r>
        <w:rPr>
          <w:sz w:val="24"/>
          <w:szCs w:val="24"/>
        </w:rPr>
        <w:t>, P. B. (2024). Revolutionizing healthcare: A review unveiling the transformative power of digital twins. IEEE Access, 12, 69652–69676.</w:t>
      </w:r>
    </w:p>
    <w:p w14:paraId="0B0F58C9" w14:textId="77777777" w:rsidR="009D11F7" w:rsidRDefault="001E69B8">
      <w:pPr>
        <w:numPr>
          <w:ilvl w:val="0"/>
          <w:numId w:val="3"/>
        </w:numPr>
        <w:tabs>
          <w:tab w:val="left" w:pos="869"/>
          <w:tab w:val="left" w:pos="871"/>
        </w:tabs>
        <w:spacing w:after="240" w:line="266" w:lineRule="auto"/>
        <w:rPr>
          <w:sz w:val="24"/>
          <w:szCs w:val="24"/>
        </w:rPr>
      </w:pPr>
      <w:r>
        <w:rPr>
          <w:sz w:val="24"/>
          <w:szCs w:val="24"/>
        </w:rPr>
        <w:t>Available via ResearchGate:</w:t>
      </w:r>
      <w:hyperlink r:id="rId38">
        <w:r>
          <w:rPr>
            <w:sz w:val="24"/>
            <w:szCs w:val="24"/>
          </w:rPr>
          <w:t xml:space="preserve"> </w:t>
        </w:r>
      </w:hyperlink>
      <w:hyperlink r:id="rId39">
        <w:r>
          <w:rPr>
            <w:color w:val="1155CC"/>
            <w:sz w:val="24"/>
            <w:szCs w:val="24"/>
            <w:u w:val="single"/>
          </w:rPr>
          <w:t>https://www.researchgate.net/publication/380550890</w:t>
        </w:r>
      </w:hyperlink>
      <w:r>
        <w:rPr>
          <w:sz w:val="24"/>
          <w:szCs w:val="24"/>
        </w:rPr>
        <w:t xml:space="preserve"> </w:t>
      </w:r>
    </w:p>
    <w:p w14:paraId="66CDDF79" w14:textId="77777777" w:rsidR="009D11F7" w:rsidRDefault="009D11F7">
      <w:pPr>
        <w:pBdr>
          <w:top w:val="nil"/>
          <w:left w:val="nil"/>
          <w:bottom w:val="nil"/>
          <w:right w:val="nil"/>
          <w:between w:val="nil"/>
        </w:pBdr>
        <w:tabs>
          <w:tab w:val="left" w:pos="869"/>
          <w:tab w:val="left" w:pos="871"/>
        </w:tabs>
        <w:spacing w:line="266" w:lineRule="auto"/>
        <w:ind w:right="690"/>
        <w:rPr>
          <w:sz w:val="24"/>
          <w:szCs w:val="24"/>
        </w:rPr>
      </w:pPr>
    </w:p>
    <w:p w14:paraId="0303179A" w14:textId="77777777" w:rsidR="009D11F7" w:rsidRDefault="001E69B8">
      <w:pPr>
        <w:numPr>
          <w:ilvl w:val="1"/>
          <w:numId w:val="9"/>
        </w:numPr>
        <w:pBdr>
          <w:top w:val="nil"/>
          <w:left w:val="nil"/>
          <w:bottom w:val="nil"/>
          <w:right w:val="nil"/>
          <w:between w:val="nil"/>
        </w:pBdr>
        <w:tabs>
          <w:tab w:val="left" w:pos="869"/>
          <w:tab w:val="left" w:pos="871"/>
        </w:tabs>
        <w:spacing w:line="266" w:lineRule="auto"/>
        <w:ind w:right="690"/>
        <w:rPr>
          <w:rFonts w:ascii="Arial" w:eastAsia="Arial" w:hAnsi="Arial" w:cs="Arial"/>
          <w:color w:val="000000"/>
          <w:sz w:val="24"/>
          <w:szCs w:val="24"/>
        </w:rPr>
      </w:pPr>
      <w:r>
        <w:rPr>
          <w:sz w:val="24"/>
          <w:szCs w:val="24"/>
        </w:rPr>
        <w:t xml:space="preserve">Mariam, Z., Niazi, S. K., &amp; </w:t>
      </w:r>
      <w:proofErr w:type="spellStart"/>
      <w:r>
        <w:rPr>
          <w:sz w:val="24"/>
          <w:szCs w:val="24"/>
        </w:rPr>
        <w:t>Magoola</w:t>
      </w:r>
      <w:proofErr w:type="spellEnd"/>
      <w:r>
        <w:rPr>
          <w:sz w:val="24"/>
          <w:szCs w:val="24"/>
        </w:rPr>
        <w:t>, M. (2024). Unlocking the future of drug development: Generative AI, digital twins, and beyond. BioMedInformatics, 4(2), 1441–1456.</w:t>
      </w:r>
    </w:p>
    <w:p w14:paraId="28AD1EFA" w14:textId="77777777" w:rsidR="009D11F7" w:rsidRDefault="001E69B8">
      <w:pPr>
        <w:numPr>
          <w:ilvl w:val="0"/>
          <w:numId w:val="5"/>
        </w:numPr>
        <w:tabs>
          <w:tab w:val="left" w:pos="869"/>
          <w:tab w:val="left" w:pos="871"/>
        </w:tabs>
        <w:spacing w:after="240" w:line="266" w:lineRule="auto"/>
        <w:rPr>
          <w:sz w:val="24"/>
          <w:szCs w:val="24"/>
        </w:rPr>
      </w:pPr>
      <w:r>
        <w:rPr>
          <w:sz w:val="24"/>
          <w:szCs w:val="24"/>
        </w:rPr>
        <w:t>Available via MDPI:</w:t>
      </w:r>
      <w:hyperlink r:id="rId40">
        <w:r>
          <w:rPr>
            <w:sz w:val="24"/>
            <w:szCs w:val="24"/>
          </w:rPr>
          <w:t xml:space="preserve"> </w:t>
        </w:r>
      </w:hyperlink>
      <w:hyperlink r:id="rId41">
        <w:r>
          <w:rPr>
            <w:color w:val="1155CC"/>
            <w:sz w:val="24"/>
            <w:szCs w:val="24"/>
            <w:u w:val="single"/>
          </w:rPr>
          <w:t>https://www.mdpi.com/2673-7426/4/2/79</w:t>
        </w:r>
      </w:hyperlink>
    </w:p>
    <w:p w14:paraId="148A20DC" w14:textId="77777777" w:rsidR="009D11F7" w:rsidRDefault="009D11F7">
      <w:pPr>
        <w:pBdr>
          <w:top w:val="nil"/>
          <w:left w:val="nil"/>
          <w:bottom w:val="nil"/>
          <w:right w:val="nil"/>
          <w:between w:val="nil"/>
        </w:pBdr>
        <w:tabs>
          <w:tab w:val="left" w:pos="869"/>
          <w:tab w:val="left" w:pos="871"/>
        </w:tabs>
        <w:spacing w:line="266" w:lineRule="auto"/>
        <w:ind w:right="690"/>
        <w:rPr>
          <w:sz w:val="24"/>
          <w:szCs w:val="24"/>
        </w:rPr>
      </w:pPr>
    </w:p>
    <w:p w14:paraId="121B5FB5" w14:textId="77777777" w:rsidR="009D11F7" w:rsidRDefault="001E69B8">
      <w:pPr>
        <w:numPr>
          <w:ilvl w:val="1"/>
          <w:numId w:val="9"/>
        </w:numPr>
        <w:pBdr>
          <w:top w:val="nil"/>
          <w:left w:val="nil"/>
          <w:bottom w:val="nil"/>
          <w:right w:val="nil"/>
          <w:between w:val="nil"/>
        </w:pBdr>
        <w:tabs>
          <w:tab w:val="left" w:pos="869"/>
          <w:tab w:val="left" w:pos="871"/>
        </w:tabs>
        <w:spacing w:line="266" w:lineRule="auto"/>
        <w:ind w:right="690"/>
        <w:rPr>
          <w:rFonts w:ascii="Arial" w:eastAsia="Arial" w:hAnsi="Arial" w:cs="Arial"/>
          <w:color w:val="000000"/>
          <w:sz w:val="24"/>
          <w:szCs w:val="24"/>
        </w:rPr>
      </w:pPr>
      <w:r>
        <w:rPr>
          <w:sz w:val="24"/>
          <w:szCs w:val="24"/>
        </w:rPr>
        <w:t>Vallée, A. (2024). Envisioning the future of personalized medicine: Role and realities of digital twins. Journal of Medical Internet Research, 26, e50204.</w:t>
      </w:r>
    </w:p>
    <w:p w14:paraId="3F3356AE" w14:textId="77777777" w:rsidR="009D11F7" w:rsidRDefault="001E69B8">
      <w:pPr>
        <w:numPr>
          <w:ilvl w:val="0"/>
          <w:numId w:val="8"/>
        </w:numPr>
        <w:tabs>
          <w:tab w:val="left" w:pos="869"/>
          <w:tab w:val="left" w:pos="871"/>
        </w:tabs>
        <w:spacing w:after="240" w:line="266" w:lineRule="auto"/>
        <w:rPr>
          <w:sz w:val="24"/>
          <w:szCs w:val="24"/>
        </w:rPr>
      </w:pPr>
      <w:r>
        <w:rPr>
          <w:sz w:val="24"/>
          <w:szCs w:val="24"/>
        </w:rPr>
        <w:t>Available via JMIR:</w:t>
      </w:r>
      <w:hyperlink r:id="rId42">
        <w:r>
          <w:rPr>
            <w:sz w:val="24"/>
            <w:szCs w:val="24"/>
          </w:rPr>
          <w:t xml:space="preserve"> </w:t>
        </w:r>
      </w:hyperlink>
      <w:hyperlink r:id="rId43">
        <w:r>
          <w:rPr>
            <w:color w:val="1155CC"/>
            <w:sz w:val="24"/>
            <w:szCs w:val="24"/>
            <w:u w:val="single"/>
          </w:rPr>
          <w:t>https://www.jmir.org/2024/1/e50204/</w:t>
        </w:r>
      </w:hyperlink>
    </w:p>
    <w:p w14:paraId="2F912655" w14:textId="77777777" w:rsidR="009D11F7" w:rsidRDefault="009D11F7">
      <w:pPr>
        <w:tabs>
          <w:tab w:val="left" w:pos="869"/>
          <w:tab w:val="left" w:pos="871"/>
        </w:tabs>
        <w:spacing w:before="240" w:after="240" w:line="266" w:lineRule="auto"/>
        <w:rPr>
          <w:sz w:val="24"/>
          <w:szCs w:val="24"/>
        </w:rPr>
      </w:pPr>
    </w:p>
    <w:p w14:paraId="6E784B8A" w14:textId="77777777" w:rsidR="009D11F7" w:rsidRPr="004E242F" w:rsidRDefault="001E69B8">
      <w:pPr>
        <w:spacing w:before="240" w:after="240"/>
        <w:rPr>
          <w:sz w:val="24"/>
          <w:szCs w:val="24"/>
        </w:rPr>
      </w:pPr>
      <w:r w:rsidRPr="004E242F">
        <w:rPr>
          <w:sz w:val="24"/>
          <w:szCs w:val="24"/>
        </w:rPr>
        <w:t xml:space="preserve">         15. Gandhi, K. I., &amp; Prathyusha, N. S. (2025). Harnessing digital twins and AI integration for enhanced disease prediction in the evolution of healthcare. In Digital Healthcare, Digital Transformation and Citizen Empowerment in Asia-Pacific and Europe for a Healthier Society (pp. 361–387). Elsevier.</w:t>
      </w:r>
    </w:p>
    <w:p w14:paraId="17F6E3F9" w14:textId="77777777" w:rsidR="009D11F7" w:rsidRPr="004E242F" w:rsidRDefault="001E69B8">
      <w:pPr>
        <w:numPr>
          <w:ilvl w:val="0"/>
          <w:numId w:val="6"/>
        </w:numPr>
        <w:spacing w:before="240" w:after="240"/>
        <w:rPr>
          <w:sz w:val="24"/>
          <w:szCs w:val="24"/>
        </w:rPr>
      </w:pPr>
      <w:r w:rsidRPr="004E242F">
        <w:rPr>
          <w:sz w:val="24"/>
          <w:szCs w:val="24"/>
        </w:rPr>
        <w:t>Available via ScienceDirect:</w:t>
      </w:r>
      <w:hyperlink r:id="rId44">
        <w:r w:rsidRPr="004E242F">
          <w:rPr>
            <w:sz w:val="24"/>
            <w:szCs w:val="24"/>
          </w:rPr>
          <w:t xml:space="preserve"> </w:t>
        </w:r>
      </w:hyperlink>
      <w:hyperlink r:id="rId45">
        <w:r w:rsidRPr="004E242F">
          <w:rPr>
            <w:color w:val="1155CC"/>
            <w:sz w:val="24"/>
            <w:szCs w:val="24"/>
            <w:u w:val="single"/>
          </w:rPr>
          <w:t>https://www.sciencedirect.com/science/article/abs/pii/B9780443301681000049</w:t>
        </w:r>
        <w:r w:rsidRPr="004E242F">
          <w:rPr>
            <w:color w:val="1155CC"/>
            <w:sz w:val="24"/>
            <w:szCs w:val="24"/>
            <w:u w:val="single"/>
          </w:rPr>
          <w:br/>
        </w:r>
      </w:hyperlink>
    </w:p>
    <w:p w14:paraId="75947E14" w14:textId="77777777" w:rsidR="009D11F7" w:rsidRPr="004E242F" w:rsidRDefault="001E69B8">
      <w:pPr>
        <w:spacing w:before="240" w:after="240"/>
        <w:rPr>
          <w:sz w:val="24"/>
          <w:szCs w:val="24"/>
        </w:rPr>
      </w:pPr>
      <w:r w:rsidRPr="004E242F">
        <w:rPr>
          <w:sz w:val="24"/>
          <w:szCs w:val="24"/>
        </w:rPr>
        <w:t xml:space="preserve">          16. Ritu, T. H., Nag, A., Bairagi, A. K., &amp; Rahman, A. (2024). Digital twins for healthcare in Industry 5.0: Fundamentals, pharmaceutical manufacturing applications, diagnostic precision, digital patient innovations, and drug discovery impact. In Soft Computing in Industry 5.0 for Sustainability (pp. 357–376). Springer Nature Switzerland.</w:t>
      </w:r>
    </w:p>
    <w:p w14:paraId="5CB5AF10" w14:textId="77777777" w:rsidR="009D11F7" w:rsidRPr="004E242F" w:rsidRDefault="001E69B8">
      <w:pPr>
        <w:numPr>
          <w:ilvl w:val="0"/>
          <w:numId w:val="7"/>
        </w:numPr>
        <w:spacing w:before="240" w:after="240"/>
        <w:rPr>
          <w:sz w:val="24"/>
          <w:szCs w:val="24"/>
        </w:rPr>
      </w:pPr>
      <w:r w:rsidRPr="004E242F">
        <w:rPr>
          <w:sz w:val="24"/>
          <w:szCs w:val="24"/>
        </w:rPr>
        <w:t>Available via ResearchGate:</w:t>
      </w:r>
      <w:hyperlink r:id="rId46">
        <w:r w:rsidRPr="004E242F">
          <w:rPr>
            <w:sz w:val="24"/>
            <w:szCs w:val="24"/>
          </w:rPr>
          <w:t xml:space="preserve"> </w:t>
        </w:r>
      </w:hyperlink>
      <w:hyperlink r:id="rId47">
        <w:r w:rsidRPr="004E242F">
          <w:rPr>
            <w:color w:val="1155CC"/>
            <w:sz w:val="24"/>
            <w:szCs w:val="24"/>
            <w:u w:val="single"/>
          </w:rPr>
          <w:t>https://www.researchgate.net/publication/381187007</w:t>
        </w:r>
        <w:r w:rsidRPr="004E242F">
          <w:rPr>
            <w:color w:val="1155CC"/>
            <w:sz w:val="24"/>
            <w:szCs w:val="24"/>
            <w:u w:val="single"/>
          </w:rPr>
          <w:br/>
        </w:r>
      </w:hyperlink>
    </w:p>
    <w:p w14:paraId="4109E4EF" w14:textId="77777777" w:rsidR="009D11F7" w:rsidRPr="004E242F" w:rsidRDefault="001E69B8">
      <w:pPr>
        <w:spacing w:before="240" w:after="240"/>
        <w:rPr>
          <w:sz w:val="24"/>
          <w:szCs w:val="24"/>
        </w:rPr>
      </w:pPr>
      <w:r w:rsidRPr="004E242F">
        <w:rPr>
          <w:sz w:val="24"/>
          <w:szCs w:val="24"/>
        </w:rPr>
        <w:t xml:space="preserve">            17. Manzoor, B., &amp; Riaz, A. (2025). Revolutionizing healthcare: Harnessing the power of integrated blockchain and digital twins in smart hospitals. In Blockchain and Digital Twin for Smart Hospitals (pp. 283–294). Elsevier.</w:t>
      </w:r>
    </w:p>
    <w:p w14:paraId="33A082C9" w14:textId="77777777" w:rsidR="009D11F7" w:rsidRPr="004E242F" w:rsidRDefault="001E69B8">
      <w:pPr>
        <w:numPr>
          <w:ilvl w:val="0"/>
          <w:numId w:val="14"/>
        </w:numPr>
        <w:spacing w:before="240" w:after="240"/>
        <w:rPr>
          <w:sz w:val="24"/>
          <w:szCs w:val="24"/>
        </w:rPr>
      </w:pPr>
      <w:r w:rsidRPr="004E242F">
        <w:rPr>
          <w:sz w:val="24"/>
          <w:szCs w:val="24"/>
        </w:rPr>
        <w:t>Available via ScienceDirect:</w:t>
      </w:r>
      <w:hyperlink r:id="rId48">
        <w:r w:rsidRPr="004E242F">
          <w:rPr>
            <w:sz w:val="24"/>
            <w:szCs w:val="24"/>
          </w:rPr>
          <w:t xml:space="preserve"> </w:t>
        </w:r>
      </w:hyperlink>
      <w:hyperlink r:id="rId49">
        <w:r w:rsidRPr="004E242F">
          <w:rPr>
            <w:color w:val="1155CC"/>
            <w:sz w:val="24"/>
            <w:szCs w:val="24"/>
            <w:u w:val="single"/>
          </w:rPr>
          <w:t>https://www.sciencedirect.com/science/article/abs/pii/B9780443342264000150</w:t>
        </w:r>
        <w:r w:rsidRPr="004E242F">
          <w:rPr>
            <w:color w:val="1155CC"/>
            <w:sz w:val="24"/>
            <w:szCs w:val="24"/>
            <w:u w:val="single"/>
          </w:rPr>
          <w:br/>
        </w:r>
      </w:hyperlink>
    </w:p>
    <w:p w14:paraId="2FC62A51" w14:textId="77777777" w:rsidR="009D11F7" w:rsidRPr="004E242F" w:rsidRDefault="001E69B8">
      <w:pPr>
        <w:spacing w:before="240" w:after="240"/>
        <w:rPr>
          <w:sz w:val="24"/>
          <w:szCs w:val="24"/>
        </w:rPr>
      </w:pPr>
      <w:r w:rsidRPr="004E242F">
        <w:rPr>
          <w:sz w:val="24"/>
          <w:szCs w:val="24"/>
        </w:rPr>
        <w:t xml:space="preserve">            18. </w:t>
      </w:r>
      <w:proofErr w:type="spellStart"/>
      <w:r w:rsidRPr="004E242F">
        <w:rPr>
          <w:sz w:val="24"/>
          <w:szCs w:val="24"/>
        </w:rPr>
        <w:t>Katsoulakis</w:t>
      </w:r>
      <w:proofErr w:type="spellEnd"/>
      <w:r w:rsidRPr="004E242F">
        <w:rPr>
          <w:sz w:val="24"/>
          <w:szCs w:val="24"/>
        </w:rPr>
        <w:t xml:space="preserve">, E., Wang, Q., Wu, H., </w:t>
      </w:r>
      <w:proofErr w:type="spellStart"/>
      <w:r w:rsidRPr="004E242F">
        <w:rPr>
          <w:sz w:val="24"/>
          <w:szCs w:val="24"/>
        </w:rPr>
        <w:t>Shahriyari</w:t>
      </w:r>
      <w:proofErr w:type="spellEnd"/>
      <w:r w:rsidRPr="004E242F">
        <w:rPr>
          <w:sz w:val="24"/>
          <w:szCs w:val="24"/>
        </w:rPr>
        <w:t>, L., Fletcher, R., Liu, J., … &amp; Deng, J. (2024). Digital twins for health: A scoping review. NPJ Digital Medicine, 7(1), 77.</w:t>
      </w:r>
    </w:p>
    <w:p w14:paraId="60524256" w14:textId="77777777" w:rsidR="009D11F7" w:rsidRPr="004E242F" w:rsidRDefault="001E69B8">
      <w:pPr>
        <w:numPr>
          <w:ilvl w:val="0"/>
          <w:numId w:val="1"/>
        </w:numPr>
        <w:spacing w:before="240" w:after="240"/>
        <w:rPr>
          <w:sz w:val="24"/>
          <w:szCs w:val="24"/>
        </w:rPr>
      </w:pPr>
      <w:r w:rsidRPr="004E242F">
        <w:rPr>
          <w:sz w:val="24"/>
          <w:szCs w:val="24"/>
        </w:rPr>
        <w:t>Available via Nature:</w:t>
      </w:r>
      <w:hyperlink r:id="rId50">
        <w:r w:rsidRPr="004E242F">
          <w:rPr>
            <w:sz w:val="24"/>
            <w:szCs w:val="24"/>
          </w:rPr>
          <w:t xml:space="preserve"> </w:t>
        </w:r>
      </w:hyperlink>
      <w:hyperlink r:id="rId51">
        <w:r w:rsidRPr="004E242F">
          <w:rPr>
            <w:color w:val="1155CC"/>
            <w:sz w:val="24"/>
            <w:szCs w:val="24"/>
            <w:u w:val="single"/>
          </w:rPr>
          <w:t>https://www.nature.com/articles/s41746-024-01073-0</w:t>
        </w:r>
        <w:r w:rsidRPr="004E242F">
          <w:rPr>
            <w:color w:val="1155CC"/>
            <w:sz w:val="24"/>
            <w:szCs w:val="24"/>
            <w:u w:val="single"/>
          </w:rPr>
          <w:br/>
        </w:r>
      </w:hyperlink>
    </w:p>
    <w:p w14:paraId="4EC7C012" w14:textId="77777777" w:rsidR="009D11F7" w:rsidRPr="004E242F" w:rsidRDefault="001E69B8">
      <w:pPr>
        <w:spacing w:before="240" w:after="240"/>
        <w:rPr>
          <w:sz w:val="24"/>
          <w:szCs w:val="24"/>
        </w:rPr>
      </w:pPr>
      <w:r w:rsidRPr="004E242F">
        <w:rPr>
          <w:sz w:val="24"/>
          <w:szCs w:val="24"/>
        </w:rPr>
        <w:t xml:space="preserve">             19. Singh, B., &amp; Nayyar, A. (2025). Exploring diverse use cases of digital twins projecting digital transformation: Unlocking potential, addressing challenges and viable solutions. In Digital Twins for Smart Cities and Villages (pp. 631–655). Elsevier.</w:t>
      </w:r>
    </w:p>
    <w:p w14:paraId="602062C8" w14:textId="77777777" w:rsidR="009D11F7" w:rsidRPr="004E242F" w:rsidRDefault="001E69B8">
      <w:pPr>
        <w:numPr>
          <w:ilvl w:val="0"/>
          <w:numId w:val="2"/>
        </w:numPr>
        <w:spacing w:before="240" w:after="240"/>
        <w:rPr>
          <w:sz w:val="24"/>
          <w:szCs w:val="24"/>
        </w:rPr>
      </w:pPr>
      <w:r w:rsidRPr="004E242F">
        <w:rPr>
          <w:sz w:val="24"/>
          <w:szCs w:val="24"/>
        </w:rPr>
        <w:t>Available via ScienceDirect:</w:t>
      </w:r>
      <w:hyperlink r:id="rId52">
        <w:r w:rsidRPr="004E242F">
          <w:rPr>
            <w:sz w:val="24"/>
            <w:szCs w:val="24"/>
          </w:rPr>
          <w:t xml:space="preserve"> </w:t>
        </w:r>
      </w:hyperlink>
      <w:hyperlink r:id="rId53">
        <w:r w:rsidRPr="004E242F">
          <w:rPr>
            <w:color w:val="1155CC"/>
            <w:sz w:val="24"/>
            <w:szCs w:val="24"/>
            <w:u w:val="single"/>
          </w:rPr>
          <w:t>https://www.sciencedirect.com/science/article/abs/pii/B9780443288845000270</w:t>
        </w:r>
        <w:r w:rsidRPr="004E242F">
          <w:rPr>
            <w:color w:val="1155CC"/>
            <w:sz w:val="24"/>
            <w:szCs w:val="24"/>
            <w:u w:val="single"/>
          </w:rPr>
          <w:br/>
        </w:r>
      </w:hyperlink>
    </w:p>
    <w:p w14:paraId="557A703E" w14:textId="77777777" w:rsidR="009D11F7" w:rsidRPr="004E242F" w:rsidRDefault="001E69B8">
      <w:pPr>
        <w:spacing w:before="240" w:after="240"/>
        <w:rPr>
          <w:sz w:val="24"/>
          <w:szCs w:val="24"/>
        </w:rPr>
      </w:pPr>
      <w:r w:rsidRPr="004E242F">
        <w:rPr>
          <w:sz w:val="24"/>
          <w:szCs w:val="24"/>
        </w:rPr>
        <w:t xml:space="preserve">             20. Butt, W. A., Iqbal, M. J., Hameed, S. A., Amin, G., Khalid, A., Aslam, A., &amp; Hussain, S. (2025). Harnessing the power of digital twins: A paradigm shift in precision medicine and cancer biology. Indus Journal of Bioscience Research, 3(4), 129–140.</w:t>
      </w:r>
    </w:p>
    <w:p w14:paraId="5530CF57" w14:textId="77777777" w:rsidR="009D11F7" w:rsidRDefault="001E69B8">
      <w:pPr>
        <w:numPr>
          <w:ilvl w:val="0"/>
          <w:numId w:val="4"/>
        </w:numPr>
        <w:spacing w:before="240" w:after="240"/>
        <w:rPr>
          <w:sz w:val="20"/>
          <w:szCs w:val="20"/>
        </w:rPr>
      </w:pPr>
      <w:r w:rsidRPr="004E242F">
        <w:rPr>
          <w:sz w:val="24"/>
          <w:szCs w:val="24"/>
        </w:rPr>
        <w:t>Available via ResearchGate:</w:t>
      </w:r>
      <w:hyperlink r:id="rId54">
        <w:r w:rsidRPr="004E242F">
          <w:rPr>
            <w:sz w:val="24"/>
            <w:szCs w:val="24"/>
          </w:rPr>
          <w:t xml:space="preserve"> </w:t>
        </w:r>
      </w:hyperlink>
      <w:hyperlink r:id="rId55">
        <w:r w:rsidRPr="004E242F">
          <w:rPr>
            <w:color w:val="1155CC"/>
            <w:sz w:val="24"/>
            <w:szCs w:val="24"/>
            <w:u w:val="single"/>
          </w:rPr>
          <w:t>https://www.researchgate.net/publication/391580430</w:t>
        </w:r>
        <w:r w:rsidRPr="004E242F">
          <w:rPr>
            <w:color w:val="1155CC"/>
            <w:sz w:val="24"/>
            <w:szCs w:val="24"/>
            <w:u w:val="single"/>
          </w:rPr>
          <w:br/>
        </w:r>
      </w:hyperlink>
    </w:p>
    <w:p w14:paraId="4C8F2E1F" w14:textId="77777777" w:rsidR="009D11F7" w:rsidRDefault="009D11F7">
      <w:pPr>
        <w:pBdr>
          <w:top w:val="nil"/>
          <w:left w:val="nil"/>
          <w:bottom w:val="nil"/>
          <w:right w:val="nil"/>
          <w:between w:val="nil"/>
        </w:pBdr>
        <w:rPr>
          <w:sz w:val="24"/>
          <w:szCs w:val="24"/>
        </w:rPr>
      </w:pPr>
    </w:p>
    <w:p w14:paraId="2BE93C38" w14:textId="77777777" w:rsidR="009D11F7" w:rsidRDefault="001E69B8">
      <w:pPr>
        <w:pBdr>
          <w:top w:val="nil"/>
          <w:left w:val="nil"/>
          <w:bottom w:val="nil"/>
          <w:right w:val="nil"/>
          <w:between w:val="nil"/>
        </w:pBdr>
        <w:spacing w:before="14"/>
        <w:rPr>
          <w:rFonts w:ascii="Arial" w:eastAsia="Arial" w:hAnsi="Arial" w:cs="Arial"/>
          <w:color w:val="000000"/>
          <w:sz w:val="20"/>
          <w:szCs w:val="20"/>
        </w:rPr>
        <w:sectPr w:rsidR="009D11F7">
          <w:pgSz w:w="11920" w:h="16840"/>
          <w:pgMar w:top="1380" w:right="1275" w:bottom="280" w:left="1275" w:header="720" w:footer="720" w:gutter="0"/>
          <w:cols w:space="720"/>
        </w:sectPr>
      </w:pPr>
      <w:r>
        <w:rPr>
          <w:noProof/>
        </w:rPr>
        <mc:AlternateContent>
          <mc:Choice Requires="wps">
            <w:drawing>
              <wp:anchor distT="0" distB="0" distL="0" distR="0" simplePos="0" relativeHeight="251661824" behindDoc="0" locked="0" layoutInCell="1" hidden="0" allowOverlap="1" wp14:anchorId="542C59D9" wp14:editId="447FC893">
                <wp:simplePos x="0" y="0"/>
                <wp:positionH relativeFrom="column">
                  <wp:posOffset>215900</wp:posOffset>
                </wp:positionH>
                <wp:positionV relativeFrom="paragraph">
                  <wp:posOffset>152400</wp:posOffset>
                </wp:positionV>
                <wp:extent cx="1270" cy="12700"/>
                <wp:effectExtent l="0" t="0" r="0" b="0"/>
                <wp:wrapTopAndBottom distT="0" distB="0"/>
                <wp:docPr id="19" name="Freeform: Shape 19"/>
                <wp:cNvGraphicFramePr/>
                <a:graphic xmlns:a="http://schemas.openxmlformats.org/drawingml/2006/main">
                  <a:graphicData uri="http://schemas.microsoft.com/office/word/2010/wordprocessingShape">
                    <wps:wsp>
                      <wps:cNvSpPr/>
                      <wps:spPr>
                        <a:xfrm>
                          <a:off x="2520250" y="3779365"/>
                          <a:ext cx="5651500" cy="1270"/>
                        </a:xfrm>
                        <a:custGeom>
                          <a:avLst/>
                          <a:gdLst/>
                          <a:ahLst/>
                          <a:cxnLst/>
                          <a:rect l="l" t="t" r="r" b="b"/>
                          <a:pathLst>
                            <a:path w="5651500" h="120000" extrusionOk="0">
                              <a:moveTo>
                                <a:pt x="0" y="0"/>
                              </a:moveTo>
                              <a:lnTo>
                                <a:pt x="5651499"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215900</wp:posOffset>
                </wp:positionH>
                <wp:positionV relativeFrom="paragraph">
                  <wp:posOffset>152400</wp:posOffset>
                </wp:positionV>
                <wp:extent cx="1270" cy="12700"/>
                <wp:effectExtent b="0" l="0" r="0" t="0"/>
                <wp:wrapTopAndBottom distB="0" distT="0"/>
                <wp:docPr id="1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2DB80BD5" w14:textId="77777777" w:rsidR="009D11F7" w:rsidRDefault="009D11F7">
      <w:pPr>
        <w:pBdr>
          <w:top w:val="nil"/>
          <w:left w:val="nil"/>
          <w:bottom w:val="nil"/>
          <w:right w:val="nil"/>
          <w:between w:val="nil"/>
        </w:pBdr>
        <w:spacing w:before="4"/>
        <w:rPr>
          <w:rFonts w:ascii="Arial" w:eastAsia="Arial" w:hAnsi="Arial" w:cs="Arial"/>
          <w:color w:val="000000"/>
          <w:sz w:val="17"/>
          <w:szCs w:val="17"/>
        </w:rPr>
      </w:pPr>
    </w:p>
    <w:sectPr w:rsidR="009D11F7">
      <w:pgSz w:w="11920" w:h="16840"/>
      <w:pgMar w:top="194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9791F" w14:textId="77777777" w:rsidR="008D4D7A" w:rsidRDefault="008D4D7A">
      <w:r>
        <w:separator/>
      </w:r>
    </w:p>
  </w:endnote>
  <w:endnote w:type="continuationSeparator" w:id="0">
    <w:p w14:paraId="5678D2E5" w14:textId="77777777" w:rsidR="008D4D7A" w:rsidRDefault="008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AppleSystemUIFon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12B3" w14:textId="77777777" w:rsidR="009D11F7" w:rsidRDefault="009D11F7">
    <w:pPr>
      <w:pBdr>
        <w:top w:val="nil"/>
        <w:left w:val="nil"/>
        <w:bottom w:val="nil"/>
        <w:right w:val="nil"/>
        <w:between w:val="nil"/>
      </w:pBdr>
      <w:tabs>
        <w:tab w:val="center" w:pos="4680"/>
        <w:tab w:val="right" w:pos="9360"/>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FABC" w14:textId="77777777" w:rsidR="009D11F7" w:rsidRDefault="009D11F7">
    <w:pPr>
      <w:pBdr>
        <w:top w:val="nil"/>
        <w:left w:val="nil"/>
        <w:bottom w:val="nil"/>
        <w:right w:val="nil"/>
        <w:between w:val="nil"/>
      </w:pBdr>
      <w:tabs>
        <w:tab w:val="center" w:pos="4680"/>
        <w:tab w:val="right" w:pos="9360"/>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7998" w14:textId="77777777" w:rsidR="009D11F7" w:rsidRDefault="009D11F7">
    <w:pPr>
      <w:pBdr>
        <w:top w:val="nil"/>
        <w:left w:val="nil"/>
        <w:bottom w:val="nil"/>
        <w:right w:val="nil"/>
        <w:between w:val="nil"/>
      </w:pBdr>
      <w:tabs>
        <w:tab w:val="center" w:pos="4680"/>
        <w:tab w:val="right" w:pos="9360"/>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88154" w14:textId="77777777" w:rsidR="008D4D7A" w:rsidRDefault="008D4D7A">
      <w:r>
        <w:separator/>
      </w:r>
    </w:p>
  </w:footnote>
  <w:footnote w:type="continuationSeparator" w:id="0">
    <w:p w14:paraId="735B3F00" w14:textId="77777777" w:rsidR="008D4D7A" w:rsidRDefault="008D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DBA6" w14:textId="77777777" w:rsidR="009D11F7" w:rsidRDefault="00000000">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noProof/>
        <w:color w:val="000000"/>
      </w:rPr>
      <w:pict w14:anchorId="6483E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94.4pt;height:66pt;rotation:315;z-index:-25165516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24D25" w14:textId="77777777" w:rsidR="009D11F7" w:rsidRDefault="00000000">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noProof/>
        <w:color w:val="000000"/>
      </w:rPr>
      <w:pict w14:anchorId="5A010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94.4pt;height:66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D9195" w14:textId="77777777" w:rsidR="009D11F7" w:rsidRDefault="00000000">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noProof/>
        <w:color w:val="000000"/>
      </w:rPr>
      <w:pict w14:anchorId="3CAB0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94.4pt;height:66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64B7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234B7"/>
    <w:multiLevelType w:val="multilevel"/>
    <w:tmpl w:val="FFFFFFFF"/>
    <w:lvl w:ilvl="0">
      <w:start w:val="8"/>
      <w:numFmt w:val="decimal"/>
      <w:lvlText w:val="%1."/>
      <w:lvlJc w:val="left"/>
      <w:pPr>
        <w:ind w:left="484" w:hanging="335"/>
      </w:pPr>
      <w:rPr>
        <w:rFonts w:ascii="Arial" w:eastAsia="Arial" w:hAnsi="Arial" w:cs="Arial"/>
        <w:b/>
        <w:i w:val="0"/>
        <w:sz w:val="30"/>
        <w:szCs w:val="30"/>
        <w:u w:val="single"/>
      </w:rPr>
    </w:lvl>
    <w:lvl w:ilvl="1">
      <w:start w:val="1"/>
      <w:numFmt w:val="decimal"/>
      <w:lvlText w:val="%2."/>
      <w:lvlJc w:val="left"/>
      <w:pPr>
        <w:ind w:left="871" w:hanging="360"/>
      </w:pPr>
      <w:rPr>
        <w:rFonts w:ascii="Arial" w:eastAsia="Arial" w:hAnsi="Arial" w:cs="Arial"/>
        <w:b w:val="0"/>
        <w:i w:val="0"/>
        <w:color w:val="111111"/>
        <w:sz w:val="24"/>
        <w:szCs w:val="24"/>
      </w:rPr>
    </w:lvl>
    <w:lvl w:ilvl="2">
      <w:numFmt w:val="bullet"/>
      <w:lvlText w:val="•"/>
      <w:lvlJc w:val="left"/>
      <w:pPr>
        <w:ind w:left="1823" w:hanging="360"/>
      </w:pPr>
    </w:lvl>
    <w:lvl w:ilvl="3">
      <w:numFmt w:val="bullet"/>
      <w:lvlText w:val="•"/>
      <w:lvlJc w:val="left"/>
      <w:pPr>
        <w:ind w:left="2766" w:hanging="360"/>
      </w:pPr>
    </w:lvl>
    <w:lvl w:ilvl="4">
      <w:numFmt w:val="bullet"/>
      <w:lvlText w:val="•"/>
      <w:lvlJc w:val="left"/>
      <w:pPr>
        <w:ind w:left="3710" w:hanging="360"/>
      </w:pPr>
    </w:lvl>
    <w:lvl w:ilvl="5">
      <w:numFmt w:val="bullet"/>
      <w:lvlText w:val="•"/>
      <w:lvlJc w:val="left"/>
      <w:pPr>
        <w:ind w:left="4653" w:hanging="360"/>
      </w:pPr>
    </w:lvl>
    <w:lvl w:ilvl="6">
      <w:numFmt w:val="bullet"/>
      <w:lvlText w:val="•"/>
      <w:lvlJc w:val="left"/>
      <w:pPr>
        <w:ind w:left="5596" w:hanging="360"/>
      </w:pPr>
    </w:lvl>
    <w:lvl w:ilvl="7">
      <w:numFmt w:val="bullet"/>
      <w:lvlText w:val="•"/>
      <w:lvlJc w:val="left"/>
      <w:pPr>
        <w:ind w:left="6540" w:hanging="360"/>
      </w:pPr>
    </w:lvl>
    <w:lvl w:ilvl="8">
      <w:numFmt w:val="bullet"/>
      <w:lvlText w:val="•"/>
      <w:lvlJc w:val="left"/>
      <w:pPr>
        <w:ind w:left="7483" w:hanging="360"/>
      </w:pPr>
    </w:lvl>
  </w:abstractNum>
  <w:abstractNum w:abstractNumId="2" w15:restartNumberingAfterBreak="0">
    <w:nsid w:val="1B096EC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8812FF"/>
    <w:multiLevelType w:val="multilevel"/>
    <w:tmpl w:val="FFFFFFFF"/>
    <w:lvl w:ilvl="0">
      <w:numFmt w:val="bullet"/>
      <w:lvlText w:val="•"/>
      <w:lvlJc w:val="left"/>
      <w:pPr>
        <w:ind w:left="150" w:hanging="150"/>
      </w:pPr>
      <w:rPr>
        <w:rFonts w:ascii="Arial" w:eastAsia="Arial" w:hAnsi="Arial" w:cs="Arial"/>
        <w:b w:val="0"/>
        <w:i w:val="0"/>
        <w:sz w:val="24"/>
        <w:szCs w:val="24"/>
      </w:rPr>
    </w:lvl>
    <w:lvl w:ilvl="1">
      <w:numFmt w:val="bullet"/>
      <w:lvlText w:val="•"/>
      <w:lvlJc w:val="left"/>
      <w:pPr>
        <w:ind w:left="1081" w:hanging="150"/>
      </w:pPr>
    </w:lvl>
    <w:lvl w:ilvl="2">
      <w:numFmt w:val="bullet"/>
      <w:lvlText w:val="•"/>
      <w:lvlJc w:val="left"/>
      <w:pPr>
        <w:ind w:left="2002" w:hanging="150"/>
      </w:pPr>
    </w:lvl>
    <w:lvl w:ilvl="3">
      <w:numFmt w:val="bullet"/>
      <w:lvlText w:val="•"/>
      <w:lvlJc w:val="left"/>
      <w:pPr>
        <w:ind w:left="2923" w:hanging="150"/>
      </w:pPr>
    </w:lvl>
    <w:lvl w:ilvl="4">
      <w:numFmt w:val="bullet"/>
      <w:lvlText w:val="•"/>
      <w:lvlJc w:val="left"/>
      <w:pPr>
        <w:ind w:left="3844" w:hanging="150"/>
      </w:pPr>
    </w:lvl>
    <w:lvl w:ilvl="5">
      <w:numFmt w:val="bullet"/>
      <w:lvlText w:val="•"/>
      <w:lvlJc w:val="left"/>
      <w:pPr>
        <w:ind w:left="4765" w:hanging="150"/>
      </w:pPr>
    </w:lvl>
    <w:lvl w:ilvl="6">
      <w:numFmt w:val="bullet"/>
      <w:lvlText w:val="•"/>
      <w:lvlJc w:val="left"/>
      <w:pPr>
        <w:ind w:left="5686" w:hanging="150"/>
      </w:pPr>
    </w:lvl>
    <w:lvl w:ilvl="7">
      <w:numFmt w:val="bullet"/>
      <w:lvlText w:val="•"/>
      <w:lvlJc w:val="left"/>
      <w:pPr>
        <w:ind w:left="6607" w:hanging="150"/>
      </w:pPr>
    </w:lvl>
    <w:lvl w:ilvl="8">
      <w:numFmt w:val="bullet"/>
      <w:lvlText w:val="•"/>
      <w:lvlJc w:val="left"/>
      <w:pPr>
        <w:ind w:left="7528" w:hanging="150"/>
      </w:pPr>
    </w:lvl>
  </w:abstractNum>
  <w:abstractNum w:abstractNumId="4" w15:restartNumberingAfterBreak="0">
    <w:nsid w:val="3D3C68A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D0049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B43057"/>
    <w:multiLevelType w:val="multilevel"/>
    <w:tmpl w:val="FFFFFFFF"/>
    <w:lvl w:ilvl="0">
      <w:start w:val="1"/>
      <w:numFmt w:val="decimal"/>
      <w:lvlText w:val="%1."/>
      <w:lvlJc w:val="left"/>
      <w:pPr>
        <w:ind w:left="430" w:hanging="265"/>
      </w:pPr>
      <w:rPr>
        <w:rFonts w:ascii="Arial" w:eastAsia="Arial" w:hAnsi="Arial" w:cs="Arial"/>
        <w:b w:val="0"/>
        <w:i w:val="0"/>
        <w:sz w:val="24"/>
        <w:szCs w:val="24"/>
      </w:rPr>
    </w:lvl>
    <w:lvl w:ilvl="1">
      <w:numFmt w:val="bullet"/>
      <w:lvlText w:val="•"/>
      <w:lvlJc w:val="left"/>
      <w:pPr>
        <w:ind w:left="1333" w:hanging="265"/>
      </w:pPr>
    </w:lvl>
    <w:lvl w:ilvl="2">
      <w:numFmt w:val="bullet"/>
      <w:lvlText w:val="•"/>
      <w:lvlJc w:val="left"/>
      <w:pPr>
        <w:ind w:left="2226" w:hanging="265"/>
      </w:pPr>
    </w:lvl>
    <w:lvl w:ilvl="3">
      <w:numFmt w:val="bullet"/>
      <w:lvlText w:val="•"/>
      <w:lvlJc w:val="left"/>
      <w:pPr>
        <w:ind w:left="3119" w:hanging="265"/>
      </w:pPr>
    </w:lvl>
    <w:lvl w:ilvl="4">
      <w:numFmt w:val="bullet"/>
      <w:lvlText w:val="•"/>
      <w:lvlJc w:val="left"/>
      <w:pPr>
        <w:ind w:left="4012" w:hanging="265"/>
      </w:pPr>
    </w:lvl>
    <w:lvl w:ilvl="5">
      <w:numFmt w:val="bullet"/>
      <w:lvlText w:val="•"/>
      <w:lvlJc w:val="left"/>
      <w:pPr>
        <w:ind w:left="4905" w:hanging="265"/>
      </w:pPr>
    </w:lvl>
    <w:lvl w:ilvl="6">
      <w:numFmt w:val="bullet"/>
      <w:lvlText w:val="•"/>
      <w:lvlJc w:val="left"/>
      <w:pPr>
        <w:ind w:left="5798" w:hanging="265"/>
      </w:pPr>
    </w:lvl>
    <w:lvl w:ilvl="7">
      <w:numFmt w:val="bullet"/>
      <w:lvlText w:val="•"/>
      <w:lvlJc w:val="left"/>
      <w:pPr>
        <w:ind w:left="6691" w:hanging="265"/>
      </w:pPr>
    </w:lvl>
    <w:lvl w:ilvl="8">
      <w:numFmt w:val="bullet"/>
      <w:lvlText w:val="•"/>
      <w:lvlJc w:val="left"/>
      <w:pPr>
        <w:ind w:left="7584" w:hanging="265"/>
      </w:pPr>
    </w:lvl>
  </w:abstractNum>
  <w:abstractNum w:abstractNumId="7" w15:restartNumberingAfterBreak="0">
    <w:nsid w:val="4C824F6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27819"/>
    <w:multiLevelType w:val="multilevel"/>
    <w:tmpl w:val="FFFFFFFF"/>
    <w:lvl w:ilvl="0">
      <w:start w:val="1"/>
      <w:numFmt w:val="decimal"/>
      <w:lvlText w:val="%1."/>
      <w:lvlJc w:val="left"/>
      <w:pPr>
        <w:ind w:left="2820" w:hanging="300"/>
      </w:pPr>
      <w:rPr>
        <w:u w:val="single"/>
      </w:rPr>
    </w:lvl>
    <w:lvl w:ilvl="1">
      <w:start w:val="1"/>
      <w:numFmt w:val="decimal"/>
      <w:lvlText w:val="%1.%2"/>
      <w:lvlJc w:val="left"/>
      <w:pPr>
        <w:ind w:left="550" w:hanging="400"/>
      </w:pPr>
    </w:lvl>
    <w:lvl w:ilvl="2">
      <w:numFmt w:val="bullet"/>
      <w:lvlText w:val="●"/>
      <w:lvlJc w:val="left"/>
      <w:pPr>
        <w:ind w:left="886" w:hanging="360"/>
      </w:pPr>
      <w:rPr>
        <w:rFonts w:ascii="Arial" w:eastAsia="Arial" w:hAnsi="Arial" w:cs="Arial"/>
        <w:b w:val="0"/>
        <w:i w:val="0"/>
        <w:sz w:val="24"/>
        <w:szCs w:val="24"/>
      </w:rPr>
    </w:lvl>
    <w:lvl w:ilvl="3">
      <w:numFmt w:val="bullet"/>
      <w:lvlText w:val="•"/>
      <w:lvlJc w:val="left"/>
      <w:pPr>
        <w:ind w:left="1941" w:hanging="360"/>
      </w:pPr>
    </w:lvl>
    <w:lvl w:ilvl="4">
      <w:numFmt w:val="bullet"/>
      <w:lvlText w:val="•"/>
      <w:lvlJc w:val="left"/>
      <w:pPr>
        <w:ind w:left="3002" w:hanging="360"/>
      </w:pPr>
    </w:lvl>
    <w:lvl w:ilvl="5">
      <w:numFmt w:val="bullet"/>
      <w:lvlText w:val="•"/>
      <w:lvlJc w:val="left"/>
      <w:pPr>
        <w:ind w:left="4063" w:hanging="360"/>
      </w:pPr>
    </w:lvl>
    <w:lvl w:ilvl="6">
      <w:numFmt w:val="bullet"/>
      <w:lvlText w:val="•"/>
      <w:lvlJc w:val="left"/>
      <w:pPr>
        <w:ind w:left="5125" w:hanging="360"/>
      </w:pPr>
    </w:lvl>
    <w:lvl w:ilvl="7">
      <w:numFmt w:val="bullet"/>
      <w:lvlText w:val="•"/>
      <w:lvlJc w:val="left"/>
      <w:pPr>
        <w:ind w:left="6186" w:hanging="360"/>
      </w:pPr>
    </w:lvl>
    <w:lvl w:ilvl="8">
      <w:numFmt w:val="bullet"/>
      <w:lvlText w:val="•"/>
      <w:lvlJc w:val="left"/>
      <w:pPr>
        <w:ind w:left="7247" w:hanging="360"/>
      </w:pPr>
    </w:lvl>
  </w:abstractNum>
  <w:abstractNum w:abstractNumId="9" w15:restartNumberingAfterBreak="0">
    <w:nsid w:val="62790FCA"/>
    <w:multiLevelType w:val="multilevel"/>
    <w:tmpl w:val="FFFFFFFF"/>
    <w:lvl w:ilvl="0">
      <w:numFmt w:val="bullet"/>
      <w:lvlText w:val="●"/>
      <w:lvlJc w:val="left"/>
      <w:pPr>
        <w:ind w:left="1246" w:hanging="360"/>
      </w:pPr>
      <w:rPr>
        <w:rFonts w:ascii="Arial" w:eastAsia="Arial" w:hAnsi="Arial" w:cs="Arial"/>
        <w:b w:val="0"/>
        <w:i w:val="0"/>
        <w:sz w:val="22"/>
        <w:szCs w:val="22"/>
      </w:rPr>
    </w:lvl>
    <w:lvl w:ilvl="1">
      <w:numFmt w:val="bullet"/>
      <w:lvlText w:val="•"/>
      <w:lvlJc w:val="left"/>
      <w:pPr>
        <w:ind w:left="2053" w:hanging="360"/>
      </w:pPr>
    </w:lvl>
    <w:lvl w:ilvl="2">
      <w:numFmt w:val="bullet"/>
      <w:lvlText w:val="•"/>
      <w:lvlJc w:val="left"/>
      <w:pPr>
        <w:ind w:left="2866" w:hanging="360"/>
      </w:pPr>
    </w:lvl>
    <w:lvl w:ilvl="3">
      <w:numFmt w:val="bullet"/>
      <w:lvlText w:val="•"/>
      <w:lvlJc w:val="left"/>
      <w:pPr>
        <w:ind w:left="3679" w:hanging="360"/>
      </w:pPr>
    </w:lvl>
    <w:lvl w:ilvl="4">
      <w:numFmt w:val="bullet"/>
      <w:lvlText w:val="•"/>
      <w:lvlJc w:val="left"/>
      <w:pPr>
        <w:ind w:left="4492" w:hanging="360"/>
      </w:pPr>
    </w:lvl>
    <w:lvl w:ilvl="5">
      <w:numFmt w:val="bullet"/>
      <w:lvlText w:val="•"/>
      <w:lvlJc w:val="left"/>
      <w:pPr>
        <w:ind w:left="5305" w:hanging="360"/>
      </w:pPr>
    </w:lvl>
    <w:lvl w:ilvl="6">
      <w:numFmt w:val="bullet"/>
      <w:lvlText w:val="•"/>
      <w:lvlJc w:val="left"/>
      <w:pPr>
        <w:ind w:left="6118" w:hanging="360"/>
      </w:pPr>
    </w:lvl>
    <w:lvl w:ilvl="7">
      <w:numFmt w:val="bullet"/>
      <w:lvlText w:val="•"/>
      <w:lvlJc w:val="left"/>
      <w:pPr>
        <w:ind w:left="6931" w:hanging="360"/>
      </w:pPr>
    </w:lvl>
    <w:lvl w:ilvl="8">
      <w:numFmt w:val="bullet"/>
      <w:lvlText w:val="•"/>
      <w:lvlJc w:val="left"/>
      <w:pPr>
        <w:ind w:left="7744" w:hanging="360"/>
      </w:pPr>
    </w:lvl>
  </w:abstractNum>
  <w:abstractNum w:abstractNumId="10" w15:restartNumberingAfterBreak="0">
    <w:nsid w:val="66354C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396E02"/>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F597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CC579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D03F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685739">
    <w:abstractNumId w:val="13"/>
  </w:num>
  <w:num w:numId="2" w16cid:durableId="1991324230">
    <w:abstractNumId w:val="10"/>
  </w:num>
  <w:num w:numId="3" w16cid:durableId="608633061">
    <w:abstractNumId w:val="7"/>
  </w:num>
  <w:num w:numId="4" w16cid:durableId="808941179">
    <w:abstractNumId w:val="0"/>
  </w:num>
  <w:num w:numId="5" w16cid:durableId="321856461">
    <w:abstractNumId w:val="12"/>
  </w:num>
  <w:num w:numId="6" w16cid:durableId="1971860594">
    <w:abstractNumId w:val="14"/>
  </w:num>
  <w:num w:numId="7" w16cid:durableId="680158290">
    <w:abstractNumId w:val="5"/>
  </w:num>
  <w:num w:numId="8" w16cid:durableId="306591442">
    <w:abstractNumId w:val="4"/>
  </w:num>
  <w:num w:numId="9" w16cid:durableId="682393280">
    <w:abstractNumId w:val="1"/>
  </w:num>
  <w:num w:numId="10" w16cid:durableId="36976472">
    <w:abstractNumId w:val="3"/>
  </w:num>
  <w:num w:numId="11" w16cid:durableId="255214433">
    <w:abstractNumId w:val="6"/>
  </w:num>
  <w:num w:numId="12" w16cid:durableId="290287678">
    <w:abstractNumId w:val="9"/>
  </w:num>
  <w:num w:numId="13" w16cid:durableId="1859155267">
    <w:abstractNumId w:val="8"/>
  </w:num>
  <w:num w:numId="14" w16cid:durableId="1599488715">
    <w:abstractNumId w:val="2"/>
  </w:num>
  <w:num w:numId="15" w16cid:durableId="2251481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F7"/>
    <w:rsid w:val="00075835"/>
    <w:rsid w:val="00136D4B"/>
    <w:rsid w:val="001612DE"/>
    <w:rsid w:val="001E69B8"/>
    <w:rsid w:val="002B63E4"/>
    <w:rsid w:val="00326027"/>
    <w:rsid w:val="003E6922"/>
    <w:rsid w:val="004B1543"/>
    <w:rsid w:val="004E242F"/>
    <w:rsid w:val="00626C8B"/>
    <w:rsid w:val="006D746F"/>
    <w:rsid w:val="00776457"/>
    <w:rsid w:val="007A6EF9"/>
    <w:rsid w:val="008D4D7A"/>
    <w:rsid w:val="009933E3"/>
    <w:rsid w:val="009D11F7"/>
    <w:rsid w:val="00A55E32"/>
    <w:rsid w:val="00CE4309"/>
    <w:rsid w:val="00D419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E026645"/>
  <w15:docId w15:val="{2B9DE685-0D72-0A4D-B302-6F95CBF7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398" w:hanging="248"/>
      <w:outlineLvl w:val="0"/>
    </w:pPr>
    <w:rPr>
      <w:rFonts w:ascii="Arial" w:eastAsia="Arial" w:hAnsi="Arial" w:cs="Arial"/>
      <w:b/>
      <w:bCs/>
      <w:sz w:val="30"/>
      <w:szCs w:val="30"/>
      <w:u w:val="single" w:color="000000"/>
    </w:rPr>
  </w:style>
  <w:style w:type="paragraph" w:styleId="Heading2">
    <w:name w:val="heading 2"/>
    <w:basedOn w:val="Normal"/>
    <w:uiPriority w:val="9"/>
    <w:unhideWhenUsed/>
    <w:qFormat/>
    <w:pPr>
      <w:ind w:left="150"/>
      <w:outlineLvl w:val="1"/>
    </w:pPr>
    <w:rPr>
      <w:rFonts w:ascii="Arial" w:eastAsia="Arial" w:hAnsi="Arial" w:cs="Arial"/>
      <w:b/>
      <w:bCs/>
      <w:sz w:val="26"/>
      <w:szCs w:val="26"/>
    </w:rPr>
  </w:style>
  <w:style w:type="paragraph" w:styleId="Heading3">
    <w:name w:val="heading 3"/>
    <w:basedOn w:val="Normal"/>
    <w:uiPriority w:val="9"/>
    <w:unhideWhenUsed/>
    <w:qFormat/>
    <w:pPr>
      <w:ind w:left="150" w:hanging="454"/>
      <w:outlineLvl w:val="2"/>
    </w:pPr>
    <w:rPr>
      <w:rFonts w:ascii="Arial" w:eastAsia="Arial" w:hAnsi="Arial" w:cs="Arial"/>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73"/>
      <w:ind w:left="1606" w:right="191" w:hanging="1286"/>
    </w:pPr>
    <w:rPr>
      <w:rFonts w:ascii="Arial" w:eastAsia="Arial" w:hAnsi="Arial" w:cs="Arial"/>
      <w:b/>
      <w:bCs/>
      <w:sz w:val="36"/>
      <w:szCs w:val="36"/>
      <w:u w:val="single" w:color="00000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0428"/>
    <w:pPr>
      <w:tabs>
        <w:tab w:val="center" w:pos="4680"/>
        <w:tab w:val="right" w:pos="9360"/>
      </w:tabs>
    </w:pPr>
  </w:style>
  <w:style w:type="character" w:customStyle="1" w:styleId="HeaderChar">
    <w:name w:val="Header Char"/>
    <w:basedOn w:val="DefaultParagraphFont"/>
    <w:link w:val="Header"/>
    <w:uiPriority w:val="99"/>
    <w:rsid w:val="00970428"/>
    <w:rPr>
      <w:rFonts w:ascii="Arial MT" w:eastAsia="Arial MT" w:hAnsi="Arial MT" w:cs="Arial MT"/>
    </w:rPr>
  </w:style>
  <w:style w:type="paragraph" w:styleId="Footer">
    <w:name w:val="footer"/>
    <w:basedOn w:val="Normal"/>
    <w:link w:val="FooterChar"/>
    <w:uiPriority w:val="99"/>
    <w:unhideWhenUsed/>
    <w:rsid w:val="00970428"/>
    <w:pPr>
      <w:tabs>
        <w:tab w:val="center" w:pos="4680"/>
        <w:tab w:val="right" w:pos="9360"/>
      </w:tabs>
    </w:pPr>
  </w:style>
  <w:style w:type="character" w:customStyle="1" w:styleId="FooterChar">
    <w:name w:val="Footer Char"/>
    <w:basedOn w:val="DefaultParagraphFont"/>
    <w:link w:val="Footer"/>
    <w:uiPriority w:val="99"/>
    <w:rsid w:val="00970428"/>
    <w:rPr>
      <w:rFonts w:ascii="Arial MT" w:eastAsia="Arial MT" w:hAnsi="Arial MT" w:cs="Arial M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customStyle="1" w:styleId="p1">
    <w:name w:val="p1"/>
    <w:basedOn w:val="Normal"/>
    <w:rsid w:val="00CE4309"/>
    <w:pPr>
      <w:widowControl/>
      <w:spacing w:before="100" w:beforeAutospacing="1" w:after="100" w:afterAutospacing="1"/>
    </w:pPr>
    <w:rPr>
      <w:rFonts w:ascii="Times New Roman" w:eastAsiaTheme="minorEastAsia" w:hAnsi="Times New Roman" w:cs="Times New Roman"/>
      <w:sz w:val="24"/>
      <w:szCs w:val="24"/>
      <w:lang/>
    </w:rPr>
  </w:style>
  <w:style w:type="character" w:customStyle="1" w:styleId="s1">
    <w:name w:val="s1"/>
    <w:basedOn w:val="DefaultParagraphFont"/>
    <w:rsid w:val="00CE4309"/>
  </w:style>
  <w:style w:type="paragraph" w:customStyle="1" w:styleId="p2">
    <w:name w:val="p2"/>
    <w:basedOn w:val="Normal"/>
    <w:rsid w:val="00CE4309"/>
    <w:pPr>
      <w:widowControl/>
      <w:spacing w:before="100" w:beforeAutospacing="1" w:after="100" w:afterAutospacing="1"/>
    </w:pPr>
    <w:rPr>
      <w:rFonts w:ascii="Times New Roman" w:eastAsiaTheme="minorEastAsia" w:hAnsi="Times New Roman" w:cs="Times New Roman"/>
      <w:sz w:val="24"/>
      <w:szCs w:val="24"/>
      <w:lang/>
    </w:rPr>
  </w:style>
  <w:style w:type="character" w:customStyle="1" w:styleId="s2">
    <w:name w:val="s2"/>
    <w:basedOn w:val="DefaultParagraphFont"/>
    <w:rsid w:val="00CE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015051">
      <w:bodyDiv w:val="1"/>
      <w:marLeft w:val="0"/>
      <w:marRight w:val="0"/>
      <w:marTop w:val="0"/>
      <w:marBottom w:val="0"/>
      <w:divBdr>
        <w:top w:val="none" w:sz="0" w:space="0" w:color="auto"/>
        <w:left w:val="none" w:sz="0" w:space="0" w:color="auto"/>
        <w:bottom w:val="none" w:sz="0" w:space="0" w:color="auto"/>
        <w:right w:val="none" w:sz="0" w:space="0" w:color="auto"/>
      </w:divBdr>
    </w:div>
    <w:div w:id="896815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3390/pr8091088" TargetMode="External"/><Relationship Id="rId26" Type="http://schemas.openxmlformats.org/officeDocument/2006/relationships/hyperlink" Target="https://doi.org/10.3390/app13137940" TargetMode="External"/><Relationship Id="rId39" Type="http://schemas.openxmlformats.org/officeDocument/2006/relationships/hyperlink" Target="https://www.researchgate.net/publication/380550890" TargetMode="External"/><Relationship Id="rId21" Type="http://schemas.openxmlformats.org/officeDocument/2006/relationships/hyperlink" Target="https://doi.org/10.3389/fdgth.2023.1302338" TargetMode="External"/><Relationship Id="rId34" Type="http://schemas.openxmlformats.org/officeDocument/2006/relationships/hyperlink" Target="https://www.sciencedirect.com/science/article/pii/B9780443288845000270" TargetMode="External"/><Relationship Id="rId42" Type="http://schemas.openxmlformats.org/officeDocument/2006/relationships/hyperlink" Target="https://www.jmir.org/2024/1/e50204/" TargetMode="External"/><Relationship Id="rId47" Type="http://schemas.openxmlformats.org/officeDocument/2006/relationships/hyperlink" Target="https://www.researchgate.net/publication/381187007" TargetMode="External"/><Relationship Id="rId50" Type="http://schemas.openxmlformats.org/officeDocument/2006/relationships/hyperlink" Target="https://www.nature.com/articles/s41746-024-01073-0" TargetMode="External"/><Relationship Id="rId55" Type="http://schemas.openxmlformats.org/officeDocument/2006/relationships/hyperlink" Target="https://www.researchgate.net/publication/39158043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g"/><Relationship Id="rId29" Type="http://schemas.openxmlformats.org/officeDocument/2006/relationships/hyperlink" Target="https://www.nature.com/articles/s41746-024-01073-0" TargetMode="External"/><Relationship Id="rId11" Type="http://schemas.openxmlformats.org/officeDocument/2006/relationships/footer" Target="footer1.xml"/><Relationship Id="rId24" Type="http://schemas.openxmlformats.org/officeDocument/2006/relationships/hyperlink" Target="https://doi.org/10.3390/jpm11080745" TargetMode="External"/><Relationship Id="rId32" Type="http://schemas.openxmlformats.org/officeDocument/2006/relationships/hyperlink" Target="https://www.sciencedirect.com/science/article/pii/B9780443342264000150" TargetMode="External"/><Relationship Id="rId37" Type="http://schemas.openxmlformats.org/officeDocument/2006/relationships/hyperlink" Target="https://www.jmir.org/2024/1/e50204/" TargetMode="External"/><Relationship Id="rId40" Type="http://schemas.openxmlformats.org/officeDocument/2006/relationships/hyperlink" Target="https://www.mdpi.com/2673-7426/4/2/79" TargetMode="External"/><Relationship Id="rId45" Type="http://schemas.openxmlformats.org/officeDocument/2006/relationships/hyperlink" Target="https://www.sciencedirect.com/science/article/abs/pii/B9780443301681000049" TargetMode="External"/><Relationship Id="rId53" Type="http://schemas.openxmlformats.org/officeDocument/2006/relationships/hyperlink" Target="https://www.sciencedirect.com/science/article/abs/pii/B9780443288845000270" TargetMode="External"/><Relationship Id="rId5" Type="http://schemas.openxmlformats.org/officeDocument/2006/relationships/webSettings" Target="webSettings.xml"/><Relationship Id="rId19" Type="http://schemas.openxmlformats.org/officeDocument/2006/relationships/hyperlink" Target="https://doi.org/10.3390/pr809108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38/s43588-024-00607-6" TargetMode="External"/><Relationship Id="rId27" Type="http://schemas.openxmlformats.org/officeDocument/2006/relationships/hyperlink" Target="https://doi.org/10.3390/app13137940" TargetMode="External"/><Relationship Id="rId30" Type="http://schemas.openxmlformats.org/officeDocument/2006/relationships/hyperlink" Target="https://doi.org/10.1007/978-3-031-69336-6_16" TargetMode="External"/><Relationship Id="rId35" Type="http://schemas.openxmlformats.org/officeDocument/2006/relationships/hyperlink" Target="https://www.sciencedirect.com/science/article/pii/B9780443288845000270" TargetMode="External"/><Relationship Id="rId43" Type="http://schemas.openxmlformats.org/officeDocument/2006/relationships/hyperlink" Target="https://www.jmir.org/2024/1/e50204/" TargetMode="External"/><Relationship Id="rId48" Type="http://schemas.openxmlformats.org/officeDocument/2006/relationships/hyperlink" Target="https://www.sciencedirect.com/science/article/abs/pii/B9780443342264000150" TargetMode="External"/><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s://www.nature.com/articles/s41746-024-01073-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pfizer.com/news/articles/how_pfizer_scaled_up_covid_19_vaccin" TargetMode="External"/><Relationship Id="rId25" Type="http://schemas.openxmlformats.org/officeDocument/2006/relationships/hyperlink" Target="https://doi.org/10.3390/jpm11080745" TargetMode="External"/><Relationship Id="rId33" Type="http://schemas.openxmlformats.org/officeDocument/2006/relationships/hyperlink" Target="https://www.sciencedirect.com/science/article/pii/B9780443342264000150" TargetMode="External"/><Relationship Id="rId38" Type="http://schemas.openxmlformats.org/officeDocument/2006/relationships/hyperlink" Target="https://www.researchgate.net/publication/380550890" TargetMode="External"/><Relationship Id="rId46" Type="http://schemas.openxmlformats.org/officeDocument/2006/relationships/hyperlink" Target="https://www.researchgate.net/publication/381187007" TargetMode="External"/><Relationship Id="rId20" Type="http://schemas.openxmlformats.org/officeDocument/2006/relationships/hyperlink" Target="https://doi.org/10.3389/fdgth.2023.1302338" TargetMode="External"/><Relationship Id="rId41" Type="http://schemas.openxmlformats.org/officeDocument/2006/relationships/hyperlink" Target="https://www.mdpi.com/2673-7426/4/2/79" TargetMode="External"/><Relationship Id="rId54" Type="http://schemas.openxmlformats.org/officeDocument/2006/relationships/hyperlink" Target="https://www.researchgate.net/publication/3915804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doi.org/10.1038/s43588-024-00607-6" TargetMode="External"/><Relationship Id="rId28" Type="http://schemas.openxmlformats.org/officeDocument/2006/relationships/hyperlink" Target="https://www.nature.com/articles/s41746-024-01073-0" TargetMode="External"/><Relationship Id="rId36" Type="http://schemas.openxmlformats.org/officeDocument/2006/relationships/hyperlink" Target="https://www.jmir.org/2024/1/e50204/" TargetMode="External"/><Relationship Id="rId49" Type="http://schemas.openxmlformats.org/officeDocument/2006/relationships/hyperlink" Target="https://www.sciencedirect.com/science/article/abs/pii/B9780443342264000150"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doi.org/10.1007/978-3-031-69336-6_16" TargetMode="External"/><Relationship Id="rId44" Type="http://schemas.openxmlformats.org/officeDocument/2006/relationships/hyperlink" Target="https://www.sciencedirect.com/science/article/abs/pii/B9780443301681000049" TargetMode="External"/><Relationship Id="rId52" Type="http://schemas.openxmlformats.org/officeDocument/2006/relationships/hyperlink" Target="https://www.sciencedirect.com/science/article/abs/pii/B9780443288845000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GoQmtuiMdzTx0gpsi5YVok0A==">CgMxLjAyD2lkLnBhaXo1YTUyYjdkNzIPaWQuNTRtN2ZvOHljNHB3Mg5pZC5oNWZtbHozc3VxdDIPaWQudXQ4ZDBjeWtla3BpMg9pZC5pMGUwcXhlcDJjNmkyD2lkLnN1cGpwMG9xZG04bDIPaWQuMjgwcmJhYTZjYWJ0Mg9pZC51YzF3NnhseGE0Z3EyDmguanE2Z3JwbTE4MG1rMg5oLnl5cmtmYWdqejRhbTIOaC41c2V2MGtsNnczbzgyD2lkLmxoOHR2and4NHVlZTgAciExLUV3UURPOGxiS2dDSlBoMl9pa0xDc0FkWUJPcnB4Z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3484</Words>
  <Characters>19864</Characters>
  <Application>Microsoft Office Word</Application>
  <DocSecurity>0</DocSecurity>
  <Lines>165</Lines>
  <Paragraphs>46</Paragraphs>
  <ScaleCrop>false</ScaleCrop>
  <Company/>
  <LinksUpToDate>false</LinksUpToDate>
  <CharactersWithSpaces>23302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11</cp:revision>
  <dcterms:created xsi:type="dcterms:W3CDTF">2025-05-26T07:35:00Z</dcterms:created>
  <dcterms:modified xsi:type="dcterms:W3CDTF">2025-05-28T05:25:00Z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2025-05-16T00:00:00Z</vt:filetime>
  </property>
  <property fmtid="{D5CDD505-2E9C-101B-9397-08002B2CF9AE}" pid="3" name="Creator">
    <vt:lpwstr>Microsoft Word</vt:lpwstr>
  </property>
  <property fmtid="{D5CDD505-2E9C-101B-9397-08002B2CF9AE}" pid="4" name="LastSaved">
    <vt:filetime>2025-05-17T00:00:00Z</vt:filetime>
  </property>
</Properties>
</file>