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F0AAB" w14:textId="25CEC73C" w:rsidR="008021DB" w:rsidRPr="00734B3D" w:rsidRDefault="008021DB">
      <w:pPr>
        <w:spacing w:line="240" w:lineRule="auto"/>
        <w:jc w:val="both"/>
        <w:rPr>
          <w:rFonts w:ascii="Arial" w:eastAsia="Times New Roman" w:hAnsi="Arial" w:cs="Arial"/>
          <w:b/>
          <w:bCs/>
          <w:sz w:val="40"/>
          <w:szCs w:val="40"/>
          <w:lang w:eastAsia="zh-CN"/>
        </w:rPr>
      </w:pPr>
      <w:r w:rsidRPr="00734B3D">
        <w:rPr>
          <w:rFonts w:ascii="Arial" w:eastAsia="Times New Roman" w:hAnsi="Arial" w:cs="Arial"/>
          <w:b/>
          <w:bCs/>
          <w:sz w:val="40"/>
          <w:szCs w:val="40"/>
          <w:highlight w:val="yellow"/>
          <w:lang w:eastAsia="zh-CN"/>
        </w:rPr>
        <w:t>DOSE-DEPENDENT HEMATOLOGICAL EFFECTS OF GREEN TEA (CAMELLIA SINENSIS) EXTRACT IN MALE WISTAR RATS</w:t>
      </w:r>
    </w:p>
    <w:p w14:paraId="2702A9F2" w14:textId="77777777" w:rsidR="00AA4E10" w:rsidRPr="00734B3D" w:rsidRDefault="00AA4E10">
      <w:pPr>
        <w:spacing w:line="240" w:lineRule="auto"/>
        <w:jc w:val="both"/>
        <w:rPr>
          <w:rFonts w:ascii="Arial" w:eastAsia="Times New Roman" w:hAnsi="Arial" w:cs="Arial"/>
          <w:sz w:val="40"/>
          <w:szCs w:val="40"/>
          <w:lang w:eastAsia="zh-CN"/>
        </w:rPr>
      </w:pPr>
    </w:p>
    <w:p w14:paraId="6FBB0705" w14:textId="77777777" w:rsidR="008021DB" w:rsidRPr="00734B3D" w:rsidRDefault="008021DB">
      <w:pPr>
        <w:spacing w:line="240" w:lineRule="auto"/>
        <w:jc w:val="both"/>
        <w:rPr>
          <w:rFonts w:ascii="Arial" w:eastAsia="Times New Roman" w:hAnsi="Arial" w:cs="Arial"/>
          <w:sz w:val="40"/>
          <w:szCs w:val="40"/>
          <w:lang w:eastAsia="zh-CN"/>
        </w:rPr>
      </w:pPr>
    </w:p>
    <w:p w14:paraId="0162EB0C" w14:textId="77777777" w:rsidR="00AF0309" w:rsidRPr="00734B3D" w:rsidRDefault="00AF0309">
      <w:pPr>
        <w:spacing w:line="360" w:lineRule="auto"/>
        <w:jc w:val="both"/>
        <w:rPr>
          <w:rFonts w:ascii="Arial" w:hAnsi="Arial" w:cs="Arial"/>
          <w:b/>
          <w:bCs/>
          <w:caps/>
          <w:sz w:val="28"/>
          <w:szCs w:val="28"/>
          <w:lang w:eastAsia="zh-CN"/>
        </w:rPr>
      </w:pPr>
    </w:p>
    <w:p w14:paraId="0B9C7097" w14:textId="77777777" w:rsidR="00AF0309" w:rsidRPr="00734B3D" w:rsidRDefault="00EA2AB3">
      <w:pPr>
        <w:spacing w:line="360" w:lineRule="auto"/>
        <w:jc w:val="both"/>
        <w:rPr>
          <w:rFonts w:ascii="Arial" w:hAnsi="Arial" w:cs="Arial"/>
          <w:b/>
          <w:bCs/>
          <w:sz w:val="28"/>
          <w:szCs w:val="28"/>
          <w:lang w:eastAsia="zh-CN"/>
        </w:rPr>
      </w:pPr>
      <w:r w:rsidRPr="00734B3D">
        <w:rPr>
          <w:rFonts w:ascii="Arial" w:hAnsi="Arial" w:cs="Arial"/>
          <w:b/>
          <w:bCs/>
          <w:sz w:val="28"/>
          <w:szCs w:val="28"/>
          <w:lang w:eastAsia="zh-CN"/>
        </w:rPr>
        <w:t>Abstract</w:t>
      </w:r>
    </w:p>
    <w:p w14:paraId="42850983" w14:textId="1D0845A5" w:rsidR="006C2645" w:rsidRPr="00734B3D" w:rsidRDefault="00EA2AB3">
      <w:pPr>
        <w:spacing w:line="360" w:lineRule="auto"/>
        <w:jc w:val="both"/>
        <w:rPr>
          <w:rFonts w:ascii="Arial" w:hAnsi="Arial" w:cs="Arial"/>
          <w:sz w:val="24"/>
          <w:szCs w:val="24"/>
          <w:lang w:eastAsia="zh-CN"/>
        </w:rPr>
      </w:pPr>
      <w:r w:rsidRPr="00734B3D">
        <w:rPr>
          <w:rFonts w:ascii="Arial" w:hAnsi="Arial" w:cs="Arial"/>
          <w:b/>
          <w:bCs/>
          <w:sz w:val="24"/>
          <w:szCs w:val="24"/>
          <w:lang w:eastAsia="zh-CN"/>
        </w:rPr>
        <w:t>Background</w:t>
      </w:r>
      <w:r w:rsidRPr="00734B3D">
        <w:rPr>
          <w:rFonts w:ascii="Arial" w:hAnsi="Arial" w:cs="Arial"/>
          <w:sz w:val="24"/>
          <w:szCs w:val="24"/>
          <w:lang w:eastAsia="zh-CN"/>
        </w:rPr>
        <w:t xml:space="preserve">: Green tea (Camellia sinensis) </w:t>
      </w:r>
      <w:r w:rsidRPr="00A02284">
        <w:rPr>
          <w:rFonts w:ascii="Arial" w:hAnsi="Arial" w:cs="Arial"/>
          <w:sz w:val="24"/>
          <w:szCs w:val="24"/>
          <w:highlight w:val="yellow"/>
          <w:lang w:eastAsia="zh-CN"/>
        </w:rPr>
        <w:t>is widely recognized for its antioxidant, metabolic, and cardiovascular benefits. However, its dose-dependent effects on hematologica</w:t>
      </w:r>
      <w:r w:rsidRPr="00734B3D">
        <w:rPr>
          <w:rFonts w:ascii="Arial" w:hAnsi="Arial" w:cs="Arial"/>
          <w:sz w:val="24"/>
          <w:szCs w:val="24"/>
          <w:lang w:eastAsia="zh-CN"/>
        </w:rPr>
        <w:t xml:space="preserve">l parameters remain unclear, particularly under non-pathological conditions. </w:t>
      </w:r>
    </w:p>
    <w:p w14:paraId="0B97F75F" w14:textId="6931206A" w:rsidR="00AF0309" w:rsidRPr="00734B3D" w:rsidRDefault="006C2645">
      <w:pPr>
        <w:spacing w:line="360" w:lineRule="auto"/>
        <w:jc w:val="both"/>
        <w:rPr>
          <w:rFonts w:ascii="Arial" w:hAnsi="Arial" w:cs="Arial"/>
          <w:sz w:val="24"/>
          <w:szCs w:val="24"/>
          <w:lang w:eastAsia="zh-CN"/>
        </w:rPr>
      </w:pPr>
      <w:r w:rsidRPr="00734B3D">
        <w:rPr>
          <w:rFonts w:ascii="Arial" w:hAnsi="Arial" w:cs="Arial"/>
          <w:b/>
          <w:bCs/>
          <w:sz w:val="24"/>
          <w:szCs w:val="24"/>
          <w:highlight w:val="yellow"/>
          <w:lang w:eastAsia="zh-CN"/>
        </w:rPr>
        <w:t>Aim</w:t>
      </w:r>
      <w:r w:rsidRPr="00734B3D">
        <w:rPr>
          <w:rFonts w:ascii="Arial" w:hAnsi="Arial" w:cs="Arial"/>
          <w:sz w:val="24"/>
          <w:szCs w:val="24"/>
          <w:highlight w:val="yellow"/>
          <w:lang w:eastAsia="zh-CN"/>
        </w:rPr>
        <w:t xml:space="preserve">: </w:t>
      </w:r>
      <w:r w:rsidR="00EA2AB3" w:rsidRPr="00734B3D">
        <w:rPr>
          <w:rFonts w:ascii="Arial" w:hAnsi="Arial" w:cs="Arial"/>
          <w:sz w:val="24"/>
          <w:szCs w:val="24"/>
          <w:highlight w:val="yellow"/>
          <w:lang w:eastAsia="zh-CN"/>
        </w:rPr>
        <w:t>This study aim</w:t>
      </w:r>
      <w:r w:rsidR="00CE2E75" w:rsidRPr="00734B3D">
        <w:rPr>
          <w:rFonts w:ascii="Arial" w:hAnsi="Arial" w:cs="Arial"/>
          <w:sz w:val="24"/>
          <w:szCs w:val="24"/>
          <w:highlight w:val="yellow"/>
          <w:lang w:eastAsia="zh-CN"/>
        </w:rPr>
        <w:t>s</w:t>
      </w:r>
      <w:r w:rsidR="00EA2AB3" w:rsidRPr="00734B3D">
        <w:rPr>
          <w:rFonts w:ascii="Arial" w:hAnsi="Arial" w:cs="Arial"/>
          <w:sz w:val="24"/>
          <w:szCs w:val="24"/>
          <w:highlight w:val="yellow"/>
          <w:lang w:eastAsia="zh-CN"/>
        </w:rPr>
        <w:t xml:space="preserve"> to</w:t>
      </w:r>
      <w:r w:rsidR="00EA2AB3" w:rsidRPr="00734B3D">
        <w:rPr>
          <w:rFonts w:ascii="Arial" w:hAnsi="Arial" w:cs="Arial"/>
          <w:sz w:val="24"/>
          <w:szCs w:val="24"/>
          <w:lang w:eastAsia="zh-CN"/>
        </w:rPr>
        <w:t xml:space="preserve"> </w:t>
      </w:r>
      <w:r w:rsidR="00EA2AB3" w:rsidRPr="00A02284">
        <w:rPr>
          <w:rFonts w:ascii="Arial" w:hAnsi="Arial" w:cs="Arial"/>
          <w:sz w:val="24"/>
          <w:szCs w:val="24"/>
          <w:highlight w:val="yellow"/>
          <w:lang w:eastAsia="zh-CN"/>
        </w:rPr>
        <w:t>evaluate the hemato</w:t>
      </w:r>
      <w:r w:rsidR="00EA2AB3" w:rsidRPr="00734B3D">
        <w:rPr>
          <w:rFonts w:ascii="Arial" w:hAnsi="Arial" w:cs="Arial"/>
          <w:sz w:val="24"/>
          <w:szCs w:val="24"/>
          <w:lang w:eastAsia="zh-CN"/>
        </w:rPr>
        <w:t>logical response to graded doses of green tea extract in healthy male Wistar rats.</w:t>
      </w:r>
    </w:p>
    <w:p w14:paraId="5FF9B8EC" w14:textId="6B6051DB" w:rsidR="00AF0309" w:rsidRPr="00734B3D" w:rsidRDefault="00EA2AB3">
      <w:pPr>
        <w:spacing w:line="360" w:lineRule="auto"/>
        <w:jc w:val="both"/>
        <w:rPr>
          <w:rFonts w:ascii="Arial" w:hAnsi="Arial" w:cs="Arial"/>
          <w:sz w:val="24"/>
          <w:szCs w:val="24"/>
          <w:lang w:eastAsia="zh-CN"/>
        </w:rPr>
      </w:pPr>
      <w:r w:rsidRPr="00734B3D">
        <w:rPr>
          <w:rFonts w:ascii="Arial" w:hAnsi="Arial" w:cs="Arial"/>
          <w:b/>
          <w:bCs/>
          <w:sz w:val="24"/>
          <w:szCs w:val="24"/>
          <w:highlight w:val="yellow"/>
          <w:lang w:eastAsia="zh-CN"/>
        </w:rPr>
        <w:t>Methods</w:t>
      </w:r>
      <w:r w:rsidRPr="00734B3D">
        <w:rPr>
          <w:rFonts w:ascii="Arial" w:hAnsi="Arial" w:cs="Arial"/>
          <w:sz w:val="24"/>
          <w:szCs w:val="24"/>
          <w:highlight w:val="yellow"/>
          <w:lang w:eastAsia="zh-CN"/>
        </w:rPr>
        <w:t>:</w:t>
      </w:r>
      <w:r w:rsidR="00B50A56" w:rsidRPr="00734B3D">
        <w:rPr>
          <w:rFonts w:ascii="Arial" w:hAnsi="Arial" w:cs="Arial"/>
          <w:sz w:val="24"/>
          <w:szCs w:val="24"/>
          <w:highlight w:val="yellow"/>
          <w:lang w:eastAsia="zh-CN"/>
        </w:rPr>
        <w:t xml:space="preserve"> </w:t>
      </w:r>
      <w:r w:rsidR="001B523C" w:rsidRPr="00734B3D">
        <w:rPr>
          <w:rFonts w:ascii="Arial" w:hAnsi="Arial" w:cs="Arial"/>
          <w:sz w:val="24"/>
          <w:szCs w:val="24"/>
          <w:highlight w:val="yellow"/>
          <w:lang w:eastAsia="zh-CN"/>
        </w:rPr>
        <w:t xml:space="preserve">In this study, </w:t>
      </w:r>
      <w:r w:rsidRPr="00734B3D">
        <w:rPr>
          <w:rFonts w:ascii="Arial" w:hAnsi="Arial" w:cs="Arial"/>
          <w:sz w:val="24"/>
          <w:szCs w:val="24"/>
          <w:highlight w:val="yellow"/>
          <w:lang w:eastAsia="zh-CN"/>
        </w:rPr>
        <w:t>Twenty-eight</w:t>
      </w:r>
      <w:r w:rsidR="00051C22" w:rsidRPr="00734B3D">
        <w:rPr>
          <w:rFonts w:ascii="Arial" w:hAnsi="Arial" w:cs="Arial"/>
          <w:sz w:val="24"/>
          <w:szCs w:val="24"/>
          <w:highlight w:val="yellow"/>
          <w:lang w:eastAsia="zh-CN"/>
        </w:rPr>
        <w:t xml:space="preserve">(28) </w:t>
      </w:r>
      <w:r w:rsidRPr="00734B3D">
        <w:rPr>
          <w:rFonts w:ascii="Arial" w:hAnsi="Arial" w:cs="Arial"/>
          <w:sz w:val="24"/>
          <w:szCs w:val="24"/>
          <w:highlight w:val="yellow"/>
          <w:lang w:eastAsia="zh-CN"/>
        </w:rPr>
        <w:t>male Wistar rats (180–220 g) were</w:t>
      </w:r>
      <w:r w:rsidR="00051C22" w:rsidRPr="00734B3D">
        <w:rPr>
          <w:rFonts w:ascii="Arial" w:hAnsi="Arial" w:cs="Arial"/>
          <w:sz w:val="24"/>
          <w:szCs w:val="24"/>
          <w:highlight w:val="yellow"/>
          <w:lang w:eastAsia="zh-CN"/>
        </w:rPr>
        <w:t xml:space="preserve"> obtained from the animal facility of the Department of Physiology, Alex Ekwueme Federal University</w:t>
      </w:r>
      <w:r w:rsidR="00AA7F69" w:rsidRPr="00734B3D">
        <w:rPr>
          <w:rFonts w:ascii="Arial" w:hAnsi="Arial" w:cs="Arial"/>
          <w:sz w:val="24"/>
          <w:szCs w:val="24"/>
          <w:highlight w:val="yellow"/>
          <w:lang w:eastAsia="zh-CN"/>
        </w:rPr>
        <w:t>, Nigeria</w:t>
      </w:r>
      <w:r w:rsidR="00051C22" w:rsidRPr="00734B3D">
        <w:rPr>
          <w:rFonts w:ascii="Arial" w:hAnsi="Arial" w:cs="Arial"/>
          <w:sz w:val="24"/>
          <w:szCs w:val="24"/>
          <w:highlight w:val="yellow"/>
          <w:lang w:eastAsia="zh-CN"/>
        </w:rPr>
        <w:t xml:space="preserve"> and</w:t>
      </w:r>
      <w:r w:rsidRPr="00734B3D">
        <w:rPr>
          <w:rFonts w:ascii="Arial" w:hAnsi="Arial" w:cs="Arial"/>
          <w:sz w:val="24"/>
          <w:szCs w:val="24"/>
          <w:highlight w:val="yellow"/>
          <w:lang w:eastAsia="zh-CN"/>
        </w:rPr>
        <w:t xml:space="preserve"> randomly assigned to</w:t>
      </w:r>
      <w:r w:rsidRPr="00734B3D">
        <w:rPr>
          <w:rFonts w:ascii="Arial" w:hAnsi="Arial" w:cs="Arial"/>
          <w:sz w:val="24"/>
          <w:szCs w:val="24"/>
          <w:lang w:eastAsia="zh-CN"/>
        </w:rPr>
        <w:t xml:space="preserve"> four groups (n = 7 each). Group I (control) received distilled water; Groups II, III, and IV received green tea extract orally at 100 mg/kg, 300 mg/kg, and 500 mg/kg body weight, respectively, for 21 </w:t>
      </w:r>
      <w:r w:rsidRPr="00A02284">
        <w:rPr>
          <w:rFonts w:ascii="Arial" w:hAnsi="Arial" w:cs="Arial"/>
          <w:sz w:val="24"/>
          <w:szCs w:val="24"/>
          <w:highlight w:val="yellow"/>
          <w:lang w:eastAsia="zh-CN"/>
        </w:rPr>
        <w:t>days. Hematological</w:t>
      </w:r>
      <w:r w:rsidRPr="00734B3D">
        <w:rPr>
          <w:rFonts w:ascii="Arial" w:hAnsi="Arial" w:cs="Arial"/>
          <w:sz w:val="24"/>
          <w:szCs w:val="24"/>
          <w:lang w:eastAsia="zh-CN"/>
        </w:rPr>
        <w:t xml:space="preserve"> parameters—including red and white blood cell indices, hemoglobin concentration, hematocrit, and platelet counts were assessed using an automated hematology analyzer. Data were analyzed using one-way ANOVA and Tukey’s post hoc test (*p* &lt; 0.05).</w:t>
      </w:r>
    </w:p>
    <w:p w14:paraId="0A382588" w14:textId="4F02D842" w:rsidR="00AF0309" w:rsidRPr="00734B3D" w:rsidRDefault="00EA2AB3">
      <w:pPr>
        <w:spacing w:line="360" w:lineRule="auto"/>
        <w:jc w:val="both"/>
        <w:rPr>
          <w:rFonts w:ascii="Arial" w:hAnsi="Arial" w:cs="Arial"/>
          <w:sz w:val="24"/>
          <w:szCs w:val="24"/>
          <w:lang w:eastAsia="zh-CN"/>
        </w:rPr>
      </w:pPr>
      <w:r w:rsidRPr="00734B3D">
        <w:rPr>
          <w:rFonts w:ascii="Arial" w:hAnsi="Arial" w:cs="Arial"/>
          <w:b/>
          <w:bCs/>
          <w:sz w:val="24"/>
          <w:szCs w:val="24"/>
          <w:lang w:eastAsia="zh-CN"/>
        </w:rPr>
        <w:lastRenderedPageBreak/>
        <w:t>Results</w:t>
      </w:r>
      <w:r w:rsidRPr="00734B3D">
        <w:rPr>
          <w:rFonts w:ascii="Arial" w:hAnsi="Arial" w:cs="Arial"/>
          <w:sz w:val="24"/>
          <w:szCs w:val="24"/>
          <w:lang w:eastAsia="zh-CN"/>
        </w:rPr>
        <w:t xml:space="preserve">: No significant differences were observed in RBC </w:t>
      </w:r>
      <w:r w:rsidRPr="00A02284">
        <w:rPr>
          <w:rFonts w:ascii="Arial" w:hAnsi="Arial" w:cs="Arial"/>
          <w:sz w:val="24"/>
          <w:szCs w:val="24"/>
          <w:highlight w:val="yellow"/>
          <w:lang w:eastAsia="zh-CN"/>
        </w:rPr>
        <w:t>count, hemoglobin concentration, hematocrit, WBC count, or platelet indices across groups (p &gt; 0.05). However, mean corpuscular hemoglobin concentration (MCHC) significantly increased in all green</w:t>
      </w:r>
      <w:r w:rsidR="007A2D43" w:rsidRPr="00A02284">
        <w:rPr>
          <w:rFonts w:ascii="Arial" w:hAnsi="Arial" w:cs="Arial"/>
          <w:sz w:val="24"/>
          <w:szCs w:val="24"/>
          <w:highlight w:val="yellow"/>
          <w:lang w:eastAsia="zh-CN"/>
        </w:rPr>
        <w:t xml:space="preserve"> </w:t>
      </w:r>
      <w:r w:rsidRPr="00A02284">
        <w:rPr>
          <w:rFonts w:ascii="Arial" w:hAnsi="Arial" w:cs="Arial"/>
          <w:sz w:val="24"/>
          <w:szCs w:val="24"/>
          <w:highlight w:val="yellow"/>
          <w:lang w:eastAsia="zh-CN"/>
        </w:rPr>
        <w:t xml:space="preserve">tea-treated groups compared to </w:t>
      </w:r>
      <w:r w:rsidR="007A2D43" w:rsidRPr="00A02284">
        <w:rPr>
          <w:rFonts w:ascii="Arial" w:hAnsi="Arial" w:cs="Arial"/>
          <w:sz w:val="24"/>
          <w:szCs w:val="24"/>
          <w:highlight w:val="yellow"/>
          <w:lang w:eastAsia="zh-CN"/>
        </w:rPr>
        <w:t xml:space="preserve">the </w:t>
      </w:r>
      <w:r w:rsidRPr="00A02284">
        <w:rPr>
          <w:rFonts w:ascii="Arial" w:hAnsi="Arial" w:cs="Arial"/>
          <w:sz w:val="24"/>
          <w:szCs w:val="24"/>
          <w:highlight w:val="yellow"/>
          <w:lang w:eastAsia="zh-CN"/>
        </w:rPr>
        <w:t>control (p = 0.003), suggesting</w:t>
      </w:r>
      <w:r w:rsidRPr="00734B3D">
        <w:rPr>
          <w:rFonts w:ascii="Arial" w:hAnsi="Arial" w:cs="Arial"/>
          <w:sz w:val="24"/>
          <w:szCs w:val="24"/>
          <w:lang w:eastAsia="zh-CN"/>
        </w:rPr>
        <w:t xml:space="preserve"> enhanced intracellular hemoglobin concentration. Other parameters, including MCV and monocyte percentage, showed non-significant trends approaching statistical relevance.</w:t>
      </w:r>
    </w:p>
    <w:p w14:paraId="2704862F" w14:textId="62443D72" w:rsidR="00AF0309" w:rsidRPr="00734B3D" w:rsidRDefault="00EA2AB3">
      <w:pPr>
        <w:spacing w:line="360" w:lineRule="auto"/>
        <w:jc w:val="both"/>
        <w:rPr>
          <w:rFonts w:ascii="Arial" w:hAnsi="Arial" w:cs="Arial"/>
          <w:sz w:val="24"/>
          <w:szCs w:val="24"/>
          <w:lang w:eastAsia="zh-CN"/>
        </w:rPr>
      </w:pPr>
      <w:r w:rsidRPr="00734B3D">
        <w:rPr>
          <w:rFonts w:ascii="Arial" w:hAnsi="Arial" w:cs="Arial"/>
          <w:b/>
          <w:bCs/>
          <w:sz w:val="24"/>
          <w:szCs w:val="24"/>
          <w:lang w:eastAsia="zh-CN"/>
        </w:rPr>
        <w:t>Conclusion</w:t>
      </w:r>
      <w:r w:rsidRPr="00734B3D">
        <w:rPr>
          <w:rFonts w:ascii="Arial" w:hAnsi="Arial" w:cs="Arial"/>
          <w:sz w:val="24"/>
          <w:szCs w:val="24"/>
          <w:lang w:eastAsia="zh-CN"/>
        </w:rPr>
        <w:t xml:space="preserve">: Green tea extract at doses up to 500 mg/kg does not adversely </w:t>
      </w:r>
      <w:r w:rsidRPr="00A02284">
        <w:rPr>
          <w:rFonts w:ascii="Arial" w:hAnsi="Arial" w:cs="Arial"/>
          <w:sz w:val="24"/>
          <w:szCs w:val="24"/>
          <w:highlight w:val="yellow"/>
          <w:lang w:eastAsia="zh-CN"/>
        </w:rPr>
        <w:t>affect hematological</w:t>
      </w:r>
      <w:r w:rsidRPr="00734B3D">
        <w:rPr>
          <w:rFonts w:ascii="Arial" w:hAnsi="Arial" w:cs="Arial"/>
          <w:sz w:val="24"/>
          <w:szCs w:val="24"/>
          <w:lang w:eastAsia="zh-CN"/>
        </w:rPr>
        <w:t xml:space="preserve"> parameters in healthy Wistar rats. The observed increase in MCHC may reflect improved erythrocyte function, potentially due to the antioxidant properties of green tea polyphenols. These findings </w:t>
      </w:r>
      <w:r w:rsidRPr="00A02284">
        <w:rPr>
          <w:rFonts w:ascii="Arial" w:hAnsi="Arial" w:cs="Arial"/>
          <w:sz w:val="24"/>
          <w:szCs w:val="24"/>
          <w:highlight w:val="yellow"/>
          <w:lang w:eastAsia="zh-CN"/>
        </w:rPr>
        <w:t>support the hemato</w:t>
      </w:r>
      <w:r w:rsidRPr="00734B3D">
        <w:rPr>
          <w:rFonts w:ascii="Arial" w:hAnsi="Arial" w:cs="Arial"/>
          <w:sz w:val="24"/>
          <w:szCs w:val="24"/>
          <w:lang w:eastAsia="zh-CN"/>
        </w:rPr>
        <w:t>logical safety of green tea and provide a basis for further investigation in disease models or under oxidative stress conditions.</w:t>
      </w:r>
    </w:p>
    <w:p w14:paraId="739C8041" w14:textId="32F5A5EF" w:rsidR="00AF0309" w:rsidRPr="00734B3D" w:rsidRDefault="00EA2AB3">
      <w:pPr>
        <w:spacing w:line="360" w:lineRule="auto"/>
        <w:jc w:val="both"/>
        <w:rPr>
          <w:rFonts w:ascii="Arial" w:hAnsi="Arial" w:cs="Arial"/>
          <w:sz w:val="28"/>
          <w:szCs w:val="28"/>
          <w:lang w:eastAsia="zh-CN"/>
        </w:rPr>
      </w:pPr>
      <w:r w:rsidRPr="00734B3D">
        <w:rPr>
          <w:rFonts w:ascii="Arial" w:hAnsi="Arial" w:cs="Arial"/>
          <w:b/>
          <w:bCs/>
          <w:sz w:val="24"/>
          <w:szCs w:val="24"/>
          <w:highlight w:val="yellow"/>
          <w:lang w:eastAsia="zh-CN"/>
        </w:rPr>
        <w:t>Keywords</w:t>
      </w:r>
      <w:r w:rsidRPr="00734B3D">
        <w:rPr>
          <w:rFonts w:ascii="Arial" w:hAnsi="Arial" w:cs="Arial"/>
          <w:sz w:val="24"/>
          <w:szCs w:val="24"/>
          <w:lang w:eastAsia="zh-CN"/>
        </w:rPr>
        <w:t xml:space="preserve">: </w:t>
      </w:r>
      <w:r w:rsidRPr="00734B3D">
        <w:rPr>
          <w:rFonts w:ascii="Arial" w:hAnsi="Arial" w:cs="Arial"/>
          <w:sz w:val="24"/>
          <w:szCs w:val="24"/>
          <w:highlight w:val="yellow"/>
          <w:lang w:eastAsia="zh-CN"/>
        </w:rPr>
        <w:t>Camellia sinensis, green tea extract, hematological indices, MCHC, Wistar</w:t>
      </w:r>
      <w:r w:rsidRPr="00734B3D">
        <w:rPr>
          <w:rFonts w:ascii="Arial" w:hAnsi="Arial" w:cs="Arial"/>
          <w:sz w:val="24"/>
          <w:szCs w:val="24"/>
          <w:lang w:eastAsia="zh-CN"/>
        </w:rPr>
        <w:t xml:space="preserve"> rats, polyphenols, antioxidant, dose-response</w:t>
      </w:r>
    </w:p>
    <w:p w14:paraId="55F12CE1" w14:textId="77777777" w:rsidR="00AF0309" w:rsidRPr="00734B3D" w:rsidRDefault="00AF0309">
      <w:pPr>
        <w:spacing w:line="360" w:lineRule="auto"/>
        <w:jc w:val="both"/>
        <w:rPr>
          <w:rFonts w:ascii="Arial" w:hAnsi="Arial" w:cs="Arial"/>
          <w:sz w:val="28"/>
          <w:szCs w:val="28"/>
          <w:lang w:eastAsia="zh-CN"/>
        </w:rPr>
      </w:pPr>
    </w:p>
    <w:p w14:paraId="2053A9E7" w14:textId="77777777" w:rsidR="00AF0309" w:rsidRPr="00734B3D" w:rsidRDefault="00EA2AB3">
      <w:pPr>
        <w:spacing w:line="360" w:lineRule="auto"/>
        <w:jc w:val="both"/>
        <w:rPr>
          <w:rFonts w:ascii="Arial" w:hAnsi="Arial" w:cs="Arial"/>
          <w:b/>
          <w:bCs/>
          <w:sz w:val="28"/>
          <w:szCs w:val="28"/>
          <w:lang w:eastAsia="zh-CN"/>
        </w:rPr>
      </w:pPr>
      <w:r w:rsidRPr="00734B3D">
        <w:rPr>
          <w:rFonts w:ascii="Arial" w:hAnsi="Arial" w:cs="Arial"/>
          <w:b/>
          <w:bCs/>
          <w:sz w:val="28"/>
          <w:szCs w:val="28"/>
          <w:lang w:eastAsia="zh-CN"/>
        </w:rPr>
        <w:t>Introduction</w:t>
      </w:r>
    </w:p>
    <w:p w14:paraId="44A9C78D" w14:textId="6819CAC3" w:rsidR="00AF0309" w:rsidRPr="00734B3D" w:rsidRDefault="00EA2AB3">
      <w:pPr>
        <w:spacing w:line="480" w:lineRule="auto"/>
        <w:jc w:val="both"/>
        <w:rPr>
          <w:rFonts w:ascii="Arial" w:hAnsi="Arial" w:cs="Arial"/>
          <w:sz w:val="28"/>
          <w:szCs w:val="28"/>
          <w:lang w:eastAsia="zh-CN"/>
        </w:rPr>
      </w:pPr>
      <w:r w:rsidRPr="00A02284">
        <w:rPr>
          <w:rFonts w:ascii="Arial" w:hAnsi="Arial" w:cs="Arial"/>
          <w:sz w:val="28"/>
          <w:szCs w:val="28"/>
          <w:highlight w:val="yellow"/>
          <w:lang w:eastAsia="zh-CN"/>
        </w:rPr>
        <w:t>Hematological indices serve</w:t>
      </w:r>
      <w:r w:rsidRPr="00734B3D">
        <w:rPr>
          <w:rFonts w:ascii="Arial" w:hAnsi="Arial" w:cs="Arial"/>
          <w:sz w:val="28"/>
          <w:szCs w:val="28"/>
          <w:lang w:eastAsia="zh-CN"/>
        </w:rPr>
        <w:t xml:space="preserve"> as vital indicators of the physiological and nutritional status of animals. These </w:t>
      </w:r>
      <w:r w:rsidRPr="00A02284">
        <w:rPr>
          <w:rFonts w:ascii="Arial" w:hAnsi="Arial" w:cs="Arial"/>
          <w:sz w:val="28"/>
          <w:szCs w:val="28"/>
          <w:highlight w:val="yellow"/>
          <w:lang w:eastAsia="zh-CN"/>
        </w:rPr>
        <w:t>indices, such as hemoglobin conce</w:t>
      </w:r>
      <w:r w:rsidRPr="00734B3D">
        <w:rPr>
          <w:rFonts w:ascii="Arial" w:hAnsi="Arial" w:cs="Arial"/>
          <w:sz w:val="28"/>
          <w:szCs w:val="28"/>
          <w:lang w:eastAsia="zh-CN"/>
        </w:rPr>
        <w:t xml:space="preserve">ntration, hematocrit levels, and red blood cell counts, provide insights into the systemic health of an organism and are commonly used to assess the effects of dietary interventions, environmental stressors, and disease states (Hoffbrand et al., 2005). Nutritional status </w:t>
      </w:r>
      <w:r w:rsidRPr="00734B3D">
        <w:rPr>
          <w:rFonts w:ascii="Arial" w:hAnsi="Arial" w:cs="Arial"/>
          <w:sz w:val="28"/>
          <w:szCs w:val="28"/>
          <w:lang w:eastAsia="zh-CN"/>
        </w:rPr>
        <w:lastRenderedPageBreak/>
        <w:t xml:space="preserve">plays a fundamental role in maintaining these physiological functions, and any alteration in diet can significantly </w:t>
      </w:r>
      <w:r w:rsidRPr="00A02284">
        <w:rPr>
          <w:rFonts w:ascii="Arial" w:hAnsi="Arial" w:cs="Arial"/>
          <w:sz w:val="28"/>
          <w:szCs w:val="28"/>
          <w:highlight w:val="yellow"/>
          <w:lang w:eastAsia="zh-CN"/>
        </w:rPr>
        <w:t>impact hematological para</w:t>
      </w:r>
      <w:r w:rsidRPr="00734B3D">
        <w:rPr>
          <w:rFonts w:ascii="Arial" w:hAnsi="Arial" w:cs="Arial"/>
          <w:sz w:val="28"/>
          <w:szCs w:val="28"/>
          <w:lang w:eastAsia="zh-CN"/>
        </w:rPr>
        <w:t>meters (Ahmed et al., 2015).</w:t>
      </w:r>
    </w:p>
    <w:p w14:paraId="405954BF" w14:textId="27FF56D1"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 xml:space="preserve">In recent years, there has been growing interest in natural alternatives to synthetic antibiotics and chemical additives, particularly in the field of animal nutrition. Among such natural compounds, medicinal plants with antioxidant properties have gained prominence. One such plant is </w:t>
      </w:r>
      <w:r w:rsidRPr="00C22BBD">
        <w:rPr>
          <w:rFonts w:ascii="Arial" w:hAnsi="Arial" w:cs="Arial"/>
          <w:sz w:val="28"/>
          <w:szCs w:val="28"/>
          <w:highlight w:val="yellow"/>
          <w:lang w:eastAsia="zh-CN"/>
        </w:rPr>
        <w:t>Camellia sinensis, renowned for its high content of polyphenolic compounds—especially catechins—which can</w:t>
      </w:r>
      <w:r w:rsidRPr="00734B3D">
        <w:rPr>
          <w:rFonts w:ascii="Arial" w:hAnsi="Arial" w:cs="Arial"/>
          <w:sz w:val="28"/>
          <w:szCs w:val="28"/>
          <w:lang w:eastAsia="zh-CN"/>
        </w:rPr>
        <w:t xml:space="preserve"> make up to 30% of the dry weight of tea leaves (Namita et al., 2012). </w:t>
      </w:r>
      <w:r w:rsidR="00C819C8" w:rsidRPr="00BE7FEF">
        <w:rPr>
          <w:rFonts w:ascii="Arial" w:hAnsi="Arial" w:cs="Arial"/>
          <w:sz w:val="28"/>
          <w:szCs w:val="28"/>
          <w:highlight w:val="yellow"/>
          <w:lang w:eastAsia="zh-CN"/>
        </w:rPr>
        <w:t xml:space="preserve">Green   tea is   derived   from   the Camellia sinensis plant and is made by steaming fresh tea leaves, which preserves catechins, the major bioactive compounds in green tea </w:t>
      </w:r>
      <w:r w:rsidR="000A1E73">
        <w:rPr>
          <w:rFonts w:ascii="Arial" w:hAnsi="Arial" w:cs="Arial"/>
          <w:sz w:val="28"/>
          <w:szCs w:val="28"/>
          <w:highlight w:val="yellow"/>
          <w:lang w:eastAsia="zh-CN"/>
        </w:rPr>
        <w:t>(</w:t>
      </w:r>
      <w:r w:rsidR="000A1E73" w:rsidRPr="000A1E73">
        <w:rPr>
          <w:rFonts w:ascii="Arial" w:hAnsi="Arial" w:cs="Arial"/>
          <w:sz w:val="28"/>
          <w:szCs w:val="28"/>
          <w:lang w:eastAsia="zh-CN"/>
        </w:rPr>
        <w:t>Yakubu et al., 2018</w:t>
      </w:r>
      <w:r w:rsidR="000A1E73">
        <w:rPr>
          <w:rFonts w:ascii="Arial" w:hAnsi="Arial" w:cs="Arial"/>
          <w:sz w:val="28"/>
          <w:szCs w:val="28"/>
          <w:lang w:eastAsia="zh-CN"/>
        </w:rPr>
        <w:t>)</w:t>
      </w:r>
      <w:r w:rsidR="00C819C8" w:rsidRPr="00BE7FEF">
        <w:rPr>
          <w:rFonts w:ascii="Arial" w:hAnsi="Arial" w:cs="Arial"/>
          <w:sz w:val="28"/>
          <w:szCs w:val="28"/>
          <w:highlight w:val="yellow"/>
          <w:lang w:eastAsia="zh-CN"/>
        </w:rPr>
        <w:t>.</w:t>
      </w:r>
      <w:r w:rsidR="003544DB">
        <w:rPr>
          <w:rFonts w:ascii="Arial" w:hAnsi="Arial" w:cs="Arial"/>
          <w:sz w:val="28"/>
          <w:szCs w:val="28"/>
          <w:lang w:eastAsia="zh-CN"/>
        </w:rPr>
        <w:t xml:space="preserve"> </w:t>
      </w:r>
      <w:r w:rsidR="00055195" w:rsidRPr="00055195">
        <w:rPr>
          <w:rFonts w:ascii="Arial" w:hAnsi="Arial" w:cs="Arial"/>
          <w:sz w:val="28"/>
          <w:szCs w:val="28"/>
          <w:lang w:eastAsia="zh-CN"/>
        </w:rPr>
        <w:t xml:space="preserve">These catechins have been associated with various biological activities, including anticancer, hypoglycemic, </w:t>
      </w:r>
      <w:proofErr w:type="spellStart"/>
      <w:r w:rsidR="00055195" w:rsidRPr="00055195">
        <w:rPr>
          <w:rFonts w:ascii="Arial" w:hAnsi="Arial" w:cs="Arial"/>
          <w:sz w:val="28"/>
          <w:szCs w:val="28"/>
          <w:lang w:eastAsia="zh-CN"/>
        </w:rPr>
        <w:t>hypocholesterolemic</w:t>
      </w:r>
      <w:proofErr w:type="spellEnd"/>
      <w:r w:rsidR="00055195" w:rsidRPr="00055195">
        <w:rPr>
          <w:rFonts w:ascii="Arial" w:hAnsi="Arial" w:cs="Arial"/>
          <w:sz w:val="28"/>
          <w:szCs w:val="28"/>
          <w:lang w:eastAsia="zh-CN"/>
        </w:rPr>
        <w:t xml:space="preserve">, and anti-obesity effects (Rahmani et al., 2015; Kanwar et al., 2012). </w:t>
      </w:r>
      <w:r w:rsidR="00710337" w:rsidRPr="00BE7FEF">
        <w:rPr>
          <w:rFonts w:ascii="Arial" w:hAnsi="Arial" w:cs="Arial"/>
          <w:sz w:val="28"/>
          <w:szCs w:val="28"/>
          <w:highlight w:val="yellow"/>
          <w:lang w:eastAsia="zh-CN"/>
        </w:rPr>
        <w:t xml:space="preserve"> </w:t>
      </w:r>
      <w:r w:rsidR="006B16F9" w:rsidRPr="00EF1A5E">
        <w:rPr>
          <w:rFonts w:ascii="Arial" w:hAnsi="Arial" w:cs="Arial"/>
          <w:sz w:val="28"/>
          <w:szCs w:val="28"/>
          <w:highlight w:val="yellow"/>
          <w:lang w:eastAsia="zh-CN"/>
        </w:rPr>
        <w:t>Green tea is one of the oldest and most consumed beverages(Della et al., 2023</w:t>
      </w:r>
      <w:r w:rsidR="006B16F9">
        <w:rPr>
          <w:rFonts w:ascii="Arial" w:hAnsi="Arial" w:cs="Arial"/>
          <w:sz w:val="28"/>
          <w:szCs w:val="28"/>
          <w:lang w:eastAsia="zh-CN"/>
        </w:rPr>
        <w:t xml:space="preserve">). </w:t>
      </w:r>
      <w:r w:rsidR="006B16F9">
        <w:rPr>
          <w:rFonts w:ascii="Arial" w:hAnsi="Arial" w:cs="Arial"/>
          <w:sz w:val="28"/>
          <w:szCs w:val="28"/>
          <w:highlight w:val="yellow"/>
          <w:lang w:eastAsia="zh-CN"/>
        </w:rPr>
        <w:t>It</w:t>
      </w:r>
      <w:r w:rsidR="00C22BBD" w:rsidRPr="00BE7FEF">
        <w:rPr>
          <w:rFonts w:ascii="Arial" w:hAnsi="Arial" w:cs="Arial"/>
          <w:sz w:val="28"/>
          <w:szCs w:val="28"/>
          <w:highlight w:val="yellow"/>
          <w:lang w:eastAsia="zh-CN"/>
        </w:rPr>
        <w:t xml:space="preserve">  is  a popular  beverage  consumed  for centuries  in  Japan,  China,  and  other  regions  of Asia.  Its  popularity  has  spread  worldwide  and  is now widely consumed in other parts of the world, including the  United  States, Europe,  and  Africa </w:t>
      </w:r>
      <w:r w:rsidR="000A1E73">
        <w:rPr>
          <w:rFonts w:ascii="Arial" w:hAnsi="Arial" w:cs="Arial"/>
          <w:sz w:val="28"/>
          <w:szCs w:val="28"/>
          <w:highlight w:val="yellow"/>
          <w:lang w:eastAsia="zh-CN"/>
        </w:rPr>
        <w:t>(</w:t>
      </w:r>
      <w:r w:rsidR="000A1E73" w:rsidRPr="000A1E73">
        <w:rPr>
          <w:rFonts w:ascii="Arial" w:hAnsi="Arial" w:cs="Arial"/>
          <w:sz w:val="28"/>
          <w:szCs w:val="28"/>
          <w:lang w:eastAsia="zh-CN"/>
        </w:rPr>
        <w:t>Ogar et al., 2023</w:t>
      </w:r>
      <w:r w:rsidR="00060AA0">
        <w:rPr>
          <w:rFonts w:ascii="Arial" w:hAnsi="Arial" w:cs="Arial"/>
          <w:sz w:val="28"/>
          <w:szCs w:val="28"/>
          <w:lang w:eastAsia="zh-CN"/>
        </w:rPr>
        <w:t xml:space="preserve">; </w:t>
      </w:r>
      <w:proofErr w:type="spellStart"/>
      <w:r w:rsidR="00060AA0" w:rsidRPr="00060AA0">
        <w:rPr>
          <w:rFonts w:ascii="Arial" w:hAnsi="Arial" w:cs="Arial"/>
          <w:sz w:val="28"/>
          <w:szCs w:val="28"/>
          <w:lang w:eastAsia="zh-CN"/>
        </w:rPr>
        <w:t>Settakorn</w:t>
      </w:r>
      <w:proofErr w:type="spellEnd"/>
      <w:r w:rsidR="00060AA0">
        <w:rPr>
          <w:rFonts w:ascii="Arial" w:hAnsi="Arial" w:cs="Arial"/>
          <w:sz w:val="28"/>
          <w:szCs w:val="28"/>
          <w:lang w:eastAsia="zh-CN"/>
        </w:rPr>
        <w:t xml:space="preserve"> </w:t>
      </w:r>
      <w:r w:rsidR="00060AA0">
        <w:rPr>
          <w:rFonts w:ascii="Arial" w:hAnsi="Arial" w:cs="Arial"/>
          <w:sz w:val="28"/>
          <w:szCs w:val="28"/>
          <w:lang w:eastAsia="zh-CN"/>
        </w:rPr>
        <w:lastRenderedPageBreak/>
        <w:t>et al., 2022</w:t>
      </w:r>
      <w:r w:rsidR="000A1E73">
        <w:rPr>
          <w:rFonts w:ascii="Arial" w:hAnsi="Arial" w:cs="Arial"/>
          <w:sz w:val="28"/>
          <w:szCs w:val="28"/>
          <w:lang w:eastAsia="zh-CN"/>
        </w:rPr>
        <w:t>)</w:t>
      </w:r>
      <w:r w:rsidR="00C22BBD" w:rsidRPr="00BE7FEF">
        <w:rPr>
          <w:rFonts w:ascii="Arial" w:hAnsi="Arial" w:cs="Arial"/>
          <w:sz w:val="28"/>
          <w:szCs w:val="28"/>
          <w:highlight w:val="yellow"/>
          <w:lang w:eastAsia="zh-CN"/>
        </w:rPr>
        <w:t xml:space="preserve">. </w:t>
      </w:r>
      <w:r w:rsidRPr="00734B3D">
        <w:rPr>
          <w:rFonts w:ascii="Arial" w:hAnsi="Arial" w:cs="Arial"/>
          <w:sz w:val="28"/>
          <w:szCs w:val="28"/>
          <w:lang w:eastAsia="zh-CN"/>
        </w:rPr>
        <w:t>Moreover, green tea is widely recognized for its cardiovascular and metabolic health benefits (Winamp &amp; Kristiano, 2016).</w:t>
      </w:r>
    </w:p>
    <w:p w14:paraId="3E150C23" w14:textId="6EF62BA8"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Despite the known antioxidant potential of green tea, its effects on hematological indices remain equivocal. While Rahman (2016) reported that green tea possesses antioxidant constituents capable of stabilizing blood cells and mitigating oxidative stress, Lubis et al. (2016) found no significant changes in hemoglobin or hematocrit levels in Wistar rats following green tea administration. In contrast, Bait (2010) observed a reduction in hemoglobin concentration in Sprague Dawley rats exposed to green tea. These conflicting findings may be attributed to differences in animal strain, dosage, extract preparation, or treatment duration. Furthermore, many existing studies have focused on isolated hematological parameters without evaluating the broader profile of blood indices.</w:t>
      </w:r>
    </w:p>
    <w:p w14:paraId="487F7202" w14:textId="09B24BB9"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highlight w:val="yellow"/>
          <w:lang w:eastAsia="zh-CN"/>
        </w:rPr>
        <w:t>The present study aims to assess the effects of green tea extract on a comprehensive range of hematological parameters in male Wistar rats. Specifically, we evaluate whether varying doses (low, moderate, and high) of green tea produce beneficial, neutral,</w:t>
      </w:r>
      <w:r w:rsidRPr="00734B3D">
        <w:rPr>
          <w:rFonts w:ascii="Arial" w:hAnsi="Arial" w:cs="Arial"/>
          <w:sz w:val="28"/>
          <w:szCs w:val="28"/>
          <w:lang w:eastAsia="zh-CN"/>
        </w:rPr>
        <w:t xml:space="preserve"> or adverse effects on red and white blood cell indices, </w:t>
      </w:r>
      <w:proofErr w:type="spellStart"/>
      <w:r w:rsidRPr="00734B3D">
        <w:rPr>
          <w:rFonts w:ascii="Arial" w:hAnsi="Arial" w:cs="Arial"/>
          <w:sz w:val="28"/>
          <w:szCs w:val="28"/>
          <w:lang w:eastAsia="zh-CN"/>
        </w:rPr>
        <w:t>h</w:t>
      </w:r>
      <w:r w:rsidR="007A2D43">
        <w:rPr>
          <w:rFonts w:ascii="Arial" w:hAnsi="Arial" w:cs="Arial"/>
          <w:sz w:val="28"/>
          <w:szCs w:val="28"/>
          <w:lang w:eastAsia="zh-CN"/>
        </w:rPr>
        <w:t>a</w:t>
      </w:r>
      <w:r w:rsidRPr="00734B3D">
        <w:rPr>
          <w:rFonts w:ascii="Arial" w:hAnsi="Arial" w:cs="Arial"/>
          <w:sz w:val="28"/>
          <w:szCs w:val="28"/>
          <w:lang w:eastAsia="zh-CN"/>
        </w:rPr>
        <w:t>emoglobin</w:t>
      </w:r>
      <w:proofErr w:type="spellEnd"/>
      <w:r w:rsidRPr="00734B3D">
        <w:rPr>
          <w:rFonts w:ascii="Arial" w:hAnsi="Arial" w:cs="Arial"/>
          <w:sz w:val="28"/>
          <w:szCs w:val="28"/>
          <w:lang w:eastAsia="zh-CN"/>
        </w:rPr>
        <w:t xml:space="preserve"> levels, and platelet profiles </w:t>
      </w:r>
      <w:r w:rsidRPr="00A02284">
        <w:rPr>
          <w:rFonts w:ascii="Arial" w:hAnsi="Arial" w:cs="Arial"/>
          <w:sz w:val="28"/>
          <w:szCs w:val="28"/>
          <w:highlight w:val="yellow"/>
          <w:lang w:eastAsia="zh-CN"/>
        </w:rPr>
        <w:t xml:space="preserve">over </w:t>
      </w:r>
      <w:r w:rsidR="007A2D43" w:rsidRPr="00A02284">
        <w:rPr>
          <w:rFonts w:ascii="Arial" w:hAnsi="Arial" w:cs="Arial"/>
          <w:sz w:val="28"/>
          <w:szCs w:val="28"/>
          <w:highlight w:val="yellow"/>
          <w:lang w:eastAsia="zh-CN"/>
        </w:rPr>
        <w:t>21 days</w:t>
      </w:r>
      <w:r w:rsidRPr="00A02284">
        <w:rPr>
          <w:rFonts w:ascii="Arial" w:hAnsi="Arial" w:cs="Arial"/>
          <w:sz w:val="28"/>
          <w:szCs w:val="28"/>
          <w:highlight w:val="yellow"/>
          <w:lang w:eastAsia="zh-CN"/>
        </w:rPr>
        <w:t>.</w:t>
      </w:r>
    </w:p>
    <w:p w14:paraId="1CA0CB7B" w14:textId="77777777" w:rsidR="00AF0309" w:rsidRPr="00734B3D" w:rsidRDefault="00EA2AB3">
      <w:pPr>
        <w:spacing w:line="480" w:lineRule="auto"/>
        <w:jc w:val="both"/>
        <w:rPr>
          <w:rFonts w:ascii="Arial" w:hAnsi="Arial" w:cs="Arial"/>
          <w:b/>
          <w:bCs/>
          <w:sz w:val="28"/>
          <w:szCs w:val="28"/>
          <w:lang w:eastAsia="zh-CN"/>
        </w:rPr>
      </w:pPr>
      <w:r w:rsidRPr="00BD2A2D">
        <w:rPr>
          <w:rFonts w:ascii="Arial" w:eastAsia="Calibri" w:hAnsi="Arial" w:cs="Arial"/>
          <w:b/>
          <w:bCs/>
          <w:sz w:val="28"/>
          <w:szCs w:val="28"/>
          <w:highlight w:val="yellow"/>
        </w:rPr>
        <w:lastRenderedPageBreak/>
        <w:t>MATERIALS AND METHODS</w:t>
      </w:r>
    </w:p>
    <w:p w14:paraId="088A18A5" w14:textId="77777777" w:rsidR="00AF0309" w:rsidRPr="00734B3D" w:rsidRDefault="00EA2AB3">
      <w:pPr>
        <w:spacing w:line="480" w:lineRule="auto"/>
        <w:jc w:val="both"/>
        <w:rPr>
          <w:rFonts w:ascii="Arial" w:hAnsi="Arial" w:cs="Arial"/>
          <w:b/>
          <w:bCs/>
          <w:sz w:val="28"/>
          <w:szCs w:val="28"/>
          <w:lang w:eastAsia="zh-CN"/>
        </w:rPr>
      </w:pPr>
      <w:r w:rsidRPr="00734B3D">
        <w:rPr>
          <w:rFonts w:ascii="Arial" w:hAnsi="Arial" w:cs="Arial"/>
          <w:b/>
          <w:bCs/>
          <w:sz w:val="28"/>
          <w:szCs w:val="28"/>
          <w:lang w:eastAsia="zh-CN"/>
        </w:rPr>
        <w:t>Materials</w:t>
      </w:r>
    </w:p>
    <w:p w14:paraId="34E03813" w14:textId="1B4CCB1F"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 xml:space="preserve">The materials used in this study included: laboratory animals: 28 male Wistar </w:t>
      </w:r>
      <w:r w:rsidRPr="00A02284">
        <w:rPr>
          <w:rFonts w:ascii="Arial" w:hAnsi="Arial" w:cs="Arial"/>
          <w:sz w:val="28"/>
          <w:szCs w:val="28"/>
          <w:highlight w:val="yellow"/>
          <w:lang w:eastAsia="zh-CN"/>
        </w:rPr>
        <w:t>rats,</w:t>
      </w:r>
      <w:r w:rsidR="007A2D43" w:rsidRPr="00A02284">
        <w:rPr>
          <w:rFonts w:ascii="Arial" w:hAnsi="Arial" w:cs="Arial"/>
          <w:sz w:val="28"/>
          <w:szCs w:val="28"/>
          <w:highlight w:val="yellow"/>
          <w:lang w:eastAsia="zh-CN"/>
        </w:rPr>
        <w:t xml:space="preserve"> </w:t>
      </w:r>
      <w:proofErr w:type="spellStart"/>
      <w:r w:rsidR="007A2D43" w:rsidRPr="00A02284">
        <w:rPr>
          <w:rFonts w:ascii="Arial" w:hAnsi="Arial" w:cs="Arial"/>
          <w:sz w:val="28"/>
          <w:szCs w:val="28"/>
          <w:highlight w:val="yellow"/>
          <w:lang w:eastAsia="zh-CN"/>
        </w:rPr>
        <w:t>alumini</w:t>
      </w:r>
      <w:r w:rsidR="007A2D43" w:rsidRPr="00A02284">
        <w:rPr>
          <w:rFonts w:ascii="Arial" w:hAnsi="Arial" w:cs="Arial"/>
          <w:sz w:val="28"/>
          <w:szCs w:val="28"/>
          <w:highlight w:val="yellow"/>
          <w:lang w:eastAsia="zh-CN"/>
        </w:rPr>
        <w:t>um</w:t>
      </w:r>
      <w:proofErr w:type="spellEnd"/>
      <w:r w:rsidR="007A2D43" w:rsidRPr="00734B3D">
        <w:rPr>
          <w:rFonts w:ascii="Arial" w:hAnsi="Arial" w:cs="Arial"/>
          <w:sz w:val="28"/>
          <w:szCs w:val="28"/>
          <w:lang w:eastAsia="zh-CN"/>
        </w:rPr>
        <w:t xml:space="preserve"> </w:t>
      </w:r>
      <w:r w:rsidRPr="00734B3D">
        <w:rPr>
          <w:rFonts w:ascii="Arial" w:hAnsi="Arial" w:cs="Arial"/>
          <w:sz w:val="28"/>
          <w:szCs w:val="28"/>
          <w:lang w:eastAsia="zh-CN"/>
        </w:rPr>
        <w:t xml:space="preserve">cages, water bottles, feeding </w:t>
      </w:r>
      <w:r w:rsidRPr="00A02284">
        <w:rPr>
          <w:rFonts w:ascii="Arial" w:hAnsi="Arial" w:cs="Arial"/>
          <w:sz w:val="28"/>
          <w:szCs w:val="28"/>
          <w:highlight w:val="yellow"/>
          <w:lang w:eastAsia="zh-CN"/>
        </w:rPr>
        <w:t>pans, towels, cotton wool, animal bedding, syringes (5 mL), cannulas, EDTA bottles, face masks, gloves, soaps/</w:t>
      </w:r>
      <w:proofErr w:type="spellStart"/>
      <w:r w:rsidR="007A2D43" w:rsidRPr="00A02284">
        <w:rPr>
          <w:rFonts w:ascii="Arial" w:hAnsi="Arial" w:cs="Arial"/>
          <w:sz w:val="28"/>
          <w:szCs w:val="28"/>
          <w:highlight w:val="yellow"/>
          <w:lang w:eastAsia="zh-CN"/>
        </w:rPr>
        <w:t>saniti</w:t>
      </w:r>
      <w:r w:rsidR="007A2D43" w:rsidRPr="00A02284">
        <w:rPr>
          <w:rFonts w:ascii="Arial" w:hAnsi="Arial" w:cs="Arial"/>
          <w:sz w:val="28"/>
          <w:szCs w:val="28"/>
          <w:highlight w:val="yellow"/>
          <w:lang w:eastAsia="zh-CN"/>
        </w:rPr>
        <w:t>s</w:t>
      </w:r>
      <w:r w:rsidR="007A2D43" w:rsidRPr="00A02284">
        <w:rPr>
          <w:rFonts w:ascii="Arial" w:hAnsi="Arial" w:cs="Arial"/>
          <w:sz w:val="28"/>
          <w:szCs w:val="28"/>
          <w:highlight w:val="yellow"/>
          <w:lang w:eastAsia="zh-CN"/>
        </w:rPr>
        <w:t>ers</w:t>
      </w:r>
      <w:proofErr w:type="spellEnd"/>
      <w:r w:rsidRPr="00A02284">
        <w:rPr>
          <w:rFonts w:ascii="Arial" w:hAnsi="Arial" w:cs="Arial"/>
          <w:sz w:val="28"/>
          <w:szCs w:val="28"/>
          <w:highlight w:val="yellow"/>
          <w:lang w:eastAsia="zh-CN"/>
        </w:rPr>
        <w:t>, animal feed and</w:t>
      </w:r>
      <w:r w:rsidRPr="00734B3D">
        <w:rPr>
          <w:rFonts w:ascii="Arial" w:hAnsi="Arial" w:cs="Arial"/>
          <w:sz w:val="28"/>
          <w:szCs w:val="28"/>
          <w:lang w:eastAsia="zh-CN"/>
        </w:rPr>
        <w:t xml:space="preserve"> distilled water, normal saline, and green tea extract</w:t>
      </w:r>
      <w:r w:rsidR="0070395E">
        <w:rPr>
          <w:rFonts w:ascii="Arial" w:hAnsi="Arial" w:cs="Arial"/>
          <w:sz w:val="28"/>
          <w:szCs w:val="28"/>
          <w:lang w:eastAsia="zh-CN"/>
        </w:rPr>
        <w:t>.</w:t>
      </w:r>
    </w:p>
    <w:p w14:paraId="18D40B58" w14:textId="77777777" w:rsidR="00AF0309" w:rsidRPr="00734B3D" w:rsidRDefault="00EA2AB3">
      <w:pPr>
        <w:spacing w:line="480" w:lineRule="auto"/>
        <w:jc w:val="both"/>
        <w:rPr>
          <w:rFonts w:ascii="Arial" w:hAnsi="Arial" w:cs="Arial"/>
          <w:b/>
          <w:bCs/>
          <w:sz w:val="28"/>
          <w:szCs w:val="28"/>
          <w:lang w:eastAsia="zh-CN"/>
        </w:rPr>
      </w:pPr>
      <w:r w:rsidRPr="00734B3D">
        <w:rPr>
          <w:rFonts w:ascii="Arial" w:hAnsi="Arial" w:cs="Arial"/>
          <w:b/>
          <w:bCs/>
          <w:sz w:val="28"/>
          <w:szCs w:val="28"/>
          <w:lang w:eastAsia="zh-CN"/>
        </w:rPr>
        <w:t>Experimental Animals and Handling</w:t>
      </w:r>
    </w:p>
    <w:p w14:paraId="19C3EBAA" w14:textId="6C1928BE"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 xml:space="preserve">Twenty-eight (28) male Wistar rats weighing approximately 200 g were obtained from the animal facility of the Department of Physiology, Alex Ekwueme Federal University. The rats were housed under standard laboratory conditions with a 12-hour light/dark cycle in a well-ventilated room. Animals were allowed to acclimatize for two weeks prior to </w:t>
      </w:r>
      <w:r w:rsidRPr="00A02284">
        <w:rPr>
          <w:rFonts w:ascii="Arial" w:hAnsi="Arial" w:cs="Arial"/>
          <w:sz w:val="28"/>
          <w:szCs w:val="28"/>
          <w:highlight w:val="yellow"/>
          <w:lang w:eastAsia="zh-CN"/>
        </w:rPr>
        <w:t xml:space="preserve">experimentation. </w:t>
      </w:r>
      <w:r w:rsidR="007A2D43" w:rsidRPr="00A02284">
        <w:rPr>
          <w:rFonts w:ascii="Arial" w:hAnsi="Arial" w:cs="Arial"/>
          <w:sz w:val="28"/>
          <w:szCs w:val="28"/>
          <w:highlight w:val="yellow"/>
          <w:lang w:eastAsia="zh-CN"/>
        </w:rPr>
        <w:t>The b</w:t>
      </w:r>
      <w:r w:rsidR="007A2D43" w:rsidRPr="00A02284">
        <w:rPr>
          <w:rFonts w:ascii="Arial" w:hAnsi="Arial" w:cs="Arial"/>
          <w:sz w:val="28"/>
          <w:szCs w:val="28"/>
          <w:highlight w:val="yellow"/>
          <w:lang w:eastAsia="zh-CN"/>
        </w:rPr>
        <w:t xml:space="preserve">edding </w:t>
      </w:r>
      <w:r w:rsidRPr="00A02284">
        <w:rPr>
          <w:rFonts w:ascii="Arial" w:hAnsi="Arial" w:cs="Arial"/>
          <w:sz w:val="28"/>
          <w:szCs w:val="28"/>
          <w:highlight w:val="yellow"/>
          <w:lang w:eastAsia="zh-CN"/>
        </w:rPr>
        <w:t>was changed every</w:t>
      </w:r>
      <w:r w:rsidRPr="00734B3D">
        <w:rPr>
          <w:rFonts w:ascii="Arial" w:hAnsi="Arial" w:cs="Arial"/>
          <w:sz w:val="28"/>
          <w:szCs w:val="28"/>
          <w:lang w:eastAsia="zh-CN"/>
        </w:rPr>
        <w:t xml:space="preserve"> other day, and food and water were provided *ad libitum* throughout the experiment.</w:t>
      </w:r>
    </w:p>
    <w:p w14:paraId="0C34912F" w14:textId="77777777" w:rsidR="00AF0309" w:rsidRPr="00734B3D" w:rsidRDefault="00EA2AB3">
      <w:pPr>
        <w:spacing w:line="480" w:lineRule="auto"/>
        <w:jc w:val="both"/>
        <w:rPr>
          <w:rFonts w:ascii="Arial" w:hAnsi="Arial" w:cs="Arial"/>
          <w:b/>
          <w:bCs/>
          <w:sz w:val="28"/>
          <w:szCs w:val="28"/>
          <w:lang w:eastAsia="zh-CN"/>
        </w:rPr>
      </w:pPr>
      <w:r w:rsidRPr="00734B3D">
        <w:rPr>
          <w:rFonts w:ascii="Arial" w:hAnsi="Arial" w:cs="Arial"/>
          <w:b/>
          <w:bCs/>
          <w:sz w:val="28"/>
          <w:szCs w:val="28"/>
          <w:lang w:eastAsia="zh-CN"/>
        </w:rPr>
        <w:t>Experimental Design</w:t>
      </w:r>
    </w:p>
    <w:p w14:paraId="57B262EF" w14:textId="77777777"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lastRenderedPageBreak/>
        <w:t>The rats were randomly divided into four groups (n = 7 per group) as follows:</w:t>
      </w:r>
    </w:p>
    <w:p w14:paraId="718A40C4" w14:textId="77777777"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Group I (Control): Received standard feed and distilled water for 21 days</w:t>
      </w:r>
    </w:p>
    <w:p w14:paraId="5FE38627" w14:textId="77777777"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Group II (Low Dose): Received green tea extract at 100 mg/kg body weight</w:t>
      </w:r>
    </w:p>
    <w:p w14:paraId="369E7630" w14:textId="77777777"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Group III (Moderate Dose): Received green tea extract at 300 mg/kg body weight</w:t>
      </w:r>
    </w:p>
    <w:p w14:paraId="7828D81D" w14:textId="77777777"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Group IV (High Dose): Received green tea extract at 500 mg/kg body weight</w:t>
      </w:r>
    </w:p>
    <w:p w14:paraId="51F7D814" w14:textId="77777777"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All treatments were administered orally via drinking water for 21 consecutive days.</w:t>
      </w:r>
    </w:p>
    <w:p w14:paraId="2C2967BC" w14:textId="77777777" w:rsidR="00AF0309" w:rsidRPr="00734B3D" w:rsidRDefault="00EA2AB3">
      <w:pPr>
        <w:spacing w:line="480" w:lineRule="auto"/>
        <w:jc w:val="both"/>
        <w:rPr>
          <w:rFonts w:ascii="Arial" w:hAnsi="Arial" w:cs="Arial"/>
          <w:b/>
          <w:bCs/>
          <w:sz w:val="28"/>
          <w:szCs w:val="28"/>
          <w:lang w:eastAsia="zh-CN"/>
        </w:rPr>
      </w:pPr>
      <w:r w:rsidRPr="00734B3D">
        <w:rPr>
          <w:rFonts w:ascii="Arial" w:hAnsi="Arial" w:cs="Arial"/>
          <w:b/>
          <w:bCs/>
          <w:sz w:val="28"/>
          <w:szCs w:val="28"/>
          <w:lang w:eastAsia="zh-CN"/>
        </w:rPr>
        <w:t xml:space="preserve">Preparation of Green Tea Extract and administration </w:t>
      </w:r>
    </w:p>
    <w:p w14:paraId="4B7D636C" w14:textId="6B819E86"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 xml:space="preserve">Fresh Camellia sinensis leaves were sourced from Taraba State, Nigeria, shade-dried, and pulverized into fine powder. The extract was prepared by boiling 100 g of the powder in </w:t>
      </w:r>
      <w:r w:rsidRPr="00A02284">
        <w:rPr>
          <w:rFonts w:ascii="Arial" w:hAnsi="Arial" w:cs="Arial"/>
          <w:sz w:val="28"/>
          <w:szCs w:val="28"/>
          <w:highlight w:val="yellow"/>
          <w:lang w:eastAsia="zh-CN"/>
        </w:rPr>
        <w:t xml:space="preserve">1 </w:t>
      </w:r>
      <w:proofErr w:type="spellStart"/>
      <w:r w:rsidR="007A2D43" w:rsidRPr="00A02284">
        <w:rPr>
          <w:rFonts w:ascii="Arial" w:hAnsi="Arial" w:cs="Arial"/>
          <w:sz w:val="28"/>
          <w:szCs w:val="28"/>
          <w:highlight w:val="yellow"/>
          <w:lang w:eastAsia="zh-CN"/>
        </w:rPr>
        <w:t>lit</w:t>
      </w:r>
      <w:r w:rsidR="007A2D43" w:rsidRPr="00A02284">
        <w:rPr>
          <w:rFonts w:ascii="Arial" w:hAnsi="Arial" w:cs="Arial"/>
          <w:sz w:val="28"/>
          <w:szCs w:val="28"/>
          <w:highlight w:val="yellow"/>
          <w:lang w:eastAsia="zh-CN"/>
        </w:rPr>
        <w:t>re</w:t>
      </w:r>
      <w:proofErr w:type="spellEnd"/>
      <w:r w:rsidR="007A2D43" w:rsidRPr="00A02284">
        <w:rPr>
          <w:rFonts w:ascii="Arial" w:hAnsi="Arial" w:cs="Arial"/>
          <w:sz w:val="28"/>
          <w:szCs w:val="28"/>
          <w:highlight w:val="yellow"/>
          <w:lang w:eastAsia="zh-CN"/>
        </w:rPr>
        <w:t xml:space="preserve"> </w:t>
      </w:r>
      <w:r w:rsidRPr="00A02284">
        <w:rPr>
          <w:rFonts w:ascii="Arial" w:hAnsi="Arial" w:cs="Arial"/>
          <w:sz w:val="28"/>
          <w:szCs w:val="28"/>
          <w:highlight w:val="yellow"/>
          <w:lang w:eastAsia="zh-CN"/>
        </w:rPr>
        <w:t xml:space="preserve">of distilled water for 15 minutes. The mixture was then cooled, filtered using </w:t>
      </w:r>
      <w:r w:rsidR="007A2D43" w:rsidRPr="00A02284">
        <w:rPr>
          <w:rFonts w:ascii="Arial" w:hAnsi="Arial" w:cs="Arial"/>
          <w:sz w:val="28"/>
          <w:szCs w:val="28"/>
          <w:highlight w:val="yellow"/>
          <w:lang w:eastAsia="zh-CN"/>
        </w:rPr>
        <w:t xml:space="preserve">a </w:t>
      </w:r>
      <w:r w:rsidRPr="00A02284">
        <w:rPr>
          <w:rFonts w:ascii="Arial" w:hAnsi="Arial" w:cs="Arial"/>
          <w:sz w:val="28"/>
          <w:szCs w:val="28"/>
          <w:highlight w:val="yellow"/>
          <w:lang w:eastAsia="zh-CN"/>
        </w:rPr>
        <w:t xml:space="preserve">muslin cloth, and stored at 4°C. </w:t>
      </w:r>
      <w:r w:rsidR="007A2D43" w:rsidRPr="00A02284">
        <w:rPr>
          <w:rFonts w:ascii="Arial" w:hAnsi="Arial" w:cs="Arial"/>
          <w:sz w:val="28"/>
          <w:szCs w:val="28"/>
          <w:highlight w:val="yellow"/>
          <w:lang w:eastAsia="zh-CN"/>
        </w:rPr>
        <w:t>The</w:t>
      </w:r>
      <w:r w:rsidR="007A2D43">
        <w:rPr>
          <w:rFonts w:ascii="Arial" w:hAnsi="Arial" w:cs="Arial"/>
          <w:sz w:val="28"/>
          <w:szCs w:val="28"/>
          <w:lang w:eastAsia="zh-CN"/>
        </w:rPr>
        <w:t xml:space="preserve"> f</w:t>
      </w:r>
      <w:r w:rsidR="007A2D43" w:rsidRPr="00734B3D">
        <w:rPr>
          <w:rFonts w:ascii="Arial" w:hAnsi="Arial" w:cs="Arial"/>
          <w:sz w:val="28"/>
          <w:szCs w:val="28"/>
          <w:lang w:eastAsia="zh-CN"/>
        </w:rPr>
        <w:t xml:space="preserve">resh </w:t>
      </w:r>
      <w:r w:rsidRPr="00734B3D">
        <w:rPr>
          <w:rFonts w:ascii="Arial" w:hAnsi="Arial" w:cs="Arial"/>
          <w:sz w:val="28"/>
          <w:szCs w:val="28"/>
          <w:lang w:eastAsia="zh-CN"/>
        </w:rPr>
        <w:t>extract was prepared every three days.</w:t>
      </w:r>
    </w:p>
    <w:p w14:paraId="245C150E" w14:textId="77777777"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lastRenderedPageBreak/>
        <w:t>Each rat's body weight was used to calculate the appropriate LD50 dosage (100, 300, or 500 mg/kg). The corresponding volume of extract was administered orally using calibrated syringes. The dosage regimen was selected based on previous studies demonstrating biological activity and safety in rodent models (Lubis et al., 2016; Gad &amp; Zaghloul, 2013; Shoshin et al., 2020).</w:t>
      </w:r>
    </w:p>
    <w:p w14:paraId="7BA0865C" w14:textId="77777777" w:rsidR="00AF0309" w:rsidRPr="00734B3D" w:rsidRDefault="00EA2AB3">
      <w:pPr>
        <w:spacing w:line="480" w:lineRule="auto"/>
        <w:jc w:val="both"/>
        <w:rPr>
          <w:rFonts w:ascii="Arial" w:hAnsi="Arial" w:cs="Arial"/>
          <w:b/>
          <w:bCs/>
          <w:sz w:val="28"/>
          <w:szCs w:val="28"/>
          <w:lang w:eastAsia="zh-CN"/>
        </w:rPr>
      </w:pPr>
      <w:r w:rsidRPr="00734B3D">
        <w:rPr>
          <w:rFonts w:ascii="Arial" w:hAnsi="Arial" w:cs="Arial"/>
          <w:b/>
          <w:bCs/>
          <w:sz w:val="28"/>
          <w:szCs w:val="28"/>
          <w:lang w:eastAsia="zh-CN"/>
        </w:rPr>
        <w:t>Sample Collection</w:t>
      </w:r>
    </w:p>
    <w:p w14:paraId="584F742D" w14:textId="13B1B6AB"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 xml:space="preserve">At </w:t>
      </w:r>
      <w:r w:rsidRPr="00A02284">
        <w:rPr>
          <w:rFonts w:ascii="Arial" w:hAnsi="Arial" w:cs="Arial"/>
          <w:sz w:val="28"/>
          <w:szCs w:val="28"/>
          <w:highlight w:val="yellow"/>
          <w:lang w:eastAsia="zh-CN"/>
        </w:rPr>
        <w:t>the end of the 21-day treatment period, the rats were an</w:t>
      </w:r>
      <w:r w:rsidR="007A2D43" w:rsidRPr="00A02284">
        <w:rPr>
          <w:rFonts w:ascii="Arial" w:hAnsi="Arial" w:cs="Arial"/>
          <w:sz w:val="28"/>
          <w:szCs w:val="28"/>
          <w:highlight w:val="yellow"/>
          <w:lang w:eastAsia="zh-CN"/>
        </w:rPr>
        <w:t>a</w:t>
      </w:r>
      <w:r w:rsidRPr="00A02284">
        <w:rPr>
          <w:rFonts w:ascii="Arial" w:hAnsi="Arial" w:cs="Arial"/>
          <w:sz w:val="28"/>
          <w:szCs w:val="28"/>
          <w:highlight w:val="yellow"/>
          <w:lang w:eastAsia="zh-CN"/>
        </w:rPr>
        <w:t>esthetized using ether. Blood samples were collected via cardiac puncture using 5 mL syringes. Samples were transferred into EDTA-coated bottles for hematological analysis.</w:t>
      </w:r>
    </w:p>
    <w:p w14:paraId="7B28CCD1" w14:textId="77777777" w:rsidR="00AF0309" w:rsidRPr="00734B3D" w:rsidRDefault="00AF0309">
      <w:pPr>
        <w:spacing w:line="480" w:lineRule="auto"/>
        <w:jc w:val="both"/>
        <w:rPr>
          <w:rFonts w:ascii="Arial" w:hAnsi="Arial" w:cs="Arial"/>
          <w:sz w:val="28"/>
          <w:szCs w:val="28"/>
          <w:lang w:eastAsia="zh-CN"/>
        </w:rPr>
      </w:pPr>
    </w:p>
    <w:p w14:paraId="67467266" w14:textId="23B98155" w:rsidR="00AF0309" w:rsidRPr="00734B3D" w:rsidRDefault="00EA2AB3">
      <w:pPr>
        <w:spacing w:line="480" w:lineRule="auto"/>
        <w:jc w:val="both"/>
        <w:rPr>
          <w:rFonts w:ascii="Arial" w:hAnsi="Arial" w:cs="Arial"/>
          <w:b/>
          <w:bCs/>
          <w:sz w:val="28"/>
          <w:szCs w:val="28"/>
          <w:lang w:eastAsia="zh-CN"/>
        </w:rPr>
      </w:pPr>
      <w:r w:rsidRPr="00734B3D">
        <w:rPr>
          <w:rFonts w:ascii="Arial" w:hAnsi="Arial" w:cs="Arial"/>
          <w:b/>
          <w:bCs/>
          <w:sz w:val="28"/>
          <w:szCs w:val="28"/>
          <w:lang w:eastAsia="zh-CN"/>
        </w:rPr>
        <w:t xml:space="preserve">Hematological Parameter </w:t>
      </w:r>
    </w:p>
    <w:p w14:paraId="149F924B" w14:textId="3A1700D4"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 xml:space="preserve">Total Erythrocyte Count (RBC), Hemoglobin HB, Hematocrit (HTC), mean corpuscular volume (MCV), mean </w:t>
      </w:r>
      <w:r w:rsidRPr="00A02284">
        <w:rPr>
          <w:rFonts w:ascii="Arial" w:hAnsi="Arial" w:cs="Arial"/>
          <w:sz w:val="28"/>
          <w:szCs w:val="28"/>
          <w:highlight w:val="yellow"/>
          <w:lang w:eastAsia="zh-CN"/>
        </w:rPr>
        <w:t xml:space="preserve">corpuscular hemoglobin (MCH), mean corpuscular </w:t>
      </w:r>
      <w:proofErr w:type="spellStart"/>
      <w:r w:rsidRPr="00A02284">
        <w:rPr>
          <w:rFonts w:ascii="Arial" w:hAnsi="Arial" w:cs="Arial"/>
          <w:sz w:val="28"/>
          <w:szCs w:val="28"/>
          <w:highlight w:val="yellow"/>
          <w:lang w:eastAsia="zh-CN"/>
        </w:rPr>
        <w:t>h</w:t>
      </w:r>
      <w:r w:rsidR="007A2D43" w:rsidRPr="00A02284">
        <w:rPr>
          <w:rFonts w:ascii="Arial" w:hAnsi="Arial" w:cs="Arial"/>
          <w:sz w:val="28"/>
          <w:szCs w:val="28"/>
          <w:highlight w:val="yellow"/>
          <w:lang w:eastAsia="zh-CN"/>
        </w:rPr>
        <w:t>a</w:t>
      </w:r>
      <w:r w:rsidRPr="00A02284">
        <w:rPr>
          <w:rFonts w:ascii="Arial" w:hAnsi="Arial" w:cs="Arial"/>
          <w:sz w:val="28"/>
          <w:szCs w:val="28"/>
          <w:highlight w:val="yellow"/>
          <w:lang w:eastAsia="zh-CN"/>
        </w:rPr>
        <w:t>emoglobin</w:t>
      </w:r>
      <w:proofErr w:type="spellEnd"/>
      <w:r w:rsidRPr="00A02284">
        <w:rPr>
          <w:rFonts w:ascii="Arial" w:hAnsi="Arial" w:cs="Arial"/>
          <w:sz w:val="28"/>
          <w:szCs w:val="28"/>
          <w:highlight w:val="yellow"/>
          <w:lang w:eastAsia="zh-CN"/>
        </w:rPr>
        <w:t xml:space="preserve"> concentration (MCHC), Total</w:t>
      </w:r>
      <w:r w:rsidRPr="00734B3D">
        <w:rPr>
          <w:rFonts w:ascii="Arial" w:hAnsi="Arial" w:cs="Arial"/>
          <w:sz w:val="28"/>
          <w:szCs w:val="28"/>
          <w:lang w:eastAsia="zh-CN"/>
        </w:rPr>
        <w:t xml:space="preserve"> </w:t>
      </w:r>
      <w:r w:rsidRPr="00734B3D">
        <w:rPr>
          <w:rFonts w:ascii="Arial" w:hAnsi="Arial" w:cs="Arial"/>
          <w:sz w:val="28"/>
          <w:szCs w:val="28"/>
          <w:lang w:eastAsia="zh-CN"/>
        </w:rPr>
        <w:lastRenderedPageBreak/>
        <w:t>leukocyte count (WBC) and platelets were estimated using Animal blood counter -ABC vet device (Horiba ABX- France).</w:t>
      </w:r>
    </w:p>
    <w:p w14:paraId="48BBF58D" w14:textId="77777777" w:rsidR="00AF0309" w:rsidRPr="00734B3D" w:rsidRDefault="00EA2AB3">
      <w:pPr>
        <w:spacing w:line="480" w:lineRule="auto"/>
        <w:jc w:val="both"/>
        <w:rPr>
          <w:rFonts w:ascii="Arial" w:hAnsi="Arial" w:cs="Arial"/>
          <w:b/>
          <w:bCs/>
          <w:sz w:val="28"/>
          <w:szCs w:val="28"/>
          <w:lang w:eastAsia="zh-CN"/>
        </w:rPr>
      </w:pPr>
      <w:r w:rsidRPr="00734B3D">
        <w:rPr>
          <w:rFonts w:ascii="Arial" w:eastAsia="Calibri" w:hAnsi="Arial" w:cs="Arial"/>
          <w:b/>
          <w:bCs/>
          <w:sz w:val="28"/>
          <w:szCs w:val="28"/>
        </w:rPr>
        <w:t xml:space="preserve">   </w:t>
      </w:r>
      <w:r w:rsidRPr="00734B3D">
        <w:rPr>
          <w:rFonts w:ascii="Arial" w:hAnsi="Arial" w:cs="Arial"/>
          <w:b/>
          <w:bCs/>
          <w:sz w:val="28"/>
          <w:szCs w:val="28"/>
          <w:lang w:eastAsia="zh-CN"/>
        </w:rPr>
        <w:t>Statistical Analysis</w:t>
      </w:r>
    </w:p>
    <w:p w14:paraId="6DC805CD" w14:textId="77777777" w:rsidR="00AF0309" w:rsidRPr="00734B3D" w:rsidRDefault="00EA2AB3">
      <w:pPr>
        <w:spacing w:line="480" w:lineRule="auto"/>
        <w:jc w:val="both"/>
        <w:rPr>
          <w:rFonts w:ascii="Arial" w:hAnsi="Arial" w:cs="Arial"/>
          <w:sz w:val="28"/>
          <w:szCs w:val="28"/>
          <w:lang w:eastAsia="zh-CN"/>
        </w:rPr>
      </w:pPr>
      <w:r w:rsidRPr="00734B3D">
        <w:rPr>
          <w:rFonts w:ascii="Arial" w:hAnsi="Arial" w:cs="Arial"/>
          <w:sz w:val="28"/>
          <w:szCs w:val="28"/>
          <w:lang w:eastAsia="zh-CN"/>
        </w:rPr>
        <w:t>Data were expressed as mean ± standard error of the mean (SEM). Statistical analysis was performed using one-way analysis of variance (ANOVA), followed by post hoc comparisons using Tukey's test. Statistical significance was set at p &lt; 0.05. All analyses were conducted using SPSS version 14.</w:t>
      </w:r>
    </w:p>
    <w:p w14:paraId="036A09A9" w14:textId="6E0D6B19" w:rsidR="00AF0309" w:rsidRPr="00734B3D" w:rsidRDefault="00EA2AB3">
      <w:pPr>
        <w:spacing w:line="480" w:lineRule="auto"/>
        <w:jc w:val="both"/>
        <w:rPr>
          <w:rFonts w:ascii="Arial" w:hAnsi="Arial" w:cs="Arial"/>
          <w:b/>
          <w:bCs/>
          <w:sz w:val="32"/>
          <w:szCs w:val="32"/>
        </w:rPr>
      </w:pPr>
      <w:r w:rsidRPr="00734B3D">
        <w:rPr>
          <w:rFonts w:ascii="Arial" w:hAnsi="Arial" w:cs="Arial"/>
          <w:b/>
          <w:bCs/>
          <w:sz w:val="32"/>
          <w:szCs w:val="32"/>
        </w:rPr>
        <w:t xml:space="preserve"> </w:t>
      </w:r>
      <w:r w:rsidR="00B932DB" w:rsidRPr="00734B3D">
        <w:rPr>
          <w:rFonts w:ascii="Arial" w:hAnsi="Arial" w:cs="Arial"/>
          <w:b/>
          <w:bCs/>
          <w:sz w:val="32"/>
          <w:szCs w:val="32"/>
          <w:highlight w:val="yellow"/>
        </w:rPr>
        <w:t>Results and Discussion</w:t>
      </w:r>
    </w:p>
    <w:p w14:paraId="160139E4" w14:textId="66AB5830" w:rsidR="00AF0309" w:rsidRPr="00734B3D" w:rsidRDefault="00EA2AB3">
      <w:pPr>
        <w:spacing w:line="480" w:lineRule="auto"/>
        <w:jc w:val="both"/>
        <w:rPr>
          <w:rFonts w:ascii="Arial" w:hAnsi="Arial" w:cs="Arial"/>
          <w:color w:val="000000"/>
          <w:sz w:val="24"/>
          <w:szCs w:val="24"/>
        </w:rPr>
      </w:pPr>
      <w:r w:rsidRPr="00734B3D">
        <w:rPr>
          <w:rFonts w:ascii="Arial" w:hAnsi="Arial" w:cs="Arial"/>
          <w:sz w:val="28"/>
          <w:szCs w:val="28"/>
        </w:rPr>
        <w:t xml:space="preserve">Comparisons of hematological </w:t>
      </w:r>
      <w:r w:rsidRPr="00A02284">
        <w:rPr>
          <w:rFonts w:ascii="Arial" w:hAnsi="Arial" w:cs="Arial"/>
          <w:sz w:val="28"/>
          <w:szCs w:val="28"/>
          <w:highlight w:val="yellow"/>
        </w:rPr>
        <w:t xml:space="preserve">parameters of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 xml:space="preserve">istar </w:t>
      </w:r>
      <w:r w:rsidRPr="00A02284">
        <w:rPr>
          <w:rFonts w:ascii="Arial" w:hAnsi="Arial" w:cs="Arial"/>
          <w:sz w:val="28"/>
          <w:szCs w:val="28"/>
          <w:highlight w:val="yellow"/>
        </w:rPr>
        <w:t xml:space="preserve">rats of </w:t>
      </w:r>
      <w:r w:rsidR="007A2D43" w:rsidRPr="00A02284">
        <w:rPr>
          <w:rFonts w:ascii="Arial" w:hAnsi="Arial" w:cs="Arial"/>
          <w:sz w:val="28"/>
          <w:szCs w:val="28"/>
          <w:highlight w:val="yellow"/>
        </w:rPr>
        <w:t xml:space="preserve">the </w:t>
      </w:r>
      <w:r w:rsidRPr="00A02284">
        <w:rPr>
          <w:rFonts w:ascii="Arial" w:hAnsi="Arial" w:cs="Arial"/>
          <w:sz w:val="28"/>
          <w:szCs w:val="28"/>
          <w:highlight w:val="yellow"/>
        </w:rPr>
        <w:t>control</w:t>
      </w:r>
      <w:r w:rsidRPr="00A02284">
        <w:rPr>
          <w:rFonts w:ascii="Arial" w:hAnsi="Arial" w:cs="Arial"/>
          <w:i/>
          <w:iCs/>
          <w:sz w:val="28"/>
          <w:szCs w:val="28"/>
          <w:highlight w:val="yellow"/>
        </w:rPr>
        <w:t xml:space="preserve"> </w:t>
      </w:r>
      <w:r w:rsidRPr="00A02284">
        <w:rPr>
          <w:rFonts w:ascii="Arial" w:hAnsi="Arial" w:cs="Arial"/>
          <w:iCs/>
          <w:sz w:val="28"/>
          <w:szCs w:val="28"/>
          <w:highlight w:val="yellow"/>
        </w:rPr>
        <w:t>gro</w:t>
      </w:r>
      <w:r w:rsidRPr="00734B3D">
        <w:rPr>
          <w:rFonts w:ascii="Arial" w:hAnsi="Arial" w:cs="Arial"/>
          <w:iCs/>
          <w:sz w:val="28"/>
          <w:szCs w:val="28"/>
        </w:rPr>
        <w:t>up and those</w:t>
      </w:r>
      <w:r w:rsidRPr="00734B3D">
        <w:rPr>
          <w:rFonts w:ascii="Arial" w:hAnsi="Arial" w:cs="Arial"/>
          <w:sz w:val="28"/>
          <w:szCs w:val="28"/>
        </w:rPr>
        <w:t xml:space="preserve"> administered low, intermediate and high doses of </w:t>
      </w:r>
      <w:r w:rsidRPr="00734B3D">
        <w:rPr>
          <w:rFonts w:ascii="Arial" w:hAnsi="Arial" w:cs="Arial"/>
          <w:i/>
          <w:sz w:val="28"/>
          <w:szCs w:val="28"/>
        </w:rPr>
        <w:t>camellia sinensis</w:t>
      </w:r>
      <w:r w:rsidR="00123684">
        <w:rPr>
          <w:rFonts w:ascii="Arial" w:hAnsi="Arial" w:cs="Arial"/>
          <w:i/>
          <w:sz w:val="28"/>
          <w:szCs w:val="28"/>
        </w:rPr>
        <w:t>.</w:t>
      </w:r>
      <w:r w:rsidRPr="00734B3D">
        <w:rPr>
          <w:rFonts w:ascii="Arial" w:hAnsi="Arial" w:cs="Arial"/>
          <w:sz w:val="28"/>
          <w:szCs w:val="28"/>
        </w:rPr>
        <w:t xml:space="preserve"> </w:t>
      </w:r>
    </w:p>
    <w:p w14:paraId="48169AB9" w14:textId="3472886E"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 xml:space="preserve">Table 1 below depicts the </w:t>
      </w:r>
      <w:proofErr w:type="spellStart"/>
      <w:r w:rsidRPr="00734B3D">
        <w:rPr>
          <w:rFonts w:ascii="Arial" w:hAnsi="Arial" w:cs="Arial"/>
          <w:sz w:val="28"/>
          <w:szCs w:val="28"/>
        </w:rPr>
        <w:t>mean±SEM</w:t>
      </w:r>
      <w:proofErr w:type="spellEnd"/>
      <w:r w:rsidRPr="00734B3D">
        <w:rPr>
          <w:rFonts w:ascii="Arial" w:hAnsi="Arial" w:cs="Arial"/>
          <w:sz w:val="28"/>
          <w:szCs w:val="28"/>
        </w:rPr>
        <w:t xml:space="preserve"> of hematological (full blood count) </w:t>
      </w:r>
      <w:r w:rsidRPr="00A02284">
        <w:rPr>
          <w:rFonts w:ascii="Arial" w:hAnsi="Arial" w:cs="Arial"/>
          <w:sz w:val="28"/>
          <w:szCs w:val="28"/>
          <w:highlight w:val="yellow"/>
        </w:rPr>
        <w:t xml:space="preserve">parameters of albino </w:t>
      </w:r>
      <w:r w:rsidR="007A2D43">
        <w:rPr>
          <w:rFonts w:ascii="Arial" w:hAnsi="Arial" w:cs="Arial"/>
          <w:sz w:val="28"/>
          <w:szCs w:val="28"/>
        </w:rPr>
        <w:t>W</w:t>
      </w:r>
      <w:r w:rsidR="007A2D43" w:rsidRPr="00734B3D">
        <w:rPr>
          <w:rFonts w:ascii="Arial" w:hAnsi="Arial" w:cs="Arial"/>
          <w:sz w:val="28"/>
          <w:szCs w:val="28"/>
        </w:rPr>
        <w:t xml:space="preserve">istar </w:t>
      </w:r>
      <w:r w:rsidRPr="00734B3D">
        <w:rPr>
          <w:rFonts w:ascii="Arial" w:hAnsi="Arial" w:cs="Arial"/>
          <w:sz w:val="28"/>
          <w:szCs w:val="28"/>
        </w:rPr>
        <w:t xml:space="preserve">rats administered low dose (100mg/kg body weight), intermediate dose (300mg/kg body weight) and high dose (500mg/kg body weight) of </w:t>
      </w:r>
      <w:r w:rsidRPr="00734B3D">
        <w:rPr>
          <w:rFonts w:ascii="Arial" w:hAnsi="Arial" w:cs="Arial"/>
          <w:i/>
          <w:sz w:val="28"/>
          <w:szCs w:val="28"/>
        </w:rPr>
        <w:t>camellia sinensis</w:t>
      </w:r>
      <w:r w:rsidRPr="00734B3D">
        <w:rPr>
          <w:rFonts w:ascii="Arial" w:hAnsi="Arial" w:cs="Arial"/>
          <w:sz w:val="28"/>
          <w:szCs w:val="28"/>
        </w:rPr>
        <w:t xml:space="preserve"> (green tea).  The mean values of the total white blood cell (TWBC) count and platelet count were </w:t>
      </w:r>
      <w:r w:rsidRPr="00A02284">
        <w:rPr>
          <w:rFonts w:ascii="Arial" w:hAnsi="Arial" w:cs="Arial"/>
          <w:sz w:val="28"/>
          <w:szCs w:val="28"/>
          <w:highlight w:val="yellow"/>
        </w:rPr>
        <w:t xml:space="preserve">highest in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 xml:space="preserve">istar </w:t>
      </w:r>
      <w:r w:rsidRPr="00A02284">
        <w:rPr>
          <w:rFonts w:ascii="Arial" w:hAnsi="Arial" w:cs="Arial"/>
          <w:sz w:val="28"/>
          <w:szCs w:val="28"/>
          <w:highlight w:val="yellow"/>
        </w:rPr>
        <w:t>rats in gro</w:t>
      </w:r>
      <w:r w:rsidRPr="00734B3D">
        <w:rPr>
          <w:rFonts w:ascii="Arial" w:hAnsi="Arial" w:cs="Arial"/>
          <w:sz w:val="28"/>
          <w:szCs w:val="28"/>
        </w:rPr>
        <w:t xml:space="preserve">up 3 and lowest in </w:t>
      </w:r>
      <w:r w:rsidRPr="00A02284">
        <w:rPr>
          <w:rFonts w:ascii="Arial" w:hAnsi="Arial" w:cs="Arial"/>
          <w:sz w:val="28"/>
          <w:szCs w:val="28"/>
          <w:highlight w:val="yellow"/>
        </w:rPr>
        <w:t xml:space="preserve">group 4 </w:t>
      </w:r>
      <w:r w:rsidR="007A2D43" w:rsidRPr="00A02284">
        <w:rPr>
          <w:rFonts w:ascii="Arial" w:hAnsi="Arial" w:cs="Arial"/>
          <w:sz w:val="28"/>
          <w:szCs w:val="28"/>
          <w:highlight w:val="yellow"/>
        </w:rPr>
        <w:lastRenderedPageBreak/>
        <w:t>W</w:t>
      </w:r>
      <w:r w:rsidR="007A2D43" w:rsidRPr="00A02284">
        <w:rPr>
          <w:rFonts w:ascii="Arial" w:hAnsi="Arial" w:cs="Arial"/>
          <w:sz w:val="28"/>
          <w:szCs w:val="28"/>
          <w:highlight w:val="yellow"/>
        </w:rPr>
        <w:t xml:space="preserve">istar </w:t>
      </w:r>
      <w:r w:rsidRPr="00A02284">
        <w:rPr>
          <w:rFonts w:ascii="Arial" w:hAnsi="Arial" w:cs="Arial"/>
          <w:sz w:val="28"/>
          <w:szCs w:val="28"/>
          <w:highlight w:val="yellow"/>
        </w:rPr>
        <w:t>rats. The mean</w:t>
      </w:r>
      <w:r w:rsidRPr="00734B3D">
        <w:rPr>
          <w:rFonts w:ascii="Arial" w:hAnsi="Arial" w:cs="Arial"/>
          <w:sz w:val="28"/>
          <w:szCs w:val="28"/>
        </w:rPr>
        <w:t xml:space="preserve"> values of these parameters when compared across the groups were not statistically significant (p&gt;0.05, in each case). The mean values of relative lymphocyte count and the mean cell volume (MCV) were highest </w:t>
      </w:r>
      <w:r w:rsidRPr="00A02284">
        <w:rPr>
          <w:rFonts w:ascii="Arial" w:hAnsi="Arial" w:cs="Arial"/>
          <w:sz w:val="28"/>
          <w:szCs w:val="28"/>
          <w:highlight w:val="yellow"/>
        </w:rPr>
        <w:t xml:space="preserve">in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 xml:space="preserve">istar </w:t>
      </w:r>
      <w:r w:rsidRPr="00A02284">
        <w:rPr>
          <w:rFonts w:ascii="Arial" w:hAnsi="Arial" w:cs="Arial"/>
          <w:sz w:val="28"/>
          <w:szCs w:val="28"/>
          <w:highlight w:val="yellow"/>
        </w:rPr>
        <w:t>rats in g</w:t>
      </w:r>
      <w:r w:rsidRPr="00734B3D">
        <w:rPr>
          <w:rFonts w:ascii="Arial" w:hAnsi="Arial" w:cs="Arial"/>
          <w:sz w:val="28"/>
          <w:szCs w:val="28"/>
        </w:rPr>
        <w:t xml:space="preserve">roup 1 and lowest in </w:t>
      </w:r>
      <w:r w:rsidRPr="00A02284">
        <w:rPr>
          <w:rFonts w:ascii="Arial" w:hAnsi="Arial" w:cs="Arial"/>
          <w:sz w:val="28"/>
          <w:szCs w:val="28"/>
          <w:highlight w:val="yellow"/>
        </w:rPr>
        <w:t xml:space="preserve">group 2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 xml:space="preserve">istar </w:t>
      </w:r>
      <w:r w:rsidRPr="00A02284">
        <w:rPr>
          <w:rFonts w:ascii="Arial" w:hAnsi="Arial" w:cs="Arial"/>
          <w:sz w:val="28"/>
          <w:szCs w:val="28"/>
          <w:highlight w:val="yellow"/>
        </w:rPr>
        <w:t>rats,  b</w:t>
      </w:r>
      <w:r w:rsidRPr="00734B3D">
        <w:rPr>
          <w:rFonts w:ascii="Arial" w:hAnsi="Arial" w:cs="Arial"/>
          <w:sz w:val="28"/>
          <w:szCs w:val="28"/>
        </w:rPr>
        <w:t xml:space="preserve">ut were not statistically significant when compared across the groups (p&gt;0.05, in each case). The mean value of </w:t>
      </w:r>
      <w:r w:rsidRPr="00A02284">
        <w:rPr>
          <w:rFonts w:ascii="Arial" w:hAnsi="Arial" w:cs="Arial"/>
          <w:sz w:val="28"/>
          <w:szCs w:val="28"/>
          <w:highlight w:val="yellow"/>
        </w:rPr>
        <w:t xml:space="preserve">relative </w:t>
      </w:r>
      <w:r w:rsidR="007A2D43" w:rsidRPr="00A02284">
        <w:rPr>
          <w:rFonts w:ascii="Arial" w:hAnsi="Arial" w:cs="Arial"/>
          <w:sz w:val="28"/>
          <w:szCs w:val="28"/>
          <w:highlight w:val="yellow"/>
        </w:rPr>
        <w:t>neutrop</w:t>
      </w:r>
      <w:r w:rsidR="007A2D43" w:rsidRPr="00734B3D">
        <w:rPr>
          <w:rFonts w:ascii="Arial" w:hAnsi="Arial" w:cs="Arial"/>
          <w:sz w:val="28"/>
          <w:szCs w:val="28"/>
        </w:rPr>
        <w:t>h</w:t>
      </w:r>
      <w:r w:rsidR="007A2D43">
        <w:rPr>
          <w:rFonts w:ascii="Arial" w:hAnsi="Arial" w:cs="Arial"/>
          <w:sz w:val="28"/>
          <w:szCs w:val="28"/>
        </w:rPr>
        <w:t>i</w:t>
      </w:r>
      <w:r w:rsidR="007A2D43" w:rsidRPr="00734B3D">
        <w:rPr>
          <w:rFonts w:ascii="Arial" w:hAnsi="Arial" w:cs="Arial"/>
          <w:sz w:val="28"/>
          <w:szCs w:val="28"/>
        </w:rPr>
        <w:t xml:space="preserve">l </w:t>
      </w:r>
      <w:r w:rsidRPr="00734B3D">
        <w:rPr>
          <w:rFonts w:ascii="Arial" w:hAnsi="Arial" w:cs="Arial"/>
          <w:sz w:val="28"/>
          <w:szCs w:val="28"/>
        </w:rPr>
        <w:t xml:space="preserve">count was highest in group 3 rats and lowest in group 1 rats. However, the relative neutrophil count when compared across the </w:t>
      </w:r>
      <w:r w:rsidRPr="00A02284">
        <w:rPr>
          <w:rFonts w:ascii="Arial" w:hAnsi="Arial" w:cs="Arial"/>
          <w:sz w:val="28"/>
          <w:szCs w:val="28"/>
          <w:highlight w:val="yellow"/>
        </w:rPr>
        <w:t xml:space="preserve">groups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as</w:t>
      </w:r>
      <w:r w:rsidR="007A2D43" w:rsidRPr="00A02284">
        <w:rPr>
          <w:rFonts w:ascii="Arial" w:hAnsi="Arial" w:cs="Arial"/>
          <w:sz w:val="28"/>
          <w:szCs w:val="28"/>
          <w:highlight w:val="yellow"/>
        </w:rPr>
        <w:t xml:space="preserve"> </w:t>
      </w:r>
      <w:r w:rsidRPr="00A02284">
        <w:rPr>
          <w:rFonts w:ascii="Arial" w:hAnsi="Arial" w:cs="Arial"/>
          <w:sz w:val="28"/>
          <w:szCs w:val="28"/>
          <w:highlight w:val="yellow"/>
        </w:rPr>
        <w:t>not statisticall</w:t>
      </w:r>
      <w:r w:rsidRPr="00734B3D">
        <w:rPr>
          <w:rFonts w:ascii="Arial" w:hAnsi="Arial" w:cs="Arial"/>
          <w:sz w:val="28"/>
          <w:szCs w:val="28"/>
        </w:rPr>
        <w:t xml:space="preserve">y significant (p&gt;0.05, in each case). The mean±SEM of relative monocyte counts and haemoglobin (Hb) concentration were highest in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 xml:space="preserve">istar </w:t>
      </w:r>
      <w:r w:rsidRPr="00A02284">
        <w:rPr>
          <w:rFonts w:ascii="Arial" w:hAnsi="Arial" w:cs="Arial"/>
          <w:sz w:val="28"/>
          <w:szCs w:val="28"/>
          <w:highlight w:val="yellow"/>
        </w:rPr>
        <w:t>rats in group</w:t>
      </w:r>
      <w:r w:rsidRPr="00734B3D">
        <w:rPr>
          <w:rFonts w:ascii="Arial" w:hAnsi="Arial" w:cs="Arial"/>
          <w:sz w:val="28"/>
          <w:szCs w:val="28"/>
        </w:rPr>
        <w:t xml:space="preserve"> 2 and lowest in </w:t>
      </w:r>
      <w:r w:rsidRPr="00A02284">
        <w:rPr>
          <w:rFonts w:ascii="Arial" w:hAnsi="Arial" w:cs="Arial"/>
          <w:sz w:val="28"/>
          <w:szCs w:val="28"/>
          <w:highlight w:val="yellow"/>
        </w:rPr>
        <w:t xml:space="preserve">group 1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 xml:space="preserve">istar </w:t>
      </w:r>
      <w:r w:rsidRPr="00A02284">
        <w:rPr>
          <w:rFonts w:ascii="Arial" w:hAnsi="Arial" w:cs="Arial"/>
          <w:sz w:val="28"/>
          <w:szCs w:val="28"/>
          <w:highlight w:val="yellow"/>
        </w:rPr>
        <w:t>rats. Th</w:t>
      </w:r>
      <w:r w:rsidRPr="00734B3D">
        <w:rPr>
          <w:rFonts w:ascii="Arial" w:hAnsi="Arial" w:cs="Arial"/>
          <w:sz w:val="28"/>
          <w:szCs w:val="28"/>
        </w:rPr>
        <w:t xml:space="preserve">e mean values of the relative monocyte counts and Hb concentration when compared across the groups were not statistically significant (p&gt;0.05, in each case). The mean value of red blood cell count was highest in group 2 rats and lowest in group 3 rats. However, the red blood cell count when compared across the groups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as</w:t>
      </w:r>
      <w:r w:rsidR="007A2D43" w:rsidRPr="00A02284">
        <w:rPr>
          <w:rFonts w:ascii="Arial" w:hAnsi="Arial" w:cs="Arial"/>
          <w:sz w:val="28"/>
          <w:szCs w:val="28"/>
          <w:highlight w:val="yellow"/>
        </w:rPr>
        <w:t xml:space="preserve"> </w:t>
      </w:r>
      <w:r w:rsidRPr="00A02284">
        <w:rPr>
          <w:rFonts w:ascii="Arial" w:hAnsi="Arial" w:cs="Arial"/>
          <w:sz w:val="28"/>
          <w:szCs w:val="28"/>
          <w:highlight w:val="yellow"/>
        </w:rPr>
        <w:t>not s</w:t>
      </w:r>
      <w:r w:rsidRPr="00734B3D">
        <w:rPr>
          <w:rFonts w:ascii="Arial" w:hAnsi="Arial" w:cs="Arial"/>
          <w:sz w:val="28"/>
          <w:szCs w:val="28"/>
        </w:rPr>
        <w:t xml:space="preserve">tatistically significant (p&gt;0.05, in each case). The </w:t>
      </w:r>
      <w:r w:rsidRPr="00A02284">
        <w:rPr>
          <w:rFonts w:ascii="Arial" w:hAnsi="Arial" w:cs="Arial"/>
          <w:sz w:val="28"/>
          <w:szCs w:val="28"/>
          <w:highlight w:val="yellow"/>
        </w:rPr>
        <w:t xml:space="preserve">mean value of the packed cell volume (PCV) was highest in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 xml:space="preserve">istar </w:t>
      </w:r>
      <w:r w:rsidRPr="00A02284">
        <w:rPr>
          <w:rFonts w:ascii="Arial" w:hAnsi="Arial" w:cs="Arial"/>
          <w:sz w:val="28"/>
          <w:szCs w:val="28"/>
          <w:highlight w:val="yellow"/>
        </w:rPr>
        <w:t xml:space="preserve">rats in group 1 and lowest in group 4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 xml:space="preserve">istar </w:t>
      </w:r>
      <w:r w:rsidRPr="00A02284">
        <w:rPr>
          <w:rFonts w:ascii="Arial" w:hAnsi="Arial" w:cs="Arial"/>
          <w:sz w:val="28"/>
          <w:szCs w:val="28"/>
          <w:highlight w:val="yellow"/>
        </w:rPr>
        <w:t>rats,  but was not statistically significant</w:t>
      </w:r>
      <w:r w:rsidRPr="00734B3D">
        <w:rPr>
          <w:rFonts w:ascii="Arial" w:hAnsi="Arial" w:cs="Arial"/>
          <w:sz w:val="28"/>
          <w:szCs w:val="28"/>
        </w:rPr>
        <w:t xml:space="preserve"> when compared across the groups (p&gt;0.05, in each case). The mean value of the mean cell haemoglobin concentration (MCHC) was </w:t>
      </w:r>
      <w:r w:rsidRPr="00A02284">
        <w:rPr>
          <w:rFonts w:ascii="Arial" w:hAnsi="Arial" w:cs="Arial"/>
          <w:sz w:val="28"/>
          <w:szCs w:val="28"/>
          <w:highlight w:val="yellow"/>
        </w:rPr>
        <w:t xml:space="preserve">highest in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 xml:space="preserve">istar </w:t>
      </w:r>
      <w:r w:rsidRPr="00A02284">
        <w:rPr>
          <w:rFonts w:ascii="Arial" w:hAnsi="Arial" w:cs="Arial"/>
          <w:sz w:val="28"/>
          <w:szCs w:val="28"/>
          <w:highlight w:val="yellow"/>
        </w:rPr>
        <w:t xml:space="preserve">rats in group 4 and lowest in group 1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 xml:space="preserve">istar </w:t>
      </w:r>
      <w:r w:rsidRPr="00A02284">
        <w:rPr>
          <w:rFonts w:ascii="Arial" w:hAnsi="Arial" w:cs="Arial"/>
          <w:sz w:val="28"/>
          <w:szCs w:val="28"/>
          <w:highlight w:val="yellow"/>
        </w:rPr>
        <w:lastRenderedPageBreak/>
        <w:t xml:space="preserve">rats. The MCHC was significantly lower in rats in group 1 when compared to rats in </w:t>
      </w:r>
      <w:r w:rsidR="007A2D43" w:rsidRPr="00A02284">
        <w:rPr>
          <w:rFonts w:ascii="Arial" w:hAnsi="Arial" w:cs="Arial"/>
          <w:sz w:val="28"/>
          <w:szCs w:val="28"/>
          <w:highlight w:val="yellow"/>
        </w:rPr>
        <w:t>G</w:t>
      </w:r>
      <w:r w:rsidR="007A2D43" w:rsidRPr="00A02284">
        <w:rPr>
          <w:rFonts w:ascii="Arial" w:hAnsi="Arial" w:cs="Arial"/>
          <w:sz w:val="28"/>
          <w:szCs w:val="28"/>
          <w:highlight w:val="yellow"/>
        </w:rPr>
        <w:t xml:space="preserve">roup </w:t>
      </w:r>
      <w:r w:rsidRPr="00A02284">
        <w:rPr>
          <w:rFonts w:ascii="Arial" w:hAnsi="Arial" w:cs="Arial"/>
          <w:sz w:val="28"/>
          <w:szCs w:val="28"/>
          <w:highlight w:val="yellow"/>
        </w:rPr>
        <w:t xml:space="preserve">2, group 3 and </w:t>
      </w:r>
      <w:r w:rsidR="007A2D43" w:rsidRPr="00A02284">
        <w:rPr>
          <w:rFonts w:ascii="Arial" w:hAnsi="Arial" w:cs="Arial"/>
          <w:sz w:val="28"/>
          <w:szCs w:val="28"/>
          <w:highlight w:val="yellow"/>
        </w:rPr>
        <w:t>G</w:t>
      </w:r>
      <w:r w:rsidR="007A2D43" w:rsidRPr="00A02284">
        <w:rPr>
          <w:rFonts w:ascii="Arial" w:hAnsi="Arial" w:cs="Arial"/>
          <w:sz w:val="28"/>
          <w:szCs w:val="28"/>
          <w:highlight w:val="yellow"/>
        </w:rPr>
        <w:t xml:space="preserve">roup </w:t>
      </w:r>
      <w:r w:rsidRPr="00A02284">
        <w:rPr>
          <w:rFonts w:ascii="Arial" w:hAnsi="Arial" w:cs="Arial"/>
          <w:sz w:val="28"/>
          <w:szCs w:val="28"/>
          <w:highlight w:val="yellow"/>
        </w:rPr>
        <w:t>4 (p&lt; 0.05, in each case). However, the   MCHC in group 2 rats when compared to those in group</w:t>
      </w:r>
      <w:r w:rsidR="007A2D43" w:rsidRPr="00A02284">
        <w:rPr>
          <w:rFonts w:ascii="Arial" w:hAnsi="Arial" w:cs="Arial"/>
          <w:sz w:val="28"/>
          <w:szCs w:val="28"/>
          <w:highlight w:val="yellow"/>
        </w:rPr>
        <w:t>s</w:t>
      </w:r>
      <w:r w:rsidRPr="00A02284">
        <w:rPr>
          <w:rFonts w:ascii="Arial" w:hAnsi="Arial" w:cs="Arial"/>
          <w:sz w:val="28"/>
          <w:szCs w:val="28"/>
          <w:highlight w:val="yellow"/>
        </w:rPr>
        <w:t xml:space="preserve"> 3 and 4 were not statistically significant (p&gt;0.05, in each case). The value of the mean platelet volume (MPV) was highest in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 xml:space="preserve">istar </w:t>
      </w:r>
      <w:r w:rsidRPr="00A02284">
        <w:rPr>
          <w:rFonts w:ascii="Arial" w:hAnsi="Arial" w:cs="Arial"/>
          <w:sz w:val="28"/>
          <w:szCs w:val="28"/>
          <w:highlight w:val="yellow"/>
        </w:rPr>
        <w:t xml:space="preserve">rats in group 4 and lowest in group 2 </w:t>
      </w:r>
      <w:r w:rsidR="007A2D43" w:rsidRPr="00A02284">
        <w:rPr>
          <w:rFonts w:ascii="Arial" w:hAnsi="Arial" w:cs="Arial"/>
          <w:sz w:val="28"/>
          <w:szCs w:val="28"/>
          <w:highlight w:val="yellow"/>
        </w:rPr>
        <w:t>W</w:t>
      </w:r>
      <w:r w:rsidR="007A2D43" w:rsidRPr="00A02284">
        <w:rPr>
          <w:rFonts w:ascii="Arial" w:hAnsi="Arial" w:cs="Arial"/>
          <w:sz w:val="28"/>
          <w:szCs w:val="28"/>
          <w:highlight w:val="yellow"/>
        </w:rPr>
        <w:t>istar</w:t>
      </w:r>
      <w:r w:rsidR="007A2D43" w:rsidRPr="00734B3D">
        <w:rPr>
          <w:rFonts w:ascii="Arial" w:hAnsi="Arial" w:cs="Arial"/>
          <w:sz w:val="28"/>
          <w:szCs w:val="28"/>
        </w:rPr>
        <w:t xml:space="preserve"> </w:t>
      </w:r>
      <w:r w:rsidRPr="00734B3D">
        <w:rPr>
          <w:rFonts w:ascii="Arial" w:hAnsi="Arial" w:cs="Arial"/>
          <w:sz w:val="28"/>
          <w:szCs w:val="28"/>
        </w:rPr>
        <w:t xml:space="preserve">rats,  but the MPV </w:t>
      </w:r>
      <w:r w:rsidR="007A2D43">
        <w:rPr>
          <w:rFonts w:ascii="Arial" w:hAnsi="Arial" w:cs="Arial"/>
          <w:sz w:val="28"/>
          <w:szCs w:val="28"/>
        </w:rPr>
        <w:t xml:space="preserve">was </w:t>
      </w:r>
      <w:r w:rsidRPr="00734B3D">
        <w:rPr>
          <w:rFonts w:ascii="Arial" w:hAnsi="Arial" w:cs="Arial"/>
          <w:sz w:val="28"/>
          <w:szCs w:val="28"/>
        </w:rPr>
        <w:t xml:space="preserve">not statistically significant when compared across the groups (p&gt;0.05, in each case). </w:t>
      </w:r>
    </w:p>
    <w:p w14:paraId="263A7C35" w14:textId="6B40C62B"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Table 1:</w:t>
      </w:r>
      <w:r w:rsidRPr="00734B3D">
        <w:rPr>
          <w:rFonts w:ascii="Arial" w:hAnsi="Arial" w:cs="Arial"/>
          <w:sz w:val="28"/>
          <w:szCs w:val="28"/>
        </w:rPr>
        <w:tab/>
        <w:t>Comparisons of hematological parameters across the groups</w:t>
      </w:r>
    </w:p>
    <w:tbl>
      <w:tblPr>
        <w:tblStyle w:val="TableGrid"/>
        <w:tblW w:w="0" w:type="auto"/>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73"/>
        <w:gridCol w:w="1927"/>
        <w:gridCol w:w="1927"/>
        <w:gridCol w:w="1927"/>
        <w:gridCol w:w="1927"/>
        <w:gridCol w:w="1241"/>
        <w:gridCol w:w="1254"/>
      </w:tblGrid>
      <w:tr w:rsidR="00AF0309" w:rsidRPr="00734B3D" w14:paraId="277FA6F8" w14:textId="77777777">
        <w:tc>
          <w:tcPr>
            <w:tcW w:w="3348" w:type="dxa"/>
            <w:tcBorders>
              <w:bottom w:val="single" w:sz="4" w:space="0" w:color="auto"/>
            </w:tcBorders>
          </w:tcPr>
          <w:p w14:paraId="2CBBBE4B" w14:textId="2EFF4740"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Hematology Parameters</w:t>
            </w:r>
          </w:p>
        </w:tc>
        <w:tc>
          <w:tcPr>
            <w:tcW w:w="1890" w:type="dxa"/>
            <w:tcBorders>
              <w:bottom w:val="single" w:sz="4" w:space="0" w:color="auto"/>
            </w:tcBorders>
          </w:tcPr>
          <w:p w14:paraId="39801033"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Group 1</w:t>
            </w:r>
          </w:p>
          <w:p w14:paraId="00FA3CEA"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(Control)</w:t>
            </w:r>
          </w:p>
        </w:tc>
        <w:tc>
          <w:tcPr>
            <w:tcW w:w="1710" w:type="dxa"/>
            <w:tcBorders>
              <w:bottom w:val="single" w:sz="4" w:space="0" w:color="auto"/>
            </w:tcBorders>
          </w:tcPr>
          <w:p w14:paraId="1AFF7BF5"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Group 2</w:t>
            </w:r>
          </w:p>
          <w:p w14:paraId="56431A27"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(Low Dose)</w:t>
            </w:r>
          </w:p>
        </w:tc>
        <w:tc>
          <w:tcPr>
            <w:tcW w:w="1890" w:type="dxa"/>
            <w:tcBorders>
              <w:bottom w:val="single" w:sz="4" w:space="0" w:color="auto"/>
            </w:tcBorders>
          </w:tcPr>
          <w:p w14:paraId="674F3FB1"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Group 3</w:t>
            </w:r>
          </w:p>
          <w:p w14:paraId="664B52A6"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(Moderate Dose)</w:t>
            </w:r>
          </w:p>
        </w:tc>
        <w:tc>
          <w:tcPr>
            <w:tcW w:w="1620" w:type="dxa"/>
            <w:tcBorders>
              <w:bottom w:val="single" w:sz="4" w:space="0" w:color="auto"/>
            </w:tcBorders>
          </w:tcPr>
          <w:p w14:paraId="72AE92FA"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Group 4</w:t>
            </w:r>
          </w:p>
          <w:p w14:paraId="2E497782"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(High Dose)</w:t>
            </w:r>
          </w:p>
        </w:tc>
        <w:tc>
          <w:tcPr>
            <w:tcW w:w="1350" w:type="dxa"/>
            <w:tcBorders>
              <w:bottom w:val="single" w:sz="4" w:space="0" w:color="auto"/>
            </w:tcBorders>
          </w:tcPr>
          <w:p w14:paraId="537A8546"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F-value</w:t>
            </w:r>
          </w:p>
        </w:tc>
        <w:tc>
          <w:tcPr>
            <w:tcW w:w="1368" w:type="dxa"/>
            <w:tcBorders>
              <w:bottom w:val="single" w:sz="4" w:space="0" w:color="auto"/>
            </w:tcBorders>
          </w:tcPr>
          <w:p w14:paraId="1E57C079"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p-value</w:t>
            </w:r>
          </w:p>
        </w:tc>
      </w:tr>
      <w:tr w:rsidR="00AF0309" w:rsidRPr="00734B3D" w14:paraId="222022AA" w14:textId="77777777">
        <w:tc>
          <w:tcPr>
            <w:tcW w:w="3348" w:type="dxa"/>
            <w:tcBorders>
              <w:top w:val="single" w:sz="4" w:space="0" w:color="auto"/>
              <w:bottom w:val="nil"/>
            </w:tcBorders>
          </w:tcPr>
          <w:p w14:paraId="673536BB"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TWBC (X 10</w:t>
            </w:r>
            <w:r w:rsidRPr="00734B3D">
              <w:rPr>
                <w:rFonts w:ascii="Arial" w:hAnsi="Arial" w:cs="Arial"/>
                <w:sz w:val="28"/>
                <w:szCs w:val="28"/>
                <w:vertAlign w:val="superscript"/>
              </w:rPr>
              <w:t>9</w:t>
            </w:r>
            <w:r w:rsidRPr="00734B3D">
              <w:rPr>
                <w:rFonts w:ascii="Arial" w:hAnsi="Arial" w:cs="Arial"/>
                <w:sz w:val="28"/>
                <w:szCs w:val="28"/>
              </w:rPr>
              <w:t>/L)</w:t>
            </w:r>
          </w:p>
        </w:tc>
        <w:tc>
          <w:tcPr>
            <w:tcW w:w="1890" w:type="dxa"/>
            <w:tcBorders>
              <w:top w:val="single" w:sz="4" w:space="0" w:color="auto"/>
              <w:bottom w:val="nil"/>
            </w:tcBorders>
          </w:tcPr>
          <w:p w14:paraId="7F819E70" w14:textId="77777777" w:rsidR="00AF0309" w:rsidRPr="00734B3D" w:rsidRDefault="00EA2AB3">
            <w:pPr>
              <w:spacing w:line="480" w:lineRule="auto"/>
              <w:jc w:val="both"/>
              <w:rPr>
                <w:rFonts w:ascii="Arial" w:hAnsi="Arial" w:cs="Arial"/>
                <w:sz w:val="28"/>
                <w:szCs w:val="28"/>
              </w:rPr>
            </w:pPr>
            <w:r w:rsidRPr="00734B3D">
              <w:rPr>
                <w:rFonts w:ascii="Arial" w:hAnsi="Arial" w:cs="Arial"/>
                <w:color w:val="000000"/>
                <w:sz w:val="28"/>
                <w:szCs w:val="28"/>
              </w:rPr>
              <w:t>3.49</w:t>
            </w:r>
            <w:r w:rsidRPr="00734B3D">
              <w:rPr>
                <w:rFonts w:ascii="Arial" w:hAnsi="Arial" w:cs="Arial"/>
                <w:sz w:val="28"/>
                <w:szCs w:val="28"/>
              </w:rPr>
              <w:t>±0.05</w:t>
            </w:r>
          </w:p>
        </w:tc>
        <w:tc>
          <w:tcPr>
            <w:tcW w:w="1710" w:type="dxa"/>
            <w:tcBorders>
              <w:top w:val="single" w:sz="4" w:space="0" w:color="auto"/>
              <w:bottom w:val="nil"/>
            </w:tcBorders>
          </w:tcPr>
          <w:p w14:paraId="2AA82E38"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2.71±0.58</w:t>
            </w:r>
          </w:p>
        </w:tc>
        <w:tc>
          <w:tcPr>
            <w:tcW w:w="1890" w:type="dxa"/>
            <w:tcBorders>
              <w:top w:val="single" w:sz="4" w:space="0" w:color="auto"/>
              <w:bottom w:val="nil"/>
            </w:tcBorders>
          </w:tcPr>
          <w:p w14:paraId="1101D3D1"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4.18±0.95</w:t>
            </w:r>
          </w:p>
        </w:tc>
        <w:tc>
          <w:tcPr>
            <w:tcW w:w="1620" w:type="dxa"/>
            <w:tcBorders>
              <w:top w:val="single" w:sz="4" w:space="0" w:color="auto"/>
              <w:bottom w:val="nil"/>
            </w:tcBorders>
          </w:tcPr>
          <w:p w14:paraId="0E27B89E"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1.99±0.17</w:t>
            </w:r>
          </w:p>
        </w:tc>
        <w:tc>
          <w:tcPr>
            <w:tcW w:w="1350" w:type="dxa"/>
            <w:tcBorders>
              <w:top w:val="single" w:sz="4" w:space="0" w:color="auto"/>
              <w:bottom w:val="nil"/>
            </w:tcBorders>
            <w:vAlign w:val="center"/>
          </w:tcPr>
          <w:p w14:paraId="24E24803"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2.811</w:t>
            </w:r>
          </w:p>
        </w:tc>
        <w:tc>
          <w:tcPr>
            <w:tcW w:w="1368" w:type="dxa"/>
            <w:tcBorders>
              <w:top w:val="single" w:sz="4" w:space="0" w:color="auto"/>
              <w:bottom w:val="nil"/>
            </w:tcBorders>
            <w:vAlign w:val="center"/>
          </w:tcPr>
          <w:p w14:paraId="17F160ED"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0.08</w:t>
            </w:r>
          </w:p>
        </w:tc>
      </w:tr>
      <w:tr w:rsidR="00AF0309" w:rsidRPr="00734B3D" w14:paraId="0CED79F5" w14:textId="77777777">
        <w:tc>
          <w:tcPr>
            <w:tcW w:w="3348" w:type="dxa"/>
            <w:tcBorders>
              <w:top w:val="nil"/>
              <w:bottom w:val="nil"/>
            </w:tcBorders>
          </w:tcPr>
          <w:p w14:paraId="45DEA0EF"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Lymphocyte (%)</w:t>
            </w:r>
          </w:p>
        </w:tc>
        <w:tc>
          <w:tcPr>
            <w:tcW w:w="1890" w:type="dxa"/>
            <w:tcBorders>
              <w:top w:val="nil"/>
              <w:bottom w:val="nil"/>
            </w:tcBorders>
          </w:tcPr>
          <w:p w14:paraId="08D0CE1D"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97.80±0.47</w:t>
            </w:r>
          </w:p>
        </w:tc>
        <w:tc>
          <w:tcPr>
            <w:tcW w:w="1710" w:type="dxa"/>
            <w:tcBorders>
              <w:top w:val="nil"/>
              <w:bottom w:val="nil"/>
            </w:tcBorders>
          </w:tcPr>
          <w:p w14:paraId="4D7FE77B"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91.85±1.41</w:t>
            </w:r>
          </w:p>
        </w:tc>
        <w:tc>
          <w:tcPr>
            <w:tcW w:w="1890" w:type="dxa"/>
            <w:tcBorders>
              <w:top w:val="nil"/>
              <w:bottom w:val="nil"/>
            </w:tcBorders>
          </w:tcPr>
          <w:p w14:paraId="3EE03552"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93.07±3.52</w:t>
            </w:r>
          </w:p>
        </w:tc>
        <w:tc>
          <w:tcPr>
            <w:tcW w:w="1620" w:type="dxa"/>
            <w:tcBorders>
              <w:top w:val="nil"/>
              <w:bottom w:val="nil"/>
            </w:tcBorders>
          </w:tcPr>
          <w:p w14:paraId="3A6A6A40"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94.27±1.99</w:t>
            </w:r>
          </w:p>
        </w:tc>
        <w:tc>
          <w:tcPr>
            <w:tcW w:w="1350" w:type="dxa"/>
            <w:tcBorders>
              <w:top w:val="nil"/>
              <w:bottom w:val="nil"/>
            </w:tcBorders>
            <w:vAlign w:val="center"/>
          </w:tcPr>
          <w:p w14:paraId="1F7ADC77"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1.415</w:t>
            </w:r>
          </w:p>
        </w:tc>
        <w:tc>
          <w:tcPr>
            <w:tcW w:w="1368" w:type="dxa"/>
            <w:tcBorders>
              <w:top w:val="nil"/>
              <w:bottom w:val="nil"/>
            </w:tcBorders>
            <w:vAlign w:val="center"/>
          </w:tcPr>
          <w:p w14:paraId="47687215"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0.28</w:t>
            </w:r>
          </w:p>
        </w:tc>
      </w:tr>
      <w:tr w:rsidR="00AF0309" w:rsidRPr="00734B3D" w14:paraId="0631249F" w14:textId="77777777">
        <w:tc>
          <w:tcPr>
            <w:tcW w:w="3348" w:type="dxa"/>
            <w:tcBorders>
              <w:top w:val="nil"/>
              <w:bottom w:val="nil"/>
            </w:tcBorders>
          </w:tcPr>
          <w:p w14:paraId="0D6C55D1"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Neutrophil (%)</w:t>
            </w:r>
          </w:p>
        </w:tc>
        <w:tc>
          <w:tcPr>
            <w:tcW w:w="1890" w:type="dxa"/>
            <w:tcBorders>
              <w:top w:val="nil"/>
              <w:bottom w:val="nil"/>
            </w:tcBorders>
          </w:tcPr>
          <w:p w14:paraId="1024F40B"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0.92±0.36</w:t>
            </w:r>
          </w:p>
        </w:tc>
        <w:tc>
          <w:tcPr>
            <w:tcW w:w="1710" w:type="dxa"/>
            <w:tcBorders>
              <w:top w:val="nil"/>
              <w:bottom w:val="nil"/>
            </w:tcBorders>
          </w:tcPr>
          <w:p w14:paraId="74B2F78D"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4.07±0.53</w:t>
            </w:r>
          </w:p>
        </w:tc>
        <w:tc>
          <w:tcPr>
            <w:tcW w:w="1890" w:type="dxa"/>
            <w:tcBorders>
              <w:top w:val="nil"/>
              <w:bottom w:val="nil"/>
            </w:tcBorders>
          </w:tcPr>
          <w:p w14:paraId="10CFC6D9"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4.73±2.80</w:t>
            </w:r>
          </w:p>
        </w:tc>
        <w:tc>
          <w:tcPr>
            <w:tcW w:w="1620" w:type="dxa"/>
            <w:tcBorders>
              <w:top w:val="nil"/>
              <w:bottom w:val="nil"/>
            </w:tcBorders>
          </w:tcPr>
          <w:p w14:paraId="0E0C3898"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3.75±1.60</w:t>
            </w:r>
          </w:p>
        </w:tc>
        <w:tc>
          <w:tcPr>
            <w:tcW w:w="1350" w:type="dxa"/>
            <w:tcBorders>
              <w:top w:val="nil"/>
              <w:bottom w:val="nil"/>
            </w:tcBorders>
            <w:vAlign w:val="center"/>
          </w:tcPr>
          <w:p w14:paraId="05E3D6D2"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1.04</w:t>
            </w:r>
          </w:p>
        </w:tc>
        <w:tc>
          <w:tcPr>
            <w:tcW w:w="1368" w:type="dxa"/>
            <w:tcBorders>
              <w:top w:val="nil"/>
              <w:bottom w:val="nil"/>
            </w:tcBorders>
            <w:vAlign w:val="center"/>
          </w:tcPr>
          <w:p w14:paraId="10B4E13A"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0.41</w:t>
            </w:r>
          </w:p>
        </w:tc>
      </w:tr>
      <w:tr w:rsidR="00AF0309" w:rsidRPr="00734B3D" w14:paraId="4BCBCB2F" w14:textId="77777777">
        <w:tc>
          <w:tcPr>
            <w:tcW w:w="3348" w:type="dxa"/>
            <w:tcBorders>
              <w:top w:val="nil"/>
              <w:bottom w:val="nil"/>
            </w:tcBorders>
          </w:tcPr>
          <w:p w14:paraId="2656A43B"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Monocyte (%)</w:t>
            </w:r>
          </w:p>
        </w:tc>
        <w:tc>
          <w:tcPr>
            <w:tcW w:w="1890" w:type="dxa"/>
            <w:tcBorders>
              <w:top w:val="nil"/>
              <w:bottom w:val="nil"/>
            </w:tcBorders>
          </w:tcPr>
          <w:p w14:paraId="64E73550"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1.27±0.11</w:t>
            </w:r>
          </w:p>
        </w:tc>
        <w:tc>
          <w:tcPr>
            <w:tcW w:w="1710" w:type="dxa"/>
            <w:tcBorders>
              <w:top w:val="nil"/>
              <w:bottom w:val="nil"/>
            </w:tcBorders>
          </w:tcPr>
          <w:p w14:paraId="14F51BA7"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4.07±1.01</w:t>
            </w:r>
          </w:p>
        </w:tc>
        <w:tc>
          <w:tcPr>
            <w:tcW w:w="1890" w:type="dxa"/>
            <w:tcBorders>
              <w:top w:val="nil"/>
              <w:bottom w:val="nil"/>
            </w:tcBorders>
          </w:tcPr>
          <w:p w14:paraId="1A328420"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2.20±0.72</w:t>
            </w:r>
          </w:p>
        </w:tc>
        <w:tc>
          <w:tcPr>
            <w:tcW w:w="1620" w:type="dxa"/>
            <w:tcBorders>
              <w:top w:val="nil"/>
              <w:bottom w:val="nil"/>
            </w:tcBorders>
          </w:tcPr>
          <w:p w14:paraId="1F038AC8"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1.97±0.87</w:t>
            </w:r>
          </w:p>
        </w:tc>
        <w:tc>
          <w:tcPr>
            <w:tcW w:w="1350" w:type="dxa"/>
            <w:tcBorders>
              <w:top w:val="nil"/>
              <w:bottom w:val="nil"/>
            </w:tcBorders>
            <w:vAlign w:val="center"/>
          </w:tcPr>
          <w:p w14:paraId="65EFD540"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3.26</w:t>
            </w:r>
          </w:p>
        </w:tc>
        <w:tc>
          <w:tcPr>
            <w:tcW w:w="1368" w:type="dxa"/>
            <w:tcBorders>
              <w:top w:val="nil"/>
              <w:bottom w:val="nil"/>
            </w:tcBorders>
            <w:vAlign w:val="center"/>
          </w:tcPr>
          <w:p w14:paraId="3CD4D3BD"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0.06</w:t>
            </w:r>
          </w:p>
        </w:tc>
      </w:tr>
      <w:tr w:rsidR="00AF0309" w:rsidRPr="00734B3D" w14:paraId="0AE7245E" w14:textId="77777777">
        <w:tc>
          <w:tcPr>
            <w:tcW w:w="3348" w:type="dxa"/>
            <w:tcBorders>
              <w:top w:val="nil"/>
              <w:bottom w:val="nil"/>
            </w:tcBorders>
          </w:tcPr>
          <w:p w14:paraId="643E9586"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lastRenderedPageBreak/>
              <w:t>RBC count</w:t>
            </w:r>
          </w:p>
        </w:tc>
        <w:tc>
          <w:tcPr>
            <w:tcW w:w="1890" w:type="dxa"/>
            <w:tcBorders>
              <w:top w:val="nil"/>
              <w:bottom w:val="nil"/>
            </w:tcBorders>
          </w:tcPr>
          <w:p w14:paraId="4FFB3282"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7.93±0.47</w:t>
            </w:r>
          </w:p>
        </w:tc>
        <w:tc>
          <w:tcPr>
            <w:tcW w:w="1710" w:type="dxa"/>
            <w:tcBorders>
              <w:top w:val="nil"/>
              <w:bottom w:val="nil"/>
            </w:tcBorders>
          </w:tcPr>
          <w:p w14:paraId="72CD9697"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8.48±0.53</w:t>
            </w:r>
          </w:p>
        </w:tc>
        <w:tc>
          <w:tcPr>
            <w:tcW w:w="1890" w:type="dxa"/>
            <w:tcBorders>
              <w:top w:val="nil"/>
              <w:bottom w:val="nil"/>
            </w:tcBorders>
          </w:tcPr>
          <w:p w14:paraId="5417183D"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7.78±0.39</w:t>
            </w:r>
          </w:p>
        </w:tc>
        <w:tc>
          <w:tcPr>
            <w:tcW w:w="1620" w:type="dxa"/>
            <w:tcBorders>
              <w:top w:val="nil"/>
              <w:bottom w:val="nil"/>
            </w:tcBorders>
          </w:tcPr>
          <w:p w14:paraId="1509BFE5"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7.96±0.61</w:t>
            </w:r>
          </w:p>
        </w:tc>
        <w:tc>
          <w:tcPr>
            <w:tcW w:w="1350" w:type="dxa"/>
            <w:tcBorders>
              <w:top w:val="nil"/>
              <w:bottom w:val="nil"/>
            </w:tcBorders>
            <w:vAlign w:val="center"/>
          </w:tcPr>
          <w:p w14:paraId="32135E9A"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0.36</w:t>
            </w:r>
          </w:p>
        </w:tc>
        <w:tc>
          <w:tcPr>
            <w:tcW w:w="1368" w:type="dxa"/>
            <w:tcBorders>
              <w:top w:val="nil"/>
              <w:bottom w:val="nil"/>
            </w:tcBorders>
            <w:vAlign w:val="center"/>
          </w:tcPr>
          <w:p w14:paraId="2C210C71"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0.78</w:t>
            </w:r>
          </w:p>
        </w:tc>
      </w:tr>
      <w:tr w:rsidR="00AF0309" w:rsidRPr="00734B3D" w14:paraId="09C73D7C" w14:textId="77777777">
        <w:tc>
          <w:tcPr>
            <w:tcW w:w="3348" w:type="dxa"/>
            <w:tcBorders>
              <w:top w:val="nil"/>
              <w:bottom w:val="nil"/>
            </w:tcBorders>
          </w:tcPr>
          <w:p w14:paraId="606AF167"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Haemoglobin (g/dL)</w:t>
            </w:r>
          </w:p>
        </w:tc>
        <w:tc>
          <w:tcPr>
            <w:tcW w:w="1890" w:type="dxa"/>
            <w:tcBorders>
              <w:top w:val="nil"/>
              <w:bottom w:val="nil"/>
            </w:tcBorders>
          </w:tcPr>
          <w:p w14:paraId="01BBF2A9"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16.75±0.88</w:t>
            </w:r>
          </w:p>
        </w:tc>
        <w:tc>
          <w:tcPr>
            <w:tcW w:w="1710" w:type="dxa"/>
            <w:tcBorders>
              <w:top w:val="nil"/>
              <w:bottom w:val="nil"/>
            </w:tcBorders>
          </w:tcPr>
          <w:p w14:paraId="2258E2A3"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17.45±0.98</w:t>
            </w:r>
          </w:p>
        </w:tc>
        <w:tc>
          <w:tcPr>
            <w:tcW w:w="1890" w:type="dxa"/>
            <w:tcBorders>
              <w:top w:val="nil"/>
              <w:bottom w:val="nil"/>
            </w:tcBorders>
          </w:tcPr>
          <w:p w14:paraId="46FB4542"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16.85±0.34</w:t>
            </w:r>
          </w:p>
        </w:tc>
        <w:tc>
          <w:tcPr>
            <w:tcW w:w="1620" w:type="dxa"/>
            <w:tcBorders>
              <w:top w:val="nil"/>
              <w:bottom w:val="nil"/>
            </w:tcBorders>
          </w:tcPr>
          <w:p w14:paraId="309CCEBE"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16.82±1.25</w:t>
            </w:r>
          </w:p>
        </w:tc>
        <w:tc>
          <w:tcPr>
            <w:tcW w:w="1350" w:type="dxa"/>
            <w:tcBorders>
              <w:top w:val="nil"/>
              <w:bottom w:val="nil"/>
            </w:tcBorders>
            <w:vAlign w:val="center"/>
          </w:tcPr>
          <w:p w14:paraId="0AB419BB"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0.12</w:t>
            </w:r>
          </w:p>
        </w:tc>
        <w:tc>
          <w:tcPr>
            <w:tcW w:w="1368" w:type="dxa"/>
            <w:tcBorders>
              <w:top w:val="nil"/>
              <w:bottom w:val="nil"/>
            </w:tcBorders>
            <w:vAlign w:val="center"/>
          </w:tcPr>
          <w:p w14:paraId="3A4BD215"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0.95</w:t>
            </w:r>
          </w:p>
        </w:tc>
      </w:tr>
      <w:tr w:rsidR="00AF0309" w:rsidRPr="00734B3D" w14:paraId="1308791D" w14:textId="77777777">
        <w:tc>
          <w:tcPr>
            <w:tcW w:w="3348" w:type="dxa"/>
            <w:tcBorders>
              <w:top w:val="nil"/>
              <w:bottom w:val="nil"/>
            </w:tcBorders>
          </w:tcPr>
          <w:p w14:paraId="3B8E66F5"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Packed cell volume (%)</w:t>
            </w:r>
          </w:p>
        </w:tc>
        <w:tc>
          <w:tcPr>
            <w:tcW w:w="1890" w:type="dxa"/>
            <w:tcBorders>
              <w:top w:val="nil"/>
              <w:bottom w:val="nil"/>
            </w:tcBorders>
          </w:tcPr>
          <w:p w14:paraId="6110A596" w14:textId="77777777" w:rsidR="00AF0309" w:rsidRPr="00734B3D" w:rsidRDefault="00EA2AB3">
            <w:pPr>
              <w:spacing w:line="480" w:lineRule="auto"/>
              <w:jc w:val="both"/>
              <w:rPr>
                <w:rFonts w:ascii="Arial" w:hAnsi="Arial" w:cs="Arial"/>
                <w:sz w:val="28"/>
                <w:szCs w:val="28"/>
              </w:rPr>
            </w:pPr>
            <w:r w:rsidRPr="00734B3D">
              <w:rPr>
                <w:rFonts w:ascii="Arial" w:hAnsi="Arial" w:cs="Arial"/>
                <w:color w:val="000000"/>
                <w:sz w:val="28"/>
                <w:szCs w:val="28"/>
              </w:rPr>
              <w:t>53.00</w:t>
            </w:r>
            <w:r w:rsidRPr="00734B3D">
              <w:rPr>
                <w:rFonts w:ascii="Arial" w:hAnsi="Arial" w:cs="Arial"/>
                <w:sz w:val="28"/>
                <w:szCs w:val="28"/>
              </w:rPr>
              <w:t>±2.61</w:t>
            </w:r>
          </w:p>
        </w:tc>
        <w:tc>
          <w:tcPr>
            <w:tcW w:w="1710" w:type="dxa"/>
            <w:tcBorders>
              <w:top w:val="nil"/>
              <w:bottom w:val="nil"/>
            </w:tcBorders>
          </w:tcPr>
          <w:p w14:paraId="56AD4A80"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52.25±2.78</w:t>
            </w:r>
          </w:p>
        </w:tc>
        <w:tc>
          <w:tcPr>
            <w:tcW w:w="1890" w:type="dxa"/>
            <w:tcBorders>
              <w:top w:val="nil"/>
              <w:bottom w:val="nil"/>
            </w:tcBorders>
          </w:tcPr>
          <w:p w14:paraId="510FF6A0"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50.75±1.70</w:t>
            </w:r>
          </w:p>
        </w:tc>
        <w:tc>
          <w:tcPr>
            <w:tcW w:w="1620" w:type="dxa"/>
            <w:tcBorders>
              <w:top w:val="nil"/>
              <w:bottom w:val="nil"/>
            </w:tcBorders>
          </w:tcPr>
          <w:p w14:paraId="6C754811"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50.00±1.70</w:t>
            </w:r>
          </w:p>
        </w:tc>
        <w:tc>
          <w:tcPr>
            <w:tcW w:w="1350" w:type="dxa"/>
            <w:tcBorders>
              <w:top w:val="nil"/>
              <w:bottom w:val="nil"/>
            </w:tcBorders>
            <w:vAlign w:val="center"/>
          </w:tcPr>
          <w:p w14:paraId="6A5A9C40"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0.25</w:t>
            </w:r>
          </w:p>
        </w:tc>
        <w:tc>
          <w:tcPr>
            <w:tcW w:w="1368" w:type="dxa"/>
            <w:tcBorders>
              <w:top w:val="nil"/>
              <w:bottom w:val="nil"/>
            </w:tcBorders>
            <w:vAlign w:val="center"/>
          </w:tcPr>
          <w:p w14:paraId="312928A1"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0.86</w:t>
            </w:r>
          </w:p>
        </w:tc>
      </w:tr>
      <w:tr w:rsidR="00AF0309" w:rsidRPr="00734B3D" w14:paraId="618E097D" w14:textId="77777777">
        <w:tc>
          <w:tcPr>
            <w:tcW w:w="3348" w:type="dxa"/>
            <w:tcBorders>
              <w:top w:val="nil"/>
              <w:bottom w:val="nil"/>
            </w:tcBorders>
          </w:tcPr>
          <w:p w14:paraId="471B1218"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Mean cell volume (fL)</w:t>
            </w:r>
          </w:p>
        </w:tc>
        <w:tc>
          <w:tcPr>
            <w:tcW w:w="1890" w:type="dxa"/>
            <w:tcBorders>
              <w:top w:val="nil"/>
              <w:bottom w:val="nil"/>
            </w:tcBorders>
          </w:tcPr>
          <w:p w14:paraId="74920446"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67.30±0.78</w:t>
            </w:r>
          </w:p>
        </w:tc>
        <w:tc>
          <w:tcPr>
            <w:tcW w:w="1710" w:type="dxa"/>
            <w:tcBorders>
              <w:top w:val="nil"/>
              <w:bottom w:val="nil"/>
            </w:tcBorders>
          </w:tcPr>
          <w:p w14:paraId="20BADE4E"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61.60±1.25</w:t>
            </w:r>
          </w:p>
        </w:tc>
        <w:tc>
          <w:tcPr>
            <w:tcW w:w="1890" w:type="dxa"/>
            <w:tcBorders>
              <w:top w:val="nil"/>
              <w:bottom w:val="nil"/>
            </w:tcBorders>
          </w:tcPr>
          <w:p w14:paraId="3BEF06F7"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65.40±2.02</w:t>
            </w:r>
          </w:p>
        </w:tc>
        <w:tc>
          <w:tcPr>
            <w:tcW w:w="1620" w:type="dxa"/>
            <w:tcBorders>
              <w:top w:val="nil"/>
              <w:bottom w:val="nil"/>
            </w:tcBorders>
          </w:tcPr>
          <w:p w14:paraId="5BEB0726"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62.95±1.38</w:t>
            </w:r>
          </w:p>
        </w:tc>
        <w:tc>
          <w:tcPr>
            <w:tcW w:w="1350" w:type="dxa"/>
            <w:tcBorders>
              <w:top w:val="nil"/>
              <w:bottom w:val="nil"/>
            </w:tcBorders>
            <w:vAlign w:val="center"/>
          </w:tcPr>
          <w:p w14:paraId="627E1957"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3.14</w:t>
            </w:r>
          </w:p>
        </w:tc>
        <w:tc>
          <w:tcPr>
            <w:tcW w:w="1368" w:type="dxa"/>
            <w:tcBorders>
              <w:top w:val="nil"/>
              <w:bottom w:val="nil"/>
            </w:tcBorders>
            <w:vAlign w:val="center"/>
          </w:tcPr>
          <w:p w14:paraId="1A9F04F6"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0.06</w:t>
            </w:r>
          </w:p>
        </w:tc>
      </w:tr>
      <w:tr w:rsidR="00AF0309" w:rsidRPr="00734B3D" w14:paraId="5A09B7BB" w14:textId="77777777">
        <w:tc>
          <w:tcPr>
            <w:tcW w:w="3348" w:type="dxa"/>
            <w:tcBorders>
              <w:top w:val="nil"/>
              <w:bottom w:val="nil"/>
            </w:tcBorders>
          </w:tcPr>
          <w:p w14:paraId="210EDC20"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Mean cell haemoglobin (pg)</w:t>
            </w:r>
          </w:p>
        </w:tc>
        <w:tc>
          <w:tcPr>
            <w:tcW w:w="1890" w:type="dxa"/>
            <w:tcBorders>
              <w:top w:val="nil"/>
              <w:bottom w:val="nil"/>
            </w:tcBorders>
          </w:tcPr>
          <w:p w14:paraId="521F77B0"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21.17±0.14</w:t>
            </w:r>
          </w:p>
        </w:tc>
        <w:tc>
          <w:tcPr>
            <w:tcW w:w="1710" w:type="dxa"/>
            <w:tcBorders>
              <w:top w:val="nil"/>
              <w:bottom w:val="nil"/>
            </w:tcBorders>
          </w:tcPr>
          <w:p w14:paraId="1C3F8065"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20.57±0.45</w:t>
            </w:r>
          </w:p>
        </w:tc>
        <w:tc>
          <w:tcPr>
            <w:tcW w:w="1890" w:type="dxa"/>
            <w:tcBorders>
              <w:top w:val="nil"/>
              <w:bottom w:val="nil"/>
            </w:tcBorders>
          </w:tcPr>
          <w:p w14:paraId="4B2D53EB"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21.77±0.74</w:t>
            </w:r>
          </w:p>
        </w:tc>
        <w:tc>
          <w:tcPr>
            <w:tcW w:w="1620" w:type="dxa"/>
            <w:tcBorders>
              <w:top w:val="nil"/>
              <w:bottom w:val="nil"/>
            </w:tcBorders>
          </w:tcPr>
          <w:p w14:paraId="24F9452D"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21.15±0.45</w:t>
            </w:r>
          </w:p>
        </w:tc>
        <w:tc>
          <w:tcPr>
            <w:tcW w:w="1350" w:type="dxa"/>
            <w:tcBorders>
              <w:top w:val="nil"/>
              <w:bottom w:val="nil"/>
            </w:tcBorders>
          </w:tcPr>
          <w:p w14:paraId="09DF8AEB"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0.98</w:t>
            </w:r>
          </w:p>
        </w:tc>
        <w:tc>
          <w:tcPr>
            <w:tcW w:w="1368" w:type="dxa"/>
            <w:tcBorders>
              <w:top w:val="nil"/>
              <w:bottom w:val="nil"/>
            </w:tcBorders>
          </w:tcPr>
          <w:p w14:paraId="5FE11C5B"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0.43</w:t>
            </w:r>
          </w:p>
        </w:tc>
      </w:tr>
      <w:tr w:rsidR="00AF0309" w:rsidRPr="00734B3D" w14:paraId="2BB18EC9" w14:textId="77777777">
        <w:tc>
          <w:tcPr>
            <w:tcW w:w="3348" w:type="dxa"/>
            <w:tcBorders>
              <w:top w:val="nil"/>
              <w:bottom w:val="nil"/>
            </w:tcBorders>
          </w:tcPr>
          <w:p w14:paraId="41DA779F"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 xml:space="preserve">MCHC  (g/dL) </w:t>
            </w:r>
          </w:p>
        </w:tc>
        <w:tc>
          <w:tcPr>
            <w:tcW w:w="1890" w:type="dxa"/>
            <w:tcBorders>
              <w:top w:val="nil"/>
              <w:bottom w:val="nil"/>
            </w:tcBorders>
          </w:tcPr>
          <w:p w14:paraId="752BDDCF"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31.45±0.18</w:t>
            </w:r>
          </w:p>
        </w:tc>
        <w:tc>
          <w:tcPr>
            <w:tcW w:w="1710" w:type="dxa"/>
            <w:tcBorders>
              <w:top w:val="nil"/>
              <w:bottom w:val="nil"/>
            </w:tcBorders>
          </w:tcPr>
          <w:p w14:paraId="2EE9403E"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33.40±0.18</w:t>
            </w:r>
          </w:p>
        </w:tc>
        <w:tc>
          <w:tcPr>
            <w:tcW w:w="1890" w:type="dxa"/>
            <w:tcBorders>
              <w:top w:val="nil"/>
              <w:bottom w:val="nil"/>
            </w:tcBorders>
          </w:tcPr>
          <w:p w14:paraId="45524FAF"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33.30±0.62</w:t>
            </w:r>
          </w:p>
        </w:tc>
        <w:tc>
          <w:tcPr>
            <w:tcW w:w="1620" w:type="dxa"/>
            <w:tcBorders>
              <w:top w:val="nil"/>
              <w:bottom w:val="nil"/>
            </w:tcBorders>
          </w:tcPr>
          <w:p w14:paraId="01C7B928"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32.94±0.27</w:t>
            </w:r>
          </w:p>
        </w:tc>
        <w:tc>
          <w:tcPr>
            <w:tcW w:w="1350" w:type="dxa"/>
            <w:tcBorders>
              <w:top w:val="nil"/>
              <w:bottom w:val="nil"/>
            </w:tcBorders>
          </w:tcPr>
          <w:p w14:paraId="6616D911"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8.05</w:t>
            </w:r>
          </w:p>
        </w:tc>
        <w:tc>
          <w:tcPr>
            <w:tcW w:w="1368" w:type="dxa"/>
            <w:tcBorders>
              <w:top w:val="nil"/>
              <w:bottom w:val="nil"/>
            </w:tcBorders>
          </w:tcPr>
          <w:p w14:paraId="15926175"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0.003</w:t>
            </w:r>
          </w:p>
        </w:tc>
      </w:tr>
      <w:tr w:rsidR="00AF0309" w:rsidRPr="00734B3D" w14:paraId="4C97D973" w14:textId="77777777">
        <w:tc>
          <w:tcPr>
            <w:tcW w:w="3348" w:type="dxa"/>
            <w:tcBorders>
              <w:top w:val="nil"/>
              <w:bottom w:val="nil"/>
            </w:tcBorders>
          </w:tcPr>
          <w:p w14:paraId="55BF8138"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Platelet count (X 10</w:t>
            </w:r>
            <w:r w:rsidRPr="00734B3D">
              <w:rPr>
                <w:rFonts w:ascii="Arial" w:hAnsi="Arial" w:cs="Arial"/>
                <w:sz w:val="28"/>
                <w:szCs w:val="28"/>
                <w:vertAlign w:val="superscript"/>
              </w:rPr>
              <w:t>9</w:t>
            </w:r>
            <w:r w:rsidRPr="00734B3D">
              <w:rPr>
                <w:rFonts w:ascii="Arial" w:hAnsi="Arial" w:cs="Arial"/>
                <w:sz w:val="28"/>
                <w:szCs w:val="28"/>
              </w:rPr>
              <w:t>/L)</w:t>
            </w:r>
          </w:p>
        </w:tc>
        <w:tc>
          <w:tcPr>
            <w:tcW w:w="1890" w:type="dxa"/>
            <w:tcBorders>
              <w:top w:val="nil"/>
              <w:bottom w:val="nil"/>
            </w:tcBorders>
          </w:tcPr>
          <w:p w14:paraId="2ECD3722"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508.50±25.25</w:t>
            </w:r>
          </w:p>
        </w:tc>
        <w:tc>
          <w:tcPr>
            <w:tcW w:w="1710" w:type="dxa"/>
            <w:tcBorders>
              <w:top w:val="nil"/>
              <w:bottom w:val="nil"/>
            </w:tcBorders>
          </w:tcPr>
          <w:p w14:paraId="11C8DB83"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585.00±62.16</w:t>
            </w:r>
          </w:p>
        </w:tc>
        <w:tc>
          <w:tcPr>
            <w:tcW w:w="1890" w:type="dxa"/>
            <w:tcBorders>
              <w:top w:val="nil"/>
              <w:bottom w:val="nil"/>
            </w:tcBorders>
          </w:tcPr>
          <w:p w14:paraId="6199E0FE"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654.75±58.08</w:t>
            </w:r>
          </w:p>
        </w:tc>
        <w:tc>
          <w:tcPr>
            <w:tcW w:w="1620" w:type="dxa"/>
            <w:tcBorders>
              <w:top w:val="nil"/>
              <w:bottom w:val="nil"/>
            </w:tcBorders>
          </w:tcPr>
          <w:p w14:paraId="67595726"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435.50±37.09</w:t>
            </w:r>
          </w:p>
        </w:tc>
        <w:tc>
          <w:tcPr>
            <w:tcW w:w="1350" w:type="dxa"/>
            <w:tcBorders>
              <w:top w:val="nil"/>
              <w:bottom w:val="nil"/>
            </w:tcBorders>
          </w:tcPr>
          <w:p w14:paraId="697135B4"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1.35</w:t>
            </w:r>
          </w:p>
        </w:tc>
        <w:tc>
          <w:tcPr>
            <w:tcW w:w="1368" w:type="dxa"/>
            <w:tcBorders>
              <w:top w:val="nil"/>
              <w:bottom w:val="nil"/>
            </w:tcBorders>
          </w:tcPr>
          <w:p w14:paraId="37261F9F"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0.31</w:t>
            </w:r>
          </w:p>
        </w:tc>
      </w:tr>
      <w:tr w:rsidR="00AF0309" w:rsidRPr="00734B3D" w14:paraId="3003A5C0" w14:textId="77777777">
        <w:tc>
          <w:tcPr>
            <w:tcW w:w="3348" w:type="dxa"/>
            <w:tcBorders>
              <w:top w:val="nil"/>
              <w:bottom w:val="nil"/>
            </w:tcBorders>
          </w:tcPr>
          <w:p w14:paraId="787DDD93"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Mean platelet volume (fL)</w:t>
            </w:r>
          </w:p>
        </w:tc>
        <w:tc>
          <w:tcPr>
            <w:tcW w:w="1890" w:type="dxa"/>
            <w:tcBorders>
              <w:top w:val="nil"/>
              <w:bottom w:val="nil"/>
            </w:tcBorders>
          </w:tcPr>
          <w:p w14:paraId="0FAA5794"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7.93±0.36</w:t>
            </w:r>
          </w:p>
        </w:tc>
        <w:tc>
          <w:tcPr>
            <w:tcW w:w="1710" w:type="dxa"/>
            <w:tcBorders>
              <w:top w:val="nil"/>
              <w:bottom w:val="nil"/>
            </w:tcBorders>
          </w:tcPr>
          <w:p w14:paraId="14EE6FF5"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7.73±0.11</w:t>
            </w:r>
          </w:p>
        </w:tc>
        <w:tc>
          <w:tcPr>
            <w:tcW w:w="1890" w:type="dxa"/>
            <w:tcBorders>
              <w:top w:val="nil"/>
              <w:bottom w:val="nil"/>
            </w:tcBorders>
          </w:tcPr>
          <w:p w14:paraId="1A49BD68"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7.70±0.11</w:t>
            </w:r>
          </w:p>
        </w:tc>
        <w:tc>
          <w:tcPr>
            <w:tcW w:w="1620" w:type="dxa"/>
            <w:tcBorders>
              <w:top w:val="nil"/>
              <w:bottom w:val="nil"/>
            </w:tcBorders>
          </w:tcPr>
          <w:p w14:paraId="19F4097D"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8.00±0.24</w:t>
            </w:r>
          </w:p>
        </w:tc>
        <w:tc>
          <w:tcPr>
            <w:tcW w:w="1350" w:type="dxa"/>
            <w:tcBorders>
              <w:top w:val="nil"/>
              <w:bottom w:val="nil"/>
            </w:tcBorders>
          </w:tcPr>
          <w:p w14:paraId="421CB78F"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0.41</w:t>
            </w:r>
          </w:p>
        </w:tc>
        <w:tc>
          <w:tcPr>
            <w:tcW w:w="1368" w:type="dxa"/>
            <w:tcBorders>
              <w:top w:val="nil"/>
              <w:bottom w:val="nil"/>
            </w:tcBorders>
          </w:tcPr>
          <w:p w14:paraId="62BAB6CC"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0.75</w:t>
            </w:r>
          </w:p>
        </w:tc>
      </w:tr>
      <w:tr w:rsidR="00AF0309" w:rsidRPr="00734B3D" w14:paraId="4DC5953E" w14:textId="77777777">
        <w:tc>
          <w:tcPr>
            <w:tcW w:w="3348" w:type="dxa"/>
            <w:tcBorders>
              <w:top w:val="nil"/>
              <w:bottom w:val="nil"/>
            </w:tcBorders>
          </w:tcPr>
          <w:p w14:paraId="16FA70F9" w14:textId="77777777" w:rsidR="00AF0309" w:rsidRPr="00734B3D" w:rsidRDefault="00AF0309">
            <w:pPr>
              <w:spacing w:line="480" w:lineRule="auto"/>
              <w:jc w:val="both"/>
              <w:rPr>
                <w:rFonts w:ascii="Arial" w:hAnsi="Arial" w:cs="Arial"/>
                <w:sz w:val="28"/>
                <w:szCs w:val="28"/>
              </w:rPr>
            </w:pPr>
          </w:p>
        </w:tc>
        <w:tc>
          <w:tcPr>
            <w:tcW w:w="1890" w:type="dxa"/>
            <w:tcBorders>
              <w:top w:val="nil"/>
              <w:bottom w:val="nil"/>
            </w:tcBorders>
          </w:tcPr>
          <w:p w14:paraId="20CCB91B" w14:textId="77777777" w:rsidR="00AF0309" w:rsidRPr="00734B3D" w:rsidRDefault="00AF0309">
            <w:pPr>
              <w:spacing w:line="480" w:lineRule="auto"/>
              <w:jc w:val="both"/>
              <w:rPr>
                <w:rFonts w:ascii="Arial" w:hAnsi="Arial" w:cs="Arial"/>
                <w:sz w:val="28"/>
                <w:szCs w:val="28"/>
              </w:rPr>
            </w:pPr>
          </w:p>
        </w:tc>
        <w:tc>
          <w:tcPr>
            <w:tcW w:w="1710" w:type="dxa"/>
            <w:tcBorders>
              <w:top w:val="nil"/>
              <w:bottom w:val="nil"/>
            </w:tcBorders>
          </w:tcPr>
          <w:p w14:paraId="68E60092"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Post Hoc</w:t>
            </w:r>
          </w:p>
        </w:tc>
        <w:tc>
          <w:tcPr>
            <w:tcW w:w="1890" w:type="dxa"/>
            <w:tcBorders>
              <w:top w:val="nil"/>
              <w:bottom w:val="nil"/>
            </w:tcBorders>
          </w:tcPr>
          <w:p w14:paraId="5AB0D0FB" w14:textId="77777777" w:rsidR="00AF0309" w:rsidRPr="00734B3D" w:rsidRDefault="00AF0309">
            <w:pPr>
              <w:spacing w:line="480" w:lineRule="auto"/>
              <w:jc w:val="both"/>
              <w:rPr>
                <w:rFonts w:ascii="Arial" w:hAnsi="Arial" w:cs="Arial"/>
                <w:sz w:val="28"/>
                <w:szCs w:val="28"/>
              </w:rPr>
            </w:pPr>
          </w:p>
        </w:tc>
        <w:tc>
          <w:tcPr>
            <w:tcW w:w="1620" w:type="dxa"/>
            <w:tcBorders>
              <w:top w:val="nil"/>
              <w:bottom w:val="nil"/>
            </w:tcBorders>
          </w:tcPr>
          <w:p w14:paraId="4C4E1542" w14:textId="77777777" w:rsidR="00AF0309" w:rsidRPr="00734B3D" w:rsidRDefault="00AF0309">
            <w:pPr>
              <w:spacing w:line="480" w:lineRule="auto"/>
              <w:jc w:val="both"/>
              <w:rPr>
                <w:rFonts w:ascii="Arial" w:hAnsi="Arial" w:cs="Arial"/>
                <w:sz w:val="28"/>
                <w:szCs w:val="28"/>
              </w:rPr>
            </w:pPr>
          </w:p>
        </w:tc>
        <w:tc>
          <w:tcPr>
            <w:tcW w:w="1350" w:type="dxa"/>
            <w:tcBorders>
              <w:top w:val="nil"/>
              <w:bottom w:val="nil"/>
            </w:tcBorders>
          </w:tcPr>
          <w:p w14:paraId="6A926A47" w14:textId="77777777" w:rsidR="00AF0309" w:rsidRPr="00734B3D" w:rsidRDefault="00AF0309">
            <w:pPr>
              <w:spacing w:line="480" w:lineRule="auto"/>
              <w:jc w:val="both"/>
              <w:rPr>
                <w:rFonts w:ascii="Arial" w:hAnsi="Arial" w:cs="Arial"/>
                <w:color w:val="000000"/>
                <w:sz w:val="28"/>
                <w:szCs w:val="28"/>
              </w:rPr>
            </w:pPr>
          </w:p>
        </w:tc>
        <w:tc>
          <w:tcPr>
            <w:tcW w:w="1368" w:type="dxa"/>
            <w:tcBorders>
              <w:top w:val="nil"/>
              <w:bottom w:val="nil"/>
            </w:tcBorders>
          </w:tcPr>
          <w:p w14:paraId="0E0415D0" w14:textId="77777777" w:rsidR="00AF0309" w:rsidRPr="00734B3D" w:rsidRDefault="00AF0309">
            <w:pPr>
              <w:spacing w:line="480" w:lineRule="auto"/>
              <w:jc w:val="both"/>
              <w:rPr>
                <w:rFonts w:ascii="Arial" w:hAnsi="Arial" w:cs="Arial"/>
                <w:color w:val="000000"/>
                <w:sz w:val="28"/>
                <w:szCs w:val="28"/>
              </w:rPr>
            </w:pPr>
          </w:p>
        </w:tc>
      </w:tr>
      <w:tr w:rsidR="00AF0309" w:rsidRPr="00734B3D" w14:paraId="2374CEF7" w14:textId="77777777">
        <w:tc>
          <w:tcPr>
            <w:tcW w:w="3348" w:type="dxa"/>
            <w:tcBorders>
              <w:top w:val="nil"/>
              <w:bottom w:val="nil"/>
            </w:tcBorders>
          </w:tcPr>
          <w:p w14:paraId="2FFB4CB5" w14:textId="77777777" w:rsidR="00AF0309" w:rsidRPr="00734B3D" w:rsidRDefault="00AF0309">
            <w:pPr>
              <w:spacing w:line="480" w:lineRule="auto"/>
              <w:jc w:val="both"/>
              <w:rPr>
                <w:rFonts w:ascii="Arial" w:hAnsi="Arial" w:cs="Arial"/>
                <w:sz w:val="28"/>
                <w:szCs w:val="28"/>
              </w:rPr>
            </w:pPr>
          </w:p>
        </w:tc>
        <w:tc>
          <w:tcPr>
            <w:tcW w:w="1890" w:type="dxa"/>
            <w:tcBorders>
              <w:top w:val="nil"/>
              <w:bottom w:val="nil"/>
            </w:tcBorders>
          </w:tcPr>
          <w:p w14:paraId="56BA85C8"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½</w:t>
            </w:r>
          </w:p>
        </w:tc>
        <w:tc>
          <w:tcPr>
            <w:tcW w:w="1710" w:type="dxa"/>
            <w:tcBorders>
              <w:top w:val="nil"/>
              <w:bottom w:val="nil"/>
            </w:tcBorders>
          </w:tcPr>
          <w:p w14:paraId="4CAB352E"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1/3</w:t>
            </w:r>
          </w:p>
        </w:tc>
        <w:tc>
          <w:tcPr>
            <w:tcW w:w="1890" w:type="dxa"/>
            <w:tcBorders>
              <w:top w:val="nil"/>
              <w:bottom w:val="nil"/>
            </w:tcBorders>
          </w:tcPr>
          <w:p w14:paraId="5F23F249"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1/4</w:t>
            </w:r>
          </w:p>
        </w:tc>
        <w:tc>
          <w:tcPr>
            <w:tcW w:w="1620" w:type="dxa"/>
            <w:tcBorders>
              <w:top w:val="nil"/>
              <w:bottom w:val="nil"/>
            </w:tcBorders>
          </w:tcPr>
          <w:p w14:paraId="0112CCCA"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2/3</w:t>
            </w:r>
          </w:p>
        </w:tc>
        <w:tc>
          <w:tcPr>
            <w:tcW w:w="1350" w:type="dxa"/>
            <w:tcBorders>
              <w:top w:val="nil"/>
              <w:bottom w:val="nil"/>
            </w:tcBorders>
          </w:tcPr>
          <w:p w14:paraId="494714EF"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2/4</w:t>
            </w:r>
          </w:p>
        </w:tc>
        <w:tc>
          <w:tcPr>
            <w:tcW w:w="1368" w:type="dxa"/>
            <w:tcBorders>
              <w:top w:val="nil"/>
              <w:bottom w:val="nil"/>
            </w:tcBorders>
          </w:tcPr>
          <w:p w14:paraId="46FAED77"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3/4</w:t>
            </w:r>
          </w:p>
        </w:tc>
      </w:tr>
      <w:tr w:rsidR="00AF0309" w:rsidRPr="00734B3D" w14:paraId="40F05D25" w14:textId="77777777">
        <w:tc>
          <w:tcPr>
            <w:tcW w:w="3348" w:type="dxa"/>
            <w:tcBorders>
              <w:top w:val="nil"/>
              <w:bottom w:val="single" w:sz="4" w:space="0" w:color="000000"/>
            </w:tcBorders>
          </w:tcPr>
          <w:p w14:paraId="5334A050"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lastRenderedPageBreak/>
              <w:t>MCHC</w:t>
            </w:r>
          </w:p>
        </w:tc>
        <w:tc>
          <w:tcPr>
            <w:tcW w:w="1890" w:type="dxa"/>
            <w:tcBorders>
              <w:top w:val="nil"/>
              <w:bottom w:val="single" w:sz="4" w:space="0" w:color="000000"/>
            </w:tcBorders>
          </w:tcPr>
          <w:p w14:paraId="24F6FAF3"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0.002</w:t>
            </w:r>
          </w:p>
        </w:tc>
        <w:tc>
          <w:tcPr>
            <w:tcW w:w="1710" w:type="dxa"/>
            <w:tcBorders>
              <w:top w:val="nil"/>
              <w:bottom w:val="single" w:sz="4" w:space="0" w:color="000000"/>
            </w:tcBorders>
          </w:tcPr>
          <w:p w14:paraId="3206069B"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0.003</w:t>
            </w:r>
          </w:p>
        </w:tc>
        <w:tc>
          <w:tcPr>
            <w:tcW w:w="1890" w:type="dxa"/>
            <w:tcBorders>
              <w:top w:val="nil"/>
              <w:bottom w:val="single" w:sz="4" w:space="0" w:color="000000"/>
            </w:tcBorders>
          </w:tcPr>
          <w:p w14:paraId="2C384958"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0.001</w:t>
            </w:r>
          </w:p>
        </w:tc>
        <w:tc>
          <w:tcPr>
            <w:tcW w:w="1620" w:type="dxa"/>
            <w:tcBorders>
              <w:top w:val="nil"/>
              <w:bottom w:val="single" w:sz="4" w:space="0" w:color="000000"/>
            </w:tcBorders>
          </w:tcPr>
          <w:p w14:paraId="06627111"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0.845</w:t>
            </w:r>
          </w:p>
        </w:tc>
        <w:tc>
          <w:tcPr>
            <w:tcW w:w="1350" w:type="dxa"/>
            <w:tcBorders>
              <w:top w:val="nil"/>
              <w:bottom w:val="single" w:sz="4" w:space="0" w:color="000000"/>
            </w:tcBorders>
          </w:tcPr>
          <w:p w14:paraId="09984038"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0.661</w:t>
            </w:r>
          </w:p>
        </w:tc>
        <w:tc>
          <w:tcPr>
            <w:tcW w:w="1368" w:type="dxa"/>
            <w:tcBorders>
              <w:top w:val="nil"/>
              <w:bottom w:val="single" w:sz="4" w:space="0" w:color="000000"/>
            </w:tcBorders>
          </w:tcPr>
          <w:p w14:paraId="30E449CF" w14:textId="77777777" w:rsidR="00AF0309" w:rsidRPr="00734B3D" w:rsidRDefault="00EA2AB3">
            <w:pPr>
              <w:spacing w:line="480" w:lineRule="auto"/>
              <w:jc w:val="both"/>
              <w:rPr>
                <w:rFonts w:ascii="Arial" w:hAnsi="Arial" w:cs="Arial"/>
                <w:color w:val="000000"/>
                <w:sz w:val="28"/>
                <w:szCs w:val="28"/>
              </w:rPr>
            </w:pPr>
            <w:r w:rsidRPr="00734B3D">
              <w:rPr>
                <w:rFonts w:ascii="Arial" w:hAnsi="Arial" w:cs="Arial"/>
                <w:color w:val="000000"/>
                <w:sz w:val="28"/>
                <w:szCs w:val="28"/>
              </w:rPr>
              <w:t>0.845</w:t>
            </w:r>
          </w:p>
        </w:tc>
      </w:tr>
    </w:tbl>
    <w:p w14:paraId="60323133" w14:textId="77777777" w:rsidR="00AF0309" w:rsidRPr="00734B3D" w:rsidRDefault="00EA2AB3">
      <w:pPr>
        <w:autoSpaceDE w:val="0"/>
        <w:autoSpaceDN w:val="0"/>
        <w:adjustRightInd w:val="0"/>
        <w:spacing w:after="0" w:line="480" w:lineRule="auto"/>
        <w:jc w:val="both"/>
        <w:rPr>
          <w:rFonts w:ascii="Arial" w:hAnsi="Arial" w:cs="Arial"/>
          <w:sz w:val="28"/>
          <w:szCs w:val="28"/>
        </w:rPr>
      </w:pPr>
      <w:r w:rsidRPr="00734B3D">
        <w:rPr>
          <w:rFonts w:ascii="Arial" w:hAnsi="Arial" w:cs="Arial"/>
          <w:sz w:val="28"/>
          <w:szCs w:val="28"/>
        </w:rPr>
        <w:t xml:space="preserve">P-value is significant at p&lt;0.05. Keys: N= 16, Low dose = 100mg/kg body weight of </w:t>
      </w:r>
      <w:r w:rsidRPr="00734B3D">
        <w:rPr>
          <w:rFonts w:ascii="Arial" w:hAnsi="Arial" w:cs="Arial"/>
          <w:i/>
          <w:iCs/>
          <w:sz w:val="28"/>
          <w:szCs w:val="28"/>
        </w:rPr>
        <w:t>camellia sinensis</w:t>
      </w:r>
      <w:r w:rsidRPr="00734B3D">
        <w:rPr>
          <w:rFonts w:ascii="Arial" w:hAnsi="Arial" w:cs="Arial"/>
          <w:iCs/>
          <w:sz w:val="28"/>
          <w:szCs w:val="28"/>
        </w:rPr>
        <w:t>, intermediate dose= 3</w:t>
      </w:r>
      <w:r w:rsidRPr="00734B3D">
        <w:rPr>
          <w:rFonts w:ascii="Arial" w:hAnsi="Arial" w:cs="Arial"/>
          <w:sz w:val="28"/>
          <w:szCs w:val="28"/>
        </w:rPr>
        <w:t xml:space="preserve">00mg/kg body weight of </w:t>
      </w:r>
      <w:r w:rsidRPr="00734B3D">
        <w:rPr>
          <w:rFonts w:ascii="Arial" w:hAnsi="Arial" w:cs="Arial"/>
          <w:i/>
          <w:iCs/>
          <w:sz w:val="28"/>
          <w:szCs w:val="28"/>
        </w:rPr>
        <w:t>camellia sinensis</w:t>
      </w:r>
      <w:r w:rsidRPr="00734B3D">
        <w:rPr>
          <w:rFonts w:ascii="Arial" w:hAnsi="Arial" w:cs="Arial"/>
          <w:iCs/>
          <w:sz w:val="28"/>
          <w:szCs w:val="28"/>
        </w:rPr>
        <w:t>, high dose =5</w:t>
      </w:r>
      <w:r w:rsidRPr="00734B3D">
        <w:rPr>
          <w:rFonts w:ascii="Arial" w:hAnsi="Arial" w:cs="Arial"/>
          <w:sz w:val="28"/>
          <w:szCs w:val="28"/>
        </w:rPr>
        <w:t xml:space="preserve">00mg/kg body weight of </w:t>
      </w:r>
      <w:r w:rsidRPr="00734B3D">
        <w:rPr>
          <w:rFonts w:ascii="Arial" w:hAnsi="Arial" w:cs="Arial"/>
          <w:i/>
          <w:iCs/>
          <w:sz w:val="28"/>
          <w:szCs w:val="28"/>
        </w:rPr>
        <w:t>camellia sinensis</w:t>
      </w:r>
      <w:r w:rsidRPr="00734B3D">
        <w:rPr>
          <w:rFonts w:ascii="Arial" w:hAnsi="Arial" w:cs="Arial"/>
          <w:sz w:val="28"/>
          <w:szCs w:val="28"/>
        </w:rPr>
        <w:t>.</w:t>
      </w:r>
    </w:p>
    <w:p w14:paraId="00966CCA" w14:textId="77777777" w:rsidR="00AF0309" w:rsidRPr="00734B3D" w:rsidRDefault="00AF0309">
      <w:pPr>
        <w:spacing w:line="480" w:lineRule="auto"/>
        <w:jc w:val="both"/>
        <w:rPr>
          <w:rFonts w:ascii="Arial" w:hAnsi="Arial" w:cs="Arial"/>
          <w:sz w:val="28"/>
          <w:szCs w:val="28"/>
        </w:rPr>
      </w:pPr>
    </w:p>
    <w:p w14:paraId="71489AEA" w14:textId="17231DAD"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 xml:space="preserve">This study investigated </w:t>
      </w:r>
      <w:r w:rsidRPr="00A02284">
        <w:rPr>
          <w:rFonts w:ascii="Arial" w:hAnsi="Arial" w:cs="Arial"/>
          <w:sz w:val="28"/>
          <w:szCs w:val="28"/>
          <w:highlight w:val="yellow"/>
        </w:rPr>
        <w:t>the hematological effects</w:t>
      </w:r>
      <w:r w:rsidRPr="00734B3D">
        <w:rPr>
          <w:rFonts w:ascii="Arial" w:hAnsi="Arial" w:cs="Arial"/>
          <w:sz w:val="28"/>
          <w:szCs w:val="28"/>
        </w:rPr>
        <w:t xml:space="preserve"> of varying doses (100, 300, and 500 mg/kg body weight) of green tea (*Camellia sinensis*) extract in male Wistar rats over a 21-day period. The findings demonstrated that </w:t>
      </w:r>
      <w:r w:rsidRPr="00A02284">
        <w:rPr>
          <w:rFonts w:ascii="Arial" w:hAnsi="Arial" w:cs="Arial"/>
          <w:sz w:val="28"/>
          <w:szCs w:val="28"/>
          <w:highlight w:val="yellow"/>
        </w:rPr>
        <w:t>most hematol</w:t>
      </w:r>
      <w:r w:rsidRPr="00734B3D">
        <w:rPr>
          <w:rFonts w:ascii="Arial" w:hAnsi="Arial" w:cs="Arial"/>
          <w:sz w:val="28"/>
          <w:szCs w:val="28"/>
        </w:rPr>
        <w:t xml:space="preserve">ogical parameters, including red blood cell (RBC) </w:t>
      </w:r>
      <w:r w:rsidRPr="00A02284">
        <w:rPr>
          <w:rFonts w:ascii="Arial" w:hAnsi="Arial" w:cs="Arial"/>
          <w:sz w:val="28"/>
          <w:szCs w:val="28"/>
          <w:highlight w:val="yellow"/>
        </w:rPr>
        <w:t>count, hemog</w:t>
      </w:r>
      <w:r w:rsidRPr="00734B3D">
        <w:rPr>
          <w:rFonts w:ascii="Arial" w:hAnsi="Arial" w:cs="Arial"/>
          <w:sz w:val="28"/>
          <w:szCs w:val="28"/>
        </w:rPr>
        <w:t xml:space="preserve">lobin (Hb) concentration, packed cell volume (PCV), white blood cell (WBC) count, differential leukocyte counts, platelet count, and mean platelet volume (MPV), did not differ significantly across treatment groups. However, a statistically significant increase was observed in mean </w:t>
      </w:r>
      <w:r w:rsidRPr="00A02284">
        <w:rPr>
          <w:rFonts w:ascii="Arial" w:hAnsi="Arial" w:cs="Arial"/>
          <w:sz w:val="28"/>
          <w:szCs w:val="28"/>
          <w:highlight w:val="yellow"/>
        </w:rPr>
        <w:t>corpuscular hemoglobi</w:t>
      </w:r>
      <w:r w:rsidRPr="00734B3D">
        <w:rPr>
          <w:rFonts w:ascii="Arial" w:hAnsi="Arial" w:cs="Arial"/>
          <w:sz w:val="28"/>
          <w:szCs w:val="28"/>
        </w:rPr>
        <w:t>n concentration (MCHC), particularly in green tea-treated groups compared to the control (*p* = 0.003).</w:t>
      </w:r>
    </w:p>
    <w:p w14:paraId="096BEA60" w14:textId="720696D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 xml:space="preserve">The absence of significant changes in RBC count, Hb concentration, and PCV suggests that green tea extract at the doses tested does not adversely affect erythropoiesis or red cell volume. This aligns with </w:t>
      </w:r>
      <w:r w:rsidRPr="00734B3D">
        <w:rPr>
          <w:rFonts w:ascii="Arial" w:hAnsi="Arial" w:cs="Arial"/>
          <w:sz w:val="28"/>
          <w:szCs w:val="28"/>
        </w:rPr>
        <w:lastRenderedPageBreak/>
        <w:t xml:space="preserve">findings by Lubis et al. (2016), who reported no </w:t>
      </w:r>
      <w:r w:rsidRPr="00A02284">
        <w:rPr>
          <w:rFonts w:ascii="Arial" w:hAnsi="Arial" w:cs="Arial"/>
          <w:sz w:val="28"/>
          <w:szCs w:val="28"/>
          <w:highlight w:val="yellow"/>
        </w:rPr>
        <w:t>substantial hematological</w:t>
      </w:r>
      <w:r w:rsidRPr="00734B3D">
        <w:rPr>
          <w:rFonts w:ascii="Arial" w:hAnsi="Arial" w:cs="Arial"/>
          <w:sz w:val="28"/>
          <w:szCs w:val="28"/>
        </w:rPr>
        <w:t xml:space="preserve"> alterations in rats administered green tea extract at 100 mg/kg. </w:t>
      </w:r>
      <w:r w:rsidRPr="00A02284">
        <w:rPr>
          <w:rFonts w:ascii="Arial" w:hAnsi="Arial" w:cs="Arial"/>
          <w:sz w:val="28"/>
          <w:szCs w:val="28"/>
          <w:highlight w:val="yellow"/>
        </w:rPr>
        <w:t>Similarly, Gad and Zaghloul (2013) demonstrated that green tea extract at moderate doses preserved hematological</w:t>
      </w:r>
      <w:r w:rsidRPr="00734B3D">
        <w:rPr>
          <w:rFonts w:ascii="Arial" w:hAnsi="Arial" w:cs="Arial"/>
          <w:sz w:val="28"/>
          <w:szCs w:val="28"/>
        </w:rPr>
        <w:t xml:space="preserve"> stability in aged rats. The mild fluctuations observed in RBC and Hb levels across groups were statistically insignificant, indicating a neutral effect under non-pathological conditions.</w:t>
      </w:r>
    </w:p>
    <w:p w14:paraId="0C0B1B34"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Interestingly, while mean corpuscular volume (MCV) approached significance (*p* = 0.06), it was not enough to confirm a dose-dependent effect. The slight reduction in MCV observed in treated groups may suggest early cellular adaptation to phytochemical exposure, although this finding contrasts with Shoshin et al. (2020), who reported a significant MCV decline at higher doses and longer exposure (30 days). This discrepancy may be attributed to differences in exposure duration, animal strain, or extract preparation.</w:t>
      </w:r>
    </w:p>
    <w:p w14:paraId="211F4174" w14:textId="7F861D72"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 xml:space="preserve">The </w:t>
      </w:r>
      <w:r w:rsidRPr="00A02284">
        <w:rPr>
          <w:rFonts w:ascii="Arial" w:hAnsi="Arial" w:cs="Arial"/>
          <w:sz w:val="28"/>
          <w:szCs w:val="28"/>
          <w:highlight w:val="yellow"/>
        </w:rPr>
        <w:t>significant increase in MCHC</w:t>
      </w:r>
      <w:r w:rsidRPr="00734B3D">
        <w:rPr>
          <w:rFonts w:ascii="Arial" w:hAnsi="Arial" w:cs="Arial"/>
          <w:sz w:val="28"/>
          <w:szCs w:val="28"/>
        </w:rPr>
        <w:t xml:space="preserve"> across all green tea-treated groups is noteworthy. MCHC represents the average </w:t>
      </w:r>
      <w:r w:rsidRPr="00A02284">
        <w:rPr>
          <w:rFonts w:ascii="Arial" w:hAnsi="Arial" w:cs="Arial"/>
          <w:sz w:val="28"/>
          <w:szCs w:val="28"/>
          <w:highlight w:val="yellow"/>
        </w:rPr>
        <w:t>hemoglobin c</w:t>
      </w:r>
      <w:r w:rsidRPr="00734B3D">
        <w:rPr>
          <w:rFonts w:ascii="Arial" w:hAnsi="Arial" w:cs="Arial"/>
          <w:sz w:val="28"/>
          <w:szCs w:val="28"/>
        </w:rPr>
        <w:t xml:space="preserve">oncentration within a single erythrocyte and is often linked to red cell integrity and function. The enhanced MCHC may suggest a beneficial effect of green tea catechins, particularly </w:t>
      </w:r>
      <w:r w:rsidRPr="00734B3D">
        <w:rPr>
          <w:rFonts w:ascii="Arial" w:hAnsi="Arial" w:cs="Arial"/>
          <w:sz w:val="28"/>
          <w:szCs w:val="28"/>
        </w:rPr>
        <w:lastRenderedPageBreak/>
        <w:t xml:space="preserve">epigallocatechin gallate (EGCG), which has been shown to stabilize erythrocyte membranes and protect against oxidative damage (Huang et al., 2014; Rahman, 2016). Sae-Tan et al. (2011) also reported that green tea polyphenols can influence erythropoiesis-related gene expression, potentially contributing to </w:t>
      </w:r>
      <w:r w:rsidRPr="00A02284">
        <w:rPr>
          <w:rFonts w:ascii="Arial" w:hAnsi="Arial" w:cs="Arial"/>
          <w:sz w:val="28"/>
          <w:szCs w:val="28"/>
          <w:highlight w:val="yellow"/>
        </w:rPr>
        <w:t>improved hemoglobin packing wi</w:t>
      </w:r>
      <w:r w:rsidRPr="00734B3D">
        <w:rPr>
          <w:rFonts w:ascii="Arial" w:hAnsi="Arial" w:cs="Arial"/>
          <w:sz w:val="28"/>
          <w:szCs w:val="28"/>
        </w:rPr>
        <w:t>thin cells.</w:t>
      </w:r>
    </w:p>
    <w:p w14:paraId="471ED562"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White blood cell indices and differential counts remained within normal physiological limits and did not vary significantly between groups. This finding supports prior work by Kim et al. (2014) and Guimarães et al. (2022), who found that green tea extract does not markedly modulate leukocyte profiles in healthy animals. Although monocyte counts showed a trend toward increase in the low-dose group (*p* = 0.06), this did not reach statistical significance and requires further investigation.</w:t>
      </w:r>
    </w:p>
    <w:p w14:paraId="04ECED11"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Platelet indices (platelet count and MPV) were also unaffected by green tea treatment. While the moderate-dose group recorded the highest platelet count and the high-dose group the lowest, these differences were not statistically significant. This is consistent with findings by Rasool et al. (2018) and Sung et al. (2000), who noted that green tea catechins may have mild antithrombotic properties but do not significantly alter platelet production under physiological conditions.</w:t>
      </w:r>
    </w:p>
    <w:p w14:paraId="104F5E33" w14:textId="57248E5C"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lastRenderedPageBreak/>
        <w:t xml:space="preserve">The results suggest that green tea extract, at higher doses (up to 500 mg/kg), is hematologically safe in healthy Wistar rats and may exert a mild functional benefit by enhancing MCHC. The largely neutral impact </w:t>
      </w:r>
      <w:r w:rsidRPr="00A02284">
        <w:rPr>
          <w:rFonts w:ascii="Arial" w:hAnsi="Arial" w:cs="Arial"/>
          <w:sz w:val="28"/>
          <w:szCs w:val="28"/>
          <w:highlight w:val="yellow"/>
        </w:rPr>
        <w:t>on other hematological in</w:t>
      </w:r>
      <w:r w:rsidRPr="00734B3D">
        <w:rPr>
          <w:rFonts w:ascii="Arial" w:hAnsi="Arial" w:cs="Arial"/>
          <w:sz w:val="28"/>
          <w:szCs w:val="28"/>
        </w:rPr>
        <w:t>dices supports the plant's adaptogenic and non-toxic profile, at least in the short term and under non-stressed conditions.</w:t>
      </w:r>
    </w:p>
    <w:p w14:paraId="4FDD86C5" w14:textId="77777777" w:rsidR="00AF0309" w:rsidRPr="00734B3D" w:rsidRDefault="00EA2AB3">
      <w:pPr>
        <w:spacing w:line="480" w:lineRule="auto"/>
        <w:jc w:val="both"/>
        <w:rPr>
          <w:rFonts w:ascii="Arial" w:hAnsi="Arial" w:cs="Arial"/>
          <w:b/>
          <w:bCs/>
          <w:sz w:val="28"/>
          <w:szCs w:val="28"/>
        </w:rPr>
      </w:pPr>
      <w:r w:rsidRPr="00734B3D">
        <w:rPr>
          <w:rFonts w:ascii="Arial" w:hAnsi="Arial" w:cs="Arial"/>
          <w:b/>
          <w:bCs/>
          <w:sz w:val="28"/>
          <w:szCs w:val="28"/>
        </w:rPr>
        <w:t xml:space="preserve">Conclusion </w:t>
      </w:r>
    </w:p>
    <w:p w14:paraId="00880EE8" w14:textId="2B112F03"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 xml:space="preserve">This study revealed that oral administration of green tea (Camellia sinensis) extract at doses of 100, 300, and 500 mg/kg body weight for 21 days did not produce significant alterations in most </w:t>
      </w:r>
      <w:r w:rsidRPr="00A02284">
        <w:rPr>
          <w:rFonts w:ascii="Arial" w:hAnsi="Arial" w:cs="Arial"/>
          <w:sz w:val="28"/>
          <w:szCs w:val="28"/>
          <w:highlight w:val="yellow"/>
        </w:rPr>
        <w:t>hematological parameters of healt</w:t>
      </w:r>
      <w:r w:rsidRPr="00734B3D">
        <w:rPr>
          <w:rFonts w:ascii="Arial" w:hAnsi="Arial" w:cs="Arial"/>
          <w:sz w:val="28"/>
          <w:szCs w:val="28"/>
        </w:rPr>
        <w:t>hy male Wistar rats. The only notable change was a significant increase in MCHC across all treated groups, suggesting a possible influence of green tea constituents on red cell indices. These findings indicate that short-term exposure to green tea extract, even at higher doses, may be hematologically safe in healthy rats.</w:t>
      </w:r>
      <w:r w:rsidR="00FA26D5">
        <w:rPr>
          <w:rFonts w:ascii="Arial" w:hAnsi="Arial" w:cs="Arial"/>
          <w:sz w:val="28"/>
          <w:szCs w:val="28"/>
        </w:rPr>
        <w:t xml:space="preserve"> </w:t>
      </w:r>
      <w:r w:rsidRPr="00734B3D">
        <w:rPr>
          <w:rFonts w:ascii="Arial" w:hAnsi="Arial" w:cs="Arial"/>
          <w:sz w:val="28"/>
          <w:szCs w:val="28"/>
        </w:rPr>
        <w:t>Further studies using longer treatment durations, disease models (e.g</w:t>
      </w:r>
      <w:r w:rsidRPr="00A02284">
        <w:rPr>
          <w:rFonts w:ascii="Arial" w:hAnsi="Arial" w:cs="Arial"/>
          <w:sz w:val="28"/>
          <w:szCs w:val="28"/>
          <w:highlight w:val="yellow"/>
        </w:rPr>
        <w:t>., anemia or oxidative stress</w:t>
      </w:r>
      <w:r w:rsidRPr="00734B3D">
        <w:rPr>
          <w:rFonts w:ascii="Arial" w:hAnsi="Arial" w:cs="Arial"/>
          <w:sz w:val="28"/>
          <w:szCs w:val="28"/>
        </w:rPr>
        <w:t xml:space="preserve">), and biochemical markers of oxidative injury are needed to determine whether </w:t>
      </w:r>
      <w:r w:rsidRPr="00A02284">
        <w:rPr>
          <w:rFonts w:ascii="Arial" w:hAnsi="Arial" w:cs="Arial"/>
          <w:sz w:val="28"/>
          <w:szCs w:val="28"/>
          <w:highlight w:val="yellow"/>
        </w:rPr>
        <w:t>green tea’s h</w:t>
      </w:r>
      <w:r w:rsidRPr="00734B3D">
        <w:rPr>
          <w:rFonts w:ascii="Arial" w:hAnsi="Arial" w:cs="Arial"/>
          <w:sz w:val="28"/>
          <w:szCs w:val="28"/>
        </w:rPr>
        <w:t>ematological effects are more pronounced under pathological conditions.</w:t>
      </w:r>
    </w:p>
    <w:p w14:paraId="0B4F9085" w14:textId="77777777" w:rsidR="00714BB2" w:rsidRPr="00734B3D" w:rsidRDefault="00714BB2">
      <w:pPr>
        <w:spacing w:line="480" w:lineRule="auto"/>
        <w:jc w:val="both"/>
        <w:rPr>
          <w:rFonts w:ascii="Arial" w:hAnsi="Arial" w:cs="Arial"/>
          <w:sz w:val="28"/>
          <w:szCs w:val="28"/>
        </w:rPr>
      </w:pPr>
    </w:p>
    <w:p w14:paraId="533D259C" w14:textId="77777777" w:rsidR="00714BB2" w:rsidRPr="00734B3D" w:rsidRDefault="00714BB2" w:rsidP="00714BB2">
      <w:pPr>
        <w:spacing w:line="480" w:lineRule="auto"/>
        <w:jc w:val="both"/>
        <w:rPr>
          <w:rFonts w:ascii="Arial" w:hAnsi="Arial" w:cs="Arial"/>
          <w:b/>
          <w:bCs/>
          <w:sz w:val="28"/>
          <w:szCs w:val="28"/>
        </w:rPr>
      </w:pPr>
      <w:r w:rsidRPr="00734B3D">
        <w:rPr>
          <w:rFonts w:ascii="Arial" w:hAnsi="Arial" w:cs="Arial"/>
          <w:b/>
          <w:bCs/>
          <w:sz w:val="28"/>
          <w:szCs w:val="28"/>
        </w:rPr>
        <w:t>Ethical Approval</w:t>
      </w:r>
    </w:p>
    <w:p w14:paraId="5FD8A634" w14:textId="6BD8A36B" w:rsidR="00714BB2" w:rsidRPr="00734B3D" w:rsidRDefault="00714BB2" w:rsidP="00714BB2">
      <w:pPr>
        <w:spacing w:line="480" w:lineRule="auto"/>
        <w:jc w:val="both"/>
        <w:rPr>
          <w:rFonts w:ascii="Arial" w:hAnsi="Arial" w:cs="Arial"/>
          <w:sz w:val="28"/>
          <w:szCs w:val="28"/>
        </w:rPr>
      </w:pPr>
      <w:r w:rsidRPr="00734B3D">
        <w:rPr>
          <w:rFonts w:ascii="Arial" w:hAnsi="Arial" w:cs="Arial"/>
          <w:sz w:val="28"/>
          <w:szCs w:val="28"/>
        </w:rPr>
        <w:t xml:space="preserve">All procedures were conducted in accordance with the Guide for the Care and Use of Laboratory Animals. Ethical approval for the study was granted by the Animal Ethics Committee of the Faculty of Basic Medical Sciences, Alex Ekwueme Federal University, </w:t>
      </w:r>
      <w:proofErr w:type="spellStart"/>
      <w:r w:rsidRPr="00734B3D">
        <w:rPr>
          <w:rFonts w:ascii="Arial" w:hAnsi="Arial" w:cs="Arial"/>
          <w:sz w:val="28"/>
          <w:szCs w:val="28"/>
        </w:rPr>
        <w:t>Ndufu</w:t>
      </w:r>
      <w:proofErr w:type="spellEnd"/>
      <w:r w:rsidRPr="00734B3D">
        <w:rPr>
          <w:rFonts w:ascii="Arial" w:hAnsi="Arial" w:cs="Arial"/>
          <w:sz w:val="28"/>
          <w:szCs w:val="28"/>
        </w:rPr>
        <w:t xml:space="preserve">-Alike </w:t>
      </w:r>
      <w:proofErr w:type="spellStart"/>
      <w:r w:rsidRPr="00734B3D">
        <w:rPr>
          <w:rFonts w:ascii="Arial" w:hAnsi="Arial" w:cs="Arial"/>
          <w:sz w:val="28"/>
          <w:szCs w:val="28"/>
        </w:rPr>
        <w:t>Ikwo</w:t>
      </w:r>
      <w:proofErr w:type="spellEnd"/>
      <w:r w:rsidRPr="00734B3D">
        <w:rPr>
          <w:rFonts w:ascii="Arial" w:hAnsi="Arial" w:cs="Arial"/>
          <w:sz w:val="28"/>
          <w:szCs w:val="28"/>
        </w:rPr>
        <w:t>, Nigeria.</w:t>
      </w:r>
    </w:p>
    <w:p w14:paraId="7EB09DDD" w14:textId="77777777" w:rsidR="00AF0309" w:rsidRPr="00734B3D" w:rsidRDefault="00EA2AB3">
      <w:pPr>
        <w:spacing w:line="480" w:lineRule="auto"/>
        <w:jc w:val="both"/>
        <w:rPr>
          <w:rFonts w:ascii="Arial" w:hAnsi="Arial" w:cs="Arial"/>
          <w:b/>
          <w:bCs/>
          <w:sz w:val="28"/>
          <w:szCs w:val="28"/>
        </w:rPr>
      </w:pPr>
      <w:r w:rsidRPr="00734B3D">
        <w:rPr>
          <w:rFonts w:ascii="Arial" w:hAnsi="Arial" w:cs="Arial"/>
          <w:b/>
          <w:bCs/>
          <w:sz w:val="28"/>
          <w:szCs w:val="28"/>
        </w:rPr>
        <w:t>Declarations</w:t>
      </w:r>
    </w:p>
    <w:p w14:paraId="741A77F0"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Data Availability: There is no data availability statement applicable to this research.</w:t>
      </w:r>
    </w:p>
    <w:p w14:paraId="37DC69FF" w14:textId="7F6AE552"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 xml:space="preserve">Ethical Approval: The ethical committee approved the </w:t>
      </w:r>
      <w:r w:rsidRPr="00A02284">
        <w:rPr>
          <w:rFonts w:ascii="Arial" w:hAnsi="Arial" w:cs="Arial"/>
          <w:sz w:val="28"/>
          <w:szCs w:val="28"/>
          <w:highlight w:val="yellow"/>
        </w:rPr>
        <w:t xml:space="preserve">protocol of  this study </w:t>
      </w:r>
      <w:r w:rsidR="007A2D43" w:rsidRPr="00A02284">
        <w:rPr>
          <w:rFonts w:ascii="Arial" w:hAnsi="Arial" w:cs="Arial"/>
          <w:sz w:val="28"/>
          <w:szCs w:val="28"/>
          <w:highlight w:val="yellow"/>
        </w:rPr>
        <w:t>according to</w:t>
      </w:r>
      <w:r w:rsidR="007A2D43" w:rsidRPr="00A02284">
        <w:rPr>
          <w:rFonts w:ascii="Arial" w:hAnsi="Arial" w:cs="Arial"/>
          <w:sz w:val="28"/>
          <w:szCs w:val="28"/>
          <w:highlight w:val="yellow"/>
        </w:rPr>
        <w:t xml:space="preserve"> </w:t>
      </w:r>
      <w:r w:rsidRPr="00A02284">
        <w:rPr>
          <w:rFonts w:ascii="Arial" w:hAnsi="Arial" w:cs="Arial"/>
          <w:sz w:val="28"/>
          <w:szCs w:val="28"/>
          <w:highlight w:val="yellow"/>
        </w:rPr>
        <w:t xml:space="preserve">the rules and guidelines in experimenting at the Department of </w:t>
      </w:r>
      <w:r w:rsidR="007A2D43" w:rsidRPr="00A02284">
        <w:rPr>
          <w:rFonts w:ascii="Arial" w:hAnsi="Arial" w:cs="Arial"/>
          <w:sz w:val="28"/>
          <w:szCs w:val="28"/>
          <w:highlight w:val="yellow"/>
        </w:rPr>
        <w:t>P</w:t>
      </w:r>
      <w:r w:rsidR="007A2D43" w:rsidRPr="00A02284">
        <w:rPr>
          <w:rFonts w:ascii="Arial" w:hAnsi="Arial" w:cs="Arial"/>
          <w:sz w:val="28"/>
          <w:szCs w:val="28"/>
          <w:highlight w:val="yellow"/>
        </w:rPr>
        <w:t>hysiology</w:t>
      </w:r>
      <w:r w:rsidRPr="00A02284">
        <w:rPr>
          <w:rFonts w:ascii="Arial" w:hAnsi="Arial" w:cs="Arial"/>
          <w:sz w:val="28"/>
          <w:szCs w:val="28"/>
          <w:highlight w:val="yellow"/>
        </w:rPr>
        <w:t>, Alex  Ekwueme Federa</w:t>
      </w:r>
      <w:r w:rsidRPr="00734B3D">
        <w:rPr>
          <w:rFonts w:ascii="Arial" w:hAnsi="Arial" w:cs="Arial"/>
          <w:sz w:val="28"/>
          <w:szCs w:val="28"/>
        </w:rPr>
        <w:t>l University, Ndufu-Alike, Ebonyi State with the ethical approval number: 017PY20317</w:t>
      </w:r>
    </w:p>
    <w:p w14:paraId="36994EDF" w14:textId="77777777" w:rsidR="00902C63" w:rsidRPr="00734B3D" w:rsidRDefault="00902C63" w:rsidP="00902C63">
      <w:pPr>
        <w:rPr>
          <w:rFonts w:ascii="Arial" w:eastAsia="Calibri" w:hAnsi="Arial" w:cs="Arial"/>
          <w:kern w:val="2"/>
          <w:sz w:val="24"/>
          <w:szCs w:val="24"/>
          <w:highlight w:val="yellow"/>
        </w:rPr>
      </w:pPr>
      <w:bookmarkStart w:id="0" w:name="_Hlk197682619"/>
      <w:bookmarkStart w:id="1" w:name="_Hlk180402183"/>
      <w:bookmarkStart w:id="2" w:name="_Hlk183680988"/>
      <w:r w:rsidRPr="00734B3D">
        <w:rPr>
          <w:rFonts w:ascii="Arial" w:eastAsia="Calibri" w:hAnsi="Arial" w:cs="Arial"/>
          <w:kern w:val="2"/>
          <w:sz w:val="24"/>
          <w:szCs w:val="24"/>
          <w:highlight w:val="yellow"/>
        </w:rPr>
        <w:t>Disclaimer (Artificial intelligence)</w:t>
      </w:r>
    </w:p>
    <w:p w14:paraId="327395FB" w14:textId="77777777" w:rsidR="00902C63" w:rsidRPr="00734B3D" w:rsidRDefault="00902C63" w:rsidP="00902C63">
      <w:pPr>
        <w:rPr>
          <w:rFonts w:ascii="Arial" w:eastAsia="Calibri" w:hAnsi="Arial" w:cs="Arial"/>
          <w:kern w:val="2"/>
          <w:sz w:val="24"/>
          <w:szCs w:val="24"/>
          <w:highlight w:val="yellow"/>
        </w:rPr>
      </w:pPr>
      <w:r w:rsidRPr="00734B3D">
        <w:rPr>
          <w:rFonts w:ascii="Arial" w:eastAsia="Calibri" w:hAnsi="Arial" w:cs="Arial"/>
          <w:kern w:val="2"/>
          <w:sz w:val="24"/>
          <w:szCs w:val="24"/>
          <w:highlight w:val="yellow"/>
        </w:rPr>
        <w:t xml:space="preserve">Option 1: </w:t>
      </w:r>
    </w:p>
    <w:p w14:paraId="174D9747" w14:textId="77777777" w:rsidR="00902C63" w:rsidRPr="00734B3D" w:rsidRDefault="00902C63" w:rsidP="00902C63">
      <w:pPr>
        <w:rPr>
          <w:rFonts w:ascii="Arial" w:eastAsia="Calibri" w:hAnsi="Arial" w:cs="Arial"/>
          <w:kern w:val="2"/>
          <w:sz w:val="24"/>
          <w:szCs w:val="24"/>
          <w:highlight w:val="yellow"/>
        </w:rPr>
      </w:pPr>
      <w:r w:rsidRPr="00734B3D">
        <w:rPr>
          <w:rFonts w:ascii="Arial" w:eastAsia="Calibri" w:hAnsi="Arial" w:cs="Arial"/>
          <w:kern w:val="2"/>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16B13126" w14:textId="77777777" w:rsidR="00902C63" w:rsidRPr="00734B3D" w:rsidRDefault="00902C63" w:rsidP="00902C63">
      <w:pPr>
        <w:rPr>
          <w:rFonts w:ascii="Arial" w:eastAsia="Calibri" w:hAnsi="Arial" w:cs="Arial"/>
          <w:kern w:val="2"/>
          <w:sz w:val="24"/>
          <w:szCs w:val="24"/>
          <w:highlight w:val="yellow"/>
        </w:rPr>
      </w:pPr>
      <w:r w:rsidRPr="00734B3D">
        <w:rPr>
          <w:rFonts w:ascii="Arial" w:eastAsia="Calibri" w:hAnsi="Arial" w:cs="Arial"/>
          <w:kern w:val="2"/>
          <w:sz w:val="24"/>
          <w:szCs w:val="24"/>
          <w:highlight w:val="yellow"/>
        </w:rPr>
        <w:lastRenderedPageBreak/>
        <w:t xml:space="preserve">Option 2: </w:t>
      </w:r>
    </w:p>
    <w:p w14:paraId="26B734AE" w14:textId="65698803" w:rsidR="00902C63" w:rsidRPr="00734B3D" w:rsidRDefault="00902C63" w:rsidP="00902C63">
      <w:pPr>
        <w:rPr>
          <w:rFonts w:ascii="Arial" w:eastAsia="Calibri" w:hAnsi="Arial" w:cs="Arial"/>
          <w:kern w:val="2"/>
          <w:sz w:val="24"/>
          <w:szCs w:val="24"/>
          <w:highlight w:val="yellow"/>
        </w:rPr>
      </w:pPr>
      <w:r w:rsidRPr="00734B3D">
        <w:rPr>
          <w:rFonts w:ascii="Arial" w:eastAsia="Calibri" w:hAnsi="Arial" w:cs="Arial"/>
          <w:kern w:val="2"/>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r w:rsidR="007A2D43">
        <w:rPr>
          <w:rFonts w:ascii="Arial" w:eastAsia="Calibri" w:hAnsi="Arial" w:cs="Arial"/>
          <w:kern w:val="2"/>
          <w:sz w:val="24"/>
          <w:szCs w:val="24"/>
          <w:highlight w:val="yellow"/>
        </w:rPr>
        <w:t>.</w:t>
      </w:r>
    </w:p>
    <w:p w14:paraId="5D6CC1B0" w14:textId="77777777" w:rsidR="00902C63" w:rsidRPr="00734B3D" w:rsidRDefault="00902C63" w:rsidP="00902C63">
      <w:pPr>
        <w:rPr>
          <w:rFonts w:ascii="Arial" w:eastAsia="Calibri" w:hAnsi="Arial" w:cs="Arial"/>
          <w:kern w:val="2"/>
          <w:sz w:val="24"/>
          <w:szCs w:val="24"/>
          <w:highlight w:val="yellow"/>
        </w:rPr>
      </w:pPr>
      <w:r w:rsidRPr="00734B3D">
        <w:rPr>
          <w:rFonts w:ascii="Arial" w:eastAsia="Calibri" w:hAnsi="Arial" w:cs="Arial"/>
          <w:kern w:val="2"/>
          <w:sz w:val="24"/>
          <w:szCs w:val="24"/>
          <w:highlight w:val="yellow"/>
        </w:rPr>
        <w:t>Details of the AI usage are given below:</w:t>
      </w:r>
    </w:p>
    <w:p w14:paraId="304F6BE8" w14:textId="77777777" w:rsidR="00902C63" w:rsidRPr="00734B3D" w:rsidRDefault="00902C63" w:rsidP="00902C63">
      <w:pPr>
        <w:rPr>
          <w:rFonts w:ascii="Arial" w:eastAsia="Calibri" w:hAnsi="Arial" w:cs="Arial"/>
          <w:kern w:val="2"/>
          <w:sz w:val="24"/>
          <w:szCs w:val="24"/>
          <w:highlight w:val="yellow"/>
        </w:rPr>
      </w:pPr>
      <w:r w:rsidRPr="00734B3D">
        <w:rPr>
          <w:rFonts w:ascii="Arial" w:eastAsia="Calibri" w:hAnsi="Arial" w:cs="Arial"/>
          <w:kern w:val="2"/>
          <w:sz w:val="24"/>
          <w:szCs w:val="24"/>
          <w:highlight w:val="yellow"/>
        </w:rPr>
        <w:t>1.</w:t>
      </w:r>
    </w:p>
    <w:p w14:paraId="71EB7D7E" w14:textId="77777777" w:rsidR="00902C63" w:rsidRPr="00734B3D" w:rsidRDefault="00902C63" w:rsidP="00902C63">
      <w:pPr>
        <w:rPr>
          <w:rFonts w:ascii="Arial" w:eastAsia="Calibri" w:hAnsi="Arial" w:cs="Arial"/>
          <w:kern w:val="2"/>
          <w:sz w:val="24"/>
          <w:szCs w:val="24"/>
          <w:highlight w:val="yellow"/>
        </w:rPr>
      </w:pPr>
      <w:r w:rsidRPr="00734B3D">
        <w:rPr>
          <w:rFonts w:ascii="Arial" w:eastAsia="Calibri" w:hAnsi="Arial" w:cs="Arial"/>
          <w:kern w:val="2"/>
          <w:sz w:val="24"/>
          <w:szCs w:val="24"/>
          <w:highlight w:val="yellow"/>
        </w:rPr>
        <w:t>2.</w:t>
      </w:r>
    </w:p>
    <w:p w14:paraId="723A3F49" w14:textId="77777777" w:rsidR="00902C63" w:rsidRPr="00734B3D" w:rsidRDefault="00902C63" w:rsidP="00902C63">
      <w:pPr>
        <w:rPr>
          <w:rFonts w:ascii="Arial" w:eastAsia="Calibri" w:hAnsi="Arial" w:cs="Arial"/>
          <w:kern w:val="2"/>
          <w:sz w:val="24"/>
          <w:szCs w:val="24"/>
        </w:rPr>
      </w:pPr>
      <w:bookmarkStart w:id="3" w:name="_Hlk197682629"/>
      <w:bookmarkEnd w:id="0"/>
      <w:r w:rsidRPr="00734B3D">
        <w:rPr>
          <w:rFonts w:ascii="Arial" w:eastAsia="Calibri" w:hAnsi="Arial" w:cs="Arial"/>
          <w:kern w:val="2"/>
          <w:sz w:val="24"/>
          <w:szCs w:val="24"/>
          <w:highlight w:val="yellow"/>
        </w:rPr>
        <w:t>3.</w:t>
      </w:r>
    </w:p>
    <w:bookmarkEnd w:id="1"/>
    <w:bookmarkEnd w:id="2"/>
    <w:bookmarkEnd w:id="3"/>
    <w:p w14:paraId="1DB151BC" w14:textId="77777777" w:rsidR="00902C63" w:rsidRPr="00734B3D" w:rsidRDefault="00902C63">
      <w:pPr>
        <w:spacing w:line="480" w:lineRule="auto"/>
        <w:jc w:val="both"/>
        <w:rPr>
          <w:rFonts w:ascii="Arial" w:hAnsi="Arial" w:cs="Arial"/>
          <w:sz w:val="28"/>
          <w:szCs w:val="28"/>
        </w:rPr>
      </w:pPr>
    </w:p>
    <w:p w14:paraId="5803421C" w14:textId="77777777" w:rsidR="00AF0309" w:rsidRPr="00734B3D" w:rsidRDefault="00AF0309">
      <w:pPr>
        <w:spacing w:line="480" w:lineRule="auto"/>
        <w:jc w:val="both"/>
        <w:rPr>
          <w:rFonts w:ascii="Arial" w:hAnsi="Arial" w:cs="Arial"/>
          <w:sz w:val="28"/>
          <w:szCs w:val="28"/>
        </w:rPr>
      </w:pPr>
    </w:p>
    <w:p w14:paraId="000A92B1" w14:textId="77777777" w:rsidR="00B40B91" w:rsidRPr="00734B3D" w:rsidRDefault="00B40B91">
      <w:pPr>
        <w:spacing w:line="480" w:lineRule="auto"/>
        <w:jc w:val="both"/>
        <w:rPr>
          <w:rFonts w:ascii="Arial" w:hAnsi="Arial" w:cs="Arial"/>
          <w:sz w:val="28"/>
          <w:szCs w:val="28"/>
        </w:rPr>
      </w:pPr>
    </w:p>
    <w:p w14:paraId="11444075" w14:textId="77777777" w:rsidR="00B40B91" w:rsidRPr="00734B3D" w:rsidRDefault="00B40B91">
      <w:pPr>
        <w:spacing w:line="480" w:lineRule="auto"/>
        <w:jc w:val="both"/>
        <w:rPr>
          <w:rFonts w:ascii="Arial" w:hAnsi="Arial" w:cs="Arial"/>
          <w:sz w:val="28"/>
          <w:szCs w:val="28"/>
        </w:rPr>
      </w:pPr>
    </w:p>
    <w:p w14:paraId="100C0138" w14:textId="30AA5323"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References</w:t>
      </w:r>
    </w:p>
    <w:p w14:paraId="37977B0A"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Ahmed, M., Fadlalla, I. M. T., &amp; Abdelatif, A. M. (2015). Effects of dietary protein levels on hematological and biochemical parameters in desert goats. *Global Veterinaria*, 15(2), 145–151.</w:t>
      </w:r>
    </w:p>
    <w:p w14:paraId="4958033A"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lastRenderedPageBreak/>
        <w:t>Bait, M. (2010). Effects of green tea on hematological parameters in Sprague Dawley rats. *Journal of Phytopharmacology*, 2(4), 201–208.</w:t>
      </w:r>
    </w:p>
    <w:p w14:paraId="5080A4AE"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Gad, S. B., &amp; Zaghloul, D. M. (2013). Beneficial effects of green tea extract on liver and kidney functions, ultrastructure, lipid profile and hematological parameters in aged male rats. *Global Veterinaria*, 11(2), 191–205.</w:t>
      </w:r>
    </w:p>
    <w:p w14:paraId="723A9487"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Guimarães, P. B., Fernandes, L. S., Duarte, I. A., &amp; Ferreira, A. V. M. (2022). Effects of phytotherapeutic administration of green tea (*Camellia sinensis*) as a treatment for obesity: A systematic review of clinical and experimental studies. *Journal of Nutritional Medicine and Diet Care*, 8(1), 057.</w:t>
      </w:r>
    </w:p>
    <w:p w14:paraId="4C60FFC5"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Hoffbrand, A. V., Moss, P. A. H., &amp; Pettit, J. E. (2005). *Essential haematology* (5th ed.). Wiley-Blackwell.</w:t>
      </w:r>
    </w:p>
    <w:p w14:paraId="404104CE"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Huang, J., Wang, Y., Xie, Z., Zhou, Y., Zhang, Y., &amp; Wan, X. (2014). The anti-oxidative effects of green tea polyphenols on erythrocyte membranes in rats. *Journal of Agricultural and Food Chemistry*, 62(29), 7081–7086. [https://doi.org/10.1021/jf500645z](https://doi.org/10.1021/jf500645z)</w:t>
      </w:r>
    </w:p>
    <w:p w14:paraId="19621D51" w14:textId="77777777" w:rsidR="00AF0309" w:rsidRPr="00734B3D" w:rsidRDefault="00AF0309">
      <w:pPr>
        <w:spacing w:line="480" w:lineRule="auto"/>
        <w:jc w:val="both"/>
        <w:rPr>
          <w:rFonts w:ascii="Arial" w:hAnsi="Arial" w:cs="Arial"/>
          <w:sz w:val="28"/>
          <w:szCs w:val="28"/>
        </w:rPr>
      </w:pPr>
    </w:p>
    <w:p w14:paraId="640B7508"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Kanwar, J., Taskeen, M., Mohammad, I., Huo, C., &amp; Mahnashi, M. (2012). Recent advances on green tea polyphenols in cancer chemoprevention. *Current Drug Targets*, 13(14), 1874–1883.</w:t>
      </w:r>
    </w:p>
    <w:p w14:paraId="26958E1F"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Kim, H. S., Quon, M. J., &amp; Kim, J. A. (2014). New insights into the mechanisms of polyphenols beyond antioxidant properties; lessons from the green tea polyphenol, epigallocatechin-3-gallate. *Redox Biology*, 2, 187–195. [https://doi.org/10.1016/j.redox.2013.12.022](https://doi.org/10.1016/j.redox.2013.12.022)</w:t>
      </w:r>
    </w:p>
    <w:p w14:paraId="527A0969"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Lubis, Z., Siregar, P. P., &amp; Syah, R. (2016). Influence of green tea extract on hematological profile in rats. *Indonesian Journal of Biomedical Sciences*, 10(1), 35–40.</w:t>
      </w:r>
    </w:p>
    <w:p w14:paraId="2EC7EC4B"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Namita, P., Mukesh, R., &amp; Vijay, K. J. (2012). Camellia sinensis (green tea): A review. *Global Journal of Pharmacology*, 6(2), 52–59.</w:t>
      </w:r>
    </w:p>
    <w:p w14:paraId="46C0C958"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Rahman, K. (2016). Studies on free radicals, antioxidants, and co-factors. *Clinical Interventions in Aging*, 11, 111–117. [https://doi.org/10.2147/CIA.S99886](https://doi.org/10.2147/CIA.S99886)</w:t>
      </w:r>
    </w:p>
    <w:p w14:paraId="6CF91579"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lastRenderedPageBreak/>
        <w:t>Rahmani, A. H., Al Shabrmi, F. M., &amp; Aly, S. M. (2015). Active ingredients of green tea as anticancer agents. *International Journal of Clinical and Experimental Medicine*, 8(6), 8513–8520.</w:t>
      </w:r>
    </w:p>
    <w:p w14:paraId="2AB9C15D"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Rasool, M., Akhtar, T., &amp; Malik, A. (2018). Evaluation of the antithrombotic potential of green tea extract. *Pakistan Journal of Pharmaceutical Sciences*, 31(6), 2451–2456.</w:t>
      </w:r>
    </w:p>
    <w:p w14:paraId="333BD0BF"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Sae-Tan, S., Grove, K. A., &amp; Lambert, J. D. (2011). Weight control and prevention of metabolic syndrome by green tea. *Pharmaceuticals*, 4(11), 1115–1128. [https://doi.org/10.3390/ph4111115](https://doi.org/10.3390/ph4111115)</w:t>
      </w:r>
    </w:p>
    <w:p w14:paraId="18C3FF90"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Shoshin, O. M. A., Abdulaali, A. A. A., Mostafa, E. M. M., Baker, N. A. A., &amp; Helal, A. S. (2020). The effect of different doses of green tea extract on hematological and biochemical parameters in adult male rats. *Indian Journal of Public Health Research &amp; Development*, 11(2), 1424–1428.</w:t>
      </w:r>
    </w:p>
    <w:p w14:paraId="322FF86D"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t>Sung, H., Machida, H., &amp; Ogura, T. (2000). Green tea catechins inhibit platelet aggregation. *Thrombosis Research*, 100(5), 307–315.</w:t>
      </w:r>
    </w:p>
    <w:p w14:paraId="755A4184" w14:textId="77777777" w:rsidR="00AF0309" w:rsidRPr="00734B3D" w:rsidRDefault="00EA2AB3">
      <w:pPr>
        <w:spacing w:line="480" w:lineRule="auto"/>
        <w:jc w:val="both"/>
        <w:rPr>
          <w:rFonts w:ascii="Arial" w:hAnsi="Arial" w:cs="Arial"/>
          <w:sz w:val="28"/>
          <w:szCs w:val="28"/>
        </w:rPr>
      </w:pPr>
      <w:r w:rsidRPr="00734B3D">
        <w:rPr>
          <w:rFonts w:ascii="Arial" w:hAnsi="Arial" w:cs="Arial"/>
          <w:sz w:val="28"/>
          <w:szCs w:val="28"/>
        </w:rPr>
        <w:lastRenderedPageBreak/>
        <w:t>Winamp, R. F., &amp; Kristiano, R. (2016). The potential role of green tea in cardiovascular health. *Journal of Herbal Medicine Research*, 2(1), 45–52.</w:t>
      </w:r>
    </w:p>
    <w:p w14:paraId="407D66BB" w14:textId="241A16E8" w:rsidR="00B950E6" w:rsidRDefault="00B950E6">
      <w:pPr>
        <w:spacing w:line="480" w:lineRule="auto"/>
        <w:jc w:val="both"/>
        <w:rPr>
          <w:rFonts w:ascii="Arial" w:hAnsi="Arial" w:cs="Arial"/>
          <w:sz w:val="28"/>
          <w:szCs w:val="28"/>
        </w:rPr>
      </w:pPr>
      <w:r w:rsidRPr="00734B3D">
        <w:rPr>
          <w:rFonts w:ascii="Arial" w:hAnsi="Arial" w:cs="Arial"/>
          <w:sz w:val="28"/>
          <w:szCs w:val="28"/>
          <w:highlight w:val="yellow"/>
        </w:rPr>
        <w:t xml:space="preserve">Ogar , F. O., </w:t>
      </w:r>
      <w:proofErr w:type="spellStart"/>
      <w:r w:rsidRPr="00734B3D">
        <w:rPr>
          <w:rFonts w:ascii="Arial" w:hAnsi="Arial" w:cs="Arial"/>
          <w:sz w:val="28"/>
          <w:szCs w:val="28"/>
          <w:highlight w:val="yellow"/>
        </w:rPr>
        <w:t>Georgewill</w:t>
      </w:r>
      <w:proofErr w:type="spellEnd"/>
      <w:r w:rsidRPr="00734B3D">
        <w:rPr>
          <w:rFonts w:ascii="Arial" w:hAnsi="Arial" w:cs="Arial"/>
          <w:sz w:val="28"/>
          <w:szCs w:val="28"/>
          <w:highlight w:val="yellow"/>
        </w:rPr>
        <w:t xml:space="preserve"> , O. A., &amp; </w:t>
      </w:r>
      <w:proofErr w:type="spellStart"/>
      <w:r w:rsidRPr="00734B3D">
        <w:rPr>
          <w:rFonts w:ascii="Arial" w:hAnsi="Arial" w:cs="Arial"/>
          <w:sz w:val="28"/>
          <w:szCs w:val="28"/>
          <w:highlight w:val="yellow"/>
        </w:rPr>
        <w:t>Ibubeleye</w:t>
      </w:r>
      <w:proofErr w:type="spellEnd"/>
      <w:r w:rsidRPr="00734B3D">
        <w:rPr>
          <w:rFonts w:ascii="Arial" w:hAnsi="Arial" w:cs="Arial"/>
          <w:sz w:val="28"/>
          <w:szCs w:val="28"/>
          <w:highlight w:val="yellow"/>
        </w:rPr>
        <w:t xml:space="preserve"> , V. T. (2023). Toxicological Effect of Green Tea (Camelia sinensis) on </w:t>
      </w:r>
      <w:proofErr w:type="spellStart"/>
      <w:r w:rsidRPr="00734B3D">
        <w:rPr>
          <w:rFonts w:ascii="Arial" w:hAnsi="Arial" w:cs="Arial"/>
          <w:sz w:val="28"/>
          <w:szCs w:val="28"/>
          <w:highlight w:val="yellow"/>
        </w:rPr>
        <w:t>Haematological</w:t>
      </w:r>
      <w:proofErr w:type="spellEnd"/>
      <w:r w:rsidRPr="00734B3D">
        <w:rPr>
          <w:rFonts w:ascii="Arial" w:hAnsi="Arial" w:cs="Arial"/>
          <w:sz w:val="28"/>
          <w:szCs w:val="28"/>
          <w:highlight w:val="yellow"/>
        </w:rPr>
        <w:t xml:space="preserve"> Parameters in Wistar Rats. Asian Journal of Research in Medical and Pharmaceutical Sciences, 12(3), 39–45. </w:t>
      </w:r>
      <w:hyperlink r:id="rId6" w:history="1">
        <w:r w:rsidRPr="00734B3D">
          <w:rPr>
            <w:rStyle w:val="Hyperlink"/>
            <w:rFonts w:ascii="Arial" w:hAnsi="Arial" w:cs="Arial"/>
            <w:sz w:val="28"/>
            <w:szCs w:val="28"/>
            <w:highlight w:val="yellow"/>
          </w:rPr>
          <w:t>https://doi.org/10.9734/ajrimps/2023/v12i3219</w:t>
        </w:r>
      </w:hyperlink>
      <w:r w:rsidRPr="00734B3D">
        <w:rPr>
          <w:rFonts w:ascii="Arial" w:hAnsi="Arial" w:cs="Arial"/>
          <w:sz w:val="28"/>
          <w:szCs w:val="28"/>
        </w:rPr>
        <w:t xml:space="preserve"> </w:t>
      </w:r>
    </w:p>
    <w:p w14:paraId="0E77FBEA" w14:textId="4A22B60D" w:rsidR="004168F5" w:rsidRDefault="004168F5">
      <w:pPr>
        <w:spacing w:line="480" w:lineRule="auto"/>
        <w:jc w:val="both"/>
        <w:rPr>
          <w:rFonts w:ascii="Arial" w:hAnsi="Arial" w:cs="Arial"/>
          <w:sz w:val="28"/>
          <w:szCs w:val="28"/>
        </w:rPr>
      </w:pPr>
      <w:r w:rsidRPr="003A2390">
        <w:rPr>
          <w:rFonts w:ascii="Arial" w:hAnsi="Arial" w:cs="Arial"/>
          <w:sz w:val="28"/>
          <w:szCs w:val="28"/>
          <w:highlight w:val="yellow"/>
        </w:rPr>
        <w:t xml:space="preserve">Yakubu, M. T., Adebayo, A. H., </w:t>
      </w:r>
      <w:proofErr w:type="spellStart"/>
      <w:r w:rsidRPr="003A2390">
        <w:rPr>
          <w:rFonts w:ascii="Arial" w:hAnsi="Arial" w:cs="Arial"/>
          <w:sz w:val="28"/>
          <w:szCs w:val="28"/>
          <w:highlight w:val="yellow"/>
        </w:rPr>
        <w:t>Egworo</w:t>
      </w:r>
      <w:proofErr w:type="spellEnd"/>
      <w:r w:rsidRPr="003A2390">
        <w:rPr>
          <w:rFonts w:ascii="Arial" w:hAnsi="Arial" w:cs="Arial"/>
          <w:sz w:val="28"/>
          <w:szCs w:val="28"/>
          <w:highlight w:val="yellow"/>
        </w:rPr>
        <w:t xml:space="preserve">, V. O., &amp; </w:t>
      </w:r>
      <w:proofErr w:type="spellStart"/>
      <w:r w:rsidRPr="003A2390">
        <w:rPr>
          <w:rFonts w:ascii="Arial" w:hAnsi="Arial" w:cs="Arial"/>
          <w:sz w:val="28"/>
          <w:szCs w:val="28"/>
          <w:highlight w:val="yellow"/>
        </w:rPr>
        <w:t>Sandabe</w:t>
      </w:r>
      <w:proofErr w:type="spellEnd"/>
      <w:r w:rsidRPr="003A2390">
        <w:rPr>
          <w:rFonts w:ascii="Arial" w:hAnsi="Arial" w:cs="Arial"/>
          <w:sz w:val="28"/>
          <w:szCs w:val="28"/>
          <w:highlight w:val="yellow"/>
        </w:rPr>
        <w:t>, U. K. (2018). Catechins from green tea and their potential role in health care. Journal of Natural Science, Biology and Medicine, 9(1), 4.</w:t>
      </w:r>
    </w:p>
    <w:p w14:paraId="4AB31872" w14:textId="2588A147" w:rsidR="00E33A34" w:rsidRPr="00CD7EEB" w:rsidRDefault="00E33A34">
      <w:pPr>
        <w:spacing w:line="480" w:lineRule="auto"/>
        <w:jc w:val="both"/>
        <w:rPr>
          <w:rFonts w:ascii="Arial" w:hAnsi="Arial" w:cs="Arial"/>
          <w:sz w:val="28"/>
          <w:szCs w:val="28"/>
          <w:highlight w:val="yellow"/>
        </w:rPr>
      </w:pPr>
      <w:r w:rsidRPr="00E33A34">
        <w:rPr>
          <w:rFonts w:ascii="Arial" w:hAnsi="Arial" w:cs="Arial"/>
          <w:sz w:val="28"/>
          <w:szCs w:val="28"/>
          <w:highlight w:val="yellow"/>
        </w:rPr>
        <w:t xml:space="preserve">Della Via, F. I., Alvarez, M. C., Basting, R. T., &amp; Saad, S. T. O. (2023). The effects of green tea </w:t>
      </w:r>
      <w:r w:rsidRPr="00CD7EEB">
        <w:rPr>
          <w:rFonts w:ascii="Arial" w:hAnsi="Arial" w:cs="Arial"/>
          <w:sz w:val="28"/>
          <w:szCs w:val="28"/>
          <w:highlight w:val="yellow"/>
        </w:rPr>
        <w:t>catechins in hematological malignancies. Pharmaceuticals, 16(7), 1021</w:t>
      </w:r>
    </w:p>
    <w:p w14:paraId="5C64DF7A" w14:textId="760336F0" w:rsidR="00060AA0" w:rsidRDefault="00060AA0">
      <w:pPr>
        <w:spacing w:line="480" w:lineRule="auto"/>
        <w:jc w:val="both"/>
        <w:rPr>
          <w:rFonts w:ascii="Arial" w:hAnsi="Arial" w:cs="Arial"/>
          <w:sz w:val="28"/>
          <w:szCs w:val="28"/>
        </w:rPr>
      </w:pPr>
      <w:proofErr w:type="spellStart"/>
      <w:r w:rsidRPr="00CD7EEB">
        <w:rPr>
          <w:rFonts w:ascii="Arial" w:hAnsi="Arial" w:cs="Arial"/>
          <w:sz w:val="28"/>
          <w:szCs w:val="28"/>
          <w:highlight w:val="yellow"/>
        </w:rPr>
        <w:t>Settakorn</w:t>
      </w:r>
      <w:proofErr w:type="spellEnd"/>
      <w:r w:rsidRPr="00CD7EEB">
        <w:rPr>
          <w:rFonts w:ascii="Arial" w:hAnsi="Arial" w:cs="Arial"/>
          <w:sz w:val="28"/>
          <w:szCs w:val="28"/>
          <w:highlight w:val="yellow"/>
        </w:rPr>
        <w:t xml:space="preserve">, K., </w:t>
      </w:r>
      <w:proofErr w:type="spellStart"/>
      <w:r w:rsidRPr="00CD7EEB">
        <w:rPr>
          <w:rFonts w:ascii="Arial" w:hAnsi="Arial" w:cs="Arial"/>
          <w:sz w:val="28"/>
          <w:szCs w:val="28"/>
          <w:highlight w:val="yellow"/>
        </w:rPr>
        <w:t>Kongkarnka</w:t>
      </w:r>
      <w:proofErr w:type="spellEnd"/>
      <w:r w:rsidRPr="00CD7EEB">
        <w:rPr>
          <w:rFonts w:ascii="Arial" w:hAnsi="Arial" w:cs="Arial"/>
          <w:sz w:val="28"/>
          <w:szCs w:val="28"/>
          <w:highlight w:val="yellow"/>
        </w:rPr>
        <w:t xml:space="preserve">, S., </w:t>
      </w:r>
      <w:proofErr w:type="spellStart"/>
      <w:r w:rsidRPr="00CD7EEB">
        <w:rPr>
          <w:rFonts w:ascii="Arial" w:hAnsi="Arial" w:cs="Arial"/>
          <w:sz w:val="28"/>
          <w:szCs w:val="28"/>
          <w:highlight w:val="yellow"/>
        </w:rPr>
        <w:t>Chompupoung</w:t>
      </w:r>
      <w:proofErr w:type="spellEnd"/>
      <w:r w:rsidRPr="00CD7EEB">
        <w:rPr>
          <w:rFonts w:ascii="Arial" w:hAnsi="Arial" w:cs="Arial"/>
          <w:sz w:val="28"/>
          <w:szCs w:val="28"/>
          <w:highlight w:val="yellow"/>
        </w:rPr>
        <w:t xml:space="preserve">, A., </w:t>
      </w:r>
      <w:proofErr w:type="spellStart"/>
      <w:r w:rsidRPr="00CD7EEB">
        <w:rPr>
          <w:rFonts w:ascii="Arial" w:hAnsi="Arial" w:cs="Arial"/>
          <w:sz w:val="28"/>
          <w:szCs w:val="28"/>
          <w:highlight w:val="yellow"/>
        </w:rPr>
        <w:t>Svasti</w:t>
      </w:r>
      <w:proofErr w:type="spellEnd"/>
      <w:r w:rsidRPr="00CD7EEB">
        <w:rPr>
          <w:rFonts w:ascii="Arial" w:hAnsi="Arial" w:cs="Arial"/>
          <w:sz w:val="28"/>
          <w:szCs w:val="28"/>
          <w:highlight w:val="yellow"/>
        </w:rPr>
        <w:t xml:space="preserve">, S., </w:t>
      </w:r>
      <w:proofErr w:type="spellStart"/>
      <w:r w:rsidRPr="00CD7EEB">
        <w:rPr>
          <w:rFonts w:ascii="Arial" w:hAnsi="Arial" w:cs="Arial"/>
          <w:sz w:val="28"/>
          <w:szCs w:val="28"/>
          <w:highlight w:val="yellow"/>
        </w:rPr>
        <w:t>Fucharoen</w:t>
      </w:r>
      <w:proofErr w:type="spellEnd"/>
      <w:r w:rsidRPr="00CD7EEB">
        <w:rPr>
          <w:rFonts w:ascii="Arial" w:hAnsi="Arial" w:cs="Arial"/>
          <w:sz w:val="28"/>
          <w:szCs w:val="28"/>
          <w:highlight w:val="yellow"/>
        </w:rPr>
        <w:t xml:space="preserve">, S., Porter, J. B., ... &amp; </w:t>
      </w:r>
      <w:proofErr w:type="spellStart"/>
      <w:r w:rsidRPr="00CD7EEB">
        <w:rPr>
          <w:rFonts w:ascii="Arial" w:hAnsi="Arial" w:cs="Arial"/>
          <w:sz w:val="28"/>
          <w:szCs w:val="28"/>
          <w:highlight w:val="yellow"/>
        </w:rPr>
        <w:t>Koonyosying</w:t>
      </w:r>
      <w:proofErr w:type="spellEnd"/>
      <w:r w:rsidRPr="00CD7EEB">
        <w:rPr>
          <w:rFonts w:ascii="Arial" w:hAnsi="Arial" w:cs="Arial"/>
          <w:sz w:val="28"/>
          <w:szCs w:val="28"/>
          <w:highlight w:val="yellow"/>
        </w:rPr>
        <w:t>, P. (2022). Effects of green tea extract treatment on erythropoiesis and iron parameters in iron-overloaded β-thalassemic mice. Frontiers in Physiology, 13, 1053060.</w:t>
      </w:r>
    </w:p>
    <w:p w14:paraId="6B7F0C8F" w14:textId="77777777" w:rsidR="000A1E73" w:rsidRDefault="000A1E73">
      <w:pPr>
        <w:spacing w:line="480" w:lineRule="auto"/>
        <w:jc w:val="both"/>
        <w:rPr>
          <w:rFonts w:ascii="Arial" w:hAnsi="Arial" w:cs="Arial"/>
          <w:sz w:val="28"/>
          <w:szCs w:val="28"/>
        </w:rPr>
      </w:pPr>
    </w:p>
    <w:sectPr w:rsidR="000A1E73">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E6636" w14:textId="77777777" w:rsidR="002D4021" w:rsidRDefault="002D4021" w:rsidP="00727DF2">
      <w:pPr>
        <w:spacing w:after="0" w:line="240" w:lineRule="auto"/>
      </w:pPr>
      <w:r>
        <w:separator/>
      </w:r>
    </w:p>
  </w:endnote>
  <w:endnote w:type="continuationSeparator" w:id="0">
    <w:p w14:paraId="40001C45" w14:textId="77777777" w:rsidR="002D4021" w:rsidRDefault="002D4021" w:rsidP="0072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3D6FA" w14:textId="77777777" w:rsidR="00727DF2" w:rsidRDefault="00727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2250" w14:textId="77777777" w:rsidR="00727DF2" w:rsidRDefault="00727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A8DE" w14:textId="77777777" w:rsidR="00727DF2" w:rsidRDefault="00727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F7864" w14:textId="77777777" w:rsidR="002D4021" w:rsidRDefault="002D4021" w:rsidP="00727DF2">
      <w:pPr>
        <w:spacing w:after="0" w:line="240" w:lineRule="auto"/>
      </w:pPr>
      <w:r>
        <w:separator/>
      </w:r>
    </w:p>
  </w:footnote>
  <w:footnote w:type="continuationSeparator" w:id="0">
    <w:p w14:paraId="710396B5" w14:textId="77777777" w:rsidR="002D4021" w:rsidRDefault="002D4021" w:rsidP="0072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B7DDF" w14:textId="34FCCF2E" w:rsidR="00727DF2" w:rsidRDefault="00000000">
    <w:pPr>
      <w:pStyle w:val="Header"/>
    </w:pPr>
    <w:r>
      <w:rPr>
        <w:noProof/>
      </w:rPr>
      <w:pict w14:anchorId="48DBD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237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BD8E" w14:textId="6694F67F" w:rsidR="00727DF2" w:rsidRDefault="00000000">
    <w:pPr>
      <w:pStyle w:val="Header"/>
    </w:pPr>
    <w:r>
      <w:rPr>
        <w:noProof/>
      </w:rPr>
      <w:pict w14:anchorId="6FF00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237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61DB9" w14:textId="13059719" w:rsidR="00727DF2" w:rsidRDefault="00000000">
    <w:pPr>
      <w:pStyle w:val="Header"/>
    </w:pPr>
    <w:r>
      <w:rPr>
        <w:noProof/>
      </w:rPr>
      <w:pict w14:anchorId="23A88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237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2tjA2sjA0NDC0MLVU0lEKTi0uzszPAykwqgUAYeR0nCwAAAA="/>
  </w:docVars>
  <w:rsids>
    <w:rsidRoot w:val="00AF0309"/>
    <w:rsid w:val="0004211F"/>
    <w:rsid w:val="000436D5"/>
    <w:rsid w:val="00051C22"/>
    <w:rsid w:val="00052339"/>
    <w:rsid w:val="00055195"/>
    <w:rsid w:val="00057641"/>
    <w:rsid w:val="00060709"/>
    <w:rsid w:val="00060AA0"/>
    <w:rsid w:val="0008544F"/>
    <w:rsid w:val="000A1E73"/>
    <w:rsid w:val="000B688D"/>
    <w:rsid w:val="00123684"/>
    <w:rsid w:val="00153567"/>
    <w:rsid w:val="00162892"/>
    <w:rsid w:val="001B523C"/>
    <w:rsid w:val="001F1E49"/>
    <w:rsid w:val="002748FB"/>
    <w:rsid w:val="002D4021"/>
    <w:rsid w:val="00303D3B"/>
    <w:rsid w:val="003544DB"/>
    <w:rsid w:val="003956E4"/>
    <w:rsid w:val="003A2390"/>
    <w:rsid w:val="004168F5"/>
    <w:rsid w:val="0049535D"/>
    <w:rsid w:val="004C738C"/>
    <w:rsid w:val="004C749F"/>
    <w:rsid w:val="004F619B"/>
    <w:rsid w:val="00517801"/>
    <w:rsid w:val="0058519B"/>
    <w:rsid w:val="00590BD2"/>
    <w:rsid w:val="005A07BB"/>
    <w:rsid w:val="005D655A"/>
    <w:rsid w:val="00604019"/>
    <w:rsid w:val="006A3718"/>
    <w:rsid w:val="006B16F9"/>
    <w:rsid w:val="006C2645"/>
    <w:rsid w:val="006C3A4B"/>
    <w:rsid w:val="006D27E8"/>
    <w:rsid w:val="0070395E"/>
    <w:rsid w:val="00710337"/>
    <w:rsid w:val="00714BB2"/>
    <w:rsid w:val="00727DF2"/>
    <w:rsid w:val="00734B3D"/>
    <w:rsid w:val="00793EAD"/>
    <w:rsid w:val="007A2D43"/>
    <w:rsid w:val="007D0713"/>
    <w:rsid w:val="007E738C"/>
    <w:rsid w:val="007F1F2C"/>
    <w:rsid w:val="008021DB"/>
    <w:rsid w:val="00834DF2"/>
    <w:rsid w:val="008D5E20"/>
    <w:rsid w:val="00902C63"/>
    <w:rsid w:val="00926D25"/>
    <w:rsid w:val="0092755B"/>
    <w:rsid w:val="00956A27"/>
    <w:rsid w:val="009B08FF"/>
    <w:rsid w:val="00A02284"/>
    <w:rsid w:val="00A37A60"/>
    <w:rsid w:val="00AA4E10"/>
    <w:rsid w:val="00AA7F69"/>
    <w:rsid w:val="00AF0309"/>
    <w:rsid w:val="00B40B91"/>
    <w:rsid w:val="00B42E76"/>
    <w:rsid w:val="00B50A56"/>
    <w:rsid w:val="00B65473"/>
    <w:rsid w:val="00B932DB"/>
    <w:rsid w:val="00B950E6"/>
    <w:rsid w:val="00BD135E"/>
    <w:rsid w:val="00BD2A2D"/>
    <w:rsid w:val="00BE7FEF"/>
    <w:rsid w:val="00C22BBD"/>
    <w:rsid w:val="00C50CBA"/>
    <w:rsid w:val="00C819C8"/>
    <w:rsid w:val="00C87FE0"/>
    <w:rsid w:val="00CD7EEB"/>
    <w:rsid w:val="00CE2E75"/>
    <w:rsid w:val="00D64865"/>
    <w:rsid w:val="00D7679F"/>
    <w:rsid w:val="00D96A5C"/>
    <w:rsid w:val="00E33A34"/>
    <w:rsid w:val="00EA2AB3"/>
    <w:rsid w:val="00EA4D3E"/>
    <w:rsid w:val="00EA5AE2"/>
    <w:rsid w:val="00EF1A5E"/>
    <w:rsid w:val="00EF47B7"/>
    <w:rsid w:val="00F65916"/>
    <w:rsid w:val="00FA26D5"/>
    <w:rsid w:val="00FD005A"/>
    <w:rsid w:val="00FD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A4E0"/>
  <w15:docId w15:val="{499B44FB-43A1-47EE-9CEA-381F8B84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A5AE2"/>
    <w:rPr>
      <w:color w:val="0000FF" w:themeColor="hyperlink"/>
      <w:u w:val="single"/>
    </w:rPr>
  </w:style>
  <w:style w:type="character" w:styleId="UnresolvedMention">
    <w:name w:val="Unresolved Mention"/>
    <w:basedOn w:val="DefaultParagraphFont"/>
    <w:uiPriority w:val="99"/>
    <w:semiHidden/>
    <w:unhideWhenUsed/>
    <w:rsid w:val="00EA5AE2"/>
    <w:rPr>
      <w:color w:val="605E5C"/>
      <w:shd w:val="clear" w:color="auto" w:fill="E1DFDD"/>
    </w:rPr>
  </w:style>
  <w:style w:type="paragraph" w:styleId="ListParagraph">
    <w:name w:val="List Paragraph"/>
    <w:basedOn w:val="Normal"/>
    <w:uiPriority w:val="34"/>
    <w:qFormat/>
    <w:rsid w:val="00B40B91"/>
    <w:pPr>
      <w:ind w:left="720"/>
      <w:contextualSpacing/>
    </w:pPr>
  </w:style>
  <w:style w:type="paragraph" w:styleId="Header">
    <w:name w:val="header"/>
    <w:basedOn w:val="Normal"/>
    <w:link w:val="HeaderChar"/>
    <w:uiPriority w:val="99"/>
    <w:unhideWhenUsed/>
    <w:rsid w:val="00727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DF2"/>
  </w:style>
  <w:style w:type="paragraph" w:styleId="Footer">
    <w:name w:val="footer"/>
    <w:basedOn w:val="Normal"/>
    <w:link w:val="FooterChar"/>
    <w:uiPriority w:val="99"/>
    <w:unhideWhenUsed/>
    <w:rsid w:val="00727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DF2"/>
  </w:style>
  <w:style w:type="paragraph" w:styleId="Revision">
    <w:name w:val="Revision"/>
    <w:hidden/>
    <w:uiPriority w:val="99"/>
    <w:semiHidden/>
    <w:rsid w:val="007A2D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9734/ajrimps/2023/v12i321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21</Pages>
  <Words>3387</Words>
  <Characters>19306</Characters>
  <Application>Microsoft Office Word</Application>
  <DocSecurity>0</DocSecurity>
  <Lines>160</Lines>
  <Paragraphs>45</Paragraphs>
  <ScaleCrop>false</ScaleCrop>
  <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dc:creator>
  <cp:lastModifiedBy>Editor-26</cp:lastModifiedBy>
  <cp:revision>113</cp:revision>
  <dcterms:created xsi:type="dcterms:W3CDTF">2021-12-16T14:19:00Z</dcterms:created>
  <dcterms:modified xsi:type="dcterms:W3CDTF">2025-06-02T13:09:00Z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930a3f8852cf491b99b217b4575baab5</vt:lpwstr>
  </property>
</Properties>
</file>