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E902" w14:textId="77777777" w:rsidR="00754C9A" w:rsidRDefault="00754C9A" w:rsidP="00441B6F">
      <w:pPr>
        <w:pStyle w:val="Title"/>
        <w:spacing w:after="0"/>
        <w:jc w:val="both"/>
        <w:rPr>
          <w:rFonts w:ascii="Arial" w:hAnsi="Arial" w:cs="Arial"/>
        </w:rPr>
      </w:pPr>
    </w:p>
    <w:p w14:paraId="28A848FB" w14:textId="0AF5E8AB" w:rsidR="00DB5672" w:rsidRDefault="00DB5672" w:rsidP="00441B6F">
      <w:pPr>
        <w:pStyle w:val="Author"/>
        <w:spacing w:line="240" w:lineRule="auto"/>
        <w:rPr>
          <w:rFonts w:ascii="Arial" w:hAnsi="Arial" w:cs="Arial"/>
          <w:bCs/>
          <w:iCs/>
          <w:kern w:val="28"/>
          <w:sz w:val="36"/>
        </w:rPr>
      </w:pPr>
      <w:r w:rsidRPr="00DB5672">
        <w:rPr>
          <w:rFonts w:ascii="Arial" w:hAnsi="Arial" w:cs="Arial"/>
          <w:bCs/>
          <w:iCs/>
          <w:kern w:val="28"/>
          <w:sz w:val="36"/>
        </w:rPr>
        <w:t>Analysis of Eel (</w:t>
      </w:r>
      <w:r w:rsidR="00377798" w:rsidRPr="00377798">
        <w:rPr>
          <w:rFonts w:ascii="Arial" w:hAnsi="Arial" w:cs="Arial"/>
          <w:bCs/>
          <w:i/>
          <w:iCs/>
          <w:kern w:val="28"/>
          <w:sz w:val="36"/>
        </w:rPr>
        <w:t>Monopterus albus</w:t>
      </w:r>
      <w:r w:rsidRPr="00DB5672">
        <w:rPr>
          <w:rFonts w:ascii="Arial" w:hAnsi="Arial" w:cs="Arial"/>
          <w:bCs/>
          <w:iCs/>
          <w:kern w:val="28"/>
          <w:sz w:val="36"/>
        </w:rPr>
        <w:t>) Export Development Strategy in South Kalimantan Province</w:t>
      </w:r>
    </w:p>
    <w:p w14:paraId="4AC1E0DF" w14:textId="77777777" w:rsidR="002C57D2" w:rsidRDefault="002C57D2" w:rsidP="00441B6F">
      <w:pPr>
        <w:pStyle w:val="Affiliation"/>
        <w:spacing w:after="0" w:line="240" w:lineRule="auto"/>
        <w:jc w:val="both"/>
        <w:rPr>
          <w:rFonts w:ascii="Arial" w:hAnsi="Arial" w:cs="Arial"/>
        </w:rPr>
      </w:pPr>
    </w:p>
    <w:p w14:paraId="088CFBBF" w14:textId="77777777" w:rsidR="004C5D3F" w:rsidRPr="00FB3A86" w:rsidRDefault="004C5D3F" w:rsidP="00441B6F">
      <w:pPr>
        <w:pStyle w:val="Affiliation"/>
        <w:spacing w:after="0" w:line="240" w:lineRule="auto"/>
        <w:jc w:val="both"/>
        <w:rPr>
          <w:rFonts w:ascii="Arial" w:hAnsi="Arial" w:cs="Arial"/>
        </w:rPr>
      </w:pPr>
    </w:p>
    <w:p w14:paraId="0ADCA36E" w14:textId="77777777" w:rsidR="00B01FCD" w:rsidRPr="00FB3A86" w:rsidRDefault="00082A61" w:rsidP="00441B6F">
      <w:pPr>
        <w:pStyle w:val="Copyright"/>
        <w:spacing w:after="0" w:line="240" w:lineRule="auto"/>
        <w:jc w:val="both"/>
        <w:rPr>
          <w:rFonts w:ascii="Arial" w:hAnsi="Arial" w:cs="Arial"/>
        </w:rPr>
        <w:sectPr w:rsidR="00B01FCD" w:rsidRPr="00FB3A86" w:rsidSect="004C5D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B85E58E" wp14:editId="4AC43521">
                <wp:extent cx="5303520" cy="635"/>
                <wp:effectExtent l="13335" t="13335" r="17145" b="15240"/>
                <wp:docPr id="15850567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43C9776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D767353"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F1A9EAA" w14:textId="77777777" w:rsidTr="001E44FE">
        <w:tc>
          <w:tcPr>
            <w:tcW w:w="9576" w:type="dxa"/>
            <w:shd w:val="clear" w:color="auto" w:fill="F2F2F2"/>
          </w:tcPr>
          <w:p w14:paraId="008E5D7A" w14:textId="4E7BBC1C" w:rsidR="00DB5672" w:rsidRPr="00DB5672" w:rsidRDefault="00FC7763" w:rsidP="00DB5672">
            <w:pPr>
              <w:jc w:val="both"/>
              <w:rPr>
                <w:rFonts w:ascii="Arial" w:eastAsia="Calibri" w:hAnsi="Arial" w:cs="Arial"/>
                <w:szCs w:val="22"/>
              </w:rPr>
            </w:pPr>
            <w:r w:rsidRPr="00FC7763">
              <w:rPr>
                <w:rFonts w:ascii="Arial" w:eastAsia="Calibri" w:hAnsi="Arial" w:cs="Arial"/>
                <w:szCs w:val="22"/>
              </w:rPr>
              <w:t>Eel is a freshwater fish that has not yet been optimally utilized in the development of Indonesia's national fisheries sector.</w:t>
            </w:r>
            <w:r w:rsidR="00DB5672" w:rsidRPr="00DB5672">
              <w:rPr>
                <w:rFonts w:ascii="Arial" w:eastAsia="Calibri" w:hAnsi="Arial" w:cs="Arial"/>
                <w:szCs w:val="22"/>
              </w:rPr>
              <w:t>The study aims to analyze the strategy for developing eel exports in South Kalimantan Province. This study was conducted in South Kalimantan Province covering the areas producing eel catches, collectors or suppliers and exporters, namely Hulu Sungai Utara Regency. Data analysis using SWOT analysis. The eel export strategy in South Kalimantan Province</w:t>
            </w:r>
            <w:r w:rsidR="000A4B05">
              <w:rPr>
                <w:rFonts w:ascii="Arial" w:eastAsia="Calibri" w:hAnsi="Arial" w:cs="Arial"/>
                <w:szCs w:val="22"/>
              </w:rPr>
              <w:t>, Indonesia</w:t>
            </w:r>
            <w:r w:rsidR="00DB5672" w:rsidRPr="00DB5672">
              <w:rPr>
                <w:rFonts w:ascii="Arial" w:eastAsia="Calibri" w:hAnsi="Arial" w:cs="Arial"/>
                <w:szCs w:val="22"/>
              </w:rPr>
              <w:t xml:space="preserve">, especially Hulu Sungai Regency, is the largest eel producing area with </w:t>
            </w:r>
            <w:r w:rsidR="00604015">
              <w:rPr>
                <w:rFonts w:ascii="Arial" w:eastAsia="Calibri" w:hAnsi="Arial" w:cs="Arial"/>
                <w:szCs w:val="22"/>
              </w:rPr>
              <w:t xml:space="preserve"> </w:t>
            </w:r>
            <w:r w:rsidR="00604015" w:rsidRPr="002F0774">
              <w:rPr>
                <w:rFonts w:ascii="Arial" w:hAnsi="Arial" w:cs="Arial"/>
              </w:rPr>
              <w:t xml:space="preserve">Commanditaire Vennootschap </w:t>
            </w:r>
            <w:r w:rsidR="00604015">
              <w:rPr>
                <w:rFonts w:ascii="Arial" w:hAnsi="Arial" w:cs="Arial"/>
              </w:rPr>
              <w:t>(</w:t>
            </w:r>
            <w:r w:rsidR="00DB5672" w:rsidRPr="00DB5672">
              <w:rPr>
                <w:rFonts w:ascii="Arial" w:eastAsia="Calibri" w:hAnsi="Arial" w:cs="Arial"/>
                <w:szCs w:val="22"/>
              </w:rPr>
              <w:t>CV</w:t>
            </w:r>
            <w:r w:rsidR="00604015">
              <w:rPr>
                <w:rFonts w:ascii="Arial" w:eastAsia="Calibri" w:hAnsi="Arial" w:cs="Arial"/>
                <w:szCs w:val="22"/>
              </w:rPr>
              <w:t>)</w:t>
            </w:r>
            <w:r w:rsidR="00DB5672" w:rsidRPr="00DB5672">
              <w:rPr>
                <w:rFonts w:ascii="Arial" w:eastAsia="Calibri" w:hAnsi="Arial" w:cs="Arial"/>
                <w:szCs w:val="22"/>
              </w:rPr>
              <w:t>. Tiga A as the sole active exporter that exports live eels to the Chinese market through a distribution chain involving catchers, collectors, suppliers, and exporters. SWOT analysis places CV. Tiga A in Quadrant I (S-O), which reflects the company's solid internal strengths and significant external opportunities. This condition is a strategic foundation for the company to implement an aggressive strategy in developing sustainable live eel exports, so that it has the potential to increase competitiveness and export market growth optimally.</w:t>
            </w:r>
          </w:p>
          <w:p w14:paraId="464AD001" w14:textId="6825A6DC" w:rsidR="00505F06" w:rsidRPr="00BA1B01" w:rsidRDefault="00505F06" w:rsidP="00DB5672">
            <w:pPr>
              <w:pStyle w:val="Body"/>
              <w:spacing w:after="0"/>
              <w:rPr>
                <w:rFonts w:ascii="Arial" w:eastAsia="Calibri" w:hAnsi="Arial" w:cs="Arial"/>
                <w:szCs w:val="22"/>
              </w:rPr>
            </w:pPr>
          </w:p>
        </w:tc>
      </w:tr>
    </w:tbl>
    <w:p w14:paraId="7B45B399" w14:textId="77777777" w:rsidR="00636EB2" w:rsidRDefault="00636EB2" w:rsidP="00441B6F">
      <w:pPr>
        <w:pStyle w:val="Body"/>
        <w:spacing w:after="0"/>
        <w:rPr>
          <w:rFonts w:ascii="Arial" w:hAnsi="Arial" w:cs="Arial"/>
          <w:i/>
        </w:rPr>
      </w:pPr>
    </w:p>
    <w:p w14:paraId="19BF23E7" w14:textId="381C9206" w:rsidR="00790ADA" w:rsidRDefault="0073006B" w:rsidP="00441B6F">
      <w:pPr>
        <w:pStyle w:val="Body"/>
        <w:spacing w:after="0"/>
        <w:rPr>
          <w:rFonts w:ascii="Arial" w:eastAsia="Calibri" w:hAnsi="Arial" w:cs="Arial"/>
          <w:szCs w:val="22"/>
        </w:rPr>
      </w:pPr>
      <w:r w:rsidRPr="00DB5672">
        <w:rPr>
          <w:rFonts w:ascii="Arial" w:eastAsia="Calibri" w:hAnsi="Arial" w:cs="Arial"/>
          <w:szCs w:val="22"/>
        </w:rPr>
        <w:t>Keywords: Eel, Export, Economist, Strategy</w:t>
      </w:r>
    </w:p>
    <w:p w14:paraId="6AF17DA6" w14:textId="77777777" w:rsidR="0073006B" w:rsidRDefault="0073006B" w:rsidP="00441B6F">
      <w:pPr>
        <w:pStyle w:val="Body"/>
        <w:spacing w:after="0"/>
        <w:rPr>
          <w:rFonts w:ascii="Arial" w:hAnsi="Arial" w:cs="Arial"/>
          <w:i/>
        </w:rPr>
      </w:pPr>
    </w:p>
    <w:p w14:paraId="54D1131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9063E9" w14:textId="65FF824C" w:rsidR="008E27B8" w:rsidRPr="008E27B8" w:rsidRDefault="008E27B8" w:rsidP="008E27B8">
      <w:pPr>
        <w:pStyle w:val="Body"/>
        <w:spacing w:after="0"/>
        <w:rPr>
          <w:rFonts w:ascii="Arial" w:hAnsi="Arial" w:cs="Arial"/>
        </w:rPr>
      </w:pPr>
      <w:r w:rsidRPr="008E27B8">
        <w:rPr>
          <w:rFonts w:ascii="Arial" w:hAnsi="Arial" w:cs="Arial"/>
        </w:rPr>
        <w:t>The fisheries sector in Indonesia is an important part of the national food system, with great potential to support food security, increase community income, and contribute to national economic growth. As an archipelagic country with two-thirds of its area covered by seas, Indonesia possesses abundant and diverse fishery resources. This sector is categorized into two major sub-sectors: capture fisheries and aquaculture. In recent decades, aquaculture has shown significant development in marine, brackish, and freshwater environments. One of the promising freshwater commodities is eel (</w:t>
      </w:r>
      <w:r w:rsidR="00377798" w:rsidRPr="00377798">
        <w:rPr>
          <w:rFonts w:ascii="Arial" w:hAnsi="Arial" w:cs="Arial"/>
          <w:i/>
          <w:iCs/>
        </w:rPr>
        <w:t>Monopterus albus</w:t>
      </w:r>
      <w:r w:rsidRPr="008E27B8">
        <w:rPr>
          <w:rFonts w:ascii="Arial" w:hAnsi="Arial" w:cs="Arial"/>
        </w:rPr>
        <w:t>), which, despite its limited domestic consumption, has high economic value and nutritional content (Mugiarto et al., 2021).</w:t>
      </w:r>
    </w:p>
    <w:p w14:paraId="238FCD22" w14:textId="2EB503E6" w:rsidR="008E27B8" w:rsidRPr="008E27B8" w:rsidRDefault="008E27B8" w:rsidP="008E27B8">
      <w:pPr>
        <w:pStyle w:val="Body"/>
        <w:spacing w:after="0"/>
        <w:rPr>
          <w:rFonts w:ascii="Arial" w:hAnsi="Arial" w:cs="Arial"/>
        </w:rPr>
      </w:pPr>
      <w:r w:rsidRPr="008E27B8">
        <w:rPr>
          <w:rFonts w:ascii="Arial" w:hAnsi="Arial" w:cs="Arial"/>
        </w:rPr>
        <w:t>Eel is a freshwater fish that has not yet been optimally utilized in the development of Indonesia’s national fisheries sector. Rich in protein and energy, eel can be consumed either fresh or in processed forms such as dried products. Its high nutritional content positions eel as a potential source of nutritious food that may help meet community nutritional needs and contribute to efforts in preventing malnutrition (Suciati &amp; Hasballah, 2015). However, low consumption rates in Indonesia are mainly due to cultural consumption patterns and lack of public knowledge about its health benefits.</w:t>
      </w:r>
    </w:p>
    <w:p w14:paraId="20FA48AD" w14:textId="71635C07" w:rsidR="008E27B8" w:rsidRPr="008E27B8" w:rsidRDefault="008E27B8" w:rsidP="008E27B8">
      <w:pPr>
        <w:pStyle w:val="Body"/>
        <w:spacing w:after="0"/>
        <w:rPr>
          <w:rFonts w:ascii="Arial" w:hAnsi="Arial" w:cs="Arial"/>
        </w:rPr>
      </w:pPr>
      <w:r w:rsidRPr="008E27B8">
        <w:rPr>
          <w:rFonts w:ascii="Arial" w:hAnsi="Arial" w:cs="Arial"/>
        </w:rPr>
        <w:t>In the global market, eels represent a high-demand export commodity. Countries such as Japan, South Korea, China, Hong Kong, and several European nations show consistently strong demand for eel imports. According to Trubus (2022), Japan alone imports between 130,000–140,000 tons of eel annually, with China as the main supplier. Meanwhile, markets in Korea, Hong Kong, and Singapore also offer considerable export opportunities for Indonesia. These market conditions indicate that eel has a wide-open export potential if supported by sustainable production and consistent supply (Ahsan et al., 2020).</w:t>
      </w:r>
    </w:p>
    <w:p w14:paraId="1BC79912" w14:textId="0BCE71B5" w:rsidR="008E27B8" w:rsidRPr="008E27B8" w:rsidRDefault="008E27B8" w:rsidP="008E27B8">
      <w:pPr>
        <w:pStyle w:val="Body"/>
        <w:spacing w:after="0"/>
        <w:rPr>
          <w:rFonts w:ascii="Arial" w:hAnsi="Arial" w:cs="Arial"/>
        </w:rPr>
      </w:pPr>
      <w:r w:rsidRPr="008E27B8">
        <w:rPr>
          <w:rFonts w:ascii="Arial" w:hAnsi="Arial" w:cs="Arial"/>
        </w:rPr>
        <w:lastRenderedPageBreak/>
        <w:t>Indonesia’s eel export performance in recent years has shown a positive trend. Data from the Central Statistics Agency (BPS) shows that in 2023, the export value of Indonesian eel reached USD 18.9 million, up from USD 15.4 million in the previous year. China was the largest importer, absorbing approximately 62% of the total exports. The appeal of Indonesian eels lies in their superior qualities, including soft texture, unique taste, and balanced fat content. However, to maintain and enhance competitiveness in the international market, Indonesia must comply with strict quality standards and regulations of importing countries while also improving processing facilities and the efficiency of its supply chain (Nova et al., 2020).</w:t>
      </w:r>
    </w:p>
    <w:p w14:paraId="0E4719AB" w14:textId="09ECD54B" w:rsidR="008E27B8" w:rsidRPr="008E27B8" w:rsidRDefault="008E27B8" w:rsidP="008E27B8">
      <w:pPr>
        <w:pStyle w:val="Body"/>
        <w:spacing w:after="0"/>
        <w:rPr>
          <w:rFonts w:ascii="Arial" w:hAnsi="Arial" w:cs="Arial"/>
        </w:rPr>
      </w:pPr>
      <w:r w:rsidRPr="008E27B8">
        <w:rPr>
          <w:rFonts w:ascii="Arial" w:hAnsi="Arial" w:cs="Arial"/>
        </w:rPr>
        <w:t>South Kalimantan is one of the provinces in Indonesia with great potential as a natural eel habitat, thanks to its extensive wetlands such as swamps, rivers, and lakes. Sitompul (2017) reports that the total wetland area in South Kalimantan reaches approximately 1.4 million hectares. Hulu Sungai Utara Regency, which is dominated by swamp waters, has long been known as a source of swamp fish, including eel. The eel commodity in this area plays a vital role in supporting the livelihoods of local communities. However, declining catch rates in recent years highlight the need to address ecological and anthropogenic factors that affect eel populations.</w:t>
      </w:r>
    </w:p>
    <w:p w14:paraId="02CEE594" w14:textId="5DBF5BFC" w:rsidR="008E27B8" w:rsidRPr="008E27B8" w:rsidRDefault="008E27B8" w:rsidP="008E27B8">
      <w:pPr>
        <w:pStyle w:val="Body"/>
        <w:spacing w:after="0"/>
        <w:rPr>
          <w:rFonts w:ascii="Arial" w:hAnsi="Arial" w:cs="Arial"/>
        </w:rPr>
      </w:pPr>
      <w:r w:rsidRPr="008E27B8">
        <w:rPr>
          <w:rFonts w:ascii="Arial" w:hAnsi="Arial" w:cs="Arial"/>
        </w:rPr>
        <w:t>Export opportunities for eels from South Kalimantan began to materialize significantly in 2020, when a direct shipment of 1.55 tons of live eels to China was carried out via Syamsudin Noor International Airport. This marked a strategic first step in introducing South Kalimantan’s eels to the global market. These eels were wild-caught from rice fields and swamp areas in the Hulu Sungai region. Given their high protein content and the strong demand from Asian markets, eels are well-suited for further development through aquaculture initiatives and improvements in post-harvest quality (Riani &amp; Ernawati, 2004).</w:t>
      </w:r>
    </w:p>
    <w:p w14:paraId="7051E139" w14:textId="6E1447FD" w:rsidR="008E27B8" w:rsidRPr="008E27B8" w:rsidRDefault="008E27B8" w:rsidP="008E27B8">
      <w:pPr>
        <w:pStyle w:val="Body"/>
        <w:spacing w:after="0"/>
        <w:rPr>
          <w:rFonts w:ascii="Arial" w:hAnsi="Arial" w:cs="Arial"/>
        </w:rPr>
      </w:pPr>
      <w:r w:rsidRPr="008E27B8">
        <w:rPr>
          <w:rFonts w:ascii="Arial" w:hAnsi="Arial" w:cs="Arial"/>
        </w:rPr>
        <w:t>Eel export data from Commanditaire Vennootschap (CV) Tiga A Banjarmasin—a type of business entity commonly used in Indonesia</w:t>
      </w:r>
      <w:r>
        <w:rPr>
          <w:rFonts w:ascii="Arial" w:hAnsi="Arial" w:cs="Arial"/>
        </w:rPr>
        <w:t xml:space="preserve"> </w:t>
      </w:r>
      <w:r w:rsidRPr="008E27B8">
        <w:rPr>
          <w:rFonts w:ascii="Arial" w:hAnsi="Arial" w:cs="Arial"/>
        </w:rPr>
        <w:t>provides insight into the role of private companies in driving this industry forward. CV Tiga A is the most frequent and consistent eel exporter in South Kalimantan. In 2020, the company exported 4,866 kg of eels. However, there were no exports in 2021, likely due to external factors such as market regulations, importer demand, economic challenges, or the surge in COVID-19 cases at the time. The company resumed exports in 2022 with 1,654 kg, followed by a significant increase to 105,172 kg in 2023. In 2024, total exports rose further to 196,811 kg. This upward trend continued into 2025, with 24,219 kg exported during the January–February period. These data indicate that CV Tiga A Banjarmasin plays an active and growing role in the region’s eel export industry.</w:t>
      </w:r>
    </w:p>
    <w:p w14:paraId="4748D821" w14:textId="1B1AB74A" w:rsidR="00192DF1" w:rsidRDefault="008E27B8" w:rsidP="008E27B8">
      <w:pPr>
        <w:pStyle w:val="Body"/>
        <w:spacing w:after="0"/>
        <w:rPr>
          <w:rFonts w:ascii="Arial" w:hAnsi="Arial" w:cs="Arial"/>
        </w:rPr>
      </w:pPr>
      <w:r w:rsidRPr="008E27B8">
        <w:rPr>
          <w:rFonts w:ascii="Arial" w:hAnsi="Arial" w:cs="Arial"/>
        </w:rPr>
        <w:t>With rising export interest and the abundance of natural resources, South Kalimantan has the potential to become a national center for export-oriented eel production. A comprehensive strategy is needed to support this development—ranging from the management of wetland habitats, capacity-building for fisher groups, institutional strengthening, to the advancement of efficient eel aquaculture technologies. When managed sustainably, eel commodities can improve local livelihoods, increase export earnings, and enhance Indonesia’s competitiveness in the global fisheries market. This study aims to analyze the development strategy for eel exports in South Kalimantan Province.</w:t>
      </w:r>
    </w:p>
    <w:p w14:paraId="0235E95D" w14:textId="77777777" w:rsidR="001135FA" w:rsidRPr="00FB3A86" w:rsidRDefault="001135FA" w:rsidP="008E27B8">
      <w:pPr>
        <w:pStyle w:val="Body"/>
        <w:spacing w:after="0"/>
        <w:rPr>
          <w:rFonts w:ascii="Arial" w:hAnsi="Arial" w:cs="Arial"/>
        </w:rPr>
      </w:pPr>
    </w:p>
    <w:p w14:paraId="28C8655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AE3BB14" w14:textId="77777777" w:rsidR="00790ADA" w:rsidRPr="00FB3A86" w:rsidRDefault="00790ADA" w:rsidP="00441B6F">
      <w:pPr>
        <w:pStyle w:val="AbstHead"/>
        <w:spacing w:after="0"/>
        <w:jc w:val="both"/>
        <w:rPr>
          <w:rFonts w:ascii="Arial" w:hAnsi="Arial" w:cs="Arial"/>
        </w:rPr>
      </w:pPr>
    </w:p>
    <w:p w14:paraId="7F048B92" w14:textId="1A57420E" w:rsidR="009A0B03" w:rsidRDefault="009A0B03" w:rsidP="009A0B03">
      <w:pPr>
        <w:pStyle w:val="Body"/>
        <w:spacing w:after="0"/>
        <w:rPr>
          <w:rFonts w:ascii="Arial" w:hAnsi="Arial" w:cs="Arial"/>
        </w:rPr>
      </w:pPr>
      <w:r w:rsidRPr="009A0B03">
        <w:rPr>
          <w:rFonts w:ascii="Arial" w:hAnsi="Arial" w:cs="Arial"/>
        </w:rPr>
        <w:t>This research was conducted in South Kalimantan Province</w:t>
      </w:r>
      <w:r w:rsidR="000A4B05">
        <w:rPr>
          <w:rFonts w:ascii="Arial" w:hAnsi="Arial" w:cs="Arial"/>
        </w:rPr>
        <w:t>, Indonesia</w:t>
      </w:r>
      <w:r w:rsidRPr="009A0B03">
        <w:rPr>
          <w:rFonts w:ascii="Arial" w:hAnsi="Arial" w:cs="Arial"/>
        </w:rPr>
        <w:t xml:space="preserve"> covering the areas of eel catch producers, collectors or suppliers and exporters. The determination of the research location was done intentionally, using the Purposive sampling method because it considered areas that have high eel production levels, areas that have a network of collectors or suppliers, and companies that export, where all three have a relationship or relationship with eel supplier locations in South Kalimantan Province, namely Hulu Sungai Utara Regency.</w:t>
      </w:r>
    </w:p>
    <w:p w14:paraId="3ABFDB4D" w14:textId="77777777" w:rsidR="00B56548" w:rsidRDefault="00B56548" w:rsidP="009A0B03">
      <w:pPr>
        <w:pStyle w:val="Body"/>
        <w:spacing w:after="0"/>
        <w:rPr>
          <w:rFonts w:ascii="Arial" w:hAnsi="Arial" w:cs="Arial"/>
        </w:rPr>
      </w:pPr>
    </w:p>
    <w:p w14:paraId="50E7C948" w14:textId="77777777" w:rsidR="008E27B8" w:rsidRDefault="008E27B8" w:rsidP="009A0B03">
      <w:pPr>
        <w:pStyle w:val="Body"/>
        <w:spacing w:after="0"/>
        <w:rPr>
          <w:rFonts w:ascii="Arial" w:hAnsi="Arial" w:cs="Arial"/>
        </w:rPr>
      </w:pPr>
    </w:p>
    <w:p w14:paraId="1096B93C" w14:textId="77777777" w:rsidR="008E27B8" w:rsidRDefault="008E27B8" w:rsidP="009A0B03">
      <w:pPr>
        <w:pStyle w:val="Body"/>
        <w:spacing w:after="0"/>
        <w:rPr>
          <w:rFonts w:ascii="Arial" w:hAnsi="Arial" w:cs="Arial"/>
        </w:rPr>
      </w:pPr>
    </w:p>
    <w:p w14:paraId="3E88576F" w14:textId="16FBB50C" w:rsidR="009965F4" w:rsidRPr="009965F4" w:rsidRDefault="009965F4" w:rsidP="009965F4">
      <w:pPr>
        <w:pStyle w:val="Body"/>
        <w:spacing w:after="0"/>
        <w:rPr>
          <w:rFonts w:ascii="Arial" w:hAnsi="Arial" w:cs="Arial"/>
          <w:b/>
          <w:bCs/>
        </w:rPr>
      </w:pPr>
      <w:r w:rsidRPr="009965F4">
        <w:rPr>
          <w:rFonts w:ascii="Arial" w:hAnsi="Arial" w:cs="Arial"/>
          <w:b/>
          <w:bCs/>
        </w:rPr>
        <w:t>Data Analysis</w:t>
      </w:r>
    </w:p>
    <w:p w14:paraId="01116854" w14:textId="622A4570" w:rsidR="009965F4" w:rsidRPr="00E22EC8" w:rsidRDefault="009965F4" w:rsidP="009965F4">
      <w:pPr>
        <w:pStyle w:val="Body"/>
        <w:spacing w:after="0"/>
        <w:rPr>
          <w:rFonts w:ascii="Arial" w:hAnsi="Arial" w:cs="Arial"/>
        </w:rPr>
      </w:pPr>
      <w:r w:rsidRPr="009965F4">
        <w:rPr>
          <w:rFonts w:ascii="Arial" w:hAnsi="Arial" w:cs="Arial"/>
        </w:rPr>
        <w:t>SWOT analysis is used to answer the analysis of eel export business development strategies in South Kalimantan. SWOT analysis is an analysis of the internal and external conditions of an organization which will then be used as a basis for designing strategies and work programs. Internal analysis includes an assessment of strength and weakness factors.</w:t>
      </w:r>
      <w:r w:rsidR="00E22EC8">
        <w:rPr>
          <w:rFonts w:ascii="Arial" w:hAnsi="Arial" w:cs="Arial"/>
        </w:rPr>
        <w:t xml:space="preserve"> E</w:t>
      </w:r>
      <w:r w:rsidRPr="009965F4">
        <w:rPr>
          <w:rFonts w:ascii="Arial" w:hAnsi="Arial" w:cs="Arial"/>
        </w:rPr>
        <w:t>xternal analysis includes opportunity and threat factors.</w:t>
      </w:r>
      <w:r w:rsidR="00E22EC8">
        <w:rPr>
          <w:rFonts w:ascii="Arial" w:hAnsi="Arial" w:cs="Arial"/>
        </w:rPr>
        <w:t xml:space="preserve"> T</w:t>
      </w:r>
      <w:r w:rsidRPr="009965F4">
        <w:rPr>
          <w:rFonts w:ascii="Arial" w:hAnsi="Arial" w:cs="Arial"/>
        </w:rPr>
        <w:t>here are two approaches in SWOT analysis, namely the qualitative approach of the SWOT matrix and the quantitative approach of the SWOT matrix</w:t>
      </w:r>
      <w:r w:rsidR="00E22EC8">
        <w:rPr>
          <w:rFonts w:ascii="Arial" w:hAnsi="Arial" w:cs="Arial"/>
        </w:rPr>
        <w:t xml:space="preserve"> </w:t>
      </w:r>
      <w:r w:rsidR="00E22EC8" w:rsidRPr="009965F4">
        <w:rPr>
          <w:rFonts w:ascii="Arial" w:hAnsi="Arial" w:cs="Arial"/>
        </w:rPr>
        <w:t>(Rangkuti, 2009)</w:t>
      </w:r>
      <w:r w:rsidR="00E22EC8">
        <w:rPr>
          <w:rFonts w:ascii="Arial" w:hAnsi="Arial" w:cs="Arial"/>
        </w:rPr>
        <w:t>.</w:t>
      </w:r>
    </w:p>
    <w:p w14:paraId="1C054F92" w14:textId="0669B292" w:rsidR="0076746A" w:rsidRDefault="009965F4" w:rsidP="009965F4">
      <w:pPr>
        <w:pStyle w:val="Body"/>
        <w:spacing w:after="0"/>
        <w:rPr>
          <w:rFonts w:ascii="Arial" w:hAnsi="Arial" w:cs="Arial"/>
        </w:rPr>
      </w:pPr>
      <w:r w:rsidRPr="009965F4">
        <w:rPr>
          <w:rFonts w:ascii="Arial" w:hAnsi="Arial" w:cs="Arial"/>
        </w:rPr>
        <w:t>The qualitative approach of the SWOT matrix as developed by Kearns displays eight boxes/cells, namely the top two cells are external factor cells (opportunities (O) and challenges (T)), while the left two cells are internal factor cells (strengths (S) and weaknesses (W)). The other four cells are strategic issue cells that arise as a result of the intersection between internal and external factors.</w:t>
      </w:r>
    </w:p>
    <w:p w14:paraId="6454E7B8" w14:textId="77777777" w:rsidR="00377798" w:rsidRPr="00377798" w:rsidRDefault="00377798" w:rsidP="00377798">
      <w:pPr>
        <w:pStyle w:val="Body"/>
        <w:spacing w:after="0"/>
        <w:rPr>
          <w:rFonts w:ascii="Arial" w:hAnsi="Arial" w:cs="Arial"/>
          <w:b/>
          <w:bCs/>
        </w:rPr>
      </w:pPr>
      <w:r w:rsidRPr="00377798">
        <w:rPr>
          <w:rFonts w:ascii="Arial" w:hAnsi="Arial" w:cs="Arial"/>
          <w:b/>
          <w:bCs/>
        </w:rPr>
        <w:t>Determining Factor Weights</w:t>
      </w:r>
    </w:p>
    <w:p w14:paraId="284A75CE" w14:textId="77777777" w:rsidR="00377798" w:rsidRPr="00377798" w:rsidRDefault="00377798" w:rsidP="00377798">
      <w:pPr>
        <w:pStyle w:val="Body"/>
        <w:spacing w:after="0"/>
        <w:rPr>
          <w:rFonts w:ascii="Arial" w:hAnsi="Arial" w:cs="Arial"/>
        </w:rPr>
      </w:pPr>
      <w:r w:rsidRPr="00377798">
        <w:rPr>
          <w:rFonts w:ascii="Arial" w:hAnsi="Arial" w:cs="Arial"/>
        </w:rPr>
        <w:t>The next step in the SWOT analysis is to determine the factor weights, where the steps are as follows:</w:t>
      </w:r>
    </w:p>
    <w:p w14:paraId="4B963242" w14:textId="77777777" w:rsidR="00377798" w:rsidRPr="00377798" w:rsidRDefault="00377798" w:rsidP="00377798">
      <w:pPr>
        <w:pStyle w:val="Body"/>
        <w:numPr>
          <w:ilvl w:val="0"/>
          <w:numId w:val="36"/>
        </w:numPr>
        <w:spacing w:after="0"/>
        <w:rPr>
          <w:rFonts w:ascii="Arial" w:hAnsi="Arial" w:cs="Arial"/>
        </w:rPr>
      </w:pPr>
      <w:r w:rsidRPr="00377798">
        <w:rPr>
          <w:rFonts w:ascii="Arial" w:hAnsi="Arial" w:cs="Arial"/>
        </w:rPr>
        <w:t>The weight of each factor is expressed in decimal form, with a total weight for internal factors of 1.00 and external factors also of 1.00. Weights are given based on the relative importance of each factor to the success of the business, while the rating reflects the level of influence of each factor.</w:t>
      </w:r>
    </w:p>
    <w:p w14:paraId="5C12E052" w14:textId="77777777" w:rsidR="00377798" w:rsidRPr="00377798" w:rsidRDefault="00377798" w:rsidP="00377798">
      <w:pPr>
        <w:pStyle w:val="Body"/>
        <w:numPr>
          <w:ilvl w:val="0"/>
          <w:numId w:val="36"/>
        </w:numPr>
        <w:spacing w:after="0"/>
        <w:rPr>
          <w:rFonts w:ascii="Arial" w:hAnsi="Arial" w:cs="Arial"/>
        </w:rPr>
      </w:pPr>
      <w:r w:rsidRPr="00377798">
        <w:rPr>
          <w:rFonts w:ascii="Arial" w:hAnsi="Arial" w:cs="Arial"/>
        </w:rPr>
        <w:t>Rating of strengths and opportunities: 4 = very strong; 3 = strong; 2 = quite strong; 1 = weak</w:t>
      </w:r>
    </w:p>
    <w:p w14:paraId="5B349B87" w14:textId="77777777" w:rsidR="00377798" w:rsidRPr="00377798" w:rsidRDefault="00377798" w:rsidP="00377798">
      <w:pPr>
        <w:pStyle w:val="Body"/>
        <w:numPr>
          <w:ilvl w:val="0"/>
          <w:numId w:val="36"/>
        </w:numPr>
        <w:spacing w:after="0"/>
        <w:rPr>
          <w:rFonts w:ascii="Arial" w:hAnsi="Arial" w:cs="Arial"/>
        </w:rPr>
      </w:pPr>
      <w:r w:rsidRPr="00377798">
        <w:rPr>
          <w:rFonts w:ascii="Arial" w:hAnsi="Arial" w:cs="Arial"/>
        </w:rPr>
        <w:t>Rating of weaknesses and threats: 1 = very weak; 2 = weak; 3 = quite weak; 4 = strong</w:t>
      </w:r>
    </w:p>
    <w:p w14:paraId="2C69725B" w14:textId="77777777" w:rsidR="00377798" w:rsidRDefault="00377798" w:rsidP="009965F4">
      <w:pPr>
        <w:pStyle w:val="Body"/>
        <w:spacing w:after="0"/>
        <w:rPr>
          <w:rFonts w:ascii="Arial" w:hAnsi="Arial" w:cs="Arial"/>
        </w:rPr>
      </w:pPr>
    </w:p>
    <w:p w14:paraId="1FF430CE" w14:textId="4C5AE88C" w:rsidR="009965F4" w:rsidRDefault="009965F4" w:rsidP="009965F4">
      <w:pPr>
        <w:pStyle w:val="Body"/>
        <w:spacing w:after="0"/>
        <w:rPr>
          <w:rFonts w:ascii="Arial" w:hAnsi="Arial" w:cs="Arial"/>
        </w:rPr>
      </w:pPr>
    </w:p>
    <w:p w14:paraId="32C903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AC94A2" w14:textId="77777777" w:rsidR="00B56548" w:rsidRDefault="00B56548" w:rsidP="00441B6F">
      <w:pPr>
        <w:pStyle w:val="Body"/>
        <w:spacing w:after="0"/>
        <w:rPr>
          <w:rFonts w:ascii="Arial" w:hAnsi="Arial" w:cs="Arial"/>
          <w:b/>
          <w:bCs/>
          <w:sz w:val="22"/>
          <w:szCs w:val="22"/>
        </w:rPr>
      </w:pPr>
    </w:p>
    <w:p w14:paraId="36365BCC" w14:textId="483879FC" w:rsidR="009A636E" w:rsidRPr="009A636E" w:rsidRDefault="00B56548" w:rsidP="00441B6F">
      <w:pPr>
        <w:pStyle w:val="Body"/>
        <w:spacing w:after="0"/>
        <w:rPr>
          <w:rFonts w:ascii="Arial" w:hAnsi="Arial" w:cs="Arial"/>
          <w:b/>
          <w:bCs/>
          <w:sz w:val="22"/>
          <w:szCs w:val="22"/>
        </w:rPr>
      </w:pPr>
      <w:r w:rsidRPr="00B56548">
        <w:rPr>
          <w:rFonts w:ascii="Arial" w:hAnsi="Arial" w:cs="Arial"/>
          <w:b/>
          <w:bCs/>
          <w:sz w:val="22"/>
          <w:szCs w:val="22"/>
        </w:rPr>
        <w:t>Export Strategy Based on SWOT Analysis</w:t>
      </w:r>
      <w:r w:rsidR="009A636E" w:rsidRPr="009A636E">
        <w:rPr>
          <w:rFonts w:ascii="Arial" w:hAnsi="Arial" w:cs="Arial"/>
          <w:b/>
          <w:bCs/>
          <w:sz w:val="22"/>
          <w:szCs w:val="22"/>
        </w:rPr>
        <w:t xml:space="preserve"> </w:t>
      </w:r>
    </w:p>
    <w:p w14:paraId="53A5D128" w14:textId="795EE6E0" w:rsidR="0073006B" w:rsidRDefault="00B56548" w:rsidP="00441B6F">
      <w:pPr>
        <w:pStyle w:val="Body"/>
        <w:spacing w:after="0"/>
        <w:rPr>
          <w:rFonts w:ascii="Arial" w:hAnsi="Arial" w:cs="Arial"/>
        </w:rPr>
      </w:pPr>
      <w:r w:rsidRPr="00B56548">
        <w:rPr>
          <w:rFonts w:ascii="Arial" w:hAnsi="Arial" w:cs="Arial"/>
        </w:rPr>
        <w:t xml:space="preserve">This SWOT analysis will help identify the strengths of </w:t>
      </w:r>
      <w:r w:rsidR="002F0774" w:rsidRPr="002F0774">
        <w:rPr>
          <w:rFonts w:ascii="Arial" w:hAnsi="Arial" w:cs="Arial"/>
        </w:rPr>
        <w:t>Commanditaire Vennootschap</w:t>
      </w:r>
      <w:r w:rsidR="002F0774" w:rsidRPr="00192DF1">
        <w:rPr>
          <w:rFonts w:ascii="Arial" w:hAnsi="Arial" w:cs="Arial"/>
        </w:rPr>
        <w:t xml:space="preserve"> </w:t>
      </w:r>
      <w:r w:rsidR="002F0774">
        <w:rPr>
          <w:rFonts w:ascii="Arial" w:hAnsi="Arial" w:cs="Arial"/>
        </w:rPr>
        <w:t>(</w:t>
      </w:r>
      <w:r w:rsidR="002F0774" w:rsidRPr="00192DF1">
        <w:rPr>
          <w:rFonts w:ascii="Arial" w:hAnsi="Arial" w:cs="Arial"/>
        </w:rPr>
        <w:t>CV</w:t>
      </w:r>
      <w:r w:rsidR="002F0774">
        <w:rPr>
          <w:rFonts w:ascii="Arial" w:hAnsi="Arial" w:cs="Arial"/>
        </w:rPr>
        <w:t>)</w:t>
      </w:r>
      <w:r w:rsidRPr="00B56548">
        <w:rPr>
          <w:rFonts w:ascii="Arial" w:hAnsi="Arial" w:cs="Arial"/>
        </w:rPr>
        <w:t>. Tiga A in facing competition in the international market. The results of the identification and inventory are:</w:t>
      </w:r>
    </w:p>
    <w:p w14:paraId="3B244FEB" w14:textId="77777777" w:rsidR="00B56548" w:rsidRDefault="00B56548" w:rsidP="00441B6F">
      <w:pPr>
        <w:pStyle w:val="Body"/>
        <w:spacing w:after="0"/>
        <w:rPr>
          <w:rFonts w:ascii="Arial" w:hAnsi="Arial" w:cs="Arial"/>
        </w:rPr>
      </w:pPr>
    </w:p>
    <w:p w14:paraId="6830994F" w14:textId="53E92687" w:rsidR="00B56548" w:rsidRPr="00830DE5" w:rsidRDefault="00B56548" w:rsidP="00441B6F">
      <w:pPr>
        <w:pStyle w:val="Body"/>
        <w:spacing w:after="0"/>
        <w:rPr>
          <w:rFonts w:ascii="Arial" w:hAnsi="Arial" w:cs="Arial"/>
          <w:b/>
          <w:bCs/>
          <w:sz w:val="22"/>
          <w:szCs w:val="22"/>
        </w:rPr>
      </w:pPr>
      <w:r w:rsidRPr="00830DE5">
        <w:rPr>
          <w:rFonts w:ascii="Arial" w:hAnsi="Arial" w:cs="Arial"/>
          <w:b/>
          <w:bCs/>
          <w:sz w:val="22"/>
          <w:szCs w:val="22"/>
        </w:rPr>
        <w:t>1. Internal Factors</w:t>
      </w:r>
    </w:p>
    <w:p w14:paraId="3277ED86" w14:textId="04897427" w:rsidR="00B56548" w:rsidRPr="00B56548" w:rsidRDefault="00B56548" w:rsidP="00441B6F">
      <w:pPr>
        <w:pStyle w:val="Body"/>
        <w:spacing w:after="0"/>
        <w:rPr>
          <w:rFonts w:ascii="Arial" w:hAnsi="Arial" w:cs="Arial"/>
          <w:b/>
          <w:bCs/>
        </w:rPr>
      </w:pPr>
      <w:r w:rsidRPr="00B56548">
        <w:rPr>
          <w:rFonts w:ascii="Arial" w:hAnsi="Arial" w:cs="Arial"/>
          <w:b/>
          <w:bCs/>
        </w:rPr>
        <w:t>1) Strengths</w:t>
      </w:r>
    </w:p>
    <w:p w14:paraId="2CA7A08E" w14:textId="5B45D2AE" w:rsidR="00B56548" w:rsidRDefault="002F0774" w:rsidP="0073006B">
      <w:pPr>
        <w:pStyle w:val="Body"/>
        <w:numPr>
          <w:ilvl w:val="0"/>
          <w:numId w:val="44"/>
        </w:numPr>
        <w:spacing w:after="0"/>
        <w:rPr>
          <w:rFonts w:ascii="Arial" w:hAnsi="Arial" w:cs="Arial"/>
        </w:rPr>
      </w:pPr>
      <w:r w:rsidRPr="002F0774">
        <w:rPr>
          <w:rFonts w:ascii="Arial" w:hAnsi="Arial" w:cs="Arial"/>
        </w:rPr>
        <w:t>Commanditaire Vennootschap</w:t>
      </w:r>
      <w:r w:rsidRPr="00192DF1">
        <w:rPr>
          <w:rFonts w:ascii="Arial" w:hAnsi="Arial" w:cs="Arial"/>
        </w:rPr>
        <w:t xml:space="preserve"> </w:t>
      </w:r>
      <w:r>
        <w:rPr>
          <w:rFonts w:ascii="Arial" w:hAnsi="Arial" w:cs="Arial"/>
        </w:rPr>
        <w:t>(</w:t>
      </w:r>
      <w:r w:rsidRPr="00192DF1">
        <w:rPr>
          <w:rFonts w:ascii="Arial" w:hAnsi="Arial" w:cs="Arial"/>
        </w:rPr>
        <w:t>CV</w:t>
      </w:r>
      <w:r>
        <w:rPr>
          <w:rFonts w:ascii="Arial" w:hAnsi="Arial" w:cs="Arial"/>
        </w:rPr>
        <w:t>)</w:t>
      </w:r>
      <w:r w:rsidR="00B56548" w:rsidRPr="00B56548">
        <w:rPr>
          <w:rFonts w:ascii="Arial" w:hAnsi="Arial" w:cs="Arial"/>
        </w:rPr>
        <w:t>. Tiga A has complete export permits and supporting facilities that meet international standards.</w:t>
      </w:r>
    </w:p>
    <w:p w14:paraId="627BCAB8" w14:textId="5FBCF2A9" w:rsidR="00DB2CFD" w:rsidRDefault="00B56548" w:rsidP="0073006B">
      <w:pPr>
        <w:pStyle w:val="Body"/>
        <w:numPr>
          <w:ilvl w:val="0"/>
          <w:numId w:val="44"/>
        </w:numPr>
        <w:spacing w:after="0"/>
        <w:rPr>
          <w:rFonts w:ascii="Arial" w:hAnsi="Arial" w:cs="Arial"/>
        </w:rPr>
      </w:pPr>
      <w:r w:rsidRPr="00B56548">
        <w:rPr>
          <w:rFonts w:ascii="Arial" w:hAnsi="Arial" w:cs="Arial"/>
        </w:rPr>
        <w:t>The company has its own cargo business which supports the effectiveness of export shipments.</w:t>
      </w:r>
    </w:p>
    <w:p w14:paraId="225184DC" w14:textId="6EB6173B" w:rsidR="00B56548" w:rsidRDefault="00830DE5" w:rsidP="0073006B">
      <w:pPr>
        <w:pStyle w:val="Body"/>
        <w:numPr>
          <w:ilvl w:val="0"/>
          <w:numId w:val="44"/>
        </w:numPr>
        <w:spacing w:after="0"/>
        <w:rPr>
          <w:rFonts w:ascii="Arial" w:hAnsi="Arial" w:cs="Arial"/>
        </w:rPr>
      </w:pPr>
      <w:r w:rsidRPr="00830DE5">
        <w:rPr>
          <w:rFonts w:ascii="Arial" w:hAnsi="Arial" w:cs="Arial"/>
        </w:rPr>
        <w:t>Establishing a strong network with collectors and suppliers in Hulu Sungai Utara Regency, the largest eel producing area in South Kalimantan.</w:t>
      </w:r>
    </w:p>
    <w:p w14:paraId="75FABD28" w14:textId="5AA62A78" w:rsidR="00830DE5" w:rsidRDefault="00830DE5" w:rsidP="0073006B">
      <w:pPr>
        <w:pStyle w:val="Body"/>
        <w:numPr>
          <w:ilvl w:val="0"/>
          <w:numId w:val="44"/>
        </w:numPr>
        <w:spacing w:after="0"/>
        <w:rPr>
          <w:rFonts w:ascii="Arial" w:hAnsi="Arial" w:cs="Arial"/>
        </w:rPr>
      </w:pPr>
      <w:r w:rsidRPr="00830DE5">
        <w:rPr>
          <w:rFonts w:ascii="Arial" w:hAnsi="Arial" w:cs="Arial"/>
        </w:rPr>
        <w:t>Good</w:t>
      </w:r>
      <w:r w:rsidR="00E22EC8">
        <w:rPr>
          <w:rFonts w:ascii="Arial" w:hAnsi="Arial" w:cs="Arial"/>
        </w:rPr>
        <w:t xml:space="preserve"> </w:t>
      </w:r>
      <w:r w:rsidRPr="00830DE5">
        <w:rPr>
          <w:rFonts w:ascii="Arial" w:hAnsi="Arial" w:cs="Arial"/>
        </w:rPr>
        <w:t>business relations with overseas buyers and more than five years of export experience.</w:t>
      </w:r>
    </w:p>
    <w:p w14:paraId="592AA07C" w14:textId="7A91DAD1" w:rsidR="00830DE5" w:rsidRDefault="00830DE5" w:rsidP="00441B6F">
      <w:pPr>
        <w:pStyle w:val="Body"/>
        <w:spacing w:after="0"/>
        <w:rPr>
          <w:rFonts w:ascii="Arial" w:hAnsi="Arial" w:cs="Arial"/>
        </w:rPr>
      </w:pPr>
    </w:p>
    <w:p w14:paraId="48846CFA" w14:textId="1C64C7CF" w:rsidR="00830DE5" w:rsidRPr="00830DE5" w:rsidRDefault="00830DE5" w:rsidP="00441B6F">
      <w:pPr>
        <w:pStyle w:val="Body"/>
        <w:spacing w:after="0"/>
        <w:rPr>
          <w:rFonts w:ascii="Arial" w:hAnsi="Arial" w:cs="Arial"/>
          <w:b/>
          <w:bCs/>
        </w:rPr>
      </w:pPr>
      <w:r w:rsidRPr="00830DE5">
        <w:rPr>
          <w:rFonts w:ascii="Arial" w:hAnsi="Arial" w:cs="Arial"/>
          <w:b/>
          <w:bCs/>
        </w:rPr>
        <w:t>2) Weaknesses</w:t>
      </w:r>
    </w:p>
    <w:p w14:paraId="1DAE4B58" w14:textId="46E4A613" w:rsidR="00B56548" w:rsidRDefault="00830DE5" w:rsidP="0073006B">
      <w:pPr>
        <w:pStyle w:val="Body"/>
        <w:numPr>
          <w:ilvl w:val="0"/>
          <w:numId w:val="42"/>
        </w:numPr>
        <w:spacing w:after="0"/>
        <w:rPr>
          <w:rFonts w:ascii="Arial" w:hAnsi="Arial" w:cs="Arial"/>
        </w:rPr>
      </w:pPr>
      <w:r w:rsidRPr="00830DE5">
        <w:rPr>
          <w:rFonts w:ascii="Arial" w:hAnsi="Arial" w:cs="Arial"/>
        </w:rPr>
        <w:t>Dependence on one airline with limited capacity and quota can hinder the increase in shipment volume and delivery schedules.</w:t>
      </w:r>
    </w:p>
    <w:p w14:paraId="4038DF0E" w14:textId="47B4CF54" w:rsidR="00830DE5" w:rsidRDefault="00830DE5" w:rsidP="0073006B">
      <w:pPr>
        <w:pStyle w:val="Body"/>
        <w:numPr>
          <w:ilvl w:val="0"/>
          <w:numId w:val="42"/>
        </w:numPr>
        <w:spacing w:after="0"/>
        <w:rPr>
          <w:rFonts w:ascii="Arial" w:hAnsi="Arial" w:cs="Arial"/>
        </w:rPr>
      </w:pPr>
      <w:r w:rsidRPr="00830DE5">
        <w:rPr>
          <w:rFonts w:ascii="Arial" w:hAnsi="Arial" w:cs="Arial"/>
        </w:rPr>
        <w:t>Export human resources have dual duties with other export commodities.</w:t>
      </w:r>
    </w:p>
    <w:p w14:paraId="56A972B8" w14:textId="7E82B064" w:rsidR="00830DE5" w:rsidRDefault="00830DE5" w:rsidP="0073006B">
      <w:pPr>
        <w:pStyle w:val="Body"/>
        <w:numPr>
          <w:ilvl w:val="0"/>
          <w:numId w:val="42"/>
        </w:numPr>
        <w:spacing w:after="0"/>
        <w:rPr>
          <w:rFonts w:ascii="Arial" w:hAnsi="Arial" w:cs="Arial"/>
        </w:rPr>
      </w:pPr>
      <w:r w:rsidRPr="00830DE5">
        <w:rPr>
          <w:rFonts w:ascii="Arial" w:hAnsi="Arial" w:cs="Arial"/>
        </w:rPr>
        <w:t>The availability of eels is highly dependent on the fishing season in nature.</w:t>
      </w:r>
    </w:p>
    <w:p w14:paraId="0A22E792" w14:textId="76B5D53A" w:rsidR="00830DE5" w:rsidRDefault="00830DE5" w:rsidP="0073006B">
      <w:pPr>
        <w:pStyle w:val="Body"/>
        <w:numPr>
          <w:ilvl w:val="0"/>
          <w:numId w:val="42"/>
        </w:numPr>
        <w:spacing w:after="0"/>
        <w:rPr>
          <w:rFonts w:ascii="Arial" w:hAnsi="Arial" w:cs="Arial"/>
        </w:rPr>
      </w:pPr>
      <w:r w:rsidRPr="00830DE5">
        <w:rPr>
          <w:rFonts w:ascii="Arial" w:hAnsi="Arial" w:cs="Arial"/>
        </w:rPr>
        <w:t>Dependence on one export destination country (China).</w:t>
      </w:r>
    </w:p>
    <w:p w14:paraId="74629C59" w14:textId="46A55FB5" w:rsidR="00830DE5" w:rsidRDefault="00830DE5" w:rsidP="00441B6F">
      <w:pPr>
        <w:pStyle w:val="Body"/>
        <w:spacing w:after="0"/>
        <w:rPr>
          <w:rFonts w:ascii="Arial" w:hAnsi="Arial" w:cs="Arial"/>
        </w:rPr>
      </w:pPr>
    </w:p>
    <w:p w14:paraId="5155734D" w14:textId="7E050DE6" w:rsidR="00830DE5" w:rsidRPr="00830DE5" w:rsidRDefault="00830DE5" w:rsidP="00441B6F">
      <w:pPr>
        <w:pStyle w:val="Body"/>
        <w:spacing w:after="0"/>
        <w:rPr>
          <w:rFonts w:ascii="Arial" w:hAnsi="Arial" w:cs="Arial"/>
          <w:b/>
          <w:bCs/>
          <w:sz w:val="22"/>
          <w:szCs w:val="22"/>
        </w:rPr>
      </w:pPr>
      <w:r w:rsidRPr="00830DE5">
        <w:rPr>
          <w:rFonts w:ascii="Arial" w:hAnsi="Arial" w:cs="Arial"/>
          <w:b/>
          <w:bCs/>
          <w:sz w:val="22"/>
          <w:szCs w:val="22"/>
        </w:rPr>
        <w:t>2. External Factors</w:t>
      </w:r>
    </w:p>
    <w:p w14:paraId="22F33E3F" w14:textId="7679892D" w:rsidR="00830DE5" w:rsidRPr="00830DE5" w:rsidRDefault="00830DE5" w:rsidP="00441B6F">
      <w:pPr>
        <w:pStyle w:val="Body"/>
        <w:spacing w:after="0"/>
        <w:rPr>
          <w:rFonts w:ascii="Arial" w:hAnsi="Arial" w:cs="Arial"/>
          <w:b/>
          <w:bCs/>
        </w:rPr>
      </w:pPr>
      <w:r w:rsidRPr="00830DE5">
        <w:rPr>
          <w:rFonts w:ascii="Arial" w:hAnsi="Arial" w:cs="Arial"/>
          <w:b/>
          <w:bCs/>
        </w:rPr>
        <w:t>1) Opportunities</w:t>
      </w:r>
    </w:p>
    <w:p w14:paraId="2F9085F3" w14:textId="41A5F762" w:rsidR="00830DE5" w:rsidRDefault="00A42EAA" w:rsidP="0073006B">
      <w:pPr>
        <w:pStyle w:val="Body"/>
        <w:numPr>
          <w:ilvl w:val="0"/>
          <w:numId w:val="40"/>
        </w:numPr>
        <w:spacing w:after="0"/>
        <w:rPr>
          <w:rFonts w:ascii="Arial" w:hAnsi="Arial" w:cs="Arial"/>
        </w:rPr>
      </w:pPr>
      <w:r w:rsidRPr="00A42EAA">
        <w:rPr>
          <w:rFonts w:ascii="Arial" w:hAnsi="Arial" w:cs="Arial"/>
        </w:rPr>
        <w:lastRenderedPageBreak/>
        <w:t>Global demand for live eels continues to increase, especially from Japan, Korea, and others.</w:t>
      </w:r>
    </w:p>
    <w:p w14:paraId="57096754" w14:textId="1E642D5E" w:rsidR="00A42EAA" w:rsidRDefault="00A42EAA" w:rsidP="0073006B">
      <w:pPr>
        <w:pStyle w:val="Body"/>
        <w:numPr>
          <w:ilvl w:val="0"/>
          <w:numId w:val="40"/>
        </w:numPr>
        <w:spacing w:after="0"/>
        <w:rPr>
          <w:rFonts w:ascii="Arial" w:hAnsi="Arial" w:cs="Arial"/>
        </w:rPr>
      </w:pPr>
      <w:r w:rsidRPr="00A42EAA">
        <w:rPr>
          <w:rFonts w:ascii="Arial" w:hAnsi="Arial" w:cs="Arial"/>
        </w:rPr>
        <w:t>The potential of eels from other districts in South Kalimantan has not been optimally utilized.</w:t>
      </w:r>
    </w:p>
    <w:p w14:paraId="421CCDDC" w14:textId="042D3FED" w:rsidR="00DB2CFD" w:rsidRDefault="00A42EAA" w:rsidP="0073006B">
      <w:pPr>
        <w:pStyle w:val="Body"/>
        <w:numPr>
          <w:ilvl w:val="0"/>
          <w:numId w:val="40"/>
        </w:numPr>
        <w:spacing w:after="0"/>
        <w:rPr>
          <w:rFonts w:ascii="Arial" w:hAnsi="Arial" w:cs="Arial"/>
        </w:rPr>
      </w:pPr>
      <w:r w:rsidRPr="00A42EAA">
        <w:rPr>
          <w:rFonts w:ascii="Arial" w:hAnsi="Arial" w:cs="Arial"/>
        </w:rPr>
        <w:t>Fluctuations in the dollar index strengthen against the rupiah.</w:t>
      </w:r>
    </w:p>
    <w:p w14:paraId="21A4B0E9" w14:textId="56FA133B" w:rsidR="00A42EAA" w:rsidRDefault="00A42EAA" w:rsidP="0073006B">
      <w:pPr>
        <w:pStyle w:val="Body"/>
        <w:numPr>
          <w:ilvl w:val="0"/>
          <w:numId w:val="40"/>
        </w:numPr>
        <w:spacing w:after="0"/>
        <w:rPr>
          <w:rFonts w:ascii="Arial" w:hAnsi="Arial" w:cs="Arial"/>
        </w:rPr>
      </w:pPr>
      <w:r w:rsidRPr="00A42EAA">
        <w:rPr>
          <w:rFonts w:ascii="Arial" w:hAnsi="Arial" w:cs="Arial"/>
        </w:rPr>
        <w:t>Opportunities for additional shipments from airlines on an incidental basis.</w:t>
      </w:r>
    </w:p>
    <w:p w14:paraId="58F65DEA" w14:textId="64F1A02F" w:rsidR="00A42EAA" w:rsidRDefault="00A42EAA" w:rsidP="00441B6F">
      <w:pPr>
        <w:pStyle w:val="Body"/>
        <w:spacing w:after="0"/>
        <w:rPr>
          <w:rFonts w:ascii="Arial" w:hAnsi="Arial" w:cs="Arial"/>
        </w:rPr>
      </w:pPr>
    </w:p>
    <w:p w14:paraId="249B0B36" w14:textId="3F4EFE29" w:rsidR="00A42EAA" w:rsidRDefault="00A42EAA" w:rsidP="00441B6F">
      <w:pPr>
        <w:pStyle w:val="Body"/>
        <w:spacing w:after="0"/>
        <w:rPr>
          <w:rFonts w:ascii="Arial" w:hAnsi="Arial" w:cs="Arial"/>
          <w:b/>
          <w:bCs/>
        </w:rPr>
      </w:pPr>
      <w:r w:rsidRPr="00A42EAA">
        <w:rPr>
          <w:rFonts w:ascii="Arial" w:hAnsi="Arial" w:cs="Arial"/>
          <w:b/>
          <w:bCs/>
        </w:rPr>
        <w:t>2) Threats</w:t>
      </w:r>
    </w:p>
    <w:p w14:paraId="54794209" w14:textId="294D3E6F" w:rsidR="00A42EAA" w:rsidRDefault="00A42EAA" w:rsidP="0073006B">
      <w:pPr>
        <w:pStyle w:val="Body"/>
        <w:numPr>
          <w:ilvl w:val="0"/>
          <w:numId w:val="38"/>
        </w:numPr>
        <w:spacing w:after="0"/>
        <w:rPr>
          <w:rFonts w:ascii="Arial" w:hAnsi="Arial" w:cs="Arial"/>
        </w:rPr>
      </w:pPr>
      <w:r w:rsidRPr="00A42EAA">
        <w:rPr>
          <w:rFonts w:ascii="Arial" w:hAnsi="Arial" w:cs="Arial"/>
        </w:rPr>
        <w:t>Domestic and international competition.</w:t>
      </w:r>
    </w:p>
    <w:p w14:paraId="6D341A29" w14:textId="113ED907" w:rsidR="00A42EAA" w:rsidRDefault="00A42EAA" w:rsidP="0073006B">
      <w:pPr>
        <w:pStyle w:val="Body"/>
        <w:numPr>
          <w:ilvl w:val="0"/>
          <w:numId w:val="38"/>
        </w:numPr>
        <w:spacing w:after="0"/>
        <w:rPr>
          <w:rFonts w:ascii="Arial" w:hAnsi="Arial" w:cs="Arial"/>
        </w:rPr>
      </w:pPr>
      <w:r w:rsidRPr="00A42EAA">
        <w:rPr>
          <w:rFonts w:ascii="Arial" w:hAnsi="Arial" w:cs="Arial"/>
        </w:rPr>
        <w:t>Changes in export regulations.</w:t>
      </w:r>
    </w:p>
    <w:p w14:paraId="49E372EB" w14:textId="33188E6D" w:rsidR="00A42EAA" w:rsidRDefault="00A42EAA" w:rsidP="0073006B">
      <w:pPr>
        <w:pStyle w:val="Body"/>
        <w:numPr>
          <w:ilvl w:val="0"/>
          <w:numId w:val="38"/>
        </w:numPr>
        <w:spacing w:after="0"/>
        <w:rPr>
          <w:rFonts w:ascii="Arial" w:hAnsi="Arial" w:cs="Arial"/>
        </w:rPr>
      </w:pPr>
      <w:r w:rsidRPr="00A42EAA">
        <w:rPr>
          <w:rFonts w:ascii="Arial" w:hAnsi="Arial" w:cs="Arial"/>
        </w:rPr>
        <w:t>Fluctuations in the dollar index weakening against the rupiah.</w:t>
      </w:r>
    </w:p>
    <w:p w14:paraId="07ADCEFD" w14:textId="501CBDDE" w:rsidR="00A42EAA" w:rsidRDefault="00A42EAA" w:rsidP="0073006B">
      <w:pPr>
        <w:pStyle w:val="Body"/>
        <w:numPr>
          <w:ilvl w:val="0"/>
          <w:numId w:val="38"/>
        </w:numPr>
        <w:spacing w:after="0"/>
        <w:rPr>
          <w:rFonts w:ascii="Arial" w:hAnsi="Arial" w:cs="Arial"/>
        </w:rPr>
      </w:pPr>
      <w:r w:rsidRPr="00A42EAA">
        <w:rPr>
          <w:rFonts w:ascii="Arial" w:hAnsi="Arial" w:cs="Arial"/>
        </w:rPr>
        <w:t>Price fluctuations in foreign markets cause prices to plummet.</w:t>
      </w:r>
    </w:p>
    <w:p w14:paraId="0C50A583" w14:textId="38632EAA" w:rsidR="006A060E" w:rsidRDefault="006A060E" w:rsidP="00441B6F">
      <w:pPr>
        <w:pStyle w:val="Body"/>
        <w:spacing w:after="0"/>
        <w:rPr>
          <w:rFonts w:ascii="Arial" w:hAnsi="Arial" w:cs="Arial"/>
        </w:rPr>
      </w:pPr>
    </w:p>
    <w:p w14:paraId="5001F391" w14:textId="31090C17" w:rsidR="006A060E" w:rsidRDefault="006A060E" w:rsidP="00441B6F">
      <w:pPr>
        <w:pStyle w:val="Body"/>
        <w:spacing w:after="0"/>
        <w:rPr>
          <w:rFonts w:ascii="Arial" w:hAnsi="Arial" w:cs="Arial"/>
        </w:rPr>
      </w:pPr>
      <w:r w:rsidRPr="006A060E">
        <w:rPr>
          <w:rFonts w:ascii="Arial" w:hAnsi="Arial" w:cs="Arial"/>
        </w:rPr>
        <w:t>Table 1. Internal factor matrix of eel export development strategy.</w:t>
      </w:r>
    </w:p>
    <w:tbl>
      <w:tblPr>
        <w:tblW w:w="8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969"/>
        <w:gridCol w:w="1017"/>
        <w:gridCol w:w="990"/>
        <w:gridCol w:w="990"/>
      </w:tblGrid>
      <w:tr w:rsidR="006A060E" w:rsidRPr="006A060E" w14:paraId="14617DA1" w14:textId="77777777" w:rsidTr="00D2593C">
        <w:trPr>
          <w:trHeight w:val="251"/>
        </w:trPr>
        <w:tc>
          <w:tcPr>
            <w:tcW w:w="1134" w:type="dxa"/>
          </w:tcPr>
          <w:p w14:paraId="089CF20D" w14:textId="18788B6A" w:rsidR="006A060E" w:rsidRPr="006A060E" w:rsidRDefault="006A060E" w:rsidP="006A060E">
            <w:pPr>
              <w:widowControl w:val="0"/>
              <w:autoSpaceDE w:val="0"/>
              <w:autoSpaceDN w:val="0"/>
              <w:ind w:left="151" w:right="144"/>
              <w:jc w:val="center"/>
              <w:rPr>
                <w:rFonts w:ascii="Arial" w:hAnsi="Arial" w:cs="Arial"/>
                <w:b/>
                <w:lang w:val="id"/>
              </w:rPr>
            </w:pPr>
            <w:bookmarkStart w:id="0" w:name="_Hlk200827897"/>
            <w:r w:rsidRPr="00D2593C">
              <w:rPr>
                <w:rFonts w:ascii="Arial" w:hAnsi="Arial" w:cs="Arial"/>
                <w:b/>
                <w:lang w:val="id"/>
              </w:rPr>
              <w:t>Code</w:t>
            </w:r>
          </w:p>
        </w:tc>
        <w:tc>
          <w:tcPr>
            <w:tcW w:w="3969" w:type="dxa"/>
          </w:tcPr>
          <w:p w14:paraId="07FE9A9E" w14:textId="2F0881C8" w:rsidR="006A060E" w:rsidRPr="006A060E" w:rsidRDefault="008E30F7" w:rsidP="006A060E">
            <w:pPr>
              <w:widowControl w:val="0"/>
              <w:autoSpaceDE w:val="0"/>
              <w:autoSpaceDN w:val="0"/>
              <w:ind w:left="142" w:right="131"/>
              <w:rPr>
                <w:rFonts w:ascii="Arial" w:hAnsi="Arial" w:cs="Arial"/>
                <w:b/>
                <w:lang w:val="id"/>
              </w:rPr>
            </w:pPr>
            <w:r w:rsidRPr="00D2593C">
              <w:rPr>
                <w:rFonts w:ascii="Arial" w:hAnsi="Arial" w:cs="Arial"/>
                <w:b/>
                <w:lang w:val="id"/>
              </w:rPr>
              <w:t>SWOT Elements</w:t>
            </w:r>
          </w:p>
        </w:tc>
        <w:tc>
          <w:tcPr>
            <w:tcW w:w="1017" w:type="dxa"/>
          </w:tcPr>
          <w:p w14:paraId="4D7E5439" w14:textId="056FEDD8" w:rsidR="006A060E" w:rsidRPr="006A060E" w:rsidRDefault="008E30F7" w:rsidP="008E30F7">
            <w:pPr>
              <w:widowControl w:val="0"/>
              <w:autoSpaceDE w:val="0"/>
              <w:autoSpaceDN w:val="0"/>
              <w:ind w:right="135"/>
              <w:rPr>
                <w:rFonts w:ascii="Arial" w:hAnsi="Arial" w:cs="Arial"/>
                <w:b/>
                <w:lang w:val="id"/>
              </w:rPr>
            </w:pPr>
            <w:r w:rsidRPr="00D2593C">
              <w:rPr>
                <w:rFonts w:ascii="Arial" w:hAnsi="Arial" w:cs="Arial"/>
                <w:b/>
              </w:rPr>
              <w:t xml:space="preserve"> </w:t>
            </w:r>
            <w:r w:rsidRPr="00D2593C">
              <w:rPr>
                <w:rFonts w:ascii="Arial" w:hAnsi="Arial" w:cs="Arial"/>
                <w:b/>
                <w:lang w:val="id"/>
              </w:rPr>
              <w:t>Weight</w:t>
            </w:r>
          </w:p>
        </w:tc>
        <w:tc>
          <w:tcPr>
            <w:tcW w:w="990" w:type="dxa"/>
          </w:tcPr>
          <w:p w14:paraId="0271EAB9" w14:textId="77777777" w:rsidR="006A060E" w:rsidRPr="006A060E" w:rsidRDefault="006A060E" w:rsidP="006A060E">
            <w:pPr>
              <w:widowControl w:val="0"/>
              <w:autoSpaceDE w:val="0"/>
              <w:autoSpaceDN w:val="0"/>
              <w:ind w:left="105" w:right="99"/>
              <w:jc w:val="center"/>
              <w:rPr>
                <w:rFonts w:ascii="Arial" w:hAnsi="Arial" w:cs="Arial"/>
                <w:b/>
                <w:lang w:val="id"/>
              </w:rPr>
            </w:pPr>
            <w:r w:rsidRPr="006A060E">
              <w:rPr>
                <w:rFonts w:ascii="Arial" w:hAnsi="Arial" w:cs="Arial"/>
                <w:b/>
                <w:lang w:val="id"/>
              </w:rPr>
              <w:t>Rating</w:t>
            </w:r>
          </w:p>
        </w:tc>
        <w:tc>
          <w:tcPr>
            <w:tcW w:w="990" w:type="dxa"/>
          </w:tcPr>
          <w:p w14:paraId="674670C7" w14:textId="1962C5A6" w:rsidR="006A060E" w:rsidRPr="006A060E" w:rsidRDefault="008E30F7" w:rsidP="008E30F7">
            <w:pPr>
              <w:widowControl w:val="0"/>
              <w:autoSpaceDE w:val="0"/>
              <w:autoSpaceDN w:val="0"/>
              <w:ind w:right="134"/>
              <w:rPr>
                <w:rFonts w:ascii="Arial" w:hAnsi="Arial" w:cs="Arial"/>
                <w:b/>
                <w:lang w:val="id"/>
              </w:rPr>
            </w:pPr>
            <w:r w:rsidRPr="00D2593C">
              <w:rPr>
                <w:rFonts w:ascii="Arial" w:hAnsi="Arial" w:cs="Arial"/>
                <w:b/>
              </w:rPr>
              <w:t xml:space="preserve">  </w:t>
            </w:r>
            <w:r w:rsidRPr="00D2593C">
              <w:rPr>
                <w:rFonts w:ascii="Arial" w:hAnsi="Arial" w:cs="Arial"/>
                <w:b/>
                <w:lang w:val="id"/>
              </w:rPr>
              <w:t>Score</w:t>
            </w:r>
          </w:p>
        </w:tc>
      </w:tr>
      <w:tr w:rsidR="006A060E" w:rsidRPr="006A060E" w14:paraId="54C59F69" w14:textId="77777777" w:rsidTr="00D2593C">
        <w:trPr>
          <w:trHeight w:val="253"/>
        </w:trPr>
        <w:tc>
          <w:tcPr>
            <w:tcW w:w="1134" w:type="dxa"/>
            <w:vMerge w:val="restart"/>
          </w:tcPr>
          <w:p w14:paraId="7B1D5337" w14:textId="77777777" w:rsidR="006A060E" w:rsidRPr="006A060E" w:rsidRDefault="006A060E" w:rsidP="006A060E">
            <w:pPr>
              <w:widowControl w:val="0"/>
              <w:autoSpaceDE w:val="0"/>
              <w:autoSpaceDN w:val="0"/>
              <w:rPr>
                <w:rFonts w:ascii="Arial" w:hAnsi="Arial" w:cs="Arial"/>
                <w:lang w:val="id"/>
              </w:rPr>
            </w:pPr>
          </w:p>
        </w:tc>
        <w:tc>
          <w:tcPr>
            <w:tcW w:w="6966" w:type="dxa"/>
            <w:gridSpan w:val="4"/>
          </w:tcPr>
          <w:p w14:paraId="2F0E5AFE" w14:textId="77777777" w:rsidR="006A060E" w:rsidRPr="006A060E" w:rsidRDefault="006A060E" w:rsidP="00D2593C">
            <w:pPr>
              <w:widowControl w:val="0"/>
              <w:autoSpaceDE w:val="0"/>
              <w:autoSpaceDN w:val="0"/>
              <w:ind w:left="142" w:right="131"/>
              <w:jc w:val="center"/>
              <w:rPr>
                <w:rFonts w:ascii="Arial" w:hAnsi="Arial" w:cs="Arial"/>
                <w:b/>
                <w:lang w:val="id"/>
              </w:rPr>
            </w:pPr>
            <w:r w:rsidRPr="006A060E">
              <w:rPr>
                <w:rFonts w:ascii="Arial" w:hAnsi="Arial" w:cs="Arial"/>
                <w:b/>
                <w:lang w:val="id"/>
              </w:rPr>
              <w:t>Internal</w:t>
            </w:r>
          </w:p>
        </w:tc>
      </w:tr>
      <w:tr w:rsidR="006A060E" w:rsidRPr="006A060E" w14:paraId="609BBDBE" w14:textId="77777777" w:rsidTr="00D2593C">
        <w:trPr>
          <w:trHeight w:val="251"/>
        </w:trPr>
        <w:tc>
          <w:tcPr>
            <w:tcW w:w="1134" w:type="dxa"/>
            <w:vMerge/>
            <w:tcBorders>
              <w:top w:val="nil"/>
            </w:tcBorders>
          </w:tcPr>
          <w:p w14:paraId="3C815084" w14:textId="77777777" w:rsidR="006A060E" w:rsidRPr="006A060E" w:rsidRDefault="006A060E" w:rsidP="006A060E">
            <w:pPr>
              <w:rPr>
                <w:rFonts w:ascii="Arial" w:eastAsia="Calibri" w:hAnsi="Arial" w:cs="Arial"/>
                <w:kern w:val="2"/>
                <w:lang w:val="id-ID"/>
                <w14:ligatures w14:val="standardContextual"/>
              </w:rPr>
            </w:pPr>
          </w:p>
        </w:tc>
        <w:tc>
          <w:tcPr>
            <w:tcW w:w="3969" w:type="dxa"/>
          </w:tcPr>
          <w:p w14:paraId="47FABBD5" w14:textId="484ABFFC" w:rsidR="006A060E" w:rsidRPr="006A060E" w:rsidRDefault="008E30F7" w:rsidP="006A060E">
            <w:pPr>
              <w:widowControl w:val="0"/>
              <w:autoSpaceDE w:val="0"/>
              <w:autoSpaceDN w:val="0"/>
              <w:ind w:left="142" w:right="131"/>
              <w:rPr>
                <w:rFonts w:ascii="Arial" w:hAnsi="Arial" w:cs="Arial"/>
                <w:b/>
                <w:lang w:val="id"/>
              </w:rPr>
            </w:pPr>
            <w:r w:rsidRPr="00D2593C">
              <w:rPr>
                <w:rFonts w:ascii="Arial" w:hAnsi="Arial" w:cs="Arial"/>
                <w:b/>
                <w:lang w:val="id"/>
              </w:rPr>
              <w:t>Strength</w:t>
            </w:r>
          </w:p>
        </w:tc>
        <w:tc>
          <w:tcPr>
            <w:tcW w:w="1017" w:type="dxa"/>
          </w:tcPr>
          <w:p w14:paraId="7904B916" w14:textId="77777777" w:rsidR="006A060E" w:rsidRPr="006A060E" w:rsidRDefault="006A060E" w:rsidP="006A060E">
            <w:pPr>
              <w:widowControl w:val="0"/>
              <w:autoSpaceDE w:val="0"/>
              <w:autoSpaceDN w:val="0"/>
              <w:rPr>
                <w:rFonts w:ascii="Arial" w:hAnsi="Arial" w:cs="Arial"/>
                <w:lang w:val="id"/>
              </w:rPr>
            </w:pPr>
          </w:p>
        </w:tc>
        <w:tc>
          <w:tcPr>
            <w:tcW w:w="990" w:type="dxa"/>
          </w:tcPr>
          <w:p w14:paraId="453D719C" w14:textId="77777777" w:rsidR="006A060E" w:rsidRPr="006A060E" w:rsidRDefault="006A060E" w:rsidP="006A060E">
            <w:pPr>
              <w:widowControl w:val="0"/>
              <w:autoSpaceDE w:val="0"/>
              <w:autoSpaceDN w:val="0"/>
              <w:rPr>
                <w:rFonts w:ascii="Arial" w:hAnsi="Arial" w:cs="Arial"/>
                <w:lang w:val="id"/>
              </w:rPr>
            </w:pPr>
          </w:p>
        </w:tc>
        <w:tc>
          <w:tcPr>
            <w:tcW w:w="990" w:type="dxa"/>
          </w:tcPr>
          <w:p w14:paraId="613C47CF" w14:textId="77777777" w:rsidR="006A060E" w:rsidRPr="006A060E" w:rsidRDefault="006A060E" w:rsidP="006A060E">
            <w:pPr>
              <w:widowControl w:val="0"/>
              <w:autoSpaceDE w:val="0"/>
              <w:autoSpaceDN w:val="0"/>
              <w:rPr>
                <w:rFonts w:ascii="Arial" w:hAnsi="Arial" w:cs="Arial"/>
                <w:lang w:val="id"/>
              </w:rPr>
            </w:pPr>
          </w:p>
        </w:tc>
      </w:tr>
      <w:tr w:rsidR="006A060E" w:rsidRPr="006A060E" w14:paraId="44F895BC" w14:textId="77777777" w:rsidTr="00D2593C">
        <w:trPr>
          <w:trHeight w:val="323"/>
        </w:trPr>
        <w:tc>
          <w:tcPr>
            <w:tcW w:w="1134" w:type="dxa"/>
          </w:tcPr>
          <w:p w14:paraId="51CB114B"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K1</w:t>
            </w:r>
          </w:p>
        </w:tc>
        <w:tc>
          <w:tcPr>
            <w:tcW w:w="3969" w:type="dxa"/>
          </w:tcPr>
          <w:p w14:paraId="766339F8" w14:textId="6DC85BD1"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Have export permit and complete facilities</w:t>
            </w:r>
          </w:p>
        </w:tc>
        <w:tc>
          <w:tcPr>
            <w:tcW w:w="1017" w:type="dxa"/>
          </w:tcPr>
          <w:p w14:paraId="57B3C31F"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265168FC"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4</w:t>
            </w:r>
          </w:p>
        </w:tc>
        <w:tc>
          <w:tcPr>
            <w:tcW w:w="990" w:type="dxa"/>
          </w:tcPr>
          <w:p w14:paraId="1C355488"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0,60</w:t>
            </w:r>
          </w:p>
        </w:tc>
      </w:tr>
      <w:tr w:rsidR="006A060E" w:rsidRPr="006A060E" w14:paraId="3856EFB3" w14:textId="77777777" w:rsidTr="00D2593C">
        <w:trPr>
          <w:trHeight w:val="215"/>
        </w:trPr>
        <w:tc>
          <w:tcPr>
            <w:tcW w:w="1134" w:type="dxa"/>
          </w:tcPr>
          <w:p w14:paraId="0F952D35"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K2</w:t>
            </w:r>
          </w:p>
        </w:tc>
        <w:tc>
          <w:tcPr>
            <w:tcW w:w="3969" w:type="dxa"/>
          </w:tcPr>
          <w:p w14:paraId="68F410E9" w14:textId="6345D559"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Own cargo business</w:t>
            </w:r>
          </w:p>
        </w:tc>
        <w:tc>
          <w:tcPr>
            <w:tcW w:w="1017" w:type="dxa"/>
          </w:tcPr>
          <w:p w14:paraId="76399F7F"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1BA8B7B6"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3</w:t>
            </w:r>
          </w:p>
        </w:tc>
        <w:tc>
          <w:tcPr>
            <w:tcW w:w="990" w:type="dxa"/>
          </w:tcPr>
          <w:p w14:paraId="329C7C3D"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0,30</w:t>
            </w:r>
          </w:p>
        </w:tc>
      </w:tr>
      <w:tr w:rsidR="006A060E" w:rsidRPr="006A060E" w14:paraId="5B982C6F" w14:textId="77777777" w:rsidTr="00D2593C">
        <w:trPr>
          <w:trHeight w:val="253"/>
        </w:trPr>
        <w:tc>
          <w:tcPr>
            <w:tcW w:w="1134" w:type="dxa"/>
          </w:tcPr>
          <w:p w14:paraId="7A368110"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K3</w:t>
            </w:r>
          </w:p>
        </w:tc>
        <w:tc>
          <w:tcPr>
            <w:tcW w:w="3969" w:type="dxa"/>
          </w:tcPr>
          <w:p w14:paraId="18023741" w14:textId="49AFB1C4"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Strong network with collectors</w:t>
            </w:r>
          </w:p>
        </w:tc>
        <w:tc>
          <w:tcPr>
            <w:tcW w:w="1017" w:type="dxa"/>
          </w:tcPr>
          <w:p w14:paraId="280E7695"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4DE7EDEC"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4</w:t>
            </w:r>
          </w:p>
        </w:tc>
        <w:tc>
          <w:tcPr>
            <w:tcW w:w="990" w:type="dxa"/>
          </w:tcPr>
          <w:p w14:paraId="559F4EA0" w14:textId="77777777" w:rsidR="006A060E" w:rsidRPr="006A060E" w:rsidRDefault="006A060E" w:rsidP="006A060E">
            <w:pPr>
              <w:widowControl w:val="0"/>
              <w:autoSpaceDE w:val="0"/>
              <w:autoSpaceDN w:val="0"/>
              <w:ind w:left="145" w:right="134"/>
              <w:jc w:val="center"/>
              <w:rPr>
                <w:rFonts w:ascii="Arial" w:hAnsi="Arial" w:cs="Arial"/>
                <w:lang w:val="id"/>
              </w:rPr>
            </w:pPr>
            <w:r w:rsidRPr="006A060E">
              <w:rPr>
                <w:rFonts w:ascii="Arial" w:hAnsi="Arial" w:cs="Arial"/>
                <w:lang w:val="id"/>
              </w:rPr>
              <w:t>0,40</w:t>
            </w:r>
          </w:p>
        </w:tc>
      </w:tr>
      <w:tr w:rsidR="006A060E" w:rsidRPr="006A060E" w14:paraId="33A6A0C3" w14:textId="77777777" w:rsidTr="00D2593C">
        <w:trPr>
          <w:trHeight w:val="269"/>
        </w:trPr>
        <w:tc>
          <w:tcPr>
            <w:tcW w:w="1134" w:type="dxa"/>
          </w:tcPr>
          <w:p w14:paraId="77ED9622"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K4</w:t>
            </w:r>
          </w:p>
        </w:tc>
        <w:tc>
          <w:tcPr>
            <w:tcW w:w="3969" w:type="dxa"/>
          </w:tcPr>
          <w:p w14:paraId="70A58132" w14:textId="4C6A2721" w:rsidR="006A060E" w:rsidRPr="006A060E" w:rsidRDefault="008E30F7" w:rsidP="006A060E">
            <w:pPr>
              <w:widowControl w:val="0"/>
              <w:autoSpaceDE w:val="0"/>
              <w:autoSpaceDN w:val="0"/>
              <w:ind w:left="107"/>
              <w:rPr>
                <w:rFonts w:ascii="Arial" w:hAnsi="Arial" w:cs="Arial"/>
                <w:lang w:val="id"/>
              </w:rPr>
            </w:pPr>
            <w:r w:rsidRPr="00D2593C">
              <w:rPr>
                <w:rFonts w:ascii="Arial" w:hAnsi="Arial" w:cs="Arial"/>
                <w:lang w:val="id"/>
              </w:rPr>
              <w:t>Buyer relationship and experience</w:t>
            </w:r>
          </w:p>
        </w:tc>
        <w:tc>
          <w:tcPr>
            <w:tcW w:w="1017" w:type="dxa"/>
          </w:tcPr>
          <w:p w14:paraId="185A5C45"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5D927558"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4</w:t>
            </w:r>
          </w:p>
        </w:tc>
        <w:tc>
          <w:tcPr>
            <w:tcW w:w="990" w:type="dxa"/>
          </w:tcPr>
          <w:p w14:paraId="56AC863C" w14:textId="77777777" w:rsidR="006A060E" w:rsidRPr="006A060E" w:rsidRDefault="006A060E" w:rsidP="006A060E">
            <w:pPr>
              <w:widowControl w:val="0"/>
              <w:autoSpaceDE w:val="0"/>
              <w:autoSpaceDN w:val="0"/>
              <w:ind w:left="145" w:right="134"/>
              <w:jc w:val="center"/>
              <w:rPr>
                <w:rFonts w:ascii="Arial" w:hAnsi="Arial" w:cs="Arial"/>
                <w:lang w:val="id"/>
              </w:rPr>
            </w:pPr>
            <w:r w:rsidRPr="006A060E">
              <w:rPr>
                <w:rFonts w:ascii="Arial" w:hAnsi="Arial" w:cs="Arial"/>
                <w:lang w:val="id"/>
              </w:rPr>
              <w:t>0,60</w:t>
            </w:r>
          </w:p>
        </w:tc>
      </w:tr>
      <w:tr w:rsidR="006A060E" w:rsidRPr="006A060E" w14:paraId="60B13D13" w14:textId="77777777" w:rsidTr="00D2593C">
        <w:trPr>
          <w:trHeight w:val="287"/>
        </w:trPr>
        <w:tc>
          <w:tcPr>
            <w:tcW w:w="1134" w:type="dxa"/>
          </w:tcPr>
          <w:p w14:paraId="1A722113" w14:textId="77777777" w:rsidR="006A060E" w:rsidRPr="006A060E" w:rsidRDefault="006A060E" w:rsidP="006A060E">
            <w:pPr>
              <w:widowControl w:val="0"/>
              <w:autoSpaceDE w:val="0"/>
              <w:autoSpaceDN w:val="0"/>
              <w:rPr>
                <w:rFonts w:ascii="Arial" w:hAnsi="Arial" w:cs="Arial"/>
                <w:lang w:val="id"/>
              </w:rPr>
            </w:pPr>
          </w:p>
        </w:tc>
        <w:tc>
          <w:tcPr>
            <w:tcW w:w="3969" w:type="dxa"/>
          </w:tcPr>
          <w:p w14:paraId="276B8D47" w14:textId="779C68F0" w:rsidR="006A060E" w:rsidRPr="006A060E" w:rsidRDefault="008E30F7" w:rsidP="006A060E">
            <w:pPr>
              <w:widowControl w:val="0"/>
              <w:autoSpaceDE w:val="0"/>
              <w:autoSpaceDN w:val="0"/>
              <w:ind w:right="1864"/>
              <w:jc w:val="center"/>
              <w:rPr>
                <w:rFonts w:ascii="Arial" w:hAnsi="Arial" w:cs="Arial"/>
                <w:b/>
                <w:lang w:val="id"/>
              </w:rPr>
            </w:pPr>
            <w:r w:rsidRPr="00D2593C">
              <w:rPr>
                <w:rFonts w:ascii="Arial" w:hAnsi="Arial" w:cs="Arial"/>
                <w:b/>
                <w:lang w:val="id"/>
              </w:rPr>
              <w:t>Weakness</w:t>
            </w:r>
          </w:p>
        </w:tc>
        <w:tc>
          <w:tcPr>
            <w:tcW w:w="1017" w:type="dxa"/>
          </w:tcPr>
          <w:p w14:paraId="6417992F" w14:textId="77777777" w:rsidR="006A060E" w:rsidRPr="006A060E" w:rsidRDefault="006A060E" w:rsidP="006A060E">
            <w:pPr>
              <w:widowControl w:val="0"/>
              <w:autoSpaceDE w:val="0"/>
              <w:autoSpaceDN w:val="0"/>
              <w:rPr>
                <w:rFonts w:ascii="Arial" w:hAnsi="Arial" w:cs="Arial"/>
                <w:lang w:val="id"/>
              </w:rPr>
            </w:pPr>
          </w:p>
        </w:tc>
        <w:tc>
          <w:tcPr>
            <w:tcW w:w="990" w:type="dxa"/>
          </w:tcPr>
          <w:p w14:paraId="785C8958" w14:textId="77777777" w:rsidR="006A060E" w:rsidRPr="006A060E" w:rsidRDefault="006A060E" w:rsidP="006A060E">
            <w:pPr>
              <w:widowControl w:val="0"/>
              <w:autoSpaceDE w:val="0"/>
              <w:autoSpaceDN w:val="0"/>
              <w:rPr>
                <w:rFonts w:ascii="Arial" w:hAnsi="Arial" w:cs="Arial"/>
                <w:lang w:val="id"/>
              </w:rPr>
            </w:pPr>
          </w:p>
        </w:tc>
        <w:tc>
          <w:tcPr>
            <w:tcW w:w="990" w:type="dxa"/>
          </w:tcPr>
          <w:p w14:paraId="110DFD0B" w14:textId="77777777" w:rsidR="006A060E" w:rsidRPr="006A060E" w:rsidRDefault="006A060E" w:rsidP="006A060E">
            <w:pPr>
              <w:widowControl w:val="0"/>
              <w:autoSpaceDE w:val="0"/>
              <w:autoSpaceDN w:val="0"/>
              <w:rPr>
                <w:rFonts w:ascii="Arial" w:hAnsi="Arial" w:cs="Arial"/>
                <w:lang w:val="id"/>
              </w:rPr>
            </w:pPr>
          </w:p>
        </w:tc>
      </w:tr>
      <w:tr w:rsidR="006A060E" w:rsidRPr="006A060E" w14:paraId="7A2BCAF0" w14:textId="77777777" w:rsidTr="00D2593C">
        <w:trPr>
          <w:trHeight w:val="287"/>
        </w:trPr>
        <w:tc>
          <w:tcPr>
            <w:tcW w:w="1134" w:type="dxa"/>
          </w:tcPr>
          <w:p w14:paraId="0A80F6F2"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L1</w:t>
            </w:r>
          </w:p>
        </w:tc>
        <w:tc>
          <w:tcPr>
            <w:tcW w:w="3969" w:type="dxa"/>
          </w:tcPr>
          <w:p w14:paraId="108E4AC1" w14:textId="3233A6F4" w:rsidR="006A060E" w:rsidRPr="006A060E" w:rsidRDefault="008E30F7" w:rsidP="006A060E">
            <w:pPr>
              <w:widowControl w:val="0"/>
              <w:autoSpaceDE w:val="0"/>
              <w:autoSpaceDN w:val="0"/>
              <w:rPr>
                <w:rFonts w:ascii="Arial" w:hAnsi="Arial" w:cs="Arial"/>
                <w:lang w:val="id"/>
              </w:rPr>
            </w:pPr>
            <w:r w:rsidRPr="00D2593C">
              <w:rPr>
                <w:rFonts w:ascii="Arial" w:eastAsia="Aptos" w:hAnsi="Arial" w:cs="Arial"/>
                <w:lang w:val="id"/>
              </w:rPr>
              <w:t>Only one airline is subscribed</w:t>
            </w:r>
          </w:p>
        </w:tc>
        <w:tc>
          <w:tcPr>
            <w:tcW w:w="1017" w:type="dxa"/>
          </w:tcPr>
          <w:p w14:paraId="3DD6815D"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692DAFEA"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2</w:t>
            </w:r>
          </w:p>
        </w:tc>
        <w:tc>
          <w:tcPr>
            <w:tcW w:w="990" w:type="dxa"/>
          </w:tcPr>
          <w:p w14:paraId="18C289C3"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0,20</w:t>
            </w:r>
          </w:p>
        </w:tc>
      </w:tr>
      <w:tr w:rsidR="006A060E" w:rsidRPr="006A060E" w14:paraId="36432E2F" w14:textId="77777777" w:rsidTr="00D2593C">
        <w:trPr>
          <w:trHeight w:val="260"/>
        </w:trPr>
        <w:tc>
          <w:tcPr>
            <w:tcW w:w="1134" w:type="dxa"/>
          </w:tcPr>
          <w:p w14:paraId="7D1555DD"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L2</w:t>
            </w:r>
          </w:p>
        </w:tc>
        <w:tc>
          <w:tcPr>
            <w:tcW w:w="3969" w:type="dxa"/>
          </w:tcPr>
          <w:p w14:paraId="368C0914" w14:textId="0BCC3534" w:rsidR="006A060E" w:rsidRPr="006A060E" w:rsidRDefault="008E30F7" w:rsidP="006A060E">
            <w:pPr>
              <w:widowControl w:val="0"/>
              <w:autoSpaceDE w:val="0"/>
              <w:autoSpaceDN w:val="0"/>
              <w:rPr>
                <w:rFonts w:ascii="Arial" w:hAnsi="Arial" w:cs="Arial"/>
                <w:lang w:val="id"/>
              </w:rPr>
            </w:pPr>
            <w:r w:rsidRPr="00D2593C">
              <w:rPr>
                <w:rFonts w:ascii="Arial" w:hAnsi="Arial" w:cs="Arial"/>
                <w:lang w:val="id"/>
              </w:rPr>
              <w:t>Export HR dual task</w:t>
            </w:r>
          </w:p>
        </w:tc>
        <w:tc>
          <w:tcPr>
            <w:tcW w:w="1017" w:type="dxa"/>
          </w:tcPr>
          <w:p w14:paraId="35451F9B"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0,10</w:t>
            </w:r>
          </w:p>
        </w:tc>
        <w:tc>
          <w:tcPr>
            <w:tcW w:w="990" w:type="dxa"/>
          </w:tcPr>
          <w:p w14:paraId="37DA40E5"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2</w:t>
            </w:r>
          </w:p>
        </w:tc>
        <w:tc>
          <w:tcPr>
            <w:tcW w:w="990" w:type="dxa"/>
          </w:tcPr>
          <w:p w14:paraId="4AF864E3"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0,20</w:t>
            </w:r>
          </w:p>
        </w:tc>
      </w:tr>
      <w:tr w:rsidR="006A060E" w:rsidRPr="006A060E" w14:paraId="6A53095E" w14:textId="77777777" w:rsidTr="00D2593C">
        <w:trPr>
          <w:trHeight w:val="253"/>
        </w:trPr>
        <w:tc>
          <w:tcPr>
            <w:tcW w:w="1134" w:type="dxa"/>
          </w:tcPr>
          <w:p w14:paraId="4A4F931F"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L3</w:t>
            </w:r>
          </w:p>
        </w:tc>
        <w:tc>
          <w:tcPr>
            <w:tcW w:w="3969" w:type="dxa"/>
          </w:tcPr>
          <w:p w14:paraId="69CBE221" w14:textId="49018EE0" w:rsidR="006A060E" w:rsidRPr="006A060E" w:rsidRDefault="006A0C09" w:rsidP="006A060E">
            <w:pPr>
              <w:widowControl w:val="0"/>
              <w:autoSpaceDE w:val="0"/>
              <w:autoSpaceDN w:val="0"/>
              <w:rPr>
                <w:rFonts w:ascii="Arial" w:hAnsi="Arial" w:cs="Arial"/>
                <w:lang w:val="id"/>
              </w:rPr>
            </w:pPr>
            <w:r w:rsidRPr="00D2593C">
              <w:rPr>
                <w:rFonts w:ascii="Arial" w:hAnsi="Arial" w:cs="Arial"/>
                <w:lang w:val="id"/>
              </w:rPr>
              <w:t>Availability depends on season</w:t>
            </w:r>
          </w:p>
        </w:tc>
        <w:tc>
          <w:tcPr>
            <w:tcW w:w="1017" w:type="dxa"/>
          </w:tcPr>
          <w:p w14:paraId="4DAEEBF9"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4A9F7D15"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3</w:t>
            </w:r>
          </w:p>
        </w:tc>
        <w:tc>
          <w:tcPr>
            <w:tcW w:w="990" w:type="dxa"/>
          </w:tcPr>
          <w:p w14:paraId="638E6F5C"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0,45</w:t>
            </w:r>
          </w:p>
        </w:tc>
      </w:tr>
      <w:tr w:rsidR="006A060E" w:rsidRPr="006A060E" w14:paraId="52C45611" w14:textId="77777777" w:rsidTr="00D2593C">
        <w:trPr>
          <w:trHeight w:val="269"/>
        </w:trPr>
        <w:tc>
          <w:tcPr>
            <w:tcW w:w="1134" w:type="dxa"/>
          </w:tcPr>
          <w:p w14:paraId="0E9B3909" w14:textId="77777777" w:rsidR="006A060E" w:rsidRPr="006A060E" w:rsidRDefault="006A060E" w:rsidP="006A060E">
            <w:pPr>
              <w:widowControl w:val="0"/>
              <w:autoSpaceDE w:val="0"/>
              <w:autoSpaceDN w:val="0"/>
              <w:ind w:left="151" w:right="140"/>
              <w:jc w:val="center"/>
              <w:rPr>
                <w:rFonts w:ascii="Arial" w:hAnsi="Arial" w:cs="Arial"/>
                <w:lang w:val="id"/>
              </w:rPr>
            </w:pPr>
            <w:r w:rsidRPr="006A060E">
              <w:rPr>
                <w:rFonts w:ascii="Arial" w:hAnsi="Arial" w:cs="Arial"/>
                <w:lang w:val="id"/>
              </w:rPr>
              <w:t>L4</w:t>
            </w:r>
          </w:p>
        </w:tc>
        <w:tc>
          <w:tcPr>
            <w:tcW w:w="3969" w:type="dxa"/>
          </w:tcPr>
          <w:p w14:paraId="73E7D898" w14:textId="4FEE4240" w:rsidR="006A060E" w:rsidRPr="006A060E" w:rsidRDefault="006A0C09" w:rsidP="006A060E">
            <w:pPr>
              <w:widowControl w:val="0"/>
              <w:autoSpaceDE w:val="0"/>
              <w:autoSpaceDN w:val="0"/>
              <w:rPr>
                <w:rFonts w:ascii="Arial" w:hAnsi="Arial" w:cs="Arial"/>
                <w:lang w:val="id"/>
              </w:rPr>
            </w:pPr>
            <w:r w:rsidRPr="00D2593C">
              <w:rPr>
                <w:rFonts w:ascii="Arial" w:hAnsi="Arial" w:cs="Arial"/>
                <w:lang w:val="id"/>
              </w:rPr>
              <w:t>Dependence on one destination country</w:t>
            </w:r>
          </w:p>
        </w:tc>
        <w:tc>
          <w:tcPr>
            <w:tcW w:w="1017" w:type="dxa"/>
          </w:tcPr>
          <w:p w14:paraId="206D469E"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0,15</w:t>
            </w:r>
          </w:p>
        </w:tc>
        <w:tc>
          <w:tcPr>
            <w:tcW w:w="990" w:type="dxa"/>
          </w:tcPr>
          <w:p w14:paraId="1B3AD792" w14:textId="77777777" w:rsidR="006A060E" w:rsidRPr="006A060E" w:rsidRDefault="006A060E" w:rsidP="006A060E">
            <w:pPr>
              <w:widowControl w:val="0"/>
              <w:autoSpaceDE w:val="0"/>
              <w:autoSpaceDN w:val="0"/>
              <w:ind w:left="6"/>
              <w:jc w:val="center"/>
              <w:rPr>
                <w:rFonts w:ascii="Arial" w:hAnsi="Arial" w:cs="Arial"/>
                <w:lang w:val="id"/>
              </w:rPr>
            </w:pPr>
            <w:r w:rsidRPr="006A060E">
              <w:rPr>
                <w:rFonts w:ascii="Arial" w:hAnsi="Arial" w:cs="Arial"/>
                <w:lang w:val="id"/>
              </w:rPr>
              <w:t>3</w:t>
            </w:r>
          </w:p>
        </w:tc>
        <w:tc>
          <w:tcPr>
            <w:tcW w:w="990" w:type="dxa"/>
          </w:tcPr>
          <w:p w14:paraId="3B6CAA0C"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0,45</w:t>
            </w:r>
          </w:p>
        </w:tc>
      </w:tr>
      <w:tr w:rsidR="006A060E" w:rsidRPr="006A060E" w14:paraId="0EB4A0DD" w14:textId="77777777" w:rsidTr="00D2593C">
        <w:trPr>
          <w:trHeight w:val="253"/>
        </w:trPr>
        <w:tc>
          <w:tcPr>
            <w:tcW w:w="5103" w:type="dxa"/>
            <w:gridSpan w:val="2"/>
          </w:tcPr>
          <w:p w14:paraId="51269D7F" w14:textId="77777777" w:rsidR="006A060E" w:rsidRPr="006A060E" w:rsidRDefault="006A060E" w:rsidP="006A060E">
            <w:pPr>
              <w:widowControl w:val="0"/>
              <w:autoSpaceDE w:val="0"/>
              <w:autoSpaceDN w:val="0"/>
              <w:ind w:right="134"/>
              <w:jc w:val="center"/>
              <w:rPr>
                <w:rFonts w:ascii="Arial" w:hAnsi="Arial" w:cs="Arial"/>
                <w:lang w:val="id"/>
              </w:rPr>
            </w:pPr>
            <w:r w:rsidRPr="006A060E">
              <w:rPr>
                <w:rFonts w:ascii="Arial" w:hAnsi="Arial" w:cs="Arial"/>
                <w:lang w:val="id"/>
              </w:rPr>
              <w:t>Total</w:t>
            </w:r>
          </w:p>
        </w:tc>
        <w:tc>
          <w:tcPr>
            <w:tcW w:w="1017" w:type="dxa"/>
          </w:tcPr>
          <w:p w14:paraId="5174EA60" w14:textId="77777777" w:rsidR="006A060E" w:rsidRPr="006A060E" w:rsidRDefault="006A060E" w:rsidP="006A060E">
            <w:pPr>
              <w:widowControl w:val="0"/>
              <w:autoSpaceDE w:val="0"/>
              <w:autoSpaceDN w:val="0"/>
              <w:ind w:left="145" w:right="133"/>
              <w:jc w:val="center"/>
              <w:rPr>
                <w:rFonts w:ascii="Arial" w:hAnsi="Arial" w:cs="Arial"/>
                <w:lang w:val="id"/>
              </w:rPr>
            </w:pPr>
            <w:r w:rsidRPr="006A060E">
              <w:rPr>
                <w:rFonts w:ascii="Arial" w:hAnsi="Arial" w:cs="Arial"/>
                <w:lang w:val="id"/>
              </w:rPr>
              <w:t>1,00</w:t>
            </w:r>
          </w:p>
        </w:tc>
        <w:tc>
          <w:tcPr>
            <w:tcW w:w="990" w:type="dxa"/>
          </w:tcPr>
          <w:p w14:paraId="0D504B88" w14:textId="77777777" w:rsidR="006A060E" w:rsidRPr="006A060E" w:rsidRDefault="006A060E" w:rsidP="006A060E">
            <w:pPr>
              <w:widowControl w:val="0"/>
              <w:autoSpaceDE w:val="0"/>
              <w:autoSpaceDN w:val="0"/>
              <w:rPr>
                <w:rFonts w:ascii="Arial" w:hAnsi="Arial" w:cs="Arial"/>
                <w:lang w:val="id"/>
              </w:rPr>
            </w:pPr>
          </w:p>
        </w:tc>
        <w:tc>
          <w:tcPr>
            <w:tcW w:w="990" w:type="dxa"/>
          </w:tcPr>
          <w:p w14:paraId="5C6E4E09" w14:textId="77777777" w:rsidR="006A060E" w:rsidRPr="006A060E" w:rsidRDefault="006A060E" w:rsidP="006A060E">
            <w:pPr>
              <w:widowControl w:val="0"/>
              <w:autoSpaceDE w:val="0"/>
              <w:autoSpaceDN w:val="0"/>
              <w:ind w:left="145" w:right="134"/>
              <w:jc w:val="center"/>
              <w:rPr>
                <w:rFonts w:ascii="Arial" w:hAnsi="Arial" w:cs="Arial"/>
                <w:lang w:val="id"/>
              </w:rPr>
            </w:pPr>
            <w:r w:rsidRPr="006A060E">
              <w:rPr>
                <w:rFonts w:ascii="Arial" w:hAnsi="Arial" w:cs="Arial"/>
                <w:lang w:val="id"/>
              </w:rPr>
              <w:t>3,20</w:t>
            </w:r>
          </w:p>
        </w:tc>
      </w:tr>
      <w:bookmarkEnd w:id="0"/>
    </w:tbl>
    <w:p w14:paraId="4321911E" w14:textId="24E6A209" w:rsidR="006A060E" w:rsidRPr="00D2593C" w:rsidRDefault="006A060E" w:rsidP="00441B6F">
      <w:pPr>
        <w:pStyle w:val="Body"/>
        <w:spacing w:after="0"/>
        <w:rPr>
          <w:rFonts w:ascii="Arial" w:hAnsi="Arial" w:cs="Arial"/>
        </w:rPr>
      </w:pPr>
    </w:p>
    <w:p w14:paraId="3EE2E8D8" w14:textId="77777777" w:rsidR="006A0C09" w:rsidRPr="00D2593C" w:rsidRDefault="006A0C09" w:rsidP="00441B6F">
      <w:pPr>
        <w:pStyle w:val="Body"/>
        <w:spacing w:after="0"/>
        <w:rPr>
          <w:rFonts w:ascii="Arial" w:hAnsi="Arial" w:cs="Arial"/>
        </w:rPr>
      </w:pPr>
    </w:p>
    <w:p w14:paraId="7958839A" w14:textId="59C49CA2" w:rsidR="006A060E" w:rsidRPr="00D2593C" w:rsidRDefault="006A0C09" w:rsidP="00441B6F">
      <w:pPr>
        <w:pStyle w:val="Body"/>
        <w:spacing w:after="0"/>
        <w:rPr>
          <w:rFonts w:ascii="Arial" w:hAnsi="Arial" w:cs="Arial"/>
        </w:rPr>
      </w:pPr>
      <w:r w:rsidRPr="00D2593C">
        <w:rPr>
          <w:rFonts w:ascii="Arial" w:hAnsi="Arial" w:cs="Arial"/>
        </w:rPr>
        <w:t>Table 2. External factor matrix of eel export development strategy.</w:t>
      </w:r>
    </w:p>
    <w:tbl>
      <w:tblPr>
        <w:tblW w:w="79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828"/>
        <w:gridCol w:w="978"/>
        <w:gridCol w:w="995"/>
        <w:gridCol w:w="6"/>
        <w:gridCol w:w="1017"/>
        <w:gridCol w:w="8"/>
      </w:tblGrid>
      <w:tr w:rsidR="006A0C09" w:rsidRPr="006A0C09" w14:paraId="2D780C7B" w14:textId="77777777" w:rsidTr="006A0C09">
        <w:trPr>
          <w:trHeight w:val="251"/>
        </w:trPr>
        <w:tc>
          <w:tcPr>
            <w:tcW w:w="1134" w:type="dxa"/>
          </w:tcPr>
          <w:p w14:paraId="14693E6D" w14:textId="77B80593" w:rsidR="006A0C09" w:rsidRPr="006A0C09" w:rsidRDefault="006A0C09" w:rsidP="006A0C09">
            <w:pPr>
              <w:widowControl w:val="0"/>
              <w:autoSpaceDE w:val="0"/>
              <w:autoSpaceDN w:val="0"/>
              <w:ind w:left="151" w:right="144"/>
              <w:jc w:val="center"/>
              <w:rPr>
                <w:rFonts w:ascii="Arial" w:hAnsi="Arial" w:cs="Arial"/>
                <w:b/>
                <w:lang w:val="id"/>
              </w:rPr>
            </w:pPr>
            <w:r w:rsidRPr="00D2593C">
              <w:rPr>
                <w:rFonts w:ascii="Arial" w:hAnsi="Arial" w:cs="Arial"/>
                <w:b/>
              </w:rPr>
              <w:t>C</w:t>
            </w:r>
            <w:r w:rsidRPr="006A0C09">
              <w:rPr>
                <w:rFonts w:ascii="Arial" w:hAnsi="Arial" w:cs="Arial"/>
                <w:b/>
                <w:lang w:val="id"/>
              </w:rPr>
              <w:t>ode</w:t>
            </w:r>
          </w:p>
        </w:tc>
        <w:tc>
          <w:tcPr>
            <w:tcW w:w="3828" w:type="dxa"/>
          </w:tcPr>
          <w:p w14:paraId="248CA4A8" w14:textId="186BD713" w:rsidR="006A0C09" w:rsidRPr="006A0C09" w:rsidRDefault="006A0C09" w:rsidP="006A0C09">
            <w:pPr>
              <w:widowControl w:val="0"/>
              <w:autoSpaceDE w:val="0"/>
              <w:autoSpaceDN w:val="0"/>
              <w:ind w:left="137"/>
              <w:jc w:val="center"/>
              <w:rPr>
                <w:rFonts w:ascii="Arial" w:hAnsi="Arial" w:cs="Arial"/>
                <w:b/>
                <w:lang w:val="id"/>
              </w:rPr>
            </w:pPr>
            <w:r w:rsidRPr="00D2593C">
              <w:rPr>
                <w:rFonts w:ascii="Arial" w:hAnsi="Arial" w:cs="Arial"/>
                <w:b/>
                <w:lang w:val="id"/>
              </w:rPr>
              <w:t>SWOT Elements</w:t>
            </w:r>
          </w:p>
        </w:tc>
        <w:tc>
          <w:tcPr>
            <w:tcW w:w="978" w:type="dxa"/>
          </w:tcPr>
          <w:p w14:paraId="42957854" w14:textId="4BACF742" w:rsidR="006A0C09" w:rsidRPr="006A0C09" w:rsidRDefault="006A0C09" w:rsidP="006A0C09">
            <w:pPr>
              <w:widowControl w:val="0"/>
              <w:autoSpaceDE w:val="0"/>
              <w:autoSpaceDN w:val="0"/>
              <w:ind w:right="207"/>
              <w:jc w:val="right"/>
              <w:rPr>
                <w:rFonts w:ascii="Arial" w:hAnsi="Arial" w:cs="Arial"/>
                <w:b/>
                <w:lang w:val="id"/>
              </w:rPr>
            </w:pPr>
            <w:r w:rsidRPr="00D2593C">
              <w:rPr>
                <w:rFonts w:ascii="Arial" w:hAnsi="Arial" w:cs="Arial"/>
                <w:b/>
                <w:lang w:val="id"/>
              </w:rPr>
              <w:t>Weig</w:t>
            </w:r>
            <w:r w:rsidRPr="00D2593C">
              <w:rPr>
                <w:rFonts w:ascii="Arial" w:hAnsi="Arial" w:cs="Arial"/>
                <w:b/>
              </w:rPr>
              <w:t>h</w:t>
            </w:r>
            <w:r w:rsidRPr="00D2593C">
              <w:rPr>
                <w:rFonts w:ascii="Arial" w:hAnsi="Arial" w:cs="Arial"/>
                <w:b/>
                <w:lang w:val="id"/>
              </w:rPr>
              <w:t>t</w:t>
            </w:r>
          </w:p>
        </w:tc>
        <w:tc>
          <w:tcPr>
            <w:tcW w:w="1001" w:type="dxa"/>
            <w:gridSpan w:val="2"/>
          </w:tcPr>
          <w:p w14:paraId="7B360A4D" w14:textId="77777777" w:rsidR="006A0C09" w:rsidRPr="006A0C09" w:rsidRDefault="006A0C09" w:rsidP="006A0C09">
            <w:pPr>
              <w:widowControl w:val="0"/>
              <w:autoSpaceDE w:val="0"/>
              <w:autoSpaceDN w:val="0"/>
              <w:ind w:left="89" w:right="206"/>
              <w:jc w:val="center"/>
              <w:rPr>
                <w:rFonts w:ascii="Arial" w:hAnsi="Arial" w:cs="Arial"/>
                <w:b/>
                <w:lang w:val="id"/>
              </w:rPr>
            </w:pPr>
            <w:r w:rsidRPr="006A0C09">
              <w:rPr>
                <w:rFonts w:ascii="Arial" w:hAnsi="Arial" w:cs="Arial"/>
                <w:b/>
                <w:lang w:val="id"/>
              </w:rPr>
              <w:t>Rating</w:t>
            </w:r>
          </w:p>
        </w:tc>
        <w:tc>
          <w:tcPr>
            <w:tcW w:w="1025" w:type="dxa"/>
            <w:gridSpan w:val="2"/>
          </w:tcPr>
          <w:p w14:paraId="6336195E" w14:textId="07352516" w:rsidR="006A0C09" w:rsidRPr="006A0C09" w:rsidRDefault="006A0C09" w:rsidP="006A0C09">
            <w:pPr>
              <w:widowControl w:val="0"/>
              <w:autoSpaceDE w:val="0"/>
              <w:autoSpaceDN w:val="0"/>
              <w:ind w:left="104"/>
              <w:rPr>
                <w:rFonts w:ascii="Arial" w:hAnsi="Arial" w:cs="Arial"/>
                <w:b/>
              </w:rPr>
            </w:pPr>
            <w:r w:rsidRPr="006A0C09">
              <w:rPr>
                <w:rFonts w:ascii="Arial" w:hAnsi="Arial" w:cs="Arial"/>
                <w:b/>
                <w:lang w:val="id"/>
              </w:rPr>
              <w:t>S</w:t>
            </w:r>
            <w:r w:rsidRPr="00D2593C">
              <w:rPr>
                <w:rFonts w:ascii="Arial" w:hAnsi="Arial" w:cs="Arial"/>
                <w:b/>
              </w:rPr>
              <w:t>c</w:t>
            </w:r>
            <w:r w:rsidRPr="006A0C09">
              <w:rPr>
                <w:rFonts w:ascii="Arial" w:hAnsi="Arial" w:cs="Arial"/>
                <w:b/>
                <w:lang w:val="id"/>
              </w:rPr>
              <w:t>or</w:t>
            </w:r>
            <w:r w:rsidRPr="00D2593C">
              <w:rPr>
                <w:rFonts w:ascii="Arial" w:hAnsi="Arial" w:cs="Arial"/>
                <w:b/>
              </w:rPr>
              <w:t>e</w:t>
            </w:r>
          </w:p>
        </w:tc>
      </w:tr>
      <w:tr w:rsidR="006A0C09" w:rsidRPr="006A0C09" w14:paraId="3FC150E5" w14:textId="77777777" w:rsidTr="00EE6ABC">
        <w:trPr>
          <w:trHeight w:val="254"/>
        </w:trPr>
        <w:tc>
          <w:tcPr>
            <w:tcW w:w="1134" w:type="dxa"/>
            <w:vMerge w:val="restart"/>
          </w:tcPr>
          <w:p w14:paraId="7183A2A6" w14:textId="77777777" w:rsidR="006A0C09" w:rsidRPr="006A0C09" w:rsidRDefault="006A0C09" w:rsidP="00D2593C">
            <w:pPr>
              <w:widowControl w:val="0"/>
              <w:autoSpaceDE w:val="0"/>
              <w:autoSpaceDN w:val="0"/>
              <w:ind w:hanging="520"/>
              <w:jc w:val="center"/>
              <w:rPr>
                <w:rFonts w:ascii="Arial" w:hAnsi="Arial" w:cs="Arial"/>
                <w:lang w:val="id"/>
              </w:rPr>
            </w:pPr>
          </w:p>
        </w:tc>
        <w:tc>
          <w:tcPr>
            <w:tcW w:w="6832" w:type="dxa"/>
            <w:gridSpan w:val="6"/>
          </w:tcPr>
          <w:p w14:paraId="62039D95" w14:textId="77777777" w:rsidR="006A0C09" w:rsidRPr="006A0C09" w:rsidRDefault="006A0C09" w:rsidP="006A0C09">
            <w:pPr>
              <w:widowControl w:val="0"/>
              <w:autoSpaceDE w:val="0"/>
              <w:autoSpaceDN w:val="0"/>
              <w:ind w:left="137"/>
              <w:jc w:val="center"/>
              <w:rPr>
                <w:rFonts w:ascii="Arial" w:hAnsi="Arial" w:cs="Arial"/>
                <w:b/>
                <w:lang w:val="id"/>
              </w:rPr>
            </w:pPr>
            <w:r w:rsidRPr="006A0C09">
              <w:rPr>
                <w:rFonts w:ascii="Arial" w:hAnsi="Arial" w:cs="Arial"/>
                <w:b/>
                <w:lang w:val="id"/>
              </w:rPr>
              <w:t>Eksternal</w:t>
            </w:r>
          </w:p>
        </w:tc>
      </w:tr>
      <w:tr w:rsidR="006A0C09" w:rsidRPr="006A0C09" w14:paraId="5CD435F2" w14:textId="77777777" w:rsidTr="006A0C09">
        <w:trPr>
          <w:trHeight w:val="251"/>
        </w:trPr>
        <w:tc>
          <w:tcPr>
            <w:tcW w:w="1134" w:type="dxa"/>
            <w:vMerge/>
            <w:tcBorders>
              <w:top w:val="nil"/>
            </w:tcBorders>
          </w:tcPr>
          <w:p w14:paraId="76492D04" w14:textId="77777777" w:rsidR="006A0C09" w:rsidRPr="006A0C09" w:rsidRDefault="006A0C09" w:rsidP="00D2593C">
            <w:pPr>
              <w:jc w:val="center"/>
              <w:rPr>
                <w:rFonts w:ascii="Arial" w:eastAsia="Calibri" w:hAnsi="Arial" w:cs="Arial"/>
                <w:kern w:val="2"/>
                <w:lang w:val="id-ID"/>
                <w14:ligatures w14:val="standardContextual"/>
              </w:rPr>
            </w:pPr>
          </w:p>
        </w:tc>
        <w:tc>
          <w:tcPr>
            <w:tcW w:w="3828" w:type="dxa"/>
          </w:tcPr>
          <w:p w14:paraId="7050EBC2" w14:textId="1FB37396" w:rsidR="006A0C09" w:rsidRPr="006A0C09" w:rsidRDefault="006A0C09" w:rsidP="006A0C09">
            <w:pPr>
              <w:widowControl w:val="0"/>
              <w:autoSpaceDE w:val="0"/>
              <w:autoSpaceDN w:val="0"/>
              <w:ind w:left="137"/>
              <w:jc w:val="center"/>
              <w:rPr>
                <w:rFonts w:ascii="Arial" w:hAnsi="Arial" w:cs="Arial"/>
                <w:b/>
                <w:lang w:val="id"/>
              </w:rPr>
            </w:pPr>
            <w:r w:rsidRPr="00D2593C">
              <w:rPr>
                <w:rFonts w:ascii="Arial" w:hAnsi="Arial" w:cs="Arial"/>
                <w:b/>
                <w:lang w:val="id"/>
              </w:rPr>
              <w:t>Opportunity</w:t>
            </w:r>
          </w:p>
        </w:tc>
        <w:tc>
          <w:tcPr>
            <w:tcW w:w="978" w:type="dxa"/>
          </w:tcPr>
          <w:p w14:paraId="6B7174AC" w14:textId="77777777" w:rsidR="006A0C09" w:rsidRPr="006A0C09" w:rsidRDefault="006A0C09" w:rsidP="006A0C09">
            <w:pPr>
              <w:widowControl w:val="0"/>
              <w:autoSpaceDE w:val="0"/>
              <w:autoSpaceDN w:val="0"/>
              <w:rPr>
                <w:rFonts w:ascii="Arial" w:hAnsi="Arial" w:cs="Arial"/>
                <w:lang w:val="id"/>
              </w:rPr>
            </w:pPr>
          </w:p>
        </w:tc>
        <w:tc>
          <w:tcPr>
            <w:tcW w:w="1001" w:type="dxa"/>
            <w:gridSpan w:val="2"/>
          </w:tcPr>
          <w:p w14:paraId="7A95ECC8" w14:textId="77777777" w:rsidR="006A0C09" w:rsidRPr="006A0C09" w:rsidRDefault="006A0C09" w:rsidP="006A0C09">
            <w:pPr>
              <w:widowControl w:val="0"/>
              <w:autoSpaceDE w:val="0"/>
              <w:autoSpaceDN w:val="0"/>
              <w:rPr>
                <w:rFonts w:ascii="Arial" w:hAnsi="Arial" w:cs="Arial"/>
                <w:lang w:val="id"/>
              </w:rPr>
            </w:pPr>
          </w:p>
        </w:tc>
        <w:tc>
          <w:tcPr>
            <w:tcW w:w="1025" w:type="dxa"/>
            <w:gridSpan w:val="2"/>
          </w:tcPr>
          <w:p w14:paraId="64A9B010" w14:textId="77777777" w:rsidR="006A0C09" w:rsidRPr="006A0C09" w:rsidRDefault="006A0C09" w:rsidP="006A0C09">
            <w:pPr>
              <w:widowControl w:val="0"/>
              <w:autoSpaceDE w:val="0"/>
              <w:autoSpaceDN w:val="0"/>
              <w:rPr>
                <w:rFonts w:ascii="Arial" w:hAnsi="Arial" w:cs="Arial"/>
                <w:lang w:val="id"/>
              </w:rPr>
            </w:pPr>
          </w:p>
        </w:tc>
      </w:tr>
      <w:tr w:rsidR="006A0C09" w:rsidRPr="006A0C09" w14:paraId="5BD56C87" w14:textId="77777777" w:rsidTr="006A0C09">
        <w:trPr>
          <w:trHeight w:val="253"/>
        </w:trPr>
        <w:tc>
          <w:tcPr>
            <w:tcW w:w="1134" w:type="dxa"/>
          </w:tcPr>
          <w:p w14:paraId="5426607A"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P1</w:t>
            </w:r>
          </w:p>
        </w:tc>
        <w:tc>
          <w:tcPr>
            <w:tcW w:w="3828" w:type="dxa"/>
            <w:vAlign w:val="center"/>
          </w:tcPr>
          <w:p w14:paraId="5F5000CF" w14:textId="6DF9C85A" w:rsidR="006A0C09" w:rsidRPr="006A0C09" w:rsidRDefault="006A0C09" w:rsidP="006A0C09">
            <w:pPr>
              <w:widowControl w:val="0"/>
              <w:autoSpaceDE w:val="0"/>
              <w:autoSpaceDN w:val="0"/>
              <w:ind w:left="107"/>
              <w:rPr>
                <w:rFonts w:ascii="Arial" w:hAnsi="Arial" w:cs="Arial"/>
                <w:lang w:val="id"/>
              </w:rPr>
            </w:pPr>
            <w:r w:rsidRPr="00D2593C">
              <w:rPr>
                <w:rFonts w:ascii="Arial" w:hAnsi="Arial" w:cs="Arial"/>
                <w:lang w:val="id"/>
              </w:rPr>
              <w:t>Global demand is increasing</w:t>
            </w:r>
          </w:p>
        </w:tc>
        <w:tc>
          <w:tcPr>
            <w:tcW w:w="978" w:type="dxa"/>
            <w:vAlign w:val="center"/>
          </w:tcPr>
          <w:p w14:paraId="1B3BF2E6"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65E21208"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4</w:t>
            </w:r>
          </w:p>
        </w:tc>
        <w:tc>
          <w:tcPr>
            <w:tcW w:w="1025" w:type="dxa"/>
            <w:gridSpan w:val="2"/>
            <w:vAlign w:val="center"/>
          </w:tcPr>
          <w:p w14:paraId="2CDAAAC1"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0,60</w:t>
            </w:r>
          </w:p>
        </w:tc>
      </w:tr>
      <w:tr w:rsidR="006A0C09" w:rsidRPr="006A0C09" w14:paraId="3C3CD68B" w14:textId="77777777" w:rsidTr="006A0C09">
        <w:trPr>
          <w:trHeight w:val="254"/>
        </w:trPr>
        <w:tc>
          <w:tcPr>
            <w:tcW w:w="1134" w:type="dxa"/>
          </w:tcPr>
          <w:p w14:paraId="25B15CA6"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P2</w:t>
            </w:r>
          </w:p>
        </w:tc>
        <w:tc>
          <w:tcPr>
            <w:tcW w:w="3828" w:type="dxa"/>
            <w:vAlign w:val="center"/>
          </w:tcPr>
          <w:p w14:paraId="203C0B79" w14:textId="3D8DD920" w:rsidR="006A0C09" w:rsidRPr="006A0C09" w:rsidRDefault="00D2593C" w:rsidP="006A0C09">
            <w:pPr>
              <w:widowControl w:val="0"/>
              <w:autoSpaceDE w:val="0"/>
              <w:autoSpaceDN w:val="0"/>
              <w:ind w:left="107"/>
              <w:rPr>
                <w:rFonts w:ascii="Arial" w:hAnsi="Arial" w:cs="Arial"/>
                <w:lang w:val="id"/>
              </w:rPr>
            </w:pPr>
            <w:r w:rsidRPr="00D2593C">
              <w:rPr>
                <w:rFonts w:ascii="Arial" w:hAnsi="Arial" w:cs="Arial"/>
                <w:lang w:val="id"/>
              </w:rPr>
              <w:t>Eel stock from other areas</w:t>
            </w:r>
          </w:p>
        </w:tc>
        <w:tc>
          <w:tcPr>
            <w:tcW w:w="978" w:type="dxa"/>
            <w:vAlign w:val="center"/>
          </w:tcPr>
          <w:p w14:paraId="3A90D927"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61E78FD9"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0B865A24"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0,30</w:t>
            </w:r>
          </w:p>
        </w:tc>
      </w:tr>
      <w:tr w:rsidR="006A0C09" w:rsidRPr="006A0C09" w14:paraId="431448D3" w14:textId="77777777" w:rsidTr="006A0C09">
        <w:trPr>
          <w:trHeight w:val="242"/>
        </w:trPr>
        <w:tc>
          <w:tcPr>
            <w:tcW w:w="1134" w:type="dxa"/>
          </w:tcPr>
          <w:p w14:paraId="04FF6692"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P3</w:t>
            </w:r>
          </w:p>
        </w:tc>
        <w:tc>
          <w:tcPr>
            <w:tcW w:w="3828" w:type="dxa"/>
            <w:vAlign w:val="center"/>
          </w:tcPr>
          <w:p w14:paraId="550E9ADF" w14:textId="77190C91" w:rsidR="006A0C09" w:rsidRPr="006A0C09" w:rsidRDefault="00D2593C" w:rsidP="006A0C09">
            <w:pPr>
              <w:widowControl w:val="0"/>
              <w:autoSpaceDE w:val="0"/>
              <w:autoSpaceDN w:val="0"/>
              <w:ind w:left="107"/>
              <w:rPr>
                <w:rFonts w:ascii="Arial" w:hAnsi="Arial" w:cs="Arial"/>
                <w:lang w:val="id"/>
              </w:rPr>
            </w:pPr>
            <w:r w:rsidRPr="00D2593C">
              <w:rPr>
                <w:rFonts w:ascii="Arial" w:hAnsi="Arial" w:cs="Arial"/>
                <w:lang w:val="id"/>
              </w:rPr>
              <w:t>Dollar index fluctuations strengthen</w:t>
            </w:r>
          </w:p>
        </w:tc>
        <w:tc>
          <w:tcPr>
            <w:tcW w:w="978" w:type="dxa"/>
            <w:vAlign w:val="center"/>
          </w:tcPr>
          <w:p w14:paraId="2C5840D1"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50BB69AB"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4</w:t>
            </w:r>
          </w:p>
        </w:tc>
        <w:tc>
          <w:tcPr>
            <w:tcW w:w="1025" w:type="dxa"/>
            <w:gridSpan w:val="2"/>
            <w:vAlign w:val="center"/>
          </w:tcPr>
          <w:p w14:paraId="40D1937F"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0,60</w:t>
            </w:r>
          </w:p>
        </w:tc>
      </w:tr>
      <w:tr w:rsidR="006A0C09" w:rsidRPr="006A0C09" w14:paraId="51648272" w14:textId="77777777" w:rsidTr="006A0C09">
        <w:trPr>
          <w:trHeight w:val="242"/>
        </w:trPr>
        <w:tc>
          <w:tcPr>
            <w:tcW w:w="1134" w:type="dxa"/>
          </w:tcPr>
          <w:p w14:paraId="7C3AB0BF" w14:textId="77777777" w:rsidR="006A0C09" w:rsidRPr="006A0C09" w:rsidRDefault="006A0C09" w:rsidP="00D2593C">
            <w:pPr>
              <w:widowControl w:val="0"/>
              <w:autoSpaceDE w:val="0"/>
              <w:autoSpaceDN w:val="0"/>
              <w:jc w:val="center"/>
              <w:rPr>
                <w:rFonts w:ascii="Arial" w:hAnsi="Arial" w:cs="Arial"/>
                <w:lang w:val="id"/>
              </w:rPr>
            </w:pPr>
            <w:r w:rsidRPr="006A0C09">
              <w:rPr>
                <w:rFonts w:ascii="Arial" w:hAnsi="Arial" w:cs="Arial"/>
                <w:lang w:val="id"/>
              </w:rPr>
              <w:t>P4</w:t>
            </w:r>
          </w:p>
        </w:tc>
        <w:tc>
          <w:tcPr>
            <w:tcW w:w="3828" w:type="dxa"/>
            <w:vAlign w:val="center"/>
          </w:tcPr>
          <w:p w14:paraId="729B9761" w14:textId="3A704B40" w:rsidR="006A0C09" w:rsidRPr="006A0C09" w:rsidRDefault="00D2593C" w:rsidP="006A0C09">
            <w:pPr>
              <w:widowControl w:val="0"/>
              <w:autoSpaceDE w:val="0"/>
              <w:autoSpaceDN w:val="0"/>
              <w:ind w:left="107"/>
              <w:rPr>
                <w:rFonts w:ascii="Arial" w:hAnsi="Arial" w:cs="Arial"/>
                <w:lang w:val="id"/>
              </w:rPr>
            </w:pPr>
            <w:r w:rsidRPr="00D2593C">
              <w:rPr>
                <w:rFonts w:ascii="Arial" w:hAnsi="Arial" w:cs="Arial"/>
                <w:lang w:val="id"/>
              </w:rPr>
              <w:t>Other airline opportunities are incidental</w:t>
            </w:r>
          </w:p>
        </w:tc>
        <w:tc>
          <w:tcPr>
            <w:tcW w:w="978" w:type="dxa"/>
            <w:vAlign w:val="center"/>
          </w:tcPr>
          <w:p w14:paraId="560B5827"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0C41AA03"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4E23E066"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0,30</w:t>
            </w:r>
          </w:p>
        </w:tc>
      </w:tr>
      <w:tr w:rsidR="006A0C09" w:rsidRPr="006A0C09" w14:paraId="400A1356" w14:textId="77777777" w:rsidTr="006A0C09">
        <w:trPr>
          <w:trHeight w:val="290"/>
        </w:trPr>
        <w:tc>
          <w:tcPr>
            <w:tcW w:w="1134" w:type="dxa"/>
          </w:tcPr>
          <w:p w14:paraId="17ED1DA4" w14:textId="77777777" w:rsidR="006A0C09" w:rsidRPr="006A0C09" w:rsidRDefault="006A0C09" w:rsidP="00D2593C">
            <w:pPr>
              <w:widowControl w:val="0"/>
              <w:autoSpaceDE w:val="0"/>
              <w:autoSpaceDN w:val="0"/>
              <w:jc w:val="center"/>
              <w:rPr>
                <w:rFonts w:ascii="Arial" w:hAnsi="Arial" w:cs="Arial"/>
                <w:lang w:val="id"/>
              </w:rPr>
            </w:pPr>
          </w:p>
        </w:tc>
        <w:tc>
          <w:tcPr>
            <w:tcW w:w="3828" w:type="dxa"/>
          </w:tcPr>
          <w:p w14:paraId="7E96E854" w14:textId="50C67CBD" w:rsidR="006A0C09" w:rsidRPr="006A0C09" w:rsidRDefault="00D2593C" w:rsidP="006A0C09">
            <w:pPr>
              <w:widowControl w:val="0"/>
              <w:autoSpaceDE w:val="0"/>
              <w:autoSpaceDN w:val="0"/>
              <w:jc w:val="center"/>
              <w:rPr>
                <w:rFonts w:ascii="Arial" w:hAnsi="Arial" w:cs="Arial"/>
                <w:b/>
                <w:lang w:val="id"/>
              </w:rPr>
            </w:pPr>
            <w:r w:rsidRPr="00D2593C">
              <w:rPr>
                <w:rFonts w:ascii="Arial" w:hAnsi="Arial" w:cs="Arial"/>
                <w:b/>
                <w:lang w:val="id"/>
              </w:rPr>
              <w:t>Threat</w:t>
            </w:r>
          </w:p>
        </w:tc>
        <w:tc>
          <w:tcPr>
            <w:tcW w:w="978" w:type="dxa"/>
          </w:tcPr>
          <w:p w14:paraId="7E5BD0DA" w14:textId="77777777" w:rsidR="006A0C09" w:rsidRPr="006A0C09" w:rsidRDefault="006A0C09" w:rsidP="006A0C09">
            <w:pPr>
              <w:widowControl w:val="0"/>
              <w:autoSpaceDE w:val="0"/>
              <w:autoSpaceDN w:val="0"/>
              <w:ind w:right="239"/>
              <w:jc w:val="center"/>
              <w:rPr>
                <w:rFonts w:ascii="Arial" w:hAnsi="Arial" w:cs="Arial"/>
                <w:lang w:val="id"/>
              </w:rPr>
            </w:pPr>
          </w:p>
        </w:tc>
        <w:tc>
          <w:tcPr>
            <w:tcW w:w="1001" w:type="dxa"/>
            <w:gridSpan w:val="2"/>
          </w:tcPr>
          <w:p w14:paraId="23684298" w14:textId="77777777" w:rsidR="006A0C09" w:rsidRPr="006A0C09" w:rsidRDefault="006A0C09" w:rsidP="006A0C09">
            <w:pPr>
              <w:widowControl w:val="0"/>
              <w:autoSpaceDE w:val="0"/>
              <w:autoSpaceDN w:val="0"/>
              <w:ind w:right="239"/>
              <w:jc w:val="center"/>
              <w:rPr>
                <w:rFonts w:ascii="Arial" w:hAnsi="Arial" w:cs="Arial"/>
                <w:lang w:val="id"/>
              </w:rPr>
            </w:pPr>
          </w:p>
        </w:tc>
        <w:tc>
          <w:tcPr>
            <w:tcW w:w="1025" w:type="dxa"/>
            <w:gridSpan w:val="2"/>
          </w:tcPr>
          <w:p w14:paraId="71CF7D62" w14:textId="77777777" w:rsidR="006A0C09" w:rsidRPr="006A0C09" w:rsidRDefault="006A0C09" w:rsidP="006A0C09">
            <w:pPr>
              <w:widowControl w:val="0"/>
              <w:autoSpaceDE w:val="0"/>
              <w:autoSpaceDN w:val="0"/>
              <w:ind w:right="239"/>
              <w:jc w:val="center"/>
              <w:rPr>
                <w:rFonts w:ascii="Arial" w:hAnsi="Arial" w:cs="Arial"/>
                <w:lang w:val="id"/>
              </w:rPr>
            </w:pPr>
          </w:p>
        </w:tc>
      </w:tr>
      <w:tr w:rsidR="00D2593C" w:rsidRPr="006A0C09" w14:paraId="23DE8EFA" w14:textId="77777777" w:rsidTr="00381612">
        <w:trPr>
          <w:trHeight w:val="253"/>
        </w:trPr>
        <w:tc>
          <w:tcPr>
            <w:tcW w:w="1134" w:type="dxa"/>
          </w:tcPr>
          <w:p w14:paraId="5D949219"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A1</w:t>
            </w:r>
          </w:p>
        </w:tc>
        <w:tc>
          <w:tcPr>
            <w:tcW w:w="3828" w:type="dxa"/>
          </w:tcPr>
          <w:p w14:paraId="27B5AA57" w14:textId="32C822C5" w:rsidR="00D2593C" w:rsidRPr="006A0C09" w:rsidRDefault="00D2593C" w:rsidP="00D2593C">
            <w:pPr>
              <w:widowControl w:val="0"/>
              <w:autoSpaceDE w:val="0"/>
              <w:autoSpaceDN w:val="0"/>
              <w:rPr>
                <w:rFonts w:ascii="Arial" w:hAnsi="Arial" w:cs="Arial"/>
                <w:lang w:val="id"/>
              </w:rPr>
            </w:pPr>
            <w:r w:rsidRPr="00DC0356">
              <w:t>Domestic and international competition</w:t>
            </w:r>
          </w:p>
        </w:tc>
        <w:tc>
          <w:tcPr>
            <w:tcW w:w="978" w:type="dxa"/>
            <w:vAlign w:val="center"/>
          </w:tcPr>
          <w:p w14:paraId="7F549C99"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6C08A758"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2308CE49"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0,45</w:t>
            </w:r>
          </w:p>
        </w:tc>
      </w:tr>
      <w:tr w:rsidR="00D2593C" w:rsidRPr="006A0C09" w14:paraId="23DC2D45" w14:textId="77777777" w:rsidTr="00381612">
        <w:trPr>
          <w:trHeight w:val="254"/>
        </w:trPr>
        <w:tc>
          <w:tcPr>
            <w:tcW w:w="1134" w:type="dxa"/>
          </w:tcPr>
          <w:p w14:paraId="2C1FD919"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A2</w:t>
            </w:r>
          </w:p>
        </w:tc>
        <w:tc>
          <w:tcPr>
            <w:tcW w:w="3828" w:type="dxa"/>
          </w:tcPr>
          <w:p w14:paraId="5CD86A79" w14:textId="419E1F0A" w:rsidR="00D2593C" w:rsidRPr="006A0C09" w:rsidRDefault="00D2593C" w:rsidP="00D2593C">
            <w:pPr>
              <w:widowControl w:val="0"/>
              <w:autoSpaceDE w:val="0"/>
              <w:autoSpaceDN w:val="0"/>
              <w:rPr>
                <w:rFonts w:ascii="Arial" w:hAnsi="Arial" w:cs="Arial"/>
                <w:lang w:val="id"/>
              </w:rPr>
            </w:pPr>
            <w:r w:rsidRPr="00DC0356">
              <w:t>Regulatory changes</w:t>
            </w:r>
          </w:p>
        </w:tc>
        <w:tc>
          <w:tcPr>
            <w:tcW w:w="978" w:type="dxa"/>
            <w:vAlign w:val="center"/>
          </w:tcPr>
          <w:p w14:paraId="75798E5A"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53571033"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4E1557F5"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0,30</w:t>
            </w:r>
          </w:p>
        </w:tc>
      </w:tr>
      <w:tr w:rsidR="00D2593C" w:rsidRPr="006A0C09" w14:paraId="19B51347" w14:textId="77777777" w:rsidTr="00381612">
        <w:trPr>
          <w:trHeight w:val="251"/>
        </w:trPr>
        <w:tc>
          <w:tcPr>
            <w:tcW w:w="1134" w:type="dxa"/>
          </w:tcPr>
          <w:p w14:paraId="50C16CAF"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A3</w:t>
            </w:r>
          </w:p>
        </w:tc>
        <w:tc>
          <w:tcPr>
            <w:tcW w:w="3828" w:type="dxa"/>
          </w:tcPr>
          <w:p w14:paraId="27734D64" w14:textId="745DD693" w:rsidR="00D2593C" w:rsidRPr="006A0C09" w:rsidRDefault="00D2593C" w:rsidP="00D2593C">
            <w:pPr>
              <w:widowControl w:val="0"/>
              <w:autoSpaceDE w:val="0"/>
              <w:autoSpaceDN w:val="0"/>
              <w:rPr>
                <w:rFonts w:ascii="Arial" w:hAnsi="Arial" w:cs="Arial"/>
                <w:lang w:val="id"/>
              </w:rPr>
            </w:pPr>
            <w:r w:rsidRPr="00DC0356">
              <w:t>Dollar index fluctuations weaken</w:t>
            </w:r>
          </w:p>
        </w:tc>
        <w:tc>
          <w:tcPr>
            <w:tcW w:w="978" w:type="dxa"/>
            <w:vAlign w:val="center"/>
          </w:tcPr>
          <w:p w14:paraId="0D6CCAAD"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0,15</w:t>
            </w:r>
          </w:p>
        </w:tc>
        <w:tc>
          <w:tcPr>
            <w:tcW w:w="1001" w:type="dxa"/>
            <w:gridSpan w:val="2"/>
            <w:vAlign w:val="center"/>
          </w:tcPr>
          <w:p w14:paraId="21A7FE0E"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3</w:t>
            </w:r>
          </w:p>
        </w:tc>
        <w:tc>
          <w:tcPr>
            <w:tcW w:w="1025" w:type="dxa"/>
            <w:gridSpan w:val="2"/>
            <w:vAlign w:val="center"/>
          </w:tcPr>
          <w:p w14:paraId="44CA2332"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0,45</w:t>
            </w:r>
          </w:p>
        </w:tc>
      </w:tr>
      <w:tr w:rsidR="00D2593C" w:rsidRPr="006A0C09" w14:paraId="381F61E9" w14:textId="77777777" w:rsidTr="00381612">
        <w:trPr>
          <w:trHeight w:val="254"/>
        </w:trPr>
        <w:tc>
          <w:tcPr>
            <w:tcW w:w="1134" w:type="dxa"/>
          </w:tcPr>
          <w:p w14:paraId="52B143AA" w14:textId="77777777" w:rsidR="00D2593C" w:rsidRPr="006A0C09" w:rsidRDefault="00D2593C" w:rsidP="00D2593C">
            <w:pPr>
              <w:widowControl w:val="0"/>
              <w:autoSpaceDE w:val="0"/>
              <w:autoSpaceDN w:val="0"/>
              <w:jc w:val="center"/>
              <w:rPr>
                <w:rFonts w:ascii="Arial" w:hAnsi="Arial" w:cs="Arial"/>
                <w:lang w:val="id"/>
              </w:rPr>
            </w:pPr>
            <w:r w:rsidRPr="006A0C09">
              <w:rPr>
                <w:rFonts w:ascii="Arial" w:hAnsi="Arial" w:cs="Arial"/>
                <w:lang w:val="id"/>
              </w:rPr>
              <w:t>A4</w:t>
            </w:r>
          </w:p>
        </w:tc>
        <w:tc>
          <w:tcPr>
            <w:tcW w:w="3828" w:type="dxa"/>
          </w:tcPr>
          <w:p w14:paraId="757DA56D" w14:textId="7584C03B" w:rsidR="00D2593C" w:rsidRPr="006A0C09" w:rsidRDefault="00D2593C" w:rsidP="00D2593C">
            <w:pPr>
              <w:widowControl w:val="0"/>
              <w:autoSpaceDE w:val="0"/>
              <w:autoSpaceDN w:val="0"/>
              <w:rPr>
                <w:rFonts w:ascii="Arial" w:hAnsi="Arial" w:cs="Arial"/>
                <w:lang w:val="id"/>
              </w:rPr>
            </w:pPr>
            <w:r w:rsidRPr="00DC0356">
              <w:t>Foreign market price fluctuations</w:t>
            </w:r>
          </w:p>
        </w:tc>
        <w:tc>
          <w:tcPr>
            <w:tcW w:w="978" w:type="dxa"/>
            <w:vAlign w:val="center"/>
          </w:tcPr>
          <w:p w14:paraId="70402A2D"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0,10</w:t>
            </w:r>
          </w:p>
        </w:tc>
        <w:tc>
          <w:tcPr>
            <w:tcW w:w="1001" w:type="dxa"/>
            <w:gridSpan w:val="2"/>
            <w:vAlign w:val="center"/>
          </w:tcPr>
          <w:p w14:paraId="689EE99F"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4</w:t>
            </w:r>
          </w:p>
        </w:tc>
        <w:tc>
          <w:tcPr>
            <w:tcW w:w="1025" w:type="dxa"/>
            <w:gridSpan w:val="2"/>
            <w:vAlign w:val="center"/>
          </w:tcPr>
          <w:p w14:paraId="33755A8B" w14:textId="77777777" w:rsidR="00D2593C" w:rsidRPr="006A0C09" w:rsidRDefault="00D2593C" w:rsidP="00D2593C">
            <w:pPr>
              <w:widowControl w:val="0"/>
              <w:autoSpaceDE w:val="0"/>
              <w:autoSpaceDN w:val="0"/>
              <w:ind w:right="239"/>
              <w:jc w:val="center"/>
              <w:rPr>
                <w:rFonts w:ascii="Arial" w:hAnsi="Arial" w:cs="Arial"/>
                <w:lang w:val="id"/>
              </w:rPr>
            </w:pPr>
            <w:r w:rsidRPr="006A0C09">
              <w:rPr>
                <w:rFonts w:ascii="Arial" w:hAnsi="Arial" w:cs="Arial"/>
                <w:lang w:val="id"/>
              </w:rPr>
              <w:t>0,40</w:t>
            </w:r>
          </w:p>
        </w:tc>
      </w:tr>
      <w:tr w:rsidR="006A0C09" w:rsidRPr="006A0C09" w14:paraId="1DFEC9A9" w14:textId="77777777" w:rsidTr="006A0C09">
        <w:trPr>
          <w:gridAfter w:val="1"/>
          <w:wAfter w:w="8" w:type="dxa"/>
          <w:trHeight w:val="251"/>
        </w:trPr>
        <w:tc>
          <w:tcPr>
            <w:tcW w:w="4962" w:type="dxa"/>
            <w:gridSpan w:val="2"/>
          </w:tcPr>
          <w:p w14:paraId="26FBF233" w14:textId="77777777" w:rsidR="006A0C09" w:rsidRPr="006A0C09" w:rsidRDefault="006A0C09" w:rsidP="006A0C09">
            <w:pPr>
              <w:widowControl w:val="0"/>
              <w:autoSpaceDE w:val="0"/>
              <w:autoSpaceDN w:val="0"/>
              <w:jc w:val="center"/>
              <w:rPr>
                <w:rFonts w:ascii="Arial" w:hAnsi="Arial" w:cs="Arial"/>
                <w:lang w:val="id"/>
              </w:rPr>
            </w:pPr>
            <w:r w:rsidRPr="006A0C09">
              <w:rPr>
                <w:rFonts w:ascii="Arial" w:hAnsi="Arial" w:cs="Arial"/>
                <w:lang w:val="id"/>
              </w:rPr>
              <w:t>Total</w:t>
            </w:r>
          </w:p>
        </w:tc>
        <w:tc>
          <w:tcPr>
            <w:tcW w:w="978" w:type="dxa"/>
          </w:tcPr>
          <w:p w14:paraId="2A875E1A"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1,00</w:t>
            </w:r>
          </w:p>
        </w:tc>
        <w:tc>
          <w:tcPr>
            <w:tcW w:w="995" w:type="dxa"/>
          </w:tcPr>
          <w:p w14:paraId="2631E18A" w14:textId="77777777" w:rsidR="006A0C09" w:rsidRPr="006A0C09" w:rsidRDefault="006A0C09" w:rsidP="006A0C09">
            <w:pPr>
              <w:widowControl w:val="0"/>
              <w:autoSpaceDE w:val="0"/>
              <w:autoSpaceDN w:val="0"/>
              <w:ind w:right="239"/>
              <w:jc w:val="center"/>
              <w:rPr>
                <w:rFonts w:ascii="Arial" w:hAnsi="Arial" w:cs="Arial"/>
                <w:lang w:val="id"/>
              </w:rPr>
            </w:pPr>
          </w:p>
        </w:tc>
        <w:tc>
          <w:tcPr>
            <w:tcW w:w="1023" w:type="dxa"/>
            <w:gridSpan w:val="2"/>
          </w:tcPr>
          <w:p w14:paraId="62A639A8" w14:textId="77777777" w:rsidR="006A0C09" w:rsidRPr="006A0C09" w:rsidRDefault="006A0C09" w:rsidP="006A0C09">
            <w:pPr>
              <w:widowControl w:val="0"/>
              <w:autoSpaceDE w:val="0"/>
              <w:autoSpaceDN w:val="0"/>
              <w:ind w:right="239"/>
              <w:jc w:val="center"/>
              <w:rPr>
                <w:rFonts w:ascii="Arial" w:hAnsi="Arial" w:cs="Arial"/>
                <w:lang w:val="id"/>
              </w:rPr>
            </w:pPr>
            <w:r w:rsidRPr="006A0C09">
              <w:rPr>
                <w:rFonts w:ascii="Arial" w:hAnsi="Arial" w:cs="Arial"/>
                <w:lang w:val="id"/>
              </w:rPr>
              <w:t>2,40</w:t>
            </w:r>
          </w:p>
        </w:tc>
      </w:tr>
    </w:tbl>
    <w:p w14:paraId="7A5F6847" w14:textId="7345E036" w:rsidR="006A0C09" w:rsidRPr="00D2593C" w:rsidRDefault="006A0C09" w:rsidP="00441B6F">
      <w:pPr>
        <w:pStyle w:val="Body"/>
        <w:spacing w:after="0"/>
        <w:rPr>
          <w:rFonts w:ascii="Arial" w:hAnsi="Arial" w:cs="Arial"/>
        </w:rPr>
      </w:pPr>
    </w:p>
    <w:p w14:paraId="5AB77858" w14:textId="0E85A618" w:rsidR="006A0C09" w:rsidRDefault="003A4653" w:rsidP="00441B6F">
      <w:pPr>
        <w:pStyle w:val="Body"/>
        <w:spacing w:after="0"/>
        <w:rPr>
          <w:rFonts w:ascii="Arial" w:hAnsi="Arial" w:cs="Arial"/>
        </w:rPr>
      </w:pPr>
      <w:r w:rsidRPr="003A4653">
        <w:rPr>
          <w:rFonts w:ascii="Arial" w:hAnsi="Arial" w:cs="Arial"/>
        </w:rPr>
        <w:t>In determining the eel export development policy strategy, the technique used is to find a cross strategy from the four factors, namely:</w:t>
      </w:r>
    </w:p>
    <w:p w14:paraId="384197A6" w14:textId="21D23AD7" w:rsidR="003A4653" w:rsidRDefault="003A4653" w:rsidP="00441B6F">
      <w:pPr>
        <w:pStyle w:val="Body"/>
        <w:spacing w:after="0"/>
        <w:rPr>
          <w:rFonts w:ascii="Arial" w:hAnsi="Arial" w:cs="Arial"/>
        </w:rPr>
      </w:pPr>
      <w:r w:rsidRPr="003A4653">
        <w:rPr>
          <w:rFonts w:ascii="Arial" w:hAnsi="Arial" w:cs="Arial"/>
        </w:rPr>
        <w:t>1) KP policy, a policy made by utilizing all strengths to take advantage of opportunities as much as possible;</w:t>
      </w:r>
    </w:p>
    <w:p w14:paraId="1928041A" w14:textId="59EDD0A4" w:rsidR="003A4653" w:rsidRDefault="003A4653" w:rsidP="00441B6F">
      <w:pPr>
        <w:pStyle w:val="Body"/>
        <w:spacing w:after="0"/>
        <w:rPr>
          <w:rFonts w:ascii="Arial" w:hAnsi="Arial" w:cs="Arial"/>
        </w:rPr>
      </w:pPr>
      <w:r w:rsidRPr="003A4653">
        <w:rPr>
          <w:rFonts w:ascii="Arial" w:hAnsi="Arial" w:cs="Arial"/>
        </w:rPr>
        <w:t>2) KA Policy, a policy made by using existing strengths to overcome threats;</w:t>
      </w:r>
    </w:p>
    <w:p w14:paraId="1369FBB2" w14:textId="75CF8885" w:rsidR="003A4653" w:rsidRDefault="003A4653" w:rsidP="00441B6F">
      <w:pPr>
        <w:pStyle w:val="Body"/>
        <w:spacing w:after="0"/>
        <w:rPr>
          <w:rFonts w:ascii="Arial" w:hAnsi="Arial" w:cs="Arial"/>
        </w:rPr>
      </w:pPr>
      <w:r w:rsidRPr="003A4653">
        <w:rPr>
          <w:rFonts w:ascii="Arial" w:hAnsi="Arial" w:cs="Arial"/>
        </w:rPr>
        <w:lastRenderedPageBreak/>
        <w:t>3) LP Policy, a policy made based on utilizing existing opportunities by minimizing existing weaknesses;</w:t>
      </w:r>
    </w:p>
    <w:p w14:paraId="35B544D6" w14:textId="494D1408" w:rsidR="003A4653" w:rsidRDefault="003A4653" w:rsidP="00441B6F">
      <w:pPr>
        <w:pStyle w:val="Body"/>
        <w:spacing w:after="0"/>
        <w:rPr>
          <w:rFonts w:ascii="Arial" w:hAnsi="Arial" w:cs="Arial"/>
        </w:rPr>
      </w:pPr>
      <w:r w:rsidRPr="003A4653">
        <w:rPr>
          <w:rFonts w:ascii="Arial" w:hAnsi="Arial" w:cs="Arial"/>
        </w:rPr>
        <w:t>4) LA policy, a policy created based on defensive activities by trying to minimize existing weaknesses and avoid threats.</w:t>
      </w:r>
    </w:p>
    <w:p w14:paraId="2D0640B6" w14:textId="2318CCA3" w:rsidR="003A4653" w:rsidRDefault="003A4653" w:rsidP="00441B6F">
      <w:pPr>
        <w:pStyle w:val="Body"/>
        <w:spacing w:after="0"/>
        <w:rPr>
          <w:rFonts w:ascii="Arial" w:hAnsi="Arial" w:cs="Arial"/>
        </w:rPr>
      </w:pPr>
    </w:p>
    <w:p w14:paraId="096F3B7F" w14:textId="223F960A" w:rsidR="003A4653" w:rsidRDefault="003A4653" w:rsidP="00441B6F">
      <w:pPr>
        <w:pStyle w:val="Body"/>
        <w:spacing w:after="0"/>
        <w:rPr>
          <w:rFonts w:ascii="Arial" w:hAnsi="Arial" w:cs="Arial"/>
        </w:rPr>
      </w:pPr>
      <w:r w:rsidRPr="003A4653">
        <w:rPr>
          <w:rFonts w:ascii="Arial" w:hAnsi="Arial" w:cs="Arial"/>
        </w:rPr>
        <w:t xml:space="preserve">Next, scoring is carried out to determine the priority of fisheries development strategies. The priority strategies for fisheries development are as shown in Table </w:t>
      </w:r>
      <w:r w:rsidR="0073006B">
        <w:rPr>
          <w:rFonts w:ascii="Arial" w:hAnsi="Arial" w:cs="Arial"/>
        </w:rPr>
        <w:t>3</w:t>
      </w:r>
      <w:r w:rsidRPr="003A4653">
        <w:rPr>
          <w:rFonts w:ascii="Arial" w:hAnsi="Arial" w:cs="Arial"/>
        </w:rPr>
        <w:t>.</w:t>
      </w:r>
    </w:p>
    <w:p w14:paraId="1C29B9E6" w14:textId="031DB877" w:rsidR="003A4653" w:rsidRDefault="003A4653" w:rsidP="00441B6F">
      <w:pPr>
        <w:pStyle w:val="Body"/>
        <w:spacing w:after="0"/>
        <w:rPr>
          <w:rFonts w:ascii="Arial" w:hAnsi="Arial" w:cs="Arial"/>
        </w:rPr>
      </w:pPr>
      <w:r w:rsidRPr="003A4653">
        <w:rPr>
          <w:rFonts w:ascii="Arial" w:hAnsi="Arial" w:cs="Arial"/>
        </w:rPr>
        <w:t xml:space="preserve">Table </w:t>
      </w:r>
      <w:r w:rsidR="0073006B">
        <w:rPr>
          <w:rFonts w:ascii="Arial" w:hAnsi="Arial" w:cs="Arial"/>
        </w:rPr>
        <w:t>3</w:t>
      </w:r>
      <w:r w:rsidRPr="003A4653">
        <w:rPr>
          <w:rFonts w:ascii="Arial" w:hAnsi="Arial" w:cs="Arial"/>
        </w:rPr>
        <w:t>. Determination of eel export development policy priorities</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2063"/>
        <w:gridCol w:w="852"/>
        <w:gridCol w:w="1243"/>
      </w:tblGrid>
      <w:tr w:rsidR="003A4653" w:rsidRPr="003A4653" w14:paraId="3670399F" w14:textId="77777777" w:rsidTr="00CA1888">
        <w:trPr>
          <w:trHeight w:val="251"/>
        </w:trPr>
        <w:tc>
          <w:tcPr>
            <w:tcW w:w="3780" w:type="dxa"/>
          </w:tcPr>
          <w:p w14:paraId="7E4ABF81" w14:textId="346BEF3A" w:rsidR="003A4653" w:rsidRPr="003A4653" w:rsidRDefault="00CA1888" w:rsidP="003A4653">
            <w:pPr>
              <w:widowControl w:val="0"/>
              <w:autoSpaceDE w:val="0"/>
              <w:autoSpaceDN w:val="0"/>
              <w:ind w:left="1399" w:right="1392"/>
              <w:jc w:val="center"/>
              <w:rPr>
                <w:rFonts w:ascii="Arial" w:hAnsi="Arial" w:cs="Arial"/>
                <w:b/>
                <w:lang w:val="id"/>
              </w:rPr>
            </w:pPr>
            <w:bookmarkStart w:id="1" w:name="_Hlk200829142"/>
            <w:r w:rsidRPr="00CA1888">
              <w:rPr>
                <w:rFonts w:ascii="Arial" w:hAnsi="Arial" w:cs="Arial"/>
                <w:b/>
                <w:lang w:val="id"/>
              </w:rPr>
              <w:t>SWOT Elements</w:t>
            </w:r>
          </w:p>
        </w:tc>
        <w:tc>
          <w:tcPr>
            <w:tcW w:w="2063" w:type="dxa"/>
          </w:tcPr>
          <w:p w14:paraId="14A1A7BC" w14:textId="60265916" w:rsidR="003A4653" w:rsidRPr="003A4653" w:rsidRDefault="00CA1888" w:rsidP="003A4653">
            <w:pPr>
              <w:widowControl w:val="0"/>
              <w:autoSpaceDE w:val="0"/>
              <w:autoSpaceDN w:val="0"/>
              <w:ind w:left="194" w:right="184"/>
              <w:jc w:val="center"/>
              <w:rPr>
                <w:rFonts w:ascii="Arial" w:hAnsi="Arial" w:cs="Arial"/>
                <w:b/>
                <w:lang w:val="id"/>
              </w:rPr>
            </w:pPr>
            <w:r w:rsidRPr="00CA1888">
              <w:rPr>
                <w:rFonts w:ascii="Arial" w:hAnsi="Arial" w:cs="Arial"/>
                <w:b/>
                <w:lang w:val="id"/>
              </w:rPr>
              <w:t>Relatedness</w:t>
            </w:r>
          </w:p>
        </w:tc>
        <w:tc>
          <w:tcPr>
            <w:tcW w:w="852" w:type="dxa"/>
          </w:tcPr>
          <w:p w14:paraId="18AC921E" w14:textId="793601A6" w:rsidR="003A4653" w:rsidRPr="003A4653" w:rsidRDefault="003A4653" w:rsidP="00CA1888">
            <w:pPr>
              <w:widowControl w:val="0"/>
              <w:autoSpaceDE w:val="0"/>
              <w:autoSpaceDN w:val="0"/>
              <w:ind w:right="120"/>
              <w:jc w:val="right"/>
              <w:rPr>
                <w:rFonts w:ascii="Arial" w:hAnsi="Arial" w:cs="Arial"/>
                <w:b/>
              </w:rPr>
            </w:pPr>
            <w:r w:rsidRPr="003A4653">
              <w:rPr>
                <w:rFonts w:ascii="Arial" w:hAnsi="Arial" w:cs="Arial"/>
                <w:b/>
                <w:lang w:val="id"/>
              </w:rPr>
              <w:t>S</w:t>
            </w:r>
            <w:r w:rsidR="00CA1888">
              <w:rPr>
                <w:rFonts w:ascii="Arial" w:hAnsi="Arial" w:cs="Arial"/>
                <w:b/>
              </w:rPr>
              <w:t>core</w:t>
            </w:r>
          </w:p>
        </w:tc>
        <w:tc>
          <w:tcPr>
            <w:tcW w:w="1243" w:type="dxa"/>
          </w:tcPr>
          <w:p w14:paraId="2F6E52EE" w14:textId="6EEFED51" w:rsidR="003A4653" w:rsidRPr="003A4653" w:rsidRDefault="00CA1888" w:rsidP="003A4653">
            <w:pPr>
              <w:widowControl w:val="0"/>
              <w:autoSpaceDE w:val="0"/>
              <w:autoSpaceDN w:val="0"/>
              <w:ind w:left="91" w:right="119"/>
              <w:jc w:val="center"/>
              <w:rPr>
                <w:rFonts w:ascii="Arial" w:hAnsi="Arial" w:cs="Arial"/>
                <w:b/>
                <w:lang w:val="id"/>
              </w:rPr>
            </w:pPr>
            <w:r w:rsidRPr="00CA1888">
              <w:rPr>
                <w:rFonts w:ascii="Arial" w:hAnsi="Arial" w:cs="Arial"/>
                <w:b/>
                <w:lang w:val="id"/>
              </w:rPr>
              <w:t>Ranking</w:t>
            </w:r>
          </w:p>
        </w:tc>
      </w:tr>
      <w:tr w:rsidR="00CA1888" w:rsidRPr="003A4653" w14:paraId="73EADC1C" w14:textId="77777777" w:rsidTr="00CA1888">
        <w:trPr>
          <w:trHeight w:val="505"/>
        </w:trPr>
        <w:tc>
          <w:tcPr>
            <w:tcW w:w="3780" w:type="dxa"/>
          </w:tcPr>
          <w:p w14:paraId="0A5F5558" w14:textId="4F2BD1C8" w:rsidR="00CA1888" w:rsidRPr="003A4653" w:rsidRDefault="00CA1888" w:rsidP="00CA1888">
            <w:pPr>
              <w:widowControl w:val="0"/>
              <w:autoSpaceDE w:val="0"/>
              <w:autoSpaceDN w:val="0"/>
              <w:ind w:left="107"/>
              <w:rPr>
                <w:rFonts w:ascii="Arial" w:hAnsi="Arial" w:cs="Arial"/>
                <w:lang w:val="id"/>
              </w:rPr>
            </w:pPr>
            <w:r w:rsidRPr="00142D64">
              <w:t>Increasing export volume by utilizing own collection network and cargo facilities</w:t>
            </w:r>
          </w:p>
        </w:tc>
        <w:tc>
          <w:tcPr>
            <w:tcW w:w="2063" w:type="dxa"/>
          </w:tcPr>
          <w:p w14:paraId="0659B683"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 xml:space="preserve">K1, K2, K3, P1, P3 </w:t>
            </w:r>
          </w:p>
        </w:tc>
        <w:tc>
          <w:tcPr>
            <w:tcW w:w="852" w:type="dxa"/>
          </w:tcPr>
          <w:p w14:paraId="3ABB7324"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2,50</w:t>
            </w:r>
          </w:p>
        </w:tc>
        <w:tc>
          <w:tcPr>
            <w:tcW w:w="1243" w:type="dxa"/>
          </w:tcPr>
          <w:p w14:paraId="443D04B8"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1</w:t>
            </w:r>
          </w:p>
        </w:tc>
      </w:tr>
      <w:tr w:rsidR="00CA1888" w:rsidRPr="003A4653" w14:paraId="13AED9EE" w14:textId="77777777" w:rsidTr="00CA1888">
        <w:trPr>
          <w:trHeight w:val="253"/>
        </w:trPr>
        <w:tc>
          <w:tcPr>
            <w:tcW w:w="3780" w:type="dxa"/>
          </w:tcPr>
          <w:p w14:paraId="140B1323" w14:textId="44A2B2EC" w:rsidR="00CA1888" w:rsidRPr="003A4653" w:rsidRDefault="00CA1888" w:rsidP="00CA1888">
            <w:pPr>
              <w:widowControl w:val="0"/>
              <w:autoSpaceDE w:val="0"/>
              <w:autoSpaceDN w:val="0"/>
              <w:ind w:left="107"/>
              <w:rPr>
                <w:rFonts w:ascii="Arial" w:hAnsi="Arial" w:cs="Arial"/>
                <w:lang w:val="id"/>
              </w:rPr>
            </w:pPr>
            <w:r w:rsidRPr="00142D64">
              <w:t>Diversifying export markets to other countries (Japan, Korea, ASEAN)</w:t>
            </w:r>
          </w:p>
        </w:tc>
        <w:tc>
          <w:tcPr>
            <w:tcW w:w="2063" w:type="dxa"/>
          </w:tcPr>
          <w:p w14:paraId="07E9EE06"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K4, L4, A1, A4</w:t>
            </w:r>
          </w:p>
        </w:tc>
        <w:tc>
          <w:tcPr>
            <w:tcW w:w="852" w:type="dxa"/>
          </w:tcPr>
          <w:p w14:paraId="345D1A85"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1,90</w:t>
            </w:r>
          </w:p>
        </w:tc>
        <w:tc>
          <w:tcPr>
            <w:tcW w:w="1243" w:type="dxa"/>
          </w:tcPr>
          <w:p w14:paraId="72CF3EF3" w14:textId="77777777" w:rsidR="00CA1888" w:rsidRPr="003A4653" w:rsidRDefault="00CA1888" w:rsidP="00CA1888">
            <w:pPr>
              <w:widowControl w:val="0"/>
              <w:autoSpaceDE w:val="0"/>
              <w:autoSpaceDN w:val="0"/>
              <w:ind w:left="196" w:right="184"/>
              <w:jc w:val="center"/>
              <w:rPr>
                <w:rFonts w:ascii="Arial" w:hAnsi="Arial" w:cs="Arial"/>
                <w:lang w:val="id"/>
              </w:rPr>
            </w:pPr>
            <w:r w:rsidRPr="003A4653">
              <w:rPr>
                <w:rFonts w:ascii="Arial" w:hAnsi="Arial" w:cs="Arial"/>
                <w:lang w:val="id"/>
              </w:rPr>
              <w:t>2</w:t>
            </w:r>
          </w:p>
        </w:tc>
      </w:tr>
      <w:tr w:rsidR="00CA1888" w:rsidRPr="003A4653" w14:paraId="2A89EEC7" w14:textId="77777777" w:rsidTr="00CA1888">
        <w:trPr>
          <w:trHeight w:val="506"/>
        </w:trPr>
        <w:tc>
          <w:tcPr>
            <w:tcW w:w="3780" w:type="dxa"/>
          </w:tcPr>
          <w:p w14:paraId="35EB376F" w14:textId="75069E68" w:rsidR="00CA1888" w:rsidRPr="003A4653" w:rsidRDefault="00CA1888" w:rsidP="00CA1888">
            <w:pPr>
              <w:widowControl w:val="0"/>
              <w:autoSpaceDE w:val="0"/>
              <w:autoSpaceDN w:val="0"/>
              <w:ind w:left="107"/>
              <w:rPr>
                <w:rFonts w:ascii="Arial" w:hAnsi="Arial" w:cs="Arial"/>
                <w:lang w:val="id"/>
              </w:rPr>
            </w:pPr>
            <w:r w:rsidRPr="00142D64">
              <w:t>Participating in foreign trade promotion programs to expand the market</w:t>
            </w:r>
          </w:p>
        </w:tc>
        <w:tc>
          <w:tcPr>
            <w:tcW w:w="2063" w:type="dxa"/>
          </w:tcPr>
          <w:p w14:paraId="1BBA6B1A" w14:textId="77777777" w:rsidR="00CA1888" w:rsidRPr="003A4653" w:rsidRDefault="00CA1888" w:rsidP="00CA1888">
            <w:pPr>
              <w:widowControl w:val="0"/>
              <w:autoSpaceDE w:val="0"/>
              <w:autoSpaceDN w:val="0"/>
              <w:ind w:left="195" w:right="184"/>
              <w:jc w:val="center"/>
              <w:rPr>
                <w:rFonts w:ascii="Arial" w:hAnsi="Arial" w:cs="Arial"/>
                <w:lang w:val="id"/>
              </w:rPr>
            </w:pPr>
            <w:r w:rsidRPr="003A4653">
              <w:rPr>
                <w:rFonts w:ascii="Arial" w:hAnsi="Arial" w:cs="Arial"/>
                <w:lang w:val="id"/>
              </w:rPr>
              <w:t>K4, P1, A2</w:t>
            </w:r>
          </w:p>
        </w:tc>
        <w:tc>
          <w:tcPr>
            <w:tcW w:w="852" w:type="dxa"/>
          </w:tcPr>
          <w:p w14:paraId="59AB8CC0"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1,50</w:t>
            </w:r>
          </w:p>
        </w:tc>
        <w:tc>
          <w:tcPr>
            <w:tcW w:w="1243" w:type="dxa"/>
          </w:tcPr>
          <w:p w14:paraId="25438675"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3</w:t>
            </w:r>
          </w:p>
        </w:tc>
      </w:tr>
      <w:tr w:rsidR="00CA1888" w:rsidRPr="003A4653" w14:paraId="6408A063" w14:textId="77777777" w:rsidTr="00CA1888">
        <w:trPr>
          <w:trHeight w:val="512"/>
        </w:trPr>
        <w:tc>
          <w:tcPr>
            <w:tcW w:w="3780" w:type="dxa"/>
          </w:tcPr>
          <w:p w14:paraId="089A0B95" w14:textId="55B0D094" w:rsidR="00CA1888" w:rsidRPr="003A4653" w:rsidRDefault="00CA1888" w:rsidP="00CA1888">
            <w:pPr>
              <w:widowControl w:val="0"/>
              <w:autoSpaceDE w:val="0"/>
              <w:autoSpaceDN w:val="0"/>
              <w:ind w:left="107"/>
              <w:rPr>
                <w:rFonts w:ascii="Arial" w:hAnsi="Arial" w:cs="Arial"/>
                <w:lang w:val="id"/>
              </w:rPr>
            </w:pPr>
            <w:r w:rsidRPr="00142D64">
              <w:t>Expanding eel supply sources to other regions during the lean season</w:t>
            </w:r>
          </w:p>
        </w:tc>
        <w:tc>
          <w:tcPr>
            <w:tcW w:w="2063" w:type="dxa"/>
          </w:tcPr>
          <w:p w14:paraId="18BB0AF4"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L3, P2, P4, K3</w:t>
            </w:r>
          </w:p>
        </w:tc>
        <w:tc>
          <w:tcPr>
            <w:tcW w:w="852" w:type="dxa"/>
          </w:tcPr>
          <w:p w14:paraId="5A9FF27A"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1,45</w:t>
            </w:r>
          </w:p>
        </w:tc>
        <w:tc>
          <w:tcPr>
            <w:tcW w:w="1243" w:type="dxa"/>
          </w:tcPr>
          <w:p w14:paraId="4526293B"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4</w:t>
            </w:r>
          </w:p>
        </w:tc>
      </w:tr>
      <w:tr w:rsidR="00CA1888" w:rsidRPr="003A4653" w14:paraId="5F2BC42D" w14:textId="77777777" w:rsidTr="00CA1888">
        <w:trPr>
          <w:trHeight w:val="530"/>
        </w:trPr>
        <w:tc>
          <w:tcPr>
            <w:tcW w:w="3780" w:type="dxa"/>
          </w:tcPr>
          <w:p w14:paraId="39FDDBA5" w14:textId="2A5691FA" w:rsidR="00CA1888" w:rsidRPr="003A4653" w:rsidRDefault="00CA1888" w:rsidP="00CA1888">
            <w:pPr>
              <w:widowControl w:val="0"/>
              <w:autoSpaceDE w:val="0"/>
              <w:autoSpaceDN w:val="0"/>
              <w:ind w:left="107"/>
              <w:rPr>
                <w:rFonts w:ascii="Arial" w:hAnsi="Arial" w:cs="Arial"/>
                <w:lang w:val="id"/>
              </w:rPr>
            </w:pPr>
            <w:r w:rsidRPr="00142D64">
              <w:t>Strengthening risk management in the face of price and regulatory fluctuations</w:t>
            </w:r>
          </w:p>
        </w:tc>
        <w:tc>
          <w:tcPr>
            <w:tcW w:w="2063" w:type="dxa"/>
          </w:tcPr>
          <w:p w14:paraId="5AE00F13"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A3, A4, L4</w:t>
            </w:r>
          </w:p>
        </w:tc>
        <w:tc>
          <w:tcPr>
            <w:tcW w:w="852" w:type="dxa"/>
          </w:tcPr>
          <w:p w14:paraId="60AF2657" w14:textId="77777777" w:rsidR="00CA1888" w:rsidRPr="003A4653" w:rsidRDefault="00CA1888" w:rsidP="00CA1888">
            <w:pPr>
              <w:widowControl w:val="0"/>
              <w:autoSpaceDE w:val="0"/>
              <w:autoSpaceDN w:val="0"/>
              <w:ind w:left="194" w:right="220"/>
              <w:jc w:val="right"/>
              <w:rPr>
                <w:rFonts w:ascii="Arial" w:hAnsi="Arial" w:cs="Arial"/>
                <w:lang w:val="id"/>
              </w:rPr>
            </w:pPr>
            <w:r w:rsidRPr="003A4653">
              <w:rPr>
                <w:rFonts w:ascii="Arial" w:hAnsi="Arial" w:cs="Arial"/>
                <w:lang w:val="id"/>
              </w:rPr>
              <w:t>1,30</w:t>
            </w:r>
          </w:p>
        </w:tc>
        <w:tc>
          <w:tcPr>
            <w:tcW w:w="1243" w:type="dxa"/>
          </w:tcPr>
          <w:p w14:paraId="3A5EBAA9"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5</w:t>
            </w:r>
          </w:p>
        </w:tc>
      </w:tr>
      <w:tr w:rsidR="00CA1888" w:rsidRPr="003A4653" w14:paraId="7A714F60" w14:textId="77777777" w:rsidTr="00CA1888">
        <w:trPr>
          <w:trHeight w:val="506"/>
        </w:trPr>
        <w:tc>
          <w:tcPr>
            <w:tcW w:w="3780" w:type="dxa"/>
          </w:tcPr>
          <w:p w14:paraId="2D11E9EF" w14:textId="45448843" w:rsidR="00CA1888" w:rsidRPr="003A4653" w:rsidRDefault="00CA1888" w:rsidP="00CA1888">
            <w:pPr>
              <w:widowControl w:val="0"/>
              <w:autoSpaceDE w:val="0"/>
              <w:autoSpaceDN w:val="0"/>
              <w:ind w:left="107"/>
              <w:rPr>
                <w:rFonts w:ascii="Arial" w:hAnsi="Arial" w:cs="Arial"/>
                <w:lang w:val="id"/>
              </w:rPr>
            </w:pPr>
            <w:r w:rsidRPr="00142D64">
              <w:t>Utilizing the strengthening dollar to increase export margins</w:t>
            </w:r>
          </w:p>
        </w:tc>
        <w:tc>
          <w:tcPr>
            <w:tcW w:w="2063" w:type="dxa"/>
          </w:tcPr>
          <w:p w14:paraId="23484BC5"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K4, P3</w:t>
            </w:r>
          </w:p>
        </w:tc>
        <w:tc>
          <w:tcPr>
            <w:tcW w:w="852" w:type="dxa"/>
          </w:tcPr>
          <w:p w14:paraId="278F8528"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1,20</w:t>
            </w:r>
          </w:p>
        </w:tc>
        <w:tc>
          <w:tcPr>
            <w:tcW w:w="1243" w:type="dxa"/>
          </w:tcPr>
          <w:p w14:paraId="47F41909"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6</w:t>
            </w:r>
          </w:p>
        </w:tc>
      </w:tr>
      <w:tr w:rsidR="00CA1888" w:rsidRPr="003A4653" w14:paraId="7A43F10D" w14:textId="77777777" w:rsidTr="00CA1888">
        <w:trPr>
          <w:trHeight w:val="254"/>
        </w:trPr>
        <w:tc>
          <w:tcPr>
            <w:tcW w:w="3780" w:type="dxa"/>
          </w:tcPr>
          <w:p w14:paraId="67FEFF4C" w14:textId="4D563CA8" w:rsidR="00CA1888" w:rsidRPr="003A4653" w:rsidRDefault="00CA1888" w:rsidP="00CA1888">
            <w:pPr>
              <w:widowControl w:val="0"/>
              <w:autoSpaceDE w:val="0"/>
              <w:autoSpaceDN w:val="0"/>
              <w:ind w:left="107"/>
              <w:rPr>
                <w:rFonts w:ascii="Arial" w:hAnsi="Arial" w:cs="Arial"/>
                <w:lang w:val="id"/>
              </w:rPr>
            </w:pPr>
            <w:r w:rsidRPr="00142D64">
              <w:t>Using alternative airlines during peak export seasons</w:t>
            </w:r>
          </w:p>
        </w:tc>
        <w:tc>
          <w:tcPr>
            <w:tcW w:w="2063" w:type="dxa"/>
          </w:tcPr>
          <w:p w14:paraId="3C94F654"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L1, P4</w:t>
            </w:r>
          </w:p>
        </w:tc>
        <w:tc>
          <w:tcPr>
            <w:tcW w:w="852" w:type="dxa"/>
          </w:tcPr>
          <w:p w14:paraId="39BAC7B0"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0,50</w:t>
            </w:r>
          </w:p>
        </w:tc>
        <w:tc>
          <w:tcPr>
            <w:tcW w:w="1243" w:type="dxa"/>
          </w:tcPr>
          <w:p w14:paraId="4D8B763D"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7</w:t>
            </w:r>
          </w:p>
        </w:tc>
      </w:tr>
      <w:tr w:rsidR="00CA1888" w:rsidRPr="003A4653" w14:paraId="674A61EA" w14:textId="77777777" w:rsidTr="00CA1888">
        <w:trPr>
          <w:trHeight w:val="251"/>
        </w:trPr>
        <w:tc>
          <w:tcPr>
            <w:tcW w:w="3780" w:type="dxa"/>
          </w:tcPr>
          <w:p w14:paraId="1B837955" w14:textId="43930A4E" w:rsidR="00CA1888" w:rsidRPr="003A4653" w:rsidRDefault="00CA1888" w:rsidP="00CA1888">
            <w:pPr>
              <w:widowControl w:val="0"/>
              <w:autoSpaceDE w:val="0"/>
              <w:autoSpaceDN w:val="0"/>
              <w:ind w:left="107"/>
              <w:rPr>
                <w:rFonts w:ascii="Arial" w:hAnsi="Arial" w:cs="Arial"/>
                <w:lang w:val="id"/>
              </w:rPr>
            </w:pPr>
            <w:r w:rsidRPr="00142D64">
              <w:t>Developing special export human resources so as not to have dual duties</w:t>
            </w:r>
          </w:p>
        </w:tc>
        <w:tc>
          <w:tcPr>
            <w:tcW w:w="2063" w:type="dxa"/>
          </w:tcPr>
          <w:p w14:paraId="1DD2843A" w14:textId="77777777" w:rsidR="00CA1888" w:rsidRPr="003A4653" w:rsidRDefault="00CA1888" w:rsidP="00CA1888">
            <w:pPr>
              <w:widowControl w:val="0"/>
              <w:autoSpaceDE w:val="0"/>
              <w:autoSpaceDN w:val="0"/>
              <w:ind w:left="194" w:right="184"/>
              <w:jc w:val="center"/>
              <w:rPr>
                <w:rFonts w:ascii="Arial" w:hAnsi="Arial" w:cs="Arial"/>
                <w:lang w:val="id"/>
              </w:rPr>
            </w:pPr>
            <w:r w:rsidRPr="003A4653">
              <w:rPr>
                <w:rFonts w:ascii="Arial" w:hAnsi="Arial" w:cs="Arial"/>
                <w:lang w:val="id"/>
              </w:rPr>
              <w:t>L2, A2</w:t>
            </w:r>
          </w:p>
        </w:tc>
        <w:tc>
          <w:tcPr>
            <w:tcW w:w="852" w:type="dxa"/>
          </w:tcPr>
          <w:p w14:paraId="30277073" w14:textId="77777777" w:rsidR="00CA1888" w:rsidRPr="003A4653" w:rsidRDefault="00CA1888" w:rsidP="00CA1888">
            <w:pPr>
              <w:widowControl w:val="0"/>
              <w:autoSpaceDE w:val="0"/>
              <w:autoSpaceDN w:val="0"/>
              <w:ind w:right="220"/>
              <w:jc w:val="right"/>
              <w:rPr>
                <w:rFonts w:ascii="Arial" w:hAnsi="Arial" w:cs="Arial"/>
                <w:lang w:val="id"/>
              </w:rPr>
            </w:pPr>
            <w:r w:rsidRPr="003A4653">
              <w:rPr>
                <w:rFonts w:ascii="Arial" w:hAnsi="Arial" w:cs="Arial"/>
                <w:lang w:val="id"/>
              </w:rPr>
              <w:t>0,50</w:t>
            </w:r>
          </w:p>
        </w:tc>
        <w:tc>
          <w:tcPr>
            <w:tcW w:w="1243" w:type="dxa"/>
          </w:tcPr>
          <w:p w14:paraId="7411BB46" w14:textId="77777777" w:rsidR="00CA1888" w:rsidRPr="003A4653" w:rsidRDefault="00CA1888" w:rsidP="00CA1888">
            <w:pPr>
              <w:widowControl w:val="0"/>
              <w:autoSpaceDE w:val="0"/>
              <w:autoSpaceDN w:val="0"/>
              <w:ind w:left="10"/>
              <w:jc w:val="center"/>
              <w:rPr>
                <w:rFonts w:ascii="Arial" w:hAnsi="Arial" w:cs="Arial"/>
                <w:lang w:val="id"/>
              </w:rPr>
            </w:pPr>
            <w:r w:rsidRPr="003A4653">
              <w:rPr>
                <w:rFonts w:ascii="Arial" w:hAnsi="Arial" w:cs="Arial"/>
                <w:lang w:val="id"/>
              </w:rPr>
              <w:t>8</w:t>
            </w:r>
          </w:p>
        </w:tc>
      </w:tr>
      <w:bookmarkEnd w:id="1"/>
    </w:tbl>
    <w:p w14:paraId="0784BF4E" w14:textId="495B01F5" w:rsidR="003A4653" w:rsidRDefault="003A4653" w:rsidP="00441B6F">
      <w:pPr>
        <w:pStyle w:val="Body"/>
        <w:spacing w:after="0"/>
        <w:rPr>
          <w:rFonts w:ascii="Arial" w:hAnsi="Arial" w:cs="Arial"/>
        </w:rPr>
      </w:pPr>
    </w:p>
    <w:p w14:paraId="4366F1AA" w14:textId="13BAFD7B" w:rsidR="003A4653" w:rsidRPr="00CA1888" w:rsidRDefault="00CA1888" w:rsidP="00441B6F">
      <w:pPr>
        <w:pStyle w:val="Body"/>
        <w:spacing w:after="0"/>
        <w:rPr>
          <w:rFonts w:ascii="Arial" w:hAnsi="Arial" w:cs="Arial"/>
          <w:b/>
          <w:bCs/>
        </w:rPr>
      </w:pPr>
      <w:r w:rsidRPr="00CA1888">
        <w:rPr>
          <w:rFonts w:ascii="Arial" w:hAnsi="Arial" w:cs="Arial"/>
          <w:b/>
          <w:bCs/>
        </w:rPr>
        <w:t>1. Strategy Calculation</w:t>
      </w:r>
    </w:p>
    <w:p w14:paraId="623DF196" w14:textId="7781A95B" w:rsidR="003A4653" w:rsidRDefault="00CA1888" w:rsidP="00441B6F">
      <w:pPr>
        <w:pStyle w:val="Body"/>
        <w:spacing w:after="0"/>
        <w:rPr>
          <w:rFonts w:ascii="Arial" w:hAnsi="Arial" w:cs="Arial"/>
        </w:rPr>
      </w:pPr>
      <w:r w:rsidRPr="00CA1888">
        <w:rPr>
          <w:rFonts w:ascii="Arial" w:hAnsi="Arial" w:cs="Arial"/>
        </w:rPr>
        <w:t>Total strategy score based on internal and external factor assessment results:</w:t>
      </w:r>
    </w:p>
    <w:p w14:paraId="5D1B62DC" w14:textId="33B95377" w:rsidR="003A4653" w:rsidRDefault="00CA1888" w:rsidP="00441B6F">
      <w:pPr>
        <w:pStyle w:val="Body"/>
        <w:spacing w:after="0"/>
        <w:rPr>
          <w:rFonts w:ascii="Arial" w:hAnsi="Arial" w:cs="Arial"/>
        </w:rPr>
      </w:pPr>
      <w:r w:rsidRPr="00CA1888">
        <w:rPr>
          <w:rFonts w:ascii="Arial" w:hAnsi="Arial" w:cs="Arial"/>
        </w:rPr>
        <w:t>Strength (K): 0.60 + 0.30 + 0.40 + 0.60 = 1.90</w:t>
      </w:r>
    </w:p>
    <w:p w14:paraId="67C3CB6D" w14:textId="21CEAEC9" w:rsidR="00CA1888" w:rsidRDefault="00CA1888" w:rsidP="00441B6F">
      <w:pPr>
        <w:pStyle w:val="Body"/>
        <w:spacing w:after="0"/>
        <w:rPr>
          <w:rFonts w:ascii="Arial" w:hAnsi="Arial" w:cs="Arial"/>
        </w:rPr>
      </w:pPr>
      <w:r w:rsidRPr="00CA1888">
        <w:rPr>
          <w:rFonts w:ascii="Arial" w:hAnsi="Arial" w:cs="Arial"/>
        </w:rPr>
        <w:t>Weakness (L): 0.20 + 0.20 + 0.45 + 0.45 = 1.30</w:t>
      </w:r>
    </w:p>
    <w:p w14:paraId="11142280" w14:textId="405F76F7" w:rsidR="00CA1888" w:rsidRDefault="00CA1888" w:rsidP="00441B6F">
      <w:pPr>
        <w:pStyle w:val="Body"/>
        <w:spacing w:after="0"/>
        <w:rPr>
          <w:rFonts w:ascii="Arial" w:hAnsi="Arial" w:cs="Arial"/>
        </w:rPr>
      </w:pPr>
      <w:r w:rsidRPr="00CA1888">
        <w:rPr>
          <w:rFonts w:ascii="Arial" w:hAnsi="Arial" w:cs="Arial"/>
        </w:rPr>
        <w:t>Opportunity (P): 0.60 + 0.30 + 0.60 + 0.30 = 1.80</w:t>
      </w:r>
    </w:p>
    <w:p w14:paraId="2963BCFF" w14:textId="34D544A7" w:rsidR="00CA1888" w:rsidRDefault="00CA1888" w:rsidP="00441B6F">
      <w:pPr>
        <w:pStyle w:val="Body"/>
        <w:spacing w:after="0"/>
        <w:rPr>
          <w:rFonts w:ascii="Arial" w:hAnsi="Arial" w:cs="Arial"/>
        </w:rPr>
      </w:pPr>
      <w:r w:rsidRPr="00CA1888">
        <w:rPr>
          <w:rFonts w:ascii="Arial" w:hAnsi="Arial" w:cs="Arial"/>
        </w:rPr>
        <w:t>Threat (A): 0.45 + 0.30 + 0.45 + 0.40 = 1.60</w:t>
      </w:r>
    </w:p>
    <w:p w14:paraId="74B77F99" w14:textId="2B72CB61" w:rsidR="00BF27F9" w:rsidRDefault="00BF27F9" w:rsidP="00441B6F">
      <w:pPr>
        <w:pStyle w:val="Body"/>
        <w:spacing w:after="0"/>
        <w:rPr>
          <w:rFonts w:ascii="Arial" w:hAnsi="Arial" w:cs="Arial"/>
        </w:rPr>
      </w:pPr>
      <w:r w:rsidRPr="00BF27F9">
        <w:rPr>
          <w:rFonts w:ascii="Arial" w:hAnsi="Arial" w:cs="Arial"/>
        </w:rPr>
        <w:t>Combined Strategy Score Calculation</w:t>
      </w:r>
    </w:p>
    <w:p w14:paraId="6DF10993" w14:textId="315BCBAF" w:rsidR="00BF27F9" w:rsidRDefault="00BF27F9" w:rsidP="0073006B">
      <w:pPr>
        <w:pStyle w:val="Body"/>
        <w:numPr>
          <w:ilvl w:val="0"/>
          <w:numId w:val="34"/>
        </w:numPr>
        <w:spacing w:after="0"/>
        <w:rPr>
          <w:rFonts w:ascii="Arial" w:hAnsi="Arial" w:cs="Arial"/>
        </w:rPr>
      </w:pPr>
      <w:r w:rsidRPr="00BF27F9">
        <w:rPr>
          <w:rFonts w:ascii="Arial" w:hAnsi="Arial" w:cs="Arial"/>
        </w:rPr>
        <w:t>S-O Strategy = Strength (1.90) + Opportunity (1.80) = 3.70</w:t>
      </w:r>
    </w:p>
    <w:p w14:paraId="122F9574" w14:textId="0668B071" w:rsidR="00BF27F9" w:rsidRDefault="00BF27F9" w:rsidP="0073006B">
      <w:pPr>
        <w:pStyle w:val="Body"/>
        <w:numPr>
          <w:ilvl w:val="0"/>
          <w:numId w:val="34"/>
        </w:numPr>
        <w:spacing w:after="0"/>
        <w:rPr>
          <w:rFonts w:ascii="Arial" w:hAnsi="Arial" w:cs="Arial"/>
        </w:rPr>
      </w:pPr>
      <w:r w:rsidRPr="00BF27F9">
        <w:rPr>
          <w:rFonts w:ascii="Arial" w:hAnsi="Arial" w:cs="Arial"/>
        </w:rPr>
        <w:t>S-T Strategy = Strength (1.90) + Threat (1.60) = 3.50</w:t>
      </w:r>
    </w:p>
    <w:p w14:paraId="79817557" w14:textId="79459BBD" w:rsidR="00BF27F9" w:rsidRDefault="00BF27F9" w:rsidP="0073006B">
      <w:pPr>
        <w:pStyle w:val="Body"/>
        <w:numPr>
          <w:ilvl w:val="0"/>
          <w:numId w:val="34"/>
        </w:numPr>
        <w:spacing w:after="0"/>
        <w:rPr>
          <w:rFonts w:ascii="Arial" w:hAnsi="Arial" w:cs="Arial"/>
        </w:rPr>
      </w:pPr>
      <w:r w:rsidRPr="00BF27F9">
        <w:rPr>
          <w:rFonts w:ascii="Arial" w:hAnsi="Arial" w:cs="Arial"/>
        </w:rPr>
        <w:t>Strategi W-O  = Weakness (1,30) + Opportunity (1,80) = 3,10</w:t>
      </w:r>
    </w:p>
    <w:p w14:paraId="56E8FEF1" w14:textId="7E74A6CE" w:rsidR="00BF27F9" w:rsidRDefault="00BF27F9" w:rsidP="0073006B">
      <w:pPr>
        <w:pStyle w:val="Body"/>
        <w:numPr>
          <w:ilvl w:val="0"/>
          <w:numId w:val="34"/>
        </w:numPr>
        <w:spacing w:after="0"/>
        <w:rPr>
          <w:rFonts w:ascii="Arial" w:hAnsi="Arial" w:cs="Arial"/>
        </w:rPr>
      </w:pPr>
      <w:r w:rsidRPr="00BF27F9">
        <w:rPr>
          <w:rFonts w:ascii="Arial" w:hAnsi="Arial" w:cs="Arial"/>
        </w:rPr>
        <w:t>Strategi W-T  = Weakness (1,30) + Threat (1,60) = 2,90</w:t>
      </w:r>
    </w:p>
    <w:p w14:paraId="0A087D1F" w14:textId="5C30247F" w:rsidR="00BF27F9" w:rsidRDefault="00BF27F9" w:rsidP="0073006B">
      <w:pPr>
        <w:pStyle w:val="Body"/>
        <w:numPr>
          <w:ilvl w:val="0"/>
          <w:numId w:val="34"/>
        </w:numPr>
        <w:spacing w:after="0"/>
        <w:rPr>
          <w:rFonts w:ascii="Arial" w:hAnsi="Arial" w:cs="Arial"/>
        </w:rPr>
      </w:pPr>
      <w:r w:rsidRPr="00BF27F9">
        <w:rPr>
          <w:rFonts w:ascii="Arial" w:hAnsi="Arial" w:cs="Arial"/>
        </w:rPr>
        <w:t>The largest number is the S-O Strategy (3.70).</w:t>
      </w:r>
    </w:p>
    <w:p w14:paraId="370C3FBB" w14:textId="3DF4F920" w:rsidR="00BF27F9" w:rsidRDefault="00BF27F9" w:rsidP="0073006B">
      <w:pPr>
        <w:pStyle w:val="Body"/>
        <w:numPr>
          <w:ilvl w:val="0"/>
          <w:numId w:val="34"/>
        </w:numPr>
        <w:spacing w:after="0"/>
        <w:rPr>
          <w:rFonts w:ascii="Arial" w:hAnsi="Arial" w:cs="Arial"/>
        </w:rPr>
      </w:pPr>
      <w:r w:rsidRPr="00BF27F9">
        <w:rPr>
          <w:rFonts w:ascii="Arial" w:hAnsi="Arial" w:cs="Arial"/>
        </w:rPr>
        <w:t>Determining Quadrants (SWOT Quadrant System)</w:t>
      </w:r>
    </w:p>
    <w:p w14:paraId="37C95B56" w14:textId="5E62F239" w:rsidR="00BF27F9" w:rsidRDefault="00BF27F9" w:rsidP="00441B6F">
      <w:pPr>
        <w:pStyle w:val="Body"/>
        <w:spacing w:after="0"/>
        <w:rPr>
          <w:rFonts w:ascii="Arial" w:hAnsi="Arial" w:cs="Arial"/>
        </w:rPr>
      </w:pPr>
      <w:r w:rsidRPr="00BF27F9">
        <w:rPr>
          <w:rFonts w:ascii="Arial" w:hAnsi="Arial" w:cs="Arial"/>
        </w:rPr>
        <w:t>Strengths – Weaknesses = 1.90 – 1.30 = + 0.60 (positive)</w:t>
      </w:r>
    </w:p>
    <w:p w14:paraId="14F36F98" w14:textId="526D8CD5" w:rsidR="00BF27F9" w:rsidRDefault="00BF27F9" w:rsidP="00441B6F">
      <w:pPr>
        <w:pStyle w:val="Body"/>
        <w:spacing w:after="0"/>
        <w:rPr>
          <w:rFonts w:ascii="Arial" w:hAnsi="Arial" w:cs="Arial"/>
        </w:rPr>
      </w:pPr>
      <w:r w:rsidRPr="00BF27F9">
        <w:rPr>
          <w:rFonts w:ascii="Arial" w:hAnsi="Arial" w:cs="Arial"/>
        </w:rPr>
        <w:t>Opportunities – Threats = 1,80 – 1,60 = + 0,20 (positif)</w:t>
      </w:r>
    </w:p>
    <w:p w14:paraId="4FC0B586" w14:textId="2F39D18B" w:rsidR="00BF27F9" w:rsidRDefault="00BF27F9" w:rsidP="00441B6F">
      <w:pPr>
        <w:pStyle w:val="Body"/>
        <w:spacing w:after="0"/>
        <w:rPr>
          <w:rFonts w:ascii="Arial" w:hAnsi="Arial" w:cs="Arial"/>
        </w:rPr>
      </w:pPr>
      <w:r w:rsidRPr="00BF27F9">
        <w:rPr>
          <w:rFonts w:ascii="Arial" w:hAnsi="Arial" w:cs="Arial"/>
        </w:rPr>
        <w:t>Since the results are in a positive position for both, the company's strategy is in: Quadrant I (S-O): Aggressive Strategy</w:t>
      </w:r>
    </w:p>
    <w:p w14:paraId="386C8F83" w14:textId="156F4DD9" w:rsidR="003A4653" w:rsidRDefault="003A4653" w:rsidP="00441B6F">
      <w:pPr>
        <w:pStyle w:val="Body"/>
        <w:spacing w:after="0"/>
        <w:rPr>
          <w:rFonts w:ascii="Arial" w:hAnsi="Arial" w:cs="Arial"/>
        </w:rPr>
      </w:pPr>
    </w:p>
    <w:p w14:paraId="763ED6AB" w14:textId="77777777" w:rsidR="0073006B" w:rsidRDefault="0073006B" w:rsidP="00441B6F">
      <w:pPr>
        <w:pStyle w:val="Body"/>
        <w:spacing w:after="0"/>
        <w:rPr>
          <w:rFonts w:ascii="Arial" w:hAnsi="Arial" w:cs="Arial"/>
        </w:rPr>
      </w:pPr>
    </w:p>
    <w:p w14:paraId="0B224C16" w14:textId="77777777" w:rsidR="0073006B" w:rsidRDefault="0073006B" w:rsidP="00441B6F">
      <w:pPr>
        <w:pStyle w:val="Body"/>
        <w:spacing w:after="0"/>
        <w:rPr>
          <w:rFonts w:ascii="Arial" w:hAnsi="Arial" w:cs="Arial"/>
        </w:rPr>
      </w:pPr>
    </w:p>
    <w:p w14:paraId="3CE5214F" w14:textId="77777777" w:rsidR="0073006B" w:rsidRDefault="0073006B" w:rsidP="00441B6F">
      <w:pPr>
        <w:pStyle w:val="Body"/>
        <w:spacing w:after="0"/>
        <w:rPr>
          <w:rFonts w:ascii="Arial" w:hAnsi="Arial" w:cs="Arial"/>
        </w:rPr>
      </w:pPr>
    </w:p>
    <w:p w14:paraId="028DC5DB" w14:textId="77777777" w:rsidR="0073006B" w:rsidRDefault="0073006B" w:rsidP="00441B6F">
      <w:pPr>
        <w:pStyle w:val="Body"/>
        <w:spacing w:after="0"/>
        <w:rPr>
          <w:rFonts w:ascii="Arial" w:hAnsi="Arial" w:cs="Arial"/>
        </w:rPr>
      </w:pPr>
    </w:p>
    <w:p w14:paraId="0DC40267" w14:textId="77777777" w:rsidR="004C5D3F" w:rsidRDefault="004C5D3F" w:rsidP="00441B6F">
      <w:pPr>
        <w:pStyle w:val="Body"/>
        <w:spacing w:after="0"/>
        <w:rPr>
          <w:rFonts w:ascii="Arial" w:hAnsi="Arial" w:cs="Arial"/>
        </w:rPr>
      </w:pPr>
    </w:p>
    <w:p w14:paraId="229F7CB4" w14:textId="77777777" w:rsidR="004C5D3F" w:rsidRDefault="004C5D3F" w:rsidP="00441B6F">
      <w:pPr>
        <w:pStyle w:val="Body"/>
        <w:spacing w:after="0"/>
        <w:rPr>
          <w:rFonts w:ascii="Arial" w:hAnsi="Arial" w:cs="Arial"/>
        </w:rPr>
      </w:pPr>
    </w:p>
    <w:p w14:paraId="28F921ED" w14:textId="77777777" w:rsidR="0073006B" w:rsidRDefault="0073006B" w:rsidP="00441B6F">
      <w:pPr>
        <w:pStyle w:val="Body"/>
        <w:spacing w:after="0"/>
        <w:rPr>
          <w:rFonts w:ascii="Arial" w:hAnsi="Arial" w:cs="Arial"/>
        </w:rPr>
      </w:pPr>
    </w:p>
    <w:p w14:paraId="1A0692BE" w14:textId="77777777" w:rsidR="0073006B" w:rsidRDefault="0073006B" w:rsidP="00441B6F">
      <w:pPr>
        <w:pStyle w:val="Body"/>
        <w:spacing w:after="0"/>
        <w:rPr>
          <w:rFonts w:ascii="Arial" w:hAnsi="Arial" w:cs="Arial"/>
        </w:rPr>
      </w:pPr>
    </w:p>
    <w:p w14:paraId="0DEEC847" w14:textId="77777777" w:rsidR="0073006B" w:rsidRDefault="0073006B" w:rsidP="00441B6F">
      <w:pPr>
        <w:pStyle w:val="Body"/>
        <w:spacing w:after="0"/>
        <w:rPr>
          <w:rFonts w:ascii="Arial" w:hAnsi="Arial" w:cs="Arial"/>
        </w:rPr>
      </w:pPr>
    </w:p>
    <w:p w14:paraId="40306038" w14:textId="77777777" w:rsidR="008E68C5" w:rsidRPr="008E68C5" w:rsidRDefault="008E68C5" w:rsidP="008E68C5">
      <w:pPr>
        <w:spacing w:before="240"/>
        <w:jc w:val="center"/>
        <w:rPr>
          <w:rFonts w:ascii="Arial" w:hAnsi="Arial" w:cs="Arial"/>
          <w:lang w:val="id-ID" w:eastAsia="en-GB"/>
        </w:rPr>
      </w:pPr>
      <w:bookmarkStart w:id="2" w:name="_Hlk200829896"/>
      <w:r w:rsidRPr="008E68C5">
        <w:rPr>
          <w:rFonts w:ascii="Arial" w:hAnsi="Arial" w:cs="Arial"/>
          <w:lang w:val="id-ID" w:eastAsia="en-GB"/>
        </w:rPr>
        <w:t>Opportunities</w:t>
      </w:r>
      <w:bookmarkEnd w:id="2"/>
    </w:p>
    <w:p w14:paraId="1AE80802" w14:textId="77777777" w:rsidR="008E68C5" w:rsidRPr="008E68C5" w:rsidRDefault="008E68C5" w:rsidP="008E68C5">
      <w:pPr>
        <w:jc w:val="center"/>
        <w:rPr>
          <w:rFonts w:ascii="Arial" w:hAnsi="Arial" w:cs="Arial"/>
          <w:i/>
          <w:iCs/>
          <w:lang w:val="id-ID" w:eastAsia="en-GB"/>
        </w:rPr>
      </w:pPr>
      <w:r w:rsidRPr="008E68C5">
        <w:rPr>
          <w:rFonts w:ascii="Arial" w:hAnsi="Arial" w:cs="Arial"/>
          <w:noProof/>
        </w:rPr>
        <mc:AlternateContent>
          <mc:Choice Requires="wpg">
            <w:drawing>
              <wp:anchor distT="0" distB="0" distL="114300" distR="114300" simplePos="0" relativeHeight="251659264" behindDoc="0" locked="0" layoutInCell="1" allowOverlap="1" wp14:anchorId="5E6F773C" wp14:editId="753E20F2">
                <wp:simplePos x="0" y="0"/>
                <wp:positionH relativeFrom="column">
                  <wp:posOffset>1160145</wp:posOffset>
                </wp:positionH>
                <wp:positionV relativeFrom="paragraph">
                  <wp:posOffset>92075</wp:posOffset>
                </wp:positionV>
                <wp:extent cx="2933700" cy="2152650"/>
                <wp:effectExtent l="38100" t="38100" r="0" b="57150"/>
                <wp:wrapNone/>
                <wp:docPr id="380084114" name="Group 380084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152650"/>
                          <a:chOff x="4095" y="7851"/>
                          <a:chExt cx="4620" cy="3390"/>
                        </a:xfrm>
                      </wpg:grpSpPr>
                      <wps:wsp>
                        <wps:cNvPr id="1983860999" name="Straight Arrow Connector 1983860999"/>
                        <wps:cNvCnPr>
                          <a:cxnSpLocks noChangeShapeType="1"/>
                        </wps:cNvCnPr>
                        <wps:spPr bwMode="auto">
                          <a:xfrm>
                            <a:off x="6405" y="7851"/>
                            <a:ext cx="30" cy="339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625388751" name="Straight Arrow Connector 1625388751"/>
                        <wps:cNvCnPr>
                          <a:cxnSpLocks noChangeShapeType="1"/>
                        </wps:cNvCnPr>
                        <wps:spPr bwMode="auto">
                          <a:xfrm>
                            <a:off x="4095" y="9455"/>
                            <a:ext cx="4620" cy="0"/>
                          </a:xfrm>
                          <a:prstGeom prst="straightConnector1">
                            <a:avLst/>
                          </a:prstGeom>
                          <a:noFill/>
                          <a:ln w="635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07FA5AE" id="Group 380084114" o:spid="_x0000_s1026" style="position:absolute;margin-left:91.35pt;margin-top:7.25pt;width:231pt;height:169.5pt;z-index:251659264" coordorigin="4095,7851" coordsize="4620,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">
                <v:shapetype id="_x0000_t32" coordsize="21600,21600" o:spt="32" o:oned="t" path="m,l21600,21600e" filled="f">
                  <v:path arrowok="t" fillok="f" o:connecttype="none"/>
                  <o:lock v:ext="edit" shapetype="t"/>
                </v:shapetype>
                <v:shape id="Straight Arrow Connector 1983860999" o:spid="_x0000_s1027" type="#_x0000_t32" style="position:absolute;left:6405;top:7851;width:30;height:3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" strokeweight=".5pt">
                  <v:stroke startarrow="block" endarrow="block" joinstyle="miter"/>
                </v:shape>
                <v:shape id="Straight Arrow Connector 1625388751" o:spid="_x0000_s1028" type="#_x0000_t32" style="position:absolute;left:4095;top:9455;width:4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" strokeweight=".5pt">
                  <v:stroke startarrow="block" endarrow="block" joinstyle="miter"/>
                </v:shape>
              </v:group>
            </w:pict>
          </mc:Fallback>
        </mc:AlternateContent>
      </w:r>
    </w:p>
    <w:p w14:paraId="5287E907" w14:textId="77777777" w:rsidR="008E68C5" w:rsidRPr="008E68C5" w:rsidRDefault="008E68C5" w:rsidP="008E68C5">
      <w:pPr>
        <w:jc w:val="center"/>
        <w:rPr>
          <w:rFonts w:ascii="Arial" w:hAnsi="Arial" w:cs="Arial"/>
          <w:i/>
          <w:iCs/>
          <w:lang w:val="id-ID" w:eastAsia="en-GB"/>
        </w:rPr>
      </w:pPr>
    </w:p>
    <w:p w14:paraId="43038324" w14:textId="77777777" w:rsidR="008E68C5" w:rsidRPr="008E68C5" w:rsidRDefault="008E68C5" w:rsidP="008E68C5">
      <w:pPr>
        <w:tabs>
          <w:tab w:val="left" w:pos="5230"/>
        </w:tabs>
        <w:ind w:left="5950"/>
        <w:contextualSpacing/>
        <w:rPr>
          <w:rFonts w:ascii="Arial" w:hAnsi="Arial" w:cs="Arial"/>
          <w:i/>
          <w:iCs/>
          <w:color w:val="EE0000"/>
          <w:lang w:val="id-ID" w:eastAsia="en-GB"/>
        </w:rPr>
      </w:pPr>
    </w:p>
    <w:p w14:paraId="78CACE7F" w14:textId="77777777" w:rsidR="008E68C5" w:rsidRPr="008E68C5" w:rsidRDefault="008E68C5" w:rsidP="008E68C5">
      <w:pPr>
        <w:tabs>
          <w:tab w:val="left" w:pos="2268"/>
          <w:tab w:val="left" w:pos="4290"/>
          <w:tab w:val="left" w:pos="4820"/>
        </w:tabs>
        <w:rPr>
          <w:rFonts w:ascii="Arial" w:hAnsi="Arial" w:cs="Arial"/>
          <w:lang w:val="id-ID" w:eastAsia="en-GB"/>
        </w:rPr>
      </w:pPr>
      <w:r w:rsidRPr="008E68C5">
        <w:rPr>
          <w:rFonts w:ascii="Arial" w:hAnsi="Arial" w:cs="Arial"/>
          <w:i/>
          <w:iCs/>
          <w:lang w:val="id-ID" w:eastAsia="en-GB"/>
        </w:rPr>
        <w:tab/>
        <w:t xml:space="preserve">W - O </w:t>
      </w:r>
      <w:r w:rsidRPr="008E68C5">
        <w:rPr>
          <w:rFonts w:ascii="Arial" w:hAnsi="Arial" w:cs="Arial"/>
          <w:lang w:val="id-ID" w:eastAsia="en-GB"/>
        </w:rPr>
        <w:t>(- , +)</w:t>
      </w:r>
      <w:r w:rsidRPr="008E68C5">
        <w:rPr>
          <w:rFonts w:ascii="Arial" w:hAnsi="Arial" w:cs="Arial"/>
          <w:lang w:val="id-ID" w:eastAsia="en-GB"/>
        </w:rPr>
        <w:tab/>
      </w:r>
      <w:r w:rsidRPr="008E68C5">
        <w:rPr>
          <w:rFonts w:ascii="Arial" w:hAnsi="Arial" w:cs="Arial"/>
          <w:lang w:val="id-ID" w:eastAsia="en-GB"/>
        </w:rPr>
        <w:tab/>
      </w:r>
      <w:r w:rsidRPr="008E68C5">
        <w:rPr>
          <w:rFonts w:ascii="Arial" w:hAnsi="Arial" w:cs="Arial"/>
          <w:i/>
          <w:iCs/>
          <w:lang w:val="id-ID" w:eastAsia="en-GB"/>
        </w:rPr>
        <w:t xml:space="preserve">S - O </w:t>
      </w:r>
      <w:r w:rsidRPr="008E68C5">
        <w:rPr>
          <w:rFonts w:ascii="Arial" w:hAnsi="Arial" w:cs="Arial"/>
          <w:lang w:val="id-ID" w:eastAsia="en-GB"/>
        </w:rPr>
        <w:t xml:space="preserve">(+ , +)                                                                                                                     </w:t>
      </w:r>
    </w:p>
    <w:p w14:paraId="1760D6D9" w14:textId="77777777" w:rsidR="008E68C5" w:rsidRPr="008E68C5" w:rsidRDefault="008E68C5" w:rsidP="008E68C5">
      <w:pPr>
        <w:tabs>
          <w:tab w:val="left" w:pos="2268"/>
          <w:tab w:val="left" w:pos="4290"/>
          <w:tab w:val="left" w:pos="4820"/>
        </w:tabs>
        <w:jc w:val="center"/>
        <w:rPr>
          <w:rFonts w:ascii="Arial" w:hAnsi="Arial" w:cs="Arial"/>
          <w:lang w:val="id-ID" w:eastAsia="en-GB"/>
        </w:rPr>
      </w:pPr>
      <w:r w:rsidRPr="008E68C5">
        <w:rPr>
          <w:rFonts w:ascii="Arial" w:hAnsi="Arial" w:cs="Arial"/>
          <w:lang w:val="id-ID" w:eastAsia="en-GB"/>
        </w:rPr>
        <w:t xml:space="preserve">             </w:t>
      </w:r>
    </w:p>
    <w:p w14:paraId="791F0E48" w14:textId="77777777" w:rsidR="008E68C5" w:rsidRPr="008E68C5" w:rsidRDefault="008E68C5" w:rsidP="008E68C5">
      <w:pPr>
        <w:tabs>
          <w:tab w:val="left" w:pos="5810"/>
        </w:tabs>
        <w:rPr>
          <w:rFonts w:ascii="Arial" w:hAnsi="Arial" w:cs="Arial"/>
          <w:i/>
          <w:iCs/>
          <w:lang w:val="id-ID" w:eastAsia="en-GB"/>
        </w:rPr>
      </w:pPr>
      <w:r w:rsidRPr="008E68C5">
        <w:rPr>
          <w:rFonts w:ascii="Arial" w:eastAsia="Calibri" w:hAnsi="Arial" w:cs="Arial"/>
          <w:noProof/>
          <w14:ligatures w14:val="standardContextual"/>
        </w:rPr>
        <mc:AlternateContent>
          <mc:Choice Requires="wps">
            <w:drawing>
              <wp:anchor distT="0" distB="0" distL="114300" distR="114300" simplePos="0" relativeHeight="251661312" behindDoc="0" locked="0" layoutInCell="1" allowOverlap="1" wp14:anchorId="6B82D02F" wp14:editId="1479870D">
                <wp:simplePos x="0" y="0"/>
                <wp:positionH relativeFrom="column">
                  <wp:posOffset>3614420</wp:posOffset>
                </wp:positionH>
                <wp:positionV relativeFrom="paragraph">
                  <wp:posOffset>81915</wp:posOffset>
                </wp:positionV>
                <wp:extent cx="0" cy="300990"/>
                <wp:effectExtent l="0" t="0" r="38100" b="22860"/>
                <wp:wrapNone/>
                <wp:docPr id="829599462" name="Straight Connector 19"/>
                <wp:cNvGraphicFramePr/>
                <a:graphic xmlns:a="http://schemas.openxmlformats.org/drawingml/2006/main">
                  <a:graphicData uri="http://schemas.microsoft.com/office/word/2010/wordprocessingShape">
                    <wps:wsp>
                      <wps:cNvCnPr/>
                      <wps:spPr>
                        <a:xfrm>
                          <a:off x="0" y="0"/>
                          <a:ext cx="0" cy="300990"/>
                        </a:xfrm>
                        <a:prstGeom prst="line">
                          <a:avLst/>
                        </a:prstGeom>
                        <a:noFill/>
                        <a:ln w="6350" cap="flat" cmpd="sng" algn="ctr">
                          <a:solidFill>
                            <a:srgbClr val="4472C4"/>
                          </a:solidFill>
                          <a:prstDash val="dash"/>
                          <a:miter lim="800000"/>
                        </a:ln>
                        <a:effectLst/>
                      </wps:spPr>
                      <wps:bodyPr/>
                    </wps:wsp>
                  </a:graphicData>
                </a:graphic>
              </wp:anchor>
            </w:drawing>
          </mc:Choice>
          <mc:Fallback xmlns:w16sdtfl="http://schemas.microsoft.com/office/word/2024/wordml/sdtformatlock">
            <w:pict>
              <v:line w14:anchorId="332E0837"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4.6pt,6.45pt" to="284.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" strokecolor="#4472c4" strokeweight=".5pt">
                <v:stroke dashstyle="dash" joinstyle="miter"/>
              </v:line>
            </w:pict>
          </mc:Fallback>
        </mc:AlternateContent>
      </w:r>
      <w:r w:rsidRPr="008E68C5">
        <w:rPr>
          <w:rFonts w:ascii="Arial" w:eastAsia="Calibri" w:hAnsi="Arial" w:cs="Arial"/>
          <w:noProof/>
          <w14:ligatures w14:val="standardContextual"/>
        </w:rPr>
        <mc:AlternateContent>
          <mc:Choice Requires="wps">
            <w:drawing>
              <wp:anchor distT="0" distB="0" distL="114300" distR="114300" simplePos="0" relativeHeight="251660288" behindDoc="0" locked="0" layoutInCell="1" allowOverlap="1" wp14:anchorId="153EA776" wp14:editId="1FAB1404">
                <wp:simplePos x="0" y="0"/>
                <wp:positionH relativeFrom="column">
                  <wp:posOffset>2630170</wp:posOffset>
                </wp:positionH>
                <wp:positionV relativeFrom="paragraph">
                  <wp:posOffset>81915</wp:posOffset>
                </wp:positionV>
                <wp:extent cx="984250" cy="0"/>
                <wp:effectExtent l="0" t="0" r="0" b="0"/>
                <wp:wrapNone/>
                <wp:docPr id="923343789" name="Straight Connector 18"/>
                <wp:cNvGraphicFramePr/>
                <a:graphic xmlns:a="http://schemas.openxmlformats.org/drawingml/2006/main">
                  <a:graphicData uri="http://schemas.microsoft.com/office/word/2010/wordprocessingShape">
                    <wps:wsp>
                      <wps:cNvCnPr/>
                      <wps:spPr>
                        <a:xfrm>
                          <a:off x="0" y="0"/>
                          <a:ext cx="984250" cy="0"/>
                        </a:xfrm>
                        <a:prstGeom prst="line">
                          <a:avLst/>
                        </a:prstGeom>
                        <a:noFill/>
                        <a:ln w="6350" cap="flat" cmpd="sng" algn="ctr">
                          <a:solidFill>
                            <a:srgbClr val="4472C4"/>
                          </a:solidFill>
                          <a:prstDash val="dash"/>
                          <a:miter lim="800000"/>
                        </a:ln>
                        <a:effectLst/>
                      </wps:spPr>
                      <wps:bodyPr/>
                    </wps:wsp>
                  </a:graphicData>
                </a:graphic>
                <wp14:sizeRelV relativeFrom="margin">
                  <wp14:pctHeight>0</wp14:pctHeight>
                </wp14:sizeRelV>
              </wp:anchor>
            </w:drawing>
          </mc:Choice>
          <mc:Fallback xmlns:w16sdtfl="http://schemas.microsoft.com/office/word/2024/wordml/sdtformatlock">
            <w:pict>
              <v:line w14:anchorId="5290C12D" id="Straight Connector 18"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1pt,6.45pt" to="284.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" strokecolor="#4472c4" strokeweight=".5pt">
                <v:stroke dashstyle="dash" joinstyle="miter"/>
              </v:line>
            </w:pict>
          </mc:Fallback>
        </mc:AlternateContent>
      </w:r>
      <w:bookmarkStart w:id="3" w:name="_Hlk199670162"/>
      <w:r w:rsidRPr="008E68C5">
        <w:rPr>
          <w:rFonts w:ascii="Arial" w:hAnsi="Arial" w:cs="Arial"/>
          <w:i/>
          <w:iCs/>
          <w:color w:val="EE0000"/>
          <w:lang w:val="id-ID" w:eastAsia="en-GB"/>
        </w:rPr>
        <w:t xml:space="preserve">                                                                              </w:t>
      </w:r>
      <w:r w:rsidRPr="008E68C5">
        <w:rPr>
          <w:rFonts w:ascii="Arial" w:hAnsi="Arial" w:cs="Arial"/>
          <w:color w:val="000000"/>
          <w:lang w:val="id-ID" w:eastAsia="en-GB"/>
        </w:rPr>
        <w:t>0,2</w:t>
      </w:r>
      <w:bookmarkEnd w:id="3"/>
      <w:r w:rsidRPr="008E68C5">
        <w:rPr>
          <w:rFonts w:ascii="Arial" w:hAnsi="Arial" w:cs="Arial"/>
          <w:i/>
          <w:iCs/>
          <w:color w:val="EE0000"/>
          <w:lang w:val="id-ID" w:eastAsia="en-GB"/>
        </w:rPr>
        <w:t xml:space="preserve">                                </w:t>
      </w:r>
      <w:r w:rsidRPr="0073006B">
        <w:rPr>
          <w:rFonts w:ascii="Arial" w:hAnsi="Arial" w:cs="Arial"/>
          <w:b/>
          <w:bCs/>
          <w:i/>
          <w:iCs/>
          <w:lang w:val="id-ID" w:eastAsia="en-GB"/>
        </w:rPr>
        <w:t>CV. Tiga A</w:t>
      </w:r>
    </w:p>
    <w:p w14:paraId="3773DCFD" w14:textId="77777777" w:rsidR="008E68C5" w:rsidRPr="008E68C5" w:rsidRDefault="008E68C5" w:rsidP="008E68C5">
      <w:pPr>
        <w:tabs>
          <w:tab w:val="left" w:pos="2835"/>
          <w:tab w:val="left" w:pos="4395"/>
          <w:tab w:val="left" w:pos="5790"/>
        </w:tabs>
        <w:rPr>
          <w:rFonts w:ascii="Arial" w:hAnsi="Arial" w:cs="Arial"/>
          <w:lang w:val="id-ID" w:eastAsia="en-GB"/>
        </w:rPr>
      </w:pPr>
      <w:r w:rsidRPr="008E68C5">
        <w:rPr>
          <w:rFonts w:ascii="Arial" w:hAnsi="Arial" w:cs="Arial"/>
          <w:lang w:val="id-ID" w:eastAsia="en-GB"/>
        </w:rPr>
        <w:tab/>
        <w:t>Kuadran III</w:t>
      </w:r>
      <w:r w:rsidRPr="008E68C5">
        <w:rPr>
          <w:rFonts w:ascii="Arial" w:hAnsi="Arial" w:cs="Arial"/>
          <w:lang w:val="id-ID" w:eastAsia="en-GB"/>
        </w:rPr>
        <w:tab/>
        <w:t>Kuadran I</w:t>
      </w:r>
      <w:r w:rsidRPr="008E68C5">
        <w:rPr>
          <w:rFonts w:ascii="Arial" w:hAnsi="Arial" w:cs="Arial"/>
          <w:lang w:val="id-ID" w:eastAsia="en-GB"/>
        </w:rPr>
        <w:tab/>
      </w:r>
    </w:p>
    <w:p w14:paraId="72F1A10F" w14:textId="77777777" w:rsidR="008E68C5" w:rsidRPr="008E68C5" w:rsidRDefault="008E68C5" w:rsidP="008E68C5">
      <w:pPr>
        <w:tabs>
          <w:tab w:val="left" w:pos="6663"/>
        </w:tabs>
        <w:ind w:left="426"/>
        <w:rPr>
          <w:rFonts w:ascii="Arial" w:hAnsi="Arial" w:cs="Arial"/>
          <w:i/>
          <w:iCs/>
          <w:lang w:val="id-ID" w:eastAsia="en-GB"/>
        </w:rPr>
      </w:pPr>
      <w:r w:rsidRPr="008E68C5">
        <w:rPr>
          <w:rFonts w:ascii="Arial" w:hAnsi="Arial" w:cs="Arial"/>
          <w:lang w:val="id-ID" w:eastAsia="en-GB"/>
        </w:rPr>
        <w:t>Weaknesses</w:t>
      </w:r>
      <w:r w:rsidRPr="008E68C5">
        <w:rPr>
          <w:rFonts w:ascii="Arial" w:hAnsi="Arial" w:cs="Arial"/>
          <w:i/>
          <w:iCs/>
          <w:lang w:val="id-ID" w:eastAsia="en-GB"/>
        </w:rPr>
        <w:tab/>
      </w:r>
      <w:r w:rsidRPr="008E68C5">
        <w:rPr>
          <w:rFonts w:ascii="Arial" w:hAnsi="Arial" w:cs="Arial"/>
          <w:lang w:val="id-ID" w:eastAsia="en-GB"/>
        </w:rPr>
        <w:t>Strengths</w:t>
      </w:r>
    </w:p>
    <w:p w14:paraId="3ABCC3C5" w14:textId="77777777" w:rsidR="008E68C5" w:rsidRPr="008E68C5" w:rsidRDefault="008E68C5" w:rsidP="008E68C5">
      <w:pPr>
        <w:tabs>
          <w:tab w:val="left" w:pos="2835"/>
          <w:tab w:val="left" w:pos="4395"/>
        </w:tabs>
        <w:rPr>
          <w:rFonts w:ascii="Arial" w:hAnsi="Arial" w:cs="Arial"/>
          <w:lang w:val="id-ID" w:eastAsia="en-GB"/>
        </w:rPr>
      </w:pPr>
      <w:r w:rsidRPr="008E68C5">
        <w:rPr>
          <w:rFonts w:ascii="Arial" w:hAnsi="Arial" w:cs="Arial"/>
          <w:lang w:val="id-ID" w:eastAsia="en-GB"/>
        </w:rPr>
        <w:tab/>
        <w:t>Kuadran IV</w:t>
      </w:r>
      <w:r w:rsidRPr="008E68C5">
        <w:rPr>
          <w:rFonts w:ascii="Arial" w:hAnsi="Arial" w:cs="Arial"/>
          <w:lang w:val="id-ID" w:eastAsia="en-GB"/>
        </w:rPr>
        <w:tab/>
        <w:t>Kuadran II      0,6</w:t>
      </w:r>
    </w:p>
    <w:p w14:paraId="76AF3833" w14:textId="77777777" w:rsidR="008E68C5" w:rsidRPr="008E68C5" w:rsidRDefault="008E68C5" w:rsidP="008E68C5">
      <w:pPr>
        <w:jc w:val="center"/>
        <w:rPr>
          <w:rFonts w:ascii="Arial" w:hAnsi="Arial" w:cs="Arial"/>
          <w:i/>
          <w:iCs/>
          <w:lang w:val="id-ID" w:eastAsia="en-GB"/>
        </w:rPr>
      </w:pPr>
    </w:p>
    <w:p w14:paraId="3B0C025A" w14:textId="77777777" w:rsidR="008E68C5" w:rsidRPr="008E68C5" w:rsidRDefault="008E68C5" w:rsidP="008E68C5">
      <w:pPr>
        <w:tabs>
          <w:tab w:val="left" w:pos="2268"/>
          <w:tab w:val="left" w:pos="4820"/>
        </w:tabs>
        <w:rPr>
          <w:rFonts w:ascii="Arial" w:hAnsi="Arial" w:cs="Arial"/>
          <w:i/>
          <w:iCs/>
          <w:lang w:val="id-ID" w:eastAsia="en-GB"/>
        </w:rPr>
      </w:pPr>
      <w:r w:rsidRPr="008E68C5">
        <w:rPr>
          <w:rFonts w:ascii="Arial" w:hAnsi="Arial" w:cs="Arial"/>
          <w:i/>
          <w:iCs/>
          <w:lang w:val="id-ID" w:eastAsia="en-GB"/>
        </w:rPr>
        <w:tab/>
      </w:r>
    </w:p>
    <w:p w14:paraId="56C2FA0E" w14:textId="77777777" w:rsidR="008E68C5" w:rsidRPr="008E68C5" w:rsidRDefault="008E68C5" w:rsidP="008E68C5">
      <w:pPr>
        <w:tabs>
          <w:tab w:val="left" w:pos="2268"/>
          <w:tab w:val="left" w:pos="4820"/>
        </w:tabs>
        <w:rPr>
          <w:rFonts w:ascii="Arial" w:hAnsi="Arial" w:cs="Arial"/>
          <w:i/>
          <w:iCs/>
          <w:lang w:val="id-ID" w:eastAsia="en-GB"/>
        </w:rPr>
      </w:pPr>
      <w:r w:rsidRPr="008E68C5">
        <w:rPr>
          <w:rFonts w:ascii="Arial" w:hAnsi="Arial" w:cs="Arial"/>
          <w:i/>
          <w:iCs/>
          <w:lang w:val="id-ID" w:eastAsia="en-GB"/>
        </w:rPr>
        <w:tab/>
        <w:t xml:space="preserve">W - T </w:t>
      </w:r>
      <w:r w:rsidRPr="008E68C5">
        <w:rPr>
          <w:rFonts w:ascii="Arial" w:hAnsi="Arial" w:cs="Arial"/>
          <w:lang w:val="id-ID" w:eastAsia="en-GB"/>
        </w:rPr>
        <w:t>(- , -)</w:t>
      </w:r>
      <w:r w:rsidRPr="008E68C5">
        <w:rPr>
          <w:rFonts w:ascii="Arial" w:hAnsi="Arial" w:cs="Arial"/>
          <w:lang w:val="id-ID" w:eastAsia="en-GB"/>
        </w:rPr>
        <w:tab/>
      </w:r>
      <w:r w:rsidRPr="008E68C5">
        <w:rPr>
          <w:rFonts w:ascii="Arial" w:hAnsi="Arial" w:cs="Arial"/>
          <w:i/>
          <w:iCs/>
          <w:lang w:val="id-ID" w:eastAsia="en-GB"/>
        </w:rPr>
        <w:t xml:space="preserve">S - T </w:t>
      </w:r>
      <w:r w:rsidRPr="008E68C5">
        <w:rPr>
          <w:rFonts w:ascii="Arial" w:hAnsi="Arial" w:cs="Arial"/>
          <w:lang w:val="id-ID" w:eastAsia="en-GB"/>
        </w:rPr>
        <w:t>(+ , -)</w:t>
      </w:r>
    </w:p>
    <w:p w14:paraId="10FFD03E" w14:textId="77777777" w:rsidR="008E68C5" w:rsidRPr="008E68C5" w:rsidRDefault="008E68C5" w:rsidP="008E68C5">
      <w:pPr>
        <w:jc w:val="center"/>
        <w:rPr>
          <w:rFonts w:ascii="Arial" w:hAnsi="Arial" w:cs="Arial"/>
          <w:i/>
          <w:iCs/>
          <w:lang w:val="id-ID" w:eastAsia="en-GB"/>
        </w:rPr>
      </w:pPr>
    </w:p>
    <w:p w14:paraId="40E4963E" w14:textId="77777777" w:rsidR="008E68C5" w:rsidRPr="008E68C5" w:rsidRDefault="008E68C5" w:rsidP="008E68C5">
      <w:pPr>
        <w:jc w:val="center"/>
        <w:rPr>
          <w:rFonts w:ascii="Arial" w:hAnsi="Arial" w:cs="Arial"/>
          <w:i/>
          <w:iCs/>
          <w:lang w:val="id-ID" w:eastAsia="en-GB"/>
        </w:rPr>
      </w:pPr>
    </w:p>
    <w:p w14:paraId="1C649973" w14:textId="77777777" w:rsidR="008E68C5" w:rsidRPr="008E68C5" w:rsidRDefault="008E68C5" w:rsidP="008E68C5">
      <w:pPr>
        <w:jc w:val="center"/>
        <w:rPr>
          <w:rFonts w:ascii="Arial" w:hAnsi="Arial" w:cs="Arial"/>
          <w:i/>
          <w:iCs/>
          <w:lang w:val="id-ID" w:eastAsia="en-GB"/>
        </w:rPr>
      </w:pPr>
    </w:p>
    <w:p w14:paraId="5A5F8AD8" w14:textId="77777777" w:rsidR="008E68C5" w:rsidRPr="008E68C5" w:rsidRDefault="008E68C5" w:rsidP="008E68C5">
      <w:pPr>
        <w:jc w:val="center"/>
        <w:rPr>
          <w:rFonts w:ascii="Arial" w:hAnsi="Arial" w:cs="Arial"/>
          <w:i/>
          <w:iCs/>
          <w:lang w:val="id-ID" w:eastAsia="en-GB"/>
        </w:rPr>
      </w:pPr>
    </w:p>
    <w:p w14:paraId="1E5E77E8" w14:textId="77777777" w:rsidR="008E68C5" w:rsidRDefault="008E68C5" w:rsidP="008E68C5">
      <w:pPr>
        <w:jc w:val="center"/>
        <w:rPr>
          <w:rFonts w:ascii="Arial" w:hAnsi="Arial" w:cs="Arial"/>
          <w:lang w:val="id-ID" w:eastAsia="en-GB"/>
        </w:rPr>
      </w:pPr>
      <w:r w:rsidRPr="008E68C5">
        <w:rPr>
          <w:rFonts w:ascii="Arial" w:hAnsi="Arial" w:cs="Arial"/>
          <w:lang w:val="id-ID" w:eastAsia="en-GB"/>
        </w:rPr>
        <w:t>Threats</w:t>
      </w:r>
    </w:p>
    <w:p w14:paraId="7C18DDB7" w14:textId="77777777" w:rsidR="0073006B" w:rsidRPr="008E68C5" w:rsidRDefault="0073006B" w:rsidP="008E68C5">
      <w:pPr>
        <w:jc w:val="center"/>
        <w:rPr>
          <w:rFonts w:ascii="Arial" w:hAnsi="Arial" w:cs="Arial"/>
          <w:lang w:val="id-ID" w:eastAsia="en-GB"/>
        </w:rPr>
      </w:pPr>
    </w:p>
    <w:p w14:paraId="292AC74A" w14:textId="4C3AEF4A" w:rsidR="008E68C5" w:rsidRDefault="008E68C5" w:rsidP="008E68C5">
      <w:pPr>
        <w:jc w:val="center"/>
        <w:rPr>
          <w:rFonts w:ascii="Arial" w:hAnsi="Arial" w:cs="Arial"/>
          <w:kern w:val="2"/>
          <w:lang w:val="id-ID" w:eastAsia="en-GB"/>
          <w14:ligatures w14:val="standardContextual"/>
        </w:rPr>
      </w:pPr>
      <w:r w:rsidRPr="008E68C5">
        <w:rPr>
          <w:rFonts w:ascii="Arial" w:hAnsi="Arial" w:cs="Arial"/>
          <w:kern w:val="2"/>
          <w:lang w:val="id-ID" w:eastAsia="en-GB"/>
          <w14:ligatures w14:val="standardContextual"/>
        </w:rPr>
        <w:t>Figure 1. Quadrant of eel export development strategy</w:t>
      </w:r>
    </w:p>
    <w:p w14:paraId="0BFAB7A9" w14:textId="056A53DB" w:rsidR="008E68C5" w:rsidRDefault="008E68C5" w:rsidP="008E68C5">
      <w:pPr>
        <w:jc w:val="center"/>
        <w:rPr>
          <w:rFonts w:ascii="Arial" w:hAnsi="Arial" w:cs="Arial"/>
          <w:kern w:val="2"/>
          <w:lang w:val="id-ID" w:eastAsia="en-GB"/>
          <w14:ligatures w14:val="standardContextual"/>
        </w:rPr>
      </w:pPr>
    </w:p>
    <w:p w14:paraId="410D5EB1" w14:textId="3BBCAFA0" w:rsidR="00EC2A19" w:rsidRDefault="00E22EC8" w:rsidP="0073006B">
      <w:pPr>
        <w:jc w:val="both"/>
        <w:rPr>
          <w:rFonts w:ascii="Arial" w:hAnsi="Arial" w:cs="Arial"/>
          <w:kern w:val="2"/>
          <w:lang w:val="id-ID" w:eastAsia="en-GB"/>
          <w14:ligatures w14:val="standardContextual"/>
        </w:rPr>
      </w:pPr>
      <w:r>
        <w:rPr>
          <w:rFonts w:ascii="Arial" w:hAnsi="Arial" w:cs="Arial"/>
          <w:kern w:val="2"/>
          <w:lang w:val="id-ID" w:eastAsia="en-GB"/>
          <w14:ligatures w14:val="standardContextual"/>
        </w:rPr>
        <w:t>T</w:t>
      </w:r>
      <w:r w:rsidR="008E68C5" w:rsidRPr="008E68C5">
        <w:rPr>
          <w:rFonts w:ascii="Arial" w:hAnsi="Arial" w:cs="Arial"/>
          <w:kern w:val="2"/>
          <w:lang w:val="id-ID" w:eastAsia="en-GB"/>
          <w14:ligatures w14:val="standardContextual"/>
        </w:rPr>
        <w:t xml:space="preserve">he results of the SWOT coordinate calculation, the position of </w:t>
      </w:r>
      <w:r w:rsidR="002F0774" w:rsidRPr="002F0774">
        <w:rPr>
          <w:rFonts w:ascii="Arial" w:hAnsi="Arial" w:cs="Arial"/>
        </w:rPr>
        <w:t>Commanditaire Vennootschap</w:t>
      </w:r>
      <w:r w:rsidR="002F0774" w:rsidRPr="00192DF1">
        <w:rPr>
          <w:rFonts w:ascii="Arial" w:hAnsi="Arial" w:cs="Arial"/>
        </w:rPr>
        <w:t xml:space="preserve"> </w:t>
      </w:r>
      <w:r w:rsidR="002F0774">
        <w:rPr>
          <w:rFonts w:ascii="Arial" w:hAnsi="Arial" w:cs="Arial"/>
        </w:rPr>
        <w:t>(</w:t>
      </w:r>
      <w:r w:rsidR="002F0774" w:rsidRPr="00192DF1">
        <w:rPr>
          <w:rFonts w:ascii="Arial" w:hAnsi="Arial" w:cs="Arial"/>
        </w:rPr>
        <w:t>CV</w:t>
      </w:r>
      <w:r w:rsidR="002F0774">
        <w:rPr>
          <w:rFonts w:ascii="Arial" w:hAnsi="Arial" w:cs="Arial"/>
        </w:rPr>
        <w:t>)</w:t>
      </w:r>
      <w:r w:rsidR="008E68C5" w:rsidRPr="008E68C5">
        <w:rPr>
          <w:rFonts w:ascii="Arial" w:hAnsi="Arial" w:cs="Arial"/>
          <w:kern w:val="2"/>
          <w:lang w:val="id-ID" w:eastAsia="en-GB"/>
          <w14:ligatures w14:val="standardContextual"/>
        </w:rPr>
        <w:t>. Tiga A is in Quadrant I (S-O) with a value of X = + 0.60 and Y = + 0.20. This position illustrates that the company's internal strengths are greater than its weaknesses, and the available market opportunities are greater than its threats. This position is ideal because it shows that the company has a strong internal foundation and a supportive external environment for growth.</w:t>
      </w:r>
      <w:r>
        <w:rPr>
          <w:rFonts w:ascii="Arial" w:hAnsi="Arial" w:cs="Arial"/>
          <w:kern w:val="2"/>
          <w:lang w:val="id-ID" w:eastAsia="en-GB"/>
          <w14:ligatures w14:val="standardContextual"/>
        </w:rPr>
        <w:t xml:space="preserve"> T</w:t>
      </w:r>
      <w:r w:rsidR="008E68C5" w:rsidRPr="008E68C5">
        <w:rPr>
          <w:rFonts w:ascii="Arial" w:hAnsi="Arial" w:cs="Arial"/>
          <w:kern w:val="2"/>
          <w:lang w:val="id-ID" w:eastAsia="en-GB"/>
          <w14:ligatures w14:val="standardContextual"/>
        </w:rPr>
        <w:t xml:space="preserve">he strategy implemented is the Aggressive Strategy (S-O), namely by utilizing all strengths to achieve maximum opportunities. </w:t>
      </w:r>
      <w:r w:rsidR="002F0774" w:rsidRPr="002F0774">
        <w:rPr>
          <w:rFonts w:ascii="Arial" w:hAnsi="Arial" w:cs="Arial"/>
        </w:rPr>
        <w:t>Commanditaire Vennootschap</w:t>
      </w:r>
      <w:r w:rsidR="002F0774" w:rsidRPr="00192DF1">
        <w:rPr>
          <w:rFonts w:ascii="Arial" w:hAnsi="Arial" w:cs="Arial"/>
        </w:rPr>
        <w:t xml:space="preserve"> </w:t>
      </w:r>
      <w:r w:rsidR="002F0774">
        <w:rPr>
          <w:rFonts w:ascii="Arial" w:hAnsi="Arial" w:cs="Arial"/>
        </w:rPr>
        <w:t>(</w:t>
      </w:r>
      <w:r w:rsidR="002F0774" w:rsidRPr="00192DF1">
        <w:rPr>
          <w:rFonts w:ascii="Arial" w:hAnsi="Arial" w:cs="Arial"/>
        </w:rPr>
        <w:t>CV</w:t>
      </w:r>
      <w:r w:rsidR="002F0774">
        <w:rPr>
          <w:rFonts w:ascii="Arial" w:hAnsi="Arial" w:cs="Arial"/>
        </w:rPr>
        <w:t>)</w:t>
      </w:r>
      <w:r w:rsidR="008E68C5" w:rsidRPr="008E68C5">
        <w:rPr>
          <w:rFonts w:ascii="Arial" w:hAnsi="Arial" w:cs="Arial"/>
          <w:kern w:val="2"/>
          <w:lang w:val="id-ID" w:eastAsia="en-GB"/>
          <w14:ligatures w14:val="standardContextual"/>
        </w:rPr>
        <w:t>. Tiga A's Eel Export Business Development Strategy Because it is in Quadrant I, the company must use its strengths to the maximum to seize opportunities.</w:t>
      </w:r>
      <w:r w:rsidR="0073006B">
        <w:rPr>
          <w:rFonts w:ascii="Arial" w:hAnsi="Arial" w:cs="Arial"/>
          <w:kern w:val="2"/>
          <w:lang w:eastAsia="en-GB"/>
          <w14:ligatures w14:val="standardContextual"/>
        </w:rPr>
        <w:t xml:space="preserve"> </w:t>
      </w:r>
      <w:r w:rsidR="00EC2A19" w:rsidRPr="00EC2A19">
        <w:rPr>
          <w:rFonts w:ascii="Arial" w:hAnsi="Arial" w:cs="Arial"/>
          <w:kern w:val="2"/>
          <w:lang w:val="id-ID" w:eastAsia="en-GB"/>
          <w14:ligatures w14:val="standardContextual"/>
        </w:rPr>
        <w:t>Key Strategy Recommendations (Based on SWOT Score Ranking)</w:t>
      </w:r>
    </w:p>
    <w:p w14:paraId="278EF440" w14:textId="7241EAE3"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Increase export volume by utilizing supplier/collector network and own cargo facilities. It is expected that by strengthening cooperation with local suppliers/collectors, it can ensure continuity of supply, maximize the utilization of own cargo facilities for logistics efficiency, take advantage of high world demand and strengthening dollar exchange rate to boost profit margins.</w:t>
      </w:r>
    </w:p>
    <w:p w14:paraId="6A421B94" w14:textId="54CF9591"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Diversification of export markets to other countries with the hope of reducing export dependence on one country (for example China) by opening access to the Japanese, Korean and ASEAN markets, for example through international exhibitions or economic diplomatic channels, as well as preparing strategies to face price competition and global market fluctuations.</w:t>
      </w:r>
    </w:p>
    <w:p w14:paraId="248DC8FA" w14:textId="6A47B026"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Promotion of foreign trade through programs from the Ministry or related institutions, utilizing the strength of relationships with buyers to expand networks, and anticipating regulatory changes by monitoring the latest export policies.</w:t>
      </w:r>
    </w:p>
    <w:p w14:paraId="0E4CC6EA" w14:textId="3FF5187C"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Expanding supply during the lean season by collaborating with collectors from other areas, preparing logistics for transportation from alternative areas when local eels are hard to come by and using alternative airlines if the opportunity arises.</w:t>
      </w:r>
    </w:p>
    <w:p w14:paraId="6DA04AF6" w14:textId="7BDE4F3B"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 xml:space="preserve">Strengthening risk management by building a risk management system for price and exchange rate fluctuations, periodically evaluating market dependencies in order to </w:t>
      </w:r>
      <w:r w:rsidRPr="0073006B">
        <w:rPr>
          <w:rFonts w:ascii="Arial" w:hAnsi="Arial" w:cs="Arial"/>
          <w:kern w:val="2"/>
          <w:lang w:val="id-ID" w:eastAsia="en-GB"/>
          <w14:ligatures w14:val="standardContextual"/>
        </w:rPr>
        <w:lastRenderedPageBreak/>
        <w:t>respond quickly when conditions change, and using medium or long-term price contracts whenever possible.</w:t>
      </w:r>
    </w:p>
    <w:p w14:paraId="57B85EB1" w14:textId="26559A5D" w:rsidR="00EC2A19" w:rsidRPr="0073006B" w:rsidRDefault="00EC2A19" w:rsidP="0073006B">
      <w:pPr>
        <w:pStyle w:val="ListParagraph"/>
        <w:numPr>
          <w:ilvl w:val="0"/>
          <w:numId w:val="32"/>
        </w:numPr>
        <w:ind w:left="426" w:hanging="284"/>
        <w:jc w:val="both"/>
        <w:rPr>
          <w:rFonts w:ascii="Arial" w:hAnsi="Arial" w:cs="Arial"/>
          <w:kern w:val="2"/>
          <w:lang w:val="id-ID" w:eastAsia="en-GB"/>
          <w14:ligatures w14:val="standardContextual"/>
        </w:rPr>
      </w:pPr>
      <w:r w:rsidRPr="0073006B">
        <w:rPr>
          <w:rFonts w:ascii="Arial" w:hAnsi="Arial" w:cs="Arial"/>
          <w:kern w:val="2"/>
          <w:lang w:val="id-ID" w:eastAsia="en-GB"/>
          <w14:ligatures w14:val="standardContextual"/>
        </w:rPr>
        <w:t>Add human resources or workers to avoid duplicate tasks and take special training for export staff to be more professional and focused.</w:t>
      </w:r>
    </w:p>
    <w:p w14:paraId="66317DC4" w14:textId="1B21FCBC" w:rsidR="00EC2A19" w:rsidRDefault="00EC2A19" w:rsidP="008E68C5">
      <w:pPr>
        <w:jc w:val="both"/>
        <w:rPr>
          <w:rFonts w:ascii="Arial" w:hAnsi="Arial" w:cs="Arial"/>
          <w:kern w:val="2"/>
          <w:lang w:val="id-ID" w:eastAsia="en-GB"/>
          <w14:ligatures w14:val="standardContextual"/>
        </w:rPr>
      </w:pPr>
    </w:p>
    <w:p w14:paraId="01E9731F" w14:textId="60201A06" w:rsidR="00EC2A19" w:rsidRDefault="00EC2A19" w:rsidP="008E68C5">
      <w:pPr>
        <w:jc w:val="both"/>
        <w:rPr>
          <w:rFonts w:ascii="Arial" w:hAnsi="Arial" w:cs="Arial"/>
          <w:kern w:val="2"/>
          <w:lang w:val="id-ID" w:eastAsia="en-GB"/>
          <w14:ligatures w14:val="standardContextual"/>
        </w:rPr>
      </w:pPr>
      <w:r w:rsidRPr="00EC2A19">
        <w:rPr>
          <w:rFonts w:ascii="Arial" w:hAnsi="Arial" w:cs="Arial"/>
          <w:kern w:val="2"/>
          <w:lang w:val="id-ID" w:eastAsia="en-GB"/>
          <w14:ligatures w14:val="standardContextual"/>
        </w:rPr>
        <w:t>Research on the export strategy analysis approach conducted by Lilimantik (2024) in his study of dried seaweed marketing by PT. SELT Alga Indonesia. In this study, the marketing strategy was formulated through a SWOT approach that includes the strengths, weaknesses, opportunities, and threats faced by business actors in seaweed exports. The findings show that export success is highly dependent on the quality of raw materials, the sustainability of partnerships with farmers, and the company's ability to strategically utilize foreign market opportunities. This is relevant to the conditions of eel exports in South Kalimantan, which although it has great potential in terms of natural resource availability and international demand, still faces challenges in terms of marketing structure, limited post-harvest processing, and fluctuations in selling prices (Hidayah, 2024). By adopting a similar approach, namely through SWOT analysis and the preparation of marketing strategies based on internal and external conditions.</w:t>
      </w:r>
    </w:p>
    <w:p w14:paraId="4A9351CA" w14:textId="3A2DF0DE" w:rsidR="00EC2A19" w:rsidRPr="008E68C5" w:rsidRDefault="00EC2A19" w:rsidP="008E68C5">
      <w:pPr>
        <w:jc w:val="both"/>
        <w:rPr>
          <w:rFonts w:ascii="Arial" w:hAnsi="Arial" w:cs="Arial"/>
          <w:kern w:val="2"/>
          <w:lang w:val="id-ID" w:eastAsia="en-GB"/>
          <w14:ligatures w14:val="standardContextual"/>
        </w:rPr>
      </w:pPr>
      <w:r w:rsidRPr="00EC2A19">
        <w:rPr>
          <w:rFonts w:ascii="Arial" w:hAnsi="Arial" w:cs="Arial"/>
          <w:kern w:val="2"/>
          <w:lang w:val="id-ID" w:eastAsia="en-GB"/>
          <w14:ligatures w14:val="standardContextual"/>
        </w:rPr>
        <w:t>The eel export strategy as a fishery commodity requires a deep understanding of market potential, supply chain management, and technical and institutional readiness. Dekayanti et al. (2021) emphasized that although export efforts are faced with occupational safety risks and simple processing, export market demand remains high, especially from China, Vietnam, and Japan. This is an important lesson that commodities such as eels also have similar export opportunities, as long as they are able to meet international quality standards and global market needs.</w:t>
      </w:r>
      <w:r w:rsidR="00E22EC8">
        <w:rPr>
          <w:rFonts w:ascii="Arial" w:hAnsi="Arial" w:cs="Arial"/>
          <w:kern w:val="2"/>
          <w:lang w:val="id-ID" w:eastAsia="en-GB"/>
          <w14:ligatures w14:val="standardContextual"/>
        </w:rPr>
        <w:t xml:space="preserve"> T</w:t>
      </w:r>
      <w:r w:rsidRPr="00EC2A19">
        <w:rPr>
          <w:rFonts w:ascii="Arial" w:hAnsi="Arial" w:cs="Arial"/>
          <w:kern w:val="2"/>
          <w:lang w:val="id-ID" w:eastAsia="en-GB"/>
          <w14:ligatures w14:val="standardContextual"/>
        </w:rPr>
        <w:t>he eel export strategy should be directed at improving the quality of processing, quality certification, and strengthening international trade networks (Rahmayati, 2015).</w:t>
      </w:r>
    </w:p>
    <w:p w14:paraId="692C2AB6" w14:textId="77777777" w:rsidR="008E68C5" w:rsidRPr="008E68C5" w:rsidRDefault="008E68C5" w:rsidP="008E68C5">
      <w:pPr>
        <w:jc w:val="center"/>
        <w:rPr>
          <w:rFonts w:ascii="Arial" w:hAnsi="Arial" w:cs="Arial"/>
          <w:kern w:val="2"/>
          <w:lang w:val="id-ID" w:eastAsia="en-GB"/>
          <w14:ligatures w14:val="standardContextual"/>
        </w:rPr>
      </w:pPr>
    </w:p>
    <w:p w14:paraId="46FE319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C24721" w14:textId="77777777" w:rsidR="00790ADA" w:rsidRPr="00FB3A86" w:rsidRDefault="00790ADA" w:rsidP="00441B6F">
      <w:pPr>
        <w:pStyle w:val="ConcHead"/>
        <w:spacing w:after="0"/>
        <w:jc w:val="both"/>
        <w:rPr>
          <w:rFonts w:ascii="Arial" w:hAnsi="Arial" w:cs="Arial"/>
        </w:rPr>
      </w:pPr>
    </w:p>
    <w:p w14:paraId="2570C4B3" w14:textId="0C6E6805" w:rsidR="005105A7" w:rsidRDefault="005105A7" w:rsidP="00441B6F">
      <w:pPr>
        <w:pStyle w:val="AcknHead"/>
        <w:spacing w:after="0"/>
        <w:jc w:val="both"/>
        <w:rPr>
          <w:rFonts w:ascii="Arial" w:hAnsi="Arial" w:cs="Arial"/>
          <w:b w:val="0"/>
          <w:caps w:val="0"/>
          <w:sz w:val="20"/>
        </w:rPr>
      </w:pPr>
      <w:r w:rsidRPr="005105A7">
        <w:rPr>
          <w:rFonts w:ascii="Arial" w:hAnsi="Arial" w:cs="Arial"/>
          <w:b w:val="0"/>
          <w:caps w:val="0"/>
          <w:sz w:val="20"/>
        </w:rPr>
        <w:t xml:space="preserve">Eel export strategy in South Kalimantan Province, especially Hulu Sungai Regency, is the largest eel producing area with </w:t>
      </w:r>
      <w:r w:rsidR="002F0774" w:rsidRPr="002F0774">
        <w:rPr>
          <w:rFonts w:ascii="Arial" w:hAnsi="Arial" w:cs="Arial"/>
          <w:b w:val="0"/>
          <w:caps w:val="0"/>
          <w:sz w:val="20"/>
        </w:rPr>
        <w:t>Commanditaire Vennootschap (CV)</w:t>
      </w:r>
      <w:r w:rsidRPr="005105A7">
        <w:rPr>
          <w:rFonts w:ascii="Arial" w:hAnsi="Arial" w:cs="Arial"/>
          <w:b w:val="0"/>
          <w:caps w:val="0"/>
          <w:sz w:val="20"/>
        </w:rPr>
        <w:t xml:space="preserve">. Tiga A as the sole active exporter that exports live eels to the Chinese market through a distribution chain involving catchers, collectors, suppliers, and exporters. SWOT analysis places </w:t>
      </w:r>
      <w:r w:rsidR="002F0774" w:rsidRPr="002F0774">
        <w:rPr>
          <w:rFonts w:ascii="Arial" w:hAnsi="Arial" w:cs="Arial"/>
          <w:b w:val="0"/>
          <w:caps w:val="0"/>
          <w:sz w:val="20"/>
        </w:rPr>
        <w:t>Commanditaire Vennootschap (CV)</w:t>
      </w:r>
      <w:r w:rsidRPr="005105A7">
        <w:rPr>
          <w:rFonts w:ascii="Arial" w:hAnsi="Arial" w:cs="Arial"/>
          <w:b w:val="0"/>
          <w:caps w:val="0"/>
          <w:sz w:val="20"/>
        </w:rPr>
        <w:t>. Tiga A in Quadrant I (S-O), which reflects the company's solid internal strengths and significant external opportunities. This condition provides a strategic foundation for the company to implement an aggressive strategy in developing sustainable live eel exports, thus potentially increasing competitiveness and optimal export market growth.</w:t>
      </w:r>
    </w:p>
    <w:p w14:paraId="4DBDD645" w14:textId="06D1E65E" w:rsidR="00F13D0E" w:rsidRDefault="00F13D0E" w:rsidP="00441B6F">
      <w:pPr>
        <w:pStyle w:val="AcknHead"/>
        <w:spacing w:after="0"/>
        <w:jc w:val="both"/>
        <w:rPr>
          <w:rFonts w:ascii="Arial" w:hAnsi="Arial" w:cs="Arial"/>
          <w:b w:val="0"/>
          <w:caps w:val="0"/>
          <w:sz w:val="20"/>
        </w:rPr>
      </w:pPr>
    </w:p>
    <w:p w14:paraId="59C7417E" w14:textId="45A8D0C6" w:rsidR="00F13D0E" w:rsidRPr="002A5A27" w:rsidRDefault="00F13D0E" w:rsidP="00F13D0E">
      <w:pPr>
        <w:rPr>
          <w:rFonts w:ascii="Calibri" w:eastAsia="Calibri" w:hAnsi="Calibri"/>
          <w:kern w:val="2"/>
        </w:rPr>
      </w:pPr>
      <w:bookmarkStart w:id="4" w:name="_Hlk197682619"/>
      <w:bookmarkStart w:id="5" w:name="_Hlk180402183"/>
      <w:bookmarkStart w:id="6" w:name="_Hlk183680988"/>
      <w:r w:rsidRPr="002A5A27">
        <w:rPr>
          <w:rFonts w:ascii="Calibri" w:eastAsia="Calibri" w:hAnsi="Calibri"/>
          <w:kern w:val="2"/>
        </w:rPr>
        <w:t xml:space="preserve">Disclaimer </w:t>
      </w:r>
    </w:p>
    <w:p w14:paraId="4637CA0A" w14:textId="77777777" w:rsidR="00F13D0E" w:rsidRPr="002A5A27" w:rsidRDefault="00F13D0E" w:rsidP="002A5A27">
      <w:pPr>
        <w:jc w:val="both"/>
        <w:rPr>
          <w:rFonts w:ascii="Calibri" w:eastAsia="Calibri" w:hAnsi="Calibri"/>
          <w:kern w:val="2"/>
        </w:rPr>
      </w:pPr>
      <w:r w:rsidRPr="002A5A27">
        <w:rPr>
          <w:rFonts w:ascii="Calibri" w:eastAsia="Calibri" w:hAnsi="Calibri"/>
          <w:kern w:val="2"/>
        </w:rPr>
        <w:t xml:space="preserve">Author(s) hereby declare that NO generative AI technologies such as Large Language Models (ChatGPT, COPILOT, etc.) and text-to-image generators have been used during the writing or editing of this manuscript. </w:t>
      </w:r>
    </w:p>
    <w:bookmarkEnd w:id="4"/>
    <w:bookmarkEnd w:id="5"/>
    <w:bookmarkEnd w:id="6"/>
    <w:p w14:paraId="3D7F5AB2" w14:textId="77777777" w:rsidR="00F13D0E" w:rsidRPr="002A5A27" w:rsidRDefault="00F13D0E" w:rsidP="00441B6F">
      <w:pPr>
        <w:pStyle w:val="AcknHead"/>
        <w:spacing w:after="0"/>
        <w:jc w:val="both"/>
        <w:rPr>
          <w:rFonts w:ascii="Arial" w:hAnsi="Arial" w:cs="Arial"/>
          <w:b w:val="0"/>
          <w:caps w:val="0"/>
          <w:sz w:val="20"/>
        </w:rPr>
      </w:pPr>
    </w:p>
    <w:p w14:paraId="44DE73DC" w14:textId="77777777" w:rsidR="00860000" w:rsidRPr="002A5A27" w:rsidRDefault="00860000" w:rsidP="00441B6F">
      <w:pPr>
        <w:pStyle w:val="ReferHead"/>
        <w:spacing w:after="0"/>
        <w:jc w:val="both"/>
        <w:rPr>
          <w:rFonts w:ascii="Arial" w:hAnsi="Arial" w:cs="Arial"/>
        </w:rPr>
      </w:pPr>
    </w:p>
    <w:p w14:paraId="250F8B80" w14:textId="77777777" w:rsidR="00B01FCD" w:rsidRPr="002A5A27" w:rsidRDefault="00B01FCD" w:rsidP="00441B6F">
      <w:pPr>
        <w:pStyle w:val="ReferHead"/>
        <w:spacing w:after="0"/>
        <w:jc w:val="both"/>
        <w:rPr>
          <w:rFonts w:ascii="Arial" w:hAnsi="Arial" w:cs="Arial"/>
        </w:rPr>
      </w:pPr>
      <w:r w:rsidRPr="002A5A27">
        <w:rPr>
          <w:rFonts w:ascii="Arial" w:hAnsi="Arial" w:cs="Arial"/>
        </w:rPr>
        <w:t>References</w:t>
      </w:r>
    </w:p>
    <w:p w14:paraId="60677967" w14:textId="77777777" w:rsidR="00B724C2" w:rsidRPr="002A5A27" w:rsidRDefault="00B724C2" w:rsidP="00441B6F">
      <w:pPr>
        <w:pStyle w:val="ReferHead"/>
        <w:spacing w:after="0"/>
        <w:jc w:val="both"/>
        <w:rPr>
          <w:rFonts w:ascii="Arial" w:hAnsi="Arial" w:cs="Arial"/>
        </w:rPr>
      </w:pPr>
    </w:p>
    <w:p w14:paraId="03C91B86" w14:textId="3D599E34" w:rsidR="00B724C2" w:rsidRPr="002A5A27" w:rsidRDefault="005105A7" w:rsidP="002A5A27">
      <w:pPr>
        <w:pStyle w:val="Body"/>
        <w:numPr>
          <w:ilvl w:val="0"/>
          <w:numId w:val="45"/>
        </w:numPr>
        <w:rPr>
          <w:rFonts w:ascii="Arial" w:hAnsi="Arial" w:cs="Arial"/>
          <w:lang w:val="en-ID" w:eastAsia="en-ID"/>
        </w:rPr>
      </w:pPr>
      <w:r w:rsidRPr="002A5A27">
        <w:rPr>
          <w:rFonts w:ascii="Arial" w:hAnsi="Arial" w:cs="Arial"/>
          <w:lang w:val="en-ID" w:eastAsia="en-ID"/>
        </w:rPr>
        <w:t>Ahsan Mardjudo, Wika Indah Pratiwi Djamal (2020), Strategy for Developing Dried Eel Fish Business in Tinombala Village, Ongka District, Perigi Moutong Regency, Central Sulawesi Province Lecturer in Fisheries Agribusiness Study Program, Faculty of Fisheries, Alkhairaat University, Jl. Diponegoro, No. 39, Palu 94221, Central Sulawesi Indonesia</w:t>
      </w:r>
      <w:r w:rsidR="002A5A27">
        <w:rPr>
          <w:rFonts w:ascii="Arial" w:hAnsi="Arial" w:cs="Arial"/>
          <w:lang w:val="en-ID" w:eastAsia="en-ID"/>
        </w:rPr>
        <w:t xml:space="preserve">. </w:t>
      </w:r>
      <w:hyperlink r:id="rId14" w:history="1">
        <w:r w:rsidR="00FE3D3B" w:rsidRPr="005559E7">
          <w:rPr>
            <w:rStyle w:val="Hyperlink"/>
            <w:rFonts w:ascii="Arial" w:hAnsi="Arial" w:cs="Arial"/>
            <w:lang w:val="en-ID" w:eastAsia="en-ID"/>
          </w:rPr>
          <w:t>https://www.neliti.com/id/publications/480403/strategi-pengembangan-usaha-ikan-belut-kering-di-desa-tinombala-kecamatan-ongka</w:t>
        </w:r>
      </w:hyperlink>
      <w:r w:rsidR="00FE3D3B">
        <w:rPr>
          <w:rFonts w:ascii="Arial" w:hAnsi="Arial" w:cs="Arial"/>
          <w:lang w:val="en-ID" w:eastAsia="en-ID"/>
        </w:rPr>
        <w:t xml:space="preserve"> </w:t>
      </w:r>
    </w:p>
    <w:p w14:paraId="69D432F6" w14:textId="423E4EA7" w:rsidR="00B724C2" w:rsidRPr="002A5A27" w:rsidRDefault="005105A7" w:rsidP="002A5A27">
      <w:pPr>
        <w:pStyle w:val="Body"/>
        <w:numPr>
          <w:ilvl w:val="0"/>
          <w:numId w:val="45"/>
        </w:numPr>
        <w:rPr>
          <w:rFonts w:ascii="Arial" w:hAnsi="Arial" w:cs="Arial"/>
          <w:lang w:val="en-ID" w:eastAsia="en-ID"/>
        </w:rPr>
      </w:pPr>
      <w:r w:rsidRPr="002A5A27">
        <w:rPr>
          <w:rFonts w:ascii="Arial" w:hAnsi="Arial" w:cs="Arial"/>
          <w:lang w:val="en-ID" w:eastAsia="en-ID"/>
        </w:rPr>
        <w:lastRenderedPageBreak/>
        <w:t>Dekayanti, T., Agusliani, E., &amp; Rahayu, A. (2021). Analysis of business and marketing prospects for sea cucumbers (Holothuria sp) in Muara Kintap Village, Kintap District, Tanah Laut Regency, South Kalimantan Province. Fish Scientiae Journal, 11(1).</w:t>
      </w:r>
      <w:r w:rsidR="00FE3D3B">
        <w:rPr>
          <w:rFonts w:ascii="Arial" w:hAnsi="Arial" w:cs="Arial"/>
          <w:lang w:val="en-ID" w:eastAsia="en-ID"/>
        </w:rPr>
        <w:t xml:space="preserve"> </w:t>
      </w:r>
      <w:hyperlink r:id="rId15" w:history="1">
        <w:r w:rsidR="00FE3D3B" w:rsidRPr="005559E7">
          <w:rPr>
            <w:rStyle w:val="Hyperlink"/>
            <w:rFonts w:ascii="Arial" w:hAnsi="Arial" w:cs="Arial"/>
            <w:lang w:val="en-ID" w:eastAsia="en-ID"/>
          </w:rPr>
          <w:t>https://fishscientiae.ulm.ac.id/index.php/fs/article/view/174</w:t>
        </w:r>
      </w:hyperlink>
      <w:r w:rsidR="00FE3D3B">
        <w:rPr>
          <w:rFonts w:ascii="Arial" w:hAnsi="Arial" w:cs="Arial"/>
          <w:lang w:val="en-ID" w:eastAsia="en-ID"/>
        </w:rPr>
        <w:t xml:space="preserve"> </w:t>
      </w:r>
    </w:p>
    <w:p w14:paraId="383D5BF5" w14:textId="39C24C14" w:rsidR="005105A7" w:rsidRPr="002A5A27" w:rsidRDefault="005105A7" w:rsidP="002A5A27">
      <w:pPr>
        <w:pStyle w:val="Body"/>
        <w:numPr>
          <w:ilvl w:val="0"/>
          <w:numId w:val="45"/>
        </w:numPr>
        <w:rPr>
          <w:rFonts w:ascii="Arial" w:hAnsi="Arial" w:cs="Arial"/>
          <w:lang w:val="en-ID" w:eastAsia="en-ID"/>
        </w:rPr>
      </w:pPr>
      <w:r w:rsidRPr="002A5A27">
        <w:rPr>
          <w:rFonts w:ascii="Arial" w:hAnsi="Arial" w:cs="Arial"/>
          <w:lang w:val="en-ID" w:eastAsia="en-ID"/>
        </w:rPr>
        <w:t>Hidayah, N. (2024). Prevalence, intensity of Gnathostoma sp. parasites and health status of eels (Fluta alba) transported through the KIPM Banjarmasin Center, South Kalimantan Province. [Thesis]. Master Program in Fisheries Science, Faculty of Fisheries and Marine Sciences, Lambung Mangkurat University.</w:t>
      </w:r>
      <w:r w:rsidR="00FE3D3B">
        <w:rPr>
          <w:rFonts w:ascii="Arial" w:hAnsi="Arial" w:cs="Arial"/>
          <w:lang w:val="en-ID" w:eastAsia="en-ID"/>
        </w:rPr>
        <w:t xml:space="preserve"> </w:t>
      </w:r>
      <w:hyperlink r:id="rId16" w:history="1">
        <w:r w:rsidR="00FE3D3B" w:rsidRPr="005559E7">
          <w:rPr>
            <w:rStyle w:val="Hyperlink"/>
            <w:rFonts w:ascii="Arial" w:hAnsi="Arial" w:cs="Arial"/>
            <w:lang w:val="en-ID" w:eastAsia="en-ID"/>
          </w:rPr>
          <w:t>https://digilib.ulm.ac.id/archive/digital/detailed.php?code=35498</w:t>
        </w:r>
      </w:hyperlink>
      <w:r w:rsidR="00FE3D3B">
        <w:rPr>
          <w:rFonts w:ascii="Arial" w:hAnsi="Arial" w:cs="Arial"/>
          <w:lang w:val="en-ID" w:eastAsia="en-ID"/>
        </w:rPr>
        <w:t xml:space="preserve"> </w:t>
      </w:r>
    </w:p>
    <w:p w14:paraId="3C317A53" w14:textId="04055BE2" w:rsidR="005105A7" w:rsidRPr="002A5A27" w:rsidRDefault="005105A7" w:rsidP="002A5A27">
      <w:pPr>
        <w:pStyle w:val="Body"/>
        <w:numPr>
          <w:ilvl w:val="0"/>
          <w:numId w:val="45"/>
        </w:numPr>
        <w:rPr>
          <w:rFonts w:ascii="Arial" w:hAnsi="Arial" w:cs="Arial"/>
          <w:lang w:val="en-ID" w:eastAsia="en-ID"/>
        </w:rPr>
      </w:pPr>
      <w:r w:rsidRPr="002A5A27">
        <w:rPr>
          <w:rFonts w:ascii="Arial" w:hAnsi="Arial" w:cs="Arial"/>
          <w:lang w:val="en-ID" w:eastAsia="en-ID"/>
        </w:rPr>
        <w:t>Lilimantik, E., &amp; Husein, M. S. (2024). Dried seaweed marketing strategy of PT. Selt Alga Indonesia, DKI Jakarta Province, Indonesia. Russian Journal of Agricultural and Socio-Economic Sciences, 6(150): 133-140</w:t>
      </w:r>
      <w:r w:rsidR="00FE3D3B">
        <w:rPr>
          <w:rFonts w:ascii="Arial" w:hAnsi="Arial" w:cs="Arial"/>
          <w:lang w:val="en-ID" w:eastAsia="en-ID"/>
        </w:rPr>
        <w:t xml:space="preserve">. </w:t>
      </w:r>
      <w:hyperlink r:id="rId17" w:history="1">
        <w:r w:rsidR="00FE3D3B" w:rsidRPr="005559E7">
          <w:rPr>
            <w:rStyle w:val="Hyperlink"/>
            <w:rFonts w:ascii="Arial" w:hAnsi="Arial" w:cs="Arial"/>
            <w:lang w:val="en-ID" w:eastAsia="en-ID"/>
          </w:rPr>
          <w:t>https://rjoas.com/issue-2024-06/article_14.pdf</w:t>
        </w:r>
      </w:hyperlink>
      <w:r w:rsidR="00FE3D3B">
        <w:rPr>
          <w:rFonts w:ascii="Arial" w:hAnsi="Arial" w:cs="Arial"/>
          <w:lang w:val="en-ID" w:eastAsia="en-ID"/>
        </w:rPr>
        <w:t xml:space="preserve"> </w:t>
      </w:r>
    </w:p>
    <w:p w14:paraId="0DD7EF3F" w14:textId="49CF2A2F" w:rsidR="009A4E52" w:rsidRPr="002A5A27" w:rsidRDefault="005105A7" w:rsidP="002A5A27">
      <w:pPr>
        <w:pStyle w:val="Body"/>
        <w:numPr>
          <w:ilvl w:val="0"/>
          <w:numId w:val="45"/>
        </w:numPr>
        <w:rPr>
          <w:rFonts w:ascii="Arial" w:hAnsi="Arial" w:cs="Arial"/>
          <w:lang w:val="en-ID" w:eastAsia="en-ID"/>
        </w:rPr>
      </w:pPr>
      <w:r w:rsidRPr="002A5A27">
        <w:rPr>
          <w:rFonts w:ascii="Arial" w:hAnsi="Arial" w:cs="Arial"/>
          <w:lang w:val="en-ID" w:eastAsia="en-ID"/>
        </w:rPr>
        <w:t>Mugiarto, L., Elrifadah, &amp; Mukhlisah. (2021). Identification and prevalence of endoparasites (Gnathostoma sp.) in rice field eels (</w:t>
      </w:r>
      <w:r w:rsidR="00377798" w:rsidRPr="00377798">
        <w:rPr>
          <w:rFonts w:ascii="Arial" w:hAnsi="Arial" w:cs="Arial"/>
          <w:i/>
          <w:iCs/>
          <w:lang w:val="en-ID" w:eastAsia="en-ID"/>
        </w:rPr>
        <w:t>Monopterus albus</w:t>
      </w:r>
      <w:r w:rsidRPr="002A5A27">
        <w:rPr>
          <w:rFonts w:ascii="Arial" w:hAnsi="Arial" w:cs="Arial"/>
          <w:lang w:val="en-ID" w:eastAsia="en-ID"/>
        </w:rPr>
        <w:t>) of different sizes shipped outside South Kalimantan Province. ZIRAA’AH, 46(3), 352–362.</w:t>
      </w:r>
      <w:r w:rsidR="00FE3D3B">
        <w:rPr>
          <w:rFonts w:ascii="Arial" w:hAnsi="Arial" w:cs="Arial"/>
          <w:lang w:val="en-ID" w:eastAsia="en-ID"/>
        </w:rPr>
        <w:t xml:space="preserve"> </w:t>
      </w:r>
      <w:hyperlink r:id="rId18" w:history="1">
        <w:r w:rsidR="00FE3D3B" w:rsidRPr="005559E7">
          <w:rPr>
            <w:rStyle w:val="Hyperlink"/>
            <w:rFonts w:ascii="Arial" w:hAnsi="Arial" w:cs="Arial"/>
            <w:lang w:val="en-ID" w:eastAsia="en-ID"/>
          </w:rPr>
          <w:t>https://ojs.uniska-bjm.ac.id/index.php/ziraah/article/view/5171</w:t>
        </w:r>
      </w:hyperlink>
      <w:r w:rsidR="00FE3D3B">
        <w:rPr>
          <w:rFonts w:ascii="Arial" w:hAnsi="Arial" w:cs="Arial"/>
          <w:lang w:val="en-ID" w:eastAsia="en-ID"/>
        </w:rPr>
        <w:t xml:space="preserve"> </w:t>
      </w:r>
    </w:p>
    <w:p w14:paraId="27FE3932" w14:textId="23A35163" w:rsidR="009A4E52" w:rsidRPr="002A5A27" w:rsidRDefault="009A4E52" w:rsidP="002A5A27">
      <w:pPr>
        <w:pStyle w:val="Body"/>
        <w:numPr>
          <w:ilvl w:val="0"/>
          <w:numId w:val="45"/>
        </w:numPr>
        <w:rPr>
          <w:rFonts w:ascii="Arial" w:hAnsi="Arial" w:cs="Arial"/>
          <w:lang w:val="en-ID" w:eastAsia="en-ID"/>
        </w:rPr>
      </w:pPr>
      <w:r w:rsidRPr="002A5A27">
        <w:rPr>
          <w:rFonts w:ascii="Arial" w:hAnsi="Arial" w:cs="Arial"/>
          <w:lang w:val="en-ID" w:eastAsia="en-ID"/>
        </w:rPr>
        <w:t xml:space="preserve">Nova, T.S.D., Indra G.Y., and Yudha T.A. 2020. Identification of Male and Female Candidate Broodstock of Field Eel </w:t>
      </w:r>
      <w:r w:rsidR="00377798" w:rsidRPr="00377798">
        <w:rPr>
          <w:rFonts w:ascii="Arial" w:hAnsi="Arial" w:cs="Arial"/>
          <w:i/>
          <w:iCs/>
          <w:lang w:val="en-ID" w:eastAsia="en-ID"/>
        </w:rPr>
        <w:t>Monopterus albus</w:t>
      </w:r>
      <w:r w:rsidRPr="002A5A27">
        <w:rPr>
          <w:rFonts w:ascii="Arial" w:hAnsi="Arial" w:cs="Arial"/>
          <w:lang w:val="en-ID" w:eastAsia="en-ID"/>
        </w:rPr>
        <w:t xml:space="preserve"> (Zuiew, 1793) for Seeding Using Truss Morphometrics. Fisheries Journal. 10(2): 167-174.</w:t>
      </w:r>
      <w:r w:rsidR="00FE3D3B">
        <w:rPr>
          <w:rFonts w:ascii="Arial" w:hAnsi="Arial" w:cs="Arial"/>
          <w:lang w:val="en-ID" w:eastAsia="en-ID"/>
        </w:rPr>
        <w:t xml:space="preserve"> </w:t>
      </w:r>
      <w:hyperlink r:id="rId19" w:history="1">
        <w:r w:rsidR="00FE3D3B" w:rsidRPr="005559E7">
          <w:rPr>
            <w:rStyle w:val="Hyperlink"/>
            <w:rFonts w:ascii="Arial" w:hAnsi="Arial" w:cs="Arial"/>
            <w:lang w:val="en-ID" w:eastAsia="en-ID"/>
          </w:rPr>
          <w:t>https://www.researchgate.net/publication/358527786_IDENTIFIKASI_CALON_INDUK_BELUT_SAWAH_Monopterus_albus_Zuiew_1793_JANTAN_DAN_BETINA_UNTUK_PEMBENIHAN_DENGAN_MORFOMETRIK_TRUSS</w:t>
        </w:r>
      </w:hyperlink>
      <w:r w:rsidR="00FE3D3B">
        <w:rPr>
          <w:rFonts w:ascii="Arial" w:hAnsi="Arial" w:cs="Arial"/>
          <w:lang w:val="en-ID" w:eastAsia="en-ID"/>
        </w:rPr>
        <w:t xml:space="preserve"> </w:t>
      </w:r>
    </w:p>
    <w:p w14:paraId="30CF11D8" w14:textId="77777777" w:rsidR="00FE3D3B" w:rsidRDefault="009A4E52" w:rsidP="00FE3D3B">
      <w:pPr>
        <w:pStyle w:val="Body"/>
        <w:numPr>
          <w:ilvl w:val="0"/>
          <w:numId w:val="45"/>
        </w:numPr>
        <w:rPr>
          <w:rFonts w:ascii="Arial" w:hAnsi="Arial" w:cs="Arial"/>
          <w:lang w:val="en-ID" w:eastAsia="en-ID"/>
        </w:rPr>
      </w:pPr>
      <w:r w:rsidRPr="002A5A27">
        <w:rPr>
          <w:rFonts w:ascii="Arial" w:hAnsi="Arial" w:cs="Arial"/>
          <w:lang w:val="en-ID" w:eastAsia="en-ID"/>
        </w:rPr>
        <w:t>Rahmayati, H. M. (2015). SWOT analysis in determining the frozen shrimp marketing strategy of PT. Mustika Mina Nusa Aurora Tarakan, North Kalimantan. Galung Tropika Journal, 4(1), 60–67</w:t>
      </w:r>
      <w:r w:rsidR="00FE3D3B">
        <w:rPr>
          <w:rFonts w:ascii="Arial" w:hAnsi="Arial" w:cs="Arial"/>
          <w:lang w:val="en-ID" w:eastAsia="en-ID"/>
        </w:rPr>
        <w:t xml:space="preserve">.  </w:t>
      </w:r>
    </w:p>
    <w:p w14:paraId="0AFC0D7C" w14:textId="48CAFE76" w:rsidR="009A4E52" w:rsidRPr="00FE3D3B" w:rsidRDefault="00000000" w:rsidP="00FE3D3B">
      <w:pPr>
        <w:pStyle w:val="Body"/>
        <w:ind w:left="720"/>
        <w:rPr>
          <w:rFonts w:ascii="Arial" w:hAnsi="Arial" w:cs="Arial"/>
          <w:lang w:val="en-ID" w:eastAsia="en-ID"/>
        </w:rPr>
      </w:pPr>
      <w:hyperlink r:id="rId20" w:history="1">
        <w:r w:rsidR="00FE3D3B" w:rsidRPr="005559E7">
          <w:rPr>
            <w:rStyle w:val="Hyperlink"/>
            <w:rFonts w:ascii="Arial" w:hAnsi="Arial" w:cs="Arial"/>
            <w:lang w:val="en-ID" w:eastAsia="en-ID"/>
          </w:rPr>
          <w:t>https://www.jurnalpertanianumpar.com/index.php/jgt/article/view/28</w:t>
        </w:r>
      </w:hyperlink>
    </w:p>
    <w:p w14:paraId="19D8C454" w14:textId="07709F3E" w:rsidR="009A4E52" w:rsidRDefault="009A4E52" w:rsidP="002A5A27">
      <w:pPr>
        <w:pStyle w:val="Body"/>
        <w:numPr>
          <w:ilvl w:val="0"/>
          <w:numId w:val="45"/>
        </w:numPr>
        <w:rPr>
          <w:rFonts w:ascii="Arial" w:hAnsi="Arial" w:cs="Arial"/>
          <w:lang w:val="en-ID" w:eastAsia="en-ID"/>
        </w:rPr>
      </w:pPr>
      <w:r w:rsidRPr="002A5A27">
        <w:rPr>
          <w:rFonts w:ascii="Arial" w:hAnsi="Arial" w:cs="Arial"/>
          <w:lang w:val="en-ID" w:eastAsia="en-ID"/>
        </w:rPr>
        <w:t>Riani, E. &amp; Y. Ernawati (2004). Relationship between sex changes and body size of rice field eel (</w:t>
      </w:r>
      <w:r w:rsidR="00377798" w:rsidRPr="00377798">
        <w:rPr>
          <w:rFonts w:ascii="Arial" w:hAnsi="Arial" w:cs="Arial"/>
          <w:i/>
          <w:iCs/>
          <w:lang w:val="en-ID" w:eastAsia="en-ID"/>
        </w:rPr>
        <w:t>Monopterus albus</w:t>
      </w:r>
      <w:r w:rsidRPr="002A5A27">
        <w:rPr>
          <w:rFonts w:ascii="Arial" w:hAnsi="Arial" w:cs="Arial"/>
          <w:lang w:val="en-ID" w:eastAsia="en-ID"/>
        </w:rPr>
        <w:t>). Indonesian Journal of Aquatic Sciences and Fisheries 11: 139- 144.</w:t>
      </w:r>
      <w:r w:rsidR="00FE3D3B">
        <w:rPr>
          <w:rFonts w:ascii="Arial" w:hAnsi="Arial" w:cs="Arial"/>
          <w:lang w:val="en-ID" w:eastAsia="en-ID"/>
        </w:rPr>
        <w:t xml:space="preserve"> </w:t>
      </w:r>
      <w:hyperlink r:id="rId21" w:history="1">
        <w:r w:rsidR="00FE3D3B" w:rsidRPr="005559E7">
          <w:rPr>
            <w:rStyle w:val="Hyperlink"/>
            <w:rFonts w:ascii="Arial" w:hAnsi="Arial" w:cs="Arial"/>
            <w:lang w:val="en-ID" w:eastAsia="en-ID"/>
          </w:rPr>
          <w:t>https://media.neliti.com/media/publications/246714-none-f7ac37e2.pdf</w:t>
        </w:r>
      </w:hyperlink>
    </w:p>
    <w:p w14:paraId="6CFBC82D" w14:textId="55F512FF" w:rsidR="009A4E52" w:rsidRPr="002A5A27" w:rsidRDefault="009A4E52" w:rsidP="002A5A27">
      <w:pPr>
        <w:pStyle w:val="Body"/>
        <w:numPr>
          <w:ilvl w:val="0"/>
          <w:numId w:val="45"/>
        </w:numPr>
        <w:rPr>
          <w:rFonts w:ascii="Arial" w:hAnsi="Arial" w:cs="Arial"/>
          <w:lang w:val="en-ID" w:eastAsia="en-ID"/>
        </w:rPr>
      </w:pPr>
      <w:r w:rsidRPr="002A5A27">
        <w:rPr>
          <w:rFonts w:ascii="Arial" w:hAnsi="Arial" w:cs="Arial"/>
          <w:lang w:val="en-ID" w:eastAsia="en-ID"/>
        </w:rPr>
        <w:t>Sitompul, E. (2017). The Effect of Relative Humidity and Polypropylene Thickness on the Shelf Life of Eel Chips (</w:t>
      </w:r>
      <w:r w:rsidR="00377798" w:rsidRPr="00377798">
        <w:rPr>
          <w:rFonts w:ascii="Arial" w:hAnsi="Arial" w:cs="Arial"/>
          <w:i/>
          <w:iCs/>
          <w:lang w:val="en-ID" w:eastAsia="en-ID"/>
        </w:rPr>
        <w:t>Monopterus albus</w:t>
      </w:r>
      <w:r w:rsidRPr="002A5A27">
        <w:rPr>
          <w:rFonts w:ascii="Arial" w:hAnsi="Arial" w:cs="Arial"/>
          <w:lang w:val="en-ID" w:eastAsia="en-ID"/>
        </w:rPr>
        <w:t xml:space="preserve"> Z.) (Doctoral dissertation, Mercu Buana University Yogyakarta).</w:t>
      </w:r>
      <w:r w:rsidR="00FE3D3B">
        <w:rPr>
          <w:rFonts w:ascii="Arial" w:hAnsi="Arial" w:cs="Arial"/>
          <w:lang w:val="en-ID" w:eastAsia="en-ID"/>
        </w:rPr>
        <w:t xml:space="preserve"> </w:t>
      </w:r>
      <w:hyperlink r:id="rId22" w:history="1">
        <w:r w:rsidR="00FE3D3B" w:rsidRPr="005559E7">
          <w:rPr>
            <w:rStyle w:val="Hyperlink"/>
            <w:rFonts w:ascii="Arial" w:hAnsi="Arial" w:cs="Arial"/>
            <w:lang w:val="en-ID" w:eastAsia="en-ID"/>
          </w:rPr>
          <w:t>https://eprints.mercubuana-yogya.ac.id/id/eprint/1495/</w:t>
        </w:r>
      </w:hyperlink>
      <w:r w:rsidR="00FE3D3B">
        <w:rPr>
          <w:rFonts w:ascii="Arial" w:hAnsi="Arial" w:cs="Arial"/>
          <w:lang w:val="en-ID" w:eastAsia="en-ID"/>
        </w:rPr>
        <w:t xml:space="preserve"> </w:t>
      </w:r>
    </w:p>
    <w:p w14:paraId="0F7977E0" w14:textId="00146AE5" w:rsidR="009A4E52" w:rsidRPr="002A5A27" w:rsidRDefault="009A4E52" w:rsidP="002A5A27">
      <w:pPr>
        <w:pStyle w:val="Body"/>
        <w:numPr>
          <w:ilvl w:val="0"/>
          <w:numId w:val="45"/>
        </w:numPr>
        <w:rPr>
          <w:rFonts w:ascii="Arial" w:hAnsi="Arial" w:cs="Arial"/>
          <w:lang w:val="en-ID" w:eastAsia="en-ID"/>
        </w:rPr>
      </w:pPr>
      <w:r w:rsidRPr="002A5A27">
        <w:rPr>
          <w:rFonts w:ascii="Arial" w:hAnsi="Arial" w:cs="Arial"/>
          <w:lang w:val="en-ID" w:eastAsia="en-ID"/>
        </w:rPr>
        <w:t>Suciati, &amp; Hasballah. (2015). Promising business prospects for eel cultivation that yield big profits.</w:t>
      </w:r>
      <w:r w:rsidR="00FE3D3B">
        <w:rPr>
          <w:rFonts w:ascii="Arial" w:hAnsi="Arial" w:cs="Arial"/>
          <w:lang w:val="en-ID" w:eastAsia="en-ID"/>
        </w:rPr>
        <w:t xml:space="preserve"> </w:t>
      </w:r>
      <w:hyperlink r:id="rId23" w:history="1">
        <w:r w:rsidR="00FE3D3B" w:rsidRPr="005559E7">
          <w:rPr>
            <w:rStyle w:val="Hyperlink"/>
            <w:rFonts w:ascii="Arial" w:hAnsi="Arial" w:cs="Arial"/>
            <w:lang w:val="en-ID" w:eastAsia="en-ID"/>
          </w:rPr>
          <w:t>https://pengolahanpangan.jurnalpertanianunisapalu.com/index.php/pangan/article/view/42</w:t>
        </w:r>
      </w:hyperlink>
      <w:r w:rsidR="00FE3D3B">
        <w:rPr>
          <w:rFonts w:ascii="Arial" w:hAnsi="Arial" w:cs="Arial"/>
          <w:lang w:val="en-ID" w:eastAsia="en-ID"/>
        </w:rPr>
        <w:t xml:space="preserve"> </w:t>
      </w:r>
    </w:p>
    <w:p w14:paraId="5621374D" w14:textId="500B596B" w:rsidR="009A4E52" w:rsidRPr="001F3674" w:rsidRDefault="009A4E52" w:rsidP="002A5A27">
      <w:pPr>
        <w:pStyle w:val="Body"/>
        <w:numPr>
          <w:ilvl w:val="0"/>
          <w:numId w:val="45"/>
        </w:numPr>
        <w:spacing w:after="0"/>
        <w:rPr>
          <w:rFonts w:ascii="Arial" w:hAnsi="Arial" w:cs="Arial"/>
          <w:color w:val="FF6699"/>
          <w:u w:val="single"/>
          <w:lang w:val="en-ID" w:eastAsia="en-ID"/>
        </w:rPr>
      </w:pPr>
      <w:r w:rsidRPr="002A5A27">
        <w:rPr>
          <w:rFonts w:ascii="Arial" w:hAnsi="Arial" w:cs="Arial"/>
          <w:lang w:val="en-ID" w:eastAsia="en-ID"/>
        </w:rPr>
        <w:t xml:space="preserve">Trubus. (2022). Looking for eel supply. </w:t>
      </w:r>
      <w:hyperlink r:id="rId24" w:history="1">
        <w:r w:rsidR="003B3C90" w:rsidRPr="0009465F">
          <w:rPr>
            <w:rStyle w:val="Hyperlink"/>
            <w:rFonts w:ascii="Arial" w:hAnsi="Arial" w:cs="Arial"/>
            <w:color w:val="FF6699"/>
            <w:lang w:val="en-ID" w:eastAsia="en-ID"/>
          </w:rPr>
          <w:t>https://trubus.id/dicari-pasokan-belut</w:t>
        </w:r>
      </w:hyperlink>
      <w:r w:rsidR="003B3C90" w:rsidRPr="001F3674">
        <w:rPr>
          <w:rStyle w:val="Hyperlink"/>
          <w:rFonts w:ascii="Arial" w:hAnsi="Arial" w:cs="Arial"/>
          <w:color w:val="FF6699"/>
          <w:lang w:val="en-ID" w:eastAsia="en-ID"/>
        </w:rPr>
        <w:t xml:space="preserve"> </w:t>
      </w:r>
    </w:p>
    <w:p w14:paraId="00B5F399" w14:textId="77777777" w:rsidR="009A4E52" w:rsidRDefault="009A4E52" w:rsidP="00441B6F">
      <w:pPr>
        <w:pStyle w:val="Appendix"/>
        <w:spacing w:after="0"/>
        <w:jc w:val="both"/>
        <w:rPr>
          <w:rFonts w:ascii="Arial" w:hAnsi="Arial" w:cs="Arial"/>
        </w:rPr>
      </w:pPr>
    </w:p>
    <w:p w14:paraId="4678E93E" w14:textId="45EE7909" w:rsidR="004D4277" w:rsidRPr="00FB3A86" w:rsidRDefault="004D4277" w:rsidP="00441B6F">
      <w:pPr>
        <w:pStyle w:val="Appendix"/>
        <w:spacing w:after="0"/>
        <w:jc w:val="both"/>
        <w:rPr>
          <w:rFonts w:ascii="Arial" w:hAnsi="Arial" w:cs="Arial"/>
          <w:b w:val="0"/>
        </w:rPr>
        <w:sectPr w:rsidR="004D4277" w:rsidRPr="00FB3A86" w:rsidSect="004C5D3F">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2798C9E4" w14:textId="77777777" w:rsidR="00B01FCD" w:rsidRPr="00FB3A86" w:rsidRDefault="00B01FCD" w:rsidP="00441B6F">
      <w:pPr>
        <w:pStyle w:val="Appendix"/>
        <w:spacing w:after="0"/>
        <w:jc w:val="both"/>
        <w:rPr>
          <w:rFonts w:ascii="Arial" w:hAnsi="Arial" w:cs="Arial"/>
          <w:b w:val="0"/>
        </w:rPr>
      </w:pPr>
    </w:p>
    <w:sectPr w:rsidR="00B01FCD" w:rsidRPr="00FB3A86" w:rsidSect="004C5D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7559" w14:textId="77777777" w:rsidR="00076305" w:rsidRDefault="00076305" w:rsidP="00C37E61">
      <w:r>
        <w:separator/>
      </w:r>
    </w:p>
  </w:endnote>
  <w:endnote w:type="continuationSeparator" w:id="0">
    <w:p w14:paraId="62B92CC5" w14:textId="77777777" w:rsidR="00076305" w:rsidRDefault="000763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8405" w14:textId="77777777" w:rsidR="004C5D3F" w:rsidRDefault="004C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39A9" w14:textId="77777777" w:rsidR="004C5D3F" w:rsidRDefault="004C5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933B" w14:textId="77777777" w:rsidR="009E048A" w:rsidRDefault="009E048A">
    <w:pPr>
      <w:pStyle w:val="Footer"/>
      <w:rPr>
        <w:rFonts w:ascii="Arial" w:hAnsi="Arial" w:cs="Arial"/>
        <w:sz w:val="16"/>
      </w:rPr>
    </w:pPr>
  </w:p>
  <w:p w14:paraId="1E763E5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942457B" w14:textId="77777777" w:rsidR="009E048A" w:rsidRDefault="009E048A">
    <w:pPr>
      <w:pStyle w:val="Footer"/>
      <w:rPr>
        <w:rFonts w:ascii="Arial" w:hAnsi="Arial" w:cs="Arial"/>
        <w:sz w:val="16"/>
      </w:rPr>
    </w:pPr>
  </w:p>
  <w:p w14:paraId="3E704A2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F9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02FD" w14:textId="77777777" w:rsidR="00076305" w:rsidRDefault="00076305" w:rsidP="00C37E61">
      <w:r>
        <w:separator/>
      </w:r>
    </w:p>
  </w:footnote>
  <w:footnote w:type="continuationSeparator" w:id="0">
    <w:p w14:paraId="448295CD" w14:textId="77777777" w:rsidR="00076305" w:rsidRDefault="000763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09FF" w14:textId="3779BB1D" w:rsidR="004C5D3F" w:rsidRDefault="00000000">
    <w:pPr>
      <w:pStyle w:val="Header"/>
    </w:pPr>
    <w:r>
      <w:rPr>
        <w:noProof/>
      </w:rPr>
      <w:pict w14:anchorId="392AB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3412" w14:textId="7BC5B081" w:rsidR="004C5D3F" w:rsidRDefault="00000000">
    <w:pPr>
      <w:pStyle w:val="Header"/>
    </w:pPr>
    <w:r>
      <w:rPr>
        <w:noProof/>
      </w:rPr>
      <w:pict w14:anchorId="19A22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F8B9" w14:textId="789D9B8D" w:rsidR="00296529" w:rsidRPr="00296529" w:rsidRDefault="00000000" w:rsidP="00296529">
    <w:pPr>
      <w:ind w:left="2160"/>
      <w:jc w:val="center"/>
      <w:rPr>
        <w:rFonts w:ascii="Times New Roman" w:eastAsia="Calibri" w:hAnsi="Times New Roman"/>
        <w:i/>
        <w:sz w:val="18"/>
        <w:szCs w:val="22"/>
      </w:rPr>
    </w:pPr>
    <w:r>
      <w:rPr>
        <w:noProof/>
      </w:rPr>
      <w:pict w14:anchorId="3F7B4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56A5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1246D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3545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BC236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A7D77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01423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37C6" w14:textId="77C706D1" w:rsidR="004C5D3F" w:rsidRDefault="00000000">
    <w:pPr>
      <w:pStyle w:val="Header"/>
    </w:pPr>
    <w:r>
      <w:rPr>
        <w:noProof/>
      </w:rPr>
      <w:pict w14:anchorId="103FB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79A7" w14:textId="54B51653" w:rsidR="004C5D3F" w:rsidRDefault="00000000">
    <w:pPr>
      <w:pStyle w:val="Header"/>
    </w:pPr>
    <w:r>
      <w:rPr>
        <w:noProof/>
      </w:rPr>
      <w:pict w14:anchorId="5D59A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0A57" w14:textId="1F599039" w:rsidR="004C5D3F" w:rsidRDefault="00000000">
    <w:pPr>
      <w:pStyle w:val="Header"/>
    </w:pPr>
    <w:r>
      <w:rPr>
        <w:noProof/>
      </w:rPr>
      <w:pict w14:anchorId="30AE0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92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471923"/>
    <w:multiLevelType w:val="hybridMultilevel"/>
    <w:tmpl w:val="FBB4E7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BAA2863"/>
    <w:multiLevelType w:val="hybridMultilevel"/>
    <w:tmpl w:val="1A220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9B125E"/>
    <w:multiLevelType w:val="hybridMultilevel"/>
    <w:tmpl w:val="B30ECE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33C0C9F"/>
    <w:multiLevelType w:val="hybridMultilevel"/>
    <w:tmpl w:val="1F12394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0BA4151"/>
    <w:multiLevelType w:val="hybridMultilevel"/>
    <w:tmpl w:val="5FB63C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624EA"/>
    <w:multiLevelType w:val="hybridMultilevel"/>
    <w:tmpl w:val="CF5ED9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F99385E"/>
    <w:multiLevelType w:val="hybridMultilevel"/>
    <w:tmpl w:val="A7F4C9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432F1B12"/>
    <w:multiLevelType w:val="hybridMultilevel"/>
    <w:tmpl w:val="94F632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1F42672"/>
    <w:multiLevelType w:val="hybridMultilevel"/>
    <w:tmpl w:val="8CBA42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496264D"/>
    <w:multiLevelType w:val="hybridMultilevel"/>
    <w:tmpl w:val="0638029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5A12072"/>
    <w:multiLevelType w:val="hybridMultilevel"/>
    <w:tmpl w:val="76B45D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AAB7E12"/>
    <w:multiLevelType w:val="hybridMultilevel"/>
    <w:tmpl w:val="768C53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13E2AB5"/>
    <w:multiLevelType w:val="hybridMultilevel"/>
    <w:tmpl w:val="49A818C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592450"/>
    <w:multiLevelType w:val="hybridMultilevel"/>
    <w:tmpl w:val="8924C9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F9D6CD1"/>
    <w:multiLevelType w:val="hybridMultilevel"/>
    <w:tmpl w:val="D316A9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634275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36901978">
    <w:abstractNumId w:val="23"/>
  </w:num>
  <w:num w:numId="3" w16cid:durableId="1018511164">
    <w:abstractNumId w:val="36"/>
  </w:num>
  <w:num w:numId="4" w16cid:durableId="5066038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7881968">
    <w:abstractNumId w:val="11"/>
  </w:num>
  <w:num w:numId="6" w16cid:durableId="1400902231">
    <w:abstractNumId w:val="8"/>
  </w:num>
  <w:num w:numId="7" w16cid:durableId="1895772592">
    <w:abstractNumId w:val="1"/>
  </w:num>
  <w:num w:numId="8" w16cid:durableId="1732576752">
    <w:abstractNumId w:val="18"/>
  </w:num>
  <w:num w:numId="9" w16cid:durableId="1249075754">
    <w:abstractNumId w:val="38"/>
  </w:num>
  <w:num w:numId="10" w16cid:durableId="1468815877">
    <w:abstractNumId w:val="2"/>
  </w:num>
  <w:num w:numId="11" w16cid:durableId="1221984430">
    <w:abstractNumId w:val="29"/>
  </w:num>
  <w:num w:numId="12" w16cid:durableId="1606688420">
    <w:abstractNumId w:val="3"/>
  </w:num>
  <w:num w:numId="13" w16cid:durableId="1907914869">
    <w:abstractNumId w:val="25"/>
  </w:num>
  <w:num w:numId="14" w16cid:durableId="970597676">
    <w:abstractNumId w:val="12"/>
  </w:num>
  <w:num w:numId="15" w16cid:durableId="745231127">
    <w:abstractNumId w:val="34"/>
  </w:num>
  <w:num w:numId="16" w16cid:durableId="1963685132">
    <w:abstractNumId w:val="5"/>
  </w:num>
  <w:num w:numId="17" w16cid:durableId="1337919161">
    <w:abstractNumId w:val="35"/>
  </w:num>
  <w:num w:numId="18" w16cid:durableId="1071468249">
    <w:abstractNumId w:val="21"/>
  </w:num>
  <w:num w:numId="19" w16cid:durableId="53046816">
    <w:abstractNumId w:val="42"/>
  </w:num>
  <w:num w:numId="20" w16cid:durableId="1054811846">
    <w:abstractNumId w:val="17"/>
  </w:num>
  <w:num w:numId="21" w16cid:durableId="1734229235">
    <w:abstractNumId w:val="14"/>
  </w:num>
  <w:num w:numId="22" w16cid:durableId="741102597">
    <w:abstractNumId w:val="19"/>
  </w:num>
  <w:num w:numId="23" w16cid:durableId="349524563">
    <w:abstractNumId w:val="32"/>
  </w:num>
  <w:num w:numId="24" w16cid:durableId="1865433443">
    <w:abstractNumId w:val="39"/>
  </w:num>
  <w:num w:numId="25" w16cid:durableId="540554815">
    <w:abstractNumId w:val="4"/>
  </w:num>
  <w:num w:numId="26" w16cid:durableId="51119663">
    <w:abstractNumId w:val="24"/>
  </w:num>
  <w:num w:numId="27" w16cid:durableId="1671787121">
    <w:abstractNumId w:val="33"/>
  </w:num>
  <w:num w:numId="28" w16cid:durableId="1462646893">
    <w:abstractNumId w:val="40"/>
  </w:num>
  <w:num w:numId="29" w16cid:durableId="1480079186">
    <w:abstractNumId w:val="37"/>
  </w:num>
  <w:num w:numId="30" w16cid:durableId="1089622820">
    <w:abstractNumId w:val="15"/>
  </w:num>
  <w:num w:numId="31" w16cid:durableId="355543710">
    <w:abstractNumId w:val="30"/>
  </w:num>
  <w:num w:numId="32" w16cid:durableId="1965772860">
    <w:abstractNumId w:val="9"/>
  </w:num>
  <w:num w:numId="33" w16cid:durableId="1085807999">
    <w:abstractNumId w:val="22"/>
  </w:num>
  <w:num w:numId="34" w16cid:durableId="1698235310">
    <w:abstractNumId w:val="10"/>
  </w:num>
  <w:num w:numId="35" w16cid:durableId="1170175359">
    <w:abstractNumId w:val="27"/>
  </w:num>
  <w:num w:numId="36" w16cid:durableId="268390379">
    <w:abstractNumId w:val="43"/>
  </w:num>
  <w:num w:numId="37" w16cid:durableId="1616936384">
    <w:abstractNumId w:val="16"/>
  </w:num>
  <w:num w:numId="38" w16cid:durableId="832448019">
    <w:abstractNumId w:val="28"/>
  </w:num>
  <w:num w:numId="39" w16cid:durableId="840585680">
    <w:abstractNumId w:val="41"/>
  </w:num>
  <w:num w:numId="40" w16cid:durableId="1379627118">
    <w:abstractNumId w:val="13"/>
  </w:num>
  <w:num w:numId="41" w16cid:durableId="1116561468">
    <w:abstractNumId w:val="6"/>
  </w:num>
  <w:num w:numId="42" w16cid:durableId="439296720">
    <w:abstractNumId w:val="20"/>
  </w:num>
  <w:num w:numId="43" w16cid:durableId="376203368">
    <w:abstractNumId w:val="31"/>
  </w:num>
  <w:num w:numId="44" w16cid:durableId="1026517290">
    <w:abstractNumId w:val="26"/>
  </w:num>
  <w:num w:numId="45" w16cid:durableId="479537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577"/>
    <w:rsid w:val="00030174"/>
    <w:rsid w:val="00031D41"/>
    <w:rsid w:val="0004579C"/>
    <w:rsid w:val="00076305"/>
    <w:rsid w:val="00082A61"/>
    <w:rsid w:val="0009465F"/>
    <w:rsid w:val="000A47FA"/>
    <w:rsid w:val="000A4B05"/>
    <w:rsid w:val="000A65D3"/>
    <w:rsid w:val="000B1E33"/>
    <w:rsid w:val="000D689F"/>
    <w:rsid w:val="000E7B7B"/>
    <w:rsid w:val="000E7D62"/>
    <w:rsid w:val="00103357"/>
    <w:rsid w:val="001135FA"/>
    <w:rsid w:val="00123C9F"/>
    <w:rsid w:val="00126190"/>
    <w:rsid w:val="00130F17"/>
    <w:rsid w:val="001320BF"/>
    <w:rsid w:val="00163BC4"/>
    <w:rsid w:val="00173FCB"/>
    <w:rsid w:val="00191062"/>
    <w:rsid w:val="00192B72"/>
    <w:rsid w:val="00192DF1"/>
    <w:rsid w:val="001978A1"/>
    <w:rsid w:val="001A29D8"/>
    <w:rsid w:val="001A5CAA"/>
    <w:rsid w:val="001B0427"/>
    <w:rsid w:val="001D3A51"/>
    <w:rsid w:val="001E10D2"/>
    <w:rsid w:val="001E25B4"/>
    <w:rsid w:val="001E44FE"/>
    <w:rsid w:val="001F3674"/>
    <w:rsid w:val="00200595"/>
    <w:rsid w:val="00204835"/>
    <w:rsid w:val="002067B7"/>
    <w:rsid w:val="002248B5"/>
    <w:rsid w:val="00231920"/>
    <w:rsid w:val="0023195C"/>
    <w:rsid w:val="0024282C"/>
    <w:rsid w:val="002460DC"/>
    <w:rsid w:val="00250985"/>
    <w:rsid w:val="002556F6"/>
    <w:rsid w:val="00283105"/>
    <w:rsid w:val="00284C4C"/>
    <w:rsid w:val="00287E68"/>
    <w:rsid w:val="00296529"/>
    <w:rsid w:val="002A5A27"/>
    <w:rsid w:val="002B27FB"/>
    <w:rsid w:val="002B685A"/>
    <w:rsid w:val="002C57D2"/>
    <w:rsid w:val="002D2D62"/>
    <w:rsid w:val="002E0D56"/>
    <w:rsid w:val="002F0774"/>
    <w:rsid w:val="00306172"/>
    <w:rsid w:val="00315186"/>
    <w:rsid w:val="0033343E"/>
    <w:rsid w:val="003512C2"/>
    <w:rsid w:val="00371FB6"/>
    <w:rsid w:val="003763C1"/>
    <w:rsid w:val="00376BBE"/>
    <w:rsid w:val="00377798"/>
    <w:rsid w:val="0039224F"/>
    <w:rsid w:val="003A43A4"/>
    <w:rsid w:val="003A4653"/>
    <w:rsid w:val="003A7E18"/>
    <w:rsid w:val="003B1D72"/>
    <w:rsid w:val="003B3C90"/>
    <w:rsid w:val="003C4C86"/>
    <w:rsid w:val="003C6258"/>
    <w:rsid w:val="003E2904"/>
    <w:rsid w:val="00401927"/>
    <w:rsid w:val="0041027F"/>
    <w:rsid w:val="00412475"/>
    <w:rsid w:val="00423789"/>
    <w:rsid w:val="00440F43"/>
    <w:rsid w:val="00441B6F"/>
    <w:rsid w:val="00446221"/>
    <w:rsid w:val="00450E62"/>
    <w:rsid w:val="004539DB"/>
    <w:rsid w:val="00471A80"/>
    <w:rsid w:val="00495232"/>
    <w:rsid w:val="004B3E74"/>
    <w:rsid w:val="004B682A"/>
    <w:rsid w:val="004C5D3F"/>
    <w:rsid w:val="004D305E"/>
    <w:rsid w:val="004D4277"/>
    <w:rsid w:val="004D5A0C"/>
    <w:rsid w:val="00502516"/>
    <w:rsid w:val="00505F06"/>
    <w:rsid w:val="00506828"/>
    <w:rsid w:val="005105A7"/>
    <w:rsid w:val="0053056E"/>
    <w:rsid w:val="00554FDA"/>
    <w:rsid w:val="005B121A"/>
    <w:rsid w:val="005C784C"/>
    <w:rsid w:val="005D17F6"/>
    <w:rsid w:val="005E5539"/>
    <w:rsid w:val="00602BF5"/>
    <w:rsid w:val="00604015"/>
    <w:rsid w:val="00617FDD"/>
    <w:rsid w:val="00633614"/>
    <w:rsid w:val="00633F68"/>
    <w:rsid w:val="00636EB2"/>
    <w:rsid w:val="006375B8"/>
    <w:rsid w:val="0066510A"/>
    <w:rsid w:val="00673F9F"/>
    <w:rsid w:val="00686953"/>
    <w:rsid w:val="00687DEA"/>
    <w:rsid w:val="00687E67"/>
    <w:rsid w:val="006967F7"/>
    <w:rsid w:val="006A060E"/>
    <w:rsid w:val="006A0C09"/>
    <w:rsid w:val="006A250C"/>
    <w:rsid w:val="006B21D3"/>
    <w:rsid w:val="006B57D0"/>
    <w:rsid w:val="006D30FF"/>
    <w:rsid w:val="006D6940"/>
    <w:rsid w:val="006E5381"/>
    <w:rsid w:val="006F11EC"/>
    <w:rsid w:val="0070082C"/>
    <w:rsid w:val="0073006B"/>
    <w:rsid w:val="007369E6"/>
    <w:rsid w:val="00746E59"/>
    <w:rsid w:val="00754C9A"/>
    <w:rsid w:val="0075599A"/>
    <w:rsid w:val="00761D52"/>
    <w:rsid w:val="0076746A"/>
    <w:rsid w:val="0077749E"/>
    <w:rsid w:val="00784BE9"/>
    <w:rsid w:val="00790ADA"/>
    <w:rsid w:val="007D2288"/>
    <w:rsid w:val="007E088F"/>
    <w:rsid w:val="007F3ECE"/>
    <w:rsid w:val="007F7B32"/>
    <w:rsid w:val="00804BC2"/>
    <w:rsid w:val="0081431A"/>
    <w:rsid w:val="00830DE5"/>
    <w:rsid w:val="0083216F"/>
    <w:rsid w:val="00860000"/>
    <w:rsid w:val="00861C40"/>
    <w:rsid w:val="00863BD3"/>
    <w:rsid w:val="008641ED"/>
    <w:rsid w:val="00866D66"/>
    <w:rsid w:val="008671C6"/>
    <w:rsid w:val="00875803"/>
    <w:rsid w:val="008B459E"/>
    <w:rsid w:val="008E13AE"/>
    <w:rsid w:val="008E1506"/>
    <w:rsid w:val="008E27B8"/>
    <w:rsid w:val="008E30F7"/>
    <w:rsid w:val="008E68C5"/>
    <w:rsid w:val="008E710C"/>
    <w:rsid w:val="008F69D6"/>
    <w:rsid w:val="00902823"/>
    <w:rsid w:val="00915CA6"/>
    <w:rsid w:val="00927834"/>
    <w:rsid w:val="009500A6"/>
    <w:rsid w:val="00957C18"/>
    <w:rsid w:val="009659BA"/>
    <w:rsid w:val="00983040"/>
    <w:rsid w:val="009965F4"/>
    <w:rsid w:val="009A0B03"/>
    <w:rsid w:val="009A4E52"/>
    <w:rsid w:val="009A636E"/>
    <w:rsid w:val="009B3FB9"/>
    <w:rsid w:val="009C2465"/>
    <w:rsid w:val="009D35A0"/>
    <w:rsid w:val="009D7EB7"/>
    <w:rsid w:val="009E048A"/>
    <w:rsid w:val="009E08E9"/>
    <w:rsid w:val="009E3DB9"/>
    <w:rsid w:val="009E6E35"/>
    <w:rsid w:val="009F0EDA"/>
    <w:rsid w:val="00A03B96"/>
    <w:rsid w:val="00A05B19"/>
    <w:rsid w:val="00A10D52"/>
    <w:rsid w:val="00A1134E"/>
    <w:rsid w:val="00A24E7E"/>
    <w:rsid w:val="00A258C3"/>
    <w:rsid w:val="00A347C0"/>
    <w:rsid w:val="00A42EAA"/>
    <w:rsid w:val="00A51431"/>
    <w:rsid w:val="00A539AD"/>
    <w:rsid w:val="00A7147D"/>
    <w:rsid w:val="00A94063"/>
    <w:rsid w:val="00AA6219"/>
    <w:rsid w:val="00AA74E0"/>
    <w:rsid w:val="00AB703F"/>
    <w:rsid w:val="00AC393D"/>
    <w:rsid w:val="00AC6BB8"/>
    <w:rsid w:val="00AE008F"/>
    <w:rsid w:val="00B01FCD"/>
    <w:rsid w:val="00B171FE"/>
    <w:rsid w:val="00B1776C"/>
    <w:rsid w:val="00B52583"/>
    <w:rsid w:val="00B52896"/>
    <w:rsid w:val="00B5437A"/>
    <w:rsid w:val="00B56548"/>
    <w:rsid w:val="00B724C2"/>
    <w:rsid w:val="00B95236"/>
    <w:rsid w:val="00B96BD9"/>
    <w:rsid w:val="00BA1B01"/>
    <w:rsid w:val="00BA2641"/>
    <w:rsid w:val="00BB37AA"/>
    <w:rsid w:val="00BC53A0"/>
    <w:rsid w:val="00BE62AD"/>
    <w:rsid w:val="00BF121F"/>
    <w:rsid w:val="00BF1F80"/>
    <w:rsid w:val="00BF27F9"/>
    <w:rsid w:val="00C166EF"/>
    <w:rsid w:val="00C17EB0"/>
    <w:rsid w:val="00C27F5F"/>
    <w:rsid w:val="00C30A0F"/>
    <w:rsid w:val="00C37E61"/>
    <w:rsid w:val="00C56D4D"/>
    <w:rsid w:val="00C70F1B"/>
    <w:rsid w:val="00C71A47"/>
    <w:rsid w:val="00C7464C"/>
    <w:rsid w:val="00C85588"/>
    <w:rsid w:val="00CA1888"/>
    <w:rsid w:val="00CD6755"/>
    <w:rsid w:val="00CD6856"/>
    <w:rsid w:val="00CE0089"/>
    <w:rsid w:val="00CE793C"/>
    <w:rsid w:val="00CF193C"/>
    <w:rsid w:val="00D1520A"/>
    <w:rsid w:val="00D173F1"/>
    <w:rsid w:val="00D2593C"/>
    <w:rsid w:val="00D74CB0"/>
    <w:rsid w:val="00D8295D"/>
    <w:rsid w:val="00DB2CFD"/>
    <w:rsid w:val="00DB5672"/>
    <w:rsid w:val="00DC2A65"/>
    <w:rsid w:val="00DD3A03"/>
    <w:rsid w:val="00DE15F0"/>
    <w:rsid w:val="00DE5663"/>
    <w:rsid w:val="00DE78AA"/>
    <w:rsid w:val="00E053D0"/>
    <w:rsid w:val="00E15994"/>
    <w:rsid w:val="00E22EC8"/>
    <w:rsid w:val="00E3114E"/>
    <w:rsid w:val="00E31A70"/>
    <w:rsid w:val="00E35B02"/>
    <w:rsid w:val="00E519A2"/>
    <w:rsid w:val="00E66496"/>
    <w:rsid w:val="00E66B35"/>
    <w:rsid w:val="00E66E10"/>
    <w:rsid w:val="00E769F6"/>
    <w:rsid w:val="00E8407C"/>
    <w:rsid w:val="00E84F3C"/>
    <w:rsid w:val="00EA012C"/>
    <w:rsid w:val="00EC2A19"/>
    <w:rsid w:val="00EC6A55"/>
    <w:rsid w:val="00ED0288"/>
    <w:rsid w:val="00EE52CB"/>
    <w:rsid w:val="00EF554D"/>
    <w:rsid w:val="00EF581D"/>
    <w:rsid w:val="00EF7FD8"/>
    <w:rsid w:val="00F06F59"/>
    <w:rsid w:val="00F13D0E"/>
    <w:rsid w:val="00F17988"/>
    <w:rsid w:val="00F469F0"/>
    <w:rsid w:val="00F53273"/>
    <w:rsid w:val="00F755E4"/>
    <w:rsid w:val="00F77D02"/>
    <w:rsid w:val="00FB3A86"/>
    <w:rsid w:val="00FC2AF6"/>
    <w:rsid w:val="00FC7763"/>
    <w:rsid w:val="00FD36C8"/>
    <w:rsid w:val="00FE3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0382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F55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724C2"/>
    <w:pPr>
      <w:spacing w:before="100" w:beforeAutospacing="1" w:after="100" w:afterAutospacing="1"/>
    </w:pPr>
    <w:rPr>
      <w:rFonts w:ascii="Times New Roman" w:hAnsi="Times New Roman"/>
      <w:sz w:val="24"/>
      <w:szCs w:val="24"/>
      <w:lang w:val="en-ID" w:eastAsia="en-ID"/>
    </w:rPr>
  </w:style>
  <w:style w:type="paragraph" w:styleId="ListParagraph">
    <w:name w:val="List Paragraph"/>
    <w:basedOn w:val="Normal"/>
    <w:uiPriority w:val="34"/>
    <w:qFormat/>
    <w:rsid w:val="00EC2A19"/>
    <w:pPr>
      <w:ind w:left="720"/>
      <w:contextualSpacing/>
    </w:pPr>
  </w:style>
  <w:style w:type="character" w:customStyle="1" w:styleId="Heading3Char">
    <w:name w:val="Heading 3 Char"/>
    <w:basedOn w:val="DefaultParagraphFont"/>
    <w:link w:val="Heading3"/>
    <w:semiHidden/>
    <w:rsid w:val="00EF554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90722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js.uniska-bjm.ac.id/index.php/ziraah/article/view/5171"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media.neliti.com/media/publications/246714-none-f7ac37e2.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joas.com/issue-2024-06/article_14.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igilib.ulm.ac.id/archive/digital/detailed.php?code=35498" TargetMode="External"/><Relationship Id="rId20" Type="http://schemas.openxmlformats.org/officeDocument/2006/relationships/hyperlink" Target="https://www.jurnalpertanianumpar.com/index.php/jgt/article/view/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rubus.id/dicari-pasokan-belut" TargetMode="External"/><Relationship Id="rId5" Type="http://schemas.openxmlformats.org/officeDocument/2006/relationships/webSettings" Target="webSettings.xml"/><Relationship Id="rId15" Type="http://schemas.openxmlformats.org/officeDocument/2006/relationships/hyperlink" Target="https://fishscientiae.ulm.ac.id/index.php/fs/article/view/174" TargetMode="External"/><Relationship Id="rId23" Type="http://schemas.openxmlformats.org/officeDocument/2006/relationships/hyperlink" Target="https://pengolahanpangan.jurnalpertanianunisapalu.com/index.php/pangan/article/view/42"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researchgate.net/publication/358527786_IDENTIFIKASI_CALON_INDUK_BELUT_SAWAH_Monopterus_albus_Zuiew_1793_JANTAN_DAN_BETINA_UNTUK_PEMBENIHAN_DENGAN_MORFOMETRIK_TRUS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eliti.com/id/publications/480403/strategi-pengembangan-usaha-ikan-belut-kering-di-desa-tinombala-kecamatan-ongka" TargetMode="External"/><Relationship Id="rId22" Type="http://schemas.openxmlformats.org/officeDocument/2006/relationships/hyperlink" Target="https://eprints.mercubuana-yogya.ac.id/id/eprint/1495/"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3A6B-534E-46BE-A05F-2CEE9D1D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281</TotalTime>
  <Pages>8</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acer.s.bjb.111626@outlook.com</cp:lastModifiedBy>
  <cp:revision>21</cp:revision>
  <cp:lastPrinted>1999-07-06T11:00:00Z</cp:lastPrinted>
  <dcterms:created xsi:type="dcterms:W3CDTF">2025-06-14T15:09:00Z</dcterms:created>
  <dcterms:modified xsi:type="dcterms:W3CDTF">2025-06-24T06:38:00Z</dcterms:modified>
</cp:coreProperties>
</file>