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537B4CA4" w14:textId="77777777" w:rsidR="001B489B" w:rsidRDefault="001B489B" w:rsidP="002309B8">
      <w:pPr>
        <w:jc w:val="right"/>
        <w:rPr>
          <w:rFonts w:ascii="Arial" w:hAnsi="Arial" w:cs="Arial"/>
          <w:b/>
          <w:noProof/>
          <w:sz w:val="28"/>
          <w:szCs w:val="28"/>
          <w:lang w:eastAsia="en-PH"/>
        </w:rPr>
      </w:pPr>
    </w:p>
    <w:p w14:paraId="77F35F6E" w14:textId="286929BB" w:rsidR="002309B8" w:rsidRDefault="00B20ABE" w:rsidP="002E7F0F">
      <w:pPr>
        <w:jc w:val="right"/>
        <w:rPr>
          <w:rFonts w:ascii="Arial" w:hAnsi="Arial" w:cs="Arial"/>
          <w:b/>
          <w:noProof/>
          <w:sz w:val="28"/>
          <w:szCs w:val="28"/>
          <w:lang w:eastAsia="en-PH"/>
        </w:rPr>
      </w:pPr>
      <w:r w:rsidRPr="00B20ABE">
        <w:rPr>
          <w:rFonts w:ascii="Arial" w:hAnsi="Arial" w:cs="Arial"/>
          <w:b/>
          <w:noProof/>
          <w:sz w:val="28"/>
          <w:szCs w:val="28"/>
          <w:lang w:eastAsia="en-PH"/>
        </w:rPr>
        <w:t>ATTRACTIVE CLASSROOM ORGANIZATION AND CREATING COMMUNITY TEACHING OF TEACHERS IN PUBLIC ELEMENTARY SCHOOLS</w:t>
      </w:r>
    </w:p>
    <w:p w14:paraId="6572AFCA" w14:textId="77777777" w:rsidR="005D3FA5" w:rsidRPr="002309B8" w:rsidRDefault="005D3FA5" w:rsidP="002E7F0F">
      <w:pPr>
        <w:jc w:val="right"/>
        <w:rPr>
          <w:rFonts w:ascii="Arial" w:hAnsi="Arial" w:cs="Arial"/>
          <w:b/>
          <w:noProof/>
          <w:sz w:val="28"/>
          <w:szCs w:val="28"/>
          <w:lang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E7A9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7E5C64" w:rsidRDefault="00180859">
      <w:pPr>
        <w:pStyle w:val="AbstHead"/>
        <w:spacing w:after="0"/>
        <w:jc w:val="both"/>
        <w:rPr>
          <w:rFonts w:ascii="Arial" w:hAnsi="Arial" w:cs="Arial"/>
          <w:sz w:val="20"/>
        </w:rPr>
      </w:pPr>
      <w:r w:rsidRPr="007E5C64">
        <w:rPr>
          <w:rFonts w:ascii="Arial" w:hAnsi="Arial" w:cs="Arial"/>
          <w:sz w:val="20"/>
        </w:rPr>
        <w:lastRenderedPageBreak/>
        <w:t xml:space="preserve">ABSTRACT </w:t>
      </w:r>
    </w:p>
    <w:p w14:paraId="3D835972" w14:textId="77777777" w:rsidR="00717F2E" w:rsidRPr="007E5C64"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7E5C64" w14:paraId="4274D69E" w14:textId="77777777" w:rsidTr="008825C9">
        <w:trPr>
          <w:trHeight w:val="3167"/>
        </w:trPr>
        <w:tc>
          <w:tcPr>
            <w:tcW w:w="9576" w:type="dxa"/>
            <w:shd w:val="clear" w:color="auto" w:fill="F2F2F2"/>
          </w:tcPr>
          <w:p w14:paraId="10E1D353" w14:textId="48725476" w:rsidR="00717F2E" w:rsidRPr="006B58AA" w:rsidRDefault="006B58AA" w:rsidP="006B58AA">
            <w:pPr>
              <w:jc w:val="both"/>
              <w:rPr>
                <w:rFonts w:ascii="Arial" w:hAnsi="Arial" w:cs="Arial"/>
                <w:iCs/>
                <w:sz w:val="20"/>
                <w:szCs w:val="20"/>
                <w:highlight w:val="yellow"/>
              </w:rPr>
            </w:pPr>
            <w:r w:rsidRPr="006B58AA">
              <w:rPr>
                <w:rFonts w:ascii="Arial" w:hAnsi="Arial" w:cs="Arial"/>
                <w:iCs/>
                <w:sz w:val="20"/>
                <w:szCs w:val="20"/>
                <w:highlight w:val="yellow"/>
              </w:rPr>
              <w:t xml:space="preserve">This study aimed to determine the significant relationship between attractive classroom organization and creating community teaching among public elementary school teachers in the </w:t>
            </w:r>
            <w:proofErr w:type="spellStart"/>
            <w:r w:rsidRPr="006B58AA">
              <w:rPr>
                <w:rFonts w:ascii="Arial" w:hAnsi="Arial" w:cs="Arial"/>
                <w:iCs/>
                <w:sz w:val="20"/>
                <w:szCs w:val="20"/>
                <w:highlight w:val="yellow"/>
              </w:rPr>
              <w:t>Talomo</w:t>
            </w:r>
            <w:proofErr w:type="spellEnd"/>
            <w:r w:rsidRPr="006B58AA">
              <w:rPr>
                <w:rFonts w:ascii="Arial" w:hAnsi="Arial" w:cs="Arial"/>
                <w:iCs/>
                <w:sz w:val="20"/>
                <w:szCs w:val="20"/>
                <w:highlight w:val="yellow"/>
              </w:rPr>
              <w:t xml:space="preserve"> West District, Division of Davao City. A descriptive-correlational research design was employed, involving 138 public elementary school teachers selected through universal sampling. Data were collected using standardized questionnaires administered within school settings and analyzed through mean, Pearson product-moment correlation, and multiple linear regression.</w:t>
            </w:r>
            <w:r w:rsidRPr="006B58AA">
              <w:rPr>
                <w:rFonts w:ascii="Arial" w:hAnsi="Arial" w:cs="Arial"/>
                <w:iCs/>
                <w:sz w:val="20"/>
                <w:szCs w:val="20"/>
                <w:highlight w:val="yellow"/>
              </w:rPr>
              <w:t xml:space="preserve"> </w:t>
            </w:r>
            <w:r w:rsidRPr="006B58AA">
              <w:rPr>
                <w:rFonts w:ascii="Arial" w:hAnsi="Arial" w:cs="Arial"/>
                <w:iCs/>
                <w:sz w:val="20"/>
                <w:szCs w:val="20"/>
                <w:highlight w:val="yellow"/>
              </w:rPr>
              <w:t>Findings revealed that at</w:t>
            </w:r>
            <w:r w:rsidRPr="006B58AA">
              <w:rPr>
                <w:rFonts w:ascii="Arial" w:hAnsi="Arial" w:cs="Arial"/>
                <w:iCs/>
                <w:sz w:val="20"/>
                <w:szCs w:val="20"/>
                <w:highlight w:val="yellow"/>
              </w:rPr>
              <w:t xml:space="preserve">tractive classroom organization, </w:t>
            </w:r>
            <w:r w:rsidRPr="006B58AA">
              <w:rPr>
                <w:rFonts w:ascii="Arial" w:hAnsi="Arial" w:cs="Arial"/>
                <w:iCs/>
                <w:sz w:val="20"/>
                <w:szCs w:val="20"/>
                <w:highlight w:val="yellow"/>
              </w:rPr>
              <w:t>measured across the domains of concepts, sens</w:t>
            </w:r>
            <w:r w:rsidRPr="006B58AA">
              <w:rPr>
                <w:rFonts w:ascii="Arial" w:hAnsi="Arial" w:cs="Arial"/>
                <w:iCs/>
                <w:sz w:val="20"/>
                <w:szCs w:val="20"/>
                <w:highlight w:val="yellow"/>
              </w:rPr>
              <w:t xml:space="preserve">itivity, needs, and risk-taking, </w:t>
            </w:r>
            <w:r w:rsidRPr="006B58AA">
              <w:rPr>
                <w:rFonts w:ascii="Arial" w:hAnsi="Arial" w:cs="Arial"/>
                <w:iCs/>
                <w:sz w:val="20"/>
                <w:szCs w:val="20"/>
                <w:highlight w:val="yellow"/>
              </w:rPr>
              <w:t>was oftentimes practiced by teachers. In contra</w:t>
            </w:r>
            <w:r w:rsidRPr="006B58AA">
              <w:rPr>
                <w:rFonts w:ascii="Arial" w:hAnsi="Arial" w:cs="Arial"/>
                <w:iCs/>
                <w:sz w:val="20"/>
                <w:szCs w:val="20"/>
                <w:highlight w:val="yellow"/>
              </w:rPr>
              <w:t xml:space="preserve">st, creating community teaching, </w:t>
            </w:r>
            <w:r w:rsidRPr="006B58AA">
              <w:rPr>
                <w:rFonts w:ascii="Arial" w:hAnsi="Arial" w:cs="Arial"/>
                <w:iCs/>
                <w:sz w:val="20"/>
                <w:szCs w:val="20"/>
                <w:highlight w:val="yellow"/>
              </w:rPr>
              <w:t>assessed in terms of supportive, instructional, preven</w:t>
            </w:r>
            <w:r w:rsidRPr="006B58AA">
              <w:rPr>
                <w:rFonts w:ascii="Arial" w:hAnsi="Arial" w:cs="Arial"/>
                <w:iCs/>
                <w:sz w:val="20"/>
                <w:szCs w:val="20"/>
                <w:highlight w:val="yellow"/>
              </w:rPr>
              <w:t xml:space="preserve">tive, and responsive strategies, </w:t>
            </w:r>
            <w:r w:rsidRPr="006B58AA">
              <w:rPr>
                <w:rFonts w:ascii="Arial" w:hAnsi="Arial" w:cs="Arial"/>
                <w:iCs/>
                <w:sz w:val="20"/>
                <w:szCs w:val="20"/>
                <w:highlight w:val="yellow"/>
              </w:rPr>
              <w:t>was only sometimes demonstrated. Correlation analysis indicated a moderately positive and significant relationship between attractive classroom organization and creating community teaching. Further analysis confirmed that the domains of classroom organization significantly influenced the implementation of community-oriented teaching.</w:t>
            </w:r>
            <w:r w:rsidRPr="006B58AA">
              <w:rPr>
                <w:rFonts w:ascii="Arial" w:hAnsi="Arial" w:cs="Arial"/>
                <w:iCs/>
                <w:sz w:val="20"/>
                <w:szCs w:val="20"/>
                <w:highlight w:val="yellow"/>
              </w:rPr>
              <w:t xml:space="preserve"> </w:t>
            </w:r>
            <w:r w:rsidR="007C31D6">
              <w:rPr>
                <w:rFonts w:ascii="Arial" w:hAnsi="Arial" w:cs="Arial"/>
                <w:iCs/>
                <w:sz w:val="20"/>
                <w:szCs w:val="20"/>
                <w:highlight w:val="yellow"/>
              </w:rPr>
              <w:t xml:space="preserve">Moreover, </w:t>
            </w:r>
            <w:r w:rsidR="007C31D6" w:rsidRPr="007C31D6">
              <w:rPr>
                <w:rFonts w:ascii="Arial" w:hAnsi="Arial" w:cs="Arial"/>
                <w:iCs/>
                <w:sz w:val="20"/>
                <w:szCs w:val="20"/>
                <w:highlight w:val="yellow"/>
              </w:rPr>
              <w:t>two null hypotheses were rejected.</w:t>
            </w:r>
            <w:r w:rsidR="007C31D6">
              <w:rPr>
                <w:rFonts w:ascii="Arial" w:hAnsi="Arial" w:cs="Arial"/>
                <w:iCs/>
                <w:sz w:val="20"/>
                <w:szCs w:val="20"/>
              </w:rPr>
              <w:t xml:space="preserve"> </w:t>
            </w:r>
            <w:r w:rsidRPr="006B58AA">
              <w:rPr>
                <w:rFonts w:ascii="Arial" w:hAnsi="Arial" w:cs="Arial"/>
                <w:iCs/>
                <w:sz w:val="20"/>
                <w:szCs w:val="20"/>
                <w:highlight w:val="yellow"/>
              </w:rPr>
              <w:t>Based on these findings, it is recommended that schools implement capacity-building initiatives, such as training and professional development programs, to enhance classroom organization and promote stronger community teaching practices. These efforts can directly contribute to more inclusive, engaging, and supportive learning environments.</w:t>
            </w:r>
          </w:p>
        </w:tc>
      </w:tr>
    </w:tbl>
    <w:p w14:paraId="175A3F79" w14:textId="77777777" w:rsidR="00717F2E" w:rsidRPr="007E5C64" w:rsidRDefault="00717F2E">
      <w:pPr>
        <w:pStyle w:val="Body"/>
        <w:spacing w:after="0"/>
        <w:rPr>
          <w:rFonts w:ascii="Arial" w:hAnsi="Arial" w:cs="Arial"/>
          <w:i/>
        </w:rPr>
      </w:pPr>
    </w:p>
    <w:p w14:paraId="63DA1D4D" w14:textId="4872A98A" w:rsidR="00DC2754" w:rsidRPr="007E5C64" w:rsidRDefault="00180859" w:rsidP="00BB0E63">
      <w:pPr>
        <w:jc w:val="both"/>
        <w:rPr>
          <w:rFonts w:ascii="Arial" w:hAnsi="Arial" w:cs="Arial"/>
          <w:iCs/>
          <w:sz w:val="20"/>
          <w:szCs w:val="20"/>
        </w:rPr>
      </w:pPr>
      <w:r w:rsidRPr="007E5C64">
        <w:rPr>
          <w:rFonts w:ascii="Arial" w:hAnsi="Arial" w:cs="Arial"/>
          <w:i/>
          <w:iCs/>
          <w:sz w:val="20"/>
          <w:szCs w:val="20"/>
        </w:rPr>
        <w:t>Keywords</w:t>
      </w:r>
      <w:r w:rsidRPr="007E5C64">
        <w:rPr>
          <w:rFonts w:ascii="Arial" w:hAnsi="Arial" w:cs="Arial"/>
          <w:sz w:val="20"/>
          <w:szCs w:val="20"/>
        </w:rPr>
        <w:t xml:space="preserve">: </w:t>
      </w:r>
      <w:r w:rsidR="00377AD0" w:rsidRPr="009C0A64">
        <w:rPr>
          <w:rFonts w:ascii="Arial" w:hAnsi="Arial" w:cs="Arial"/>
          <w:iCs/>
          <w:sz w:val="20"/>
          <w:szCs w:val="20"/>
        </w:rPr>
        <w:t>Attractive Classroom Organization</w:t>
      </w:r>
      <w:r w:rsidR="00377AD0" w:rsidRPr="007E5C64">
        <w:rPr>
          <w:rFonts w:ascii="Arial" w:hAnsi="Arial" w:cs="Arial"/>
          <w:iCs/>
          <w:sz w:val="20"/>
          <w:szCs w:val="20"/>
        </w:rPr>
        <w:t xml:space="preserve">, </w:t>
      </w:r>
      <w:r w:rsidR="00377AD0" w:rsidRPr="00055D31">
        <w:rPr>
          <w:rFonts w:ascii="Arial" w:hAnsi="Arial" w:cs="Arial"/>
          <w:iCs/>
          <w:sz w:val="20"/>
          <w:szCs w:val="20"/>
        </w:rPr>
        <w:t>Creating Community Teaching</w:t>
      </w:r>
      <w:r w:rsidR="00BB0E63" w:rsidRPr="007E5C64">
        <w:rPr>
          <w:rFonts w:ascii="Arial" w:hAnsi="Arial" w:cs="Arial"/>
          <w:iCs/>
          <w:sz w:val="20"/>
          <w:szCs w:val="20"/>
        </w:rPr>
        <w:t>, Public Elementary School Students, Descriptive-Correlational, Education</w:t>
      </w:r>
    </w:p>
    <w:p w14:paraId="63A7B6AA" w14:textId="77777777" w:rsidR="00BB0E63" w:rsidRPr="007E5C64" w:rsidRDefault="00BB0E63" w:rsidP="00BB0E63">
      <w:pPr>
        <w:jc w:val="both"/>
        <w:rPr>
          <w:rFonts w:ascii="Arial" w:hAnsi="Arial" w:cs="Arial"/>
          <w:sz w:val="20"/>
          <w:szCs w:val="20"/>
        </w:rPr>
      </w:pPr>
    </w:p>
    <w:p w14:paraId="0C7D9A8E"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1. INTRODUCTION</w:t>
      </w:r>
    </w:p>
    <w:p w14:paraId="499EF934" w14:textId="77777777" w:rsidR="00717F2E" w:rsidRPr="007E5C64" w:rsidRDefault="00717F2E">
      <w:pPr>
        <w:pStyle w:val="AbstHead"/>
        <w:spacing w:after="0"/>
        <w:jc w:val="both"/>
        <w:rPr>
          <w:rFonts w:ascii="Arial" w:hAnsi="Arial" w:cs="Arial"/>
          <w:sz w:val="20"/>
        </w:rPr>
      </w:pPr>
    </w:p>
    <w:p w14:paraId="06E68D5C" w14:textId="39F303FB" w:rsidR="009770DF" w:rsidRPr="009770DF" w:rsidRDefault="009770DF" w:rsidP="009770DF">
      <w:pPr>
        <w:jc w:val="both"/>
        <w:rPr>
          <w:rFonts w:ascii="Arial" w:hAnsi="Arial"/>
          <w:sz w:val="20"/>
          <w:szCs w:val="20"/>
        </w:rPr>
      </w:pPr>
      <w:r w:rsidRPr="009770DF">
        <w:rPr>
          <w:rFonts w:ascii="Arial" w:hAnsi="Arial"/>
          <w:sz w:val="20"/>
          <w:szCs w:val="20"/>
        </w:rPr>
        <w:t>Creating community teaching has emerged as a critical component of modern education, yet many teachers struggle to implement it effectively in classroom settings</w:t>
      </w:r>
      <w:r w:rsidR="00772172">
        <w:rPr>
          <w:rFonts w:ascii="Arial" w:hAnsi="Arial"/>
          <w:sz w:val="20"/>
          <w:szCs w:val="20"/>
        </w:rPr>
        <w:t xml:space="preserve"> (</w:t>
      </w:r>
      <w:r w:rsidR="00772172" w:rsidRPr="00772172">
        <w:rPr>
          <w:rFonts w:ascii="Arial" w:hAnsi="Arial"/>
          <w:sz w:val="20"/>
          <w:szCs w:val="20"/>
        </w:rPr>
        <w:t>de Carvalho-Filho</w:t>
      </w:r>
      <w:r w:rsidR="00772172">
        <w:rPr>
          <w:rFonts w:ascii="Arial" w:hAnsi="Arial"/>
          <w:sz w:val="20"/>
          <w:szCs w:val="20"/>
        </w:rPr>
        <w:t xml:space="preserve"> et al., 2020)</w:t>
      </w:r>
      <w:r w:rsidRPr="009770DF">
        <w:rPr>
          <w:rFonts w:ascii="Arial" w:hAnsi="Arial"/>
          <w:sz w:val="20"/>
          <w:szCs w:val="20"/>
        </w:rPr>
        <w:t>. This approach emphasizes the development of inclusive, supportive, and collaborative learning environments where students feel valued, respected, and connected to both their peers and their teachers</w:t>
      </w:r>
      <w:r w:rsidR="00772172">
        <w:rPr>
          <w:rFonts w:ascii="Arial" w:hAnsi="Arial"/>
          <w:sz w:val="20"/>
          <w:szCs w:val="20"/>
        </w:rPr>
        <w:t xml:space="preserve"> (</w:t>
      </w:r>
      <w:r w:rsidR="00772172" w:rsidRPr="00772172">
        <w:rPr>
          <w:rFonts w:ascii="Arial" w:hAnsi="Arial"/>
          <w:sz w:val="20"/>
          <w:szCs w:val="20"/>
        </w:rPr>
        <w:t>Finkelstein</w:t>
      </w:r>
      <w:r w:rsidR="00772172">
        <w:rPr>
          <w:rFonts w:ascii="Arial" w:hAnsi="Arial"/>
          <w:sz w:val="20"/>
          <w:szCs w:val="20"/>
        </w:rPr>
        <w:t xml:space="preserve"> et al., 2021)</w:t>
      </w:r>
      <w:r w:rsidRPr="009770DF">
        <w:rPr>
          <w:rFonts w:ascii="Arial" w:hAnsi="Arial"/>
          <w:sz w:val="20"/>
          <w:szCs w:val="20"/>
        </w:rPr>
        <w:t>. However, in many public elementary schools, teaching practices remain largely teacher-centered, with limited student engagement and weak community building</w:t>
      </w:r>
      <w:r w:rsidR="00772172">
        <w:rPr>
          <w:rFonts w:ascii="Arial" w:hAnsi="Arial"/>
          <w:sz w:val="20"/>
          <w:szCs w:val="20"/>
        </w:rPr>
        <w:t xml:space="preserve"> (</w:t>
      </w:r>
      <w:r w:rsidR="00772172" w:rsidRPr="00772172">
        <w:rPr>
          <w:rFonts w:ascii="Arial" w:hAnsi="Arial"/>
          <w:sz w:val="20"/>
          <w:szCs w:val="20"/>
        </w:rPr>
        <w:t>Brodie</w:t>
      </w:r>
      <w:r w:rsidR="00772172">
        <w:rPr>
          <w:rFonts w:ascii="Arial" w:hAnsi="Arial"/>
          <w:sz w:val="20"/>
          <w:szCs w:val="20"/>
        </w:rPr>
        <w:t>, 2021)</w:t>
      </w:r>
      <w:r w:rsidRPr="009770DF">
        <w:rPr>
          <w:rFonts w:ascii="Arial" w:hAnsi="Arial"/>
          <w:sz w:val="20"/>
          <w:szCs w:val="20"/>
        </w:rPr>
        <w:t>. This problematic issue raises concerns about how classroom environments are structured and whether teachers are equipped with the skills and strategies necessary to foster a strong sense of community among their learners.</w:t>
      </w:r>
    </w:p>
    <w:p w14:paraId="55C9AC02" w14:textId="77777777" w:rsidR="009770DF" w:rsidRPr="009770DF" w:rsidRDefault="009770DF" w:rsidP="009770DF">
      <w:pPr>
        <w:jc w:val="both"/>
        <w:rPr>
          <w:rFonts w:ascii="Arial" w:hAnsi="Arial"/>
          <w:sz w:val="20"/>
          <w:szCs w:val="20"/>
        </w:rPr>
      </w:pPr>
    </w:p>
    <w:p w14:paraId="34D89B4C" w14:textId="66F03150" w:rsidR="009770DF" w:rsidRPr="009770DF" w:rsidRDefault="009770DF" w:rsidP="009770DF">
      <w:pPr>
        <w:jc w:val="both"/>
        <w:rPr>
          <w:rFonts w:ascii="Arial" w:hAnsi="Arial"/>
          <w:sz w:val="20"/>
          <w:szCs w:val="20"/>
        </w:rPr>
      </w:pPr>
      <w:r w:rsidRPr="009770DF">
        <w:rPr>
          <w:rFonts w:ascii="Arial" w:hAnsi="Arial"/>
          <w:sz w:val="20"/>
          <w:szCs w:val="20"/>
        </w:rPr>
        <w:t xml:space="preserve">Internationally, the concept of creating community teaching has gained traction in various educational systems. In </w:t>
      </w:r>
      <w:r>
        <w:rPr>
          <w:rFonts w:ascii="Arial" w:hAnsi="Arial"/>
          <w:sz w:val="20"/>
          <w:szCs w:val="20"/>
        </w:rPr>
        <w:t>Mexico</w:t>
      </w:r>
      <w:r w:rsidRPr="009770DF">
        <w:rPr>
          <w:rFonts w:ascii="Arial" w:hAnsi="Arial"/>
          <w:sz w:val="20"/>
          <w:szCs w:val="20"/>
        </w:rPr>
        <w:t>, teachers are trained to build emotionally supportive and inclusive classrooms that promote student well-being and participation</w:t>
      </w:r>
      <w:r w:rsidR="00772172">
        <w:rPr>
          <w:rFonts w:ascii="Arial" w:hAnsi="Arial"/>
          <w:sz w:val="20"/>
          <w:szCs w:val="20"/>
        </w:rPr>
        <w:t xml:space="preserve"> (</w:t>
      </w:r>
      <w:r w:rsidR="00772172" w:rsidRPr="00772172">
        <w:rPr>
          <w:rFonts w:ascii="Arial" w:hAnsi="Arial"/>
          <w:sz w:val="20"/>
          <w:szCs w:val="20"/>
        </w:rPr>
        <w:t>Teeters</w:t>
      </w:r>
      <w:r w:rsidR="00772172">
        <w:rPr>
          <w:rFonts w:ascii="Arial" w:hAnsi="Arial"/>
          <w:sz w:val="20"/>
          <w:szCs w:val="20"/>
        </w:rPr>
        <w:t xml:space="preserve"> et al., 2021)</w:t>
      </w:r>
      <w:r w:rsidRPr="009770DF">
        <w:rPr>
          <w:rFonts w:ascii="Arial" w:hAnsi="Arial"/>
          <w:sz w:val="20"/>
          <w:szCs w:val="20"/>
        </w:rPr>
        <w:t xml:space="preserve">. In Canada, education policies highlight the importance of community engagement and </w:t>
      </w:r>
      <w:r w:rsidRPr="009770DF">
        <w:rPr>
          <w:rFonts w:ascii="Arial" w:hAnsi="Arial"/>
          <w:sz w:val="20"/>
          <w:szCs w:val="20"/>
        </w:rPr>
        <w:lastRenderedPageBreak/>
        <w:t>cooperative learning, encouraging teachers to form strong bonds with students and their families</w:t>
      </w:r>
      <w:r w:rsidR="00772172">
        <w:rPr>
          <w:rFonts w:ascii="Arial" w:hAnsi="Arial"/>
          <w:sz w:val="20"/>
          <w:szCs w:val="20"/>
        </w:rPr>
        <w:t xml:space="preserve"> (</w:t>
      </w:r>
      <w:r w:rsidR="00772172" w:rsidRPr="00772172">
        <w:rPr>
          <w:rFonts w:ascii="Arial" w:hAnsi="Arial"/>
          <w:sz w:val="20"/>
          <w:szCs w:val="20"/>
        </w:rPr>
        <w:t>Evans</w:t>
      </w:r>
      <w:r w:rsidR="00772172">
        <w:rPr>
          <w:rFonts w:ascii="Arial" w:hAnsi="Arial"/>
          <w:sz w:val="20"/>
          <w:szCs w:val="20"/>
        </w:rPr>
        <w:t xml:space="preserve"> et al., 2020)</w:t>
      </w:r>
      <w:r w:rsidRPr="009770DF">
        <w:rPr>
          <w:rFonts w:ascii="Arial" w:hAnsi="Arial"/>
          <w:sz w:val="20"/>
          <w:szCs w:val="20"/>
        </w:rPr>
        <w:t>. Meanwhile, in Australia, schools implement culturally responsive teaching frameworks that strengthen student identity and collaboration</w:t>
      </w:r>
      <w:r w:rsidR="00772172">
        <w:rPr>
          <w:rFonts w:ascii="Arial" w:hAnsi="Arial"/>
          <w:sz w:val="20"/>
          <w:szCs w:val="20"/>
        </w:rPr>
        <w:t xml:space="preserve"> (</w:t>
      </w:r>
      <w:r w:rsidR="00772172" w:rsidRPr="00772172">
        <w:rPr>
          <w:rFonts w:ascii="Arial" w:hAnsi="Arial"/>
          <w:sz w:val="20"/>
          <w:szCs w:val="20"/>
        </w:rPr>
        <w:t>Sisson</w:t>
      </w:r>
      <w:r w:rsidR="00772172">
        <w:rPr>
          <w:rFonts w:ascii="Arial" w:hAnsi="Arial"/>
          <w:sz w:val="20"/>
          <w:szCs w:val="20"/>
        </w:rPr>
        <w:t xml:space="preserve"> et al., 2020)</w:t>
      </w:r>
      <w:r w:rsidRPr="009770DF">
        <w:rPr>
          <w:rFonts w:ascii="Arial" w:hAnsi="Arial"/>
          <w:sz w:val="20"/>
          <w:szCs w:val="20"/>
        </w:rPr>
        <w:t>. These international practices show the global recognition of community-focused teaching as essential to enhancing student achievement and holistic development.</w:t>
      </w:r>
    </w:p>
    <w:p w14:paraId="74CA92E4" w14:textId="77777777" w:rsidR="009770DF" w:rsidRPr="009770DF" w:rsidRDefault="009770DF" w:rsidP="009770DF">
      <w:pPr>
        <w:jc w:val="both"/>
        <w:rPr>
          <w:rFonts w:ascii="Arial" w:hAnsi="Arial"/>
          <w:sz w:val="20"/>
          <w:szCs w:val="20"/>
        </w:rPr>
      </w:pPr>
    </w:p>
    <w:p w14:paraId="1A721E54" w14:textId="0C0A1E57" w:rsidR="009770DF" w:rsidRPr="009770DF" w:rsidRDefault="009770DF" w:rsidP="009770DF">
      <w:pPr>
        <w:jc w:val="both"/>
        <w:rPr>
          <w:rFonts w:ascii="Arial" w:hAnsi="Arial"/>
          <w:sz w:val="20"/>
          <w:szCs w:val="20"/>
        </w:rPr>
      </w:pPr>
      <w:r w:rsidRPr="009770DF">
        <w:rPr>
          <w:rFonts w:ascii="Arial" w:hAnsi="Arial"/>
          <w:sz w:val="20"/>
          <w:szCs w:val="20"/>
        </w:rPr>
        <w:t>In the Philippines, the Department of Education (DepEd) has incorporated values of inclusivity and learner-centered education into its curriculum reforms</w:t>
      </w:r>
      <w:r w:rsidR="00772172">
        <w:rPr>
          <w:rFonts w:ascii="Arial" w:hAnsi="Arial"/>
          <w:sz w:val="20"/>
          <w:szCs w:val="20"/>
        </w:rPr>
        <w:t xml:space="preserve"> (</w:t>
      </w:r>
      <w:proofErr w:type="spellStart"/>
      <w:r w:rsidR="00772172" w:rsidRPr="00772172">
        <w:rPr>
          <w:rFonts w:ascii="Arial" w:hAnsi="Arial"/>
          <w:sz w:val="20"/>
          <w:szCs w:val="20"/>
        </w:rPr>
        <w:t>Bulusan</w:t>
      </w:r>
      <w:proofErr w:type="spellEnd"/>
      <w:r w:rsidR="00772172">
        <w:rPr>
          <w:rFonts w:ascii="Arial" w:hAnsi="Arial"/>
          <w:sz w:val="20"/>
          <w:szCs w:val="20"/>
        </w:rPr>
        <w:t xml:space="preserve"> et al., 2025)</w:t>
      </w:r>
      <w:r w:rsidRPr="009770DF">
        <w:rPr>
          <w:rFonts w:ascii="Arial" w:hAnsi="Arial"/>
          <w:sz w:val="20"/>
          <w:szCs w:val="20"/>
        </w:rPr>
        <w:t>. However, challenges persist in the practical application of community-building strategies in classrooms, especially in public elementary schools</w:t>
      </w:r>
      <w:r w:rsidR="00772172">
        <w:rPr>
          <w:rFonts w:ascii="Arial" w:hAnsi="Arial"/>
          <w:sz w:val="20"/>
          <w:szCs w:val="20"/>
        </w:rPr>
        <w:t xml:space="preserve"> (</w:t>
      </w:r>
      <w:r w:rsidR="00772172" w:rsidRPr="00772172">
        <w:rPr>
          <w:rFonts w:ascii="Arial" w:hAnsi="Arial"/>
          <w:sz w:val="20"/>
          <w:szCs w:val="20"/>
        </w:rPr>
        <w:t>Alarcón</w:t>
      </w:r>
      <w:r w:rsidR="00772172">
        <w:rPr>
          <w:rFonts w:ascii="Arial" w:hAnsi="Arial"/>
          <w:sz w:val="20"/>
          <w:szCs w:val="20"/>
        </w:rPr>
        <w:t xml:space="preserve"> &amp;</w:t>
      </w:r>
      <w:r w:rsidR="00772172" w:rsidRPr="00772172">
        <w:rPr>
          <w:rFonts w:ascii="Arial" w:hAnsi="Arial"/>
          <w:sz w:val="20"/>
          <w:szCs w:val="20"/>
        </w:rPr>
        <w:t xml:space="preserve"> Bettez</w:t>
      </w:r>
      <w:r w:rsidR="00772172">
        <w:rPr>
          <w:rFonts w:ascii="Arial" w:hAnsi="Arial"/>
          <w:sz w:val="20"/>
          <w:szCs w:val="20"/>
        </w:rPr>
        <w:t>, 2021)</w:t>
      </w:r>
      <w:r w:rsidRPr="009770DF">
        <w:rPr>
          <w:rFonts w:ascii="Arial" w:hAnsi="Arial"/>
          <w:sz w:val="20"/>
          <w:szCs w:val="20"/>
        </w:rPr>
        <w:t>. Teachers often face large class sizes, limited resources, and insufficient professional development opportunities that hinder their ability to create meaningful teacher-student relationships and cooperative learning environments</w:t>
      </w:r>
      <w:r w:rsidR="00430496">
        <w:rPr>
          <w:rFonts w:ascii="Arial" w:hAnsi="Arial"/>
          <w:sz w:val="20"/>
          <w:szCs w:val="20"/>
        </w:rPr>
        <w:t xml:space="preserve"> (</w:t>
      </w:r>
      <w:r w:rsidR="00430496" w:rsidRPr="00430496">
        <w:rPr>
          <w:rFonts w:ascii="Arial" w:hAnsi="Arial"/>
          <w:sz w:val="20"/>
          <w:szCs w:val="20"/>
        </w:rPr>
        <w:t>Mitra</w:t>
      </w:r>
      <w:r w:rsidR="00430496">
        <w:rPr>
          <w:rFonts w:ascii="Arial" w:hAnsi="Arial"/>
          <w:sz w:val="20"/>
          <w:szCs w:val="20"/>
        </w:rPr>
        <w:t>, 2025)</w:t>
      </w:r>
      <w:r w:rsidRPr="009770DF">
        <w:rPr>
          <w:rFonts w:ascii="Arial" w:hAnsi="Arial"/>
          <w:sz w:val="20"/>
          <w:szCs w:val="20"/>
        </w:rPr>
        <w:t>. Despite policy support, the implementation of community-oriented teaching remains inconsistent across schools and divisions.</w:t>
      </w:r>
    </w:p>
    <w:p w14:paraId="27024CC4" w14:textId="77777777" w:rsidR="009770DF" w:rsidRPr="009770DF" w:rsidRDefault="009770DF" w:rsidP="009770DF">
      <w:pPr>
        <w:jc w:val="both"/>
        <w:rPr>
          <w:rFonts w:ascii="Arial" w:hAnsi="Arial"/>
          <w:sz w:val="20"/>
          <w:szCs w:val="20"/>
        </w:rPr>
      </w:pPr>
    </w:p>
    <w:p w14:paraId="1E47C349" w14:textId="3A9A45E7" w:rsidR="009770DF" w:rsidRPr="009770DF" w:rsidRDefault="009770DF" w:rsidP="009770DF">
      <w:pPr>
        <w:jc w:val="both"/>
        <w:rPr>
          <w:rFonts w:ascii="Arial" w:hAnsi="Arial"/>
          <w:sz w:val="20"/>
          <w:szCs w:val="20"/>
        </w:rPr>
      </w:pPr>
      <w:r w:rsidRPr="009770DF">
        <w:rPr>
          <w:rFonts w:ascii="Arial" w:hAnsi="Arial"/>
          <w:sz w:val="20"/>
          <w:szCs w:val="20"/>
        </w:rPr>
        <w:t>Classroom organization plays a vital role in shaping the learning environment and can significantly influence the development of community teaching</w:t>
      </w:r>
      <w:r w:rsidR="00430496">
        <w:rPr>
          <w:rFonts w:ascii="Arial" w:hAnsi="Arial"/>
          <w:sz w:val="20"/>
          <w:szCs w:val="20"/>
        </w:rPr>
        <w:t xml:space="preserve"> (</w:t>
      </w:r>
      <w:r w:rsidR="00430496" w:rsidRPr="00430496">
        <w:rPr>
          <w:rFonts w:ascii="Arial" w:hAnsi="Arial"/>
          <w:sz w:val="20"/>
          <w:szCs w:val="20"/>
        </w:rPr>
        <w:t>Khalfaoui</w:t>
      </w:r>
      <w:r w:rsidR="00430496">
        <w:rPr>
          <w:rFonts w:ascii="Arial" w:hAnsi="Arial"/>
          <w:sz w:val="20"/>
          <w:szCs w:val="20"/>
        </w:rPr>
        <w:t xml:space="preserve"> et al., 2021)</w:t>
      </w:r>
      <w:r w:rsidRPr="009770DF">
        <w:rPr>
          <w:rFonts w:ascii="Arial" w:hAnsi="Arial"/>
          <w:sz w:val="20"/>
          <w:szCs w:val="20"/>
        </w:rPr>
        <w:t>. An attractive classroom—defined by order, visual stimulation, flexibility, and responsiveness to student needs—can foster a welcoming and inclusive atmosphere where students are more likely to participate and collaborate</w:t>
      </w:r>
      <w:r w:rsidR="00430496">
        <w:rPr>
          <w:rFonts w:ascii="Arial" w:hAnsi="Arial"/>
          <w:sz w:val="20"/>
          <w:szCs w:val="20"/>
        </w:rPr>
        <w:t xml:space="preserve"> (</w:t>
      </w:r>
      <w:r w:rsidR="00430496" w:rsidRPr="00430496">
        <w:rPr>
          <w:rFonts w:ascii="Arial" w:hAnsi="Arial"/>
          <w:sz w:val="20"/>
          <w:szCs w:val="20"/>
        </w:rPr>
        <w:t>Shan</w:t>
      </w:r>
      <w:r w:rsidR="00430496">
        <w:rPr>
          <w:rFonts w:ascii="Arial" w:hAnsi="Arial"/>
          <w:sz w:val="20"/>
          <w:szCs w:val="20"/>
        </w:rPr>
        <w:t>, 2022)</w:t>
      </w:r>
      <w:r w:rsidRPr="009770DF">
        <w:rPr>
          <w:rFonts w:ascii="Arial" w:hAnsi="Arial"/>
          <w:sz w:val="20"/>
          <w:szCs w:val="20"/>
        </w:rPr>
        <w:t>. When teachers purposefully design their classrooms to support interaction, risk-taking, and emotional safety, they help create the conditions necessary for building strong learning communities</w:t>
      </w:r>
      <w:r w:rsidR="00430496">
        <w:rPr>
          <w:rFonts w:ascii="Arial" w:hAnsi="Arial"/>
          <w:sz w:val="20"/>
          <w:szCs w:val="20"/>
        </w:rPr>
        <w:t xml:space="preserve"> (</w:t>
      </w:r>
      <w:r w:rsidR="00430496" w:rsidRPr="00430496">
        <w:rPr>
          <w:rFonts w:ascii="Arial" w:hAnsi="Arial"/>
          <w:sz w:val="20"/>
          <w:szCs w:val="20"/>
        </w:rPr>
        <w:t>Sosa Díaz</w:t>
      </w:r>
      <w:r w:rsidR="00430496">
        <w:rPr>
          <w:rFonts w:ascii="Arial" w:hAnsi="Arial"/>
          <w:sz w:val="20"/>
          <w:szCs w:val="20"/>
        </w:rPr>
        <w:t xml:space="preserve"> et al., 2021)</w:t>
      </w:r>
      <w:r w:rsidRPr="009770DF">
        <w:rPr>
          <w:rFonts w:ascii="Arial" w:hAnsi="Arial"/>
          <w:sz w:val="20"/>
          <w:szCs w:val="20"/>
        </w:rPr>
        <w:t>. Thus, exploring the relationship between attractive classroom organization and the ability of teachers to engage in community teaching becomes an important area of inquiry.</w:t>
      </w:r>
    </w:p>
    <w:p w14:paraId="421B9752" w14:textId="77777777" w:rsidR="009770DF" w:rsidRPr="009770DF" w:rsidRDefault="009770DF" w:rsidP="009770DF">
      <w:pPr>
        <w:jc w:val="both"/>
        <w:rPr>
          <w:rFonts w:ascii="Arial" w:hAnsi="Arial"/>
          <w:sz w:val="20"/>
          <w:szCs w:val="20"/>
        </w:rPr>
      </w:pPr>
    </w:p>
    <w:p w14:paraId="3788E96D" w14:textId="77777777" w:rsidR="009770DF" w:rsidRPr="009770DF" w:rsidRDefault="009770DF" w:rsidP="009770DF">
      <w:pPr>
        <w:jc w:val="both"/>
        <w:rPr>
          <w:rFonts w:ascii="Arial" w:hAnsi="Arial"/>
          <w:sz w:val="20"/>
          <w:szCs w:val="20"/>
        </w:rPr>
      </w:pPr>
      <w:r w:rsidRPr="009770DF">
        <w:rPr>
          <w:rFonts w:ascii="Arial" w:hAnsi="Arial"/>
          <w:sz w:val="20"/>
          <w:szCs w:val="20"/>
        </w:rPr>
        <w:t>Despite the growing interest in creating community teaching and the acknowledged importance of classroom organization, there remains a scarcity of empirical studies examining the link between the two, particularly in the context of public elementary schools in the Philippines. Most existing research has focused on either physical classroom design or pedagogical strategies in isolation, without integrating their potential interaction. This research gap limits the understanding of how environmental factors directly support or hinder the community-building practices of teachers, thus warranting further investigation.</w:t>
      </w:r>
    </w:p>
    <w:p w14:paraId="1A6FBCC3" w14:textId="77777777" w:rsidR="009770DF" w:rsidRPr="009770DF" w:rsidRDefault="009770DF" w:rsidP="009770DF">
      <w:pPr>
        <w:jc w:val="both"/>
        <w:rPr>
          <w:rFonts w:ascii="Arial" w:hAnsi="Arial"/>
          <w:sz w:val="20"/>
          <w:szCs w:val="20"/>
        </w:rPr>
      </w:pPr>
    </w:p>
    <w:p w14:paraId="4F724057" w14:textId="4BA9473A" w:rsidR="00BB0E63" w:rsidRPr="007E5C64" w:rsidRDefault="009770DF" w:rsidP="009770DF">
      <w:pPr>
        <w:jc w:val="both"/>
        <w:rPr>
          <w:rFonts w:ascii="Arial" w:hAnsi="Arial"/>
          <w:sz w:val="20"/>
          <w:szCs w:val="20"/>
        </w:rPr>
      </w:pPr>
      <w:r w:rsidRPr="009770DF">
        <w:rPr>
          <w:rFonts w:ascii="Arial" w:hAnsi="Arial"/>
          <w:sz w:val="20"/>
          <w:szCs w:val="20"/>
        </w:rPr>
        <w:t xml:space="preserve">This study aimed to determine the significant relationship between attractive classroom organization and creating community teaching among public elementary school teachers in </w:t>
      </w:r>
      <w:proofErr w:type="spellStart"/>
      <w:r w:rsidRPr="009770DF">
        <w:rPr>
          <w:rFonts w:ascii="Arial" w:hAnsi="Arial"/>
          <w:sz w:val="20"/>
          <w:szCs w:val="20"/>
        </w:rPr>
        <w:t>Talomo</w:t>
      </w:r>
      <w:proofErr w:type="spellEnd"/>
      <w:r w:rsidRPr="009770DF">
        <w:rPr>
          <w:rFonts w:ascii="Arial" w:hAnsi="Arial"/>
          <w:sz w:val="20"/>
          <w:szCs w:val="20"/>
        </w:rPr>
        <w:t xml:space="preserve"> West District, Division of Davao City.</w:t>
      </w:r>
    </w:p>
    <w:p w14:paraId="138E8A69" w14:textId="7C14E77B" w:rsidR="00CA30FF" w:rsidRPr="007E5C64" w:rsidRDefault="00CA30FF" w:rsidP="00CA30FF">
      <w:pPr>
        <w:jc w:val="both"/>
        <w:rPr>
          <w:noProof/>
          <w:sz w:val="20"/>
          <w:szCs w:val="20"/>
        </w:rPr>
      </w:pPr>
    </w:p>
    <w:p w14:paraId="5DF8BEF5" w14:textId="54AB1415" w:rsidR="00CA30FF" w:rsidRPr="007E5C64" w:rsidRDefault="00CA30FF" w:rsidP="00CA30FF">
      <w:pPr>
        <w:jc w:val="both"/>
        <w:rPr>
          <w:noProof/>
          <w:sz w:val="20"/>
          <w:szCs w:val="20"/>
        </w:rPr>
      </w:pPr>
    </w:p>
    <w:p w14:paraId="7AEEE99D" w14:textId="544C5C05" w:rsidR="0074551A" w:rsidRPr="007E5C64" w:rsidRDefault="0074551A" w:rsidP="00D8415F">
      <w:pPr>
        <w:jc w:val="both"/>
        <w:rPr>
          <w:rFonts w:ascii="Arial" w:eastAsia="MS Mincho" w:hAnsi="Arial" w:cs="Arial"/>
          <w:b/>
          <w:bCs/>
          <w:sz w:val="20"/>
          <w:szCs w:val="20"/>
          <w:lang w:eastAsia="ja-JP"/>
        </w:rPr>
      </w:pPr>
    </w:p>
    <w:p w14:paraId="24AB303C" w14:textId="77777777" w:rsidR="0074551A" w:rsidRPr="007E5C64" w:rsidRDefault="0074551A" w:rsidP="00323BB4">
      <w:pPr>
        <w:jc w:val="center"/>
        <w:rPr>
          <w:rFonts w:ascii="Arial" w:eastAsia="MS Mincho" w:hAnsi="Arial" w:cs="Arial"/>
          <w:b/>
          <w:bCs/>
          <w:sz w:val="20"/>
          <w:szCs w:val="20"/>
          <w:lang w:eastAsia="ja-JP"/>
        </w:rPr>
      </w:pPr>
    </w:p>
    <w:p w14:paraId="779EF7AF" w14:textId="77777777" w:rsidR="0056218A" w:rsidRPr="007E5C64" w:rsidRDefault="0056218A" w:rsidP="00323BB4">
      <w:pPr>
        <w:jc w:val="center"/>
        <w:rPr>
          <w:rFonts w:ascii="Arial" w:eastAsia="MS Mincho" w:hAnsi="Arial" w:cs="Arial"/>
          <w:b/>
          <w:bCs/>
          <w:sz w:val="20"/>
          <w:szCs w:val="20"/>
          <w:lang w:eastAsia="ja-JP"/>
        </w:rPr>
      </w:pPr>
    </w:p>
    <w:p w14:paraId="3017206B" w14:textId="77777777" w:rsidR="003227FA" w:rsidRPr="007E5C64" w:rsidRDefault="003227FA" w:rsidP="00323BB4">
      <w:pPr>
        <w:jc w:val="center"/>
        <w:rPr>
          <w:rFonts w:ascii="Arial" w:eastAsia="MS Mincho" w:hAnsi="Arial" w:cs="Arial"/>
          <w:b/>
          <w:bCs/>
          <w:sz w:val="20"/>
          <w:szCs w:val="20"/>
          <w:lang w:eastAsia="ja-JP"/>
        </w:rPr>
      </w:pPr>
    </w:p>
    <w:p w14:paraId="4E2B6B39" w14:textId="77777777" w:rsidR="003227FA" w:rsidRPr="007E5C64" w:rsidRDefault="003227FA" w:rsidP="00323BB4">
      <w:pPr>
        <w:jc w:val="center"/>
        <w:rPr>
          <w:rFonts w:ascii="Arial" w:eastAsia="MS Mincho" w:hAnsi="Arial" w:cs="Arial"/>
          <w:b/>
          <w:bCs/>
          <w:sz w:val="20"/>
          <w:szCs w:val="20"/>
          <w:lang w:eastAsia="ja-JP"/>
        </w:rPr>
      </w:pPr>
    </w:p>
    <w:p w14:paraId="14CB7266" w14:textId="77777777" w:rsidR="003227FA" w:rsidRPr="007E5C64" w:rsidRDefault="003227FA" w:rsidP="00323BB4">
      <w:pPr>
        <w:jc w:val="center"/>
        <w:rPr>
          <w:rFonts w:ascii="Arial" w:eastAsia="MS Mincho" w:hAnsi="Arial" w:cs="Arial"/>
          <w:b/>
          <w:bCs/>
          <w:sz w:val="20"/>
          <w:szCs w:val="20"/>
          <w:lang w:eastAsia="ja-JP"/>
        </w:rPr>
      </w:pPr>
    </w:p>
    <w:p w14:paraId="2816209E" w14:textId="204BB83A" w:rsidR="003227FA" w:rsidRPr="007E5C64" w:rsidRDefault="00100CCE" w:rsidP="003340B8">
      <w:pPr>
        <w:jc w:val="center"/>
        <w:rPr>
          <w:rFonts w:ascii="Arial" w:eastAsia="MS Mincho" w:hAnsi="Arial" w:cs="Arial"/>
          <w:b/>
          <w:bCs/>
          <w:sz w:val="20"/>
          <w:szCs w:val="20"/>
          <w:lang w:eastAsia="ja-JP"/>
        </w:rPr>
      </w:pPr>
      <w:r w:rsidRPr="00100CCE">
        <w:rPr>
          <w:rFonts w:ascii="Arial" w:eastAsia="MS Mincho" w:hAnsi="Arial" w:cs="Arial"/>
          <w:b/>
          <w:bCs/>
          <w:noProof/>
          <w:sz w:val="20"/>
          <w:szCs w:val="20"/>
          <w:lang w:val="en-US"/>
        </w:rPr>
        <w:lastRenderedPageBreak/>
        <w:drawing>
          <wp:inline distT="0" distB="0" distL="0" distR="0" wp14:anchorId="13E741CB" wp14:editId="4C539F4B">
            <wp:extent cx="3276600" cy="3014103"/>
            <wp:effectExtent l="0" t="0" r="0" b="0"/>
            <wp:docPr id="108585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54000" name=""/>
                    <pic:cNvPicPr/>
                  </pic:nvPicPr>
                  <pic:blipFill rotWithShape="1">
                    <a:blip r:embed="rId14"/>
                    <a:srcRect r="4972"/>
                    <a:stretch/>
                  </pic:blipFill>
                  <pic:spPr bwMode="auto">
                    <a:xfrm>
                      <a:off x="0" y="0"/>
                      <a:ext cx="3296550" cy="3032455"/>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Pr="007E5C64" w:rsidRDefault="003227FA" w:rsidP="00323BB4">
      <w:pPr>
        <w:jc w:val="center"/>
        <w:rPr>
          <w:rFonts w:ascii="Arial" w:eastAsia="MS Mincho" w:hAnsi="Arial" w:cs="Arial"/>
          <w:b/>
          <w:bCs/>
          <w:sz w:val="20"/>
          <w:szCs w:val="20"/>
          <w:lang w:eastAsia="ja-JP"/>
        </w:rPr>
      </w:pPr>
    </w:p>
    <w:p w14:paraId="70BF97C8" w14:textId="223BC990" w:rsidR="00717F2E" w:rsidRDefault="00180859" w:rsidP="00323BB4">
      <w:pPr>
        <w:jc w:val="center"/>
        <w:rPr>
          <w:rFonts w:ascii="Arial" w:eastAsia="MS Mincho" w:hAnsi="Arial" w:cs="Arial"/>
          <w:sz w:val="20"/>
          <w:szCs w:val="20"/>
          <w:lang w:eastAsia="ja-JP"/>
        </w:rPr>
      </w:pPr>
      <w:r w:rsidRPr="007E5C64">
        <w:rPr>
          <w:rFonts w:ascii="Arial" w:eastAsia="MS Mincho" w:hAnsi="Arial" w:cs="Arial"/>
          <w:b/>
          <w:bCs/>
          <w:sz w:val="20"/>
          <w:szCs w:val="20"/>
          <w:lang w:eastAsia="ja-JP"/>
        </w:rPr>
        <w:t xml:space="preserve">Figure 1:  </w:t>
      </w:r>
      <w:r w:rsidRPr="007E5C64">
        <w:rPr>
          <w:rFonts w:ascii="Arial" w:eastAsia="MS Mincho" w:hAnsi="Arial" w:cs="Arial"/>
          <w:sz w:val="20"/>
          <w:szCs w:val="20"/>
          <w:lang w:eastAsia="ja-JP"/>
        </w:rPr>
        <w:t>Conceptual Framework of the Study</w:t>
      </w:r>
    </w:p>
    <w:p w14:paraId="6AB061FE" w14:textId="77777777" w:rsidR="001F31F9" w:rsidRDefault="001F31F9" w:rsidP="00323BB4">
      <w:pPr>
        <w:jc w:val="center"/>
        <w:rPr>
          <w:rFonts w:ascii="Arial" w:eastAsia="MS Mincho" w:hAnsi="Arial" w:cs="Arial"/>
          <w:sz w:val="20"/>
          <w:szCs w:val="20"/>
          <w:lang w:eastAsia="ja-JP"/>
        </w:rPr>
      </w:pPr>
    </w:p>
    <w:p w14:paraId="2A9902BB" w14:textId="08F0611C" w:rsidR="007D0BA1" w:rsidRPr="007D0BA1" w:rsidRDefault="007D0BA1" w:rsidP="007D0BA1">
      <w:pPr>
        <w:jc w:val="both"/>
        <w:rPr>
          <w:rFonts w:ascii="Arial" w:eastAsia="MS Mincho" w:hAnsi="Arial" w:cs="Arial"/>
          <w:sz w:val="20"/>
          <w:szCs w:val="20"/>
          <w:highlight w:val="yellow"/>
          <w:lang w:eastAsia="ja-JP"/>
        </w:rPr>
      </w:pPr>
      <w:r w:rsidRPr="007D0BA1">
        <w:rPr>
          <w:rFonts w:ascii="Arial" w:eastAsia="MS Mincho" w:hAnsi="Arial" w:cs="Arial"/>
          <w:sz w:val="20"/>
          <w:szCs w:val="20"/>
          <w:highlight w:val="yellow"/>
          <w:lang w:eastAsia="ja-JP"/>
        </w:rPr>
        <w:t>This study examines the relationship between Attractive Classroom Organization and Creating Community Teaching. The independent variable, Attractive Classroom Organization, is based on the framework of Conger (2020) and includes four key dimensions: concepts, sensitivity, needs, and risk-taking. Concepts refer to the intentional planning and st</w:t>
      </w:r>
      <w:r>
        <w:rPr>
          <w:rFonts w:ascii="Arial" w:eastAsia="MS Mincho" w:hAnsi="Arial" w:cs="Arial"/>
          <w:sz w:val="20"/>
          <w:szCs w:val="20"/>
          <w:highlight w:val="yellow"/>
          <w:lang w:eastAsia="ja-JP"/>
        </w:rPr>
        <w:t xml:space="preserve">ructuring of classroom elements, </w:t>
      </w:r>
      <w:r w:rsidRPr="007D0BA1">
        <w:rPr>
          <w:rFonts w:ascii="Arial" w:eastAsia="MS Mincho" w:hAnsi="Arial" w:cs="Arial"/>
          <w:sz w:val="20"/>
          <w:szCs w:val="20"/>
          <w:highlight w:val="yellow"/>
          <w:lang w:eastAsia="ja-JP"/>
        </w:rPr>
        <w:t>such as layout, desi</w:t>
      </w:r>
      <w:r>
        <w:rPr>
          <w:rFonts w:ascii="Arial" w:eastAsia="MS Mincho" w:hAnsi="Arial" w:cs="Arial"/>
          <w:sz w:val="20"/>
          <w:szCs w:val="20"/>
          <w:highlight w:val="yellow"/>
          <w:lang w:eastAsia="ja-JP"/>
        </w:rPr>
        <w:t xml:space="preserve">gn, and instructional materials, </w:t>
      </w:r>
      <w:r w:rsidRPr="007D0BA1">
        <w:rPr>
          <w:rFonts w:ascii="Arial" w:eastAsia="MS Mincho" w:hAnsi="Arial" w:cs="Arial"/>
          <w:sz w:val="20"/>
          <w:szCs w:val="20"/>
          <w:highlight w:val="yellow"/>
          <w:lang w:eastAsia="ja-JP"/>
        </w:rPr>
        <w:t>that support effective teaching and student engagement. Sensitivity involves the teacher’s awareness and responsiveness to the emotional, physical, and academic needs of learners in organizing the classroom space. Needs pertain to how classroom arrangements are tailored to meet the diverse developmental and educational requirements of students. Meanwhile, risk-taking reflects a teacher’s willingness to explore innovative layouts, flexible seating, and creative classroom designs that may enhance learning experiences.</w:t>
      </w:r>
    </w:p>
    <w:p w14:paraId="4B0A93DA" w14:textId="77777777" w:rsidR="007D0BA1" w:rsidRPr="007D0BA1" w:rsidRDefault="007D0BA1" w:rsidP="007D0BA1">
      <w:pPr>
        <w:jc w:val="both"/>
        <w:rPr>
          <w:rFonts w:ascii="Arial" w:eastAsia="MS Mincho" w:hAnsi="Arial" w:cs="Arial"/>
          <w:sz w:val="20"/>
          <w:szCs w:val="20"/>
          <w:highlight w:val="yellow"/>
          <w:lang w:eastAsia="ja-JP"/>
        </w:rPr>
      </w:pPr>
    </w:p>
    <w:p w14:paraId="6FD6FCD1" w14:textId="2E286982" w:rsidR="007D0BA1" w:rsidRPr="007D0BA1" w:rsidRDefault="007D0BA1" w:rsidP="007D0BA1">
      <w:pPr>
        <w:jc w:val="both"/>
        <w:rPr>
          <w:rFonts w:ascii="Arial" w:eastAsia="MS Mincho" w:hAnsi="Arial" w:cs="Arial"/>
          <w:sz w:val="20"/>
          <w:szCs w:val="20"/>
          <w:lang w:eastAsia="ja-JP"/>
        </w:rPr>
      </w:pPr>
      <w:r w:rsidRPr="007D0BA1">
        <w:rPr>
          <w:rFonts w:ascii="Arial" w:eastAsia="MS Mincho" w:hAnsi="Arial" w:cs="Arial"/>
          <w:sz w:val="20"/>
          <w:szCs w:val="20"/>
          <w:highlight w:val="yellow"/>
          <w:lang w:eastAsia="ja-JP"/>
        </w:rPr>
        <w:t xml:space="preserve">The dependent variable, Creating Community Teaching, is grounded in the work of Benton and </w:t>
      </w:r>
      <w:proofErr w:type="spellStart"/>
      <w:r w:rsidRPr="007D0BA1">
        <w:rPr>
          <w:rFonts w:ascii="Arial" w:eastAsia="MS Mincho" w:hAnsi="Arial" w:cs="Arial"/>
          <w:sz w:val="20"/>
          <w:szCs w:val="20"/>
          <w:highlight w:val="yellow"/>
          <w:lang w:eastAsia="ja-JP"/>
        </w:rPr>
        <w:t>Bulach</w:t>
      </w:r>
      <w:proofErr w:type="spellEnd"/>
      <w:r w:rsidRPr="007D0BA1">
        <w:rPr>
          <w:rFonts w:ascii="Arial" w:eastAsia="MS Mincho" w:hAnsi="Arial" w:cs="Arial"/>
          <w:sz w:val="20"/>
          <w:szCs w:val="20"/>
          <w:highlight w:val="yellow"/>
          <w:lang w:eastAsia="ja-JP"/>
        </w:rPr>
        <w:t xml:space="preserve"> (2019) and encompasses four dimensions: supportive, instructional, preventive, and responsive. Supportive teaching refers to fostering a classroom environment built on trust, care, and emotional safety. Instructional practices highlight collaboration, open communication, and shared responsibility in the learning process. Preventive approaches are proactive strategies that establish clear expectations and address potential behavioral or academic concerns before they escalate. Finally, responsive teaching is characterized by the </w:t>
      </w:r>
      <w:r w:rsidRPr="00237CD1">
        <w:rPr>
          <w:rFonts w:ascii="Arial" w:eastAsia="MS Mincho" w:hAnsi="Arial" w:cs="Arial"/>
          <w:sz w:val="20"/>
          <w:szCs w:val="20"/>
          <w:highlight w:val="yellow"/>
          <w:lang w:eastAsia="ja-JP"/>
        </w:rPr>
        <w:t>ability to adapt instruction and interaction based on students’ evolving academic and socio-emotional needs, thereby cultivating a sense of belonging and community in the classroom.</w:t>
      </w:r>
      <w:r w:rsidR="00237CD1" w:rsidRPr="00237CD1">
        <w:rPr>
          <w:rFonts w:ascii="Arial" w:eastAsia="MS Mincho" w:hAnsi="Arial" w:cs="Arial"/>
          <w:sz w:val="20"/>
          <w:szCs w:val="20"/>
          <w:highlight w:val="yellow"/>
          <w:lang w:eastAsia="ja-JP"/>
        </w:rPr>
        <w:t xml:space="preserve"> This framework illustrates the relationship between classroom </w:t>
      </w:r>
      <w:proofErr w:type="spellStart"/>
      <w:r w:rsidR="00237CD1" w:rsidRPr="00237CD1">
        <w:rPr>
          <w:rFonts w:ascii="Arial" w:eastAsia="MS Mincho" w:hAnsi="Arial" w:cs="Arial"/>
          <w:sz w:val="20"/>
          <w:szCs w:val="20"/>
          <w:highlight w:val="yellow"/>
          <w:lang w:eastAsia="ja-JP"/>
        </w:rPr>
        <w:t>organisation</w:t>
      </w:r>
      <w:proofErr w:type="spellEnd"/>
      <w:r w:rsidR="00237CD1" w:rsidRPr="00237CD1">
        <w:rPr>
          <w:rFonts w:ascii="Arial" w:eastAsia="MS Mincho" w:hAnsi="Arial" w:cs="Arial"/>
          <w:sz w:val="20"/>
          <w:szCs w:val="20"/>
          <w:highlight w:val="yellow"/>
          <w:lang w:eastAsia="ja-JP"/>
        </w:rPr>
        <w:t xml:space="preserve"> and the teaching community.</w:t>
      </w:r>
    </w:p>
    <w:p w14:paraId="45E33339" w14:textId="77777777" w:rsidR="001F31F9" w:rsidRPr="007E5C64" w:rsidRDefault="001F31F9" w:rsidP="001F31F9">
      <w:pPr>
        <w:rPr>
          <w:rFonts w:ascii="Arial" w:eastAsia="MS Mincho" w:hAnsi="Arial" w:cs="Arial"/>
          <w:sz w:val="20"/>
          <w:szCs w:val="20"/>
          <w:lang w:eastAsia="ja-JP"/>
        </w:rPr>
      </w:pPr>
    </w:p>
    <w:p w14:paraId="305CBFC1" w14:textId="23EF8DCF" w:rsidR="000D23E6" w:rsidRPr="007E5C64" w:rsidRDefault="002F5C4B" w:rsidP="000D23E6">
      <w:pPr>
        <w:rPr>
          <w:rFonts w:ascii="Arial" w:eastAsia="MS Mincho" w:hAnsi="Arial" w:cs="Arial"/>
          <w:b/>
          <w:sz w:val="20"/>
          <w:szCs w:val="20"/>
          <w:lang w:eastAsia="ja-JP"/>
        </w:rPr>
      </w:pPr>
      <w:r w:rsidRPr="007E5C64">
        <w:rPr>
          <w:rFonts w:ascii="Arial" w:eastAsia="MS Mincho" w:hAnsi="Arial" w:cs="Arial"/>
          <w:b/>
          <w:sz w:val="20"/>
          <w:szCs w:val="20"/>
          <w:lang w:eastAsia="ja-JP"/>
        </w:rPr>
        <w:t>1.1 Statement of the Problem</w:t>
      </w:r>
    </w:p>
    <w:p w14:paraId="71350A61" w14:textId="77777777" w:rsidR="000D23E6" w:rsidRPr="007E5C64" w:rsidRDefault="000D23E6" w:rsidP="000D23E6">
      <w:pPr>
        <w:rPr>
          <w:rFonts w:ascii="Arial" w:eastAsia="MS Mincho" w:hAnsi="Arial" w:cs="Arial"/>
          <w:sz w:val="20"/>
          <w:szCs w:val="20"/>
          <w:lang w:eastAsia="ja-JP"/>
        </w:rPr>
      </w:pPr>
    </w:p>
    <w:p w14:paraId="4015D9FD" w14:textId="768E2D97" w:rsidR="009770DF" w:rsidRPr="009770DF" w:rsidRDefault="00D474F4" w:rsidP="009770DF">
      <w:pPr>
        <w:jc w:val="both"/>
        <w:rPr>
          <w:rFonts w:ascii="Arial" w:eastAsia="MS Mincho" w:hAnsi="Arial" w:cs="Arial"/>
          <w:sz w:val="20"/>
          <w:szCs w:val="20"/>
          <w:lang w:eastAsia="ja-JP"/>
        </w:rPr>
      </w:pPr>
      <w:r w:rsidRPr="00D474F4">
        <w:rPr>
          <w:rFonts w:ascii="Arial" w:eastAsia="MS Mincho" w:hAnsi="Arial" w:cs="Arial"/>
          <w:sz w:val="20"/>
          <w:szCs w:val="20"/>
          <w:highlight w:val="yellow"/>
          <w:lang w:eastAsia="ja-JP"/>
        </w:rPr>
        <w:t xml:space="preserve">This study aimed to determine the significant relationship between attractive classroom organization and creating community teaching among public elementary school teachers in </w:t>
      </w:r>
      <w:proofErr w:type="spellStart"/>
      <w:r w:rsidRPr="00D474F4">
        <w:rPr>
          <w:rFonts w:ascii="Arial" w:eastAsia="MS Mincho" w:hAnsi="Arial" w:cs="Arial"/>
          <w:sz w:val="20"/>
          <w:szCs w:val="20"/>
          <w:highlight w:val="yellow"/>
          <w:lang w:eastAsia="ja-JP"/>
        </w:rPr>
        <w:t>Talomo</w:t>
      </w:r>
      <w:proofErr w:type="spellEnd"/>
      <w:r w:rsidRPr="00D474F4">
        <w:rPr>
          <w:rFonts w:ascii="Arial" w:eastAsia="MS Mincho" w:hAnsi="Arial" w:cs="Arial"/>
          <w:sz w:val="20"/>
          <w:szCs w:val="20"/>
          <w:highlight w:val="yellow"/>
          <w:lang w:eastAsia="ja-JP"/>
        </w:rPr>
        <w:t xml:space="preserve"> West District, Division of Davao City.</w:t>
      </w:r>
      <w:r w:rsidRPr="00D474F4">
        <w:rPr>
          <w:rFonts w:ascii="Arial" w:eastAsia="MS Mincho" w:hAnsi="Arial" w:cs="Arial"/>
          <w:sz w:val="20"/>
          <w:szCs w:val="20"/>
          <w:lang w:eastAsia="ja-JP"/>
        </w:rPr>
        <w:t xml:space="preserve"> </w:t>
      </w:r>
      <w:r w:rsidR="009770DF" w:rsidRPr="009770DF">
        <w:rPr>
          <w:rFonts w:ascii="Arial" w:eastAsia="MS Mincho" w:hAnsi="Arial" w:cs="Arial"/>
          <w:sz w:val="20"/>
          <w:szCs w:val="20"/>
          <w:lang w:eastAsia="ja-JP"/>
        </w:rPr>
        <w:t>Specifically, this study sought answers to the following questions:</w:t>
      </w:r>
    </w:p>
    <w:p w14:paraId="56880EC8" w14:textId="77777777" w:rsidR="009770DF" w:rsidRDefault="009770DF" w:rsidP="009770DF">
      <w:pPr>
        <w:jc w:val="both"/>
        <w:rPr>
          <w:rFonts w:ascii="Arial" w:eastAsia="MS Mincho" w:hAnsi="Arial" w:cs="Arial"/>
          <w:sz w:val="20"/>
          <w:szCs w:val="20"/>
          <w:lang w:eastAsia="ja-JP"/>
        </w:rPr>
      </w:pPr>
    </w:p>
    <w:p w14:paraId="21588F89" w14:textId="29950FB3"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What is the level of attractive classroom organization of public elementary school teachers in terms of:</w:t>
      </w:r>
    </w:p>
    <w:p w14:paraId="5D873F54" w14:textId="1111172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1.1 concepts,</w:t>
      </w:r>
    </w:p>
    <w:p w14:paraId="28955B13" w14:textId="02B0E27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1.2 sensitivity,</w:t>
      </w:r>
    </w:p>
    <w:p w14:paraId="04D3AE6A" w14:textId="461276A9"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1.3 needs, and</w:t>
      </w:r>
    </w:p>
    <w:p w14:paraId="47D6C910" w14:textId="6535CDFE"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1.4</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risk taking?</w:t>
      </w:r>
    </w:p>
    <w:p w14:paraId="326F38C6" w14:textId="77777777" w:rsidR="009770DF" w:rsidRDefault="009770DF" w:rsidP="009770DF">
      <w:pPr>
        <w:jc w:val="both"/>
        <w:rPr>
          <w:rFonts w:ascii="Arial" w:eastAsia="MS Mincho" w:hAnsi="Arial" w:cs="Arial"/>
          <w:sz w:val="20"/>
          <w:szCs w:val="20"/>
          <w:lang w:eastAsia="ja-JP"/>
        </w:rPr>
      </w:pPr>
    </w:p>
    <w:p w14:paraId="15EC3944" w14:textId="2542C7D9" w:rsidR="009770DF" w:rsidRPr="009770DF" w:rsidRDefault="009770DF" w:rsidP="009770DF">
      <w:pPr>
        <w:jc w:val="both"/>
        <w:rPr>
          <w:rFonts w:ascii="Arial" w:eastAsia="MS Mincho" w:hAnsi="Arial" w:cs="Arial"/>
          <w:sz w:val="20"/>
          <w:szCs w:val="20"/>
          <w:lang w:eastAsia="ja-JP"/>
        </w:rPr>
      </w:pPr>
      <w:r>
        <w:rPr>
          <w:rFonts w:ascii="Arial" w:eastAsia="MS Mincho" w:hAnsi="Arial" w:cs="Arial"/>
          <w:sz w:val="20"/>
          <w:szCs w:val="20"/>
          <w:lang w:eastAsia="ja-JP"/>
        </w:rPr>
        <w:t>2</w:t>
      </w:r>
      <w:r w:rsidRPr="009770DF">
        <w:rPr>
          <w:rFonts w:ascii="Arial" w:eastAsia="MS Mincho" w:hAnsi="Arial" w:cs="Arial"/>
          <w:sz w:val="20"/>
          <w:szCs w:val="20"/>
          <w:lang w:eastAsia="ja-JP"/>
        </w:rPr>
        <w:t>.</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What is the level of creating community teaching of public elementary school teachers in terms of:</w:t>
      </w:r>
    </w:p>
    <w:p w14:paraId="225DA000" w14:textId="00116442"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2.1 supportive,</w:t>
      </w:r>
    </w:p>
    <w:p w14:paraId="7CCFDF9C" w14:textId="705D3E9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2.2 instruction,</w:t>
      </w:r>
    </w:p>
    <w:p w14:paraId="4DC26C0A" w14:textId="39BF455C"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2.3 prevention, and</w:t>
      </w:r>
    </w:p>
    <w:p w14:paraId="36B7ABF4" w14:textId="58F9B58E"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2.4 responsive?</w:t>
      </w:r>
    </w:p>
    <w:p w14:paraId="55AA7567" w14:textId="77777777" w:rsidR="009770DF" w:rsidRDefault="009770DF" w:rsidP="009770DF">
      <w:pPr>
        <w:jc w:val="both"/>
        <w:rPr>
          <w:rFonts w:ascii="Arial" w:eastAsia="MS Mincho" w:hAnsi="Arial" w:cs="Arial"/>
          <w:sz w:val="20"/>
          <w:szCs w:val="20"/>
          <w:lang w:eastAsia="ja-JP"/>
        </w:rPr>
      </w:pPr>
    </w:p>
    <w:p w14:paraId="3F4C6DD5" w14:textId="633A7BC1"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3. Is there a significant relationship between attractive classroom organization and creating community teaching of public elementary school teachers?</w:t>
      </w:r>
    </w:p>
    <w:p w14:paraId="33983082" w14:textId="77777777" w:rsidR="009770DF" w:rsidRDefault="009770DF" w:rsidP="009770DF">
      <w:pPr>
        <w:jc w:val="both"/>
        <w:rPr>
          <w:rFonts w:ascii="Arial" w:eastAsia="MS Mincho" w:hAnsi="Arial" w:cs="Arial"/>
          <w:sz w:val="20"/>
          <w:szCs w:val="20"/>
          <w:lang w:eastAsia="ja-JP"/>
        </w:rPr>
      </w:pPr>
    </w:p>
    <w:p w14:paraId="326BDC65" w14:textId="62C5F20E" w:rsidR="003340B8" w:rsidRPr="007E5C64"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4. Which domains of attractive classroom organization significantly influence creating community teaching of public elementary school teachers</w:t>
      </w:r>
      <w:r>
        <w:rPr>
          <w:rFonts w:ascii="Arial" w:eastAsia="MS Mincho" w:hAnsi="Arial" w:cs="Arial"/>
          <w:sz w:val="20"/>
          <w:szCs w:val="20"/>
          <w:lang w:eastAsia="ja-JP"/>
        </w:rPr>
        <w:t>?</w:t>
      </w:r>
    </w:p>
    <w:p w14:paraId="5A8C5127" w14:textId="77777777" w:rsidR="000D23E6" w:rsidRPr="007E5C64" w:rsidRDefault="000D23E6" w:rsidP="000D23E6">
      <w:pPr>
        <w:rPr>
          <w:rFonts w:ascii="Arial" w:eastAsia="MS Mincho" w:hAnsi="Arial" w:cs="Arial"/>
          <w:sz w:val="20"/>
          <w:szCs w:val="20"/>
          <w:lang w:eastAsia="ja-JP"/>
        </w:rPr>
      </w:pPr>
    </w:p>
    <w:p w14:paraId="4110F409" w14:textId="2A19F9F9" w:rsidR="002F5C4B" w:rsidRPr="007E5C64" w:rsidRDefault="002F5C4B" w:rsidP="002F5C4B">
      <w:pPr>
        <w:rPr>
          <w:rFonts w:ascii="Arial" w:eastAsia="MS Mincho" w:hAnsi="Arial" w:cs="Arial"/>
          <w:b/>
          <w:sz w:val="20"/>
          <w:szCs w:val="20"/>
          <w:lang w:eastAsia="ja-JP"/>
        </w:rPr>
      </w:pPr>
      <w:r w:rsidRPr="007E5C64">
        <w:rPr>
          <w:rFonts w:ascii="Arial" w:eastAsia="MS Mincho" w:hAnsi="Arial" w:cs="Arial"/>
          <w:b/>
          <w:sz w:val="20"/>
          <w:szCs w:val="20"/>
          <w:lang w:eastAsia="ja-JP"/>
        </w:rPr>
        <w:t>1.2 Hypotheses</w:t>
      </w:r>
    </w:p>
    <w:p w14:paraId="426EE532" w14:textId="77777777" w:rsidR="002F5C4B" w:rsidRPr="007E5C64" w:rsidRDefault="002F5C4B" w:rsidP="002F5C4B">
      <w:pPr>
        <w:rPr>
          <w:rFonts w:ascii="Arial" w:eastAsia="MS Mincho" w:hAnsi="Arial" w:cs="Arial"/>
          <w:sz w:val="20"/>
          <w:szCs w:val="20"/>
          <w:lang w:eastAsia="ja-JP"/>
        </w:rPr>
      </w:pPr>
    </w:p>
    <w:p w14:paraId="335B8688" w14:textId="573A3A88" w:rsidR="002F5C4B" w:rsidRPr="007E5C64" w:rsidRDefault="002F5C4B" w:rsidP="002F5C4B">
      <w:pPr>
        <w:rPr>
          <w:rFonts w:ascii="Arial" w:eastAsia="MS Mincho" w:hAnsi="Arial" w:cs="Arial"/>
          <w:sz w:val="20"/>
          <w:szCs w:val="20"/>
          <w:lang w:eastAsia="ja-JP"/>
        </w:rPr>
      </w:pPr>
      <w:r w:rsidRPr="007E5C64">
        <w:rPr>
          <w:rFonts w:ascii="Arial" w:eastAsia="MS Mincho" w:hAnsi="Arial" w:cs="Arial"/>
          <w:sz w:val="20"/>
          <w:szCs w:val="20"/>
          <w:lang w:eastAsia="ja-JP"/>
        </w:rPr>
        <w:t>The null hypotheses were tested at 0.05 level of significance:</w:t>
      </w:r>
    </w:p>
    <w:p w14:paraId="4DCE443D" w14:textId="77777777" w:rsidR="002F5C4B" w:rsidRPr="007E5C64" w:rsidRDefault="002F5C4B" w:rsidP="002F5C4B">
      <w:pPr>
        <w:rPr>
          <w:rFonts w:ascii="Arial" w:eastAsia="MS Mincho" w:hAnsi="Arial" w:cs="Arial"/>
          <w:sz w:val="20"/>
          <w:szCs w:val="20"/>
          <w:lang w:eastAsia="ja-JP"/>
        </w:rPr>
      </w:pPr>
    </w:p>
    <w:p w14:paraId="38014438" w14:textId="77777777" w:rsidR="005B1BAF" w:rsidRPr="005B1BAF" w:rsidRDefault="005B1BAF" w:rsidP="005B1BAF">
      <w:pPr>
        <w:jc w:val="both"/>
        <w:rPr>
          <w:rFonts w:ascii="Arial" w:eastAsia="MS Mincho" w:hAnsi="Arial" w:cs="Arial"/>
          <w:sz w:val="20"/>
          <w:szCs w:val="20"/>
          <w:lang w:eastAsia="ja-JP"/>
        </w:rPr>
      </w:pPr>
      <w:r w:rsidRPr="005B1BAF">
        <w:rPr>
          <w:rFonts w:ascii="Arial" w:eastAsia="MS Mincho" w:hAnsi="Arial" w:cs="Arial"/>
          <w:sz w:val="20"/>
          <w:szCs w:val="20"/>
          <w:lang w:eastAsia="ja-JP"/>
        </w:rPr>
        <w:t>Ho1. There is no significant relationship between attractive classroom organization and creating community teaching of public elementary school teachers.</w:t>
      </w:r>
    </w:p>
    <w:p w14:paraId="2761BBBA" w14:textId="23A2E1C7" w:rsidR="000D23E6" w:rsidRPr="007E5C64" w:rsidRDefault="005B1BAF" w:rsidP="005B1BAF">
      <w:pPr>
        <w:jc w:val="both"/>
        <w:rPr>
          <w:rFonts w:ascii="Arial" w:eastAsia="MS Mincho" w:hAnsi="Arial" w:cs="Arial"/>
          <w:sz w:val="20"/>
          <w:szCs w:val="20"/>
          <w:lang w:eastAsia="ja-JP"/>
        </w:rPr>
      </w:pPr>
      <w:r w:rsidRPr="005B1BAF">
        <w:rPr>
          <w:rFonts w:ascii="Arial" w:eastAsia="MS Mincho" w:hAnsi="Arial" w:cs="Arial"/>
          <w:sz w:val="20"/>
          <w:szCs w:val="20"/>
          <w:lang w:eastAsia="ja-JP"/>
        </w:rPr>
        <w:t>Ho2. None of the domains of attractive classroom organization significantly influence creating community teaching of public elementary school teachers.</w:t>
      </w:r>
    </w:p>
    <w:p w14:paraId="551314C1" w14:textId="77777777" w:rsidR="00907C80" w:rsidRPr="007E5C64" w:rsidRDefault="00907C80" w:rsidP="00907C80">
      <w:pPr>
        <w:rPr>
          <w:rFonts w:ascii="Arial" w:hAnsi="Arial" w:cs="Arial"/>
          <w:sz w:val="20"/>
          <w:szCs w:val="20"/>
        </w:rPr>
      </w:pPr>
    </w:p>
    <w:p w14:paraId="012EB897" w14:textId="367C4A5B" w:rsidR="00717F2E" w:rsidRPr="007E5C64" w:rsidRDefault="00180859">
      <w:pPr>
        <w:pStyle w:val="AbstHead"/>
        <w:spacing w:after="0"/>
        <w:jc w:val="both"/>
        <w:rPr>
          <w:rFonts w:ascii="Arial" w:hAnsi="Arial" w:cs="Arial"/>
          <w:sz w:val="20"/>
        </w:rPr>
      </w:pPr>
      <w:r w:rsidRPr="007E5C64">
        <w:rPr>
          <w:rFonts w:ascii="Arial" w:hAnsi="Arial" w:cs="Arial"/>
          <w:sz w:val="20"/>
        </w:rPr>
        <w:t>2. methodology</w:t>
      </w:r>
    </w:p>
    <w:p w14:paraId="786C1FBD" w14:textId="77777777" w:rsidR="00717F2E" w:rsidRPr="007E5C64" w:rsidRDefault="00717F2E">
      <w:pPr>
        <w:pStyle w:val="Body"/>
        <w:spacing w:after="0"/>
        <w:rPr>
          <w:rFonts w:ascii="Arial" w:hAnsi="Arial" w:cs="Arial"/>
        </w:rPr>
      </w:pPr>
    </w:p>
    <w:p w14:paraId="670AA047" w14:textId="77777777" w:rsidR="00717F2E" w:rsidRPr="007E5C64" w:rsidRDefault="00180859">
      <w:pPr>
        <w:rPr>
          <w:rFonts w:ascii="Arial" w:hAnsi="Arial" w:cs="Arial"/>
          <w:b/>
          <w:bCs/>
          <w:sz w:val="20"/>
          <w:szCs w:val="20"/>
        </w:rPr>
      </w:pPr>
      <w:r w:rsidRPr="007E5C64">
        <w:rPr>
          <w:rFonts w:ascii="Arial" w:hAnsi="Arial" w:cs="Arial"/>
          <w:b/>
          <w:bCs/>
          <w:sz w:val="20"/>
          <w:szCs w:val="20"/>
        </w:rPr>
        <w:t>2.1 Research Design</w:t>
      </w:r>
    </w:p>
    <w:p w14:paraId="1DB3AA86" w14:textId="77777777" w:rsidR="00717F2E" w:rsidRPr="007E5C64" w:rsidRDefault="00717F2E">
      <w:pPr>
        <w:rPr>
          <w:rFonts w:ascii="Arial" w:hAnsi="Arial" w:cs="Arial"/>
          <w:b/>
          <w:bCs/>
          <w:sz w:val="20"/>
          <w:szCs w:val="20"/>
        </w:rPr>
      </w:pPr>
    </w:p>
    <w:p w14:paraId="60D88826" w14:textId="4336BA26" w:rsidR="000D23E6" w:rsidRDefault="00251748" w:rsidP="003340B8">
      <w:pPr>
        <w:jc w:val="both"/>
        <w:rPr>
          <w:rFonts w:ascii="Arial" w:hAnsi="Arial" w:cs="Arial"/>
          <w:sz w:val="20"/>
          <w:szCs w:val="20"/>
        </w:rPr>
      </w:pPr>
      <w:r w:rsidRPr="00251748">
        <w:rPr>
          <w:rFonts w:ascii="Arial" w:hAnsi="Arial" w:cs="Arial"/>
          <w:sz w:val="20"/>
          <w:szCs w:val="20"/>
        </w:rPr>
        <w:t xml:space="preserve">This study employed a non-experimental quantitative research design utilizing the correlational method. This design was deemed appropriate for investigating the degree of association between attractive classroom organization and creating community teaching among public elementary school teachers. As </w:t>
      </w:r>
      <w:proofErr w:type="spellStart"/>
      <w:r w:rsidRPr="00251748">
        <w:rPr>
          <w:rFonts w:ascii="Arial" w:hAnsi="Arial" w:cs="Arial"/>
          <w:sz w:val="20"/>
          <w:szCs w:val="20"/>
        </w:rPr>
        <w:t>Pregoner</w:t>
      </w:r>
      <w:proofErr w:type="spellEnd"/>
      <w:r w:rsidRPr="00251748">
        <w:rPr>
          <w:rFonts w:ascii="Arial" w:hAnsi="Arial" w:cs="Arial"/>
          <w:sz w:val="20"/>
          <w:szCs w:val="20"/>
        </w:rPr>
        <w:t xml:space="preserve"> (2025) noted, relationships between variables may emerge due to shared trends in behavior or through mutual influence by external factors. The correlational method in this study allowed the researcher to examine whether the level of attractive classroom organization among teachers had a significant relationship with their implementation of creating community teaching strategies. Through this approach, the study sought to identify patterns that could inform classroom design practices, instructional improvements, and teacher development interventions within the </w:t>
      </w:r>
      <w:proofErr w:type="spellStart"/>
      <w:r w:rsidRPr="00251748">
        <w:rPr>
          <w:rFonts w:ascii="Arial" w:hAnsi="Arial" w:cs="Arial"/>
          <w:sz w:val="20"/>
          <w:szCs w:val="20"/>
        </w:rPr>
        <w:t>Talomo</w:t>
      </w:r>
      <w:proofErr w:type="spellEnd"/>
      <w:r w:rsidRPr="00251748">
        <w:rPr>
          <w:rFonts w:ascii="Arial" w:hAnsi="Arial" w:cs="Arial"/>
          <w:sz w:val="20"/>
          <w:szCs w:val="20"/>
        </w:rPr>
        <w:t xml:space="preserve"> West District, Division of Davao City.</w:t>
      </w:r>
    </w:p>
    <w:p w14:paraId="3D049842" w14:textId="77777777" w:rsidR="00251748" w:rsidRPr="007E5C64" w:rsidRDefault="00251748" w:rsidP="003340B8">
      <w:pPr>
        <w:jc w:val="both"/>
        <w:rPr>
          <w:rFonts w:ascii="Arial" w:hAnsi="Arial" w:cs="Arial"/>
          <w:b/>
          <w:bCs/>
          <w:sz w:val="20"/>
          <w:szCs w:val="20"/>
        </w:rPr>
      </w:pPr>
    </w:p>
    <w:p w14:paraId="318F0781" w14:textId="3871AFA8" w:rsidR="00717F2E" w:rsidRPr="007E5C64" w:rsidRDefault="00180859">
      <w:pPr>
        <w:rPr>
          <w:rFonts w:ascii="Arial" w:hAnsi="Arial" w:cs="Arial"/>
          <w:b/>
          <w:bCs/>
          <w:sz w:val="20"/>
          <w:szCs w:val="20"/>
        </w:rPr>
      </w:pPr>
      <w:r w:rsidRPr="007E5C64">
        <w:rPr>
          <w:rFonts w:ascii="Arial" w:hAnsi="Arial" w:cs="Arial"/>
          <w:b/>
          <w:bCs/>
          <w:sz w:val="20"/>
          <w:szCs w:val="20"/>
        </w:rPr>
        <w:t>2.2 Research Respondents</w:t>
      </w:r>
    </w:p>
    <w:p w14:paraId="56FDFA7F" w14:textId="77777777" w:rsidR="00D453B9" w:rsidRPr="007E5C64" w:rsidRDefault="00D453B9">
      <w:pPr>
        <w:rPr>
          <w:rFonts w:ascii="Arial" w:hAnsi="Arial" w:cs="Arial"/>
          <w:b/>
          <w:bCs/>
          <w:sz w:val="20"/>
          <w:szCs w:val="20"/>
        </w:rPr>
      </w:pPr>
    </w:p>
    <w:p w14:paraId="4C88B07F" w14:textId="0379FF58" w:rsidR="00171A32" w:rsidRPr="007E5C64" w:rsidRDefault="00861C50" w:rsidP="009628FB">
      <w:pPr>
        <w:jc w:val="both"/>
        <w:rPr>
          <w:rFonts w:ascii="Arial" w:hAnsi="Arial" w:cs="Arial"/>
          <w:sz w:val="20"/>
          <w:szCs w:val="20"/>
        </w:rPr>
      </w:pPr>
      <w:r w:rsidRPr="00861C50">
        <w:rPr>
          <w:rFonts w:ascii="Arial" w:hAnsi="Arial" w:cs="Arial"/>
          <w:sz w:val="20"/>
          <w:szCs w:val="20"/>
        </w:rPr>
        <w:t xml:space="preserve">The respondents of this study were 138 public elementary school teachers from the </w:t>
      </w:r>
      <w:proofErr w:type="spellStart"/>
      <w:r w:rsidRPr="00861C50">
        <w:rPr>
          <w:rFonts w:ascii="Arial" w:hAnsi="Arial" w:cs="Arial"/>
          <w:sz w:val="20"/>
          <w:szCs w:val="20"/>
        </w:rPr>
        <w:t>Talomo</w:t>
      </w:r>
      <w:proofErr w:type="spellEnd"/>
      <w:r w:rsidRPr="00861C50">
        <w:rPr>
          <w:rFonts w:ascii="Arial" w:hAnsi="Arial" w:cs="Arial"/>
          <w:sz w:val="20"/>
          <w:szCs w:val="20"/>
        </w:rPr>
        <w:t xml:space="preserve"> West District, Division of Davao City. All participants were actively engaged in teaching across various grade levels and possessed diverse professional experiences. The study utilized universal sampling, which included the entire population of eligible public elementary school teachers in the district. The respondents were briefed about the research objectives and </w:t>
      </w:r>
      <w:r w:rsidRPr="00861C50">
        <w:rPr>
          <w:rFonts w:ascii="Arial" w:hAnsi="Arial" w:cs="Arial"/>
          <w:sz w:val="20"/>
          <w:szCs w:val="20"/>
        </w:rPr>
        <w:lastRenderedPageBreak/>
        <w:t>voluntarily participated in the study by providing honest responses to the research instruments. Data were collected during the academic year 2024–2025.</w:t>
      </w:r>
    </w:p>
    <w:p w14:paraId="3FACA4E2" w14:textId="77777777" w:rsidR="000D23E6" w:rsidRPr="007E5C64" w:rsidRDefault="000D23E6">
      <w:pPr>
        <w:rPr>
          <w:rFonts w:ascii="Arial" w:hAnsi="Arial" w:cs="Arial"/>
          <w:sz w:val="20"/>
          <w:szCs w:val="20"/>
        </w:rPr>
      </w:pPr>
    </w:p>
    <w:p w14:paraId="6BE2C45C" w14:textId="112B9625" w:rsidR="00717F2E" w:rsidRPr="007E5C64" w:rsidRDefault="00180859">
      <w:pPr>
        <w:rPr>
          <w:rFonts w:ascii="Arial" w:hAnsi="Arial" w:cs="Arial"/>
          <w:b/>
          <w:bCs/>
          <w:sz w:val="20"/>
          <w:szCs w:val="20"/>
        </w:rPr>
      </w:pPr>
      <w:r w:rsidRPr="007E5C64">
        <w:rPr>
          <w:rFonts w:ascii="Arial" w:hAnsi="Arial" w:cs="Arial"/>
          <w:b/>
          <w:bCs/>
          <w:sz w:val="20"/>
          <w:szCs w:val="20"/>
        </w:rPr>
        <w:t>2.3 Research Instrument</w:t>
      </w:r>
    </w:p>
    <w:p w14:paraId="7593DDB4" w14:textId="77777777" w:rsidR="00717F2E" w:rsidRPr="007E5C64" w:rsidRDefault="00717F2E">
      <w:pPr>
        <w:rPr>
          <w:rFonts w:ascii="Arial" w:hAnsi="Arial" w:cs="Arial"/>
          <w:b/>
          <w:bCs/>
          <w:sz w:val="20"/>
          <w:szCs w:val="20"/>
        </w:rPr>
      </w:pPr>
    </w:p>
    <w:p w14:paraId="0CB0DCD1" w14:textId="77777777" w:rsidR="00861C50" w:rsidRDefault="00861C50" w:rsidP="00861C50">
      <w:pPr>
        <w:jc w:val="both"/>
        <w:rPr>
          <w:rFonts w:ascii="Arial" w:hAnsi="Arial" w:cs="Arial"/>
          <w:sz w:val="20"/>
          <w:szCs w:val="20"/>
        </w:rPr>
      </w:pPr>
      <w:r w:rsidRPr="00861C50">
        <w:rPr>
          <w:rFonts w:ascii="Arial" w:hAnsi="Arial" w:cs="Arial"/>
          <w:sz w:val="20"/>
          <w:szCs w:val="20"/>
        </w:rPr>
        <w:t xml:space="preserve">The main data collection tool for this study consisted of researcher-made survey questionnaires designed to measure the levels of attractive classroom organization and creating community teaching among public elementary school teachers in </w:t>
      </w:r>
      <w:proofErr w:type="spellStart"/>
      <w:r w:rsidRPr="00861C50">
        <w:rPr>
          <w:rFonts w:ascii="Arial" w:hAnsi="Arial" w:cs="Arial"/>
          <w:sz w:val="20"/>
          <w:szCs w:val="20"/>
        </w:rPr>
        <w:t>Talomo</w:t>
      </w:r>
      <w:proofErr w:type="spellEnd"/>
      <w:r w:rsidRPr="00861C50">
        <w:rPr>
          <w:rFonts w:ascii="Arial" w:hAnsi="Arial" w:cs="Arial"/>
          <w:sz w:val="20"/>
          <w:szCs w:val="20"/>
        </w:rPr>
        <w:t xml:space="preserve"> West District. These instruments were developed based on relevant theoretical frameworks, scholarly literature, and prior studies related to classroom organization and community-building pedagogy. To ensure content accuracy and alignment with the study objectives, the questionnaires underwent face and content validation by a panel of experts in Educational Management, Curriculum and Instruction, and Elementary Education. Necessary revisions were implemented following expert recommendations to improve the instruments’ validity and readability.</w:t>
      </w:r>
    </w:p>
    <w:p w14:paraId="4B3F7975" w14:textId="77777777" w:rsidR="00861C50" w:rsidRPr="00861C50" w:rsidRDefault="00861C50" w:rsidP="00861C50">
      <w:pPr>
        <w:jc w:val="both"/>
        <w:rPr>
          <w:rFonts w:ascii="Arial" w:hAnsi="Arial" w:cs="Arial"/>
          <w:sz w:val="20"/>
          <w:szCs w:val="20"/>
        </w:rPr>
      </w:pPr>
    </w:p>
    <w:p w14:paraId="2CD2B35E" w14:textId="7813E436" w:rsidR="002F5C4B" w:rsidRPr="007E5C64" w:rsidRDefault="00861C50" w:rsidP="00861C50">
      <w:pPr>
        <w:jc w:val="both"/>
        <w:rPr>
          <w:rFonts w:ascii="Arial" w:hAnsi="Arial" w:cs="Arial"/>
          <w:sz w:val="20"/>
          <w:szCs w:val="20"/>
        </w:rPr>
      </w:pPr>
      <w:r w:rsidRPr="00861C50">
        <w:rPr>
          <w:rFonts w:ascii="Arial" w:hAnsi="Arial" w:cs="Arial"/>
          <w:sz w:val="20"/>
          <w:szCs w:val="20"/>
        </w:rPr>
        <w:t>To ensure the reliability of the instruments, a pilot test was conducted with 30 public elementary school teachers from a neighboring district not included in the main study. The results showed high internal consistency, with a Cronbach’s Alpha of 0.913 for the Attractive Classroom Organization subscale and 0.921 for the Creating Community Teaching subscale.</w:t>
      </w:r>
    </w:p>
    <w:p w14:paraId="04BEB936" w14:textId="77777777" w:rsidR="000D23E6" w:rsidRPr="007E5C64" w:rsidRDefault="000D23E6" w:rsidP="000D23E6">
      <w:pPr>
        <w:rPr>
          <w:rFonts w:ascii="Arial" w:hAnsi="Arial" w:cs="Arial"/>
          <w:b/>
          <w:bCs/>
          <w:sz w:val="20"/>
          <w:szCs w:val="20"/>
        </w:rPr>
      </w:pPr>
    </w:p>
    <w:p w14:paraId="27C6641A" w14:textId="563AE792" w:rsidR="005D71AE" w:rsidRPr="007E5C64" w:rsidRDefault="00180859" w:rsidP="005D71AE">
      <w:pPr>
        <w:rPr>
          <w:rFonts w:ascii="Arial" w:hAnsi="Arial" w:cs="Arial"/>
          <w:b/>
          <w:bCs/>
          <w:sz w:val="20"/>
          <w:szCs w:val="20"/>
        </w:rPr>
      </w:pPr>
      <w:r w:rsidRPr="007E5C64">
        <w:rPr>
          <w:rFonts w:ascii="Arial" w:hAnsi="Arial" w:cs="Arial"/>
          <w:b/>
          <w:bCs/>
          <w:sz w:val="20"/>
          <w:szCs w:val="20"/>
        </w:rPr>
        <w:t>2.4 Data Gathering Procedure</w:t>
      </w:r>
    </w:p>
    <w:p w14:paraId="0409FDF5" w14:textId="77777777" w:rsidR="00CC5ECD" w:rsidRPr="007E5C64" w:rsidRDefault="00CC5ECD" w:rsidP="005D71AE">
      <w:pPr>
        <w:rPr>
          <w:rFonts w:ascii="Arial" w:hAnsi="Arial" w:cs="Arial"/>
          <w:b/>
          <w:bCs/>
          <w:sz w:val="20"/>
          <w:szCs w:val="20"/>
        </w:rPr>
      </w:pPr>
    </w:p>
    <w:p w14:paraId="100D905F" w14:textId="77777777" w:rsidR="00BE1782" w:rsidRPr="00BE1782" w:rsidRDefault="00BE1782" w:rsidP="00BE1782">
      <w:pPr>
        <w:pStyle w:val="Heading1"/>
        <w:jc w:val="both"/>
        <w:rPr>
          <w:rFonts w:cs="Arial"/>
          <w:b w:val="0"/>
          <w:kern w:val="0"/>
          <w:sz w:val="20"/>
        </w:rPr>
      </w:pPr>
      <w:r w:rsidRPr="00BE1782">
        <w:rPr>
          <w:rFonts w:cs="Arial"/>
          <w:b w:val="0"/>
          <w:kern w:val="0"/>
          <w:sz w:val="20"/>
        </w:rPr>
        <w:t xml:space="preserve">Data collection followed a systematic and ethically sound procedure. The researcher first obtained an endorsement from the Dean of the Graduate School and secured ethical clearance from the institution’s Ethics Review Committee. A formal request was then submitted to the Office of the Schools Division Superintendent of the Division of Davao City. Upon approval, an endorsement letter was issued to the School Heads of the public elementary schools in </w:t>
      </w:r>
      <w:proofErr w:type="spellStart"/>
      <w:r w:rsidRPr="00BE1782">
        <w:rPr>
          <w:rFonts w:cs="Arial"/>
          <w:b w:val="0"/>
          <w:kern w:val="0"/>
          <w:sz w:val="20"/>
        </w:rPr>
        <w:t>Talomo</w:t>
      </w:r>
      <w:proofErr w:type="spellEnd"/>
      <w:r w:rsidRPr="00BE1782">
        <w:rPr>
          <w:rFonts w:cs="Arial"/>
          <w:b w:val="0"/>
          <w:kern w:val="0"/>
          <w:sz w:val="20"/>
        </w:rPr>
        <w:t xml:space="preserve"> West District to authorize the conduct of the study.</w:t>
      </w:r>
    </w:p>
    <w:p w14:paraId="3579E42E" w14:textId="7368489A" w:rsidR="000D23E6" w:rsidRPr="007E5C64" w:rsidRDefault="00BE1782" w:rsidP="00BE1782">
      <w:pPr>
        <w:pStyle w:val="Heading1"/>
        <w:jc w:val="both"/>
        <w:rPr>
          <w:rFonts w:cs="Arial"/>
          <w:b w:val="0"/>
          <w:kern w:val="0"/>
          <w:sz w:val="20"/>
        </w:rPr>
      </w:pPr>
      <w:r w:rsidRPr="00BE1782">
        <w:rPr>
          <w:rFonts w:cs="Arial"/>
          <w:b w:val="0"/>
          <w:kern w:val="0"/>
          <w:sz w:val="20"/>
        </w:rPr>
        <w:t>A pilot test was initially administered to verify the reliability and clarity of the research instruments. After refining the questionnaires based on the pilot results, the finalized tools were distributed to the 138 teacher-respondents through the universal sampling approach. Each respondent was oriented on the study’s purpose and guided on how to complete the questionnaire accurately. Completed surveys were collected personally by the researcher. All responses were submitted to a professional statistician for encoding, tabulation, and statistical analysis.</w:t>
      </w:r>
    </w:p>
    <w:p w14:paraId="1C13872C" w14:textId="6651CA6D" w:rsidR="00717F2E" w:rsidRPr="007E5C64" w:rsidRDefault="00180859" w:rsidP="000D23E6">
      <w:pPr>
        <w:pStyle w:val="Heading1"/>
        <w:rPr>
          <w:rFonts w:cs="Arial"/>
          <w:sz w:val="20"/>
        </w:rPr>
      </w:pPr>
      <w:r w:rsidRPr="007E5C64">
        <w:rPr>
          <w:rFonts w:cs="Arial"/>
          <w:sz w:val="20"/>
        </w:rPr>
        <w:t>2.5 Data Analysis</w:t>
      </w:r>
    </w:p>
    <w:p w14:paraId="3CB0DE7E" w14:textId="77777777" w:rsidR="005D71AE" w:rsidRPr="007E5C64" w:rsidRDefault="005D71AE" w:rsidP="00304469">
      <w:pPr>
        <w:pStyle w:val="Head1"/>
        <w:jc w:val="both"/>
        <w:rPr>
          <w:rFonts w:ascii="Arial" w:hAnsi="Arial" w:cs="Arial"/>
          <w:b w:val="0"/>
          <w:caps w:val="0"/>
          <w:sz w:val="20"/>
        </w:rPr>
      </w:pPr>
    </w:p>
    <w:p w14:paraId="43E98CE8" w14:textId="58B352DF" w:rsidR="005923EA" w:rsidRPr="007E5C64" w:rsidRDefault="005923EA" w:rsidP="005923EA">
      <w:pPr>
        <w:pStyle w:val="Head1"/>
        <w:jc w:val="both"/>
        <w:rPr>
          <w:rFonts w:ascii="Arial" w:hAnsi="Arial" w:cs="Arial"/>
          <w:b w:val="0"/>
          <w:caps w:val="0"/>
          <w:sz w:val="20"/>
        </w:rPr>
      </w:pPr>
      <w:r w:rsidRPr="007E5C64">
        <w:rPr>
          <w:rFonts w:ascii="Arial" w:hAnsi="Arial" w:cs="Arial"/>
          <w:b w:val="0"/>
          <w:caps w:val="0"/>
          <w:sz w:val="20"/>
        </w:rPr>
        <w:t>To analyze the data collected and effectively address the research questions of this study, the following statistical tools were utilized:</w:t>
      </w:r>
    </w:p>
    <w:p w14:paraId="5BED3DD3" w14:textId="77777777" w:rsidR="00486F48" w:rsidRPr="00486F48" w:rsidRDefault="00486F48" w:rsidP="00486F48">
      <w:pPr>
        <w:pStyle w:val="Head1"/>
        <w:jc w:val="both"/>
        <w:rPr>
          <w:rFonts w:ascii="Arial" w:hAnsi="Arial" w:cs="Arial"/>
          <w:b w:val="0"/>
          <w:caps w:val="0"/>
          <w:sz w:val="20"/>
        </w:rPr>
      </w:pPr>
      <w:r w:rsidRPr="00486F48">
        <w:rPr>
          <w:rFonts w:ascii="Arial" w:hAnsi="Arial" w:cs="Arial"/>
          <w:b w:val="0"/>
          <w:caps w:val="0"/>
          <w:sz w:val="20"/>
        </w:rPr>
        <w:t>Mean. This was used to determine the levels of attractive classroom organization and creating community teaching among the respondents. It captured the central tendency of teachers' perceptions and practices across each dimension.</w:t>
      </w:r>
    </w:p>
    <w:p w14:paraId="3769A1CB" w14:textId="77777777" w:rsidR="00486F48" w:rsidRPr="00486F48" w:rsidRDefault="00486F48" w:rsidP="00486F48">
      <w:pPr>
        <w:pStyle w:val="Head1"/>
        <w:jc w:val="both"/>
        <w:rPr>
          <w:rFonts w:ascii="Arial" w:hAnsi="Arial" w:cs="Arial"/>
          <w:b w:val="0"/>
          <w:caps w:val="0"/>
          <w:sz w:val="20"/>
        </w:rPr>
      </w:pPr>
      <w:r w:rsidRPr="00486F48">
        <w:rPr>
          <w:rFonts w:ascii="Arial" w:hAnsi="Arial" w:cs="Arial"/>
          <w:b w:val="0"/>
          <w:caps w:val="0"/>
          <w:sz w:val="20"/>
        </w:rPr>
        <w:t xml:space="preserve">Pearson Product-Moment Correlation Coefficient (Pearson r). This tool assessed the strength and direction of the relationship between attractive classroom organization and creating </w:t>
      </w:r>
      <w:r w:rsidRPr="00486F48">
        <w:rPr>
          <w:rFonts w:ascii="Arial" w:hAnsi="Arial" w:cs="Arial"/>
          <w:b w:val="0"/>
          <w:caps w:val="0"/>
          <w:sz w:val="20"/>
        </w:rPr>
        <w:lastRenderedPageBreak/>
        <w:t>community teaching. It determined whether a significant linear relationship existed between the two main variables.</w:t>
      </w:r>
    </w:p>
    <w:p w14:paraId="2E0E53B8" w14:textId="6A70AFED" w:rsidR="00EF4B2D" w:rsidRPr="007E5C64" w:rsidRDefault="00486F48" w:rsidP="00486F48">
      <w:pPr>
        <w:pStyle w:val="Head1"/>
        <w:jc w:val="both"/>
        <w:rPr>
          <w:rFonts w:ascii="Arial" w:hAnsi="Arial" w:cs="Arial"/>
          <w:b w:val="0"/>
          <w:caps w:val="0"/>
          <w:sz w:val="20"/>
        </w:rPr>
      </w:pPr>
      <w:r w:rsidRPr="00486F48">
        <w:rPr>
          <w:rFonts w:ascii="Arial" w:hAnsi="Arial" w:cs="Arial"/>
          <w:b w:val="0"/>
          <w:caps w:val="0"/>
          <w:sz w:val="20"/>
        </w:rPr>
        <w:t>Multiple Regression Analysis. This was conducted to evaluate the extent to which the specific domains of attractive classroom organization significantly predicted the levels of creating community teaching. This analysis identified which aspects of classroom organization had the greatest influence on the implementation of community-based teaching practices.</w:t>
      </w:r>
    </w:p>
    <w:p w14:paraId="54E1E55E" w14:textId="77777777" w:rsidR="005923EA" w:rsidRPr="007E5C64" w:rsidRDefault="005923EA" w:rsidP="005923EA">
      <w:pPr>
        <w:pStyle w:val="Head1"/>
        <w:spacing w:after="0"/>
        <w:jc w:val="both"/>
        <w:rPr>
          <w:rFonts w:ascii="Arial" w:hAnsi="Arial" w:cs="Arial"/>
          <w:sz w:val="20"/>
        </w:rPr>
      </w:pPr>
    </w:p>
    <w:p w14:paraId="54D02440" w14:textId="330D7BFD" w:rsidR="00717F2E" w:rsidRPr="007E5C64" w:rsidRDefault="00180859">
      <w:pPr>
        <w:pStyle w:val="Head1"/>
        <w:spacing w:after="0"/>
        <w:jc w:val="both"/>
        <w:rPr>
          <w:rFonts w:ascii="Arial" w:hAnsi="Arial" w:cs="Arial"/>
          <w:sz w:val="20"/>
        </w:rPr>
      </w:pPr>
      <w:r w:rsidRPr="007E5C64">
        <w:rPr>
          <w:rFonts w:ascii="Arial" w:hAnsi="Arial" w:cs="Arial"/>
          <w:sz w:val="20"/>
        </w:rPr>
        <w:t>3. results and discussion</w:t>
      </w:r>
    </w:p>
    <w:p w14:paraId="500B7B33" w14:textId="77777777" w:rsidR="00717F2E" w:rsidRPr="007E5C64" w:rsidRDefault="00717F2E">
      <w:pPr>
        <w:rPr>
          <w:rFonts w:ascii="Arial" w:hAnsi="Arial" w:cs="Arial"/>
          <w:b/>
          <w:i/>
          <w:sz w:val="20"/>
          <w:szCs w:val="20"/>
        </w:rPr>
      </w:pPr>
    </w:p>
    <w:p w14:paraId="1DF55D87" w14:textId="4DDFD4B5" w:rsidR="005D71AE" w:rsidRPr="007E5C64" w:rsidRDefault="00180859">
      <w:pPr>
        <w:suppressAutoHyphens/>
        <w:jc w:val="both"/>
        <w:rPr>
          <w:rFonts w:ascii="Arial" w:hAnsi="Arial" w:cs="Arial"/>
          <w:b/>
          <w:sz w:val="20"/>
          <w:szCs w:val="20"/>
        </w:rPr>
      </w:pPr>
      <w:r w:rsidRPr="007E5C64">
        <w:rPr>
          <w:rFonts w:ascii="Arial" w:hAnsi="Arial" w:cs="Arial"/>
          <w:b/>
          <w:sz w:val="20"/>
          <w:szCs w:val="20"/>
        </w:rPr>
        <w:t xml:space="preserve">3.1 </w:t>
      </w:r>
      <w:r w:rsidR="000D5F80" w:rsidRPr="000D5F80">
        <w:rPr>
          <w:rFonts w:ascii="Arial" w:hAnsi="Arial" w:cs="Arial"/>
          <w:b/>
          <w:sz w:val="20"/>
          <w:szCs w:val="20"/>
        </w:rPr>
        <w:t>Level of Attractive Classroom Organization among Teachers in Public Elementary Schools</w:t>
      </w:r>
    </w:p>
    <w:p w14:paraId="1B38FF68" w14:textId="77777777" w:rsidR="00EF4B2D" w:rsidRPr="007E5C64" w:rsidRDefault="00EF4B2D">
      <w:pPr>
        <w:suppressAutoHyphens/>
        <w:jc w:val="both"/>
        <w:rPr>
          <w:rFonts w:ascii="Arial" w:hAnsi="Arial" w:cs="Arial"/>
          <w:b/>
          <w:sz w:val="20"/>
          <w:szCs w:val="20"/>
        </w:rPr>
      </w:pPr>
    </w:p>
    <w:p w14:paraId="496DE70A" w14:textId="5D31560D" w:rsidR="002F5C4B" w:rsidRPr="007E5C64" w:rsidRDefault="00180859">
      <w:pPr>
        <w:suppressAutoHyphens/>
        <w:jc w:val="both"/>
        <w:rPr>
          <w:rFonts w:ascii="Arial" w:hAnsi="Arial" w:cs="Arial"/>
          <w:i/>
          <w:iCs/>
          <w:sz w:val="20"/>
          <w:szCs w:val="20"/>
        </w:rPr>
      </w:pPr>
      <w:r w:rsidRPr="007E5C64">
        <w:rPr>
          <w:rFonts w:ascii="Arial" w:hAnsi="Arial" w:cs="Arial"/>
          <w:iCs/>
          <w:sz w:val="20"/>
          <w:szCs w:val="20"/>
        </w:rPr>
        <w:t>Table 1</w:t>
      </w:r>
      <w:r w:rsidR="00CC5ECD" w:rsidRPr="007E5C64">
        <w:rPr>
          <w:rFonts w:ascii="Arial" w:hAnsi="Arial" w:cs="Arial"/>
          <w:iCs/>
          <w:sz w:val="20"/>
          <w:szCs w:val="20"/>
        </w:rPr>
        <w:t>.</w:t>
      </w:r>
      <w:r w:rsidR="00CC5ECD" w:rsidRPr="007E5C64">
        <w:rPr>
          <w:sz w:val="20"/>
          <w:szCs w:val="20"/>
        </w:rPr>
        <w:t xml:space="preserve"> </w:t>
      </w:r>
      <w:r w:rsidR="000D5F80" w:rsidRPr="000D5F80">
        <w:rPr>
          <w:rFonts w:ascii="Arial" w:hAnsi="Arial" w:cs="Arial"/>
          <w:i/>
          <w:iCs/>
          <w:sz w:val="20"/>
          <w:szCs w:val="20"/>
        </w:rPr>
        <w:t>Level of Attractive Classroom Organization among Teachers in Public Elementary Schools</w:t>
      </w:r>
    </w:p>
    <w:p w14:paraId="67CCBDF6" w14:textId="77777777" w:rsidR="00D21D9E" w:rsidRPr="007E5C64" w:rsidRDefault="00D21D9E">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7E5C64"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7E5C64" w:rsidRDefault="005923EA" w:rsidP="00C8398D">
            <w:pPr>
              <w:jc w:val="center"/>
              <w:rPr>
                <w:rFonts w:ascii="Arial" w:hAnsi="Arial"/>
                <w:b/>
                <w:sz w:val="20"/>
                <w:szCs w:val="20"/>
              </w:rPr>
            </w:pPr>
            <w:r w:rsidRPr="007E5C64">
              <w:rPr>
                <w:rFonts w:ascii="Arial" w:hAnsi="Arial"/>
                <w:b/>
                <w:sz w:val="20"/>
                <w:szCs w:val="20"/>
              </w:rPr>
              <w:t xml:space="preserve">Domains </w:t>
            </w:r>
          </w:p>
        </w:tc>
        <w:tc>
          <w:tcPr>
            <w:tcW w:w="862" w:type="dxa"/>
            <w:tcBorders>
              <w:bottom w:val="single" w:sz="4" w:space="0" w:color="auto"/>
            </w:tcBorders>
          </w:tcPr>
          <w:p w14:paraId="724F4F2C" w14:textId="77777777" w:rsidR="005923EA" w:rsidRPr="007E5C64" w:rsidRDefault="005923EA" w:rsidP="00C8398D">
            <w:pPr>
              <w:jc w:val="center"/>
              <w:rPr>
                <w:rFonts w:ascii="Arial" w:hAnsi="Arial"/>
                <w:b/>
                <w:sz w:val="20"/>
                <w:szCs w:val="20"/>
              </w:rPr>
            </w:pPr>
            <w:r w:rsidRPr="007E5C64">
              <w:rPr>
                <w:rFonts w:ascii="Arial" w:hAnsi="Arial"/>
                <w:b/>
                <w:sz w:val="20"/>
                <w:szCs w:val="20"/>
              </w:rPr>
              <w:t>SD</w:t>
            </w:r>
          </w:p>
        </w:tc>
        <w:tc>
          <w:tcPr>
            <w:tcW w:w="1019" w:type="dxa"/>
            <w:gridSpan w:val="2"/>
            <w:tcBorders>
              <w:bottom w:val="single" w:sz="4" w:space="0" w:color="auto"/>
            </w:tcBorders>
          </w:tcPr>
          <w:p w14:paraId="679D4F61" w14:textId="77777777" w:rsidR="005923EA" w:rsidRPr="007E5C64" w:rsidRDefault="005923EA" w:rsidP="00C8398D">
            <w:pPr>
              <w:jc w:val="center"/>
              <w:rPr>
                <w:rFonts w:ascii="Arial" w:hAnsi="Arial"/>
                <w:b/>
                <w:sz w:val="20"/>
                <w:szCs w:val="20"/>
              </w:rPr>
            </w:pPr>
            <w:r w:rsidRPr="007E5C64">
              <w:rPr>
                <w:rFonts w:ascii="Arial" w:hAnsi="Arial"/>
                <w:b/>
                <w:sz w:val="20"/>
                <w:szCs w:val="20"/>
              </w:rPr>
              <w:t>Mean</w:t>
            </w:r>
          </w:p>
        </w:tc>
        <w:tc>
          <w:tcPr>
            <w:tcW w:w="2245" w:type="dxa"/>
            <w:tcBorders>
              <w:bottom w:val="single" w:sz="4" w:space="0" w:color="auto"/>
            </w:tcBorders>
          </w:tcPr>
          <w:p w14:paraId="18FB3AF2" w14:textId="77777777" w:rsidR="005923EA" w:rsidRPr="007E5C64" w:rsidRDefault="005923EA" w:rsidP="00C8398D">
            <w:pPr>
              <w:jc w:val="center"/>
              <w:rPr>
                <w:rFonts w:ascii="Arial" w:hAnsi="Arial"/>
                <w:b/>
                <w:sz w:val="20"/>
                <w:szCs w:val="20"/>
              </w:rPr>
            </w:pPr>
            <w:r w:rsidRPr="007E5C64">
              <w:rPr>
                <w:rFonts w:ascii="Arial" w:hAnsi="Arial"/>
                <w:b/>
                <w:sz w:val="20"/>
                <w:szCs w:val="20"/>
              </w:rPr>
              <w:t>Descriptive Level</w:t>
            </w:r>
          </w:p>
        </w:tc>
      </w:tr>
      <w:tr w:rsidR="000D5F80" w:rsidRPr="007E5C64" w14:paraId="15DA0C79" w14:textId="77777777" w:rsidTr="001371BA">
        <w:trPr>
          <w:gridAfter w:val="1"/>
          <w:wAfter w:w="11" w:type="dxa"/>
          <w:trHeight w:val="422"/>
        </w:trPr>
        <w:tc>
          <w:tcPr>
            <w:tcW w:w="4320" w:type="dxa"/>
            <w:gridSpan w:val="2"/>
            <w:tcBorders>
              <w:top w:val="single" w:sz="4" w:space="0" w:color="auto"/>
            </w:tcBorders>
            <w:vAlign w:val="center"/>
          </w:tcPr>
          <w:p w14:paraId="1E8528C9" w14:textId="1ED3C896"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t>Concepts</w:t>
            </w:r>
          </w:p>
        </w:tc>
        <w:tc>
          <w:tcPr>
            <w:tcW w:w="862" w:type="dxa"/>
            <w:tcBorders>
              <w:top w:val="single" w:sz="4" w:space="0" w:color="auto"/>
            </w:tcBorders>
            <w:vAlign w:val="center"/>
          </w:tcPr>
          <w:p w14:paraId="757A6DD3" w14:textId="7B8B03BB" w:rsidR="000D5F80" w:rsidRPr="000D5F80" w:rsidRDefault="000D5F80" w:rsidP="000D5F80">
            <w:pPr>
              <w:jc w:val="center"/>
              <w:rPr>
                <w:rFonts w:ascii="Arial" w:hAnsi="Arial" w:cs="Arial"/>
                <w:sz w:val="20"/>
                <w:szCs w:val="20"/>
              </w:rPr>
            </w:pPr>
            <w:r w:rsidRPr="00915411">
              <w:rPr>
                <w:rFonts w:ascii="Arial" w:hAnsi="Arial" w:cs="Arial"/>
                <w:sz w:val="20"/>
                <w:szCs w:val="20"/>
              </w:rPr>
              <w:t>0.48</w:t>
            </w:r>
          </w:p>
        </w:tc>
        <w:tc>
          <w:tcPr>
            <w:tcW w:w="1019" w:type="dxa"/>
            <w:gridSpan w:val="2"/>
            <w:tcBorders>
              <w:top w:val="single" w:sz="4" w:space="0" w:color="auto"/>
            </w:tcBorders>
            <w:vAlign w:val="center"/>
          </w:tcPr>
          <w:p w14:paraId="74D42A71" w14:textId="6C0352DD" w:rsidR="000D5F80" w:rsidRPr="000D5F80" w:rsidRDefault="000D5F80" w:rsidP="000D5F80">
            <w:pPr>
              <w:jc w:val="center"/>
              <w:rPr>
                <w:rFonts w:ascii="Arial" w:hAnsi="Arial" w:cs="Arial"/>
                <w:sz w:val="20"/>
                <w:szCs w:val="20"/>
              </w:rPr>
            </w:pPr>
            <w:r w:rsidRPr="00915411">
              <w:rPr>
                <w:rFonts w:ascii="Arial" w:hAnsi="Arial" w:cs="Arial"/>
                <w:sz w:val="20"/>
                <w:szCs w:val="20"/>
              </w:rPr>
              <w:t>3.82</w:t>
            </w:r>
          </w:p>
        </w:tc>
        <w:tc>
          <w:tcPr>
            <w:tcW w:w="2245" w:type="dxa"/>
            <w:tcBorders>
              <w:top w:val="single" w:sz="4" w:space="0" w:color="auto"/>
            </w:tcBorders>
            <w:vAlign w:val="center"/>
          </w:tcPr>
          <w:p w14:paraId="0A6D1562" w14:textId="3E976D57"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3985B10B" w14:textId="77777777" w:rsidTr="001371BA">
        <w:trPr>
          <w:gridAfter w:val="1"/>
          <w:wAfter w:w="11" w:type="dxa"/>
          <w:trHeight w:val="438"/>
        </w:trPr>
        <w:tc>
          <w:tcPr>
            <w:tcW w:w="4320" w:type="dxa"/>
            <w:gridSpan w:val="2"/>
            <w:vAlign w:val="center"/>
          </w:tcPr>
          <w:p w14:paraId="691D3673" w14:textId="0CF425D7"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t>Sensitivity</w:t>
            </w:r>
          </w:p>
        </w:tc>
        <w:tc>
          <w:tcPr>
            <w:tcW w:w="862" w:type="dxa"/>
            <w:vAlign w:val="center"/>
          </w:tcPr>
          <w:p w14:paraId="20BED855" w14:textId="2E974C6D" w:rsidR="000D5F80" w:rsidRPr="000D5F80" w:rsidRDefault="000D5F80" w:rsidP="000D5F80">
            <w:pPr>
              <w:jc w:val="center"/>
              <w:rPr>
                <w:rFonts w:ascii="Arial" w:hAnsi="Arial" w:cs="Arial"/>
                <w:sz w:val="20"/>
                <w:szCs w:val="20"/>
              </w:rPr>
            </w:pPr>
            <w:r w:rsidRPr="00915411">
              <w:rPr>
                <w:rFonts w:ascii="Arial" w:hAnsi="Arial" w:cs="Arial"/>
                <w:sz w:val="20"/>
                <w:szCs w:val="20"/>
              </w:rPr>
              <w:t>0.50</w:t>
            </w:r>
          </w:p>
        </w:tc>
        <w:tc>
          <w:tcPr>
            <w:tcW w:w="1019" w:type="dxa"/>
            <w:gridSpan w:val="2"/>
            <w:vAlign w:val="center"/>
          </w:tcPr>
          <w:p w14:paraId="547E06B3" w14:textId="4544FD1C" w:rsidR="000D5F80" w:rsidRPr="000D5F80" w:rsidRDefault="000D5F80" w:rsidP="000D5F80">
            <w:pPr>
              <w:jc w:val="center"/>
              <w:rPr>
                <w:rFonts w:ascii="Arial" w:hAnsi="Arial" w:cs="Arial"/>
                <w:sz w:val="20"/>
                <w:szCs w:val="20"/>
              </w:rPr>
            </w:pPr>
            <w:r w:rsidRPr="00915411">
              <w:rPr>
                <w:rFonts w:ascii="Arial" w:hAnsi="Arial" w:cs="Arial"/>
                <w:sz w:val="20"/>
                <w:szCs w:val="20"/>
              </w:rPr>
              <w:t>3.77</w:t>
            </w:r>
          </w:p>
        </w:tc>
        <w:tc>
          <w:tcPr>
            <w:tcW w:w="2245" w:type="dxa"/>
            <w:vAlign w:val="center"/>
          </w:tcPr>
          <w:p w14:paraId="01D3E85C" w14:textId="0D957EC8"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17C91D7B" w14:textId="77777777" w:rsidTr="001371BA">
        <w:trPr>
          <w:gridAfter w:val="1"/>
          <w:wAfter w:w="11" w:type="dxa"/>
          <w:trHeight w:val="438"/>
        </w:trPr>
        <w:tc>
          <w:tcPr>
            <w:tcW w:w="4320" w:type="dxa"/>
            <w:gridSpan w:val="2"/>
            <w:vAlign w:val="center"/>
          </w:tcPr>
          <w:p w14:paraId="58E5BF80" w14:textId="5A945E9C"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t>Needs</w:t>
            </w:r>
          </w:p>
        </w:tc>
        <w:tc>
          <w:tcPr>
            <w:tcW w:w="862" w:type="dxa"/>
            <w:vAlign w:val="center"/>
          </w:tcPr>
          <w:p w14:paraId="00F06D71" w14:textId="2450162A" w:rsidR="000D5F80" w:rsidRPr="000D5F80" w:rsidRDefault="000D5F80" w:rsidP="000D5F80">
            <w:pPr>
              <w:jc w:val="center"/>
              <w:rPr>
                <w:rFonts w:ascii="Arial" w:hAnsi="Arial" w:cs="Arial"/>
                <w:sz w:val="20"/>
                <w:szCs w:val="20"/>
              </w:rPr>
            </w:pPr>
            <w:r w:rsidRPr="00915411">
              <w:rPr>
                <w:rFonts w:ascii="Arial" w:hAnsi="Arial" w:cs="Arial"/>
                <w:sz w:val="20"/>
                <w:szCs w:val="20"/>
              </w:rPr>
              <w:t>0.49</w:t>
            </w:r>
          </w:p>
        </w:tc>
        <w:tc>
          <w:tcPr>
            <w:tcW w:w="1019" w:type="dxa"/>
            <w:gridSpan w:val="2"/>
            <w:vAlign w:val="center"/>
          </w:tcPr>
          <w:p w14:paraId="22A336A9" w14:textId="5496F3C8" w:rsidR="000D5F80" w:rsidRPr="000D5F80" w:rsidRDefault="000D5F80" w:rsidP="000D5F80">
            <w:pPr>
              <w:jc w:val="center"/>
              <w:rPr>
                <w:rFonts w:ascii="Arial" w:hAnsi="Arial" w:cs="Arial"/>
                <w:sz w:val="20"/>
                <w:szCs w:val="20"/>
              </w:rPr>
            </w:pPr>
            <w:r w:rsidRPr="00915411">
              <w:rPr>
                <w:rFonts w:ascii="Arial" w:hAnsi="Arial" w:cs="Arial"/>
                <w:sz w:val="20"/>
                <w:szCs w:val="20"/>
              </w:rPr>
              <w:t>3.77</w:t>
            </w:r>
          </w:p>
        </w:tc>
        <w:tc>
          <w:tcPr>
            <w:tcW w:w="2245" w:type="dxa"/>
            <w:vAlign w:val="center"/>
          </w:tcPr>
          <w:p w14:paraId="6A74A41F" w14:textId="7DA6503A"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4A3882EF" w14:textId="77777777" w:rsidTr="001371BA">
        <w:trPr>
          <w:gridAfter w:val="1"/>
          <w:wAfter w:w="11" w:type="dxa"/>
          <w:trHeight w:val="438"/>
        </w:trPr>
        <w:tc>
          <w:tcPr>
            <w:tcW w:w="4320" w:type="dxa"/>
            <w:gridSpan w:val="2"/>
            <w:vAlign w:val="center"/>
          </w:tcPr>
          <w:p w14:paraId="197CBC2C" w14:textId="4BDD80DA"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t>Risk-Taking</w:t>
            </w:r>
          </w:p>
        </w:tc>
        <w:tc>
          <w:tcPr>
            <w:tcW w:w="862" w:type="dxa"/>
            <w:vAlign w:val="center"/>
          </w:tcPr>
          <w:p w14:paraId="614B9835" w14:textId="52B3D37A" w:rsidR="000D5F80" w:rsidRPr="000D5F80" w:rsidRDefault="000D5F80" w:rsidP="000D5F80">
            <w:pPr>
              <w:jc w:val="center"/>
              <w:rPr>
                <w:rFonts w:ascii="Arial" w:hAnsi="Arial" w:cs="Arial"/>
                <w:sz w:val="20"/>
                <w:szCs w:val="20"/>
              </w:rPr>
            </w:pPr>
            <w:r w:rsidRPr="00915411">
              <w:rPr>
                <w:rFonts w:ascii="Arial" w:hAnsi="Arial" w:cs="Arial"/>
                <w:sz w:val="20"/>
                <w:szCs w:val="20"/>
              </w:rPr>
              <w:t>0.47</w:t>
            </w:r>
          </w:p>
        </w:tc>
        <w:tc>
          <w:tcPr>
            <w:tcW w:w="1019" w:type="dxa"/>
            <w:gridSpan w:val="2"/>
            <w:vAlign w:val="center"/>
          </w:tcPr>
          <w:p w14:paraId="2C1B1A3F" w14:textId="367F57E0" w:rsidR="000D5F80" w:rsidRPr="000D5F80" w:rsidRDefault="000D5F80" w:rsidP="000D5F80">
            <w:pPr>
              <w:jc w:val="center"/>
              <w:rPr>
                <w:rFonts w:ascii="Arial" w:hAnsi="Arial" w:cs="Arial"/>
                <w:sz w:val="20"/>
                <w:szCs w:val="20"/>
              </w:rPr>
            </w:pPr>
            <w:r w:rsidRPr="00915411">
              <w:rPr>
                <w:rFonts w:ascii="Arial" w:hAnsi="Arial" w:cs="Arial"/>
                <w:sz w:val="20"/>
                <w:szCs w:val="20"/>
              </w:rPr>
              <w:t>3.78</w:t>
            </w:r>
          </w:p>
        </w:tc>
        <w:tc>
          <w:tcPr>
            <w:tcW w:w="2245" w:type="dxa"/>
            <w:vAlign w:val="center"/>
          </w:tcPr>
          <w:p w14:paraId="26CAB96E" w14:textId="113EA95E"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5A3D4E46" w14:textId="77777777" w:rsidTr="001371BA">
        <w:trPr>
          <w:trHeight w:val="413"/>
        </w:trPr>
        <w:tc>
          <w:tcPr>
            <w:tcW w:w="4278" w:type="dxa"/>
            <w:vAlign w:val="center"/>
          </w:tcPr>
          <w:p w14:paraId="591D560C" w14:textId="53626E23" w:rsidR="000D5F80" w:rsidRPr="000D5F80" w:rsidRDefault="000D5F80" w:rsidP="000D5F80">
            <w:pPr>
              <w:jc w:val="center"/>
              <w:rPr>
                <w:rFonts w:ascii="Arial" w:eastAsia="Calibri" w:hAnsi="Arial" w:cs="Arial"/>
                <w:b/>
                <w:sz w:val="20"/>
                <w:szCs w:val="20"/>
              </w:rPr>
            </w:pPr>
            <w:r w:rsidRPr="00915411">
              <w:rPr>
                <w:rFonts w:ascii="Arial" w:hAnsi="Arial" w:cs="Arial"/>
                <w:b/>
                <w:bCs/>
                <w:sz w:val="20"/>
                <w:szCs w:val="20"/>
              </w:rPr>
              <w:t>Overall</w:t>
            </w:r>
          </w:p>
        </w:tc>
        <w:tc>
          <w:tcPr>
            <w:tcW w:w="904" w:type="dxa"/>
            <w:gridSpan w:val="2"/>
            <w:vAlign w:val="center"/>
          </w:tcPr>
          <w:p w14:paraId="557AE64C" w14:textId="598EC38B" w:rsidR="000D5F80" w:rsidRPr="000D5F80" w:rsidRDefault="000D5F80" w:rsidP="000D5F80">
            <w:pPr>
              <w:jc w:val="center"/>
              <w:rPr>
                <w:rFonts w:ascii="Arial" w:hAnsi="Arial" w:cs="Arial"/>
                <w:b/>
                <w:bCs/>
                <w:sz w:val="20"/>
                <w:szCs w:val="20"/>
              </w:rPr>
            </w:pPr>
            <w:r w:rsidRPr="00915411">
              <w:rPr>
                <w:rFonts w:ascii="Arial" w:hAnsi="Arial" w:cs="Arial"/>
                <w:b/>
                <w:bCs/>
                <w:sz w:val="20"/>
                <w:szCs w:val="20"/>
              </w:rPr>
              <w:t>0.49</w:t>
            </w:r>
          </w:p>
        </w:tc>
        <w:tc>
          <w:tcPr>
            <w:tcW w:w="1000" w:type="dxa"/>
            <w:vAlign w:val="center"/>
          </w:tcPr>
          <w:p w14:paraId="66E1C693" w14:textId="2E206FEA" w:rsidR="000D5F80" w:rsidRPr="000D5F80" w:rsidRDefault="000D5F80" w:rsidP="000D5F80">
            <w:pPr>
              <w:jc w:val="center"/>
              <w:rPr>
                <w:rFonts w:ascii="Arial" w:hAnsi="Arial" w:cs="Arial"/>
                <w:b/>
                <w:bCs/>
                <w:sz w:val="20"/>
                <w:szCs w:val="20"/>
              </w:rPr>
            </w:pPr>
            <w:r w:rsidRPr="00915411">
              <w:rPr>
                <w:rFonts w:ascii="Arial" w:hAnsi="Arial" w:cs="Arial"/>
                <w:b/>
                <w:bCs/>
                <w:sz w:val="20"/>
                <w:szCs w:val="20"/>
              </w:rPr>
              <w:t>3.76</w:t>
            </w:r>
          </w:p>
        </w:tc>
        <w:tc>
          <w:tcPr>
            <w:tcW w:w="2275" w:type="dxa"/>
            <w:gridSpan w:val="3"/>
            <w:vAlign w:val="center"/>
          </w:tcPr>
          <w:p w14:paraId="7E8BF4DA" w14:textId="0F1B0948" w:rsidR="000D5F80" w:rsidRPr="000D5F80" w:rsidRDefault="000D5F80" w:rsidP="000D5F80">
            <w:pPr>
              <w:jc w:val="center"/>
              <w:rPr>
                <w:rFonts w:ascii="Arial" w:hAnsi="Arial" w:cs="Arial"/>
                <w:b/>
                <w:bCs/>
                <w:sz w:val="20"/>
                <w:szCs w:val="20"/>
              </w:rPr>
            </w:pPr>
            <w:r w:rsidRPr="00915411">
              <w:rPr>
                <w:rFonts w:ascii="Arial" w:hAnsi="Arial" w:cs="Arial"/>
                <w:b/>
                <w:bCs/>
                <w:sz w:val="20"/>
                <w:szCs w:val="20"/>
              </w:rPr>
              <w:t>High</w:t>
            </w:r>
          </w:p>
        </w:tc>
      </w:tr>
    </w:tbl>
    <w:p w14:paraId="20CF6BE0" w14:textId="77777777" w:rsidR="00D453B9" w:rsidRPr="007E5C64" w:rsidRDefault="00D453B9" w:rsidP="003248E3">
      <w:pPr>
        <w:jc w:val="both"/>
        <w:rPr>
          <w:rFonts w:ascii="Arial" w:hAnsi="Arial" w:cs="Arial"/>
          <w:sz w:val="20"/>
          <w:szCs w:val="20"/>
        </w:rPr>
      </w:pPr>
    </w:p>
    <w:p w14:paraId="591341DD" w14:textId="77777777" w:rsidR="000D5F80" w:rsidRPr="000D5F80" w:rsidRDefault="000D5F80" w:rsidP="000D5F80">
      <w:pPr>
        <w:jc w:val="both"/>
        <w:rPr>
          <w:rFonts w:ascii="Arial" w:hAnsi="Arial" w:cs="Arial"/>
          <w:sz w:val="20"/>
          <w:szCs w:val="20"/>
        </w:rPr>
      </w:pPr>
      <w:r w:rsidRPr="000D5F80">
        <w:rPr>
          <w:rFonts w:ascii="Arial" w:hAnsi="Arial" w:cs="Arial"/>
          <w:sz w:val="20"/>
          <w:szCs w:val="20"/>
        </w:rPr>
        <w:t>Presented in Table 1 is the summary of the domains in the level of attractive classroom organization among teachers in public elementary schools, including concepts, sensitivity, needs, and risk-taking, based on the mean scores and standard deviations. The domain concepts received the highest mean of 3.82, categorized as “high,” followed by risk-taking with a mean of 3.78. Both sensitivity and needs shared a mean of 3.77, also described as “high.” The overall mean of 3.76 is likewise categorized as “high,” suggesting that teachers generally maintain a strong level of classroom organization in all areas.</w:t>
      </w:r>
    </w:p>
    <w:p w14:paraId="52D2AE30" w14:textId="77777777" w:rsidR="000D5F80" w:rsidRPr="000D5F80" w:rsidRDefault="000D5F80" w:rsidP="000D5F80">
      <w:pPr>
        <w:jc w:val="both"/>
        <w:rPr>
          <w:rFonts w:ascii="Arial" w:hAnsi="Arial" w:cs="Arial"/>
          <w:sz w:val="20"/>
          <w:szCs w:val="20"/>
        </w:rPr>
      </w:pPr>
    </w:p>
    <w:p w14:paraId="77714312" w14:textId="77777777" w:rsidR="000D5F80" w:rsidRPr="000D5F80" w:rsidRDefault="000D5F80" w:rsidP="000D5F80">
      <w:pPr>
        <w:jc w:val="both"/>
        <w:rPr>
          <w:rFonts w:ascii="Arial" w:hAnsi="Arial" w:cs="Arial"/>
          <w:sz w:val="20"/>
          <w:szCs w:val="20"/>
        </w:rPr>
      </w:pPr>
      <w:r w:rsidRPr="000D5F80">
        <w:rPr>
          <w:rFonts w:ascii="Arial" w:hAnsi="Arial" w:cs="Arial"/>
          <w:sz w:val="20"/>
          <w:szCs w:val="20"/>
        </w:rPr>
        <w:t>The overall standard deviation of 0.49 indicates that the responses were moderately clustered around the mean. This suggests that teachers have a consistent perception of the importance of maintaining organized, responsive, and creative learning spaces. The emphasis on clarity in concepts, responsiveness to student needs, and willingness to take instructional risks highlights the proactive approach of teachers in shaping a functional and engaging classroom environment. These practices contribute to sustaining orderly classrooms that support both academic performance and social development.</w:t>
      </w:r>
    </w:p>
    <w:p w14:paraId="4F270F5C" w14:textId="77777777" w:rsidR="000D5F80" w:rsidRPr="000D5F80" w:rsidRDefault="000D5F80" w:rsidP="000D5F80">
      <w:pPr>
        <w:jc w:val="both"/>
        <w:rPr>
          <w:rFonts w:ascii="Arial" w:hAnsi="Arial" w:cs="Arial"/>
          <w:sz w:val="20"/>
          <w:szCs w:val="20"/>
        </w:rPr>
      </w:pPr>
    </w:p>
    <w:p w14:paraId="6BEB0603" w14:textId="6653D5F4" w:rsidR="005923EA" w:rsidRPr="007E5C64" w:rsidRDefault="000D5F80" w:rsidP="000D5F80">
      <w:pPr>
        <w:jc w:val="both"/>
        <w:rPr>
          <w:rFonts w:ascii="Arial" w:hAnsi="Arial" w:cs="Arial"/>
          <w:sz w:val="20"/>
          <w:szCs w:val="20"/>
        </w:rPr>
      </w:pPr>
      <w:r w:rsidRPr="000D5F80">
        <w:rPr>
          <w:rFonts w:ascii="Arial" w:hAnsi="Arial" w:cs="Arial"/>
          <w:sz w:val="20"/>
          <w:szCs w:val="20"/>
        </w:rPr>
        <w:t xml:space="preserve">This finding corresponds with the study of </w:t>
      </w:r>
      <w:r w:rsidR="00283BED" w:rsidRPr="00283BED">
        <w:rPr>
          <w:rFonts w:ascii="Arial" w:hAnsi="Arial" w:cs="Arial"/>
          <w:sz w:val="20"/>
          <w:szCs w:val="20"/>
        </w:rPr>
        <w:t xml:space="preserve">Zajda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2021</w:t>
      </w:r>
      <w:r w:rsidRPr="000D5F80">
        <w:rPr>
          <w:rFonts w:ascii="Arial" w:hAnsi="Arial" w:cs="Arial"/>
          <w:sz w:val="20"/>
          <w:szCs w:val="20"/>
        </w:rPr>
        <w:t xml:space="preserve">), who emphasized that an attractive classroom environment fosters improved student motivation, concentration, and emotional comfort. Likewise, </w:t>
      </w:r>
      <w:r w:rsidR="00283BED" w:rsidRPr="00283BED">
        <w:rPr>
          <w:rFonts w:ascii="Arial" w:hAnsi="Arial" w:cs="Arial"/>
          <w:sz w:val="20"/>
          <w:szCs w:val="20"/>
        </w:rPr>
        <w:t xml:space="preserve">Adhikari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2025</w:t>
      </w:r>
      <w:r w:rsidRPr="000D5F80">
        <w:rPr>
          <w:rFonts w:ascii="Arial" w:hAnsi="Arial" w:cs="Arial"/>
          <w:sz w:val="20"/>
          <w:szCs w:val="20"/>
        </w:rPr>
        <w:t xml:space="preserve">) found that when classrooms are intentionally organized with student-centered principles in mind, teachers create a more conducive setting for collaborative and independent learning. Furthermore, </w:t>
      </w:r>
      <w:r w:rsidR="00283BED" w:rsidRPr="00283BED">
        <w:rPr>
          <w:rFonts w:ascii="Arial" w:hAnsi="Arial" w:cs="Arial"/>
          <w:sz w:val="20"/>
          <w:szCs w:val="20"/>
        </w:rPr>
        <w:t xml:space="preserve">Ali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2020</w:t>
      </w:r>
      <w:r w:rsidRPr="000D5F80">
        <w:rPr>
          <w:rFonts w:ascii="Arial" w:hAnsi="Arial" w:cs="Arial"/>
          <w:sz w:val="20"/>
          <w:szCs w:val="20"/>
        </w:rPr>
        <w:t>) revealed that risk-taking in classroom design—such as incorporating flexible seating, learning corners, and interactive displays—helps teachers better address diverse learning needs and styles.</w:t>
      </w:r>
    </w:p>
    <w:p w14:paraId="68D2CDDA" w14:textId="2D16CF51" w:rsidR="005923EA" w:rsidRPr="007E5C64" w:rsidRDefault="005923EA">
      <w:pPr>
        <w:jc w:val="both"/>
        <w:rPr>
          <w:rFonts w:ascii="Arial" w:hAnsi="Arial" w:cs="Arial"/>
          <w:b/>
          <w:sz w:val="20"/>
          <w:szCs w:val="20"/>
        </w:rPr>
      </w:pPr>
    </w:p>
    <w:p w14:paraId="04DC4014" w14:textId="066AC162" w:rsidR="00E16D4E" w:rsidRPr="007E5C64" w:rsidRDefault="00180859">
      <w:pPr>
        <w:jc w:val="both"/>
        <w:rPr>
          <w:rFonts w:ascii="Arial" w:hAnsi="Arial" w:cs="Arial"/>
          <w:b/>
          <w:sz w:val="20"/>
          <w:szCs w:val="20"/>
        </w:rPr>
      </w:pPr>
      <w:r w:rsidRPr="007E5C64">
        <w:rPr>
          <w:rFonts w:ascii="Arial" w:hAnsi="Arial" w:cs="Arial"/>
          <w:b/>
          <w:sz w:val="20"/>
          <w:szCs w:val="20"/>
        </w:rPr>
        <w:t xml:space="preserve">3.2 </w:t>
      </w:r>
      <w:r w:rsidR="000D5F80" w:rsidRPr="000D5F80">
        <w:rPr>
          <w:rFonts w:ascii="Arial" w:hAnsi="Arial" w:cs="Arial"/>
          <w:b/>
          <w:sz w:val="20"/>
          <w:szCs w:val="20"/>
        </w:rPr>
        <w:t>Level of Creating Community Teaching among Teachers in Public Elementary Schools</w:t>
      </w:r>
    </w:p>
    <w:p w14:paraId="49153FC3" w14:textId="77777777" w:rsidR="00E16D4E" w:rsidRPr="007E5C64" w:rsidRDefault="00E16D4E">
      <w:pPr>
        <w:jc w:val="both"/>
        <w:rPr>
          <w:rFonts w:ascii="Arial" w:hAnsi="Arial" w:cs="Arial"/>
          <w:b/>
          <w:sz w:val="20"/>
          <w:szCs w:val="20"/>
        </w:rPr>
      </w:pPr>
    </w:p>
    <w:p w14:paraId="2745F126" w14:textId="3962EE46" w:rsidR="00781D5E" w:rsidRPr="007E5C64" w:rsidRDefault="00180859">
      <w:pPr>
        <w:jc w:val="both"/>
        <w:rPr>
          <w:rFonts w:ascii="Arial" w:hAnsi="Arial" w:cs="Arial"/>
          <w:i/>
          <w:sz w:val="20"/>
          <w:szCs w:val="20"/>
        </w:rPr>
      </w:pPr>
      <w:r w:rsidRPr="007E5C64">
        <w:rPr>
          <w:rFonts w:ascii="Arial" w:hAnsi="Arial" w:cs="Arial"/>
          <w:iCs/>
          <w:sz w:val="20"/>
          <w:szCs w:val="20"/>
        </w:rPr>
        <w:t>Table 2</w:t>
      </w:r>
      <w:r w:rsidR="00781D5E" w:rsidRPr="007E5C64">
        <w:rPr>
          <w:rFonts w:ascii="Arial" w:hAnsi="Arial" w:cs="Arial"/>
          <w:iCs/>
          <w:sz w:val="20"/>
          <w:szCs w:val="20"/>
        </w:rPr>
        <w:t>.</w:t>
      </w:r>
      <w:r w:rsidRPr="007E5C64">
        <w:rPr>
          <w:rFonts w:ascii="Arial" w:hAnsi="Arial" w:cs="Arial"/>
          <w:iCs/>
          <w:sz w:val="20"/>
          <w:szCs w:val="20"/>
        </w:rPr>
        <w:t xml:space="preserve"> </w:t>
      </w:r>
      <w:r w:rsidR="000D5F80" w:rsidRPr="000D5F80">
        <w:rPr>
          <w:rFonts w:ascii="Arial" w:hAnsi="Arial" w:cs="Arial"/>
          <w:i/>
          <w:sz w:val="20"/>
          <w:szCs w:val="20"/>
        </w:rPr>
        <w:t>Level of Creating Community Teaching among Teachers in Public Elementary Schools</w:t>
      </w:r>
    </w:p>
    <w:p w14:paraId="58C71F5A" w14:textId="4C7965E3" w:rsidR="00A574C3" w:rsidRPr="007E5C64"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7E5C64"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7E5C64" w:rsidRDefault="00D815DA" w:rsidP="00C8398D">
            <w:pPr>
              <w:jc w:val="center"/>
              <w:rPr>
                <w:rFonts w:ascii="Arial" w:hAnsi="Arial"/>
                <w:b/>
                <w:sz w:val="20"/>
                <w:szCs w:val="20"/>
              </w:rPr>
            </w:pPr>
            <w:r w:rsidRPr="007E5C64">
              <w:rPr>
                <w:rFonts w:ascii="Arial" w:hAnsi="Arial"/>
                <w:b/>
                <w:sz w:val="20"/>
                <w:szCs w:val="20"/>
              </w:rPr>
              <w:t>Domains</w:t>
            </w:r>
          </w:p>
        </w:tc>
        <w:tc>
          <w:tcPr>
            <w:tcW w:w="869" w:type="dxa"/>
            <w:tcBorders>
              <w:bottom w:val="single" w:sz="4" w:space="0" w:color="auto"/>
            </w:tcBorders>
          </w:tcPr>
          <w:p w14:paraId="397A68C1" w14:textId="77777777" w:rsidR="00D815DA" w:rsidRPr="007E5C64" w:rsidRDefault="00D815DA" w:rsidP="00C8398D">
            <w:pPr>
              <w:jc w:val="center"/>
              <w:rPr>
                <w:rFonts w:ascii="Arial" w:hAnsi="Arial"/>
                <w:b/>
                <w:sz w:val="20"/>
                <w:szCs w:val="20"/>
              </w:rPr>
            </w:pPr>
            <w:r w:rsidRPr="007E5C64">
              <w:rPr>
                <w:rFonts w:ascii="Arial" w:hAnsi="Arial"/>
                <w:b/>
                <w:sz w:val="20"/>
                <w:szCs w:val="20"/>
              </w:rPr>
              <w:t>SD</w:t>
            </w:r>
          </w:p>
        </w:tc>
        <w:tc>
          <w:tcPr>
            <w:tcW w:w="1027" w:type="dxa"/>
            <w:gridSpan w:val="2"/>
            <w:tcBorders>
              <w:bottom w:val="single" w:sz="4" w:space="0" w:color="auto"/>
            </w:tcBorders>
          </w:tcPr>
          <w:p w14:paraId="28119226" w14:textId="77777777" w:rsidR="00D815DA" w:rsidRPr="007E5C64" w:rsidRDefault="00D815DA" w:rsidP="00C8398D">
            <w:pPr>
              <w:jc w:val="center"/>
              <w:rPr>
                <w:rFonts w:ascii="Arial" w:hAnsi="Arial"/>
                <w:b/>
                <w:sz w:val="20"/>
                <w:szCs w:val="20"/>
              </w:rPr>
            </w:pPr>
            <w:r w:rsidRPr="007E5C64">
              <w:rPr>
                <w:rFonts w:ascii="Arial" w:hAnsi="Arial"/>
                <w:b/>
                <w:sz w:val="20"/>
                <w:szCs w:val="20"/>
              </w:rPr>
              <w:t>Mean</w:t>
            </w:r>
          </w:p>
        </w:tc>
        <w:tc>
          <w:tcPr>
            <w:tcW w:w="2263" w:type="dxa"/>
            <w:tcBorders>
              <w:bottom w:val="single" w:sz="4" w:space="0" w:color="auto"/>
            </w:tcBorders>
          </w:tcPr>
          <w:p w14:paraId="45209412" w14:textId="77777777" w:rsidR="00D815DA" w:rsidRPr="007E5C64" w:rsidRDefault="00D815DA" w:rsidP="00C8398D">
            <w:pPr>
              <w:jc w:val="center"/>
              <w:rPr>
                <w:rFonts w:ascii="Arial" w:hAnsi="Arial"/>
                <w:b/>
                <w:sz w:val="20"/>
                <w:szCs w:val="20"/>
              </w:rPr>
            </w:pPr>
            <w:r w:rsidRPr="007E5C64">
              <w:rPr>
                <w:rFonts w:ascii="Arial" w:hAnsi="Arial"/>
                <w:b/>
                <w:sz w:val="20"/>
                <w:szCs w:val="20"/>
              </w:rPr>
              <w:t>Descriptive Level</w:t>
            </w:r>
          </w:p>
        </w:tc>
      </w:tr>
      <w:tr w:rsidR="006C0110" w:rsidRPr="007E5C64" w14:paraId="75E63BE0" w14:textId="77777777" w:rsidTr="00A74B37">
        <w:trPr>
          <w:gridAfter w:val="1"/>
          <w:wAfter w:w="12" w:type="dxa"/>
          <w:trHeight w:val="415"/>
        </w:trPr>
        <w:tc>
          <w:tcPr>
            <w:tcW w:w="4354" w:type="dxa"/>
            <w:gridSpan w:val="2"/>
            <w:tcBorders>
              <w:top w:val="single" w:sz="4" w:space="0" w:color="auto"/>
            </w:tcBorders>
            <w:vAlign w:val="center"/>
          </w:tcPr>
          <w:p w14:paraId="7E392CB8" w14:textId="0B19EE6E"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Supportive</w:t>
            </w:r>
          </w:p>
        </w:tc>
        <w:tc>
          <w:tcPr>
            <w:tcW w:w="869" w:type="dxa"/>
            <w:tcBorders>
              <w:top w:val="single" w:sz="4" w:space="0" w:color="auto"/>
            </w:tcBorders>
            <w:vAlign w:val="center"/>
          </w:tcPr>
          <w:p w14:paraId="72757B90" w14:textId="3AD1682F" w:rsidR="006C0110" w:rsidRPr="006C0110" w:rsidRDefault="006C0110" w:rsidP="006C0110">
            <w:pPr>
              <w:jc w:val="center"/>
              <w:rPr>
                <w:rFonts w:ascii="Arial" w:hAnsi="Arial" w:cs="Arial"/>
                <w:sz w:val="20"/>
                <w:szCs w:val="20"/>
              </w:rPr>
            </w:pPr>
            <w:r w:rsidRPr="00915411">
              <w:rPr>
                <w:rFonts w:ascii="Arial" w:hAnsi="Arial" w:cs="Arial"/>
                <w:sz w:val="20"/>
                <w:szCs w:val="20"/>
              </w:rPr>
              <w:t>0.46</w:t>
            </w:r>
          </w:p>
        </w:tc>
        <w:tc>
          <w:tcPr>
            <w:tcW w:w="1027" w:type="dxa"/>
            <w:gridSpan w:val="2"/>
            <w:tcBorders>
              <w:top w:val="single" w:sz="4" w:space="0" w:color="auto"/>
            </w:tcBorders>
            <w:vAlign w:val="center"/>
          </w:tcPr>
          <w:p w14:paraId="201232BC" w14:textId="44212DF1" w:rsidR="006C0110" w:rsidRPr="006C0110" w:rsidRDefault="006C0110" w:rsidP="006C0110">
            <w:pPr>
              <w:jc w:val="center"/>
              <w:rPr>
                <w:rFonts w:ascii="Arial" w:hAnsi="Arial" w:cs="Arial"/>
                <w:sz w:val="20"/>
                <w:szCs w:val="20"/>
              </w:rPr>
            </w:pPr>
            <w:r w:rsidRPr="00915411">
              <w:rPr>
                <w:rFonts w:ascii="Arial" w:hAnsi="Arial" w:cs="Arial"/>
                <w:sz w:val="20"/>
                <w:szCs w:val="20"/>
              </w:rPr>
              <w:t>3.79</w:t>
            </w:r>
          </w:p>
        </w:tc>
        <w:tc>
          <w:tcPr>
            <w:tcW w:w="2263" w:type="dxa"/>
            <w:tcBorders>
              <w:top w:val="single" w:sz="4" w:space="0" w:color="auto"/>
            </w:tcBorders>
            <w:vAlign w:val="center"/>
          </w:tcPr>
          <w:p w14:paraId="75310DAA" w14:textId="4DE6743E" w:rsidR="006C0110" w:rsidRPr="006C0110" w:rsidRDefault="006C0110" w:rsidP="006C0110">
            <w:pPr>
              <w:jc w:val="center"/>
              <w:rPr>
                <w:rFonts w:ascii="Arial" w:hAnsi="Arial" w:cs="Arial"/>
                <w:sz w:val="20"/>
                <w:szCs w:val="20"/>
              </w:rPr>
            </w:pPr>
            <w:r w:rsidRPr="00915411">
              <w:rPr>
                <w:rFonts w:ascii="Arial" w:hAnsi="Arial" w:cs="Arial"/>
                <w:sz w:val="20"/>
                <w:szCs w:val="20"/>
              </w:rPr>
              <w:t>High</w:t>
            </w:r>
          </w:p>
        </w:tc>
      </w:tr>
      <w:tr w:rsidR="006C0110" w:rsidRPr="007E5C64" w14:paraId="72DBC142" w14:textId="77777777" w:rsidTr="00A74B37">
        <w:trPr>
          <w:gridAfter w:val="1"/>
          <w:wAfter w:w="12" w:type="dxa"/>
          <w:trHeight w:val="406"/>
        </w:trPr>
        <w:tc>
          <w:tcPr>
            <w:tcW w:w="4354" w:type="dxa"/>
            <w:gridSpan w:val="2"/>
            <w:vAlign w:val="center"/>
          </w:tcPr>
          <w:p w14:paraId="652365C3" w14:textId="17BF0AAE"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Instruction</w:t>
            </w:r>
          </w:p>
        </w:tc>
        <w:tc>
          <w:tcPr>
            <w:tcW w:w="869" w:type="dxa"/>
            <w:vAlign w:val="center"/>
          </w:tcPr>
          <w:p w14:paraId="1A03CACD" w14:textId="616EDDAC" w:rsidR="006C0110" w:rsidRPr="006C0110" w:rsidRDefault="006C0110" w:rsidP="006C0110">
            <w:pPr>
              <w:jc w:val="center"/>
              <w:rPr>
                <w:rFonts w:ascii="Arial" w:hAnsi="Arial" w:cs="Arial"/>
                <w:sz w:val="20"/>
                <w:szCs w:val="20"/>
              </w:rPr>
            </w:pPr>
            <w:r w:rsidRPr="00915411">
              <w:rPr>
                <w:rFonts w:ascii="Arial" w:hAnsi="Arial" w:cs="Arial"/>
                <w:sz w:val="20"/>
                <w:szCs w:val="20"/>
              </w:rPr>
              <w:t>0.50</w:t>
            </w:r>
          </w:p>
        </w:tc>
        <w:tc>
          <w:tcPr>
            <w:tcW w:w="1027" w:type="dxa"/>
            <w:gridSpan w:val="2"/>
            <w:vAlign w:val="center"/>
          </w:tcPr>
          <w:p w14:paraId="1E87CF99" w14:textId="749972D5" w:rsidR="006C0110" w:rsidRPr="006C0110" w:rsidRDefault="006C0110" w:rsidP="006C0110">
            <w:pPr>
              <w:jc w:val="center"/>
              <w:rPr>
                <w:rFonts w:ascii="Arial" w:hAnsi="Arial" w:cs="Arial"/>
                <w:sz w:val="20"/>
                <w:szCs w:val="20"/>
              </w:rPr>
            </w:pPr>
            <w:r w:rsidRPr="00915411">
              <w:rPr>
                <w:rFonts w:ascii="Arial" w:hAnsi="Arial" w:cs="Arial"/>
                <w:sz w:val="20"/>
                <w:szCs w:val="20"/>
              </w:rPr>
              <w:t>3.62</w:t>
            </w:r>
          </w:p>
        </w:tc>
        <w:tc>
          <w:tcPr>
            <w:tcW w:w="2263" w:type="dxa"/>
            <w:vAlign w:val="center"/>
          </w:tcPr>
          <w:p w14:paraId="5B33F21A" w14:textId="07DB93D0" w:rsidR="006C0110" w:rsidRPr="006C0110" w:rsidRDefault="006C0110" w:rsidP="006C0110">
            <w:pPr>
              <w:jc w:val="center"/>
              <w:rPr>
                <w:rFonts w:ascii="Arial" w:hAnsi="Arial" w:cs="Arial"/>
                <w:sz w:val="20"/>
                <w:szCs w:val="20"/>
              </w:rPr>
            </w:pPr>
            <w:r w:rsidRPr="00915411">
              <w:rPr>
                <w:rFonts w:ascii="Arial" w:hAnsi="Arial" w:cs="Arial"/>
                <w:sz w:val="20"/>
                <w:szCs w:val="20"/>
              </w:rPr>
              <w:t>High</w:t>
            </w:r>
          </w:p>
        </w:tc>
      </w:tr>
      <w:tr w:rsidR="006C0110" w:rsidRPr="007E5C64" w14:paraId="1059F5F2" w14:textId="77777777" w:rsidTr="00A74B37">
        <w:trPr>
          <w:gridAfter w:val="1"/>
          <w:wAfter w:w="12" w:type="dxa"/>
          <w:trHeight w:val="416"/>
        </w:trPr>
        <w:tc>
          <w:tcPr>
            <w:tcW w:w="4354" w:type="dxa"/>
            <w:gridSpan w:val="2"/>
            <w:vAlign w:val="center"/>
          </w:tcPr>
          <w:p w14:paraId="7391FDCE" w14:textId="7084651F"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Preventive</w:t>
            </w:r>
          </w:p>
        </w:tc>
        <w:tc>
          <w:tcPr>
            <w:tcW w:w="869" w:type="dxa"/>
            <w:vAlign w:val="center"/>
          </w:tcPr>
          <w:p w14:paraId="42C2B95A" w14:textId="7F8450AB" w:rsidR="006C0110" w:rsidRPr="006C0110" w:rsidRDefault="006C0110" w:rsidP="006C0110">
            <w:pPr>
              <w:jc w:val="center"/>
              <w:rPr>
                <w:rFonts w:ascii="Arial" w:hAnsi="Arial" w:cs="Arial"/>
                <w:sz w:val="20"/>
                <w:szCs w:val="20"/>
              </w:rPr>
            </w:pPr>
            <w:r w:rsidRPr="00915411">
              <w:rPr>
                <w:rFonts w:ascii="Arial" w:hAnsi="Arial" w:cs="Arial"/>
                <w:sz w:val="20"/>
                <w:szCs w:val="20"/>
              </w:rPr>
              <w:t>0.52</w:t>
            </w:r>
          </w:p>
        </w:tc>
        <w:tc>
          <w:tcPr>
            <w:tcW w:w="1027" w:type="dxa"/>
            <w:gridSpan w:val="2"/>
            <w:vAlign w:val="center"/>
          </w:tcPr>
          <w:p w14:paraId="434D92BA" w14:textId="30786179" w:rsidR="006C0110" w:rsidRPr="006C0110" w:rsidRDefault="006C0110" w:rsidP="006C0110">
            <w:pPr>
              <w:jc w:val="center"/>
              <w:rPr>
                <w:rFonts w:ascii="Arial" w:hAnsi="Arial" w:cs="Arial"/>
                <w:sz w:val="20"/>
                <w:szCs w:val="20"/>
              </w:rPr>
            </w:pPr>
            <w:r w:rsidRPr="00915411">
              <w:rPr>
                <w:rFonts w:ascii="Arial" w:hAnsi="Arial" w:cs="Arial"/>
                <w:sz w:val="20"/>
                <w:szCs w:val="20"/>
              </w:rPr>
              <w:t>3.29</w:t>
            </w:r>
          </w:p>
        </w:tc>
        <w:tc>
          <w:tcPr>
            <w:tcW w:w="2263" w:type="dxa"/>
            <w:vAlign w:val="center"/>
          </w:tcPr>
          <w:p w14:paraId="1202CC07" w14:textId="5BBB9CAF" w:rsidR="006C0110" w:rsidRPr="006C0110" w:rsidRDefault="006C0110" w:rsidP="006C0110">
            <w:pPr>
              <w:jc w:val="center"/>
              <w:rPr>
                <w:rFonts w:ascii="Arial" w:hAnsi="Arial" w:cs="Arial"/>
                <w:sz w:val="20"/>
                <w:szCs w:val="20"/>
              </w:rPr>
            </w:pPr>
            <w:r w:rsidRPr="00915411">
              <w:rPr>
                <w:rFonts w:ascii="Arial" w:hAnsi="Arial" w:cs="Arial"/>
                <w:sz w:val="20"/>
                <w:szCs w:val="20"/>
              </w:rPr>
              <w:t>Moderate</w:t>
            </w:r>
          </w:p>
        </w:tc>
      </w:tr>
      <w:tr w:rsidR="006C0110" w:rsidRPr="007E5C64" w14:paraId="28BCBF44" w14:textId="77777777" w:rsidTr="00A74B37">
        <w:trPr>
          <w:gridAfter w:val="1"/>
          <w:wAfter w:w="12" w:type="dxa"/>
          <w:trHeight w:val="416"/>
        </w:trPr>
        <w:tc>
          <w:tcPr>
            <w:tcW w:w="4354" w:type="dxa"/>
            <w:gridSpan w:val="2"/>
            <w:vAlign w:val="center"/>
          </w:tcPr>
          <w:p w14:paraId="663D10BD" w14:textId="35DB862B"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Responsive</w:t>
            </w:r>
          </w:p>
        </w:tc>
        <w:tc>
          <w:tcPr>
            <w:tcW w:w="869" w:type="dxa"/>
            <w:vAlign w:val="center"/>
          </w:tcPr>
          <w:p w14:paraId="4FB81BF8" w14:textId="1F628585" w:rsidR="006C0110" w:rsidRPr="006C0110" w:rsidRDefault="006C0110" w:rsidP="006C0110">
            <w:pPr>
              <w:jc w:val="center"/>
              <w:rPr>
                <w:rFonts w:ascii="Arial" w:hAnsi="Arial" w:cs="Arial"/>
                <w:sz w:val="20"/>
                <w:szCs w:val="20"/>
              </w:rPr>
            </w:pPr>
            <w:r w:rsidRPr="00915411">
              <w:rPr>
                <w:rFonts w:ascii="Arial" w:hAnsi="Arial" w:cs="Arial"/>
                <w:sz w:val="20"/>
                <w:szCs w:val="20"/>
              </w:rPr>
              <w:t>0.48</w:t>
            </w:r>
          </w:p>
        </w:tc>
        <w:tc>
          <w:tcPr>
            <w:tcW w:w="1027" w:type="dxa"/>
            <w:gridSpan w:val="2"/>
            <w:vAlign w:val="center"/>
          </w:tcPr>
          <w:p w14:paraId="6515D5DA" w14:textId="6E4E0FAD" w:rsidR="006C0110" w:rsidRPr="006C0110" w:rsidRDefault="006C0110" w:rsidP="006C0110">
            <w:pPr>
              <w:jc w:val="center"/>
              <w:rPr>
                <w:rFonts w:ascii="Arial" w:hAnsi="Arial" w:cs="Arial"/>
                <w:sz w:val="20"/>
                <w:szCs w:val="20"/>
              </w:rPr>
            </w:pPr>
            <w:r w:rsidRPr="00915411">
              <w:rPr>
                <w:rFonts w:ascii="Arial" w:hAnsi="Arial" w:cs="Arial"/>
                <w:sz w:val="20"/>
                <w:szCs w:val="20"/>
              </w:rPr>
              <w:t>3.47</w:t>
            </w:r>
          </w:p>
        </w:tc>
        <w:tc>
          <w:tcPr>
            <w:tcW w:w="2263" w:type="dxa"/>
            <w:vAlign w:val="center"/>
          </w:tcPr>
          <w:p w14:paraId="11BA0775" w14:textId="2AF498F5" w:rsidR="006C0110" w:rsidRPr="006C0110" w:rsidRDefault="006C0110" w:rsidP="006C0110">
            <w:pPr>
              <w:jc w:val="center"/>
              <w:rPr>
                <w:rFonts w:ascii="Arial" w:hAnsi="Arial" w:cs="Arial"/>
                <w:sz w:val="20"/>
                <w:szCs w:val="20"/>
              </w:rPr>
            </w:pPr>
            <w:r w:rsidRPr="00915411">
              <w:rPr>
                <w:rFonts w:ascii="Arial" w:hAnsi="Arial" w:cs="Arial"/>
                <w:sz w:val="20"/>
                <w:szCs w:val="20"/>
              </w:rPr>
              <w:t>High</w:t>
            </w:r>
          </w:p>
        </w:tc>
      </w:tr>
      <w:tr w:rsidR="006C0110" w:rsidRPr="007E5C64" w14:paraId="6B4267CB" w14:textId="77777777" w:rsidTr="00A74B37">
        <w:trPr>
          <w:trHeight w:val="305"/>
        </w:trPr>
        <w:tc>
          <w:tcPr>
            <w:tcW w:w="4312" w:type="dxa"/>
            <w:vAlign w:val="center"/>
          </w:tcPr>
          <w:p w14:paraId="6C024A2C" w14:textId="0E36739E" w:rsidR="006C0110" w:rsidRPr="00947E63" w:rsidRDefault="006C0110" w:rsidP="006C0110">
            <w:pPr>
              <w:rPr>
                <w:rFonts w:ascii="Arial" w:eastAsia="Calibri" w:hAnsi="Arial" w:cs="Arial"/>
                <w:b/>
                <w:bCs/>
                <w:sz w:val="20"/>
                <w:szCs w:val="20"/>
              </w:rPr>
            </w:pPr>
            <w:r w:rsidRPr="00915411">
              <w:rPr>
                <w:rFonts w:ascii="Arial" w:hAnsi="Arial" w:cs="Arial"/>
                <w:b/>
                <w:bCs/>
                <w:sz w:val="20"/>
                <w:szCs w:val="20"/>
              </w:rPr>
              <w:t>Overall</w:t>
            </w:r>
          </w:p>
        </w:tc>
        <w:tc>
          <w:tcPr>
            <w:tcW w:w="911" w:type="dxa"/>
            <w:gridSpan w:val="2"/>
            <w:vAlign w:val="center"/>
          </w:tcPr>
          <w:p w14:paraId="2EE47C36" w14:textId="079CDEEB" w:rsidR="006C0110" w:rsidRPr="00947E63" w:rsidRDefault="006C0110" w:rsidP="006C0110">
            <w:pPr>
              <w:jc w:val="center"/>
              <w:rPr>
                <w:rFonts w:ascii="Arial" w:hAnsi="Arial" w:cs="Arial"/>
                <w:b/>
                <w:bCs/>
                <w:sz w:val="20"/>
                <w:szCs w:val="20"/>
              </w:rPr>
            </w:pPr>
            <w:r w:rsidRPr="00915411">
              <w:rPr>
                <w:rFonts w:ascii="Arial" w:hAnsi="Arial" w:cs="Arial"/>
                <w:b/>
                <w:bCs/>
                <w:sz w:val="20"/>
                <w:szCs w:val="20"/>
              </w:rPr>
              <w:t>0.49</w:t>
            </w:r>
          </w:p>
        </w:tc>
        <w:tc>
          <w:tcPr>
            <w:tcW w:w="1008" w:type="dxa"/>
            <w:vAlign w:val="center"/>
          </w:tcPr>
          <w:p w14:paraId="0E7DF1C5" w14:textId="06CBAAB4" w:rsidR="006C0110" w:rsidRPr="00947E63" w:rsidRDefault="006C0110" w:rsidP="006C0110">
            <w:pPr>
              <w:jc w:val="center"/>
              <w:rPr>
                <w:rFonts w:ascii="Arial" w:hAnsi="Arial" w:cs="Arial"/>
                <w:b/>
                <w:bCs/>
                <w:sz w:val="20"/>
                <w:szCs w:val="20"/>
              </w:rPr>
            </w:pPr>
            <w:r w:rsidRPr="00915411">
              <w:rPr>
                <w:rFonts w:ascii="Arial" w:hAnsi="Arial" w:cs="Arial"/>
                <w:b/>
                <w:bCs/>
                <w:sz w:val="20"/>
                <w:szCs w:val="20"/>
              </w:rPr>
              <w:t>3.36</w:t>
            </w:r>
          </w:p>
        </w:tc>
        <w:tc>
          <w:tcPr>
            <w:tcW w:w="2294" w:type="dxa"/>
            <w:gridSpan w:val="3"/>
            <w:vAlign w:val="center"/>
          </w:tcPr>
          <w:p w14:paraId="10B0D75B" w14:textId="63EBF36E" w:rsidR="006C0110" w:rsidRPr="00947E63" w:rsidRDefault="006C0110" w:rsidP="006C0110">
            <w:pPr>
              <w:jc w:val="center"/>
              <w:rPr>
                <w:rFonts w:ascii="Arial" w:hAnsi="Arial" w:cs="Arial"/>
                <w:b/>
                <w:bCs/>
                <w:sz w:val="20"/>
                <w:szCs w:val="20"/>
              </w:rPr>
            </w:pPr>
            <w:r w:rsidRPr="00915411">
              <w:rPr>
                <w:rFonts w:ascii="Arial" w:hAnsi="Arial" w:cs="Arial"/>
                <w:b/>
                <w:bCs/>
                <w:sz w:val="20"/>
                <w:szCs w:val="20"/>
              </w:rPr>
              <w:t>High</w:t>
            </w:r>
          </w:p>
        </w:tc>
      </w:tr>
    </w:tbl>
    <w:p w14:paraId="684686C3" w14:textId="77777777" w:rsidR="00A574C3" w:rsidRPr="007E5C64" w:rsidRDefault="00A574C3">
      <w:pPr>
        <w:jc w:val="both"/>
        <w:rPr>
          <w:rFonts w:ascii="Arial" w:hAnsi="Arial" w:cs="Arial"/>
          <w:b/>
          <w:iCs/>
          <w:sz w:val="20"/>
          <w:szCs w:val="20"/>
        </w:rPr>
      </w:pPr>
    </w:p>
    <w:p w14:paraId="21ED3F61" w14:textId="47C96E25" w:rsidR="0073677C" w:rsidRPr="007E5C64" w:rsidRDefault="0073677C" w:rsidP="0073677C">
      <w:pPr>
        <w:jc w:val="both"/>
        <w:rPr>
          <w:rFonts w:ascii="Arial" w:hAnsi="Arial" w:cs="Arial"/>
          <w:sz w:val="20"/>
          <w:szCs w:val="20"/>
        </w:rPr>
      </w:pPr>
    </w:p>
    <w:p w14:paraId="50664C49" w14:textId="77777777" w:rsidR="00947E63" w:rsidRPr="00947E63" w:rsidRDefault="00947E63" w:rsidP="00947E63">
      <w:pPr>
        <w:jc w:val="both"/>
        <w:rPr>
          <w:rFonts w:ascii="Arial" w:hAnsi="Arial" w:cs="Arial"/>
          <w:sz w:val="20"/>
          <w:szCs w:val="20"/>
        </w:rPr>
      </w:pPr>
      <w:r w:rsidRPr="00947E63">
        <w:rPr>
          <w:rFonts w:ascii="Arial" w:hAnsi="Arial" w:cs="Arial"/>
          <w:sz w:val="20"/>
          <w:szCs w:val="20"/>
        </w:rPr>
        <w:t>Presented in Table 2 is the summary of the domains in the level of creating community teaching among teachers in public elementary schools, including supportive, instruction, preventive, and responsive practices. Among the four domains, the highest mean was recorded in the supportive domain at 3.79, followed by instruction at 3.62 and responsive at 3.47. The preventive domain had the lowest mean of 3.29, which is described as “moderate.” Despite this, the overall mean of 3.36 is interpreted as “high,” indicating that public elementary school teachers frequently implement community teaching practices across most domains.</w:t>
      </w:r>
    </w:p>
    <w:p w14:paraId="7F897843" w14:textId="77777777" w:rsidR="00947E63" w:rsidRPr="00947E63" w:rsidRDefault="00947E63" w:rsidP="00947E63">
      <w:pPr>
        <w:jc w:val="both"/>
        <w:rPr>
          <w:rFonts w:ascii="Arial" w:hAnsi="Arial" w:cs="Arial"/>
          <w:sz w:val="20"/>
          <w:szCs w:val="20"/>
        </w:rPr>
      </w:pPr>
    </w:p>
    <w:p w14:paraId="57D7AA2F" w14:textId="77777777" w:rsidR="00947E63" w:rsidRPr="00947E63" w:rsidRDefault="00947E63" w:rsidP="00947E63">
      <w:pPr>
        <w:jc w:val="both"/>
        <w:rPr>
          <w:rFonts w:ascii="Arial" w:hAnsi="Arial" w:cs="Arial"/>
          <w:sz w:val="20"/>
          <w:szCs w:val="20"/>
        </w:rPr>
      </w:pPr>
      <w:r w:rsidRPr="00947E63">
        <w:rPr>
          <w:rFonts w:ascii="Arial" w:hAnsi="Arial" w:cs="Arial"/>
          <w:sz w:val="20"/>
          <w:szCs w:val="20"/>
        </w:rPr>
        <w:t>The overall standard deviation of 0.49 shows a moderate spread of responses around the mean, suggesting that teachers share similar perspectives and behaviors in fostering community within their classrooms. The high scores in the supportive, instructional, and responsive domains demonstrate a strong commitment to nurturing inclusive and caring relationships with students. However, the moderate score in the preventive domain suggests an opportunity for further development in implementing proactive strategies to address potential challenges in classroom communities.</w:t>
      </w:r>
    </w:p>
    <w:p w14:paraId="07A8B30E" w14:textId="77777777" w:rsidR="00947E63" w:rsidRPr="00947E63" w:rsidRDefault="00947E63" w:rsidP="00947E63">
      <w:pPr>
        <w:jc w:val="both"/>
        <w:rPr>
          <w:rFonts w:ascii="Arial" w:hAnsi="Arial" w:cs="Arial"/>
          <w:sz w:val="20"/>
          <w:szCs w:val="20"/>
        </w:rPr>
      </w:pPr>
    </w:p>
    <w:p w14:paraId="5591BBD8" w14:textId="2743E328" w:rsidR="00D815DA" w:rsidRPr="007E5C64" w:rsidRDefault="00947E63" w:rsidP="00947E63">
      <w:pPr>
        <w:jc w:val="both"/>
        <w:rPr>
          <w:rFonts w:ascii="Arial" w:hAnsi="Arial" w:cs="Arial"/>
          <w:sz w:val="20"/>
          <w:szCs w:val="20"/>
        </w:rPr>
      </w:pPr>
      <w:r w:rsidRPr="00947E63">
        <w:rPr>
          <w:rFonts w:ascii="Arial" w:hAnsi="Arial" w:cs="Arial"/>
          <w:sz w:val="20"/>
          <w:szCs w:val="20"/>
        </w:rPr>
        <w:t xml:space="preserve">This finding is consistent with the research of </w:t>
      </w:r>
      <w:r w:rsidR="00430496" w:rsidRPr="00430496">
        <w:rPr>
          <w:rFonts w:ascii="Arial" w:hAnsi="Arial" w:cs="Arial"/>
          <w:sz w:val="20"/>
          <w:szCs w:val="20"/>
        </w:rPr>
        <w:t xml:space="preserve">Finkelstein </w:t>
      </w:r>
      <w:r w:rsidR="00430496">
        <w:rPr>
          <w:rFonts w:ascii="Arial" w:hAnsi="Arial" w:cs="Arial"/>
          <w:sz w:val="20"/>
          <w:szCs w:val="20"/>
        </w:rPr>
        <w:t xml:space="preserve">et al. </w:t>
      </w:r>
      <w:r w:rsidRPr="00947E63">
        <w:rPr>
          <w:rFonts w:ascii="Arial" w:hAnsi="Arial" w:cs="Arial"/>
          <w:sz w:val="20"/>
          <w:szCs w:val="20"/>
        </w:rPr>
        <w:t>(</w:t>
      </w:r>
      <w:r w:rsidR="00430496">
        <w:rPr>
          <w:rFonts w:ascii="Arial" w:hAnsi="Arial" w:cs="Arial"/>
          <w:sz w:val="20"/>
          <w:szCs w:val="20"/>
        </w:rPr>
        <w:t>2021</w:t>
      </w:r>
      <w:r w:rsidRPr="00947E63">
        <w:rPr>
          <w:rFonts w:ascii="Arial" w:hAnsi="Arial" w:cs="Arial"/>
          <w:sz w:val="20"/>
          <w:szCs w:val="20"/>
        </w:rPr>
        <w:t xml:space="preserve">), who emphasized that creating a strong classroom community enhances students’ academic success and socio-emotional well-being. </w:t>
      </w:r>
      <w:r w:rsidR="00430496" w:rsidRPr="00430496">
        <w:rPr>
          <w:rFonts w:ascii="Arial" w:hAnsi="Arial" w:cs="Arial"/>
          <w:sz w:val="20"/>
          <w:szCs w:val="20"/>
        </w:rPr>
        <w:t xml:space="preserve">Brodie </w:t>
      </w:r>
      <w:r w:rsidRPr="00947E63">
        <w:rPr>
          <w:rFonts w:ascii="Arial" w:hAnsi="Arial" w:cs="Arial"/>
          <w:sz w:val="20"/>
          <w:szCs w:val="20"/>
        </w:rPr>
        <w:t>(</w:t>
      </w:r>
      <w:r w:rsidR="00430496">
        <w:rPr>
          <w:rFonts w:ascii="Arial" w:hAnsi="Arial" w:cs="Arial"/>
          <w:sz w:val="20"/>
          <w:szCs w:val="20"/>
        </w:rPr>
        <w:t>2021</w:t>
      </w:r>
      <w:r w:rsidRPr="00947E63">
        <w:rPr>
          <w:rFonts w:ascii="Arial" w:hAnsi="Arial" w:cs="Arial"/>
          <w:sz w:val="20"/>
          <w:szCs w:val="20"/>
        </w:rPr>
        <w:t xml:space="preserve">) also noted that supportive teacher-student interactions and collaborative instruction contribute significantly to building a sense of belonging and shared responsibility among learners. Additionally, </w:t>
      </w:r>
      <w:r w:rsidR="00430496" w:rsidRPr="00430496">
        <w:rPr>
          <w:rFonts w:ascii="Arial" w:hAnsi="Arial" w:cs="Arial"/>
          <w:sz w:val="20"/>
          <w:szCs w:val="20"/>
        </w:rPr>
        <w:t xml:space="preserve">de Carvalho-Filho </w:t>
      </w:r>
      <w:r w:rsidR="00430496">
        <w:rPr>
          <w:rFonts w:ascii="Arial" w:hAnsi="Arial" w:cs="Arial"/>
          <w:sz w:val="20"/>
          <w:szCs w:val="20"/>
        </w:rPr>
        <w:t xml:space="preserve"> et al. </w:t>
      </w:r>
      <w:r w:rsidRPr="00947E63">
        <w:rPr>
          <w:rFonts w:ascii="Arial" w:hAnsi="Arial" w:cs="Arial"/>
          <w:sz w:val="20"/>
          <w:szCs w:val="20"/>
        </w:rPr>
        <w:t>(</w:t>
      </w:r>
      <w:r w:rsidR="00430496">
        <w:rPr>
          <w:rFonts w:ascii="Arial" w:hAnsi="Arial" w:cs="Arial"/>
          <w:sz w:val="20"/>
          <w:szCs w:val="20"/>
        </w:rPr>
        <w:t>2020</w:t>
      </w:r>
      <w:r w:rsidRPr="00947E63">
        <w:rPr>
          <w:rFonts w:ascii="Arial" w:hAnsi="Arial" w:cs="Arial"/>
          <w:sz w:val="20"/>
          <w:szCs w:val="20"/>
        </w:rPr>
        <w:t>) highlighted the importance of preventive measures such as classroom routines and behavior contracts in sustaining a safe and collaborative environment.</w:t>
      </w:r>
    </w:p>
    <w:p w14:paraId="5759009B" w14:textId="10FB9871" w:rsidR="00D815DA" w:rsidRPr="007E5C64" w:rsidRDefault="00D815DA" w:rsidP="00D815DA">
      <w:pPr>
        <w:jc w:val="both"/>
        <w:rPr>
          <w:rFonts w:ascii="Arial" w:hAnsi="Arial" w:cs="Arial"/>
          <w:sz w:val="20"/>
          <w:szCs w:val="20"/>
        </w:rPr>
      </w:pPr>
    </w:p>
    <w:p w14:paraId="1F13EE89" w14:textId="77777777" w:rsidR="00D815DA" w:rsidRPr="007E5C64" w:rsidRDefault="00D815DA" w:rsidP="00D815DA">
      <w:pPr>
        <w:jc w:val="both"/>
        <w:rPr>
          <w:rFonts w:ascii="Arial" w:hAnsi="Arial" w:cs="Arial"/>
          <w:sz w:val="20"/>
          <w:szCs w:val="20"/>
        </w:rPr>
      </w:pPr>
    </w:p>
    <w:p w14:paraId="30567870" w14:textId="6AC53E6B" w:rsidR="00D815DA" w:rsidRDefault="00781D5E" w:rsidP="00F600DB">
      <w:pPr>
        <w:jc w:val="both"/>
        <w:rPr>
          <w:rFonts w:ascii="Arial" w:hAnsi="Arial" w:cs="Arial"/>
          <w:b/>
          <w:bCs/>
          <w:iCs/>
          <w:sz w:val="20"/>
          <w:szCs w:val="20"/>
        </w:rPr>
      </w:pPr>
      <w:r w:rsidRPr="007E5C64">
        <w:rPr>
          <w:rFonts w:ascii="Arial" w:hAnsi="Arial" w:cs="Arial"/>
          <w:b/>
          <w:bCs/>
          <w:iCs/>
          <w:sz w:val="20"/>
          <w:szCs w:val="20"/>
        </w:rPr>
        <w:t xml:space="preserve">3.3 </w:t>
      </w:r>
      <w:r w:rsidR="00C548AC" w:rsidRPr="00C548AC">
        <w:rPr>
          <w:rFonts w:ascii="Arial" w:hAnsi="Arial" w:cs="Arial"/>
          <w:b/>
          <w:bCs/>
          <w:iCs/>
          <w:sz w:val="20"/>
          <w:szCs w:val="20"/>
        </w:rPr>
        <w:t>Significant Relationship between Attractive Classroom Organization and Creating Community Teaching among Teachers in Public Elementary Schools</w:t>
      </w:r>
    </w:p>
    <w:p w14:paraId="02CFFC94" w14:textId="77777777" w:rsidR="00C548AC" w:rsidRPr="007E5C64" w:rsidRDefault="00C548AC" w:rsidP="00F600DB">
      <w:pPr>
        <w:jc w:val="both"/>
        <w:rPr>
          <w:rFonts w:ascii="Arial" w:hAnsi="Arial" w:cs="Arial"/>
          <w:iCs/>
          <w:sz w:val="20"/>
          <w:szCs w:val="20"/>
        </w:rPr>
      </w:pPr>
    </w:p>
    <w:p w14:paraId="3E38AC03" w14:textId="57B4FB9E" w:rsidR="00D815DA" w:rsidRPr="007E5C64" w:rsidRDefault="00180859" w:rsidP="00F927B2">
      <w:pPr>
        <w:jc w:val="both"/>
        <w:rPr>
          <w:rFonts w:ascii="Arial" w:hAnsi="Arial" w:cs="Arial"/>
          <w:i/>
          <w:sz w:val="20"/>
          <w:szCs w:val="20"/>
        </w:rPr>
      </w:pPr>
      <w:r w:rsidRPr="007E5C64">
        <w:rPr>
          <w:rFonts w:ascii="Arial" w:hAnsi="Arial" w:cs="Arial"/>
          <w:iCs/>
          <w:sz w:val="20"/>
          <w:szCs w:val="20"/>
        </w:rPr>
        <w:t>Table 3</w:t>
      </w:r>
      <w:r w:rsidR="00781D5E" w:rsidRPr="007E5C64">
        <w:rPr>
          <w:rFonts w:ascii="Arial" w:hAnsi="Arial" w:cs="Arial"/>
          <w:iCs/>
          <w:sz w:val="20"/>
          <w:szCs w:val="20"/>
        </w:rPr>
        <w:t>.</w:t>
      </w:r>
      <w:r w:rsidRPr="007E5C64">
        <w:rPr>
          <w:rFonts w:ascii="Arial" w:hAnsi="Arial" w:cs="Arial"/>
          <w:iCs/>
          <w:sz w:val="20"/>
          <w:szCs w:val="20"/>
        </w:rPr>
        <w:t xml:space="preserve">  </w:t>
      </w:r>
      <w:r w:rsidR="00C548AC" w:rsidRPr="00C548AC">
        <w:rPr>
          <w:rFonts w:ascii="Arial" w:hAnsi="Arial" w:cs="Arial"/>
          <w:i/>
          <w:sz w:val="20"/>
          <w:szCs w:val="20"/>
        </w:rPr>
        <w:t>Significant Relationship between Attractive Classroom Organization and Creating Community Teaching among Teachers in Public Elementary Schools</w:t>
      </w:r>
    </w:p>
    <w:p w14:paraId="3580D37C" w14:textId="77777777" w:rsidR="00017E5D" w:rsidRPr="007E5C64"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45"/>
        <w:gridCol w:w="735"/>
        <w:gridCol w:w="735"/>
        <w:gridCol w:w="735"/>
        <w:gridCol w:w="1586"/>
        <w:gridCol w:w="846"/>
        <w:gridCol w:w="1167"/>
      </w:tblGrid>
      <w:tr w:rsidR="00D815DA" w:rsidRPr="007E5C64" w14:paraId="3A18DD2E" w14:textId="77777777" w:rsidTr="008D0509">
        <w:trPr>
          <w:trHeight w:val="790"/>
        </w:trPr>
        <w:tc>
          <w:tcPr>
            <w:tcW w:w="1559" w:type="dxa"/>
            <w:tcBorders>
              <w:top w:val="single" w:sz="4" w:space="0" w:color="auto"/>
              <w:bottom w:val="single" w:sz="4" w:space="0" w:color="auto"/>
            </w:tcBorders>
          </w:tcPr>
          <w:p w14:paraId="7CD69310"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lastRenderedPageBreak/>
              <w:t>Variables</w:t>
            </w:r>
          </w:p>
        </w:tc>
        <w:tc>
          <w:tcPr>
            <w:tcW w:w="845" w:type="dxa"/>
            <w:tcBorders>
              <w:top w:val="single" w:sz="4" w:space="0" w:color="auto"/>
              <w:bottom w:val="single" w:sz="4" w:space="0" w:color="auto"/>
            </w:tcBorders>
          </w:tcPr>
          <w:p w14:paraId="4ED4CFDD"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Mean</w:t>
            </w:r>
          </w:p>
        </w:tc>
        <w:tc>
          <w:tcPr>
            <w:tcW w:w="735" w:type="dxa"/>
            <w:tcBorders>
              <w:top w:val="single" w:sz="4" w:space="0" w:color="auto"/>
              <w:bottom w:val="single" w:sz="4" w:space="0" w:color="auto"/>
            </w:tcBorders>
          </w:tcPr>
          <w:p w14:paraId="55371F49"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SD</w:t>
            </w:r>
          </w:p>
        </w:tc>
        <w:tc>
          <w:tcPr>
            <w:tcW w:w="735" w:type="dxa"/>
            <w:tcBorders>
              <w:top w:val="single" w:sz="4" w:space="0" w:color="auto"/>
              <w:bottom w:val="single" w:sz="4" w:space="0" w:color="auto"/>
            </w:tcBorders>
          </w:tcPr>
          <w:p w14:paraId="3EB810BB"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R</w:t>
            </w:r>
          </w:p>
        </w:tc>
        <w:tc>
          <w:tcPr>
            <w:tcW w:w="735" w:type="dxa"/>
            <w:tcBorders>
              <w:top w:val="single" w:sz="4" w:space="0" w:color="auto"/>
              <w:bottom w:val="single" w:sz="4" w:space="0" w:color="auto"/>
            </w:tcBorders>
          </w:tcPr>
          <w:p w14:paraId="1C389331" w14:textId="14AA575E" w:rsidR="00D815DA" w:rsidRPr="007E5C64" w:rsidRDefault="00D815DA" w:rsidP="00D815DA">
            <w:pPr>
              <w:shd w:val="clear" w:color="auto" w:fill="FFFFFF"/>
              <w:spacing w:after="120"/>
              <w:jc w:val="center"/>
              <w:outlineLvl w:val="0"/>
              <w:rPr>
                <w:rFonts w:ascii="Arial" w:hAnsi="Arial"/>
                <w:b/>
                <w:bCs/>
                <w:kern w:val="36"/>
                <w:sz w:val="20"/>
                <w:szCs w:val="20"/>
              </w:rPr>
            </w:pPr>
            <w:r w:rsidRPr="007E5C64">
              <w:rPr>
                <w:rFonts w:ascii="Arial" w:hAnsi="Arial"/>
                <w:b/>
                <w:bCs/>
                <w:kern w:val="36"/>
                <w:sz w:val="20"/>
                <w:szCs w:val="20"/>
              </w:rPr>
              <w:t>R²</w:t>
            </w:r>
          </w:p>
        </w:tc>
        <w:tc>
          <w:tcPr>
            <w:tcW w:w="1586" w:type="dxa"/>
            <w:tcBorders>
              <w:top w:val="single" w:sz="4" w:space="0" w:color="auto"/>
              <w:bottom w:val="single" w:sz="4" w:space="0" w:color="auto"/>
            </w:tcBorders>
          </w:tcPr>
          <w:p w14:paraId="41737786"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Degree of Relationship</w:t>
            </w:r>
          </w:p>
        </w:tc>
        <w:tc>
          <w:tcPr>
            <w:tcW w:w="846" w:type="dxa"/>
            <w:tcBorders>
              <w:top w:val="single" w:sz="4" w:space="0" w:color="auto"/>
              <w:bottom w:val="single" w:sz="4" w:space="0" w:color="auto"/>
            </w:tcBorders>
          </w:tcPr>
          <w:p w14:paraId="05BD166A"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p-value</w:t>
            </w:r>
          </w:p>
        </w:tc>
        <w:tc>
          <w:tcPr>
            <w:tcW w:w="1167" w:type="dxa"/>
            <w:tcBorders>
              <w:top w:val="single" w:sz="4" w:space="0" w:color="auto"/>
              <w:bottom w:val="single" w:sz="4" w:space="0" w:color="auto"/>
            </w:tcBorders>
          </w:tcPr>
          <w:p w14:paraId="4211A5F7"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Decision</w:t>
            </w:r>
          </w:p>
        </w:tc>
      </w:tr>
      <w:tr w:rsidR="003C0907" w:rsidRPr="007E5C64" w14:paraId="50E32557" w14:textId="77777777" w:rsidTr="00603BC1">
        <w:trPr>
          <w:trHeight w:val="967"/>
        </w:trPr>
        <w:tc>
          <w:tcPr>
            <w:tcW w:w="1559" w:type="dxa"/>
            <w:tcBorders>
              <w:top w:val="single" w:sz="4" w:space="0" w:color="auto"/>
            </w:tcBorders>
            <w:vAlign w:val="center"/>
          </w:tcPr>
          <w:p w14:paraId="66EA0F7E" w14:textId="3FCE1821"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Attractive Classroom Organization</w:t>
            </w:r>
          </w:p>
        </w:tc>
        <w:tc>
          <w:tcPr>
            <w:tcW w:w="845" w:type="dxa"/>
            <w:tcBorders>
              <w:top w:val="single" w:sz="4" w:space="0" w:color="auto"/>
            </w:tcBorders>
            <w:vAlign w:val="center"/>
          </w:tcPr>
          <w:p w14:paraId="3C613030" w14:textId="3A519017"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3.76</w:t>
            </w:r>
          </w:p>
        </w:tc>
        <w:tc>
          <w:tcPr>
            <w:tcW w:w="735" w:type="dxa"/>
            <w:tcBorders>
              <w:top w:val="single" w:sz="4" w:space="0" w:color="auto"/>
            </w:tcBorders>
            <w:vAlign w:val="center"/>
          </w:tcPr>
          <w:p w14:paraId="77826BFD" w14:textId="4A1E18CE"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0.49</w:t>
            </w:r>
          </w:p>
        </w:tc>
        <w:tc>
          <w:tcPr>
            <w:tcW w:w="735" w:type="dxa"/>
            <w:tcBorders>
              <w:top w:val="single" w:sz="4" w:space="0" w:color="auto"/>
            </w:tcBorders>
            <w:vAlign w:val="center"/>
          </w:tcPr>
          <w:p w14:paraId="6175BED8"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tcBorders>
              <w:top w:val="single" w:sz="4" w:space="0" w:color="auto"/>
            </w:tcBorders>
            <w:vAlign w:val="center"/>
          </w:tcPr>
          <w:p w14:paraId="7D276112"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586" w:type="dxa"/>
            <w:tcBorders>
              <w:top w:val="single" w:sz="4" w:space="0" w:color="auto"/>
            </w:tcBorders>
            <w:vAlign w:val="center"/>
          </w:tcPr>
          <w:p w14:paraId="6AC3F25D"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846" w:type="dxa"/>
            <w:tcBorders>
              <w:top w:val="single" w:sz="4" w:space="0" w:color="auto"/>
            </w:tcBorders>
            <w:vAlign w:val="center"/>
          </w:tcPr>
          <w:p w14:paraId="7A35B951"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167" w:type="dxa"/>
            <w:tcBorders>
              <w:top w:val="single" w:sz="4" w:space="0" w:color="auto"/>
            </w:tcBorders>
            <w:vAlign w:val="center"/>
          </w:tcPr>
          <w:p w14:paraId="7A1348F7"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r>
      <w:tr w:rsidR="003C0907" w:rsidRPr="007E5C64" w14:paraId="61744C56" w14:textId="77777777" w:rsidTr="00603BC1">
        <w:trPr>
          <w:trHeight w:val="652"/>
        </w:trPr>
        <w:tc>
          <w:tcPr>
            <w:tcW w:w="1559" w:type="dxa"/>
            <w:vAlign w:val="center"/>
          </w:tcPr>
          <w:p w14:paraId="351C4CF4" w14:textId="77777777" w:rsidR="003C0907" w:rsidRPr="003C0907" w:rsidRDefault="003C0907" w:rsidP="003C0907">
            <w:pPr>
              <w:widowControl w:val="0"/>
              <w:autoSpaceDE w:val="0"/>
              <w:autoSpaceDN w:val="0"/>
              <w:jc w:val="center"/>
              <w:rPr>
                <w:rFonts w:ascii="Arial" w:eastAsia="Arial" w:hAnsi="Arial" w:cs="Arial"/>
                <w:sz w:val="20"/>
                <w:szCs w:val="20"/>
              </w:rPr>
            </w:pPr>
          </w:p>
        </w:tc>
        <w:tc>
          <w:tcPr>
            <w:tcW w:w="845" w:type="dxa"/>
            <w:vAlign w:val="center"/>
          </w:tcPr>
          <w:p w14:paraId="19C0F805"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1AF7A751"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29DA9D8D" w14:textId="48FC2B28"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0.58</w:t>
            </w:r>
          </w:p>
        </w:tc>
        <w:tc>
          <w:tcPr>
            <w:tcW w:w="735" w:type="dxa"/>
            <w:vAlign w:val="center"/>
          </w:tcPr>
          <w:p w14:paraId="42DAFCDE" w14:textId="4CDFBC40"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0.34</w:t>
            </w:r>
          </w:p>
        </w:tc>
        <w:tc>
          <w:tcPr>
            <w:tcW w:w="1586" w:type="dxa"/>
            <w:vAlign w:val="center"/>
          </w:tcPr>
          <w:p w14:paraId="6623B7E6" w14:textId="49D74CA3" w:rsidR="003C0907" w:rsidRPr="000414F8" w:rsidRDefault="000414F8" w:rsidP="003C0907">
            <w:pPr>
              <w:widowControl w:val="0"/>
              <w:autoSpaceDE w:val="0"/>
              <w:autoSpaceDN w:val="0"/>
              <w:spacing w:line="480" w:lineRule="auto"/>
              <w:jc w:val="center"/>
              <w:rPr>
                <w:rFonts w:ascii="Arial" w:eastAsia="Arial" w:hAnsi="Arial" w:cs="Arial"/>
                <w:sz w:val="20"/>
                <w:szCs w:val="20"/>
                <w:highlight w:val="yellow"/>
              </w:rPr>
            </w:pPr>
            <w:r w:rsidRPr="000414F8">
              <w:rPr>
                <w:rFonts w:ascii="Arial" w:hAnsi="Arial" w:cs="Arial"/>
                <w:sz w:val="20"/>
                <w:szCs w:val="20"/>
                <w:highlight w:val="yellow"/>
              </w:rPr>
              <w:t>Moderate</w:t>
            </w:r>
          </w:p>
        </w:tc>
        <w:tc>
          <w:tcPr>
            <w:tcW w:w="846" w:type="dxa"/>
            <w:vAlign w:val="center"/>
          </w:tcPr>
          <w:p w14:paraId="0352D7F0" w14:textId="16C85E9A" w:rsidR="003C0907" w:rsidRPr="000414F8" w:rsidRDefault="003C0907" w:rsidP="003C0907">
            <w:pPr>
              <w:widowControl w:val="0"/>
              <w:autoSpaceDE w:val="0"/>
              <w:autoSpaceDN w:val="0"/>
              <w:spacing w:line="480" w:lineRule="auto"/>
              <w:jc w:val="center"/>
              <w:rPr>
                <w:rFonts w:ascii="Arial" w:eastAsia="Arial" w:hAnsi="Arial" w:cs="Arial"/>
                <w:sz w:val="20"/>
                <w:szCs w:val="20"/>
                <w:highlight w:val="yellow"/>
              </w:rPr>
            </w:pPr>
            <w:r w:rsidRPr="000414F8">
              <w:rPr>
                <w:rFonts w:ascii="Arial" w:hAnsi="Arial" w:cs="Arial"/>
                <w:sz w:val="20"/>
                <w:szCs w:val="20"/>
                <w:highlight w:val="yellow"/>
              </w:rPr>
              <w:t>0.000</w:t>
            </w:r>
          </w:p>
        </w:tc>
        <w:tc>
          <w:tcPr>
            <w:tcW w:w="1167" w:type="dxa"/>
            <w:vAlign w:val="center"/>
          </w:tcPr>
          <w:p w14:paraId="1C32BC73" w14:textId="39BFD583"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Reject Ho</w:t>
            </w:r>
            <w:r w:rsidRPr="00915411">
              <w:rPr>
                <w:rFonts w:ascii="Cambria Math" w:hAnsi="Cambria Math" w:cs="Cambria Math"/>
                <w:sz w:val="20"/>
                <w:szCs w:val="20"/>
              </w:rPr>
              <w:t>₁</w:t>
            </w:r>
          </w:p>
        </w:tc>
      </w:tr>
      <w:tr w:rsidR="003C0907" w:rsidRPr="007E5C64" w14:paraId="670EDBF1" w14:textId="77777777" w:rsidTr="00603BC1">
        <w:trPr>
          <w:trHeight w:val="632"/>
        </w:trPr>
        <w:tc>
          <w:tcPr>
            <w:tcW w:w="1559" w:type="dxa"/>
            <w:vAlign w:val="center"/>
          </w:tcPr>
          <w:p w14:paraId="45A177CD" w14:textId="2739E59B"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Creating Community Teaching</w:t>
            </w:r>
          </w:p>
        </w:tc>
        <w:tc>
          <w:tcPr>
            <w:tcW w:w="845" w:type="dxa"/>
            <w:vAlign w:val="center"/>
          </w:tcPr>
          <w:p w14:paraId="5E7DD747" w14:textId="34DCF4CF"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3.36</w:t>
            </w:r>
          </w:p>
        </w:tc>
        <w:tc>
          <w:tcPr>
            <w:tcW w:w="735" w:type="dxa"/>
            <w:vAlign w:val="center"/>
          </w:tcPr>
          <w:p w14:paraId="1CB89689" w14:textId="29D1F2A7"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0.49</w:t>
            </w:r>
          </w:p>
        </w:tc>
        <w:tc>
          <w:tcPr>
            <w:tcW w:w="735" w:type="dxa"/>
            <w:vAlign w:val="center"/>
          </w:tcPr>
          <w:p w14:paraId="7073D424"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269E6922"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586" w:type="dxa"/>
            <w:vAlign w:val="center"/>
          </w:tcPr>
          <w:p w14:paraId="2634012A"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846" w:type="dxa"/>
            <w:vAlign w:val="center"/>
          </w:tcPr>
          <w:p w14:paraId="341D6A7F"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167" w:type="dxa"/>
            <w:vAlign w:val="center"/>
          </w:tcPr>
          <w:p w14:paraId="678B537D"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r>
    </w:tbl>
    <w:p w14:paraId="1BDBE2B2" w14:textId="77777777" w:rsidR="00717F2E" w:rsidRPr="007E5C64" w:rsidRDefault="00717F2E">
      <w:pPr>
        <w:jc w:val="both"/>
        <w:rPr>
          <w:rFonts w:ascii="Arial" w:hAnsi="Arial" w:cs="Arial"/>
          <w:sz w:val="20"/>
          <w:szCs w:val="20"/>
        </w:rPr>
      </w:pPr>
    </w:p>
    <w:p w14:paraId="1A076955" w14:textId="69A3B3F8" w:rsidR="003C0907" w:rsidRPr="003C0907" w:rsidRDefault="003C0907" w:rsidP="003C0907">
      <w:pPr>
        <w:jc w:val="both"/>
        <w:rPr>
          <w:rFonts w:ascii="Arial" w:hAnsi="Arial" w:cs="Arial"/>
          <w:sz w:val="20"/>
          <w:szCs w:val="20"/>
        </w:rPr>
      </w:pPr>
      <w:r w:rsidRPr="003C0907">
        <w:rPr>
          <w:rFonts w:ascii="Arial" w:hAnsi="Arial" w:cs="Arial"/>
          <w:sz w:val="20"/>
          <w:szCs w:val="20"/>
        </w:rPr>
        <w:t xml:space="preserve">Presented in Table 3 is the correlation analysis between attractive classroom organization and creating community teaching among teachers in public elementary schools. The relationship between these two variables yielded a correlation coefficient (R) of 0.58 and a p-value of 0.000, which is lower than the 0.05 level of significance. This indicates a </w:t>
      </w:r>
      <w:r w:rsidR="000414F8" w:rsidRPr="000414F8">
        <w:rPr>
          <w:rFonts w:ascii="Arial" w:hAnsi="Arial" w:cs="Arial"/>
          <w:sz w:val="20"/>
          <w:szCs w:val="20"/>
          <w:highlight w:val="yellow"/>
        </w:rPr>
        <w:t>moderate</w:t>
      </w:r>
      <w:r w:rsidRPr="003C0907">
        <w:rPr>
          <w:rFonts w:ascii="Arial" w:hAnsi="Arial" w:cs="Arial"/>
          <w:sz w:val="20"/>
          <w:szCs w:val="20"/>
        </w:rPr>
        <w:t xml:space="preserve"> and statistically significant positive relationship between attractive classroom organization and creating community teaching. The R² value of 0.34 implies that 34% of the variation in creating community teaching can be explained by the degree of attractive classroom organization. Since the p-value is less than 0.05, the null hypothesis (Ho</w:t>
      </w:r>
      <w:r w:rsidRPr="003C0907">
        <w:rPr>
          <w:rFonts w:ascii="Cambria Math" w:hAnsi="Cambria Math" w:cs="Cambria Math"/>
          <w:sz w:val="20"/>
          <w:szCs w:val="20"/>
        </w:rPr>
        <w:t>₁</w:t>
      </w:r>
      <w:r w:rsidRPr="003C0907">
        <w:rPr>
          <w:rFonts w:ascii="Arial" w:hAnsi="Arial" w:cs="Arial"/>
          <w:sz w:val="20"/>
          <w:szCs w:val="20"/>
        </w:rPr>
        <w:t>) is rejected, confirming that attractive classroom organization is significantly related to creating community teaching.</w:t>
      </w:r>
    </w:p>
    <w:p w14:paraId="2960AB89" w14:textId="77777777" w:rsidR="003C0907" w:rsidRPr="003C0907" w:rsidRDefault="003C0907" w:rsidP="003C0907">
      <w:pPr>
        <w:jc w:val="both"/>
        <w:rPr>
          <w:rFonts w:ascii="Arial" w:hAnsi="Arial" w:cs="Arial"/>
          <w:sz w:val="20"/>
          <w:szCs w:val="20"/>
        </w:rPr>
      </w:pPr>
    </w:p>
    <w:p w14:paraId="7CA16F72" w14:textId="77777777" w:rsidR="003C0907" w:rsidRPr="003C0907" w:rsidRDefault="003C0907" w:rsidP="003C0907">
      <w:pPr>
        <w:jc w:val="both"/>
        <w:rPr>
          <w:rFonts w:ascii="Arial" w:hAnsi="Arial" w:cs="Arial"/>
          <w:sz w:val="20"/>
          <w:szCs w:val="20"/>
        </w:rPr>
      </w:pPr>
      <w:r w:rsidRPr="003C0907">
        <w:rPr>
          <w:rFonts w:ascii="Arial" w:hAnsi="Arial" w:cs="Arial"/>
          <w:sz w:val="20"/>
          <w:szCs w:val="20"/>
        </w:rPr>
        <w:t>This finding suggests that when teachers implement attractive classroom organization characterized by conceptual clarity, sensitivity to learners, responsiveness to needs, and a willingness to take instructional risks, they are more likely to foster a sense of community in their classrooms. The presence of well-organized, inclusive, and student-centered learning environments promotes stronger teacher-student relationships, meaningful instruction, and proactive behavior management—key components of creating community teaching.</w:t>
      </w:r>
    </w:p>
    <w:p w14:paraId="583D6FF5" w14:textId="77777777" w:rsidR="003C0907" w:rsidRPr="003C0907" w:rsidRDefault="003C0907" w:rsidP="003C0907">
      <w:pPr>
        <w:jc w:val="both"/>
        <w:rPr>
          <w:rFonts w:ascii="Arial" w:hAnsi="Arial" w:cs="Arial"/>
          <w:sz w:val="20"/>
          <w:szCs w:val="20"/>
        </w:rPr>
      </w:pPr>
    </w:p>
    <w:p w14:paraId="79180C0F" w14:textId="5070F725" w:rsidR="00D82866" w:rsidRPr="007E5C64" w:rsidRDefault="003C0907" w:rsidP="003C0907">
      <w:pPr>
        <w:jc w:val="both"/>
        <w:rPr>
          <w:rFonts w:ascii="Arial" w:hAnsi="Arial" w:cs="Arial"/>
          <w:sz w:val="20"/>
          <w:szCs w:val="20"/>
        </w:rPr>
      </w:pPr>
      <w:r w:rsidRPr="003C0907">
        <w:rPr>
          <w:rFonts w:ascii="Arial" w:hAnsi="Arial" w:cs="Arial"/>
          <w:sz w:val="20"/>
          <w:szCs w:val="20"/>
        </w:rPr>
        <w:t xml:space="preserve">This finding is supported by the study of </w:t>
      </w:r>
      <w:r w:rsidR="00430496" w:rsidRPr="00430496">
        <w:rPr>
          <w:rFonts w:ascii="Arial" w:hAnsi="Arial" w:cs="Arial"/>
          <w:sz w:val="20"/>
          <w:szCs w:val="20"/>
        </w:rPr>
        <w:t xml:space="preserve">Sosa Díaz </w:t>
      </w:r>
      <w:r w:rsidRPr="003C0907">
        <w:rPr>
          <w:rFonts w:ascii="Arial" w:hAnsi="Arial" w:cs="Arial"/>
          <w:sz w:val="20"/>
          <w:szCs w:val="20"/>
        </w:rPr>
        <w:t xml:space="preserve">et al. (2021), who asserted that classroom organization plays a crucial role in building positive classroom communities by reducing anxiety, clarifying expectations, and facilitating student participation. Similarly, </w:t>
      </w:r>
      <w:r w:rsidR="00283BED" w:rsidRPr="00283BED">
        <w:rPr>
          <w:rFonts w:ascii="Arial" w:hAnsi="Arial" w:cs="Arial"/>
          <w:sz w:val="20"/>
          <w:szCs w:val="20"/>
        </w:rPr>
        <w:t xml:space="preserve">Khalfaoui </w:t>
      </w:r>
      <w:r w:rsidR="00283BED">
        <w:rPr>
          <w:rFonts w:ascii="Arial" w:hAnsi="Arial" w:cs="Arial"/>
          <w:sz w:val="20"/>
          <w:szCs w:val="20"/>
        </w:rPr>
        <w:t xml:space="preserve">et al. </w:t>
      </w:r>
      <w:r w:rsidRPr="003C0907">
        <w:rPr>
          <w:rFonts w:ascii="Arial" w:hAnsi="Arial" w:cs="Arial"/>
          <w:sz w:val="20"/>
          <w:szCs w:val="20"/>
        </w:rPr>
        <w:t>(</w:t>
      </w:r>
      <w:r w:rsidR="00283BED">
        <w:rPr>
          <w:rFonts w:ascii="Arial" w:hAnsi="Arial" w:cs="Arial"/>
          <w:sz w:val="20"/>
          <w:szCs w:val="20"/>
        </w:rPr>
        <w:t>2021</w:t>
      </w:r>
      <w:r w:rsidRPr="003C0907">
        <w:rPr>
          <w:rFonts w:ascii="Arial" w:hAnsi="Arial" w:cs="Arial"/>
          <w:sz w:val="20"/>
          <w:szCs w:val="20"/>
        </w:rPr>
        <w:t xml:space="preserve">) found that when teachers are intentional in designing and maintaining engaging classroom settings, learners are more likely to feel connected, supported, and responsible for their own learning and behavior. Moreover, the work of </w:t>
      </w:r>
      <w:r w:rsidR="00283BED" w:rsidRPr="00283BED">
        <w:rPr>
          <w:rFonts w:ascii="Arial" w:hAnsi="Arial" w:cs="Arial"/>
          <w:sz w:val="20"/>
          <w:szCs w:val="20"/>
        </w:rPr>
        <w:t xml:space="preserve">Shan </w:t>
      </w:r>
      <w:r w:rsidRPr="003C0907">
        <w:rPr>
          <w:rFonts w:ascii="Arial" w:hAnsi="Arial" w:cs="Arial"/>
          <w:sz w:val="20"/>
          <w:szCs w:val="20"/>
        </w:rPr>
        <w:t>(</w:t>
      </w:r>
      <w:r w:rsidR="00283BED">
        <w:rPr>
          <w:rFonts w:ascii="Arial" w:hAnsi="Arial" w:cs="Arial"/>
          <w:sz w:val="20"/>
          <w:szCs w:val="20"/>
        </w:rPr>
        <w:t>2022</w:t>
      </w:r>
      <w:r w:rsidRPr="003C0907">
        <w:rPr>
          <w:rFonts w:ascii="Arial" w:hAnsi="Arial" w:cs="Arial"/>
          <w:sz w:val="20"/>
          <w:szCs w:val="20"/>
        </w:rPr>
        <w:t>) affirmed that classrooms that encourage teacher innovation, student expression, and risk-taking help cultivate trust, belonging, and collaboration—key foundations of community-oriented teaching.</w:t>
      </w:r>
    </w:p>
    <w:p w14:paraId="1FB8CBC1" w14:textId="2B0212CF" w:rsidR="00017E5D" w:rsidRPr="007E5C64" w:rsidRDefault="00017E5D" w:rsidP="00017E5D">
      <w:pPr>
        <w:jc w:val="both"/>
        <w:rPr>
          <w:rFonts w:ascii="Arial" w:hAnsi="Arial" w:cs="Arial"/>
          <w:sz w:val="20"/>
          <w:szCs w:val="20"/>
        </w:rPr>
      </w:pPr>
    </w:p>
    <w:p w14:paraId="0D8ABDEF" w14:textId="7A31D4CD" w:rsidR="00914755" w:rsidRPr="007E5C64" w:rsidRDefault="00665D1C" w:rsidP="00151F8F">
      <w:pPr>
        <w:jc w:val="both"/>
        <w:rPr>
          <w:rFonts w:ascii="Arial" w:hAnsi="Arial" w:cs="Arial"/>
          <w:b/>
          <w:bCs/>
          <w:iCs/>
          <w:sz w:val="20"/>
          <w:szCs w:val="20"/>
        </w:rPr>
      </w:pPr>
      <w:r w:rsidRPr="007E5C64">
        <w:rPr>
          <w:rFonts w:ascii="Arial" w:hAnsi="Arial" w:cs="Arial"/>
          <w:b/>
          <w:bCs/>
          <w:iCs/>
          <w:sz w:val="20"/>
          <w:szCs w:val="20"/>
        </w:rPr>
        <w:t>3.4</w:t>
      </w:r>
      <w:r w:rsidR="00271F07" w:rsidRPr="007E5C64">
        <w:rPr>
          <w:rFonts w:ascii="Arial" w:hAnsi="Arial" w:cs="Arial"/>
          <w:b/>
          <w:bCs/>
          <w:iCs/>
          <w:sz w:val="20"/>
          <w:szCs w:val="20"/>
        </w:rPr>
        <w:t>.</w:t>
      </w:r>
      <w:r w:rsidRPr="007E5C64">
        <w:rPr>
          <w:rFonts w:ascii="Arial" w:hAnsi="Arial" w:cs="Arial"/>
          <w:b/>
          <w:bCs/>
          <w:iCs/>
          <w:sz w:val="20"/>
          <w:szCs w:val="20"/>
        </w:rPr>
        <w:t xml:space="preserve"> </w:t>
      </w:r>
      <w:r w:rsidR="00F4246D" w:rsidRPr="00F4246D">
        <w:rPr>
          <w:rFonts w:ascii="Arial" w:hAnsi="Arial" w:cs="Arial"/>
          <w:b/>
          <w:bCs/>
          <w:iCs/>
          <w:sz w:val="20"/>
          <w:szCs w:val="20"/>
        </w:rPr>
        <w:t>Domains of Attractive Classroom Organization that Significantly Influence Creating Community Teaching among Teachers in Public Elementary Schools</w:t>
      </w:r>
    </w:p>
    <w:p w14:paraId="7568132A" w14:textId="77777777" w:rsidR="00914755" w:rsidRPr="007E5C64" w:rsidRDefault="00914755" w:rsidP="00665D1C">
      <w:pPr>
        <w:rPr>
          <w:rFonts w:ascii="Arial" w:hAnsi="Arial" w:cs="Arial"/>
          <w:b/>
          <w:bCs/>
          <w:iCs/>
          <w:sz w:val="20"/>
          <w:szCs w:val="20"/>
        </w:rPr>
      </w:pPr>
    </w:p>
    <w:p w14:paraId="461FD1E7" w14:textId="057B476D" w:rsidR="00DE3EAB" w:rsidRPr="007E5C64" w:rsidRDefault="00B364F1" w:rsidP="00D82866">
      <w:pPr>
        <w:jc w:val="both"/>
        <w:rPr>
          <w:rFonts w:ascii="Arial" w:eastAsia="Arial" w:hAnsi="Arial"/>
          <w:i/>
          <w:sz w:val="20"/>
          <w:szCs w:val="20"/>
        </w:rPr>
      </w:pPr>
      <w:r w:rsidRPr="007E5C64">
        <w:rPr>
          <w:rFonts w:ascii="Arial" w:eastAsia="Arial" w:hAnsi="Arial"/>
          <w:b/>
          <w:sz w:val="20"/>
          <w:szCs w:val="20"/>
        </w:rPr>
        <w:t xml:space="preserve">Table 4. </w:t>
      </w:r>
      <w:r w:rsidR="00F4246D" w:rsidRPr="00F4246D">
        <w:rPr>
          <w:rFonts w:ascii="Arial" w:eastAsia="Arial" w:hAnsi="Arial"/>
          <w:i/>
          <w:sz w:val="20"/>
          <w:szCs w:val="20"/>
        </w:rPr>
        <w:t>Domains of Attractive Classroom Organization that Significantly Influence Creating Community Teaching among Teachers in Public Elementary Schools</w:t>
      </w:r>
    </w:p>
    <w:p w14:paraId="42F31227" w14:textId="708EB413" w:rsidR="00187916" w:rsidRPr="007E5C64"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7E5C64" w14:paraId="7A1D9757" w14:textId="77777777" w:rsidTr="008D0509">
        <w:trPr>
          <w:trHeight w:val="324"/>
        </w:trPr>
        <w:tc>
          <w:tcPr>
            <w:tcW w:w="2100" w:type="dxa"/>
            <w:tcBorders>
              <w:top w:val="single" w:sz="4" w:space="0" w:color="auto"/>
              <w:bottom w:val="single" w:sz="4" w:space="0" w:color="auto"/>
            </w:tcBorders>
          </w:tcPr>
          <w:p w14:paraId="3B92D8AC" w14:textId="77777777" w:rsidR="00D815DA" w:rsidRPr="007E5C64" w:rsidRDefault="00D815DA" w:rsidP="00D815DA">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p-value</w:t>
            </w:r>
          </w:p>
        </w:tc>
        <w:tc>
          <w:tcPr>
            <w:tcW w:w="1447" w:type="dxa"/>
            <w:tcBorders>
              <w:top w:val="single" w:sz="4" w:space="0" w:color="auto"/>
              <w:bottom w:val="single" w:sz="4" w:space="0" w:color="auto"/>
            </w:tcBorders>
          </w:tcPr>
          <w:p w14:paraId="4750998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Decision</w:t>
            </w:r>
          </w:p>
        </w:tc>
      </w:tr>
      <w:tr w:rsidR="00E8043E" w:rsidRPr="007E5C64" w14:paraId="4CCCD09F" w14:textId="77777777" w:rsidTr="00090257">
        <w:trPr>
          <w:trHeight w:val="537"/>
        </w:trPr>
        <w:tc>
          <w:tcPr>
            <w:tcW w:w="2100" w:type="dxa"/>
            <w:tcBorders>
              <w:top w:val="single" w:sz="4" w:space="0" w:color="auto"/>
            </w:tcBorders>
            <w:vAlign w:val="center"/>
          </w:tcPr>
          <w:p w14:paraId="5C43EE9F" w14:textId="58C59627" w:rsidR="00E8043E" w:rsidRPr="00E8043E" w:rsidRDefault="00E8043E" w:rsidP="00E8043E">
            <w:pPr>
              <w:widowControl w:val="0"/>
              <w:autoSpaceDE w:val="0"/>
              <w:autoSpaceDN w:val="0"/>
              <w:rPr>
                <w:rFonts w:ascii="Arial" w:eastAsia="Arial" w:hAnsi="Arial" w:cs="Arial"/>
                <w:sz w:val="20"/>
                <w:szCs w:val="20"/>
              </w:rPr>
            </w:pPr>
            <w:r w:rsidRPr="00915411">
              <w:rPr>
                <w:rFonts w:ascii="Arial" w:hAnsi="Arial" w:cs="Arial"/>
                <w:sz w:val="20"/>
                <w:szCs w:val="20"/>
              </w:rPr>
              <w:t>Constant</w:t>
            </w:r>
          </w:p>
        </w:tc>
        <w:tc>
          <w:tcPr>
            <w:tcW w:w="640" w:type="dxa"/>
            <w:tcBorders>
              <w:top w:val="single" w:sz="4" w:space="0" w:color="auto"/>
            </w:tcBorders>
            <w:vAlign w:val="center"/>
          </w:tcPr>
          <w:p w14:paraId="35263A15" w14:textId="339D8B7B"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2.64</w:t>
            </w:r>
          </w:p>
        </w:tc>
        <w:tc>
          <w:tcPr>
            <w:tcW w:w="998" w:type="dxa"/>
            <w:tcBorders>
              <w:top w:val="single" w:sz="4" w:space="0" w:color="auto"/>
            </w:tcBorders>
            <w:vAlign w:val="center"/>
          </w:tcPr>
          <w:p w14:paraId="168EF5D2" w14:textId="2459FE8B"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0.67</w:t>
            </w:r>
          </w:p>
        </w:tc>
        <w:tc>
          <w:tcPr>
            <w:tcW w:w="1050" w:type="dxa"/>
            <w:tcBorders>
              <w:top w:val="single" w:sz="4" w:space="0" w:color="auto"/>
            </w:tcBorders>
            <w:vAlign w:val="center"/>
          </w:tcPr>
          <w:p w14:paraId="057949FE" w14:textId="77777777" w:rsidR="00E8043E" w:rsidRPr="00E8043E" w:rsidRDefault="00E8043E" w:rsidP="00E8043E">
            <w:pPr>
              <w:widowControl w:val="0"/>
              <w:autoSpaceDE w:val="0"/>
              <w:autoSpaceDN w:val="0"/>
              <w:spacing w:line="480" w:lineRule="auto"/>
              <w:jc w:val="center"/>
              <w:rPr>
                <w:rFonts w:ascii="Arial" w:eastAsia="Arial" w:hAnsi="Arial" w:cs="Arial"/>
                <w:sz w:val="20"/>
                <w:szCs w:val="20"/>
              </w:rPr>
            </w:pPr>
          </w:p>
        </w:tc>
        <w:tc>
          <w:tcPr>
            <w:tcW w:w="1019" w:type="dxa"/>
            <w:tcBorders>
              <w:top w:val="single" w:sz="4" w:space="0" w:color="auto"/>
            </w:tcBorders>
            <w:vAlign w:val="center"/>
          </w:tcPr>
          <w:p w14:paraId="19183A71" w14:textId="7307DC88"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6.70</w:t>
            </w:r>
          </w:p>
        </w:tc>
        <w:tc>
          <w:tcPr>
            <w:tcW w:w="1074" w:type="dxa"/>
            <w:tcBorders>
              <w:top w:val="single" w:sz="4" w:space="0" w:color="auto"/>
            </w:tcBorders>
            <w:vAlign w:val="center"/>
          </w:tcPr>
          <w:p w14:paraId="5186B81F" w14:textId="2D3C6BAE"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tcBorders>
              <w:top w:val="single" w:sz="4" w:space="0" w:color="auto"/>
            </w:tcBorders>
            <w:vAlign w:val="center"/>
          </w:tcPr>
          <w:p w14:paraId="38526A82" w14:textId="30466922"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35082B81" w14:textId="77777777" w:rsidTr="00090257">
        <w:trPr>
          <w:trHeight w:val="522"/>
        </w:trPr>
        <w:tc>
          <w:tcPr>
            <w:tcW w:w="2100" w:type="dxa"/>
            <w:vAlign w:val="center"/>
          </w:tcPr>
          <w:p w14:paraId="686C43F8" w14:textId="5352C6FC"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lastRenderedPageBreak/>
              <w:t>Concepts</w:t>
            </w:r>
          </w:p>
        </w:tc>
        <w:tc>
          <w:tcPr>
            <w:tcW w:w="640" w:type="dxa"/>
            <w:vAlign w:val="center"/>
          </w:tcPr>
          <w:p w14:paraId="1C7863A0" w14:textId="43C411F2"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0.71</w:t>
            </w:r>
          </w:p>
        </w:tc>
        <w:tc>
          <w:tcPr>
            <w:tcW w:w="998" w:type="dxa"/>
            <w:vAlign w:val="center"/>
          </w:tcPr>
          <w:p w14:paraId="5192C57E" w14:textId="69A86CF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0.59</w:t>
            </w:r>
          </w:p>
        </w:tc>
        <w:tc>
          <w:tcPr>
            <w:tcW w:w="1050" w:type="dxa"/>
            <w:vAlign w:val="center"/>
          </w:tcPr>
          <w:p w14:paraId="06AF60D9" w14:textId="54F584B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0.57</w:t>
            </w:r>
          </w:p>
        </w:tc>
        <w:tc>
          <w:tcPr>
            <w:tcW w:w="1019" w:type="dxa"/>
            <w:vAlign w:val="center"/>
          </w:tcPr>
          <w:p w14:paraId="112311CB" w14:textId="3E133D3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6.32</w:t>
            </w:r>
          </w:p>
        </w:tc>
        <w:tc>
          <w:tcPr>
            <w:tcW w:w="1074" w:type="dxa"/>
            <w:vAlign w:val="center"/>
          </w:tcPr>
          <w:p w14:paraId="096E4BA0" w14:textId="140DF816"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6757F969" w14:textId="65CA0B6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41B98FE8" w14:textId="77777777" w:rsidTr="00090257">
        <w:trPr>
          <w:trHeight w:val="568"/>
        </w:trPr>
        <w:tc>
          <w:tcPr>
            <w:tcW w:w="2100" w:type="dxa"/>
            <w:vAlign w:val="center"/>
          </w:tcPr>
          <w:p w14:paraId="1579BF18" w14:textId="1398DA31"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Sensitivity</w:t>
            </w:r>
          </w:p>
        </w:tc>
        <w:tc>
          <w:tcPr>
            <w:tcW w:w="640" w:type="dxa"/>
            <w:vAlign w:val="center"/>
          </w:tcPr>
          <w:p w14:paraId="7AA4BD47" w14:textId="4DD6D46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0.68</w:t>
            </w:r>
          </w:p>
        </w:tc>
        <w:tc>
          <w:tcPr>
            <w:tcW w:w="998" w:type="dxa"/>
            <w:vAlign w:val="center"/>
          </w:tcPr>
          <w:p w14:paraId="1CFE4A86" w14:textId="66A655CD"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0.56</w:t>
            </w:r>
          </w:p>
        </w:tc>
        <w:tc>
          <w:tcPr>
            <w:tcW w:w="1050" w:type="dxa"/>
            <w:vAlign w:val="center"/>
          </w:tcPr>
          <w:p w14:paraId="627DC8B9" w14:textId="44AA367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0.55</w:t>
            </w:r>
          </w:p>
        </w:tc>
        <w:tc>
          <w:tcPr>
            <w:tcW w:w="1019" w:type="dxa"/>
            <w:vAlign w:val="center"/>
          </w:tcPr>
          <w:p w14:paraId="0E8A5D71" w14:textId="3867CD3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6.15</w:t>
            </w:r>
          </w:p>
        </w:tc>
        <w:tc>
          <w:tcPr>
            <w:tcW w:w="1074" w:type="dxa"/>
            <w:vAlign w:val="center"/>
          </w:tcPr>
          <w:p w14:paraId="6D2F71AB" w14:textId="0B7EB56E"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5028A11C" w14:textId="66CED5D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0FC20CB7" w14:textId="77777777" w:rsidTr="00090257">
        <w:trPr>
          <w:trHeight w:val="522"/>
        </w:trPr>
        <w:tc>
          <w:tcPr>
            <w:tcW w:w="2100" w:type="dxa"/>
            <w:vAlign w:val="center"/>
          </w:tcPr>
          <w:p w14:paraId="06D27DDE" w14:textId="209BEC0B"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Needs</w:t>
            </w:r>
          </w:p>
        </w:tc>
        <w:tc>
          <w:tcPr>
            <w:tcW w:w="640" w:type="dxa"/>
            <w:vAlign w:val="center"/>
          </w:tcPr>
          <w:p w14:paraId="5433652B" w14:textId="605B24C7"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0.66</w:t>
            </w:r>
          </w:p>
        </w:tc>
        <w:tc>
          <w:tcPr>
            <w:tcW w:w="998" w:type="dxa"/>
            <w:vAlign w:val="center"/>
          </w:tcPr>
          <w:p w14:paraId="52BD1350" w14:textId="1DA219FD"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0.54</w:t>
            </w:r>
          </w:p>
        </w:tc>
        <w:tc>
          <w:tcPr>
            <w:tcW w:w="1050" w:type="dxa"/>
            <w:vAlign w:val="center"/>
          </w:tcPr>
          <w:p w14:paraId="3A9AC518" w14:textId="1B5E656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0.53</w:t>
            </w:r>
          </w:p>
        </w:tc>
        <w:tc>
          <w:tcPr>
            <w:tcW w:w="1019" w:type="dxa"/>
            <w:vAlign w:val="center"/>
          </w:tcPr>
          <w:p w14:paraId="5E880C2C" w14:textId="371134E1"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6.01</w:t>
            </w:r>
          </w:p>
        </w:tc>
        <w:tc>
          <w:tcPr>
            <w:tcW w:w="1074" w:type="dxa"/>
            <w:vAlign w:val="center"/>
          </w:tcPr>
          <w:p w14:paraId="2447E7C0" w14:textId="21D830A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75927C93" w14:textId="2023603B"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257A6252" w14:textId="77777777" w:rsidTr="00090257">
        <w:trPr>
          <w:trHeight w:val="522"/>
        </w:trPr>
        <w:tc>
          <w:tcPr>
            <w:tcW w:w="2100" w:type="dxa"/>
            <w:vAlign w:val="center"/>
          </w:tcPr>
          <w:p w14:paraId="226E7EF5" w14:textId="20A3619C"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Risk-taking</w:t>
            </w:r>
          </w:p>
        </w:tc>
        <w:tc>
          <w:tcPr>
            <w:tcW w:w="640" w:type="dxa"/>
            <w:vAlign w:val="center"/>
          </w:tcPr>
          <w:p w14:paraId="04093282" w14:textId="70D8E72A"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0.69</w:t>
            </w:r>
          </w:p>
        </w:tc>
        <w:tc>
          <w:tcPr>
            <w:tcW w:w="998" w:type="dxa"/>
            <w:vAlign w:val="center"/>
          </w:tcPr>
          <w:p w14:paraId="6FE34CDC" w14:textId="5FD11004"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0.58</w:t>
            </w:r>
          </w:p>
        </w:tc>
        <w:tc>
          <w:tcPr>
            <w:tcW w:w="1050" w:type="dxa"/>
            <w:vAlign w:val="center"/>
          </w:tcPr>
          <w:p w14:paraId="7E08977E" w14:textId="73303856"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0.56</w:t>
            </w:r>
          </w:p>
        </w:tc>
        <w:tc>
          <w:tcPr>
            <w:tcW w:w="1019" w:type="dxa"/>
            <w:vAlign w:val="center"/>
          </w:tcPr>
          <w:p w14:paraId="2AA8BB7B" w14:textId="1BC1E94E"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6.24</w:t>
            </w:r>
          </w:p>
        </w:tc>
        <w:tc>
          <w:tcPr>
            <w:tcW w:w="1074" w:type="dxa"/>
            <w:vAlign w:val="center"/>
          </w:tcPr>
          <w:p w14:paraId="262D1728" w14:textId="5D6380B5"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2ADE1939" w14:textId="3191BEA2"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D815DA" w:rsidRPr="007E5C64" w14:paraId="0606F920" w14:textId="77777777" w:rsidTr="00D815DA">
        <w:trPr>
          <w:trHeight w:val="522"/>
        </w:trPr>
        <w:tc>
          <w:tcPr>
            <w:tcW w:w="8328" w:type="dxa"/>
            <w:gridSpan w:val="7"/>
          </w:tcPr>
          <w:p w14:paraId="349CFF9D" w14:textId="77777777" w:rsidR="00D815DA" w:rsidRPr="007E5C64" w:rsidRDefault="00D815DA" w:rsidP="00D815DA">
            <w:pPr>
              <w:widowControl w:val="0"/>
              <w:autoSpaceDE w:val="0"/>
              <w:autoSpaceDN w:val="0"/>
              <w:jc w:val="both"/>
              <w:rPr>
                <w:rFonts w:ascii="Arial" w:eastAsia="Arial" w:hAnsi="Arial"/>
                <w:b/>
                <w:bCs/>
                <w:sz w:val="20"/>
                <w:szCs w:val="20"/>
                <w:u w:val="single"/>
              </w:rPr>
            </w:pPr>
            <w:r w:rsidRPr="007E5C64">
              <w:rPr>
                <w:rFonts w:ascii="Arial" w:eastAsia="Arial" w:hAnsi="Arial"/>
                <w:b/>
                <w:bCs/>
                <w:sz w:val="20"/>
                <w:szCs w:val="20"/>
                <w:u w:val="single"/>
              </w:rPr>
              <w:t>Regression Model</w:t>
            </w:r>
          </w:p>
        </w:tc>
      </w:tr>
      <w:tr w:rsidR="00D815DA" w:rsidRPr="007E5C64" w14:paraId="32DA9C71" w14:textId="77777777" w:rsidTr="00D815DA">
        <w:trPr>
          <w:trHeight w:val="522"/>
        </w:trPr>
        <w:tc>
          <w:tcPr>
            <w:tcW w:w="8328" w:type="dxa"/>
            <w:gridSpan w:val="7"/>
          </w:tcPr>
          <w:p w14:paraId="548FFC9B" w14:textId="5DDF433E" w:rsidR="00D815DA" w:rsidRPr="007E5C64" w:rsidRDefault="00E8043E" w:rsidP="00D815DA">
            <w:pPr>
              <w:widowControl w:val="0"/>
              <w:autoSpaceDE w:val="0"/>
              <w:autoSpaceDN w:val="0"/>
              <w:jc w:val="both"/>
              <w:rPr>
                <w:rFonts w:ascii="Arial" w:eastAsia="Arial" w:hAnsi="Arial"/>
                <w:sz w:val="20"/>
                <w:szCs w:val="20"/>
              </w:rPr>
            </w:pPr>
            <w:r w:rsidRPr="00E8043E">
              <w:rPr>
                <w:rFonts w:ascii="Arial" w:eastAsia="Arial" w:hAnsi="Arial"/>
                <w:sz w:val="20"/>
                <w:szCs w:val="20"/>
              </w:rPr>
              <w:t>Creating Community Teaching = 2.64 + 0.71 (Concepts) + 0.68 (Sensitivity) + 0.66 (Needs) + 0.69 (Risk-taking)</w:t>
            </w:r>
          </w:p>
        </w:tc>
      </w:tr>
      <w:tr w:rsidR="00D815DA" w:rsidRPr="007E5C64" w14:paraId="13736F31" w14:textId="77777777" w:rsidTr="00D815DA">
        <w:trPr>
          <w:trHeight w:val="80"/>
        </w:trPr>
        <w:tc>
          <w:tcPr>
            <w:tcW w:w="8328" w:type="dxa"/>
            <w:gridSpan w:val="7"/>
          </w:tcPr>
          <w:p w14:paraId="07B059D8" w14:textId="67E1AAA2" w:rsidR="00D815DA" w:rsidRPr="007E5C64" w:rsidRDefault="00DD6A4E" w:rsidP="00D815DA">
            <w:pPr>
              <w:widowControl w:val="0"/>
              <w:autoSpaceDE w:val="0"/>
              <w:autoSpaceDN w:val="0"/>
              <w:jc w:val="both"/>
              <w:rPr>
                <w:rFonts w:ascii="Arial" w:eastAsia="Arial" w:hAnsi="Arial"/>
                <w:sz w:val="20"/>
                <w:szCs w:val="20"/>
              </w:rPr>
            </w:pPr>
            <w:r w:rsidRPr="00DD6A4E">
              <w:rPr>
                <w:rFonts w:ascii="Arial" w:eastAsia="Arial" w:hAnsi="Arial"/>
                <w:sz w:val="20"/>
                <w:szCs w:val="20"/>
              </w:rPr>
              <w:t>R = 0.62; R² = 0.384; F = 66.12; p-value = 0.000</w:t>
            </w:r>
          </w:p>
        </w:tc>
      </w:tr>
    </w:tbl>
    <w:p w14:paraId="5CB07BF5" w14:textId="7437914E" w:rsidR="00D82866" w:rsidRPr="007E5C64" w:rsidRDefault="00D82866" w:rsidP="00D82866">
      <w:pPr>
        <w:jc w:val="both"/>
        <w:rPr>
          <w:rFonts w:ascii="Arial" w:hAnsi="Arial" w:cs="Arial"/>
          <w:sz w:val="20"/>
          <w:szCs w:val="20"/>
        </w:rPr>
      </w:pPr>
    </w:p>
    <w:p w14:paraId="6FDD1CAA" w14:textId="77777777" w:rsidR="00717F2E" w:rsidRPr="007E5C64" w:rsidRDefault="00717F2E">
      <w:pPr>
        <w:jc w:val="both"/>
        <w:rPr>
          <w:rFonts w:ascii="Arial" w:hAnsi="Arial" w:cs="Arial"/>
          <w:sz w:val="20"/>
          <w:szCs w:val="20"/>
        </w:rPr>
      </w:pPr>
    </w:p>
    <w:p w14:paraId="0453BBC9" w14:textId="3E8AEAF7" w:rsidR="00517AFC" w:rsidRPr="00517AFC" w:rsidRDefault="00517AFC" w:rsidP="00517AFC">
      <w:pPr>
        <w:pStyle w:val="Body"/>
        <w:rPr>
          <w:rFonts w:ascii="Arial" w:hAnsi="Arial" w:cs="Arial"/>
        </w:rPr>
      </w:pPr>
      <w:r w:rsidRPr="00517AFC">
        <w:rPr>
          <w:rFonts w:ascii="Arial" w:hAnsi="Arial" w:cs="Arial"/>
        </w:rPr>
        <w:t>Presented in Table 4 is the regression analysis examining how the different domains of attractive classroom organization—concepts, sensitivity, needs, and risk-taking—significantly influence creating community teaching among teachers in public elementary schools. The regression model predicting community teaching is expressed as:</w:t>
      </w:r>
      <w:r>
        <w:rPr>
          <w:rFonts w:ascii="Arial" w:hAnsi="Arial" w:cs="Arial"/>
        </w:rPr>
        <w:t xml:space="preserve"> </w:t>
      </w:r>
      <w:r w:rsidRPr="00517AFC">
        <w:rPr>
          <w:rFonts w:ascii="Arial" w:hAnsi="Arial" w:cs="Arial"/>
        </w:rPr>
        <w:t>Creating Community Teaching = 2.64 + 0.71 (Concepts) + 0.68 (Sensitivity) + 0.66 (Needs) + 0.69 (Risk-taking). The model accounts for 38.4% of the variation in creating community teaching, as indicated by the R² value of 0.384. The model is statistically significant, with an F-value of 66.12 and a p-value of 0.000, confirming that the domains of attractive classroom organization significantly influence the level of community teaching practiced by teachers.</w:t>
      </w:r>
    </w:p>
    <w:p w14:paraId="135E9784" w14:textId="626ED475" w:rsidR="00517AFC" w:rsidRPr="00517AFC" w:rsidRDefault="00517AFC" w:rsidP="00517AFC">
      <w:pPr>
        <w:pStyle w:val="Body"/>
        <w:rPr>
          <w:rFonts w:ascii="Arial" w:hAnsi="Arial" w:cs="Arial"/>
        </w:rPr>
      </w:pPr>
      <w:r w:rsidRPr="00517AFC">
        <w:rPr>
          <w:rFonts w:ascii="Arial" w:hAnsi="Arial" w:cs="Arial"/>
        </w:rPr>
        <w:t>These findings indicate that all four domains meaningfully contribute to building a sense of community in teaching practices. Among these, the concepts domain yielded the highest beta value, implying that when teachers use conceptually clear and engaging classroom setups, they are better able to build collaborative learning communities. Likewise, risk-taking and sensitivity contribute substantially by promoting openness, learner-centered responses, and emotional intelligence. The needs domain—focused on adapting classrooms to learners’ diverse needs—also enhances teachers' capacity to foster inclusive and community-driven instruction. These results emphasize the importance of designing classrooms that inspire participation, shared values, and interpersonal connection.</w:t>
      </w:r>
    </w:p>
    <w:p w14:paraId="20DD07F3" w14:textId="5FB9CA24" w:rsidR="00D815DA" w:rsidRPr="007E5C64" w:rsidRDefault="00517AFC" w:rsidP="00517AFC">
      <w:pPr>
        <w:pStyle w:val="Body"/>
        <w:rPr>
          <w:rFonts w:ascii="Arial" w:hAnsi="Arial" w:cs="Arial"/>
        </w:rPr>
      </w:pPr>
      <w:r w:rsidRPr="00517AFC">
        <w:rPr>
          <w:rFonts w:ascii="Arial" w:hAnsi="Arial" w:cs="Arial"/>
        </w:rPr>
        <w:t xml:space="preserve">This finding aligns with the study of </w:t>
      </w:r>
      <w:r w:rsidR="00283BED" w:rsidRPr="00283BED">
        <w:rPr>
          <w:rFonts w:ascii="Arial" w:hAnsi="Arial" w:cs="Arial"/>
        </w:rPr>
        <w:t xml:space="preserve">Zakariya </w:t>
      </w:r>
      <w:r w:rsidRPr="00517AFC">
        <w:rPr>
          <w:rFonts w:ascii="Arial" w:hAnsi="Arial" w:cs="Arial"/>
        </w:rPr>
        <w:t>(</w:t>
      </w:r>
      <w:r w:rsidR="00283BED">
        <w:rPr>
          <w:rFonts w:ascii="Arial" w:hAnsi="Arial" w:cs="Arial"/>
        </w:rPr>
        <w:t>2020</w:t>
      </w:r>
      <w:r w:rsidRPr="00517AFC">
        <w:rPr>
          <w:rFonts w:ascii="Arial" w:hAnsi="Arial" w:cs="Arial"/>
        </w:rPr>
        <w:t xml:space="preserve">), who found that when classroom environments are well-structured and conceptually rich, they encourage cooperative learning and community-based interactions. Similarly, </w:t>
      </w:r>
      <w:r w:rsidR="00283BED" w:rsidRPr="00283BED">
        <w:rPr>
          <w:rFonts w:ascii="Arial" w:hAnsi="Arial" w:cs="Arial"/>
        </w:rPr>
        <w:t xml:space="preserve">Blitz </w:t>
      </w:r>
      <w:r w:rsidRPr="00517AFC">
        <w:rPr>
          <w:rFonts w:ascii="Arial" w:hAnsi="Arial" w:cs="Arial"/>
        </w:rPr>
        <w:t>et al. (</w:t>
      </w:r>
      <w:r w:rsidR="00283BED">
        <w:rPr>
          <w:rFonts w:ascii="Arial" w:hAnsi="Arial" w:cs="Arial"/>
        </w:rPr>
        <w:t>2020</w:t>
      </w:r>
      <w:r w:rsidRPr="00517AFC">
        <w:rPr>
          <w:rFonts w:ascii="Arial" w:hAnsi="Arial" w:cs="Arial"/>
        </w:rPr>
        <w:t xml:space="preserve">) reported that classroom sensitivity and personalization are key to enabling teachers to form stronger bonds with their students and cultivate democratic classroom cultures. Furthermore, the study by </w:t>
      </w:r>
      <w:r w:rsidR="00283BED" w:rsidRPr="00283BED">
        <w:rPr>
          <w:rFonts w:ascii="Arial" w:hAnsi="Arial" w:cs="Arial"/>
        </w:rPr>
        <w:t xml:space="preserve">Wilson </w:t>
      </w:r>
      <w:r w:rsidR="00283BED">
        <w:rPr>
          <w:rFonts w:ascii="Arial" w:hAnsi="Arial" w:cs="Arial"/>
        </w:rPr>
        <w:t xml:space="preserve">et al. </w:t>
      </w:r>
      <w:r w:rsidRPr="00517AFC">
        <w:rPr>
          <w:rFonts w:ascii="Arial" w:hAnsi="Arial" w:cs="Arial"/>
        </w:rPr>
        <w:t>(</w:t>
      </w:r>
      <w:r w:rsidR="00283BED">
        <w:rPr>
          <w:rFonts w:ascii="Arial" w:hAnsi="Arial" w:cs="Arial"/>
        </w:rPr>
        <w:t>2020</w:t>
      </w:r>
      <w:r w:rsidRPr="00517AFC">
        <w:rPr>
          <w:rFonts w:ascii="Arial" w:hAnsi="Arial" w:cs="Arial"/>
        </w:rPr>
        <w:t>) highlighted that teachers who adopt risk-taking and learner-responsive approaches are more likely to build vibrant learning communities grounded in trust, relevance, and shared purpose.</w:t>
      </w:r>
    </w:p>
    <w:p w14:paraId="08FEB9C6" w14:textId="089D9801" w:rsidR="002039CD" w:rsidRPr="007E5C64" w:rsidRDefault="00180859" w:rsidP="00850E61">
      <w:pPr>
        <w:pStyle w:val="Body"/>
        <w:rPr>
          <w:rFonts w:ascii="Arial" w:hAnsi="Arial" w:cs="Arial"/>
          <w:b/>
          <w:bCs/>
        </w:rPr>
      </w:pPr>
      <w:r w:rsidRPr="007E5C64">
        <w:rPr>
          <w:rFonts w:ascii="Arial" w:hAnsi="Arial" w:cs="Arial"/>
          <w:b/>
          <w:bCs/>
        </w:rPr>
        <w:t xml:space="preserve">5. </w:t>
      </w:r>
      <w:r w:rsidR="00B364F1" w:rsidRPr="007E5C64">
        <w:rPr>
          <w:rFonts w:ascii="Arial" w:hAnsi="Arial" w:cs="Arial"/>
          <w:b/>
          <w:bCs/>
        </w:rPr>
        <w:t>CONCLUSIONS</w:t>
      </w:r>
    </w:p>
    <w:p w14:paraId="1F8EF9DC" w14:textId="32F71073"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lastRenderedPageBreak/>
        <w:t>Based on the findings of the study, the following conclusions were formulated:</w:t>
      </w:r>
    </w:p>
    <w:p w14:paraId="2BA3E6D2" w14:textId="5C603238"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Firstly, the level of attractive classroom organization among public elementary school teachers is often observed, with consistently high ratings across the domains of concepts, sensitivity, needs, and risk-taking. This indicates that teachers regularly create structured, engaging, and learner-centered environments that respond to students' diverse needs and encourage curiosity and exploration. Such classroom setups support cognitive clarity, emotional sensitivity, and openness to innovation. When these organizational domains are practiced, they significantly contribute to improving student engagement, classroom cohesion, and the overall learning experience.</w:t>
      </w:r>
    </w:p>
    <w:p w14:paraId="6831F912" w14:textId="0E383541"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Secondly, the level of creating community teaching among teachers is often observed. This reflects teachers’ consistent use of practices that build inclusive, respectful, and collaborative learning environments. Teachers who apply community-based teaching approaches foster shared responsibility, mutual respect, and social-emotional development among students. These practices enhance classroom relationships and encourage student participation, leading to enriched academic and interpersonal outcomes. The ability to create a strong classroom community is crucial for sustaining motivation, promoting equity, and supporting holistic student development.</w:t>
      </w:r>
    </w:p>
    <w:p w14:paraId="3BA30081" w14:textId="1D989BC3"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Thirdly, a significant relationship between attractive classroom organization and creating community teaching was observed. This suggests that when teachers structure their classrooms around clear concepts, sensitivity, responsiveness to needs, and openness to risk-taking, they are more likely to engage in community-oriented teaching practices. The significant and positive correlation underscores the foundational role of classroom organization in cultivating a sense of belonging and collaboration among students. Teachers who implement well-organized, responsive, and dynamic learning spaces are better positioned to nurture inclusive classroom communities that support both academic success and personal growth.</w:t>
      </w:r>
    </w:p>
    <w:p w14:paraId="73CE220D" w14:textId="77571D3E" w:rsidR="00850E61" w:rsidRPr="007E5C64" w:rsidRDefault="00DE767A" w:rsidP="00DE767A">
      <w:pPr>
        <w:pStyle w:val="ReferHead"/>
        <w:jc w:val="both"/>
        <w:rPr>
          <w:rFonts w:ascii="Arial" w:hAnsi="Arial" w:cs="Arial"/>
          <w:b w:val="0"/>
          <w:caps w:val="0"/>
          <w:sz w:val="20"/>
        </w:rPr>
      </w:pPr>
      <w:r w:rsidRPr="00DE767A">
        <w:rPr>
          <w:rFonts w:ascii="Arial" w:hAnsi="Arial" w:cs="Arial"/>
          <w:b w:val="0"/>
          <w:caps w:val="0"/>
          <w:sz w:val="20"/>
        </w:rPr>
        <w:t>Finally, the domains of attractive classroom organization significantly influence creating community teaching. Among these, concepts emerged as the strongest predictor, followed closely by risk-taking, sensitivity, and needs. This highlights the importance of designing classroom environments that are not only cognitively stimulating but also emotionally supportive and responsive to learner diversity. When teachers emphasize conceptual clarity, encourage exploration, and attend to students' needs and feelings, they enhance their capacity to build strong, value-driven classroom communities. These findings reinforce the idea that well-planned and thoughtful classroom organization is essential for fostering effective, inclusive, and community-centered teaching practices in elementary education.</w:t>
      </w:r>
    </w:p>
    <w:p w14:paraId="31EFD7C0" w14:textId="0BA42273" w:rsidR="009676BB" w:rsidRPr="007E5C64" w:rsidRDefault="009676BB" w:rsidP="009676BB">
      <w:pPr>
        <w:pStyle w:val="ReferHead"/>
        <w:spacing w:after="0"/>
        <w:jc w:val="both"/>
        <w:rPr>
          <w:rFonts w:ascii="Arial" w:hAnsi="Arial" w:cs="Arial"/>
          <w:b w:val="0"/>
          <w:caps w:val="0"/>
          <w:sz w:val="20"/>
        </w:rPr>
      </w:pPr>
    </w:p>
    <w:p w14:paraId="32CA4429" w14:textId="77777777" w:rsidR="009676BB" w:rsidRPr="007E5C64" w:rsidRDefault="009676BB" w:rsidP="009676BB">
      <w:pPr>
        <w:pStyle w:val="ReferHead"/>
        <w:spacing w:after="0"/>
        <w:jc w:val="both"/>
        <w:rPr>
          <w:rFonts w:ascii="Arial" w:hAnsi="Arial" w:cs="Arial"/>
          <w:b w:val="0"/>
          <w:caps w:val="0"/>
          <w:sz w:val="20"/>
        </w:rPr>
      </w:pPr>
    </w:p>
    <w:p w14:paraId="295DD41E" w14:textId="01F6025E" w:rsidR="006A0F34" w:rsidRPr="007E5C64" w:rsidRDefault="006A0F34" w:rsidP="006A0F34">
      <w:pPr>
        <w:pStyle w:val="Body"/>
        <w:rPr>
          <w:rFonts w:ascii="Arial" w:hAnsi="Arial" w:cs="Arial"/>
        </w:rPr>
      </w:pPr>
      <w:r w:rsidRPr="007E5C64">
        <w:rPr>
          <w:rFonts w:ascii="Arial" w:hAnsi="Arial" w:cs="Arial"/>
          <w:b/>
          <w:bCs/>
        </w:rPr>
        <w:t>6. RECOMMENDATIONS</w:t>
      </w:r>
    </w:p>
    <w:p w14:paraId="05405137" w14:textId="508DDB48"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and conclusions of this study, the following recommendations were proposed:</w:t>
      </w:r>
    </w:p>
    <w:p w14:paraId="463CE28A" w14:textId="0C963F1D"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 xml:space="preserve">For DepEd officials, it is recommended to institutionalize professional development programs that promote attractive classroom organization—particularly in the areas of conceptual clarity, sensitivity to learners, addressing diverse needs, and encouraging risk-taking. These elements should be integrated into national teaching standards, teacher performance appraisal systems, and in-service training curricula. DepEd may also consider crafting policies that embed community-oriented teaching approaches into pre-service education and </w:t>
      </w:r>
      <w:r w:rsidRPr="00340616">
        <w:rPr>
          <w:rFonts w:ascii="Arial" w:hAnsi="Arial" w:cs="Arial"/>
          <w:b w:val="0"/>
          <w:caps w:val="0"/>
          <w:sz w:val="20"/>
        </w:rPr>
        <w:lastRenderedPageBreak/>
        <w:t>continuing professional development, ensuring coherence between classroom organization and inclusive teaching practices. These efforts may enhance instructional quality and promote more student-centered learning environments across public elementary schools.</w:t>
      </w:r>
    </w:p>
    <w:p w14:paraId="265C8747" w14:textId="4795A7A7"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School administrators are encouraged to foster a school culture that supports well-structured and responsive classroom organization. They should provide structured training, coaching, and mentoring programs that reinforce the domains of concept development, learner sensitivity, responsiveness to needs, and healthy risk-taking. To enhance community teaching, administrators may initiate programs focused on collaborative learning, emotional literacy, and inclusive classroom practices. Facilitating team teaching, peer mentoring, and values-based instruction will further support the development of vibrant, respectful, and participatory classrooms.</w:t>
      </w:r>
    </w:p>
    <w:p w14:paraId="152530B1" w14:textId="1ED6784A"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For teachers, the study recommends active participation in professional learning communities that focus on effective classroom organization and community building. Teachers should engage in continuous reflection and seek feedback on how their classroom arrangements and instructional strategies influence student behavior and engagement. They are also encouraged to adopt community-oriented teaching practices that emphasize mutual respect, emotional connection, and inclusivity. By aligning their classroom routines with the principles of attractive organization and community creation, teachers can foster environments that are both academically enriching and emotionally safe.</w:t>
      </w:r>
    </w:p>
    <w:p w14:paraId="53E88C64" w14:textId="4EC9B9BC" w:rsidR="009676BB" w:rsidRPr="007E5C64" w:rsidRDefault="00340616" w:rsidP="00340616">
      <w:pPr>
        <w:pStyle w:val="ReferHead"/>
        <w:spacing w:after="0"/>
        <w:jc w:val="both"/>
        <w:rPr>
          <w:rFonts w:ascii="Arial" w:hAnsi="Arial" w:cs="Arial"/>
          <w:b w:val="0"/>
          <w:caps w:val="0"/>
          <w:sz w:val="20"/>
        </w:rPr>
      </w:pPr>
      <w:r w:rsidRPr="00340616">
        <w:rPr>
          <w:rFonts w:ascii="Arial" w:hAnsi="Arial" w:cs="Arial"/>
          <w:b w:val="0"/>
          <w:caps w:val="0"/>
          <w:sz w:val="20"/>
        </w:rPr>
        <w:t>Lastly, for future researchers, it is suggested to examine the effects of classroom organization and community teaching on broader educational outcomes such as student motivation, social-emotional learning, and school climate. Future studies may also explore the mediating role of teacher self-efficacy and student engagement in these relationships. Conducting qualitative or longitudinal research across various regions or educational contexts can provide more nuanced insights and inform context-specific policies to support effective teaching practices.</w:t>
      </w:r>
    </w:p>
    <w:p w14:paraId="48A21385" w14:textId="77777777" w:rsidR="008C1E2D" w:rsidRPr="007E5C64" w:rsidRDefault="008C1E2D" w:rsidP="008C1E2D">
      <w:pPr>
        <w:pStyle w:val="ReferHead"/>
        <w:spacing w:after="0"/>
        <w:jc w:val="both"/>
        <w:rPr>
          <w:rFonts w:ascii="Arial" w:hAnsi="Arial" w:cs="Arial"/>
          <w:b w:val="0"/>
          <w:caps w:val="0"/>
          <w:sz w:val="20"/>
        </w:rPr>
      </w:pPr>
    </w:p>
    <w:p w14:paraId="7242A187" w14:textId="77777777" w:rsidR="00717F2E" w:rsidRPr="007E5C64" w:rsidRDefault="00717F2E">
      <w:pPr>
        <w:pStyle w:val="ReferHead"/>
        <w:spacing w:after="0"/>
        <w:jc w:val="both"/>
        <w:rPr>
          <w:rFonts w:ascii="Arial" w:hAnsi="Arial" w:cs="Arial"/>
          <w:b w:val="0"/>
          <w:caps w:val="0"/>
          <w:sz w:val="20"/>
        </w:rPr>
      </w:pPr>
    </w:p>
    <w:p w14:paraId="013BA332" w14:textId="77777777" w:rsidR="00717F2E" w:rsidRPr="007E5C64" w:rsidRDefault="00180859">
      <w:pPr>
        <w:pStyle w:val="ReferHead"/>
        <w:spacing w:after="0"/>
        <w:jc w:val="both"/>
        <w:rPr>
          <w:rFonts w:ascii="Arial" w:hAnsi="Arial" w:cs="Arial"/>
          <w:bCs/>
          <w:sz w:val="20"/>
        </w:rPr>
      </w:pPr>
      <w:r w:rsidRPr="007E5C64">
        <w:rPr>
          <w:rFonts w:ascii="Arial" w:hAnsi="Arial" w:cs="Arial"/>
          <w:bCs/>
          <w:sz w:val="20"/>
        </w:rPr>
        <w:t>Consent (where ever applicable)</w:t>
      </w:r>
    </w:p>
    <w:p w14:paraId="67F05F0C" w14:textId="77777777" w:rsidR="00717F2E" w:rsidRPr="007E5C64" w:rsidRDefault="00717F2E">
      <w:pPr>
        <w:pStyle w:val="ReferHead"/>
        <w:spacing w:after="0"/>
        <w:jc w:val="both"/>
        <w:rPr>
          <w:rFonts w:ascii="Arial" w:hAnsi="Arial" w:cs="Arial"/>
          <w:bCs/>
          <w:sz w:val="20"/>
        </w:rPr>
      </w:pPr>
    </w:p>
    <w:p w14:paraId="15AE72A3" w14:textId="3C21402B" w:rsidR="00850E61" w:rsidRPr="007E5C64" w:rsidRDefault="00B35882" w:rsidP="00505231">
      <w:pPr>
        <w:pStyle w:val="ReferHead"/>
        <w:spacing w:after="0"/>
        <w:jc w:val="both"/>
        <w:rPr>
          <w:rFonts w:ascii="Arial" w:hAnsi="Arial" w:cs="Arial"/>
          <w:b w:val="0"/>
          <w:caps w:val="0"/>
          <w:sz w:val="20"/>
        </w:rPr>
      </w:pPr>
      <w:r w:rsidRPr="00B35882">
        <w:rPr>
          <w:rFonts w:ascii="Arial" w:hAnsi="Arial" w:cs="Arial"/>
          <w:b w:val="0"/>
          <w:caps w:val="0"/>
          <w:sz w:val="20"/>
        </w:rPr>
        <w:t xml:space="preserve">The conduct of this study strictly conformed to established ethical guidelines to uphold the rights, dignity, and well-being of all participants. Prior to initiating data collection, the researcher secured the necessary endorsements from institutional authorities, including approval from the Dean of the Graduate School and clearance from the duly authorized Ethics Review Committee. The research process followed the ethical framework outlined by </w:t>
      </w:r>
      <w:proofErr w:type="spellStart"/>
      <w:r w:rsidRPr="00B35882">
        <w:rPr>
          <w:rFonts w:ascii="Arial" w:hAnsi="Arial" w:cs="Arial"/>
          <w:b w:val="0"/>
          <w:caps w:val="0"/>
          <w:sz w:val="20"/>
        </w:rPr>
        <w:t>Pregoner</w:t>
      </w:r>
      <w:proofErr w:type="spellEnd"/>
      <w:r w:rsidRPr="00B35882">
        <w:rPr>
          <w:rFonts w:ascii="Arial" w:hAnsi="Arial" w:cs="Arial"/>
          <w:b w:val="0"/>
          <w:caps w:val="0"/>
          <w:sz w:val="20"/>
        </w:rPr>
        <w:t xml:space="preserve"> et al. (2025), in accordance with contemporary standards for educational research involving human subjects. Participation was entirely voluntary, with all participants fully informed about the study’s purpose, procedures, and their right to decline or withdraw at any point without consequence. Informed consent was obtained to confirm their understanding and agreement. No personal identifiers were recorded, and all data were treated with strict confidentiality to ensure anonymity. All collected information was used exclusively for academic purposes. These measures affirmed the ethical soundness, transparency, and integrity of the research process.</w:t>
      </w:r>
    </w:p>
    <w:p w14:paraId="7891B505" w14:textId="77777777" w:rsidR="00A50958" w:rsidRPr="007E5C64" w:rsidRDefault="00A50958" w:rsidP="00505231">
      <w:pPr>
        <w:pStyle w:val="ReferHead"/>
        <w:spacing w:after="0"/>
        <w:jc w:val="both"/>
        <w:rPr>
          <w:rFonts w:ascii="Arial" w:hAnsi="Arial" w:cs="Arial"/>
          <w:b w:val="0"/>
          <w:caps w:val="0"/>
          <w:sz w:val="20"/>
        </w:rPr>
      </w:pPr>
    </w:p>
    <w:p w14:paraId="2BC90047" w14:textId="77777777" w:rsidR="00CD4D57" w:rsidRPr="007E5C64" w:rsidRDefault="00CD4D57" w:rsidP="00CD4D57">
      <w:pPr>
        <w:pStyle w:val="ReferHead"/>
        <w:spacing w:after="0"/>
        <w:jc w:val="both"/>
        <w:rPr>
          <w:rFonts w:ascii="Arial" w:hAnsi="Arial" w:cs="Arial"/>
          <w:b w:val="0"/>
          <w:caps w:val="0"/>
          <w:sz w:val="20"/>
          <w:highlight w:val="yellow"/>
        </w:rPr>
      </w:pPr>
      <w:r w:rsidRPr="007E5C64">
        <w:rPr>
          <w:rFonts w:ascii="Arial" w:hAnsi="Arial" w:cs="Arial"/>
          <w:b w:val="0"/>
          <w:caps w:val="0"/>
          <w:sz w:val="20"/>
          <w:highlight w:val="yellow"/>
        </w:rPr>
        <w:t>Disclaimer (Artificial Intelligence)</w:t>
      </w:r>
    </w:p>
    <w:p w14:paraId="591C5FF6" w14:textId="77777777" w:rsidR="00CD4D57" w:rsidRPr="007E5C64" w:rsidRDefault="00CD4D57" w:rsidP="00CD4D57">
      <w:pPr>
        <w:pStyle w:val="ReferHead"/>
        <w:spacing w:after="0"/>
        <w:jc w:val="both"/>
        <w:rPr>
          <w:rFonts w:ascii="Arial" w:hAnsi="Arial" w:cs="Arial"/>
          <w:b w:val="0"/>
          <w:caps w:val="0"/>
          <w:sz w:val="20"/>
          <w:highlight w:val="yellow"/>
        </w:rPr>
      </w:pPr>
    </w:p>
    <w:p w14:paraId="309A34BD" w14:textId="77777777" w:rsidR="00CD4D57" w:rsidRPr="007E5C64" w:rsidRDefault="00CD4D57" w:rsidP="00CD4D57">
      <w:pPr>
        <w:pStyle w:val="ReferHead"/>
        <w:spacing w:after="0"/>
        <w:jc w:val="both"/>
        <w:rPr>
          <w:rFonts w:ascii="Arial" w:hAnsi="Arial" w:cs="Arial"/>
          <w:b w:val="0"/>
          <w:caps w:val="0"/>
          <w:sz w:val="20"/>
          <w:highlight w:val="yellow"/>
        </w:rPr>
      </w:pPr>
    </w:p>
    <w:p w14:paraId="26E5FE5E" w14:textId="77777777" w:rsidR="00CD4D57" w:rsidRPr="007E5C64" w:rsidRDefault="00CD4D57" w:rsidP="00CD4D57">
      <w:pPr>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7E5C64" w:rsidRDefault="00CD4D57" w:rsidP="00CD4D57">
      <w:pPr>
        <w:jc w:val="both"/>
        <w:rPr>
          <w:rFonts w:ascii="Arial" w:eastAsia="Calibri" w:hAnsi="Arial" w:cs="Arial"/>
          <w:kern w:val="2"/>
          <w:sz w:val="20"/>
          <w:szCs w:val="20"/>
          <w:highlight w:val="yellow"/>
        </w:rPr>
      </w:pPr>
    </w:p>
    <w:p w14:paraId="4B95E7D5" w14:textId="77777777" w:rsidR="00CD4D57" w:rsidRPr="007E5C64" w:rsidRDefault="00CD4D57" w:rsidP="00CD4D57">
      <w:pPr>
        <w:numPr>
          <w:ilvl w:val="0"/>
          <w:numId w:val="4"/>
        </w:numPr>
        <w:ind w:left="540"/>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lastRenderedPageBreak/>
        <w:t xml:space="preserve">Grammarly: Used for grammar and spellchecking, as well as suggestions for improving sentence structure and overall clarity. </w:t>
      </w:r>
    </w:p>
    <w:p w14:paraId="50EBBD08" w14:textId="77777777" w:rsidR="00CD4D57" w:rsidRPr="007E5C64" w:rsidRDefault="00CD4D57" w:rsidP="00CD4D57">
      <w:pPr>
        <w:numPr>
          <w:ilvl w:val="0"/>
          <w:numId w:val="4"/>
        </w:numPr>
        <w:ind w:left="540"/>
        <w:jc w:val="both"/>
        <w:rPr>
          <w:rFonts w:ascii="Arial" w:hAnsi="Arial" w:cs="Arial"/>
          <w:sz w:val="20"/>
          <w:szCs w:val="20"/>
          <w:highlight w:val="yellow"/>
        </w:rPr>
      </w:pPr>
      <w:proofErr w:type="spellStart"/>
      <w:r w:rsidRPr="007E5C64">
        <w:rPr>
          <w:rFonts w:ascii="Arial" w:eastAsia="Calibri" w:hAnsi="Arial" w:cs="Arial"/>
          <w:kern w:val="2"/>
          <w:sz w:val="20"/>
          <w:szCs w:val="20"/>
          <w:highlight w:val="yellow"/>
        </w:rPr>
        <w:t>Quillbot</w:t>
      </w:r>
      <w:proofErr w:type="spellEnd"/>
      <w:r w:rsidRPr="007E5C64">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7E5C64" w:rsidRDefault="00CD4D57" w:rsidP="00505231">
      <w:pPr>
        <w:pStyle w:val="ReferHead"/>
        <w:spacing w:after="0"/>
        <w:jc w:val="both"/>
        <w:rPr>
          <w:rFonts w:ascii="Arial" w:hAnsi="Arial" w:cs="Arial"/>
          <w:b w:val="0"/>
          <w:caps w:val="0"/>
          <w:sz w:val="20"/>
        </w:rPr>
      </w:pPr>
    </w:p>
    <w:p w14:paraId="3710B9F1" w14:textId="77777777" w:rsidR="00151F8F" w:rsidRPr="007E5C64" w:rsidRDefault="00151F8F" w:rsidP="00505231">
      <w:pPr>
        <w:pStyle w:val="ReferHead"/>
        <w:spacing w:after="0"/>
        <w:jc w:val="both"/>
        <w:rPr>
          <w:rFonts w:ascii="Arial" w:hAnsi="Arial" w:cs="Arial"/>
          <w:b w:val="0"/>
          <w:caps w:val="0"/>
          <w:sz w:val="20"/>
        </w:rPr>
      </w:pPr>
    </w:p>
    <w:p w14:paraId="0E59BDBB" w14:textId="1325B6B4" w:rsidR="007D2B80" w:rsidRPr="007E5C64" w:rsidRDefault="00180859" w:rsidP="007D2B80">
      <w:pPr>
        <w:pStyle w:val="ReferHead"/>
        <w:spacing w:after="0"/>
        <w:jc w:val="both"/>
        <w:rPr>
          <w:rFonts w:ascii="Arial" w:hAnsi="Arial" w:cs="Arial"/>
          <w:sz w:val="20"/>
        </w:rPr>
      </w:pPr>
      <w:r w:rsidRPr="007E5C64">
        <w:rPr>
          <w:rFonts w:ascii="Arial" w:hAnsi="Arial" w:cs="Arial"/>
          <w:sz w:val="20"/>
        </w:rPr>
        <w:t>References</w:t>
      </w:r>
    </w:p>
    <w:p w14:paraId="4B5A9F55" w14:textId="77777777" w:rsidR="007A52F2" w:rsidRPr="007A52F2" w:rsidRDefault="007A52F2" w:rsidP="00C63652">
      <w:pPr>
        <w:jc w:val="both"/>
        <w:rPr>
          <w:sz w:val="20"/>
          <w:szCs w:val="20"/>
        </w:rPr>
      </w:pPr>
    </w:p>
    <w:p w14:paraId="1A4553BD" w14:textId="77777777" w:rsidR="00C63652" w:rsidRPr="00C63652" w:rsidRDefault="00C63652" w:rsidP="00C63652">
      <w:pPr>
        <w:ind w:left="709" w:hanging="709"/>
        <w:jc w:val="both"/>
      </w:pPr>
    </w:p>
    <w:p w14:paraId="70AA2DA8"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Adhikari, N. P., Budhathoki, J. K., &amp; Adhikari, S. (2025). Student Motivation in the Classroom: Practical Techniques and Strategies. </w:t>
      </w:r>
      <w:r w:rsidRPr="00C63652">
        <w:rPr>
          <w:rFonts w:ascii="Arial" w:hAnsi="Arial" w:cs="Arial"/>
          <w:i/>
          <w:iCs/>
          <w:color w:val="222222"/>
          <w:sz w:val="20"/>
          <w:szCs w:val="20"/>
          <w:shd w:val="clear" w:color="auto" w:fill="FFFFFF"/>
        </w:rPr>
        <w:t>Cognition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7</w:t>
      </w:r>
      <w:r w:rsidRPr="00C63652">
        <w:rPr>
          <w:rFonts w:ascii="Arial" w:hAnsi="Arial" w:cs="Arial"/>
          <w:color w:val="222222"/>
          <w:sz w:val="20"/>
          <w:szCs w:val="20"/>
          <w:shd w:val="clear" w:color="auto" w:fill="FFFFFF"/>
        </w:rPr>
        <w:t xml:space="preserve">(1), 67-75. </w:t>
      </w:r>
      <w:hyperlink r:id="rId15" w:history="1">
        <w:r w:rsidRPr="00C63652">
          <w:rPr>
            <w:rFonts w:ascii="Arial" w:hAnsi="Arial" w:cs="Arial"/>
            <w:color w:val="1155CC"/>
            <w:sz w:val="20"/>
            <w:szCs w:val="20"/>
            <w:u w:val="single"/>
            <w:shd w:val="clear" w:color="auto" w:fill="FFFFFF"/>
          </w:rPr>
          <w:t>https://nepjol.info/index.php/cognition/article/view/74765</w:t>
        </w:r>
      </w:hyperlink>
    </w:p>
    <w:p w14:paraId="4BA6887B"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Alarcón, J. D., &amp; Bettez, S. C. (2021). Critical Community Building in Teacher Education: Rethinking Classroom Management. </w:t>
      </w:r>
      <w:r w:rsidRPr="00C63652">
        <w:rPr>
          <w:rFonts w:ascii="Arial" w:hAnsi="Arial" w:cs="Arial"/>
          <w:i/>
          <w:iCs/>
          <w:color w:val="222222"/>
          <w:sz w:val="20"/>
          <w:szCs w:val="20"/>
          <w:shd w:val="clear" w:color="auto" w:fill="FFFFFF"/>
        </w:rPr>
        <w:t>School Community Journal</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31</w:t>
      </w:r>
      <w:r w:rsidRPr="00C63652">
        <w:rPr>
          <w:rFonts w:ascii="Arial" w:hAnsi="Arial" w:cs="Arial"/>
          <w:color w:val="222222"/>
          <w:sz w:val="20"/>
          <w:szCs w:val="20"/>
          <w:shd w:val="clear" w:color="auto" w:fill="FFFFFF"/>
        </w:rPr>
        <w:t xml:space="preserve">(2), 267-291. </w:t>
      </w:r>
      <w:hyperlink r:id="rId16" w:history="1">
        <w:r w:rsidRPr="00C63652">
          <w:rPr>
            <w:rFonts w:ascii="Arial" w:hAnsi="Arial" w:cs="Arial"/>
            <w:color w:val="1155CC"/>
            <w:sz w:val="20"/>
            <w:szCs w:val="20"/>
            <w:u w:val="single"/>
            <w:shd w:val="clear" w:color="auto" w:fill="FFFFFF"/>
          </w:rPr>
          <w:t>https://eric.ed.gov/?id=EJ1323025</w:t>
        </w:r>
      </w:hyperlink>
    </w:p>
    <w:p w14:paraId="4ECEB9AA"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Ali, Z., Masroor, F., &amp; Khan, T. (2020). Creating Positive Classroom Environment for Learners' Motivation Towards Communicative Competence in The English Language. </w:t>
      </w:r>
      <w:r w:rsidRPr="00C63652">
        <w:rPr>
          <w:rFonts w:ascii="Arial" w:hAnsi="Arial" w:cs="Arial"/>
          <w:i/>
          <w:iCs/>
          <w:color w:val="222222"/>
          <w:sz w:val="20"/>
          <w:szCs w:val="20"/>
          <w:shd w:val="clear" w:color="auto" w:fill="FFFFFF"/>
        </w:rPr>
        <w:t>Journal of the Research Society of Pakistan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57</w:t>
      </w:r>
      <w:r w:rsidRPr="00C63652">
        <w:rPr>
          <w:rFonts w:ascii="Arial" w:hAnsi="Arial" w:cs="Arial"/>
          <w:color w:val="222222"/>
          <w:sz w:val="20"/>
          <w:szCs w:val="20"/>
          <w:shd w:val="clear" w:color="auto" w:fill="FFFFFF"/>
        </w:rPr>
        <w:t xml:space="preserve">(1), 317. </w:t>
      </w:r>
      <w:hyperlink r:id="rId17" w:history="1">
        <w:r w:rsidRPr="00C63652">
          <w:rPr>
            <w:rFonts w:ascii="Arial" w:hAnsi="Arial" w:cs="Arial"/>
            <w:color w:val="1155CC"/>
            <w:sz w:val="20"/>
            <w:szCs w:val="20"/>
            <w:u w:val="single"/>
            <w:shd w:val="clear" w:color="auto" w:fill="FFFFFF"/>
          </w:rPr>
          <w:t>https://pu.edu.pk/images/journal/history/PDF-FILES/24_57_1_20.pdf</w:t>
        </w:r>
      </w:hyperlink>
    </w:p>
    <w:p w14:paraId="6BB58692"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Blitz, L. V., </w:t>
      </w:r>
      <w:proofErr w:type="spellStart"/>
      <w:r w:rsidRPr="00C63652">
        <w:rPr>
          <w:rFonts w:ascii="Arial" w:hAnsi="Arial" w:cs="Arial"/>
          <w:color w:val="222222"/>
          <w:sz w:val="20"/>
          <w:szCs w:val="20"/>
          <w:shd w:val="clear" w:color="auto" w:fill="FFFFFF"/>
        </w:rPr>
        <w:t>Yull</w:t>
      </w:r>
      <w:proofErr w:type="spellEnd"/>
      <w:r w:rsidRPr="00C63652">
        <w:rPr>
          <w:rFonts w:ascii="Arial" w:hAnsi="Arial" w:cs="Arial"/>
          <w:color w:val="222222"/>
          <w:sz w:val="20"/>
          <w:szCs w:val="20"/>
          <w:shd w:val="clear" w:color="auto" w:fill="FFFFFF"/>
        </w:rPr>
        <w:t xml:space="preserve">, D., &amp; </w:t>
      </w:r>
      <w:proofErr w:type="spellStart"/>
      <w:r w:rsidRPr="00C63652">
        <w:rPr>
          <w:rFonts w:ascii="Arial" w:hAnsi="Arial" w:cs="Arial"/>
          <w:color w:val="222222"/>
          <w:sz w:val="20"/>
          <w:szCs w:val="20"/>
          <w:shd w:val="clear" w:color="auto" w:fill="FFFFFF"/>
        </w:rPr>
        <w:t>Clauhs</w:t>
      </w:r>
      <w:proofErr w:type="spellEnd"/>
      <w:r w:rsidRPr="00C63652">
        <w:rPr>
          <w:rFonts w:ascii="Arial" w:hAnsi="Arial" w:cs="Arial"/>
          <w:color w:val="222222"/>
          <w:sz w:val="20"/>
          <w:szCs w:val="20"/>
          <w:shd w:val="clear" w:color="auto" w:fill="FFFFFF"/>
        </w:rPr>
        <w:t xml:space="preserve">, M. (2020). Bringing sanctuary to school: Assessing school climate as a foundation for culturally responsive trauma-informed approaches for urban schools. </w:t>
      </w:r>
      <w:r w:rsidRPr="00C63652">
        <w:rPr>
          <w:rFonts w:ascii="Arial" w:hAnsi="Arial" w:cs="Arial"/>
          <w:i/>
          <w:iCs/>
          <w:color w:val="222222"/>
          <w:sz w:val="20"/>
          <w:szCs w:val="20"/>
          <w:shd w:val="clear" w:color="auto" w:fill="FFFFFF"/>
        </w:rPr>
        <w:t>Urban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55</w:t>
      </w:r>
      <w:r w:rsidRPr="00C63652">
        <w:rPr>
          <w:rFonts w:ascii="Arial" w:hAnsi="Arial" w:cs="Arial"/>
          <w:color w:val="222222"/>
          <w:sz w:val="20"/>
          <w:szCs w:val="20"/>
          <w:shd w:val="clear" w:color="auto" w:fill="FFFFFF"/>
        </w:rPr>
        <w:t xml:space="preserve">(1), 95-124. </w:t>
      </w:r>
      <w:hyperlink r:id="rId18" w:history="1">
        <w:r w:rsidRPr="00C63652">
          <w:rPr>
            <w:rFonts w:ascii="Arial" w:hAnsi="Arial" w:cs="Arial"/>
            <w:color w:val="1155CC"/>
            <w:sz w:val="20"/>
            <w:szCs w:val="20"/>
            <w:u w:val="single"/>
            <w:shd w:val="clear" w:color="auto" w:fill="FFFFFF"/>
          </w:rPr>
          <w:t>https://journals.sagepub.com/doi/abs/10.1177/0042085916651323</w:t>
        </w:r>
      </w:hyperlink>
    </w:p>
    <w:p w14:paraId="2DF88AB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Brodie, K. (2021). Teacher agency in professional learning communities. </w:t>
      </w:r>
      <w:r w:rsidRPr="00C63652">
        <w:rPr>
          <w:rFonts w:ascii="Arial" w:hAnsi="Arial" w:cs="Arial"/>
          <w:i/>
          <w:iCs/>
          <w:color w:val="222222"/>
          <w:sz w:val="20"/>
          <w:szCs w:val="20"/>
          <w:shd w:val="clear" w:color="auto" w:fill="FFFFFF"/>
        </w:rPr>
        <w:t>Professional development in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47</w:t>
      </w:r>
      <w:r w:rsidRPr="00C63652">
        <w:rPr>
          <w:rFonts w:ascii="Arial" w:hAnsi="Arial" w:cs="Arial"/>
          <w:color w:val="222222"/>
          <w:sz w:val="20"/>
          <w:szCs w:val="20"/>
          <w:shd w:val="clear" w:color="auto" w:fill="FFFFFF"/>
        </w:rPr>
        <w:t xml:space="preserve">(4), 560-573. </w:t>
      </w:r>
      <w:hyperlink r:id="rId19" w:history="1">
        <w:r w:rsidRPr="00C63652">
          <w:rPr>
            <w:rFonts w:ascii="Arial" w:hAnsi="Arial" w:cs="Arial"/>
            <w:color w:val="1155CC"/>
            <w:sz w:val="20"/>
            <w:szCs w:val="20"/>
            <w:u w:val="single"/>
            <w:shd w:val="clear" w:color="auto" w:fill="FFFFFF"/>
          </w:rPr>
          <w:t>https://www.tandfonline.com/doi/abs/10.1080/19415257.2019.1689523</w:t>
        </w:r>
      </w:hyperlink>
    </w:p>
    <w:p w14:paraId="32EF9708" w14:textId="77777777" w:rsidR="00C63652" w:rsidRPr="00C63652" w:rsidRDefault="00C63652" w:rsidP="00C63652">
      <w:pPr>
        <w:ind w:left="709" w:hanging="709"/>
        <w:jc w:val="both"/>
      </w:pPr>
      <w:proofErr w:type="spellStart"/>
      <w:r w:rsidRPr="00C63652">
        <w:rPr>
          <w:rFonts w:ascii="Arial" w:hAnsi="Arial" w:cs="Arial"/>
          <w:color w:val="222222"/>
          <w:sz w:val="20"/>
          <w:szCs w:val="20"/>
          <w:shd w:val="clear" w:color="auto" w:fill="FFFFFF"/>
        </w:rPr>
        <w:t>Bulusan</w:t>
      </w:r>
      <w:proofErr w:type="spellEnd"/>
      <w:r w:rsidRPr="00C63652">
        <w:rPr>
          <w:rFonts w:ascii="Arial" w:hAnsi="Arial" w:cs="Arial"/>
          <w:color w:val="222222"/>
          <w:sz w:val="20"/>
          <w:szCs w:val="20"/>
          <w:shd w:val="clear" w:color="auto" w:fill="FFFFFF"/>
        </w:rPr>
        <w:t xml:space="preserve">, F., CABACANG, K. M. A., Duero, M. G. C., Malate, R. A. L., </w:t>
      </w:r>
      <w:proofErr w:type="spellStart"/>
      <w:r w:rsidRPr="00C63652">
        <w:rPr>
          <w:rFonts w:ascii="Arial" w:hAnsi="Arial" w:cs="Arial"/>
          <w:color w:val="222222"/>
          <w:sz w:val="20"/>
          <w:szCs w:val="20"/>
          <w:shd w:val="clear" w:color="auto" w:fill="FFFFFF"/>
        </w:rPr>
        <w:t>Mangao</w:t>
      </w:r>
      <w:proofErr w:type="spellEnd"/>
      <w:r w:rsidRPr="00C63652">
        <w:rPr>
          <w:rFonts w:ascii="Arial" w:hAnsi="Arial" w:cs="Arial"/>
          <w:color w:val="222222"/>
          <w:sz w:val="20"/>
          <w:szCs w:val="20"/>
          <w:shd w:val="clear" w:color="auto" w:fill="FFFFFF"/>
        </w:rPr>
        <w:t xml:space="preserve">, J. F., &amp; Parcon, D. P. (2025). Emerging Strategies in Imbibing Learner-Centered Education in the 21st Century Language Classrooms: A Decade Scoping Review in Southeast Asia. </w:t>
      </w:r>
      <w:r w:rsidRPr="00C63652">
        <w:rPr>
          <w:rFonts w:ascii="Arial" w:hAnsi="Arial" w:cs="Arial"/>
          <w:i/>
          <w:iCs/>
          <w:color w:val="222222"/>
          <w:sz w:val="20"/>
          <w:szCs w:val="20"/>
          <w:shd w:val="clear" w:color="auto" w:fill="FFFFFF"/>
        </w:rPr>
        <w:t>International Journal of Linguistics, Literature and Translation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8</w:t>
      </w:r>
      <w:r w:rsidRPr="00C63652">
        <w:rPr>
          <w:rFonts w:ascii="Arial" w:hAnsi="Arial" w:cs="Arial"/>
          <w:color w:val="222222"/>
          <w:sz w:val="20"/>
          <w:szCs w:val="20"/>
          <w:shd w:val="clear" w:color="auto" w:fill="FFFFFF"/>
        </w:rPr>
        <w:t xml:space="preserve">(6), 46-57. </w:t>
      </w:r>
      <w:hyperlink r:id="rId20" w:history="1">
        <w:r w:rsidRPr="00C63652">
          <w:rPr>
            <w:rFonts w:ascii="Arial" w:hAnsi="Arial" w:cs="Arial"/>
            <w:color w:val="1155CC"/>
            <w:sz w:val="20"/>
            <w:szCs w:val="20"/>
            <w:u w:val="single"/>
            <w:shd w:val="clear" w:color="auto" w:fill="FFFFFF"/>
          </w:rPr>
          <w:t>https://al-kindipublishers.org/index.php/ijllt/article/view/9857</w:t>
        </w:r>
      </w:hyperlink>
    </w:p>
    <w:p w14:paraId="2C81D8FC"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de Carvalho-Filho, M. A., Tio, R. A., &amp; Steinert, Y. (2020). Twelve tips for implementing a community of practice for faculty development. </w:t>
      </w:r>
      <w:r w:rsidRPr="00C63652">
        <w:rPr>
          <w:rFonts w:ascii="Arial" w:hAnsi="Arial" w:cs="Arial"/>
          <w:i/>
          <w:iCs/>
          <w:color w:val="222222"/>
          <w:sz w:val="20"/>
          <w:szCs w:val="20"/>
          <w:shd w:val="clear" w:color="auto" w:fill="FFFFFF"/>
        </w:rPr>
        <w:t>Medical teacher</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42</w:t>
      </w:r>
      <w:r w:rsidRPr="00C63652">
        <w:rPr>
          <w:rFonts w:ascii="Arial" w:hAnsi="Arial" w:cs="Arial"/>
          <w:color w:val="222222"/>
          <w:sz w:val="20"/>
          <w:szCs w:val="20"/>
          <w:shd w:val="clear" w:color="auto" w:fill="FFFFFF"/>
        </w:rPr>
        <w:t xml:space="preserve">(2), 143-149. </w:t>
      </w:r>
      <w:hyperlink r:id="rId21" w:history="1">
        <w:r w:rsidRPr="00C63652">
          <w:rPr>
            <w:rFonts w:ascii="Arial" w:hAnsi="Arial" w:cs="Arial"/>
            <w:color w:val="1155CC"/>
            <w:sz w:val="20"/>
            <w:szCs w:val="20"/>
            <w:u w:val="single"/>
            <w:shd w:val="clear" w:color="auto" w:fill="FFFFFF"/>
          </w:rPr>
          <w:t>https://www.tandfonline.com/doi/abs/10.1080/0142159X.2018.1552782</w:t>
        </w:r>
      </w:hyperlink>
    </w:p>
    <w:p w14:paraId="0C6E158A"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Evans, M., Evans, R., &amp; Vemic, A. (2020). Youth civic engagement and formal education in Canada: Shifting expressions, associated challenges. In </w:t>
      </w:r>
      <w:r w:rsidRPr="00C63652">
        <w:rPr>
          <w:rFonts w:ascii="Arial" w:hAnsi="Arial" w:cs="Arial"/>
          <w:i/>
          <w:iCs/>
          <w:color w:val="222222"/>
          <w:sz w:val="20"/>
          <w:szCs w:val="20"/>
          <w:shd w:val="clear" w:color="auto" w:fill="FFFFFF"/>
        </w:rPr>
        <w:t>The Palgrave handbook of citizenship and education</w:t>
      </w:r>
      <w:r w:rsidRPr="00C63652">
        <w:rPr>
          <w:rFonts w:ascii="Arial" w:hAnsi="Arial" w:cs="Arial"/>
          <w:color w:val="222222"/>
          <w:sz w:val="20"/>
          <w:szCs w:val="20"/>
          <w:shd w:val="clear" w:color="auto" w:fill="FFFFFF"/>
        </w:rPr>
        <w:t xml:space="preserve"> (pp. 795-811). Cham: Springer International Publishing. </w:t>
      </w:r>
      <w:hyperlink r:id="rId22" w:history="1">
        <w:r w:rsidRPr="00C63652">
          <w:rPr>
            <w:rFonts w:ascii="Arial" w:hAnsi="Arial" w:cs="Arial"/>
            <w:color w:val="1155CC"/>
            <w:sz w:val="20"/>
            <w:szCs w:val="20"/>
            <w:u w:val="single"/>
            <w:shd w:val="clear" w:color="auto" w:fill="FFFFFF"/>
          </w:rPr>
          <w:t>https://link.springer.com/rwe/10.1007/978-3-319-67828-3_4</w:t>
        </w:r>
      </w:hyperlink>
    </w:p>
    <w:p w14:paraId="763D0860"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Finkelstein, S., Sharma, U., &amp; </w:t>
      </w:r>
      <w:proofErr w:type="spellStart"/>
      <w:r w:rsidRPr="00C63652">
        <w:rPr>
          <w:rFonts w:ascii="Arial" w:hAnsi="Arial" w:cs="Arial"/>
          <w:color w:val="222222"/>
          <w:sz w:val="20"/>
          <w:szCs w:val="20"/>
          <w:shd w:val="clear" w:color="auto" w:fill="FFFFFF"/>
        </w:rPr>
        <w:t>Furlonger</w:t>
      </w:r>
      <w:proofErr w:type="spellEnd"/>
      <w:r w:rsidRPr="00C63652">
        <w:rPr>
          <w:rFonts w:ascii="Arial" w:hAnsi="Arial" w:cs="Arial"/>
          <w:color w:val="222222"/>
          <w:sz w:val="20"/>
          <w:szCs w:val="20"/>
          <w:shd w:val="clear" w:color="auto" w:fill="FFFFFF"/>
        </w:rPr>
        <w:t xml:space="preserve">, B. (2021). The inclusive practices of classroom teachers: A scoping review and thematic analysis. </w:t>
      </w:r>
      <w:r w:rsidRPr="00C63652">
        <w:rPr>
          <w:rFonts w:ascii="Arial" w:hAnsi="Arial" w:cs="Arial"/>
          <w:i/>
          <w:iCs/>
          <w:color w:val="222222"/>
          <w:sz w:val="20"/>
          <w:szCs w:val="20"/>
          <w:shd w:val="clear" w:color="auto" w:fill="FFFFFF"/>
        </w:rPr>
        <w:t>International Journal of Inclusive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25</w:t>
      </w:r>
      <w:r w:rsidRPr="00C63652">
        <w:rPr>
          <w:rFonts w:ascii="Arial" w:hAnsi="Arial" w:cs="Arial"/>
          <w:color w:val="222222"/>
          <w:sz w:val="20"/>
          <w:szCs w:val="20"/>
          <w:shd w:val="clear" w:color="auto" w:fill="FFFFFF"/>
        </w:rPr>
        <w:t xml:space="preserve">(6), 735-762. </w:t>
      </w:r>
      <w:hyperlink r:id="rId23" w:history="1">
        <w:r w:rsidRPr="00C63652">
          <w:rPr>
            <w:rFonts w:ascii="Arial" w:hAnsi="Arial" w:cs="Arial"/>
            <w:color w:val="1155CC"/>
            <w:sz w:val="20"/>
            <w:szCs w:val="20"/>
            <w:u w:val="single"/>
            <w:shd w:val="clear" w:color="auto" w:fill="FFFFFF"/>
          </w:rPr>
          <w:t>https://www.tandfonline.com/doi/abs/10.1080/13603116.2019.1572232</w:t>
        </w:r>
      </w:hyperlink>
    </w:p>
    <w:p w14:paraId="1E774263"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Khalfaoui, A., García-Carrión, R., &amp; </w:t>
      </w:r>
      <w:proofErr w:type="spellStart"/>
      <w:r w:rsidRPr="00C63652">
        <w:rPr>
          <w:rFonts w:ascii="Arial" w:hAnsi="Arial" w:cs="Arial"/>
          <w:color w:val="222222"/>
          <w:sz w:val="20"/>
          <w:szCs w:val="20"/>
          <w:shd w:val="clear" w:color="auto" w:fill="FFFFFF"/>
        </w:rPr>
        <w:t>Villardón-Gallego</w:t>
      </w:r>
      <w:proofErr w:type="spellEnd"/>
      <w:r w:rsidRPr="00C63652">
        <w:rPr>
          <w:rFonts w:ascii="Arial" w:hAnsi="Arial" w:cs="Arial"/>
          <w:color w:val="222222"/>
          <w:sz w:val="20"/>
          <w:szCs w:val="20"/>
          <w:shd w:val="clear" w:color="auto" w:fill="FFFFFF"/>
        </w:rPr>
        <w:t xml:space="preserve">, L. (2021). A systematic review of the literature on aspects affecting positive classroom climate in multicultural early childhood education. </w:t>
      </w:r>
      <w:r w:rsidRPr="00C63652">
        <w:rPr>
          <w:rFonts w:ascii="Arial" w:hAnsi="Arial" w:cs="Arial"/>
          <w:i/>
          <w:iCs/>
          <w:color w:val="222222"/>
          <w:sz w:val="20"/>
          <w:szCs w:val="20"/>
          <w:shd w:val="clear" w:color="auto" w:fill="FFFFFF"/>
        </w:rPr>
        <w:t>Early Childhood Education Journal</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49</w:t>
      </w:r>
      <w:r w:rsidRPr="00C63652">
        <w:rPr>
          <w:rFonts w:ascii="Arial" w:hAnsi="Arial" w:cs="Arial"/>
          <w:color w:val="222222"/>
          <w:sz w:val="20"/>
          <w:szCs w:val="20"/>
          <w:shd w:val="clear" w:color="auto" w:fill="FFFFFF"/>
        </w:rPr>
        <w:t xml:space="preserve">(1), 71-81. </w:t>
      </w:r>
      <w:hyperlink r:id="rId24" w:history="1">
        <w:r w:rsidRPr="00C63652">
          <w:rPr>
            <w:rFonts w:ascii="Arial" w:hAnsi="Arial" w:cs="Arial"/>
            <w:color w:val="1155CC"/>
            <w:sz w:val="20"/>
            <w:szCs w:val="20"/>
            <w:u w:val="single"/>
            <w:shd w:val="clear" w:color="auto" w:fill="FFFFFF"/>
          </w:rPr>
          <w:t>https://link.springer.com/article/10.1007/s10643-020-01054-4</w:t>
        </w:r>
      </w:hyperlink>
    </w:p>
    <w:p w14:paraId="603A9F03"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Mitra, M. J. (2025). Professional Learning Networks: Exploring Filipino Teachers' Experiences and Pathways Toward Inclusive and Sustainable Professional Development in Rural Schools. </w:t>
      </w:r>
      <w:proofErr w:type="spellStart"/>
      <w:r w:rsidRPr="00C63652">
        <w:rPr>
          <w:rFonts w:ascii="Arial" w:hAnsi="Arial" w:cs="Arial"/>
          <w:i/>
          <w:iCs/>
          <w:color w:val="222222"/>
          <w:sz w:val="20"/>
          <w:szCs w:val="20"/>
          <w:shd w:val="clear" w:color="auto" w:fill="FFFFFF"/>
        </w:rPr>
        <w:t>Aloysian</w:t>
      </w:r>
      <w:proofErr w:type="spellEnd"/>
      <w:r w:rsidRPr="00C63652">
        <w:rPr>
          <w:rFonts w:ascii="Arial" w:hAnsi="Arial" w:cs="Arial"/>
          <w:i/>
          <w:iCs/>
          <w:color w:val="222222"/>
          <w:sz w:val="20"/>
          <w:szCs w:val="20"/>
          <w:shd w:val="clear" w:color="auto" w:fill="FFFFFF"/>
        </w:rPr>
        <w:t xml:space="preserve"> Interdisciplinary Journal of Social Sciences, Education, and Allied Fields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w:t>
      </w:r>
      <w:r w:rsidRPr="00C63652">
        <w:rPr>
          <w:rFonts w:ascii="Arial" w:hAnsi="Arial" w:cs="Arial"/>
          <w:color w:val="222222"/>
          <w:sz w:val="20"/>
          <w:szCs w:val="20"/>
          <w:shd w:val="clear" w:color="auto" w:fill="FFFFFF"/>
        </w:rPr>
        <w:t xml:space="preserve">(5), 65-82. </w:t>
      </w:r>
      <w:hyperlink r:id="rId25" w:history="1">
        <w:r w:rsidRPr="00C63652">
          <w:rPr>
            <w:rFonts w:ascii="Arial" w:hAnsi="Arial" w:cs="Arial"/>
            <w:color w:val="1155CC"/>
            <w:sz w:val="20"/>
            <w:szCs w:val="20"/>
            <w:u w:val="single"/>
            <w:shd w:val="clear" w:color="auto" w:fill="FFFFFF"/>
          </w:rPr>
          <w:t>https://journals.aloysianpublications.com/index.php/articles/article/view/101</w:t>
        </w:r>
      </w:hyperlink>
    </w:p>
    <w:p w14:paraId="43F32821" w14:textId="77777777" w:rsidR="00C63652" w:rsidRPr="00C63652" w:rsidRDefault="00C63652" w:rsidP="00C63652">
      <w:pPr>
        <w:ind w:left="709" w:hanging="709"/>
        <w:jc w:val="both"/>
      </w:pPr>
      <w:proofErr w:type="spellStart"/>
      <w:r w:rsidRPr="00137243">
        <w:rPr>
          <w:rFonts w:ascii="Arial" w:hAnsi="Arial" w:cs="Arial"/>
          <w:color w:val="000000"/>
          <w:sz w:val="20"/>
          <w:szCs w:val="20"/>
          <w:highlight w:val="yellow"/>
        </w:rPr>
        <w:lastRenderedPageBreak/>
        <w:t>Pregoner</w:t>
      </w:r>
      <w:proofErr w:type="spellEnd"/>
      <w:r w:rsidRPr="00137243">
        <w:rPr>
          <w:rFonts w:ascii="Arial" w:hAnsi="Arial" w:cs="Arial"/>
          <w:color w:val="000000"/>
          <w:sz w:val="20"/>
          <w:szCs w:val="20"/>
          <w:highlight w:val="yellow"/>
        </w:rPr>
        <w:t xml:space="preserve">, J. D. (2024). Research approaches in education: A comparison of quantitative, qualitative and mixed methods. </w:t>
      </w:r>
      <w:r w:rsidRPr="00137243">
        <w:rPr>
          <w:rFonts w:ascii="Arial" w:hAnsi="Arial" w:cs="Arial"/>
          <w:i/>
          <w:iCs/>
          <w:color w:val="000000"/>
          <w:sz w:val="20"/>
          <w:szCs w:val="20"/>
          <w:highlight w:val="yellow"/>
        </w:rPr>
        <w:t>IMCC Journal of Science</w:t>
      </w:r>
      <w:r w:rsidRPr="00137243">
        <w:rPr>
          <w:rFonts w:ascii="Arial" w:hAnsi="Arial" w:cs="Arial"/>
          <w:color w:val="000000"/>
          <w:sz w:val="20"/>
          <w:szCs w:val="20"/>
          <w:highlight w:val="yellow"/>
        </w:rPr>
        <w:t xml:space="preserve">, </w:t>
      </w:r>
      <w:r w:rsidRPr="00137243">
        <w:rPr>
          <w:rFonts w:ascii="Arial" w:hAnsi="Arial" w:cs="Arial"/>
          <w:i/>
          <w:iCs/>
          <w:color w:val="000000"/>
          <w:sz w:val="20"/>
          <w:szCs w:val="20"/>
          <w:highlight w:val="yellow"/>
        </w:rPr>
        <w:t>4</w:t>
      </w:r>
      <w:r w:rsidRPr="00137243">
        <w:rPr>
          <w:rFonts w:ascii="Arial" w:hAnsi="Arial" w:cs="Arial"/>
          <w:color w:val="000000"/>
          <w:sz w:val="20"/>
          <w:szCs w:val="20"/>
          <w:highlight w:val="yellow"/>
        </w:rPr>
        <w:t xml:space="preserve">(2), 31-36. </w:t>
      </w:r>
      <w:hyperlink r:id="rId26" w:history="1">
        <w:r w:rsidRPr="00137243">
          <w:rPr>
            <w:rFonts w:ascii="Arial" w:hAnsi="Arial" w:cs="Arial"/>
            <w:color w:val="000000"/>
            <w:sz w:val="20"/>
            <w:szCs w:val="20"/>
            <w:highlight w:val="yellow"/>
            <w:u w:val="single"/>
          </w:rPr>
          <w:t>https://hal.science/hal-04655066</w:t>
        </w:r>
      </w:hyperlink>
      <w:r w:rsidRPr="00137243">
        <w:rPr>
          <w:rFonts w:ascii="Arial" w:hAnsi="Arial" w:cs="Arial"/>
          <w:color w:val="000000"/>
          <w:sz w:val="20"/>
          <w:szCs w:val="20"/>
          <w:highlight w:val="yellow"/>
        </w:rPr>
        <w:t>/</w:t>
      </w:r>
      <w:bookmarkStart w:id="0" w:name="_GoBack"/>
      <w:bookmarkEnd w:id="0"/>
    </w:p>
    <w:p w14:paraId="6257655C" w14:textId="77777777" w:rsidR="00C63652" w:rsidRPr="00C63652" w:rsidRDefault="00C63652" w:rsidP="00C63652">
      <w:pPr>
        <w:ind w:left="709" w:hanging="709"/>
        <w:jc w:val="both"/>
      </w:pPr>
      <w:proofErr w:type="spellStart"/>
      <w:r w:rsidRPr="00C63652">
        <w:rPr>
          <w:rFonts w:ascii="Arial" w:hAnsi="Arial" w:cs="Arial"/>
          <w:color w:val="000000"/>
          <w:sz w:val="20"/>
          <w:szCs w:val="20"/>
        </w:rPr>
        <w:t>Pregoner</w:t>
      </w:r>
      <w:proofErr w:type="spellEnd"/>
      <w:r w:rsidRPr="00C63652">
        <w:rPr>
          <w:rFonts w:ascii="Arial" w:hAnsi="Arial" w:cs="Arial"/>
          <w:color w:val="000000"/>
          <w:sz w:val="20"/>
          <w:szCs w:val="20"/>
        </w:rPr>
        <w:t xml:space="preserve">, J. D., </w:t>
      </w:r>
      <w:proofErr w:type="spellStart"/>
      <w:r w:rsidRPr="00C63652">
        <w:rPr>
          <w:rFonts w:ascii="Arial" w:hAnsi="Arial" w:cs="Arial"/>
          <w:color w:val="000000"/>
          <w:sz w:val="20"/>
          <w:szCs w:val="20"/>
        </w:rPr>
        <w:t>Leopardas</w:t>
      </w:r>
      <w:proofErr w:type="spellEnd"/>
      <w:r w:rsidRPr="00C63652">
        <w:rPr>
          <w:rFonts w:ascii="Arial" w:hAnsi="Arial" w:cs="Arial"/>
          <w:color w:val="000000"/>
          <w:sz w:val="20"/>
          <w:szCs w:val="20"/>
        </w:rPr>
        <w:t xml:space="preserve">, R., Ganancial, I. J., </w:t>
      </w:r>
      <w:proofErr w:type="spellStart"/>
      <w:r w:rsidRPr="00C63652">
        <w:rPr>
          <w:rFonts w:ascii="Arial" w:hAnsi="Arial" w:cs="Arial"/>
          <w:color w:val="000000"/>
          <w:sz w:val="20"/>
          <w:szCs w:val="20"/>
        </w:rPr>
        <w:t>Baguhin</w:t>
      </w:r>
      <w:proofErr w:type="spellEnd"/>
      <w:r w:rsidRPr="00C63652">
        <w:rPr>
          <w:rFonts w:ascii="Arial" w:hAnsi="Arial" w:cs="Arial"/>
          <w:color w:val="000000"/>
          <w:sz w:val="20"/>
          <w:szCs w:val="20"/>
        </w:rPr>
        <w:t xml:space="preserve">, M., &amp; Sedo, F. (2025). Ethical Issues in Conducting Research Using Human Participants in the Post-COVID Era. </w:t>
      </w:r>
      <w:r w:rsidRPr="00C63652">
        <w:rPr>
          <w:rFonts w:ascii="Arial" w:hAnsi="Arial" w:cs="Arial"/>
          <w:i/>
          <w:iCs/>
          <w:color w:val="000000"/>
          <w:sz w:val="20"/>
          <w:szCs w:val="20"/>
        </w:rPr>
        <w:t>IMCC Journal of Science</w:t>
      </w:r>
      <w:r w:rsidRPr="00C63652">
        <w:rPr>
          <w:rFonts w:ascii="Arial" w:hAnsi="Arial" w:cs="Arial"/>
          <w:color w:val="000000"/>
          <w:sz w:val="20"/>
          <w:szCs w:val="20"/>
        </w:rPr>
        <w:t xml:space="preserve">, </w:t>
      </w:r>
      <w:r w:rsidRPr="00C63652">
        <w:rPr>
          <w:rFonts w:ascii="Arial" w:hAnsi="Arial" w:cs="Arial"/>
          <w:i/>
          <w:iCs/>
          <w:color w:val="000000"/>
          <w:sz w:val="20"/>
          <w:szCs w:val="20"/>
        </w:rPr>
        <w:t>5</w:t>
      </w:r>
      <w:r w:rsidRPr="00C63652">
        <w:rPr>
          <w:rFonts w:ascii="Arial" w:hAnsi="Arial" w:cs="Arial"/>
          <w:color w:val="000000"/>
          <w:sz w:val="20"/>
          <w:szCs w:val="20"/>
        </w:rPr>
        <w:t xml:space="preserve">(1), 1-9. </w:t>
      </w:r>
      <w:hyperlink r:id="rId27" w:history="1">
        <w:r w:rsidRPr="00C63652">
          <w:rPr>
            <w:rFonts w:ascii="Arial" w:hAnsi="Arial" w:cs="Arial"/>
            <w:color w:val="000000"/>
            <w:sz w:val="20"/>
            <w:szCs w:val="20"/>
            <w:u w:val="single"/>
          </w:rPr>
          <w:t>https://hal.science/hal-05073466</w:t>
        </w:r>
      </w:hyperlink>
      <w:r w:rsidRPr="00C63652">
        <w:rPr>
          <w:rFonts w:ascii="Arial" w:hAnsi="Arial" w:cs="Arial"/>
          <w:color w:val="000000"/>
          <w:sz w:val="20"/>
          <w:szCs w:val="20"/>
        </w:rPr>
        <w:t>/</w:t>
      </w:r>
    </w:p>
    <w:p w14:paraId="4DD85F6D"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Shan, J. (2022). No Harmonious Relationship between Teachers and Students, No Attractive Nursing Class. </w:t>
      </w:r>
      <w:r w:rsidRPr="00C63652">
        <w:rPr>
          <w:rFonts w:ascii="Arial" w:hAnsi="Arial" w:cs="Arial"/>
          <w:i/>
          <w:iCs/>
          <w:color w:val="222222"/>
          <w:sz w:val="20"/>
          <w:szCs w:val="20"/>
          <w:shd w:val="clear" w:color="auto" w:fill="FFFFFF"/>
        </w:rPr>
        <w:t>Forest Chemicals Review</w:t>
      </w:r>
      <w:r w:rsidRPr="00C63652">
        <w:rPr>
          <w:rFonts w:ascii="Arial" w:hAnsi="Arial" w:cs="Arial"/>
          <w:color w:val="222222"/>
          <w:sz w:val="20"/>
          <w:szCs w:val="20"/>
          <w:shd w:val="clear" w:color="auto" w:fill="FFFFFF"/>
        </w:rPr>
        <w:t xml:space="preserve">, 18-24. </w:t>
      </w:r>
      <w:hyperlink r:id="rId28" w:history="1">
        <w:r w:rsidRPr="00C63652">
          <w:rPr>
            <w:rFonts w:ascii="Arial" w:hAnsi="Arial" w:cs="Arial"/>
            <w:color w:val="1155CC"/>
            <w:sz w:val="20"/>
            <w:szCs w:val="20"/>
            <w:u w:val="single"/>
            <w:shd w:val="clear" w:color="auto" w:fill="FFFFFF"/>
          </w:rPr>
          <w:t>http://forestchemicalsreview.com/index.php/JFCR/article/view/1102</w:t>
        </w:r>
      </w:hyperlink>
    </w:p>
    <w:p w14:paraId="00D1ACB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Sisson, J. H., Whitington, V., &amp; Shin, A. M. (2020). “Teaching culture through culture”: A case study of culturally responsive pedagogies in an Australian early childhood/primary context. </w:t>
      </w:r>
      <w:r w:rsidRPr="00C63652">
        <w:rPr>
          <w:rFonts w:ascii="Arial" w:hAnsi="Arial" w:cs="Arial"/>
          <w:i/>
          <w:iCs/>
          <w:color w:val="222222"/>
          <w:sz w:val="20"/>
          <w:szCs w:val="20"/>
          <w:shd w:val="clear" w:color="auto" w:fill="FFFFFF"/>
        </w:rPr>
        <w:t>Journal of Research in Childhood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34</w:t>
      </w:r>
      <w:r w:rsidRPr="00C63652">
        <w:rPr>
          <w:rFonts w:ascii="Arial" w:hAnsi="Arial" w:cs="Arial"/>
          <w:color w:val="222222"/>
          <w:sz w:val="20"/>
          <w:szCs w:val="20"/>
          <w:shd w:val="clear" w:color="auto" w:fill="FFFFFF"/>
        </w:rPr>
        <w:t xml:space="preserve">(1), 108-126. </w:t>
      </w:r>
      <w:hyperlink r:id="rId29" w:history="1">
        <w:r w:rsidRPr="00C63652">
          <w:rPr>
            <w:rFonts w:ascii="Arial" w:hAnsi="Arial" w:cs="Arial"/>
            <w:color w:val="1155CC"/>
            <w:sz w:val="20"/>
            <w:szCs w:val="20"/>
            <w:u w:val="single"/>
            <w:shd w:val="clear" w:color="auto" w:fill="FFFFFF"/>
          </w:rPr>
          <w:t>https://www.tandfonline.com/doi/abs/10.1080/02568543.2019.1692110</w:t>
        </w:r>
      </w:hyperlink>
    </w:p>
    <w:p w14:paraId="06DCCE31"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Sosa Díaz, M. J., Guerra Antequera, J., &amp; Cerezo Pizarro, M. (2021). Flipped classroom in the context of higher education: Learning, satisfaction and interaction. </w:t>
      </w:r>
      <w:r w:rsidRPr="00C63652">
        <w:rPr>
          <w:rFonts w:ascii="Arial" w:hAnsi="Arial" w:cs="Arial"/>
          <w:i/>
          <w:iCs/>
          <w:color w:val="222222"/>
          <w:sz w:val="20"/>
          <w:szCs w:val="20"/>
          <w:shd w:val="clear" w:color="auto" w:fill="FFFFFF"/>
        </w:rPr>
        <w:t>Education Sciences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11</w:t>
      </w:r>
      <w:r w:rsidRPr="00C63652">
        <w:rPr>
          <w:rFonts w:ascii="Arial" w:hAnsi="Arial" w:cs="Arial"/>
          <w:color w:val="222222"/>
          <w:sz w:val="20"/>
          <w:szCs w:val="20"/>
          <w:shd w:val="clear" w:color="auto" w:fill="FFFFFF"/>
        </w:rPr>
        <w:t xml:space="preserve">(8), 416. </w:t>
      </w:r>
      <w:hyperlink r:id="rId30" w:history="1">
        <w:r w:rsidRPr="00C63652">
          <w:rPr>
            <w:rFonts w:ascii="Arial" w:hAnsi="Arial" w:cs="Arial"/>
            <w:color w:val="1155CC"/>
            <w:sz w:val="20"/>
            <w:szCs w:val="20"/>
            <w:u w:val="single"/>
            <w:shd w:val="clear" w:color="auto" w:fill="FFFFFF"/>
          </w:rPr>
          <w:t>https://www.mdpi.com/2227-7102/11/8/416</w:t>
        </w:r>
      </w:hyperlink>
    </w:p>
    <w:p w14:paraId="5FDEE71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Teeters, L. P., </w:t>
      </w:r>
      <w:proofErr w:type="spellStart"/>
      <w:r w:rsidRPr="00C63652">
        <w:rPr>
          <w:rFonts w:ascii="Arial" w:hAnsi="Arial" w:cs="Arial"/>
          <w:color w:val="222222"/>
          <w:sz w:val="20"/>
          <w:szCs w:val="20"/>
          <w:shd w:val="clear" w:color="auto" w:fill="FFFFFF"/>
        </w:rPr>
        <w:t>Mckımmy</w:t>
      </w:r>
      <w:proofErr w:type="spellEnd"/>
      <w:r w:rsidRPr="00C63652">
        <w:rPr>
          <w:rFonts w:ascii="Arial" w:hAnsi="Arial" w:cs="Arial"/>
          <w:color w:val="222222"/>
          <w:sz w:val="20"/>
          <w:szCs w:val="20"/>
          <w:shd w:val="clear" w:color="auto" w:fill="FFFFFF"/>
        </w:rPr>
        <w:t xml:space="preserve">, C., </w:t>
      </w:r>
      <w:proofErr w:type="spellStart"/>
      <w:r w:rsidRPr="00C63652">
        <w:rPr>
          <w:rFonts w:ascii="Arial" w:hAnsi="Arial" w:cs="Arial"/>
          <w:color w:val="222222"/>
          <w:sz w:val="20"/>
          <w:szCs w:val="20"/>
          <w:shd w:val="clear" w:color="auto" w:fill="FFFFFF"/>
        </w:rPr>
        <w:t>Shedro</w:t>
      </w:r>
      <w:proofErr w:type="spellEnd"/>
      <w:r w:rsidRPr="00C63652">
        <w:rPr>
          <w:rFonts w:ascii="Arial" w:hAnsi="Arial" w:cs="Arial"/>
          <w:color w:val="222222"/>
          <w:sz w:val="20"/>
          <w:szCs w:val="20"/>
          <w:shd w:val="clear" w:color="auto" w:fill="FFFFFF"/>
        </w:rPr>
        <w:t xml:space="preserve">, M., Ashar, Y., Alvarez, A., Prıce, E., &amp; </w:t>
      </w:r>
      <w:proofErr w:type="spellStart"/>
      <w:r w:rsidRPr="00C63652">
        <w:rPr>
          <w:rFonts w:ascii="Arial" w:hAnsi="Arial" w:cs="Arial"/>
          <w:color w:val="222222"/>
          <w:sz w:val="20"/>
          <w:szCs w:val="20"/>
          <w:shd w:val="clear" w:color="auto" w:fill="FFFFFF"/>
        </w:rPr>
        <w:t>Dımıdjıan</w:t>
      </w:r>
      <w:proofErr w:type="spellEnd"/>
      <w:r w:rsidRPr="00C63652">
        <w:rPr>
          <w:rFonts w:ascii="Arial" w:hAnsi="Arial" w:cs="Arial"/>
          <w:color w:val="222222"/>
          <w:sz w:val="20"/>
          <w:szCs w:val="20"/>
          <w:shd w:val="clear" w:color="auto" w:fill="FFFFFF"/>
        </w:rPr>
        <w:t xml:space="preserve">, S. (2021). Teaching as mediation: Exploring the impacts of a teacher training program on generating social and emotional learning environments. </w:t>
      </w:r>
      <w:r w:rsidRPr="00C63652">
        <w:rPr>
          <w:rFonts w:ascii="Arial" w:hAnsi="Arial" w:cs="Arial"/>
          <w:i/>
          <w:iCs/>
          <w:color w:val="222222"/>
          <w:sz w:val="20"/>
          <w:szCs w:val="20"/>
          <w:shd w:val="clear" w:color="auto" w:fill="FFFFFF"/>
        </w:rPr>
        <w:t>Journal of Teacher Education and Educators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10</w:t>
      </w:r>
      <w:r w:rsidRPr="00C63652">
        <w:rPr>
          <w:rFonts w:ascii="Arial" w:hAnsi="Arial" w:cs="Arial"/>
          <w:color w:val="222222"/>
          <w:sz w:val="20"/>
          <w:szCs w:val="20"/>
          <w:shd w:val="clear" w:color="auto" w:fill="FFFFFF"/>
        </w:rPr>
        <w:t>(1), 25-46.</w:t>
      </w:r>
      <w:hyperlink r:id="rId31" w:history="1">
        <w:r w:rsidRPr="00C63652">
          <w:rPr>
            <w:rFonts w:ascii="Arial" w:hAnsi="Arial" w:cs="Arial"/>
            <w:color w:val="1155CC"/>
            <w:sz w:val="20"/>
            <w:szCs w:val="20"/>
            <w:u w:val="single"/>
            <w:shd w:val="clear" w:color="auto" w:fill="FFFFFF"/>
          </w:rPr>
          <w:t>https://dergipark.org.tr/en/pub/jtee/issue/62163/742982</w:t>
        </w:r>
      </w:hyperlink>
    </w:p>
    <w:p w14:paraId="055573E2" w14:textId="77777777" w:rsidR="00C63652" w:rsidRPr="007A52F2" w:rsidRDefault="00C63652" w:rsidP="00C63652">
      <w:pPr>
        <w:ind w:left="709" w:hanging="709"/>
        <w:jc w:val="both"/>
        <w:rPr>
          <w:sz w:val="20"/>
          <w:szCs w:val="20"/>
        </w:rPr>
      </w:pPr>
      <w:r w:rsidRPr="00C63652">
        <w:rPr>
          <w:rFonts w:ascii="Arial" w:hAnsi="Arial" w:cs="Arial"/>
          <w:color w:val="222222"/>
          <w:sz w:val="20"/>
          <w:szCs w:val="20"/>
          <w:shd w:val="clear" w:color="auto" w:fill="FFFFFF"/>
        </w:rPr>
        <w:t xml:space="preserve">Wilson, C., Marks Woolfson, L., &amp; Durkin, K. (2020). School environment and mastery experience as predictors of teachers’ self-efficacy beliefs towards inclusive teaching. </w:t>
      </w:r>
      <w:r w:rsidRPr="00C63652">
        <w:rPr>
          <w:rFonts w:ascii="Arial" w:hAnsi="Arial" w:cs="Arial"/>
          <w:i/>
          <w:iCs/>
          <w:color w:val="222222"/>
          <w:sz w:val="20"/>
          <w:szCs w:val="20"/>
          <w:shd w:val="clear" w:color="auto" w:fill="FFFFFF"/>
        </w:rPr>
        <w:t>International journal of inclusive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24</w:t>
      </w:r>
      <w:r w:rsidRPr="00C63652">
        <w:rPr>
          <w:rFonts w:ascii="Arial" w:hAnsi="Arial" w:cs="Arial"/>
          <w:color w:val="222222"/>
          <w:sz w:val="20"/>
          <w:szCs w:val="20"/>
          <w:shd w:val="clear" w:color="auto" w:fill="FFFFFF"/>
        </w:rPr>
        <w:t xml:space="preserve">(2), 218-234. </w:t>
      </w:r>
      <w:hyperlink r:id="rId32" w:history="1">
        <w:r w:rsidRPr="00C63652">
          <w:rPr>
            <w:rFonts w:ascii="Arial" w:hAnsi="Arial" w:cs="Arial"/>
            <w:color w:val="1155CC"/>
            <w:sz w:val="20"/>
            <w:szCs w:val="20"/>
            <w:u w:val="single"/>
            <w:shd w:val="clear" w:color="auto" w:fill="FFFFFF"/>
          </w:rPr>
          <w:t>https://www.tandfonline.com/doi/abs/10.1080/13603116.2018.1455901</w:t>
        </w:r>
      </w:hyperlink>
    </w:p>
    <w:p w14:paraId="3A4B5847"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Zajda, J., &amp; Zajda, J. (2021). Motivation in the classroom: Creating effective learning environments. </w:t>
      </w:r>
      <w:proofErr w:type="spellStart"/>
      <w:r w:rsidRPr="00C63652">
        <w:rPr>
          <w:rFonts w:ascii="Arial" w:hAnsi="Arial" w:cs="Arial"/>
          <w:i/>
          <w:iCs/>
          <w:color w:val="222222"/>
          <w:sz w:val="20"/>
          <w:szCs w:val="20"/>
          <w:shd w:val="clear" w:color="auto" w:fill="FFFFFF"/>
        </w:rPr>
        <w:t>Globalisation</w:t>
      </w:r>
      <w:proofErr w:type="spellEnd"/>
      <w:r w:rsidRPr="00C63652">
        <w:rPr>
          <w:rFonts w:ascii="Arial" w:hAnsi="Arial" w:cs="Arial"/>
          <w:i/>
          <w:iCs/>
          <w:color w:val="222222"/>
          <w:sz w:val="20"/>
          <w:szCs w:val="20"/>
          <w:shd w:val="clear" w:color="auto" w:fill="FFFFFF"/>
        </w:rPr>
        <w:t xml:space="preserve"> and education reforms: Creating effective learning environments</w:t>
      </w:r>
      <w:r w:rsidRPr="00C63652">
        <w:rPr>
          <w:rFonts w:ascii="Arial" w:hAnsi="Arial" w:cs="Arial"/>
          <w:color w:val="222222"/>
          <w:sz w:val="20"/>
          <w:szCs w:val="20"/>
          <w:shd w:val="clear" w:color="auto" w:fill="FFFFFF"/>
        </w:rPr>
        <w:t>, 17-34.</w:t>
      </w:r>
      <w:hyperlink r:id="rId33" w:history="1">
        <w:r w:rsidRPr="00C63652">
          <w:rPr>
            <w:rFonts w:ascii="Arial" w:hAnsi="Arial" w:cs="Arial"/>
            <w:color w:val="1155CC"/>
            <w:sz w:val="20"/>
            <w:szCs w:val="20"/>
            <w:u w:val="single"/>
            <w:shd w:val="clear" w:color="auto" w:fill="FFFFFF"/>
          </w:rPr>
          <w:t>https://link.springer.com/chapter/10.1007/978-3-030-71575-5_2</w:t>
        </w:r>
      </w:hyperlink>
    </w:p>
    <w:p w14:paraId="778677F4"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Zakariya, Y. F. (2020). Effects of school climate and teacher self-efficacy on job satisfaction of mostly STEM teachers: a structural multigroup invariance approach. </w:t>
      </w:r>
      <w:r w:rsidRPr="00C63652">
        <w:rPr>
          <w:rFonts w:ascii="Arial" w:hAnsi="Arial" w:cs="Arial"/>
          <w:i/>
          <w:iCs/>
          <w:color w:val="222222"/>
          <w:sz w:val="20"/>
          <w:szCs w:val="20"/>
          <w:shd w:val="clear" w:color="auto" w:fill="FFFFFF"/>
        </w:rPr>
        <w:t>International Journal of STEM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7</w:t>
      </w:r>
      <w:r w:rsidRPr="00C63652">
        <w:rPr>
          <w:rFonts w:ascii="Arial" w:hAnsi="Arial" w:cs="Arial"/>
          <w:color w:val="222222"/>
          <w:sz w:val="20"/>
          <w:szCs w:val="20"/>
          <w:shd w:val="clear" w:color="auto" w:fill="FFFFFF"/>
        </w:rPr>
        <w:t xml:space="preserve">, 1-12. </w:t>
      </w:r>
      <w:hyperlink r:id="rId34" w:history="1">
        <w:r w:rsidRPr="00C63652">
          <w:rPr>
            <w:rFonts w:ascii="Arial" w:hAnsi="Arial" w:cs="Arial"/>
            <w:color w:val="1155CC"/>
            <w:sz w:val="20"/>
            <w:szCs w:val="20"/>
            <w:u w:val="single"/>
            <w:shd w:val="clear" w:color="auto" w:fill="FFFFFF"/>
          </w:rPr>
          <w:t>https://link.springer.com/article/10.1186/s40594-020-00209-4</w:t>
        </w:r>
      </w:hyperlink>
    </w:p>
    <w:sectPr w:rsidR="00C63652" w:rsidRPr="00C63652" w:rsidSect="00EE7A9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57FB" w14:textId="77777777" w:rsidR="003F00A2" w:rsidRDefault="003F00A2">
      <w:r>
        <w:separator/>
      </w:r>
    </w:p>
  </w:endnote>
  <w:endnote w:type="continuationSeparator" w:id="0">
    <w:p w14:paraId="444F5276" w14:textId="77777777" w:rsidR="003F00A2" w:rsidRDefault="003F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CB03" w14:textId="77777777" w:rsidR="00EE7A90" w:rsidRDefault="00EE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33B0" w14:textId="77777777" w:rsidR="00EE7A90" w:rsidRDefault="00EE7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44387868" w:rsidR="00717F2E" w:rsidRPr="00EE7A90" w:rsidRDefault="00717F2E" w:rsidP="00EE7A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99739" w14:textId="77777777" w:rsidR="003F00A2" w:rsidRDefault="003F00A2">
      <w:r>
        <w:separator/>
      </w:r>
    </w:p>
  </w:footnote>
  <w:footnote w:type="continuationSeparator" w:id="0">
    <w:p w14:paraId="07184C51" w14:textId="77777777" w:rsidR="003F00A2" w:rsidRDefault="003F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4804" w14:textId="7698A819" w:rsidR="00EE7A90" w:rsidRDefault="003F00A2">
    <w:pPr>
      <w:pStyle w:val="Header"/>
    </w:pPr>
    <w:r>
      <w:rPr>
        <w:noProof/>
      </w:rPr>
      <w:pict w14:anchorId="18F7D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5D300" w14:textId="64C7D523" w:rsidR="00EE7A90" w:rsidRDefault="003F00A2">
    <w:pPr>
      <w:pStyle w:val="Header"/>
    </w:pPr>
    <w:r>
      <w:rPr>
        <w:noProof/>
      </w:rPr>
      <w:pict w14:anchorId="0A25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2F2B43C6" w:rsidR="00717F2E" w:rsidRDefault="003F00A2">
    <w:pPr>
      <w:ind w:left="2160"/>
      <w:jc w:val="center"/>
      <w:rPr>
        <w:rFonts w:eastAsia="Calibri"/>
        <w:i/>
        <w:sz w:val="18"/>
        <w:szCs w:val="22"/>
      </w:rPr>
    </w:pPr>
    <w:r>
      <w:rPr>
        <w:noProof/>
      </w:rPr>
      <w:pict w14:anchorId="13794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92A0" w14:textId="66A6A9B2" w:rsidR="00EE7A90" w:rsidRDefault="003F00A2">
    <w:pPr>
      <w:pStyle w:val="Header"/>
    </w:pPr>
    <w:r>
      <w:rPr>
        <w:noProof/>
      </w:rPr>
      <w:pict w14:anchorId="09719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4EB4" w14:textId="513DA039" w:rsidR="00EE7A90" w:rsidRDefault="003F00A2">
    <w:pPr>
      <w:pStyle w:val="Header"/>
    </w:pPr>
    <w:r>
      <w:rPr>
        <w:noProof/>
      </w:rPr>
      <w:pict w14:anchorId="52639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4EA1" w14:textId="170A4F4E" w:rsidR="00EE7A90" w:rsidRDefault="003F00A2">
    <w:pPr>
      <w:pStyle w:val="Header"/>
    </w:pPr>
    <w:r>
      <w:rPr>
        <w:noProof/>
      </w:rPr>
      <w:pict w14:anchorId="10FB6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B12"/>
    <w:rsid w:val="00014095"/>
    <w:rsid w:val="00015C44"/>
    <w:rsid w:val="00017E5D"/>
    <w:rsid w:val="00021967"/>
    <w:rsid w:val="00021FDF"/>
    <w:rsid w:val="00024B4F"/>
    <w:rsid w:val="000254BB"/>
    <w:rsid w:val="00025BD1"/>
    <w:rsid w:val="000260E3"/>
    <w:rsid w:val="00030174"/>
    <w:rsid w:val="00037406"/>
    <w:rsid w:val="00037475"/>
    <w:rsid w:val="000414F8"/>
    <w:rsid w:val="00043453"/>
    <w:rsid w:val="0004445B"/>
    <w:rsid w:val="0004512C"/>
    <w:rsid w:val="0004579C"/>
    <w:rsid w:val="00045CD6"/>
    <w:rsid w:val="00046AE8"/>
    <w:rsid w:val="00052575"/>
    <w:rsid w:val="00052710"/>
    <w:rsid w:val="000531C9"/>
    <w:rsid w:val="00053CE0"/>
    <w:rsid w:val="00054B24"/>
    <w:rsid w:val="00054B91"/>
    <w:rsid w:val="00055D31"/>
    <w:rsid w:val="0005727A"/>
    <w:rsid w:val="00057C65"/>
    <w:rsid w:val="000603D4"/>
    <w:rsid w:val="00061339"/>
    <w:rsid w:val="000647E2"/>
    <w:rsid w:val="00065B83"/>
    <w:rsid w:val="0006706E"/>
    <w:rsid w:val="0006786A"/>
    <w:rsid w:val="00067A0F"/>
    <w:rsid w:val="00067B98"/>
    <w:rsid w:val="00073A00"/>
    <w:rsid w:val="00073DA5"/>
    <w:rsid w:val="000763D2"/>
    <w:rsid w:val="00081ACB"/>
    <w:rsid w:val="000827FD"/>
    <w:rsid w:val="00084A16"/>
    <w:rsid w:val="00090DFA"/>
    <w:rsid w:val="00095BAE"/>
    <w:rsid w:val="00095F34"/>
    <w:rsid w:val="00096483"/>
    <w:rsid w:val="00096CB5"/>
    <w:rsid w:val="00096E7E"/>
    <w:rsid w:val="000A2230"/>
    <w:rsid w:val="000A3474"/>
    <w:rsid w:val="000A3EDA"/>
    <w:rsid w:val="000A47FA"/>
    <w:rsid w:val="000A61FE"/>
    <w:rsid w:val="000A65D3"/>
    <w:rsid w:val="000A77F6"/>
    <w:rsid w:val="000B03FC"/>
    <w:rsid w:val="000B1E33"/>
    <w:rsid w:val="000B6BC1"/>
    <w:rsid w:val="000B75B1"/>
    <w:rsid w:val="000C43E4"/>
    <w:rsid w:val="000C5AE7"/>
    <w:rsid w:val="000C6E8D"/>
    <w:rsid w:val="000C70E2"/>
    <w:rsid w:val="000C73EB"/>
    <w:rsid w:val="000D2384"/>
    <w:rsid w:val="000D23E6"/>
    <w:rsid w:val="000D31C5"/>
    <w:rsid w:val="000D5F80"/>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0CCE"/>
    <w:rsid w:val="00103357"/>
    <w:rsid w:val="00107572"/>
    <w:rsid w:val="0011125C"/>
    <w:rsid w:val="00113238"/>
    <w:rsid w:val="00115F49"/>
    <w:rsid w:val="00117553"/>
    <w:rsid w:val="00122285"/>
    <w:rsid w:val="00122E99"/>
    <w:rsid w:val="00123C9F"/>
    <w:rsid w:val="001242A5"/>
    <w:rsid w:val="00126190"/>
    <w:rsid w:val="00126507"/>
    <w:rsid w:val="00126BC5"/>
    <w:rsid w:val="00130F17"/>
    <w:rsid w:val="00131057"/>
    <w:rsid w:val="001320BF"/>
    <w:rsid w:val="00137243"/>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395C"/>
    <w:rsid w:val="001B41D7"/>
    <w:rsid w:val="001B489B"/>
    <w:rsid w:val="001B785F"/>
    <w:rsid w:val="001B7F30"/>
    <w:rsid w:val="001C12F6"/>
    <w:rsid w:val="001C2FC3"/>
    <w:rsid w:val="001C4AD5"/>
    <w:rsid w:val="001C572B"/>
    <w:rsid w:val="001C71EE"/>
    <w:rsid w:val="001C73EE"/>
    <w:rsid w:val="001D0BDE"/>
    <w:rsid w:val="001D10E2"/>
    <w:rsid w:val="001D3A51"/>
    <w:rsid w:val="001D4380"/>
    <w:rsid w:val="001D7EA8"/>
    <w:rsid w:val="001E10D2"/>
    <w:rsid w:val="001E25B4"/>
    <w:rsid w:val="001E44FE"/>
    <w:rsid w:val="001E5B29"/>
    <w:rsid w:val="001E6121"/>
    <w:rsid w:val="001E7EB7"/>
    <w:rsid w:val="001F31F9"/>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37CD1"/>
    <w:rsid w:val="00240CE3"/>
    <w:rsid w:val="00241741"/>
    <w:rsid w:val="0024282C"/>
    <w:rsid w:val="00245CB7"/>
    <w:rsid w:val="002460DC"/>
    <w:rsid w:val="00246DC7"/>
    <w:rsid w:val="00250985"/>
    <w:rsid w:val="0025105D"/>
    <w:rsid w:val="00251748"/>
    <w:rsid w:val="00251946"/>
    <w:rsid w:val="002556F6"/>
    <w:rsid w:val="00256452"/>
    <w:rsid w:val="00256882"/>
    <w:rsid w:val="002622D4"/>
    <w:rsid w:val="00264A59"/>
    <w:rsid w:val="00266E67"/>
    <w:rsid w:val="00271F07"/>
    <w:rsid w:val="002755D7"/>
    <w:rsid w:val="002814B3"/>
    <w:rsid w:val="00283105"/>
    <w:rsid w:val="00283BED"/>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7F0F"/>
    <w:rsid w:val="002F2031"/>
    <w:rsid w:val="002F2D06"/>
    <w:rsid w:val="002F42EB"/>
    <w:rsid w:val="002F5C4B"/>
    <w:rsid w:val="002F5E64"/>
    <w:rsid w:val="0030202C"/>
    <w:rsid w:val="00303A6C"/>
    <w:rsid w:val="00303E14"/>
    <w:rsid w:val="00304434"/>
    <w:rsid w:val="00304469"/>
    <w:rsid w:val="003074EB"/>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616"/>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076B"/>
    <w:rsid w:val="00362B79"/>
    <w:rsid w:val="00362D97"/>
    <w:rsid w:val="00363B3A"/>
    <w:rsid w:val="00363CA7"/>
    <w:rsid w:val="00371FB6"/>
    <w:rsid w:val="003763C1"/>
    <w:rsid w:val="00376A55"/>
    <w:rsid w:val="00376BBE"/>
    <w:rsid w:val="00377430"/>
    <w:rsid w:val="00377AD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0907"/>
    <w:rsid w:val="003C4335"/>
    <w:rsid w:val="003C44A6"/>
    <w:rsid w:val="003C4C86"/>
    <w:rsid w:val="003C6258"/>
    <w:rsid w:val="003D171B"/>
    <w:rsid w:val="003D2D0A"/>
    <w:rsid w:val="003D3677"/>
    <w:rsid w:val="003D4C18"/>
    <w:rsid w:val="003D61C5"/>
    <w:rsid w:val="003D6BA6"/>
    <w:rsid w:val="003D7548"/>
    <w:rsid w:val="003D7E45"/>
    <w:rsid w:val="003E2904"/>
    <w:rsid w:val="003E3399"/>
    <w:rsid w:val="003E37A2"/>
    <w:rsid w:val="003E467A"/>
    <w:rsid w:val="003E49AD"/>
    <w:rsid w:val="003E671C"/>
    <w:rsid w:val="003E7C0F"/>
    <w:rsid w:val="003F00A2"/>
    <w:rsid w:val="003F10CF"/>
    <w:rsid w:val="003F2281"/>
    <w:rsid w:val="003F3B63"/>
    <w:rsid w:val="003F760A"/>
    <w:rsid w:val="00401927"/>
    <w:rsid w:val="00403CB1"/>
    <w:rsid w:val="004040B3"/>
    <w:rsid w:val="00404135"/>
    <w:rsid w:val="0041027F"/>
    <w:rsid w:val="00410AB7"/>
    <w:rsid w:val="00412475"/>
    <w:rsid w:val="0041280F"/>
    <w:rsid w:val="004138D3"/>
    <w:rsid w:val="00415D76"/>
    <w:rsid w:val="00416DDE"/>
    <w:rsid w:val="00423789"/>
    <w:rsid w:val="00430496"/>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86F48"/>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2D55"/>
    <w:rsid w:val="004F45E4"/>
    <w:rsid w:val="004F7E11"/>
    <w:rsid w:val="00500D35"/>
    <w:rsid w:val="00502516"/>
    <w:rsid w:val="00502C0C"/>
    <w:rsid w:val="00502D46"/>
    <w:rsid w:val="00503ADC"/>
    <w:rsid w:val="00504CAB"/>
    <w:rsid w:val="00505231"/>
    <w:rsid w:val="00505F06"/>
    <w:rsid w:val="00506828"/>
    <w:rsid w:val="0050761B"/>
    <w:rsid w:val="00507A73"/>
    <w:rsid w:val="00517AFC"/>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92DF4"/>
    <w:rsid w:val="005A463E"/>
    <w:rsid w:val="005A4C3F"/>
    <w:rsid w:val="005A6405"/>
    <w:rsid w:val="005A6625"/>
    <w:rsid w:val="005B0E96"/>
    <w:rsid w:val="005B1BAF"/>
    <w:rsid w:val="005B222E"/>
    <w:rsid w:val="005B2E0E"/>
    <w:rsid w:val="005B3F31"/>
    <w:rsid w:val="005B5EA4"/>
    <w:rsid w:val="005C2662"/>
    <w:rsid w:val="005C2AB0"/>
    <w:rsid w:val="005C3039"/>
    <w:rsid w:val="005C456F"/>
    <w:rsid w:val="005C540B"/>
    <w:rsid w:val="005C6F1A"/>
    <w:rsid w:val="005C784C"/>
    <w:rsid w:val="005D17F6"/>
    <w:rsid w:val="005D1CBB"/>
    <w:rsid w:val="005D28C5"/>
    <w:rsid w:val="005D2C58"/>
    <w:rsid w:val="005D3FA5"/>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80D"/>
    <w:rsid w:val="00617FDD"/>
    <w:rsid w:val="00620108"/>
    <w:rsid w:val="006203C5"/>
    <w:rsid w:val="00621CBF"/>
    <w:rsid w:val="00622252"/>
    <w:rsid w:val="0062246A"/>
    <w:rsid w:val="00624014"/>
    <w:rsid w:val="006264D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58AA"/>
    <w:rsid w:val="006B66D1"/>
    <w:rsid w:val="006B7388"/>
    <w:rsid w:val="006B77F3"/>
    <w:rsid w:val="006C0110"/>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A58"/>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2172"/>
    <w:rsid w:val="00776F82"/>
    <w:rsid w:val="0077749E"/>
    <w:rsid w:val="00777894"/>
    <w:rsid w:val="00777EFB"/>
    <w:rsid w:val="00781D5E"/>
    <w:rsid w:val="00781F66"/>
    <w:rsid w:val="00790ADA"/>
    <w:rsid w:val="00791230"/>
    <w:rsid w:val="0079158F"/>
    <w:rsid w:val="00793F54"/>
    <w:rsid w:val="007969E9"/>
    <w:rsid w:val="007A2E32"/>
    <w:rsid w:val="007A351A"/>
    <w:rsid w:val="007A52F2"/>
    <w:rsid w:val="007A5FBD"/>
    <w:rsid w:val="007B0C10"/>
    <w:rsid w:val="007B541F"/>
    <w:rsid w:val="007C102A"/>
    <w:rsid w:val="007C31D6"/>
    <w:rsid w:val="007C3792"/>
    <w:rsid w:val="007C4C8B"/>
    <w:rsid w:val="007C4E84"/>
    <w:rsid w:val="007C6F64"/>
    <w:rsid w:val="007D0606"/>
    <w:rsid w:val="007D0BA1"/>
    <w:rsid w:val="007D2288"/>
    <w:rsid w:val="007D2B80"/>
    <w:rsid w:val="007D30D2"/>
    <w:rsid w:val="007D3FB5"/>
    <w:rsid w:val="007D4CAA"/>
    <w:rsid w:val="007D7251"/>
    <w:rsid w:val="007D7C3E"/>
    <w:rsid w:val="007E088F"/>
    <w:rsid w:val="007E565A"/>
    <w:rsid w:val="007E5C64"/>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4F98"/>
    <w:rsid w:val="008453DD"/>
    <w:rsid w:val="00847952"/>
    <w:rsid w:val="00847977"/>
    <w:rsid w:val="00850E61"/>
    <w:rsid w:val="00851CF6"/>
    <w:rsid w:val="0085546E"/>
    <w:rsid w:val="0085657A"/>
    <w:rsid w:val="00860000"/>
    <w:rsid w:val="00861C5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0AB1"/>
    <w:rsid w:val="008B459E"/>
    <w:rsid w:val="008B6AE3"/>
    <w:rsid w:val="008C1E2D"/>
    <w:rsid w:val="008C2330"/>
    <w:rsid w:val="008C3CF9"/>
    <w:rsid w:val="008C5747"/>
    <w:rsid w:val="008C65DE"/>
    <w:rsid w:val="008D0509"/>
    <w:rsid w:val="008D1544"/>
    <w:rsid w:val="008D4CC6"/>
    <w:rsid w:val="008D5531"/>
    <w:rsid w:val="008D6E31"/>
    <w:rsid w:val="008E13AE"/>
    <w:rsid w:val="008E1506"/>
    <w:rsid w:val="008E1D48"/>
    <w:rsid w:val="008E3BFB"/>
    <w:rsid w:val="008E710C"/>
    <w:rsid w:val="008F0221"/>
    <w:rsid w:val="008F2E29"/>
    <w:rsid w:val="008F446C"/>
    <w:rsid w:val="008F5B17"/>
    <w:rsid w:val="008F69D6"/>
    <w:rsid w:val="00902823"/>
    <w:rsid w:val="00907A49"/>
    <w:rsid w:val="00907C80"/>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E63"/>
    <w:rsid w:val="009500A6"/>
    <w:rsid w:val="00951100"/>
    <w:rsid w:val="00952916"/>
    <w:rsid w:val="00957C18"/>
    <w:rsid w:val="00957C4C"/>
    <w:rsid w:val="00960222"/>
    <w:rsid w:val="00960D9E"/>
    <w:rsid w:val="009628FB"/>
    <w:rsid w:val="00962B44"/>
    <w:rsid w:val="00962C41"/>
    <w:rsid w:val="00962EC8"/>
    <w:rsid w:val="009648BB"/>
    <w:rsid w:val="009659BA"/>
    <w:rsid w:val="0096663E"/>
    <w:rsid w:val="0096697A"/>
    <w:rsid w:val="00966B8A"/>
    <w:rsid w:val="009676BB"/>
    <w:rsid w:val="00970217"/>
    <w:rsid w:val="00972E76"/>
    <w:rsid w:val="00973D3A"/>
    <w:rsid w:val="00973FFA"/>
    <w:rsid w:val="0097678A"/>
    <w:rsid w:val="00976CB2"/>
    <w:rsid w:val="009770DF"/>
    <w:rsid w:val="00982C5E"/>
    <w:rsid w:val="00982CC1"/>
    <w:rsid w:val="00982E47"/>
    <w:rsid w:val="00983040"/>
    <w:rsid w:val="0098668C"/>
    <w:rsid w:val="009913C6"/>
    <w:rsid w:val="00991ABC"/>
    <w:rsid w:val="00994FC5"/>
    <w:rsid w:val="009950D9"/>
    <w:rsid w:val="00995521"/>
    <w:rsid w:val="009A361E"/>
    <w:rsid w:val="009A4B52"/>
    <w:rsid w:val="009A5463"/>
    <w:rsid w:val="009A5ABF"/>
    <w:rsid w:val="009B02B2"/>
    <w:rsid w:val="009B2860"/>
    <w:rsid w:val="009B2A64"/>
    <w:rsid w:val="009B3195"/>
    <w:rsid w:val="009B3FB9"/>
    <w:rsid w:val="009B4824"/>
    <w:rsid w:val="009B4BA0"/>
    <w:rsid w:val="009B614E"/>
    <w:rsid w:val="009C0A64"/>
    <w:rsid w:val="009C211B"/>
    <w:rsid w:val="009C2465"/>
    <w:rsid w:val="009C4360"/>
    <w:rsid w:val="009C6219"/>
    <w:rsid w:val="009C66BE"/>
    <w:rsid w:val="009D062A"/>
    <w:rsid w:val="009D346B"/>
    <w:rsid w:val="009D35A0"/>
    <w:rsid w:val="009D5D98"/>
    <w:rsid w:val="009D5F81"/>
    <w:rsid w:val="009D7EB7"/>
    <w:rsid w:val="009E048A"/>
    <w:rsid w:val="009E06BC"/>
    <w:rsid w:val="009E08E9"/>
    <w:rsid w:val="009E115B"/>
    <w:rsid w:val="009E1832"/>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2B33"/>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0ABE"/>
    <w:rsid w:val="00B211F4"/>
    <w:rsid w:val="00B21345"/>
    <w:rsid w:val="00B23046"/>
    <w:rsid w:val="00B23383"/>
    <w:rsid w:val="00B237FB"/>
    <w:rsid w:val="00B278F0"/>
    <w:rsid w:val="00B31AFA"/>
    <w:rsid w:val="00B32415"/>
    <w:rsid w:val="00B346C5"/>
    <w:rsid w:val="00B346D1"/>
    <w:rsid w:val="00B35882"/>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549D"/>
    <w:rsid w:val="00BB698A"/>
    <w:rsid w:val="00BB6D95"/>
    <w:rsid w:val="00BB6DA6"/>
    <w:rsid w:val="00BB7A71"/>
    <w:rsid w:val="00BC2A3C"/>
    <w:rsid w:val="00BC53A0"/>
    <w:rsid w:val="00BC78EB"/>
    <w:rsid w:val="00BD07D8"/>
    <w:rsid w:val="00BD504C"/>
    <w:rsid w:val="00BD7404"/>
    <w:rsid w:val="00BD7576"/>
    <w:rsid w:val="00BD76E4"/>
    <w:rsid w:val="00BE0A38"/>
    <w:rsid w:val="00BE0E4E"/>
    <w:rsid w:val="00BE1295"/>
    <w:rsid w:val="00BE1782"/>
    <w:rsid w:val="00BE230B"/>
    <w:rsid w:val="00BE50CB"/>
    <w:rsid w:val="00BE62AD"/>
    <w:rsid w:val="00BF121F"/>
    <w:rsid w:val="00BF1D4D"/>
    <w:rsid w:val="00BF1F80"/>
    <w:rsid w:val="00BF2939"/>
    <w:rsid w:val="00BF2CC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3862"/>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48AC"/>
    <w:rsid w:val="00C555E5"/>
    <w:rsid w:val="00C56639"/>
    <w:rsid w:val="00C60511"/>
    <w:rsid w:val="00C63652"/>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759"/>
    <w:rsid w:val="00D21D9E"/>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474F4"/>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326F"/>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6A4E"/>
    <w:rsid w:val="00DD733B"/>
    <w:rsid w:val="00DD7E9A"/>
    <w:rsid w:val="00DE15F0"/>
    <w:rsid w:val="00DE32FA"/>
    <w:rsid w:val="00DE3EAB"/>
    <w:rsid w:val="00DE5663"/>
    <w:rsid w:val="00DE7644"/>
    <w:rsid w:val="00DE767A"/>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43E"/>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E7A90"/>
    <w:rsid w:val="00EF15DE"/>
    <w:rsid w:val="00EF1EB5"/>
    <w:rsid w:val="00EF2383"/>
    <w:rsid w:val="00EF4B2D"/>
    <w:rsid w:val="00EF581D"/>
    <w:rsid w:val="00EF7DF2"/>
    <w:rsid w:val="00EF7FD8"/>
    <w:rsid w:val="00F01853"/>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379D4"/>
    <w:rsid w:val="00F40FB0"/>
    <w:rsid w:val="00F41F1C"/>
    <w:rsid w:val="00F4246D"/>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D79D4"/>
    <w:rsid w:val="00FE32B3"/>
    <w:rsid w:val="00FE379F"/>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52"/>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5D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533686651">
      <w:bodyDiv w:val="1"/>
      <w:marLeft w:val="0"/>
      <w:marRight w:val="0"/>
      <w:marTop w:val="0"/>
      <w:marBottom w:val="0"/>
      <w:divBdr>
        <w:top w:val="none" w:sz="0" w:space="0" w:color="auto"/>
        <w:left w:val="none" w:sz="0" w:space="0" w:color="auto"/>
        <w:bottom w:val="none" w:sz="0" w:space="0" w:color="auto"/>
        <w:right w:val="none" w:sz="0" w:space="0" w:color="auto"/>
      </w:divBdr>
    </w:div>
    <w:div w:id="203175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s.sagepub.com/doi/abs/10.1177/0042085916651323" TargetMode="External"/><Relationship Id="rId26" Type="http://schemas.openxmlformats.org/officeDocument/2006/relationships/hyperlink" Target="https://hal.science/hal-04655066/" TargetMode="External"/><Relationship Id="rId39" Type="http://schemas.openxmlformats.org/officeDocument/2006/relationships/fontTable" Target="fontTable.xml"/><Relationship Id="rId21" Type="http://schemas.openxmlformats.org/officeDocument/2006/relationships/hyperlink" Target="https://www.tandfonline.com/doi/abs/10.1080/0142159X.2018.1552782" TargetMode="External"/><Relationship Id="rId34" Type="http://schemas.openxmlformats.org/officeDocument/2006/relationships/hyperlink" Target="https://link.springer.com/article/10.1186/s40594-020-0020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edu.pk/images/journal/history/PDF-FILES/24_57_1_20.pdf" TargetMode="External"/><Relationship Id="rId25" Type="http://schemas.openxmlformats.org/officeDocument/2006/relationships/hyperlink" Target="https://journals.aloysianpublications.com/index.php/articles/article/view/101" TargetMode="External"/><Relationship Id="rId33" Type="http://schemas.openxmlformats.org/officeDocument/2006/relationships/hyperlink" Target="https://link.springer.com/chapter/10.1007/978-3-030-71575-5_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eric.ed.gov/?id=EJ1323025" TargetMode="External"/><Relationship Id="rId20" Type="http://schemas.openxmlformats.org/officeDocument/2006/relationships/hyperlink" Target="https://al-kindipublishers.org/index.php/ijllt/article/view/9857" TargetMode="External"/><Relationship Id="rId29" Type="http://schemas.openxmlformats.org/officeDocument/2006/relationships/hyperlink" Target="https://www.tandfonline.com/doi/abs/10.1080/02568543.2019.1692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nk.springer.com/article/10.1007/s10643-020-01054-4" TargetMode="External"/><Relationship Id="rId32" Type="http://schemas.openxmlformats.org/officeDocument/2006/relationships/hyperlink" Target="https://www.tandfonline.com/doi/abs/10.1080/13603116.2018.145590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pjol.info/index.php/cognition/article/view/74765" TargetMode="External"/><Relationship Id="rId23" Type="http://schemas.openxmlformats.org/officeDocument/2006/relationships/hyperlink" Target="https://www.tandfonline.com/doi/abs/10.1080/13603116.2019.1572232" TargetMode="External"/><Relationship Id="rId28" Type="http://schemas.openxmlformats.org/officeDocument/2006/relationships/hyperlink" Target="http://forestchemicalsreview.com/index.php/JFCR/article/view/1102"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tandfonline.com/doi/abs/10.1080/19415257.2019.1689523" TargetMode="External"/><Relationship Id="rId31" Type="http://schemas.openxmlformats.org/officeDocument/2006/relationships/hyperlink" Target="https://dergipark.org.tr/en/pub/jtee/issue/62163/7429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link.springer.com/rwe/10.1007/978-3-319-67828-3_4" TargetMode="External"/><Relationship Id="rId27" Type="http://schemas.openxmlformats.org/officeDocument/2006/relationships/hyperlink" Target="https://hal.science/hal-05073466/" TargetMode="External"/><Relationship Id="rId30" Type="http://schemas.openxmlformats.org/officeDocument/2006/relationships/hyperlink" Target="https://www.mdpi.com/2227-7102/11/8/416"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13</Pages>
  <Words>5714</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80</cp:revision>
  <cp:lastPrinted>2024-10-20T02:52:00Z</cp:lastPrinted>
  <dcterms:created xsi:type="dcterms:W3CDTF">2025-06-16T05:15:00Z</dcterms:created>
  <dcterms:modified xsi:type="dcterms:W3CDTF">2025-06-18T02:54:00Z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