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E4702" w14:textId="77777777" w:rsidR="00764629" w:rsidRDefault="00764629" w:rsidP="000763D2">
      <w:pPr>
        <w:pStyle w:val="Author"/>
        <w:spacing w:line="240" w:lineRule="auto"/>
        <w:jc w:val="left"/>
        <w:rPr>
          <w:rFonts w:ascii="Arial" w:hAnsi="Arial" w:cs="Arial"/>
          <w:bCs/>
          <w:iCs/>
          <w:kern w:val="28"/>
          <w:szCs w:val="24"/>
        </w:rPr>
      </w:pPr>
    </w:p>
    <w:p w14:paraId="77F35F6E" w14:textId="6CE533DC" w:rsidR="002309B8" w:rsidRDefault="00B30FC5" w:rsidP="00764629">
      <w:pPr>
        <w:jc w:val="right"/>
        <w:rPr>
          <w:rFonts w:ascii="Arial" w:hAnsi="Arial" w:cs="Arial"/>
          <w:b/>
          <w:noProof/>
          <w:sz w:val="28"/>
          <w:szCs w:val="28"/>
          <w:lang w:eastAsia="en-PH"/>
        </w:rPr>
      </w:pPr>
      <w:r w:rsidRPr="00D07502">
        <w:rPr>
          <w:rFonts w:ascii="Arial" w:hAnsi="Arial" w:cs="Arial"/>
          <w:b/>
          <w:noProof/>
          <w:sz w:val="28"/>
          <w:szCs w:val="28"/>
          <w:lang w:eastAsia="en-PH"/>
        </w:rPr>
        <w:t xml:space="preserve">Operational Support </w:t>
      </w:r>
      <w:r>
        <w:rPr>
          <w:rFonts w:ascii="Arial" w:hAnsi="Arial" w:cs="Arial"/>
          <w:b/>
          <w:noProof/>
          <w:sz w:val="28"/>
          <w:szCs w:val="28"/>
          <w:lang w:eastAsia="en-PH"/>
        </w:rPr>
        <w:t>a</w:t>
      </w:r>
      <w:r w:rsidRPr="00D07502">
        <w:rPr>
          <w:rFonts w:ascii="Arial" w:hAnsi="Arial" w:cs="Arial"/>
          <w:b/>
          <w:noProof/>
          <w:sz w:val="28"/>
          <w:szCs w:val="28"/>
          <w:lang w:eastAsia="en-PH"/>
        </w:rPr>
        <w:t xml:space="preserve">nd Innovative Work Behavior </w:t>
      </w:r>
      <w:r>
        <w:rPr>
          <w:rFonts w:ascii="Arial" w:hAnsi="Arial" w:cs="Arial"/>
          <w:b/>
          <w:noProof/>
          <w:sz w:val="28"/>
          <w:szCs w:val="28"/>
          <w:lang w:eastAsia="en-PH"/>
        </w:rPr>
        <w:t>a</w:t>
      </w:r>
      <w:r w:rsidRPr="00D07502">
        <w:rPr>
          <w:rFonts w:ascii="Arial" w:hAnsi="Arial" w:cs="Arial"/>
          <w:b/>
          <w:noProof/>
          <w:sz w:val="28"/>
          <w:szCs w:val="28"/>
          <w:lang w:eastAsia="en-PH"/>
        </w:rPr>
        <w:t xml:space="preserve">s Predictors </w:t>
      </w:r>
      <w:r>
        <w:rPr>
          <w:rFonts w:ascii="Arial" w:hAnsi="Arial" w:cs="Arial"/>
          <w:b/>
          <w:noProof/>
          <w:sz w:val="28"/>
          <w:szCs w:val="28"/>
          <w:lang w:eastAsia="en-PH"/>
        </w:rPr>
        <w:t>o</w:t>
      </w:r>
      <w:r w:rsidRPr="00D07502">
        <w:rPr>
          <w:rFonts w:ascii="Arial" w:hAnsi="Arial" w:cs="Arial"/>
          <w:b/>
          <w:noProof/>
          <w:sz w:val="28"/>
          <w:szCs w:val="28"/>
          <w:lang w:eastAsia="en-PH"/>
        </w:rPr>
        <w:t>f Teacher Engagement Among Public Elementary School Teachers</w:t>
      </w:r>
    </w:p>
    <w:p w14:paraId="0D1B0595" w14:textId="77777777" w:rsidR="00764629" w:rsidRPr="002309B8" w:rsidRDefault="00764629" w:rsidP="00764629">
      <w:pPr>
        <w:jc w:val="right"/>
        <w:rPr>
          <w:rFonts w:ascii="Arial" w:hAnsi="Arial" w:cs="Arial"/>
          <w:b/>
          <w:noProof/>
          <w:sz w:val="28"/>
          <w:szCs w:val="28"/>
          <w:lang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Pr="0076337A" w:rsidRDefault="00180859">
      <w:pPr>
        <w:pStyle w:val="Affiliation"/>
        <w:spacing w:line="240" w:lineRule="auto"/>
        <w:jc w:val="left"/>
        <w:rPr>
          <w:rFonts w:ascii="Arial" w:hAnsi="Arial" w:cs="Arial"/>
          <w:i/>
        </w:rPr>
        <w:sectPr w:rsidR="00717F2E" w:rsidRPr="0076337A" w:rsidSect="00FA1496">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326"/>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Pr="0076337A" w:rsidRDefault="00180859">
      <w:pPr>
        <w:pStyle w:val="AbstHead"/>
        <w:spacing w:after="0"/>
        <w:jc w:val="both"/>
        <w:rPr>
          <w:rFonts w:ascii="Arial" w:hAnsi="Arial" w:cs="Arial"/>
          <w:sz w:val="20"/>
        </w:rPr>
      </w:pPr>
      <w:r w:rsidRPr="0076337A">
        <w:rPr>
          <w:rFonts w:ascii="Arial" w:hAnsi="Arial" w:cs="Arial"/>
          <w:sz w:val="20"/>
        </w:rPr>
        <w:t xml:space="preserve">ABSTRACT </w:t>
      </w:r>
    </w:p>
    <w:p w14:paraId="3D835972" w14:textId="77777777" w:rsidR="00717F2E" w:rsidRPr="0076337A"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rsidRPr="0076337A" w14:paraId="4274D69E" w14:textId="77777777" w:rsidTr="008825C9">
        <w:trPr>
          <w:trHeight w:val="3167"/>
        </w:trPr>
        <w:tc>
          <w:tcPr>
            <w:tcW w:w="9576" w:type="dxa"/>
            <w:shd w:val="clear" w:color="auto" w:fill="F2F2F2"/>
          </w:tcPr>
          <w:p w14:paraId="10E1D353" w14:textId="6CA4DAAF" w:rsidR="00717F2E" w:rsidRPr="0076337A" w:rsidRDefault="008D3C51" w:rsidP="001E31B5">
            <w:pPr>
              <w:jc w:val="both"/>
              <w:rPr>
                <w:rFonts w:ascii="Arial" w:hAnsi="Arial" w:cs="Arial"/>
                <w:iCs/>
                <w:sz w:val="20"/>
                <w:szCs w:val="20"/>
              </w:rPr>
            </w:pPr>
            <w:r w:rsidRPr="008D3C51">
              <w:rPr>
                <w:rFonts w:ascii="Arial" w:hAnsi="Arial" w:cs="Arial"/>
                <w:iCs/>
                <w:sz w:val="20"/>
                <w:szCs w:val="20"/>
                <w:highlight w:val="yellow"/>
              </w:rPr>
              <w:t xml:space="preserve">Teacher engagement has become an increasingly critical issue in education, as many schools face challenges in sustaining motivation and performance among teaching personnel amidst evolving demands and </w:t>
            </w:r>
            <w:proofErr w:type="spellStart"/>
            <w:proofErr w:type="gramStart"/>
            <w:r w:rsidRPr="008D3C51">
              <w:rPr>
                <w:rFonts w:ascii="Arial" w:hAnsi="Arial" w:cs="Arial"/>
                <w:iCs/>
                <w:sz w:val="20"/>
                <w:szCs w:val="20"/>
                <w:highlight w:val="yellow"/>
              </w:rPr>
              <w:t>expectations.</w:t>
            </w:r>
            <w:r w:rsidR="001F0198" w:rsidRPr="001F0198">
              <w:rPr>
                <w:rFonts w:ascii="Arial" w:hAnsi="Arial" w:cs="Arial"/>
                <w:iCs/>
                <w:sz w:val="20"/>
                <w:szCs w:val="20"/>
              </w:rPr>
              <w:t>This</w:t>
            </w:r>
            <w:proofErr w:type="spellEnd"/>
            <w:proofErr w:type="gramEnd"/>
            <w:r w:rsidR="001F0198" w:rsidRPr="001F0198">
              <w:rPr>
                <w:rFonts w:ascii="Arial" w:hAnsi="Arial" w:cs="Arial"/>
                <w:iCs/>
                <w:sz w:val="20"/>
                <w:szCs w:val="20"/>
              </w:rPr>
              <w:t xml:space="preserve"> study aimed to determine if operational support and innovative work behavior significantly predict teacher engagement among public elementary school teachers in Sto. Tomas District, Division of Davao del Norte. A </w:t>
            </w:r>
            <w:r w:rsidRPr="008D3C51">
              <w:rPr>
                <w:rFonts w:ascii="Arial" w:hAnsi="Arial" w:cs="Arial"/>
                <w:iCs/>
                <w:sz w:val="20"/>
                <w:szCs w:val="20"/>
                <w:highlight w:val="yellow"/>
              </w:rPr>
              <w:t>correlational type of survey design</w:t>
            </w:r>
            <w:r w:rsidRPr="008D3C51">
              <w:rPr>
                <w:rFonts w:ascii="Arial" w:hAnsi="Arial" w:cs="Arial"/>
                <w:iCs/>
                <w:sz w:val="20"/>
                <w:szCs w:val="20"/>
              </w:rPr>
              <w:t xml:space="preserve"> </w:t>
            </w:r>
            <w:r w:rsidR="001F0198" w:rsidRPr="001F0198">
              <w:rPr>
                <w:rFonts w:ascii="Arial" w:hAnsi="Arial" w:cs="Arial"/>
                <w:iCs/>
                <w:sz w:val="20"/>
                <w:szCs w:val="20"/>
              </w:rPr>
              <w:t xml:space="preserve">was employed, involving a sample of 178 teachers from public elementary schools in Sto. Tomas District, Division of Davao del Norte. Standardized questionnaires were administered through face-to-face surveys. The mean, standard deviation (SD), Pearson product-moment correlation, and multiple linear regression analyses were utilized to analyze the collected data. </w:t>
            </w:r>
            <w:r w:rsidR="001F0198" w:rsidRPr="00891B60">
              <w:rPr>
                <w:rFonts w:ascii="Arial" w:hAnsi="Arial" w:cs="Arial"/>
                <w:iCs/>
                <w:sz w:val="20"/>
                <w:szCs w:val="20"/>
                <w:highlight w:val="yellow"/>
              </w:rPr>
              <w:t>The findings revealed that operational support</w:t>
            </w:r>
            <w:r w:rsidRPr="00891B60">
              <w:rPr>
                <w:rFonts w:ascii="Arial" w:hAnsi="Arial" w:cs="Arial"/>
                <w:iCs/>
                <w:sz w:val="20"/>
                <w:szCs w:val="20"/>
                <w:highlight w:val="yellow"/>
              </w:rPr>
              <w:t xml:space="preserve"> (Mean=3.58; SD=</w:t>
            </w:r>
            <w:r w:rsidR="00891B60" w:rsidRPr="00891B60">
              <w:rPr>
                <w:rFonts w:ascii="Arial" w:hAnsi="Arial" w:cs="Arial"/>
                <w:iCs/>
                <w:sz w:val="20"/>
                <w:szCs w:val="20"/>
                <w:highlight w:val="yellow"/>
              </w:rPr>
              <w:t>1.06)</w:t>
            </w:r>
            <w:r w:rsidR="001F0198" w:rsidRPr="00891B60">
              <w:rPr>
                <w:rFonts w:ascii="Arial" w:hAnsi="Arial" w:cs="Arial"/>
                <w:iCs/>
                <w:sz w:val="20"/>
                <w:szCs w:val="20"/>
                <w:highlight w:val="yellow"/>
              </w:rPr>
              <w:t xml:space="preserve">, innovative work </w:t>
            </w:r>
            <w:r w:rsidR="00891B60" w:rsidRPr="00891B60">
              <w:rPr>
                <w:rFonts w:ascii="Arial" w:hAnsi="Arial" w:cs="Arial"/>
                <w:iCs/>
                <w:sz w:val="20"/>
                <w:szCs w:val="20"/>
                <w:highlight w:val="yellow"/>
              </w:rPr>
              <w:t>behavior (Mean=3.90; SD=1.10</w:t>
            </w:r>
            <w:proofErr w:type="gramStart"/>
            <w:r w:rsidR="00891B60" w:rsidRPr="00891B60">
              <w:rPr>
                <w:rFonts w:ascii="Arial" w:hAnsi="Arial" w:cs="Arial"/>
                <w:iCs/>
                <w:sz w:val="20"/>
                <w:szCs w:val="20"/>
                <w:highlight w:val="yellow"/>
              </w:rPr>
              <w:t xml:space="preserve">), </w:t>
            </w:r>
            <w:r w:rsidR="001F0198" w:rsidRPr="00891B60">
              <w:rPr>
                <w:rFonts w:ascii="Arial" w:hAnsi="Arial" w:cs="Arial"/>
                <w:iCs/>
                <w:sz w:val="20"/>
                <w:szCs w:val="20"/>
                <w:highlight w:val="yellow"/>
              </w:rPr>
              <w:t xml:space="preserve"> and</w:t>
            </w:r>
            <w:proofErr w:type="gramEnd"/>
            <w:r w:rsidR="001F0198" w:rsidRPr="00891B60">
              <w:rPr>
                <w:rFonts w:ascii="Arial" w:hAnsi="Arial" w:cs="Arial"/>
                <w:iCs/>
                <w:sz w:val="20"/>
                <w:szCs w:val="20"/>
                <w:highlight w:val="yellow"/>
              </w:rPr>
              <w:t xml:space="preserve"> teacher engagement </w:t>
            </w:r>
            <w:r w:rsidR="00891B60" w:rsidRPr="00891B60">
              <w:rPr>
                <w:rFonts w:ascii="Arial" w:hAnsi="Arial" w:cs="Arial"/>
                <w:iCs/>
                <w:sz w:val="20"/>
                <w:szCs w:val="20"/>
                <w:highlight w:val="yellow"/>
              </w:rPr>
              <w:t xml:space="preserve">(Mean=3.98; SD=1.09), </w:t>
            </w:r>
            <w:r w:rsidR="001F0198" w:rsidRPr="00891B60">
              <w:rPr>
                <w:rFonts w:ascii="Arial" w:hAnsi="Arial" w:cs="Arial"/>
                <w:iCs/>
                <w:sz w:val="20"/>
                <w:szCs w:val="20"/>
                <w:highlight w:val="yellow"/>
              </w:rPr>
              <w:t>were described as extensive. Correlation analysis indicated significant relationships between operational support</w:t>
            </w:r>
            <w:r w:rsidR="006D4D7A">
              <w:rPr>
                <w:rFonts w:ascii="Arial" w:hAnsi="Arial" w:cs="Arial"/>
                <w:iCs/>
                <w:sz w:val="20"/>
                <w:szCs w:val="20"/>
                <w:highlight w:val="yellow"/>
              </w:rPr>
              <w:t xml:space="preserve"> (</w:t>
            </w:r>
            <w:proofErr w:type="spellStart"/>
            <w:r w:rsidR="006D4D7A" w:rsidRPr="00891B60">
              <w:rPr>
                <w:rFonts w:ascii="Arial" w:hAnsi="Arial" w:cs="Arial"/>
                <w:i/>
                <w:iCs/>
                <w:sz w:val="20"/>
                <w:szCs w:val="20"/>
                <w:highlight w:val="yellow"/>
              </w:rPr>
              <w:t>r</w:t>
            </w:r>
            <w:r w:rsidR="006D4D7A">
              <w:rPr>
                <w:rFonts w:ascii="Arial" w:hAnsi="Arial" w:cs="Arial"/>
                <w:iCs/>
                <w:sz w:val="20"/>
                <w:szCs w:val="20"/>
                <w:highlight w:val="yellow"/>
              </w:rPr>
              <w:t>-value</w:t>
            </w:r>
            <w:proofErr w:type="spellEnd"/>
            <w:r w:rsidR="006D4D7A">
              <w:rPr>
                <w:rFonts w:ascii="Arial" w:hAnsi="Arial" w:cs="Arial"/>
                <w:iCs/>
                <w:sz w:val="20"/>
                <w:szCs w:val="20"/>
                <w:highlight w:val="yellow"/>
              </w:rPr>
              <w:t xml:space="preserve">=0.67; </w:t>
            </w:r>
            <w:r w:rsidR="006D4D7A" w:rsidRPr="00891B60">
              <w:rPr>
                <w:rFonts w:ascii="Arial" w:hAnsi="Arial" w:cs="Arial"/>
                <w:i/>
                <w:iCs/>
                <w:sz w:val="20"/>
                <w:szCs w:val="20"/>
                <w:highlight w:val="yellow"/>
              </w:rPr>
              <w:t>p</w:t>
            </w:r>
            <w:r w:rsidR="006D4D7A">
              <w:rPr>
                <w:rFonts w:ascii="Arial" w:hAnsi="Arial" w:cs="Arial"/>
                <w:iCs/>
                <w:sz w:val="20"/>
                <w:szCs w:val="20"/>
                <w:highlight w:val="yellow"/>
              </w:rPr>
              <w:t>-value=0.000)</w:t>
            </w:r>
            <w:r w:rsidR="001F0198" w:rsidRPr="00891B60">
              <w:rPr>
                <w:rFonts w:ascii="Arial" w:hAnsi="Arial" w:cs="Arial"/>
                <w:iCs/>
                <w:sz w:val="20"/>
                <w:szCs w:val="20"/>
                <w:highlight w:val="yellow"/>
              </w:rPr>
              <w:t xml:space="preserve"> and </w:t>
            </w:r>
            <w:r w:rsidR="001F0198" w:rsidRPr="001E31B5">
              <w:rPr>
                <w:rFonts w:ascii="Arial" w:hAnsi="Arial" w:cs="Arial"/>
                <w:iCs/>
                <w:sz w:val="20"/>
                <w:szCs w:val="20"/>
                <w:highlight w:val="yellow"/>
              </w:rPr>
              <w:t xml:space="preserve">innovative work behavior </w:t>
            </w:r>
            <w:r w:rsidR="006D4D7A" w:rsidRPr="001E31B5">
              <w:rPr>
                <w:rFonts w:ascii="Arial" w:hAnsi="Arial" w:cs="Arial"/>
                <w:iCs/>
                <w:sz w:val="20"/>
                <w:szCs w:val="20"/>
                <w:highlight w:val="yellow"/>
              </w:rPr>
              <w:t>(</w:t>
            </w:r>
            <w:proofErr w:type="spellStart"/>
            <w:r w:rsidR="006D4D7A" w:rsidRPr="001E31B5">
              <w:rPr>
                <w:rFonts w:ascii="Arial" w:hAnsi="Arial" w:cs="Arial"/>
                <w:i/>
                <w:iCs/>
                <w:sz w:val="20"/>
                <w:szCs w:val="20"/>
                <w:highlight w:val="yellow"/>
              </w:rPr>
              <w:t>r</w:t>
            </w:r>
            <w:r w:rsidR="006D4D7A" w:rsidRPr="001E31B5">
              <w:rPr>
                <w:rFonts w:ascii="Arial" w:hAnsi="Arial" w:cs="Arial"/>
                <w:iCs/>
                <w:sz w:val="20"/>
                <w:szCs w:val="20"/>
                <w:highlight w:val="yellow"/>
              </w:rPr>
              <w:t>-value</w:t>
            </w:r>
            <w:proofErr w:type="spellEnd"/>
            <w:r w:rsidR="006D4D7A" w:rsidRPr="001E31B5">
              <w:rPr>
                <w:rFonts w:ascii="Arial" w:hAnsi="Arial" w:cs="Arial"/>
                <w:iCs/>
                <w:sz w:val="20"/>
                <w:szCs w:val="20"/>
                <w:highlight w:val="yellow"/>
              </w:rPr>
              <w:t xml:space="preserve">=0.72; </w:t>
            </w:r>
            <w:r w:rsidR="006D4D7A" w:rsidRPr="001E31B5">
              <w:rPr>
                <w:rFonts w:ascii="Arial" w:hAnsi="Arial" w:cs="Arial"/>
                <w:i/>
                <w:iCs/>
                <w:sz w:val="20"/>
                <w:szCs w:val="20"/>
                <w:highlight w:val="yellow"/>
              </w:rPr>
              <w:t>p</w:t>
            </w:r>
            <w:r w:rsidR="006D4D7A" w:rsidRPr="001E31B5">
              <w:rPr>
                <w:rFonts w:ascii="Arial" w:hAnsi="Arial" w:cs="Arial"/>
                <w:iCs/>
                <w:sz w:val="20"/>
                <w:szCs w:val="20"/>
                <w:highlight w:val="yellow"/>
              </w:rPr>
              <w:t xml:space="preserve">-value=0.000) </w:t>
            </w:r>
            <w:r w:rsidR="001F0198" w:rsidRPr="001E31B5">
              <w:rPr>
                <w:rFonts w:ascii="Arial" w:hAnsi="Arial" w:cs="Arial"/>
                <w:iCs/>
                <w:sz w:val="20"/>
                <w:szCs w:val="20"/>
                <w:highlight w:val="yellow"/>
              </w:rPr>
              <w:t xml:space="preserve">on teacher engagement. Furthermore, both operational </w:t>
            </w:r>
            <w:proofErr w:type="gramStart"/>
            <w:r w:rsidR="001F0198" w:rsidRPr="001E31B5">
              <w:rPr>
                <w:rFonts w:ascii="Arial" w:hAnsi="Arial" w:cs="Arial"/>
                <w:iCs/>
                <w:sz w:val="20"/>
                <w:szCs w:val="20"/>
                <w:highlight w:val="yellow"/>
              </w:rPr>
              <w:t xml:space="preserve">support </w:t>
            </w:r>
            <w:r w:rsidR="006D4D7A" w:rsidRPr="001E31B5">
              <w:rPr>
                <w:rFonts w:ascii="Arial" w:hAnsi="Arial" w:cs="Arial"/>
                <w:iCs/>
                <w:sz w:val="20"/>
                <w:szCs w:val="20"/>
                <w:highlight w:val="yellow"/>
              </w:rPr>
              <w:t xml:space="preserve"> </w:t>
            </w:r>
            <w:r w:rsidR="001F0198" w:rsidRPr="001E31B5">
              <w:rPr>
                <w:rFonts w:ascii="Arial" w:hAnsi="Arial" w:cs="Arial"/>
                <w:iCs/>
                <w:sz w:val="20"/>
                <w:szCs w:val="20"/>
                <w:highlight w:val="yellow"/>
              </w:rPr>
              <w:t>and</w:t>
            </w:r>
            <w:proofErr w:type="gramEnd"/>
            <w:r w:rsidR="001F0198" w:rsidRPr="001E31B5">
              <w:rPr>
                <w:rFonts w:ascii="Arial" w:hAnsi="Arial" w:cs="Arial"/>
                <w:iCs/>
                <w:sz w:val="20"/>
                <w:szCs w:val="20"/>
                <w:highlight w:val="yellow"/>
              </w:rPr>
              <w:t xml:space="preserve"> innovative work behavior significant</w:t>
            </w:r>
            <w:r w:rsidR="001E31B5" w:rsidRPr="001E31B5">
              <w:rPr>
                <w:rFonts w:ascii="Arial" w:hAnsi="Arial" w:cs="Arial"/>
                <w:iCs/>
                <w:sz w:val="20"/>
                <w:szCs w:val="20"/>
                <w:highlight w:val="yellow"/>
              </w:rPr>
              <w:t>ly predicted teacher engagement (</w:t>
            </w:r>
            <w:r w:rsidR="001E31B5" w:rsidRPr="001E31B5">
              <w:rPr>
                <w:rFonts w:ascii="Arial" w:eastAsia="Arial" w:hAnsi="Arial"/>
                <w:i/>
                <w:sz w:val="20"/>
                <w:szCs w:val="20"/>
                <w:highlight w:val="yellow"/>
              </w:rPr>
              <w:t>r</w:t>
            </w:r>
            <w:r w:rsidR="001E31B5" w:rsidRPr="001E31B5">
              <w:rPr>
                <w:rFonts w:ascii="Arial" w:eastAsia="Arial" w:hAnsi="Arial"/>
                <w:sz w:val="20"/>
                <w:szCs w:val="20"/>
                <w:highlight w:val="yellow"/>
              </w:rPr>
              <w:t xml:space="preserve">= 0.75; </w:t>
            </w:r>
            <w:r w:rsidR="001E31B5" w:rsidRPr="001E31B5">
              <w:rPr>
                <w:rFonts w:ascii="Arial" w:eastAsia="Arial" w:hAnsi="Arial"/>
                <w:i/>
                <w:sz w:val="20"/>
                <w:szCs w:val="20"/>
                <w:highlight w:val="yellow"/>
              </w:rPr>
              <w:t>p</w:t>
            </w:r>
            <w:r w:rsidR="001E31B5" w:rsidRPr="001E31B5">
              <w:rPr>
                <w:rFonts w:ascii="Arial" w:eastAsia="Arial" w:hAnsi="Arial"/>
                <w:sz w:val="20"/>
                <w:szCs w:val="20"/>
                <w:highlight w:val="yellow"/>
              </w:rPr>
              <w:t>-value = 0.000).</w:t>
            </w:r>
            <w:r w:rsidR="001F0198" w:rsidRPr="001F0198">
              <w:rPr>
                <w:rFonts w:ascii="Arial" w:hAnsi="Arial" w:cs="Arial"/>
                <w:iCs/>
                <w:sz w:val="20"/>
                <w:szCs w:val="20"/>
              </w:rPr>
              <w:t xml:space="preserve"> It is recommended that school administrators continue to strengthen operational support by fostering a collaborative and inclusive work environment that promotes creativity and personal commitment. Encouraging innovative work behavior through platforms for idea generation and experimentation may further enhance teaching effectiveness. Sustained teacher engagement can also be achieved through targeted professional development and collaborative opportunities.</w:t>
            </w:r>
          </w:p>
        </w:tc>
      </w:tr>
    </w:tbl>
    <w:p w14:paraId="175A3F79" w14:textId="77777777" w:rsidR="00717F2E" w:rsidRPr="0076337A" w:rsidRDefault="00717F2E">
      <w:pPr>
        <w:pStyle w:val="Body"/>
        <w:spacing w:after="0"/>
        <w:rPr>
          <w:rFonts w:ascii="Arial" w:hAnsi="Arial" w:cs="Arial"/>
          <w:i/>
        </w:rPr>
      </w:pPr>
    </w:p>
    <w:p w14:paraId="63DA1D4D" w14:textId="39F80B37" w:rsidR="00DC2754" w:rsidRPr="0076337A" w:rsidRDefault="00180859" w:rsidP="00BB0E63">
      <w:pPr>
        <w:jc w:val="both"/>
        <w:rPr>
          <w:rFonts w:ascii="Arial" w:hAnsi="Arial" w:cs="Arial"/>
          <w:iCs/>
          <w:sz w:val="20"/>
          <w:szCs w:val="20"/>
        </w:rPr>
      </w:pPr>
      <w:r w:rsidRPr="0076337A">
        <w:rPr>
          <w:rFonts w:ascii="Arial" w:hAnsi="Arial" w:cs="Arial"/>
          <w:i/>
          <w:iCs/>
          <w:sz w:val="20"/>
          <w:szCs w:val="20"/>
        </w:rPr>
        <w:t>Keywords</w:t>
      </w:r>
      <w:r w:rsidRPr="0076337A">
        <w:rPr>
          <w:rFonts w:ascii="Arial" w:hAnsi="Arial" w:cs="Arial"/>
          <w:sz w:val="20"/>
          <w:szCs w:val="20"/>
        </w:rPr>
        <w:t xml:space="preserve">: </w:t>
      </w:r>
      <w:r w:rsidR="006F1B06" w:rsidRPr="001F0198">
        <w:rPr>
          <w:rFonts w:ascii="Arial" w:hAnsi="Arial" w:cs="Arial"/>
          <w:iCs/>
          <w:sz w:val="20"/>
          <w:szCs w:val="20"/>
        </w:rPr>
        <w:t>Operational Support</w:t>
      </w:r>
      <w:r w:rsidR="006F1B06" w:rsidRPr="0076337A">
        <w:rPr>
          <w:rFonts w:ascii="Arial" w:hAnsi="Arial" w:cs="Arial"/>
          <w:iCs/>
          <w:sz w:val="20"/>
          <w:szCs w:val="20"/>
        </w:rPr>
        <w:t xml:space="preserve">, </w:t>
      </w:r>
      <w:r w:rsidR="006F1B06" w:rsidRPr="001F0198">
        <w:rPr>
          <w:rFonts w:ascii="Arial" w:hAnsi="Arial" w:cs="Arial"/>
          <w:iCs/>
          <w:sz w:val="20"/>
          <w:szCs w:val="20"/>
        </w:rPr>
        <w:t>Innovative Work Behavior</w:t>
      </w:r>
      <w:r w:rsidR="006F1B06" w:rsidRPr="0076337A">
        <w:rPr>
          <w:rFonts w:ascii="Arial" w:hAnsi="Arial" w:cs="Arial"/>
          <w:iCs/>
          <w:sz w:val="20"/>
          <w:szCs w:val="20"/>
        </w:rPr>
        <w:t xml:space="preserve">, </w:t>
      </w:r>
      <w:r w:rsidR="006F1B06" w:rsidRPr="001F0198">
        <w:rPr>
          <w:rFonts w:ascii="Arial" w:hAnsi="Arial" w:cs="Arial"/>
          <w:iCs/>
          <w:sz w:val="20"/>
          <w:szCs w:val="20"/>
        </w:rPr>
        <w:t>Teacher Engagement</w:t>
      </w:r>
      <w:r w:rsidR="006F1B06" w:rsidRPr="0076337A">
        <w:rPr>
          <w:rFonts w:ascii="Arial" w:hAnsi="Arial" w:cs="Arial"/>
          <w:iCs/>
          <w:sz w:val="20"/>
          <w:szCs w:val="20"/>
        </w:rPr>
        <w:t xml:space="preserve">, Descriptive </w:t>
      </w:r>
      <w:r w:rsidR="003D6D18" w:rsidRPr="0076337A">
        <w:rPr>
          <w:rFonts w:ascii="Arial" w:hAnsi="Arial" w:cs="Arial"/>
          <w:iCs/>
          <w:sz w:val="20"/>
          <w:szCs w:val="20"/>
        </w:rPr>
        <w:t>Correlational, Education</w:t>
      </w:r>
    </w:p>
    <w:p w14:paraId="63A7B6AA" w14:textId="7F1B5EFF" w:rsidR="00BB0E63" w:rsidRPr="0076337A" w:rsidRDefault="00BB0E63" w:rsidP="00BB0E63">
      <w:pPr>
        <w:jc w:val="both"/>
        <w:rPr>
          <w:rFonts w:ascii="Arial" w:hAnsi="Arial" w:cs="Arial"/>
          <w:sz w:val="20"/>
          <w:szCs w:val="20"/>
        </w:rPr>
      </w:pPr>
    </w:p>
    <w:p w14:paraId="0C7D9A8E" w14:textId="77777777" w:rsidR="00717F2E" w:rsidRPr="0076337A" w:rsidRDefault="00180859">
      <w:pPr>
        <w:pStyle w:val="AbstHead"/>
        <w:spacing w:after="0"/>
        <w:jc w:val="both"/>
        <w:rPr>
          <w:rFonts w:ascii="Arial" w:hAnsi="Arial" w:cs="Arial"/>
          <w:sz w:val="20"/>
        </w:rPr>
      </w:pPr>
      <w:r w:rsidRPr="0076337A">
        <w:rPr>
          <w:rFonts w:ascii="Arial" w:hAnsi="Arial" w:cs="Arial"/>
          <w:sz w:val="20"/>
        </w:rPr>
        <w:t>1. INTRODUCTION</w:t>
      </w:r>
    </w:p>
    <w:p w14:paraId="499EF934" w14:textId="77777777" w:rsidR="00717F2E" w:rsidRPr="0076337A" w:rsidRDefault="00717F2E">
      <w:pPr>
        <w:pStyle w:val="AbstHead"/>
        <w:spacing w:after="0"/>
        <w:jc w:val="both"/>
        <w:rPr>
          <w:rFonts w:ascii="Arial" w:hAnsi="Arial" w:cs="Arial"/>
          <w:sz w:val="20"/>
        </w:rPr>
      </w:pPr>
    </w:p>
    <w:p w14:paraId="224AFAB8" w14:textId="688FD76F" w:rsidR="00530216" w:rsidRPr="00530216" w:rsidRDefault="00530216" w:rsidP="00530216">
      <w:pPr>
        <w:jc w:val="both"/>
        <w:rPr>
          <w:rFonts w:ascii="Arial" w:hAnsi="Arial"/>
          <w:sz w:val="20"/>
          <w:szCs w:val="20"/>
        </w:rPr>
      </w:pPr>
      <w:r w:rsidRPr="00530216">
        <w:rPr>
          <w:rFonts w:ascii="Arial" w:hAnsi="Arial"/>
          <w:sz w:val="20"/>
          <w:szCs w:val="20"/>
        </w:rPr>
        <w:t>Teacher engagement has become a pressing concern in the education sector due to its significant impact on student outcomes, school performance, and the overall well-being of educators</w:t>
      </w:r>
      <w:r w:rsidR="00E87AFE">
        <w:rPr>
          <w:rFonts w:ascii="Arial" w:hAnsi="Arial"/>
          <w:sz w:val="20"/>
          <w:szCs w:val="20"/>
        </w:rPr>
        <w:t xml:space="preserve"> (</w:t>
      </w:r>
      <w:r w:rsidR="00E87AFE" w:rsidRPr="00E87AFE">
        <w:rPr>
          <w:rFonts w:ascii="Arial" w:hAnsi="Arial"/>
          <w:sz w:val="20"/>
          <w:szCs w:val="20"/>
        </w:rPr>
        <w:t>Harper-Hill</w:t>
      </w:r>
      <w:r w:rsidR="00E87AFE">
        <w:rPr>
          <w:rFonts w:ascii="Arial" w:hAnsi="Arial"/>
          <w:sz w:val="20"/>
          <w:szCs w:val="20"/>
        </w:rPr>
        <w:t xml:space="preserve"> et al., 2022)</w:t>
      </w:r>
      <w:r w:rsidRPr="00530216">
        <w:rPr>
          <w:rFonts w:ascii="Arial" w:hAnsi="Arial"/>
          <w:sz w:val="20"/>
          <w:szCs w:val="20"/>
        </w:rPr>
        <w:t>. When teachers are disengaged, they are more likely to exhibit low motivation, reduced productivity, and higher turnover intentions, which can adversely affect the quality of education</w:t>
      </w:r>
      <w:r w:rsidR="00E87AFE">
        <w:rPr>
          <w:rFonts w:ascii="Arial" w:hAnsi="Arial"/>
          <w:sz w:val="20"/>
          <w:szCs w:val="20"/>
        </w:rPr>
        <w:t xml:space="preserve"> (</w:t>
      </w:r>
      <w:r w:rsidR="00E87AFE" w:rsidRPr="00E87AFE">
        <w:rPr>
          <w:rFonts w:ascii="Arial" w:hAnsi="Arial"/>
          <w:sz w:val="20"/>
          <w:szCs w:val="20"/>
        </w:rPr>
        <w:t>Woodcock</w:t>
      </w:r>
      <w:r w:rsidR="00E87AFE">
        <w:rPr>
          <w:rFonts w:ascii="Arial" w:hAnsi="Arial"/>
          <w:sz w:val="20"/>
          <w:szCs w:val="20"/>
        </w:rPr>
        <w:t xml:space="preserve"> et al., 2022)</w:t>
      </w:r>
      <w:r w:rsidRPr="00530216">
        <w:rPr>
          <w:rFonts w:ascii="Arial" w:hAnsi="Arial"/>
          <w:sz w:val="20"/>
          <w:szCs w:val="20"/>
        </w:rPr>
        <w:t>. Challenges such as increasing workload, lack of administrative support, limited autonomy, and emotional exhaustion contribute to declining engagement levels</w:t>
      </w:r>
      <w:r w:rsidR="00E87AFE">
        <w:rPr>
          <w:rFonts w:ascii="Arial" w:hAnsi="Arial"/>
          <w:sz w:val="20"/>
          <w:szCs w:val="20"/>
        </w:rPr>
        <w:t xml:space="preserve"> (</w:t>
      </w:r>
      <w:r w:rsidR="00E87AFE" w:rsidRPr="00E87AFE">
        <w:rPr>
          <w:rFonts w:ascii="Arial" w:hAnsi="Arial"/>
          <w:sz w:val="20"/>
          <w:szCs w:val="20"/>
        </w:rPr>
        <w:t>Li</w:t>
      </w:r>
      <w:r w:rsidR="00E87AFE">
        <w:rPr>
          <w:rFonts w:ascii="Arial" w:hAnsi="Arial"/>
          <w:sz w:val="20"/>
          <w:szCs w:val="20"/>
        </w:rPr>
        <w:t xml:space="preserve"> et al., 2022)</w:t>
      </w:r>
      <w:r w:rsidRPr="00530216">
        <w:rPr>
          <w:rFonts w:ascii="Arial" w:hAnsi="Arial"/>
          <w:sz w:val="20"/>
          <w:szCs w:val="20"/>
        </w:rPr>
        <w:t>. In the long term, disengagement may result in burnout and a diminished commitment to teaching, making it essential to explore the factors that influence and sustain teacher engagement.</w:t>
      </w:r>
    </w:p>
    <w:p w14:paraId="3181285B" w14:textId="77777777" w:rsidR="00530216" w:rsidRPr="00530216" w:rsidRDefault="00530216" w:rsidP="00530216">
      <w:pPr>
        <w:jc w:val="both"/>
        <w:rPr>
          <w:rFonts w:ascii="Arial" w:hAnsi="Arial"/>
          <w:sz w:val="20"/>
          <w:szCs w:val="20"/>
        </w:rPr>
      </w:pPr>
    </w:p>
    <w:p w14:paraId="42F5F7C9" w14:textId="7CE0A070" w:rsidR="00530216" w:rsidRPr="00530216" w:rsidRDefault="00530216" w:rsidP="00530216">
      <w:pPr>
        <w:jc w:val="both"/>
        <w:rPr>
          <w:rFonts w:ascii="Arial" w:hAnsi="Arial"/>
          <w:sz w:val="20"/>
          <w:szCs w:val="20"/>
        </w:rPr>
      </w:pPr>
      <w:r w:rsidRPr="00530216">
        <w:rPr>
          <w:rFonts w:ascii="Arial" w:hAnsi="Arial"/>
          <w:sz w:val="20"/>
          <w:szCs w:val="20"/>
        </w:rPr>
        <w:t>Globally, teacher engagement has been widely recognized as a critical element of educational effectiveness. In the United States, efforts to improve teacher engagement include enhancing teacher leadership and providing avenues for professional growth</w:t>
      </w:r>
      <w:r w:rsidR="00E87AFE">
        <w:rPr>
          <w:rFonts w:ascii="Arial" w:hAnsi="Arial"/>
          <w:sz w:val="20"/>
          <w:szCs w:val="20"/>
        </w:rPr>
        <w:t xml:space="preserve"> (</w:t>
      </w:r>
      <w:r w:rsidR="00E87AFE" w:rsidRPr="00E87AFE">
        <w:rPr>
          <w:rFonts w:ascii="Arial" w:hAnsi="Arial"/>
          <w:sz w:val="20"/>
          <w:szCs w:val="20"/>
        </w:rPr>
        <w:t>Conan Simpson</w:t>
      </w:r>
      <w:r w:rsidR="00E87AFE">
        <w:rPr>
          <w:rFonts w:ascii="Arial" w:hAnsi="Arial"/>
          <w:sz w:val="20"/>
          <w:szCs w:val="20"/>
        </w:rPr>
        <w:t>, 2021)</w:t>
      </w:r>
      <w:r w:rsidRPr="00530216">
        <w:rPr>
          <w:rFonts w:ascii="Arial" w:hAnsi="Arial"/>
          <w:sz w:val="20"/>
          <w:szCs w:val="20"/>
        </w:rPr>
        <w:t xml:space="preserve">. Meanwhile, in </w:t>
      </w:r>
      <w:r w:rsidR="00D27900">
        <w:rPr>
          <w:rFonts w:ascii="Arial" w:hAnsi="Arial"/>
          <w:sz w:val="20"/>
          <w:szCs w:val="20"/>
        </w:rPr>
        <w:t>Japan</w:t>
      </w:r>
      <w:r w:rsidRPr="00530216">
        <w:rPr>
          <w:rFonts w:ascii="Arial" w:hAnsi="Arial"/>
          <w:sz w:val="20"/>
          <w:szCs w:val="20"/>
        </w:rPr>
        <w:t xml:space="preserve">, one of the world’s top-performing education systems, high teacher </w:t>
      </w:r>
      <w:r w:rsidRPr="00530216">
        <w:rPr>
          <w:rFonts w:ascii="Arial" w:hAnsi="Arial"/>
          <w:sz w:val="20"/>
          <w:szCs w:val="20"/>
        </w:rPr>
        <w:lastRenderedPageBreak/>
        <w:t>autonomy and trust are linked to high engagement levels</w:t>
      </w:r>
      <w:r w:rsidR="00E87AFE">
        <w:rPr>
          <w:rFonts w:ascii="Arial" w:hAnsi="Arial"/>
          <w:sz w:val="20"/>
          <w:szCs w:val="20"/>
        </w:rPr>
        <w:t xml:space="preserve"> (</w:t>
      </w:r>
      <w:r w:rsidR="00E87AFE" w:rsidRPr="00E87AFE">
        <w:rPr>
          <w:rFonts w:ascii="Arial" w:hAnsi="Arial"/>
          <w:sz w:val="20"/>
          <w:szCs w:val="20"/>
        </w:rPr>
        <w:t>Christopher</w:t>
      </w:r>
      <w:r w:rsidR="00E87AFE">
        <w:rPr>
          <w:rFonts w:ascii="Arial" w:hAnsi="Arial"/>
          <w:sz w:val="20"/>
          <w:szCs w:val="20"/>
        </w:rPr>
        <w:t>, 2024)</w:t>
      </w:r>
      <w:r w:rsidRPr="00530216">
        <w:rPr>
          <w:rFonts w:ascii="Arial" w:hAnsi="Arial"/>
          <w:sz w:val="20"/>
          <w:szCs w:val="20"/>
        </w:rPr>
        <w:t>. In Singapore, the government invests in continuous teacher development, enabling educators to stay innovative and committed</w:t>
      </w:r>
      <w:r w:rsidR="00E87AFE">
        <w:rPr>
          <w:rFonts w:ascii="Arial" w:hAnsi="Arial"/>
          <w:sz w:val="20"/>
          <w:szCs w:val="20"/>
        </w:rPr>
        <w:t xml:space="preserve"> (</w:t>
      </w:r>
      <w:r w:rsidR="00E87AFE" w:rsidRPr="00E87AFE">
        <w:rPr>
          <w:rFonts w:ascii="Arial" w:hAnsi="Arial"/>
          <w:sz w:val="20"/>
          <w:szCs w:val="20"/>
        </w:rPr>
        <w:t>Ro</w:t>
      </w:r>
      <w:r w:rsidR="00E87AFE">
        <w:rPr>
          <w:rFonts w:ascii="Arial" w:hAnsi="Arial"/>
          <w:sz w:val="20"/>
          <w:szCs w:val="20"/>
        </w:rPr>
        <w:t>, 2020)</w:t>
      </w:r>
      <w:r w:rsidRPr="00530216">
        <w:rPr>
          <w:rFonts w:ascii="Arial" w:hAnsi="Arial"/>
          <w:sz w:val="20"/>
          <w:szCs w:val="20"/>
        </w:rPr>
        <w:t>. These international practices reflect a growing awareness that systemic support and innovative work behavior play a vital role in ensuring that teachers remain engaged and effective in their profession.</w:t>
      </w:r>
    </w:p>
    <w:p w14:paraId="712FB3DB" w14:textId="77777777" w:rsidR="00530216" w:rsidRPr="00530216" w:rsidRDefault="00530216" w:rsidP="00530216">
      <w:pPr>
        <w:jc w:val="both"/>
        <w:rPr>
          <w:rFonts w:ascii="Arial" w:hAnsi="Arial"/>
          <w:sz w:val="20"/>
          <w:szCs w:val="20"/>
        </w:rPr>
      </w:pPr>
    </w:p>
    <w:p w14:paraId="4E13D098" w14:textId="5F7B7D22" w:rsidR="00530216" w:rsidRPr="00530216" w:rsidRDefault="00530216" w:rsidP="00530216">
      <w:pPr>
        <w:jc w:val="both"/>
        <w:rPr>
          <w:rFonts w:ascii="Arial" w:hAnsi="Arial"/>
          <w:sz w:val="20"/>
          <w:szCs w:val="20"/>
        </w:rPr>
      </w:pPr>
      <w:r w:rsidRPr="00530216">
        <w:rPr>
          <w:rFonts w:ascii="Arial" w:hAnsi="Arial"/>
          <w:sz w:val="20"/>
          <w:szCs w:val="20"/>
        </w:rPr>
        <w:t>In the Philippines, the issue of teacher engagement is equally significant. While teachers demonstrate dedication to their roles, many experience challenges such as lack of resources, administrative burden, and limited professional advancement opportunities</w:t>
      </w:r>
      <w:r w:rsidR="00E87AFE">
        <w:rPr>
          <w:rFonts w:ascii="Arial" w:hAnsi="Arial"/>
          <w:sz w:val="20"/>
          <w:szCs w:val="20"/>
        </w:rPr>
        <w:t xml:space="preserve"> (</w:t>
      </w:r>
      <w:proofErr w:type="spellStart"/>
      <w:r w:rsidR="00E87AFE" w:rsidRPr="00E87AFE">
        <w:rPr>
          <w:rFonts w:ascii="Arial" w:hAnsi="Arial"/>
          <w:sz w:val="20"/>
          <w:szCs w:val="20"/>
        </w:rPr>
        <w:t>Maguate</w:t>
      </w:r>
      <w:proofErr w:type="spellEnd"/>
      <w:r w:rsidR="00E87AFE">
        <w:rPr>
          <w:rFonts w:ascii="Arial" w:hAnsi="Arial"/>
          <w:sz w:val="20"/>
          <w:szCs w:val="20"/>
        </w:rPr>
        <w:t xml:space="preserve"> et al., 2024)</w:t>
      </w:r>
      <w:r w:rsidRPr="00530216">
        <w:rPr>
          <w:rFonts w:ascii="Arial" w:hAnsi="Arial"/>
          <w:sz w:val="20"/>
          <w:szCs w:val="20"/>
        </w:rPr>
        <w:t>. Reports from the Department of Education and various academic studies highlight the prevalence of job dissatisfaction and emotional fatigue among public school teachers, particularly in under-resourced areas</w:t>
      </w:r>
      <w:r w:rsidR="00E87AFE">
        <w:rPr>
          <w:rFonts w:ascii="Arial" w:hAnsi="Arial"/>
          <w:sz w:val="20"/>
          <w:szCs w:val="20"/>
        </w:rPr>
        <w:t xml:space="preserve"> (</w:t>
      </w:r>
      <w:proofErr w:type="spellStart"/>
      <w:r w:rsidR="00E87AFE" w:rsidRPr="00E87AFE">
        <w:rPr>
          <w:rFonts w:ascii="Arial" w:hAnsi="Arial"/>
          <w:sz w:val="20"/>
          <w:szCs w:val="20"/>
        </w:rPr>
        <w:t>Pasique</w:t>
      </w:r>
      <w:proofErr w:type="spellEnd"/>
      <w:r w:rsidR="00E87AFE">
        <w:rPr>
          <w:rFonts w:ascii="Arial" w:hAnsi="Arial"/>
          <w:sz w:val="20"/>
          <w:szCs w:val="20"/>
        </w:rPr>
        <w:t xml:space="preserve"> </w:t>
      </w:r>
      <w:r w:rsidR="00E87AFE" w:rsidRPr="00E87AFE">
        <w:rPr>
          <w:rFonts w:ascii="Arial" w:hAnsi="Arial"/>
          <w:sz w:val="20"/>
          <w:szCs w:val="20"/>
        </w:rPr>
        <w:t xml:space="preserve">&amp; </w:t>
      </w:r>
      <w:proofErr w:type="spellStart"/>
      <w:r w:rsidR="00E87AFE" w:rsidRPr="00E87AFE">
        <w:rPr>
          <w:rFonts w:ascii="Arial" w:hAnsi="Arial"/>
          <w:sz w:val="20"/>
          <w:szCs w:val="20"/>
        </w:rPr>
        <w:t>Maguate</w:t>
      </w:r>
      <w:proofErr w:type="spellEnd"/>
      <w:r w:rsidR="00E87AFE">
        <w:rPr>
          <w:rFonts w:ascii="Arial" w:hAnsi="Arial"/>
          <w:sz w:val="20"/>
          <w:szCs w:val="20"/>
        </w:rPr>
        <w:t>, 2023)</w:t>
      </w:r>
      <w:r w:rsidRPr="00530216">
        <w:rPr>
          <w:rFonts w:ascii="Arial" w:hAnsi="Arial"/>
          <w:sz w:val="20"/>
          <w:szCs w:val="20"/>
        </w:rPr>
        <w:t>. Despite reforms in the K to 12 Basic Education Program, sustaining teacher engagement remains a key concern, especially in public elementary schools where teachers are often overextended</w:t>
      </w:r>
      <w:r w:rsidR="00E87AFE">
        <w:rPr>
          <w:rFonts w:ascii="Arial" w:hAnsi="Arial"/>
          <w:sz w:val="20"/>
          <w:szCs w:val="20"/>
        </w:rPr>
        <w:t xml:space="preserve"> (</w:t>
      </w:r>
      <w:r w:rsidR="00E87AFE" w:rsidRPr="00E87AFE">
        <w:rPr>
          <w:rFonts w:ascii="Arial" w:hAnsi="Arial"/>
          <w:sz w:val="20"/>
          <w:szCs w:val="20"/>
        </w:rPr>
        <w:t>Bullo</w:t>
      </w:r>
      <w:r w:rsidR="00E87AFE">
        <w:rPr>
          <w:rFonts w:ascii="Arial" w:hAnsi="Arial"/>
          <w:sz w:val="20"/>
          <w:szCs w:val="20"/>
        </w:rPr>
        <w:t xml:space="preserve"> et al., 2021)</w:t>
      </w:r>
      <w:r w:rsidRPr="00530216">
        <w:rPr>
          <w:rFonts w:ascii="Arial" w:hAnsi="Arial"/>
          <w:sz w:val="20"/>
          <w:szCs w:val="20"/>
        </w:rPr>
        <w:t>.</w:t>
      </w:r>
    </w:p>
    <w:p w14:paraId="6936309B" w14:textId="77777777" w:rsidR="00530216" w:rsidRPr="00530216" w:rsidRDefault="00530216" w:rsidP="00530216">
      <w:pPr>
        <w:jc w:val="both"/>
        <w:rPr>
          <w:rFonts w:ascii="Arial" w:hAnsi="Arial"/>
          <w:sz w:val="20"/>
          <w:szCs w:val="20"/>
        </w:rPr>
      </w:pPr>
    </w:p>
    <w:p w14:paraId="5EF39EE5" w14:textId="666729A3" w:rsidR="00530216" w:rsidRPr="00530216" w:rsidRDefault="00530216" w:rsidP="00530216">
      <w:pPr>
        <w:jc w:val="both"/>
        <w:rPr>
          <w:rFonts w:ascii="Arial" w:hAnsi="Arial"/>
          <w:sz w:val="20"/>
          <w:szCs w:val="20"/>
        </w:rPr>
      </w:pPr>
      <w:r w:rsidRPr="00530216">
        <w:rPr>
          <w:rFonts w:ascii="Arial" w:hAnsi="Arial"/>
          <w:sz w:val="20"/>
          <w:szCs w:val="20"/>
        </w:rPr>
        <w:t>The interplay between operational support and innovative work behavior is increasingly recognized as essential to teacher engagement. Operational support refers to the extent to which schools provide resources, guidance, and administrative assistance, enabling teachers to perform their duties efficiently</w:t>
      </w:r>
      <w:r w:rsidR="00E87AFE">
        <w:rPr>
          <w:rFonts w:ascii="Arial" w:hAnsi="Arial"/>
          <w:sz w:val="20"/>
          <w:szCs w:val="20"/>
        </w:rPr>
        <w:t xml:space="preserve"> (</w:t>
      </w:r>
      <w:r w:rsidR="00E87AFE" w:rsidRPr="00E87AFE">
        <w:rPr>
          <w:rFonts w:ascii="Arial" w:hAnsi="Arial"/>
          <w:sz w:val="20"/>
          <w:szCs w:val="20"/>
        </w:rPr>
        <w:t>Tao</w:t>
      </w:r>
      <w:r w:rsidR="00E87AFE">
        <w:rPr>
          <w:rFonts w:ascii="Arial" w:hAnsi="Arial"/>
          <w:sz w:val="20"/>
          <w:szCs w:val="20"/>
        </w:rPr>
        <w:t xml:space="preserve"> et al., 2022; </w:t>
      </w:r>
      <w:r w:rsidR="00E87AFE" w:rsidRPr="00E87AFE">
        <w:rPr>
          <w:rFonts w:ascii="Arial" w:hAnsi="Arial"/>
          <w:sz w:val="20"/>
          <w:szCs w:val="20"/>
        </w:rPr>
        <w:t>Xu</w:t>
      </w:r>
      <w:r w:rsidR="00E87AFE">
        <w:rPr>
          <w:rFonts w:ascii="Arial" w:hAnsi="Arial"/>
          <w:sz w:val="20"/>
          <w:szCs w:val="20"/>
        </w:rPr>
        <w:t xml:space="preserve"> et al., 2023)</w:t>
      </w:r>
      <w:r w:rsidRPr="00530216">
        <w:rPr>
          <w:rFonts w:ascii="Arial" w:hAnsi="Arial"/>
          <w:sz w:val="20"/>
          <w:szCs w:val="20"/>
        </w:rPr>
        <w:t>. Innovative work behavior, on the other hand, reflects a teacher’s capacity to generate, promote, and apply new ideas in the classroom</w:t>
      </w:r>
      <w:r w:rsidR="00E87AFE">
        <w:rPr>
          <w:rFonts w:ascii="Arial" w:hAnsi="Arial"/>
          <w:sz w:val="20"/>
          <w:szCs w:val="20"/>
        </w:rPr>
        <w:t xml:space="preserve"> (</w:t>
      </w:r>
      <w:r w:rsidR="00E87AFE" w:rsidRPr="00E87AFE">
        <w:rPr>
          <w:rFonts w:ascii="Arial" w:hAnsi="Arial"/>
          <w:sz w:val="20"/>
          <w:szCs w:val="20"/>
        </w:rPr>
        <w:t>Jones</w:t>
      </w:r>
      <w:r w:rsidR="00E87AFE">
        <w:rPr>
          <w:rFonts w:ascii="Arial" w:hAnsi="Arial"/>
          <w:sz w:val="20"/>
          <w:szCs w:val="20"/>
        </w:rPr>
        <w:t>, 2020</w:t>
      </w:r>
      <w:r w:rsidR="009C0975">
        <w:rPr>
          <w:rFonts w:ascii="Arial" w:hAnsi="Arial"/>
          <w:sz w:val="20"/>
          <w:szCs w:val="20"/>
        </w:rPr>
        <w:t xml:space="preserve">; </w:t>
      </w:r>
      <w:r w:rsidR="009C0975" w:rsidRPr="009C0975">
        <w:rPr>
          <w:rFonts w:ascii="Arial" w:hAnsi="Arial"/>
          <w:sz w:val="20"/>
          <w:szCs w:val="20"/>
        </w:rPr>
        <w:t>Scull</w:t>
      </w:r>
      <w:r w:rsidR="009C0975">
        <w:rPr>
          <w:rFonts w:ascii="Arial" w:hAnsi="Arial"/>
          <w:sz w:val="20"/>
          <w:szCs w:val="20"/>
        </w:rPr>
        <w:t xml:space="preserve"> et al., 2020</w:t>
      </w:r>
      <w:r w:rsidR="00E87AFE">
        <w:rPr>
          <w:rFonts w:ascii="Arial" w:hAnsi="Arial"/>
          <w:sz w:val="20"/>
          <w:szCs w:val="20"/>
        </w:rPr>
        <w:t>)</w:t>
      </w:r>
      <w:r w:rsidRPr="00530216">
        <w:rPr>
          <w:rFonts w:ascii="Arial" w:hAnsi="Arial"/>
          <w:sz w:val="20"/>
          <w:szCs w:val="20"/>
        </w:rPr>
        <w:t>. When schools offer adequate operational support, teachers may feel empowered to explore creative approaches to teaching, which in turn strengthens their engagement</w:t>
      </w:r>
      <w:r w:rsidR="00E87AFE">
        <w:rPr>
          <w:rFonts w:ascii="Arial" w:hAnsi="Arial"/>
          <w:sz w:val="20"/>
          <w:szCs w:val="20"/>
        </w:rPr>
        <w:t xml:space="preserve"> (</w:t>
      </w:r>
      <w:r w:rsidR="00E87AFE" w:rsidRPr="00E87AFE">
        <w:rPr>
          <w:rFonts w:ascii="Arial" w:hAnsi="Arial"/>
          <w:sz w:val="20"/>
          <w:szCs w:val="20"/>
        </w:rPr>
        <w:t>Abaci</w:t>
      </w:r>
      <w:r w:rsidR="00E87AFE">
        <w:rPr>
          <w:rFonts w:ascii="Arial" w:hAnsi="Arial"/>
          <w:sz w:val="20"/>
          <w:szCs w:val="20"/>
        </w:rPr>
        <w:t xml:space="preserve"> et al., 2021</w:t>
      </w:r>
      <w:r w:rsidR="009C0975">
        <w:rPr>
          <w:rFonts w:ascii="Arial" w:hAnsi="Arial"/>
          <w:sz w:val="20"/>
          <w:szCs w:val="20"/>
        </w:rPr>
        <w:t xml:space="preserve">; </w:t>
      </w:r>
      <w:r w:rsidR="009C0975" w:rsidRPr="009C0975">
        <w:rPr>
          <w:rFonts w:ascii="Arial" w:hAnsi="Arial"/>
          <w:sz w:val="20"/>
          <w:szCs w:val="20"/>
        </w:rPr>
        <w:t>Tang</w:t>
      </w:r>
      <w:r w:rsidR="009C0975">
        <w:rPr>
          <w:rFonts w:ascii="Arial" w:hAnsi="Arial"/>
          <w:sz w:val="20"/>
          <w:szCs w:val="20"/>
        </w:rPr>
        <w:t xml:space="preserve"> et al., 2022</w:t>
      </w:r>
      <w:r w:rsidR="00E87AFE">
        <w:rPr>
          <w:rFonts w:ascii="Arial" w:hAnsi="Arial"/>
          <w:sz w:val="20"/>
          <w:szCs w:val="20"/>
        </w:rPr>
        <w:t>)</w:t>
      </w:r>
      <w:r w:rsidRPr="00530216">
        <w:rPr>
          <w:rFonts w:ascii="Arial" w:hAnsi="Arial"/>
          <w:sz w:val="20"/>
          <w:szCs w:val="20"/>
        </w:rPr>
        <w:t>. However, the specific influence of these variables on teacher engagement in the Philippine public school context remains underexplored.</w:t>
      </w:r>
    </w:p>
    <w:p w14:paraId="4323A94F" w14:textId="77777777" w:rsidR="00530216" w:rsidRPr="00530216" w:rsidRDefault="00530216" w:rsidP="00530216">
      <w:pPr>
        <w:jc w:val="both"/>
        <w:rPr>
          <w:rFonts w:ascii="Arial" w:hAnsi="Arial"/>
          <w:sz w:val="20"/>
          <w:szCs w:val="20"/>
        </w:rPr>
      </w:pPr>
    </w:p>
    <w:p w14:paraId="4A2307AD" w14:textId="77777777" w:rsidR="00530216" w:rsidRPr="00530216" w:rsidRDefault="00530216" w:rsidP="00530216">
      <w:pPr>
        <w:jc w:val="both"/>
        <w:rPr>
          <w:rFonts w:ascii="Arial" w:hAnsi="Arial"/>
          <w:sz w:val="20"/>
          <w:szCs w:val="20"/>
        </w:rPr>
      </w:pPr>
      <w:r w:rsidRPr="00530216">
        <w:rPr>
          <w:rFonts w:ascii="Arial" w:hAnsi="Arial"/>
          <w:sz w:val="20"/>
          <w:szCs w:val="20"/>
        </w:rPr>
        <w:t>Existing literature has primarily focused on either organizational factors or individual teacher behaviors in isolation, without thoroughly examining their combined effects on engagement. Most studies are concentrated in urban settings or secondary education, leaving a gap in understanding how operational support and innovative work behavior influence engagement among public elementary school teachers in rural districts. Furthermore, there is limited empirical evidence in the Philippine context that integrates these variables into a predictive model of teacher engagement. This gap highlights the need for research that captures the unique experiences of elementary teachers in local districts, especially amid ongoing educational reforms and resource challenges.</w:t>
      </w:r>
    </w:p>
    <w:p w14:paraId="3CEA58BB" w14:textId="77777777" w:rsidR="00530216" w:rsidRPr="00530216" w:rsidRDefault="00530216" w:rsidP="00530216">
      <w:pPr>
        <w:jc w:val="both"/>
        <w:rPr>
          <w:rFonts w:ascii="Arial" w:hAnsi="Arial"/>
          <w:sz w:val="20"/>
          <w:szCs w:val="20"/>
        </w:rPr>
      </w:pPr>
    </w:p>
    <w:p w14:paraId="138E8A69" w14:textId="055AD275" w:rsidR="00CA30FF" w:rsidRPr="0076337A" w:rsidRDefault="00530216" w:rsidP="00530216">
      <w:pPr>
        <w:jc w:val="both"/>
        <w:rPr>
          <w:noProof/>
          <w:sz w:val="20"/>
          <w:szCs w:val="20"/>
        </w:rPr>
      </w:pPr>
      <w:r w:rsidRPr="00530216">
        <w:rPr>
          <w:rFonts w:ascii="Arial" w:hAnsi="Arial"/>
          <w:sz w:val="20"/>
          <w:szCs w:val="20"/>
        </w:rPr>
        <w:t>This study aimed to determine if operational support and innovative work behavior significantly predict teacher engagement among public elementary school teachers in Sto. Tomas District, Division of Davao del Norte. By identifying the degree to which these factors influence engagement, the findings may offer practical insights for school administrators and policymakers to design more targeted support systems and foster a more dynamic and committed teaching workforce.</w:t>
      </w:r>
    </w:p>
    <w:p w14:paraId="5DF8BEF5" w14:textId="54AB1415" w:rsidR="00CA30FF" w:rsidRPr="0076337A" w:rsidRDefault="00CA30FF" w:rsidP="00CA30FF">
      <w:pPr>
        <w:jc w:val="both"/>
        <w:rPr>
          <w:noProof/>
          <w:sz w:val="20"/>
          <w:szCs w:val="20"/>
        </w:rPr>
      </w:pPr>
    </w:p>
    <w:p w14:paraId="7AEEE99D" w14:textId="544C5C05" w:rsidR="0074551A" w:rsidRPr="0076337A" w:rsidRDefault="0074551A" w:rsidP="00D8415F">
      <w:pPr>
        <w:jc w:val="both"/>
        <w:rPr>
          <w:rFonts w:ascii="Arial" w:eastAsia="MS Mincho" w:hAnsi="Arial" w:cs="Arial"/>
          <w:b/>
          <w:bCs/>
          <w:sz w:val="20"/>
          <w:szCs w:val="20"/>
          <w:lang w:eastAsia="ja-JP"/>
        </w:rPr>
      </w:pPr>
    </w:p>
    <w:p w14:paraId="24AB303C" w14:textId="77777777" w:rsidR="0074551A" w:rsidRPr="0076337A" w:rsidRDefault="0074551A" w:rsidP="00323BB4">
      <w:pPr>
        <w:jc w:val="center"/>
        <w:rPr>
          <w:rFonts w:ascii="Arial" w:eastAsia="MS Mincho" w:hAnsi="Arial" w:cs="Arial"/>
          <w:b/>
          <w:bCs/>
          <w:sz w:val="20"/>
          <w:szCs w:val="20"/>
          <w:lang w:eastAsia="ja-JP"/>
        </w:rPr>
      </w:pPr>
    </w:p>
    <w:p w14:paraId="779EF7AF" w14:textId="77777777" w:rsidR="0056218A" w:rsidRPr="0076337A" w:rsidRDefault="0056218A" w:rsidP="00323BB4">
      <w:pPr>
        <w:jc w:val="center"/>
        <w:rPr>
          <w:rFonts w:ascii="Arial" w:eastAsia="MS Mincho" w:hAnsi="Arial" w:cs="Arial"/>
          <w:b/>
          <w:bCs/>
          <w:sz w:val="20"/>
          <w:szCs w:val="20"/>
          <w:lang w:eastAsia="ja-JP"/>
        </w:rPr>
      </w:pPr>
    </w:p>
    <w:p w14:paraId="3017206B" w14:textId="77777777" w:rsidR="003227FA" w:rsidRPr="0076337A" w:rsidRDefault="003227FA" w:rsidP="00323BB4">
      <w:pPr>
        <w:jc w:val="center"/>
        <w:rPr>
          <w:rFonts w:ascii="Arial" w:eastAsia="MS Mincho" w:hAnsi="Arial" w:cs="Arial"/>
          <w:b/>
          <w:bCs/>
          <w:sz w:val="20"/>
          <w:szCs w:val="20"/>
          <w:lang w:eastAsia="ja-JP"/>
        </w:rPr>
      </w:pPr>
    </w:p>
    <w:p w14:paraId="4E2B6B39" w14:textId="77777777" w:rsidR="003227FA" w:rsidRPr="0076337A" w:rsidRDefault="003227FA" w:rsidP="00323BB4">
      <w:pPr>
        <w:jc w:val="center"/>
        <w:rPr>
          <w:rFonts w:ascii="Arial" w:eastAsia="MS Mincho" w:hAnsi="Arial" w:cs="Arial"/>
          <w:b/>
          <w:bCs/>
          <w:sz w:val="20"/>
          <w:szCs w:val="20"/>
          <w:lang w:eastAsia="ja-JP"/>
        </w:rPr>
      </w:pPr>
    </w:p>
    <w:p w14:paraId="14CB7266" w14:textId="77777777" w:rsidR="003227FA" w:rsidRPr="0076337A" w:rsidRDefault="003227FA" w:rsidP="00323BB4">
      <w:pPr>
        <w:jc w:val="center"/>
        <w:rPr>
          <w:rFonts w:ascii="Arial" w:eastAsia="MS Mincho" w:hAnsi="Arial" w:cs="Arial"/>
          <w:b/>
          <w:bCs/>
          <w:sz w:val="20"/>
          <w:szCs w:val="20"/>
          <w:lang w:eastAsia="ja-JP"/>
        </w:rPr>
      </w:pPr>
    </w:p>
    <w:p w14:paraId="2816209E" w14:textId="57C41A9A" w:rsidR="003227FA" w:rsidRPr="0076337A" w:rsidRDefault="00B527BA" w:rsidP="003340B8">
      <w:pPr>
        <w:jc w:val="center"/>
        <w:rPr>
          <w:rFonts w:ascii="Arial" w:eastAsia="MS Mincho" w:hAnsi="Arial" w:cs="Arial"/>
          <w:b/>
          <w:bCs/>
          <w:sz w:val="20"/>
          <w:szCs w:val="20"/>
          <w:lang w:eastAsia="ja-JP"/>
        </w:rPr>
      </w:pPr>
      <w:r w:rsidRPr="00B527BA">
        <w:rPr>
          <w:rFonts w:ascii="Arial" w:eastAsia="MS Mincho" w:hAnsi="Arial" w:cs="Arial"/>
          <w:b/>
          <w:bCs/>
          <w:noProof/>
          <w:sz w:val="20"/>
          <w:szCs w:val="20"/>
          <w:lang w:val="en-US"/>
        </w:rPr>
        <w:lastRenderedPageBreak/>
        <w:drawing>
          <wp:inline distT="0" distB="0" distL="0" distR="0" wp14:anchorId="193D74EB" wp14:editId="4F4ECBCB">
            <wp:extent cx="3194034" cy="3944679"/>
            <wp:effectExtent l="0" t="0" r="0" b="0"/>
            <wp:docPr id="1250438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438799" name=""/>
                    <pic:cNvPicPr/>
                  </pic:nvPicPr>
                  <pic:blipFill>
                    <a:blip r:embed="rId14"/>
                    <a:stretch>
                      <a:fillRect/>
                    </a:stretch>
                  </pic:blipFill>
                  <pic:spPr>
                    <a:xfrm>
                      <a:off x="0" y="0"/>
                      <a:ext cx="3215521" cy="3971216"/>
                    </a:xfrm>
                    <a:prstGeom prst="rect">
                      <a:avLst/>
                    </a:prstGeom>
                  </pic:spPr>
                </pic:pic>
              </a:graphicData>
            </a:graphic>
          </wp:inline>
        </w:drawing>
      </w:r>
    </w:p>
    <w:p w14:paraId="37236F59" w14:textId="77777777" w:rsidR="003227FA" w:rsidRPr="0076337A" w:rsidRDefault="003227FA" w:rsidP="00323BB4">
      <w:pPr>
        <w:jc w:val="center"/>
        <w:rPr>
          <w:rFonts w:ascii="Arial" w:eastAsia="MS Mincho" w:hAnsi="Arial" w:cs="Arial"/>
          <w:b/>
          <w:bCs/>
          <w:sz w:val="20"/>
          <w:szCs w:val="20"/>
          <w:lang w:eastAsia="ja-JP"/>
        </w:rPr>
      </w:pPr>
    </w:p>
    <w:p w14:paraId="70BF97C8" w14:textId="5B81A52E" w:rsidR="00717F2E" w:rsidRPr="0076337A" w:rsidRDefault="00180859" w:rsidP="00323BB4">
      <w:pPr>
        <w:jc w:val="center"/>
        <w:rPr>
          <w:rFonts w:ascii="Arial" w:eastAsia="MS Mincho" w:hAnsi="Arial" w:cs="Arial"/>
          <w:sz w:val="20"/>
          <w:szCs w:val="20"/>
          <w:lang w:eastAsia="ja-JP"/>
        </w:rPr>
      </w:pPr>
      <w:r w:rsidRPr="0076337A">
        <w:rPr>
          <w:rFonts w:ascii="Arial" w:eastAsia="MS Mincho" w:hAnsi="Arial" w:cs="Arial"/>
          <w:b/>
          <w:bCs/>
          <w:sz w:val="20"/>
          <w:szCs w:val="20"/>
          <w:lang w:eastAsia="ja-JP"/>
        </w:rPr>
        <w:t xml:space="preserve">Figure 1:  </w:t>
      </w:r>
      <w:r w:rsidRPr="0076337A">
        <w:rPr>
          <w:rFonts w:ascii="Arial" w:eastAsia="MS Mincho" w:hAnsi="Arial" w:cs="Arial"/>
          <w:sz w:val="20"/>
          <w:szCs w:val="20"/>
          <w:lang w:eastAsia="ja-JP"/>
        </w:rPr>
        <w:t>Conceptual Framework of the Study</w:t>
      </w:r>
    </w:p>
    <w:p w14:paraId="0ED0213D" w14:textId="60A60C46" w:rsidR="002F5C4B" w:rsidRPr="0076337A" w:rsidRDefault="002F5C4B" w:rsidP="002F5C4B">
      <w:pPr>
        <w:rPr>
          <w:rFonts w:ascii="Arial" w:eastAsia="MS Mincho" w:hAnsi="Arial" w:cs="Arial"/>
          <w:sz w:val="20"/>
          <w:szCs w:val="20"/>
          <w:lang w:eastAsia="ja-JP"/>
        </w:rPr>
      </w:pPr>
    </w:p>
    <w:p w14:paraId="305CBFC1" w14:textId="23EF8DCF" w:rsidR="000D23E6" w:rsidRPr="0076337A" w:rsidRDefault="002F5C4B" w:rsidP="000D23E6">
      <w:pPr>
        <w:rPr>
          <w:rFonts w:ascii="Arial" w:eastAsia="MS Mincho" w:hAnsi="Arial" w:cs="Arial"/>
          <w:b/>
          <w:sz w:val="20"/>
          <w:szCs w:val="20"/>
          <w:lang w:eastAsia="ja-JP"/>
        </w:rPr>
      </w:pPr>
      <w:r w:rsidRPr="0076337A">
        <w:rPr>
          <w:rFonts w:ascii="Arial" w:eastAsia="MS Mincho" w:hAnsi="Arial" w:cs="Arial"/>
          <w:b/>
          <w:sz w:val="20"/>
          <w:szCs w:val="20"/>
          <w:lang w:eastAsia="ja-JP"/>
        </w:rPr>
        <w:t>1.1 Statement of the Problem</w:t>
      </w:r>
    </w:p>
    <w:p w14:paraId="71350A61" w14:textId="77777777" w:rsidR="000D23E6" w:rsidRPr="0076337A" w:rsidRDefault="000D23E6" w:rsidP="000D23E6">
      <w:pPr>
        <w:rPr>
          <w:rFonts w:ascii="Arial" w:eastAsia="MS Mincho" w:hAnsi="Arial" w:cs="Arial"/>
          <w:sz w:val="20"/>
          <w:szCs w:val="20"/>
          <w:lang w:eastAsia="ja-JP"/>
        </w:rPr>
      </w:pPr>
    </w:p>
    <w:p w14:paraId="41D0EAE2" w14:textId="77777777"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This study aimed to determine if operational support and innovative work behavior significantly predict teacher engagement among teachers in public elementary institutions in Sto. Tomas District, Division of Davao del Norte. Specifically, it sought answers to the following questions:</w:t>
      </w:r>
    </w:p>
    <w:p w14:paraId="71818C94" w14:textId="77777777" w:rsidR="005C5341" w:rsidRDefault="005C5341" w:rsidP="005C5341">
      <w:pPr>
        <w:jc w:val="both"/>
        <w:rPr>
          <w:rFonts w:ascii="Arial" w:eastAsia="MS Mincho" w:hAnsi="Arial" w:cs="Arial"/>
          <w:sz w:val="20"/>
          <w:szCs w:val="20"/>
          <w:lang w:eastAsia="ja-JP"/>
        </w:rPr>
      </w:pPr>
    </w:p>
    <w:p w14:paraId="06CFB872" w14:textId="4CD84064"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1. What is the extent of operational support of public elementary school teachers in terms of:</w:t>
      </w:r>
    </w:p>
    <w:p w14:paraId="69E3A6CF" w14:textId="77777777"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1.1 Support for creativity,</w:t>
      </w:r>
    </w:p>
    <w:p w14:paraId="5D833248" w14:textId="7C67DD81"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1.2 Tolerance of differences, and</w:t>
      </w:r>
    </w:p>
    <w:p w14:paraId="0D2CE141" w14:textId="26125939"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1.3 Personal commitment?</w:t>
      </w:r>
    </w:p>
    <w:p w14:paraId="6637F828" w14:textId="77777777" w:rsidR="005C5341" w:rsidRDefault="005C5341" w:rsidP="005C5341">
      <w:pPr>
        <w:jc w:val="both"/>
        <w:rPr>
          <w:rFonts w:ascii="Arial" w:eastAsia="MS Mincho" w:hAnsi="Arial" w:cs="Arial"/>
          <w:sz w:val="20"/>
          <w:szCs w:val="20"/>
          <w:lang w:eastAsia="ja-JP"/>
        </w:rPr>
      </w:pPr>
    </w:p>
    <w:p w14:paraId="0DCA4013" w14:textId="5B693D10"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2. What is the extent of the innovative work behavior of public elementary school teachers in terms of:</w:t>
      </w:r>
    </w:p>
    <w:p w14:paraId="2308DAFE" w14:textId="77777777"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2.1 Idea Generation,</w:t>
      </w:r>
    </w:p>
    <w:p w14:paraId="25C5FDB2" w14:textId="77777777"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2.2 idea exploration, and</w:t>
      </w:r>
    </w:p>
    <w:p w14:paraId="37A24AB7" w14:textId="77777777"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2.3 Idea Championing?</w:t>
      </w:r>
    </w:p>
    <w:p w14:paraId="05EF82E1" w14:textId="77777777" w:rsidR="005C5341" w:rsidRDefault="005C5341" w:rsidP="005C5341">
      <w:pPr>
        <w:jc w:val="both"/>
        <w:rPr>
          <w:rFonts w:ascii="Arial" w:eastAsia="MS Mincho" w:hAnsi="Arial" w:cs="Arial"/>
          <w:sz w:val="20"/>
          <w:szCs w:val="20"/>
          <w:lang w:eastAsia="ja-JP"/>
        </w:rPr>
      </w:pPr>
    </w:p>
    <w:p w14:paraId="68191908" w14:textId="2016536B"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 xml:space="preserve">3. What is the extent of teacher engagement in public elementary school teachers </w:t>
      </w:r>
      <w:r w:rsidR="00AC571C">
        <w:rPr>
          <w:rFonts w:ascii="Arial" w:eastAsia="MS Mincho" w:hAnsi="Arial" w:cs="Arial"/>
          <w:sz w:val="20"/>
          <w:szCs w:val="20"/>
          <w:lang w:eastAsia="ja-JP"/>
        </w:rPr>
        <w:t>i</w:t>
      </w:r>
      <w:r w:rsidRPr="005C5341">
        <w:rPr>
          <w:rFonts w:ascii="Arial" w:eastAsia="MS Mincho" w:hAnsi="Arial" w:cs="Arial"/>
          <w:sz w:val="20"/>
          <w:szCs w:val="20"/>
          <w:lang w:eastAsia="ja-JP"/>
        </w:rPr>
        <w:t>n terms of:</w:t>
      </w:r>
    </w:p>
    <w:p w14:paraId="25E23DD8" w14:textId="77777777"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3.1 Emotional engagement,</w:t>
      </w:r>
    </w:p>
    <w:p w14:paraId="736B5D8F" w14:textId="13B3936C"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3.2 Social engagement, and</w:t>
      </w:r>
    </w:p>
    <w:p w14:paraId="78F12BD6" w14:textId="38C9104C"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3.3 Cognitive engagement?</w:t>
      </w:r>
    </w:p>
    <w:p w14:paraId="2FCB3BAC" w14:textId="77777777" w:rsidR="005C5341" w:rsidRDefault="005C5341" w:rsidP="005C5341">
      <w:pPr>
        <w:jc w:val="both"/>
        <w:rPr>
          <w:rFonts w:ascii="Arial" w:eastAsia="MS Mincho" w:hAnsi="Arial" w:cs="Arial"/>
          <w:sz w:val="20"/>
          <w:szCs w:val="20"/>
          <w:lang w:eastAsia="ja-JP"/>
        </w:rPr>
      </w:pPr>
    </w:p>
    <w:p w14:paraId="572B985E" w14:textId="11F2EF19"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4. Is there a significant relationship between:</w:t>
      </w:r>
    </w:p>
    <w:p w14:paraId="3E813015" w14:textId="2ED88597"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lastRenderedPageBreak/>
        <w:t>4.1 Operational support and teacher engagement and</w:t>
      </w:r>
    </w:p>
    <w:p w14:paraId="7D1E589D" w14:textId="721D71A1" w:rsidR="005C5341" w:rsidRPr="005C5341"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4.2 Innovative work behavior and teacher engagement?</w:t>
      </w:r>
    </w:p>
    <w:p w14:paraId="08E4E635" w14:textId="77777777" w:rsidR="005C5341" w:rsidRDefault="005C5341" w:rsidP="005C5341">
      <w:pPr>
        <w:jc w:val="both"/>
        <w:rPr>
          <w:rFonts w:ascii="Arial" w:eastAsia="MS Mincho" w:hAnsi="Arial" w:cs="Arial"/>
          <w:sz w:val="20"/>
          <w:szCs w:val="20"/>
          <w:lang w:eastAsia="ja-JP"/>
        </w:rPr>
      </w:pPr>
    </w:p>
    <w:p w14:paraId="326BDC65" w14:textId="21208CC3" w:rsidR="003340B8" w:rsidRPr="0076337A" w:rsidRDefault="005C5341" w:rsidP="005C5341">
      <w:pPr>
        <w:jc w:val="both"/>
        <w:rPr>
          <w:rFonts w:ascii="Arial" w:eastAsia="MS Mincho" w:hAnsi="Arial" w:cs="Arial"/>
          <w:sz w:val="20"/>
          <w:szCs w:val="20"/>
          <w:lang w:eastAsia="ja-JP"/>
        </w:rPr>
      </w:pPr>
      <w:r w:rsidRPr="005C5341">
        <w:rPr>
          <w:rFonts w:ascii="Arial" w:eastAsia="MS Mincho" w:hAnsi="Arial" w:cs="Arial"/>
          <w:sz w:val="20"/>
          <w:szCs w:val="20"/>
          <w:lang w:eastAsia="ja-JP"/>
        </w:rPr>
        <w:t>5. Which domains of operational support and innovative work behavior significantly predict teacher engagement in public elementary school teachers?</w:t>
      </w:r>
    </w:p>
    <w:p w14:paraId="5A8C5127" w14:textId="77777777" w:rsidR="000D23E6" w:rsidRPr="0076337A" w:rsidRDefault="000D23E6" w:rsidP="000D23E6">
      <w:pPr>
        <w:rPr>
          <w:rFonts w:ascii="Arial" w:eastAsia="MS Mincho" w:hAnsi="Arial" w:cs="Arial"/>
          <w:sz w:val="20"/>
          <w:szCs w:val="20"/>
          <w:lang w:eastAsia="ja-JP"/>
        </w:rPr>
      </w:pPr>
    </w:p>
    <w:p w14:paraId="4110F409" w14:textId="2A19F9F9" w:rsidR="002F5C4B" w:rsidRPr="0076337A" w:rsidRDefault="002F5C4B" w:rsidP="002F5C4B">
      <w:pPr>
        <w:rPr>
          <w:rFonts w:ascii="Arial" w:eastAsia="MS Mincho" w:hAnsi="Arial" w:cs="Arial"/>
          <w:b/>
          <w:sz w:val="20"/>
          <w:szCs w:val="20"/>
          <w:lang w:eastAsia="ja-JP"/>
        </w:rPr>
      </w:pPr>
      <w:r w:rsidRPr="0076337A">
        <w:rPr>
          <w:rFonts w:ascii="Arial" w:eastAsia="MS Mincho" w:hAnsi="Arial" w:cs="Arial"/>
          <w:b/>
          <w:sz w:val="20"/>
          <w:szCs w:val="20"/>
          <w:lang w:eastAsia="ja-JP"/>
        </w:rPr>
        <w:t>1.2 Hypotheses</w:t>
      </w:r>
    </w:p>
    <w:p w14:paraId="426EE532" w14:textId="77777777" w:rsidR="002F5C4B" w:rsidRPr="0076337A" w:rsidRDefault="002F5C4B" w:rsidP="002F5C4B">
      <w:pPr>
        <w:rPr>
          <w:rFonts w:ascii="Arial" w:eastAsia="MS Mincho" w:hAnsi="Arial" w:cs="Arial"/>
          <w:sz w:val="20"/>
          <w:szCs w:val="20"/>
          <w:lang w:eastAsia="ja-JP"/>
        </w:rPr>
      </w:pPr>
    </w:p>
    <w:p w14:paraId="335B8688" w14:textId="573A3A88" w:rsidR="002F5C4B" w:rsidRPr="0076337A" w:rsidRDefault="002F5C4B" w:rsidP="002F5C4B">
      <w:pPr>
        <w:rPr>
          <w:rFonts w:ascii="Arial" w:eastAsia="MS Mincho" w:hAnsi="Arial" w:cs="Arial"/>
          <w:sz w:val="20"/>
          <w:szCs w:val="20"/>
          <w:lang w:eastAsia="ja-JP"/>
        </w:rPr>
      </w:pPr>
      <w:r w:rsidRPr="0076337A">
        <w:rPr>
          <w:rFonts w:ascii="Arial" w:eastAsia="MS Mincho" w:hAnsi="Arial" w:cs="Arial"/>
          <w:sz w:val="20"/>
          <w:szCs w:val="20"/>
          <w:lang w:eastAsia="ja-JP"/>
        </w:rPr>
        <w:t>The null hypotheses were tested at 0.05 level of significance:</w:t>
      </w:r>
    </w:p>
    <w:p w14:paraId="4DCE443D" w14:textId="77777777" w:rsidR="002F5C4B" w:rsidRPr="0076337A" w:rsidRDefault="002F5C4B" w:rsidP="002F5C4B">
      <w:pPr>
        <w:rPr>
          <w:rFonts w:ascii="Arial" w:eastAsia="MS Mincho" w:hAnsi="Arial" w:cs="Arial"/>
          <w:sz w:val="20"/>
          <w:szCs w:val="20"/>
          <w:lang w:eastAsia="ja-JP"/>
        </w:rPr>
      </w:pPr>
    </w:p>
    <w:p w14:paraId="239647BC" w14:textId="20C3B54B" w:rsidR="00B92887" w:rsidRPr="00B92887" w:rsidRDefault="00B92887" w:rsidP="00B92887">
      <w:pPr>
        <w:jc w:val="both"/>
        <w:rPr>
          <w:rFonts w:ascii="Arial" w:eastAsia="MS Mincho" w:hAnsi="Arial" w:cs="Arial"/>
          <w:sz w:val="20"/>
          <w:szCs w:val="20"/>
          <w:lang w:eastAsia="ja-JP"/>
        </w:rPr>
      </w:pPr>
      <w:r w:rsidRPr="00B92887">
        <w:rPr>
          <w:rFonts w:ascii="Arial" w:eastAsia="MS Mincho" w:hAnsi="Arial" w:cs="Arial"/>
          <w:sz w:val="20"/>
          <w:szCs w:val="20"/>
          <w:lang w:eastAsia="ja-JP"/>
        </w:rPr>
        <w:t>Ho1. There is no significant relationship between Operational support and innovative work behavior on teacher engagement in public elementary school teachers</w:t>
      </w:r>
      <w:r>
        <w:rPr>
          <w:rFonts w:ascii="Arial" w:eastAsia="MS Mincho" w:hAnsi="Arial" w:cs="Arial"/>
          <w:sz w:val="20"/>
          <w:szCs w:val="20"/>
          <w:lang w:eastAsia="ja-JP"/>
        </w:rPr>
        <w:t>.</w:t>
      </w:r>
    </w:p>
    <w:p w14:paraId="7D8B8BB8" w14:textId="488B8738" w:rsidR="003340B8" w:rsidRPr="0076337A" w:rsidRDefault="00B92887" w:rsidP="00B92887">
      <w:pPr>
        <w:jc w:val="both"/>
        <w:rPr>
          <w:rFonts w:ascii="Arial" w:eastAsia="MS Mincho" w:hAnsi="Arial" w:cs="Arial"/>
          <w:sz w:val="20"/>
          <w:szCs w:val="20"/>
          <w:lang w:eastAsia="ja-JP"/>
        </w:rPr>
      </w:pPr>
      <w:r w:rsidRPr="00B92887">
        <w:rPr>
          <w:rFonts w:ascii="Arial" w:eastAsia="MS Mincho" w:hAnsi="Arial" w:cs="Arial"/>
          <w:sz w:val="20"/>
          <w:szCs w:val="20"/>
          <w:lang w:eastAsia="ja-JP"/>
        </w:rPr>
        <w:t>Ho2. None of the domains of operational support and innovative work behavior significantly predict teacher engagement in public elementary school teachers</w:t>
      </w:r>
      <w:r w:rsidR="0058179E">
        <w:rPr>
          <w:rFonts w:ascii="Arial" w:eastAsia="MS Mincho" w:hAnsi="Arial" w:cs="Arial"/>
          <w:sz w:val="20"/>
          <w:szCs w:val="20"/>
          <w:lang w:eastAsia="ja-JP"/>
        </w:rPr>
        <w:t>.</w:t>
      </w:r>
    </w:p>
    <w:p w14:paraId="2761BBBA" w14:textId="77777777" w:rsidR="000D23E6" w:rsidRPr="0076337A" w:rsidRDefault="000D23E6" w:rsidP="000D23E6">
      <w:pPr>
        <w:rPr>
          <w:rFonts w:ascii="Arial" w:hAnsi="Arial" w:cs="Arial"/>
          <w:sz w:val="20"/>
          <w:szCs w:val="20"/>
        </w:rPr>
      </w:pPr>
    </w:p>
    <w:p w14:paraId="786C1FBD" w14:textId="00BFAEF4" w:rsidR="00717F2E" w:rsidRPr="0076337A" w:rsidRDefault="00180859" w:rsidP="000C2E75">
      <w:pPr>
        <w:pStyle w:val="AbstHead"/>
        <w:spacing w:after="0"/>
        <w:jc w:val="both"/>
        <w:rPr>
          <w:rFonts w:ascii="Arial" w:hAnsi="Arial" w:cs="Arial"/>
          <w:sz w:val="20"/>
        </w:rPr>
      </w:pPr>
      <w:r w:rsidRPr="0076337A">
        <w:rPr>
          <w:rFonts w:ascii="Arial" w:hAnsi="Arial" w:cs="Arial"/>
          <w:sz w:val="20"/>
        </w:rPr>
        <w:t>2. methodology</w:t>
      </w:r>
    </w:p>
    <w:p w14:paraId="7FF85A85" w14:textId="77777777" w:rsidR="00CA7F2F" w:rsidRPr="0076337A" w:rsidRDefault="00CA7F2F" w:rsidP="00F5572F">
      <w:pPr>
        <w:pStyle w:val="NormalWeb"/>
        <w:spacing w:before="0" w:beforeAutospacing="0" w:after="0" w:afterAutospacing="0"/>
        <w:jc w:val="both"/>
        <w:rPr>
          <w:rStyle w:val="Strong"/>
          <w:rFonts w:ascii="Arial" w:hAnsi="Arial" w:cs="Arial"/>
          <w:sz w:val="20"/>
          <w:szCs w:val="20"/>
        </w:rPr>
      </w:pPr>
    </w:p>
    <w:p w14:paraId="16882A6B" w14:textId="77777777" w:rsidR="00CA7F2F" w:rsidRPr="0076337A" w:rsidRDefault="000C2E75" w:rsidP="00F5572F">
      <w:pPr>
        <w:pStyle w:val="NormalWeb"/>
        <w:spacing w:before="0" w:beforeAutospacing="0" w:after="0" w:afterAutospacing="0"/>
        <w:jc w:val="both"/>
        <w:rPr>
          <w:rFonts w:ascii="Arial" w:hAnsi="Arial" w:cs="Arial"/>
          <w:sz w:val="20"/>
          <w:szCs w:val="20"/>
        </w:rPr>
      </w:pPr>
      <w:r w:rsidRPr="0076337A">
        <w:rPr>
          <w:rStyle w:val="Strong"/>
          <w:rFonts w:ascii="Arial" w:hAnsi="Arial" w:cs="Arial"/>
          <w:sz w:val="20"/>
          <w:szCs w:val="20"/>
        </w:rPr>
        <w:t>2.1 Research Design</w:t>
      </w:r>
      <w:r w:rsidRPr="0076337A">
        <w:rPr>
          <w:rFonts w:ascii="Arial" w:hAnsi="Arial" w:cs="Arial"/>
          <w:sz w:val="20"/>
          <w:szCs w:val="20"/>
        </w:rPr>
        <w:br/>
      </w:r>
    </w:p>
    <w:p w14:paraId="1C0BCC5F" w14:textId="1F331638" w:rsidR="000C2E75" w:rsidRPr="0076337A" w:rsidRDefault="00C12D18" w:rsidP="00F5572F">
      <w:pPr>
        <w:pStyle w:val="NormalWeb"/>
        <w:spacing w:before="0" w:beforeAutospacing="0" w:after="0" w:afterAutospacing="0"/>
        <w:jc w:val="both"/>
        <w:rPr>
          <w:rFonts w:ascii="Arial" w:hAnsi="Arial" w:cs="Arial"/>
          <w:sz w:val="20"/>
          <w:szCs w:val="20"/>
        </w:rPr>
      </w:pPr>
      <w:r w:rsidRPr="00C12D18">
        <w:rPr>
          <w:rFonts w:ascii="Arial" w:hAnsi="Arial" w:cs="Arial"/>
          <w:sz w:val="20"/>
          <w:szCs w:val="20"/>
        </w:rPr>
        <w:t xml:space="preserve">This study employed a non-experimental quantitative research design utilizing the correlational method. This design was appropriate for examining the degree of association between operational support, innovative work behavior, and teacher engagement among public elementary school teachers. As </w:t>
      </w:r>
      <w:proofErr w:type="spellStart"/>
      <w:r w:rsidRPr="00C12D18">
        <w:rPr>
          <w:rFonts w:ascii="Arial" w:hAnsi="Arial" w:cs="Arial"/>
          <w:sz w:val="20"/>
          <w:szCs w:val="20"/>
        </w:rPr>
        <w:t>Pregoner</w:t>
      </w:r>
      <w:proofErr w:type="spellEnd"/>
      <w:r w:rsidRPr="00C12D18">
        <w:rPr>
          <w:rFonts w:ascii="Arial" w:hAnsi="Arial" w:cs="Arial"/>
          <w:sz w:val="20"/>
          <w:szCs w:val="20"/>
        </w:rPr>
        <w:t xml:space="preserve"> (2025) emphasized, variables may be correlated through shared patterns or by a common underlying influence. In this study, the correlational method enabled the researcher to determine whether the levels of operational support and innovative work behavior are significantly linked to teacher engagement. By exploring the relationship among these variables, the study aimed to generate insights that could inform strategies for improving teacher motivation and professional commitment in the Sto. Tomas District, Division of Davao del Norte.</w:t>
      </w:r>
    </w:p>
    <w:p w14:paraId="49EB2495" w14:textId="77777777" w:rsidR="00CA7F2F" w:rsidRPr="0076337A" w:rsidRDefault="00CA7F2F" w:rsidP="00F5572F">
      <w:pPr>
        <w:pStyle w:val="NormalWeb"/>
        <w:spacing w:before="0" w:beforeAutospacing="0" w:after="0" w:afterAutospacing="0"/>
        <w:jc w:val="both"/>
        <w:rPr>
          <w:rStyle w:val="Strong"/>
          <w:rFonts w:ascii="Arial" w:hAnsi="Arial" w:cs="Arial"/>
          <w:sz w:val="20"/>
          <w:szCs w:val="20"/>
        </w:rPr>
      </w:pPr>
    </w:p>
    <w:p w14:paraId="5BF67423" w14:textId="77777777" w:rsidR="00CA7F2F" w:rsidRPr="0076337A" w:rsidRDefault="000C2E75" w:rsidP="00F5572F">
      <w:pPr>
        <w:pStyle w:val="NormalWeb"/>
        <w:spacing w:before="0" w:beforeAutospacing="0" w:after="0" w:afterAutospacing="0"/>
        <w:jc w:val="both"/>
        <w:rPr>
          <w:rFonts w:ascii="Arial" w:hAnsi="Arial" w:cs="Arial"/>
          <w:sz w:val="20"/>
          <w:szCs w:val="20"/>
        </w:rPr>
      </w:pPr>
      <w:r w:rsidRPr="0076337A">
        <w:rPr>
          <w:rStyle w:val="Strong"/>
          <w:rFonts w:ascii="Arial" w:hAnsi="Arial" w:cs="Arial"/>
          <w:sz w:val="20"/>
          <w:szCs w:val="20"/>
        </w:rPr>
        <w:t>2.2 Research Respondents</w:t>
      </w:r>
      <w:r w:rsidRPr="0076337A">
        <w:rPr>
          <w:rFonts w:ascii="Arial" w:hAnsi="Arial" w:cs="Arial"/>
          <w:sz w:val="20"/>
          <w:szCs w:val="20"/>
        </w:rPr>
        <w:br/>
      </w:r>
    </w:p>
    <w:p w14:paraId="40736451" w14:textId="659D9EF9" w:rsidR="00CA7F2F" w:rsidRPr="0076337A" w:rsidRDefault="006C31CB" w:rsidP="00F5572F">
      <w:pPr>
        <w:pStyle w:val="NormalWeb"/>
        <w:spacing w:before="0" w:beforeAutospacing="0" w:after="0" w:afterAutospacing="0"/>
        <w:jc w:val="both"/>
        <w:rPr>
          <w:rFonts w:ascii="Arial" w:hAnsi="Arial" w:cs="Arial"/>
          <w:sz w:val="20"/>
          <w:szCs w:val="20"/>
        </w:rPr>
      </w:pPr>
      <w:r w:rsidRPr="006C31CB">
        <w:rPr>
          <w:rFonts w:ascii="Arial" w:hAnsi="Arial" w:cs="Arial"/>
          <w:sz w:val="20"/>
          <w:szCs w:val="20"/>
        </w:rPr>
        <w:t>The respondents of this study were 178 public elementary school teachers from the Sto. Tomas District, Division of Davao del Norte. All respondents were actively teaching and held various instructional responsibilities in their respective schools. Universal sampling was utilized, meaning all qualified public elementary teachers in the district were included in the study. The participants were informed about the study’s purpose, and their participation was voluntary, with confidentiality strictly observed. The study was conducted during the academic year 2024–2025.</w:t>
      </w:r>
    </w:p>
    <w:p w14:paraId="4808EA60" w14:textId="77777777" w:rsidR="00420BB1" w:rsidRPr="0076337A" w:rsidRDefault="00420BB1" w:rsidP="00F5572F">
      <w:pPr>
        <w:pStyle w:val="NormalWeb"/>
        <w:spacing w:before="0" w:beforeAutospacing="0" w:after="0" w:afterAutospacing="0"/>
        <w:jc w:val="both"/>
        <w:rPr>
          <w:rStyle w:val="Strong"/>
          <w:rFonts w:ascii="Arial" w:hAnsi="Arial" w:cs="Arial"/>
          <w:sz w:val="20"/>
          <w:szCs w:val="20"/>
        </w:rPr>
      </w:pPr>
    </w:p>
    <w:p w14:paraId="1026A07F" w14:textId="61316EC5" w:rsidR="00CA7F2F" w:rsidRPr="0076337A" w:rsidRDefault="000C2E75" w:rsidP="00F5572F">
      <w:pPr>
        <w:pStyle w:val="NormalWeb"/>
        <w:spacing w:before="0" w:beforeAutospacing="0" w:after="0" w:afterAutospacing="0"/>
        <w:jc w:val="both"/>
        <w:rPr>
          <w:rFonts w:ascii="Arial" w:hAnsi="Arial" w:cs="Arial"/>
          <w:sz w:val="20"/>
          <w:szCs w:val="20"/>
        </w:rPr>
      </w:pPr>
      <w:r w:rsidRPr="0076337A">
        <w:rPr>
          <w:rStyle w:val="Strong"/>
          <w:rFonts w:ascii="Arial" w:hAnsi="Arial" w:cs="Arial"/>
          <w:sz w:val="20"/>
          <w:szCs w:val="20"/>
        </w:rPr>
        <w:t>2.3 Research Instrument</w:t>
      </w:r>
      <w:r w:rsidRPr="0076337A">
        <w:rPr>
          <w:rFonts w:ascii="Arial" w:hAnsi="Arial" w:cs="Arial"/>
          <w:sz w:val="20"/>
          <w:szCs w:val="20"/>
        </w:rPr>
        <w:br/>
      </w:r>
    </w:p>
    <w:p w14:paraId="0B734BC6" w14:textId="77777777" w:rsidR="00FC59FE" w:rsidRDefault="00FC59FE" w:rsidP="00366AA2">
      <w:pPr>
        <w:pStyle w:val="NormalWeb"/>
        <w:spacing w:before="0" w:beforeAutospacing="0" w:after="0" w:afterAutospacing="0"/>
        <w:jc w:val="both"/>
        <w:rPr>
          <w:rFonts w:ascii="Arial" w:hAnsi="Arial" w:cs="Arial"/>
          <w:sz w:val="20"/>
          <w:szCs w:val="20"/>
        </w:rPr>
      </w:pPr>
      <w:r w:rsidRPr="00FC59FE">
        <w:rPr>
          <w:rFonts w:ascii="Arial" w:hAnsi="Arial" w:cs="Arial"/>
          <w:sz w:val="20"/>
          <w:szCs w:val="20"/>
        </w:rPr>
        <w:t xml:space="preserve">The main instruments used in this study were standardized survey questionnaires that assessed the levels of operational support, innovative work behavior, and teacher engagement. These instruments were based on established theoretical frameworks and previously validated scales relevant to workplace support, creativity in professional practice, and engagement in the educational setting. To ensure validity, the instruments underwent face and content validation by a panel of experts in Educational Leadership, Curriculum and Instruction, and Teacher Education. Revisions were implemented based on expert feedback to improve clarity, appropriateness, and alignment with the study’s objectives. </w:t>
      </w:r>
    </w:p>
    <w:p w14:paraId="15C2DEB5" w14:textId="77777777" w:rsidR="00FC59FE" w:rsidRDefault="00FC59FE" w:rsidP="00366AA2">
      <w:pPr>
        <w:pStyle w:val="NormalWeb"/>
        <w:spacing w:before="0" w:beforeAutospacing="0" w:after="0" w:afterAutospacing="0"/>
        <w:jc w:val="both"/>
        <w:rPr>
          <w:rFonts w:ascii="Arial" w:hAnsi="Arial" w:cs="Arial"/>
          <w:sz w:val="20"/>
          <w:szCs w:val="20"/>
        </w:rPr>
      </w:pPr>
    </w:p>
    <w:p w14:paraId="2616D910" w14:textId="7581F5E2" w:rsidR="000C2E75" w:rsidRPr="0076337A" w:rsidRDefault="00FC59FE" w:rsidP="00366AA2">
      <w:pPr>
        <w:pStyle w:val="NormalWeb"/>
        <w:spacing w:before="0" w:beforeAutospacing="0" w:after="0" w:afterAutospacing="0"/>
        <w:jc w:val="both"/>
        <w:rPr>
          <w:rFonts w:ascii="Arial" w:hAnsi="Arial" w:cs="Arial"/>
          <w:sz w:val="20"/>
          <w:szCs w:val="20"/>
        </w:rPr>
      </w:pPr>
      <w:r w:rsidRPr="00FC59FE">
        <w:rPr>
          <w:rFonts w:ascii="Arial" w:hAnsi="Arial" w:cs="Arial"/>
          <w:sz w:val="20"/>
          <w:szCs w:val="20"/>
        </w:rPr>
        <w:t xml:space="preserve">A pilot test was also conducted among 30 public elementary teachers from a nearby district not included in the final study. Results from the pilot test showed high internal consistency, </w:t>
      </w:r>
      <w:r w:rsidRPr="00FC59FE">
        <w:rPr>
          <w:rFonts w:ascii="Arial" w:hAnsi="Arial" w:cs="Arial"/>
          <w:sz w:val="20"/>
          <w:szCs w:val="20"/>
        </w:rPr>
        <w:lastRenderedPageBreak/>
        <w:t>with a Cronbach’s Alpha of 0.909 for the Operational Support scale, 0.915 for the Innovative Work Behavior scale, and 0.922 for the Teacher Engagement scale.</w:t>
      </w:r>
    </w:p>
    <w:p w14:paraId="74DFA897" w14:textId="77777777" w:rsidR="009877FB" w:rsidRPr="0076337A" w:rsidRDefault="009877FB" w:rsidP="00F5572F">
      <w:pPr>
        <w:pStyle w:val="NormalWeb"/>
        <w:spacing w:before="0" w:beforeAutospacing="0" w:after="0" w:afterAutospacing="0"/>
        <w:jc w:val="both"/>
        <w:rPr>
          <w:rStyle w:val="Strong"/>
          <w:rFonts w:ascii="Arial" w:hAnsi="Arial" w:cs="Arial"/>
          <w:sz w:val="20"/>
          <w:szCs w:val="20"/>
        </w:rPr>
      </w:pPr>
    </w:p>
    <w:p w14:paraId="332AB00D" w14:textId="2019D1B1" w:rsidR="00F5572F" w:rsidRPr="0076337A" w:rsidRDefault="000C2E75" w:rsidP="00F5572F">
      <w:pPr>
        <w:pStyle w:val="NormalWeb"/>
        <w:spacing w:before="0" w:beforeAutospacing="0" w:after="0" w:afterAutospacing="0"/>
        <w:jc w:val="both"/>
        <w:rPr>
          <w:rFonts w:ascii="Arial" w:hAnsi="Arial" w:cs="Arial"/>
          <w:sz w:val="20"/>
          <w:szCs w:val="20"/>
        </w:rPr>
      </w:pPr>
      <w:r w:rsidRPr="0076337A">
        <w:rPr>
          <w:rStyle w:val="Strong"/>
          <w:rFonts w:ascii="Arial" w:hAnsi="Arial" w:cs="Arial"/>
          <w:sz w:val="20"/>
          <w:szCs w:val="20"/>
        </w:rPr>
        <w:t>2.4 Data Gathering Procedure</w:t>
      </w:r>
    </w:p>
    <w:p w14:paraId="467FEDF1" w14:textId="77777777" w:rsidR="00E61BA9" w:rsidRPr="00E61BA9" w:rsidRDefault="00E61BA9" w:rsidP="00E61BA9">
      <w:pPr>
        <w:pStyle w:val="NormalWeb"/>
        <w:jc w:val="both"/>
        <w:rPr>
          <w:rFonts w:ascii="Arial" w:hAnsi="Arial" w:cs="Arial"/>
          <w:sz w:val="20"/>
          <w:szCs w:val="20"/>
        </w:rPr>
      </w:pPr>
      <w:r w:rsidRPr="00E61BA9">
        <w:rPr>
          <w:rFonts w:ascii="Arial" w:hAnsi="Arial" w:cs="Arial"/>
          <w:sz w:val="20"/>
          <w:szCs w:val="20"/>
        </w:rPr>
        <w:t>The data gathering process adhered to ethical and procedural standards. The researcher first obtained an endorsement from the Dean of the Graduate School and secured ethical clearance from the Ethics Review Committee of the institution. A formal letter of request was then submitted to the Schools Division Superintendent of Davao del Norte. Upon approval, the Division Office issued an endorsement to the school heads of Sto. Tomas District, authorizing the conduct of the study in their respective schools.</w:t>
      </w:r>
    </w:p>
    <w:p w14:paraId="5AC87A8B" w14:textId="34D81BC8" w:rsidR="000C2E75" w:rsidRPr="0076337A" w:rsidRDefault="00E61BA9" w:rsidP="00E61BA9">
      <w:pPr>
        <w:pStyle w:val="NormalWeb"/>
        <w:spacing w:before="0" w:beforeAutospacing="0" w:after="0" w:afterAutospacing="0"/>
        <w:jc w:val="both"/>
        <w:rPr>
          <w:rFonts w:ascii="Arial" w:hAnsi="Arial" w:cs="Arial"/>
          <w:sz w:val="20"/>
          <w:szCs w:val="20"/>
        </w:rPr>
      </w:pPr>
      <w:r w:rsidRPr="00E61BA9">
        <w:rPr>
          <w:rFonts w:ascii="Arial" w:hAnsi="Arial" w:cs="Arial"/>
          <w:sz w:val="20"/>
          <w:szCs w:val="20"/>
        </w:rPr>
        <w:t>Following approval, a pilot test was administered to validate the research instruments. The finalized questionnaires were then distributed to the 178 teachers identified through universal sampling. Participants were oriented on the study’s purpose and guided on how to accomplish the instrument. All completed questionnaires were personally collected by the researcher. The collected data were then submitted to a professional statistician for proper coding, tabulation, and statistical treatment.</w:t>
      </w:r>
    </w:p>
    <w:p w14:paraId="7B01A74C" w14:textId="77777777" w:rsidR="00F5572F" w:rsidRPr="0076337A" w:rsidRDefault="00F5572F" w:rsidP="00F5572F">
      <w:pPr>
        <w:pStyle w:val="NormalWeb"/>
        <w:spacing w:before="0" w:beforeAutospacing="0" w:after="0" w:afterAutospacing="0"/>
        <w:jc w:val="both"/>
        <w:rPr>
          <w:rStyle w:val="Strong"/>
          <w:rFonts w:ascii="Arial" w:hAnsi="Arial" w:cs="Arial"/>
          <w:sz w:val="20"/>
          <w:szCs w:val="20"/>
        </w:rPr>
      </w:pPr>
    </w:p>
    <w:p w14:paraId="3D98BE76" w14:textId="145160A5" w:rsidR="00F5572F" w:rsidRPr="0076337A" w:rsidRDefault="000C2E75" w:rsidP="00F5572F">
      <w:pPr>
        <w:pStyle w:val="NormalWeb"/>
        <w:spacing w:before="0" w:beforeAutospacing="0" w:after="0" w:afterAutospacing="0"/>
        <w:jc w:val="both"/>
        <w:rPr>
          <w:rFonts w:ascii="Arial" w:hAnsi="Arial" w:cs="Arial"/>
          <w:sz w:val="20"/>
          <w:szCs w:val="20"/>
        </w:rPr>
      </w:pPr>
      <w:r w:rsidRPr="0076337A">
        <w:rPr>
          <w:rStyle w:val="Strong"/>
          <w:rFonts w:ascii="Arial" w:hAnsi="Arial" w:cs="Arial"/>
          <w:sz w:val="20"/>
          <w:szCs w:val="20"/>
        </w:rPr>
        <w:t>2.5 Data Analysis</w:t>
      </w:r>
    </w:p>
    <w:p w14:paraId="6A8E6EF0" w14:textId="77777777" w:rsidR="00F5572F" w:rsidRPr="0076337A" w:rsidRDefault="000C2E75" w:rsidP="00F5572F">
      <w:pPr>
        <w:pStyle w:val="NormalWeb"/>
        <w:jc w:val="both"/>
        <w:rPr>
          <w:rFonts w:ascii="Arial" w:hAnsi="Arial" w:cs="Arial"/>
          <w:sz w:val="20"/>
          <w:szCs w:val="20"/>
        </w:rPr>
      </w:pPr>
      <w:r w:rsidRPr="0076337A">
        <w:rPr>
          <w:rFonts w:ascii="Arial" w:hAnsi="Arial" w:cs="Arial"/>
          <w:sz w:val="20"/>
          <w:szCs w:val="20"/>
        </w:rPr>
        <w:t>To analyze the data and address the research objectives, the following statistical tools were employed:</w:t>
      </w:r>
      <w:r w:rsidR="00F5572F" w:rsidRPr="0076337A">
        <w:rPr>
          <w:rFonts w:ascii="Arial" w:hAnsi="Arial" w:cs="Arial"/>
          <w:sz w:val="20"/>
          <w:szCs w:val="20"/>
        </w:rPr>
        <w:t xml:space="preserve"> </w:t>
      </w:r>
    </w:p>
    <w:p w14:paraId="2AEB76B5" w14:textId="77777777" w:rsidR="00FB137A" w:rsidRPr="00FB137A" w:rsidRDefault="00FB137A" w:rsidP="00FB137A">
      <w:pPr>
        <w:pStyle w:val="NormalWeb"/>
        <w:jc w:val="both"/>
        <w:rPr>
          <w:rFonts w:ascii="Arial" w:hAnsi="Arial" w:cs="Arial"/>
          <w:sz w:val="20"/>
          <w:szCs w:val="20"/>
        </w:rPr>
      </w:pPr>
      <w:r w:rsidRPr="00FB137A">
        <w:rPr>
          <w:rFonts w:ascii="Arial" w:hAnsi="Arial" w:cs="Arial"/>
          <w:sz w:val="20"/>
          <w:szCs w:val="20"/>
        </w:rPr>
        <w:t>Mean. This was used to determine the levels of operational support, innovative work behavior, and teacher engagement among public elementary school teachers.</w:t>
      </w:r>
    </w:p>
    <w:p w14:paraId="2635CD1B" w14:textId="77777777" w:rsidR="00FB137A" w:rsidRPr="00FB137A" w:rsidRDefault="00FB137A" w:rsidP="00FB137A">
      <w:pPr>
        <w:pStyle w:val="NormalWeb"/>
        <w:jc w:val="both"/>
        <w:rPr>
          <w:rFonts w:ascii="Arial" w:hAnsi="Arial" w:cs="Arial"/>
          <w:sz w:val="20"/>
          <w:szCs w:val="20"/>
        </w:rPr>
      </w:pPr>
      <w:r w:rsidRPr="00FB137A">
        <w:rPr>
          <w:rFonts w:ascii="Arial" w:hAnsi="Arial" w:cs="Arial"/>
          <w:sz w:val="20"/>
          <w:szCs w:val="20"/>
        </w:rPr>
        <w:t>Standard Deviation (SD). This was applied to measure the dispersion of responses from the mean.</w:t>
      </w:r>
    </w:p>
    <w:p w14:paraId="790A45FE" w14:textId="77777777" w:rsidR="00FB137A" w:rsidRPr="00FB137A" w:rsidRDefault="00FB137A" w:rsidP="00FB137A">
      <w:pPr>
        <w:pStyle w:val="NormalWeb"/>
        <w:jc w:val="both"/>
        <w:rPr>
          <w:rFonts w:ascii="Arial" w:hAnsi="Arial" w:cs="Arial"/>
          <w:sz w:val="20"/>
          <w:szCs w:val="20"/>
        </w:rPr>
      </w:pPr>
      <w:r w:rsidRPr="00FB137A">
        <w:rPr>
          <w:rFonts w:ascii="Arial" w:hAnsi="Arial" w:cs="Arial"/>
          <w:sz w:val="20"/>
          <w:szCs w:val="20"/>
        </w:rPr>
        <w:t xml:space="preserve">Pearson Product-Moment Correlation Coefficient (Pearson </w:t>
      </w:r>
      <w:r w:rsidRPr="006D4EA0">
        <w:rPr>
          <w:rFonts w:ascii="Arial" w:hAnsi="Arial" w:cs="Arial"/>
          <w:i/>
          <w:sz w:val="20"/>
          <w:szCs w:val="20"/>
        </w:rPr>
        <w:t>r</w:t>
      </w:r>
      <w:r w:rsidRPr="00FB137A">
        <w:rPr>
          <w:rFonts w:ascii="Arial" w:hAnsi="Arial" w:cs="Arial"/>
          <w:sz w:val="20"/>
          <w:szCs w:val="20"/>
        </w:rPr>
        <w:t>). This was utilized to examine the relationships between operational support, innovative work behavior, and teacher engagement.</w:t>
      </w:r>
    </w:p>
    <w:p w14:paraId="31E17C05" w14:textId="1A2C2287" w:rsidR="0057230F" w:rsidRPr="0076337A" w:rsidRDefault="00FB137A" w:rsidP="00FB137A">
      <w:pPr>
        <w:pStyle w:val="NormalWeb"/>
        <w:jc w:val="both"/>
        <w:rPr>
          <w:rFonts w:ascii="Arial" w:hAnsi="Arial" w:cs="Arial"/>
          <w:sz w:val="20"/>
          <w:szCs w:val="20"/>
        </w:rPr>
      </w:pPr>
      <w:r w:rsidRPr="00FB137A">
        <w:rPr>
          <w:rFonts w:ascii="Arial" w:hAnsi="Arial" w:cs="Arial"/>
          <w:sz w:val="20"/>
          <w:szCs w:val="20"/>
        </w:rPr>
        <w:t>Multiple Regression Analysis. This was conducted to determine the extent to which operational support and innovative work behavior significantly predict teacher engagement, and to identify which variable had a stronger predictive influence.</w:t>
      </w:r>
    </w:p>
    <w:p w14:paraId="58121996" w14:textId="5DF0B531" w:rsidR="000C2E75" w:rsidRPr="0076337A" w:rsidRDefault="000C2E75" w:rsidP="00F5572F">
      <w:pPr>
        <w:pStyle w:val="NormalWeb"/>
        <w:spacing w:before="0" w:beforeAutospacing="0" w:after="0" w:afterAutospacing="0"/>
        <w:jc w:val="both"/>
        <w:rPr>
          <w:rFonts w:ascii="Arial" w:hAnsi="Arial" w:cs="Arial"/>
          <w:sz w:val="20"/>
          <w:szCs w:val="20"/>
        </w:rPr>
      </w:pPr>
    </w:p>
    <w:p w14:paraId="42919EB3" w14:textId="77777777" w:rsidR="00F5572F" w:rsidRPr="0076337A" w:rsidRDefault="00F5572F" w:rsidP="00F5572F">
      <w:pPr>
        <w:pStyle w:val="NormalWeb"/>
        <w:spacing w:before="0" w:beforeAutospacing="0" w:after="0" w:afterAutospacing="0"/>
        <w:jc w:val="both"/>
        <w:rPr>
          <w:rStyle w:val="Strong"/>
          <w:rFonts w:ascii="Arial" w:hAnsi="Arial" w:cs="Arial"/>
          <w:sz w:val="20"/>
          <w:szCs w:val="20"/>
        </w:rPr>
      </w:pPr>
    </w:p>
    <w:p w14:paraId="22F37306" w14:textId="77777777" w:rsidR="000C2E75" w:rsidRPr="0076337A" w:rsidRDefault="000C2E75" w:rsidP="005923EA">
      <w:pPr>
        <w:pStyle w:val="Head1"/>
        <w:spacing w:after="0"/>
        <w:jc w:val="both"/>
        <w:rPr>
          <w:rFonts w:ascii="Arial" w:hAnsi="Arial" w:cs="Arial"/>
          <w:b w:val="0"/>
          <w:sz w:val="20"/>
        </w:rPr>
      </w:pPr>
    </w:p>
    <w:p w14:paraId="2078C8C6" w14:textId="77777777" w:rsidR="000E75FA" w:rsidRPr="0076337A" w:rsidRDefault="000E75FA">
      <w:pPr>
        <w:rPr>
          <w:rFonts w:ascii="Arial" w:hAnsi="Arial" w:cs="Arial"/>
          <w:b/>
          <w:caps/>
          <w:sz w:val="20"/>
          <w:szCs w:val="20"/>
        </w:rPr>
      </w:pPr>
      <w:r w:rsidRPr="0076337A">
        <w:rPr>
          <w:rFonts w:ascii="Arial" w:hAnsi="Arial" w:cs="Arial"/>
          <w:sz w:val="20"/>
          <w:szCs w:val="20"/>
        </w:rPr>
        <w:br w:type="page"/>
      </w:r>
    </w:p>
    <w:p w14:paraId="54D02440" w14:textId="485C8576" w:rsidR="00717F2E" w:rsidRPr="0076337A" w:rsidRDefault="00180859">
      <w:pPr>
        <w:pStyle w:val="Head1"/>
        <w:spacing w:after="0"/>
        <w:jc w:val="both"/>
        <w:rPr>
          <w:rFonts w:ascii="Arial" w:hAnsi="Arial" w:cs="Arial"/>
          <w:sz w:val="20"/>
        </w:rPr>
      </w:pPr>
      <w:r w:rsidRPr="0076337A">
        <w:rPr>
          <w:rFonts w:ascii="Arial" w:hAnsi="Arial" w:cs="Arial"/>
          <w:sz w:val="20"/>
        </w:rPr>
        <w:lastRenderedPageBreak/>
        <w:t>3. results and discussion</w:t>
      </w:r>
    </w:p>
    <w:p w14:paraId="500B7B33" w14:textId="77777777" w:rsidR="00717F2E" w:rsidRPr="0076337A" w:rsidRDefault="00717F2E">
      <w:pPr>
        <w:rPr>
          <w:rFonts w:ascii="Arial" w:hAnsi="Arial" w:cs="Arial"/>
          <w:b/>
          <w:i/>
          <w:sz w:val="20"/>
          <w:szCs w:val="20"/>
        </w:rPr>
      </w:pPr>
    </w:p>
    <w:p w14:paraId="1DF55D87" w14:textId="5D4FA48A" w:rsidR="005D71AE" w:rsidRPr="0076337A" w:rsidRDefault="00180859">
      <w:pPr>
        <w:suppressAutoHyphens/>
        <w:jc w:val="both"/>
        <w:rPr>
          <w:rFonts w:ascii="Arial" w:hAnsi="Arial" w:cs="Arial"/>
          <w:b/>
          <w:sz w:val="20"/>
          <w:szCs w:val="20"/>
        </w:rPr>
      </w:pPr>
      <w:r w:rsidRPr="0076337A">
        <w:rPr>
          <w:rFonts w:ascii="Arial" w:hAnsi="Arial" w:cs="Arial"/>
          <w:b/>
          <w:sz w:val="20"/>
          <w:szCs w:val="20"/>
        </w:rPr>
        <w:t xml:space="preserve">3.1 </w:t>
      </w:r>
      <w:r w:rsidR="00572421" w:rsidRPr="00572421">
        <w:rPr>
          <w:rFonts w:ascii="Arial" w:hAnsi="Arial" w:cs="Arial"/>
          <w:b/>
          <w:sz w:val="20"/>
          <w:szCs w:val="20"/>
        </w:rPr>
        <w:t>Level of Operational Support among Public Elementary School Teachers</w:t>
      </w:r>
    </w:p>
    <w:p w14:paraId="1B38FF68" w14:textId="77777777" w:rsidR="00EF4B2D" w:rsidRPr="0076337A" w:rsidRDefault="00EF4B2D">
      <w:pPr>
        <w:suppressAutoHyphens/>
        <w:jc w:val="both"/>
        <w:rPr>
          <w:rFonts w:ascii="Arial" w:hAnsi="Arial" w:cs="Arial"/>
          <w:b/>
          <w:sz w:val="20"/>
          <w:szCs w:val="20"/>
        </w:rPr>
      </w:pPr>
    </w:p>
    <w:p w14:paraId="69D23EB0" w14:textId="419C8B0E" w:rsidR="008927A1" w:rsidRPr="0076337A" w:rsidRDefault="00180859">
      <w:pPr>
        <w:suppressAutoHyphens/>
        <w:jc w:val="both"/>
        <w:rPr>
          <w:rFonts w:ascii="Arial" w:hAnsi="Arial" w:cs="Arial"/>
          <w:i/>
          <w:iCs/>
          <w:sz w:val="20"/>
          <w:szCs w:val="20"/>
        </w:rPr>
      </w:pPr>
      <w:r w:rsidRPr="0076337A">
        <w:rPr>
          <w:rFonts w:ascii="Arial" w:hAnsi="Arial" w:cs="Arial"/>
          <w:iCs/>
          <w:sz w:val="20"/>
          <w:szCs w:val="20"/>
        </w:rPr>
        <w:t>Table 1</w:t>
      </w:r>
      <w:r w:rsidR="00CC5ECD" w:rsidRPr="0076337A">
        <w:rPr>
          <w:rFonts w:ascii="Arial" w:hAnsi="Arial" w:cs="Arial"/>
          <w:iCs/>
          <w:sz w:val="20"/>
          <w:szCs w:val="20"/>
        </w:rPr>
        <w:t>.</w:t>
      </w:r>
      <w:r w:rsidR="00CC5ECD" w:rsidRPr="0076337A">
        <w:rPr>
          <w:sz w:val="20"/>
          <w:szCs w:val="20"/>
        </w:rPr>
        <w:t xml:space="preserve"> </w:t>
      </w:r>
      <w:r w:rsidR="00572421" w:rsidRPr="00572421">
        <w:rPr>
          <w:rFonts w:ascii="Arial" w:hAnsi="Arial" w:cs="Arial"/>
          <w:i/>
          <w:iCs/>
          <w:sz w:val="20"/>
          <w:szCs w:val="20"/>
        </w:rPr>
        <w:t>Level of Operational Support among Public Elementary School Teachers</w:t>
      </w:r>
    </w:p>
    <w:p w14:paraId="496DE70A" w14:textId="77777777" w:rsidR="002F5C4B" w:rsidRPr="0076337A" w:rsidRDefault="002F5C4B">
      <w:pPr>
        <w:suppressAutoHyphens/>
        <w:jc w:val="both"/>
        <w:rPr>
          <w:rFonts w:ascii="Arial" w:hAnsi="Arial" w:cs="Arial"/>
          <w:i/>
          <w:sz w:val="20"/>
          <w:szCs w:val="20"/>
        </w:rPr>
      </w:pPr>
    </w:p>
    <w:tbl>
      <w:tblPr>
        <w:tblStyle w:val="TableGrid"/>
        <w:tblW w:w="84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42"/>
        <w:gridCol w:w="862"/>
        <w:gridCol w:w="1000"/>
        <w:gridCol w:w="19"/>
        <w:gridCol w:w="2245"/>
        <w:gridCol w:w="11"/>
      </w:tblGrid>
      <w:tr w:rsidR="005923EA" w:rsidRPr="0076337A" w14:paraId="79110F4E" w14:textId="77777777" w:rsidTr="00C8398D">
        <w:trPr>
          <w:gridAfter w:val="1"/>
          <w:wAfter w:w="11" w:type="dxa"/>
          <w:trHeight w:val="480"/>
        </w:trPr>
        <w:tc>
          <w:tcPr>
            <w:tcW w:w="4320" w:type="dxa"/>
            <w:gridSpan w:val="2"/>
            <w:tcBorders>
              <w:bottom w:val="single" w:sz="4" w:space="0" w:color="auto"/>
            </w:tcBorders>
          </w:tcPr>
          <w:p w14:paraId="6B59E266" w14:textId="77777777" w:rsidR="005923EA" w:rsidRPr="0076337A" w:rsidRDefault="005923EA" w:rsidP="00C8398D">
            <w:pPr>
              <w:jc w:val="center"/>
              <w:rPr>
                <w:rFonts w:ascii="Arial" w:hAnsi="Arial"/>
                <w:b/>
                <w:sz w:val="20"/>
                <w:szCs w:val="20"/>
              </w:rPr>
            </w:pPr>
            <w:r w:rsidRPr="0076337A">
              <w:rPr>
                <w:rFonts w:ascii="Arial" w:hAnsi="Arial"/>
                <w:b/>
                <w:sz w:val="20"/>
                <w:szCs w:val="20"/>
              </w:rPr>
              <w:t xml:space="preserve">Domains </w:t>
            </w:r>
          </w:p>
        </w:tc>
        <w:tc>
          <w:tcPr>
            <w:tcW w:w="862" w:type="dxa"/>
            <w:tcBorders>
              <w:bottom w:val="single" w:sz="4" w:space="0" w:color="auto"/>
            </w:tcBorders>
          </w:tcPr>
          <w:p w14:paraId="724F4F2C" w14:textId="77777777" w:rsidR="005923EA" w:rsidRPr="0076337A" w:rsidRDefault="005923EA" w:rsidP="00C8398D">
            <w:pPr>
              <w:jc w:val="center"/>
              <w:rPr>
                <w:rFonts w:ascii="Arial" w:hAnsi="Arial"/>
                <w:b/>
                <w:sz w:val="20"/>
                <w:szCs w:val="20"/>
              </w:rPr>
            </w:pPr>
            <w:r w:rsidRPr="0076337A">
              <w:rPr>
                <w:rFonts w:ascii="Arial" w:hAnsi="Arial"/>
                <w:b/>
                <w:sz w:val="20"/>
                <w:szCs w:val="20"/>
              </w:rPr>
              <w:t>SD</w:t>
            </w:r>
          </w:p>
        </w:tc>
        <w:tc>
          <w:tcPr>
            <w:tcW w:w="1019" w:type="dxa"/>
            <w:gridSpan w:val="2"/>
            <w:tcBorders>
              <w:bottom w:val="single" w:sz="4" w:space="0" w:color="auto"/>
            </w:tcBorders>
          </w:tcPr>
          <w:p w14:paraId="679D4F61" w14:textId="77777777" w:rsidR="005923EA" w:rsidRPr="0076337A" w:rsidRDefault="005923EA" w:rsidP="00C8398D">
            <w:pPr>
              <w:jc w:val="center"/>
              <w:rPr>
                <w:rFonts w:ascii="Arial" w:hAnsi="Arial"/>
                <w:b/>
                <w:sz w:val="20"/>
                <w:szCs w:val="20"/>
              </w:rPr>
            </w:pPr>
            <w:r w:rsidRPr="0076337A">
              <w:rPr>
                <w:rFonts w:ascii="Arial" w:hAnsi="Arial"/>
                <w:b/>
                <w:sz w:val="20"/>
                <w:szCs w:val="20"/>
              </w:rPr>
              <w:t>Mean</w:t>
            </w:r>
          </w:p>
        </w:tc>
        <w:tc>
          <w:tcPr>
            <w:tcW w:w="2245" w:type="dxa"/>
            <w:tcBorders>
              <w:bottom w:val="single" w:sz="4" w:space="0" w:color="auto"/>
            </w:tcBorders>
          </w:tcPr>
          <w:p w14:paraId="18FB3AF2" w14:textId="77777777" w:rsidR="005923EA" w:rsidRPr="0076337A" w:rsidRDefault="005923EA" w:rsidP="00C8398D">
            <w:pPr>
              <w:jc w:val="center"/>
              <w:rPr>
                <w:rFonts w:ascii="Arial" w:hAnsi="Arial"/>
                <w:b/>
                <w:sz w:val="20"/>
                <w:szCs w:val="20"/>
              </w:rPr>
            </w:pPr>
            <w:r w:rsidRPr="0076337A">
              <w:rPr>
                <w:rFonts w:ascii="Arial" w:hAnsi="Arial"/>
                <w:b/>
                <w:sz w:val="20"/>
                <w:szCs w:val="20"/>
              </w:rPr>
              <w:t>Descriptive Level</w:t>
            </w:r>
          </w:p>
        </w:tc>
      </w:tr>
      <w:tr w:rsidR="0069060A" w:rsidRPr="0076337A" w14:paraId="15DA0C79" w14:textId="77777777" w:rsidTr="001142F8">
        <w:trPr>
          <w:gridAfter w:val="1"/>
          <w:wAfter w:w="11" w:type="dxa"/>
          <w:trHeight w:val="422"/>
        </w:trPr>
        <w:tc>
          <w:tcPr>
            <w:tcW w:w="4320" w:type="dxa"/>
            <w:gridSpan w:val="2"/>
            <w:tcBorders>
              <w:top w:val="single" w:sz="4" w:space="0" w:color="auto"/>
            </w:tcBorders>
            <w:vAlign w:val="center"/>
          </w:tcPr>
          <w:p w14:paraId="1E8528C9" w14:textId="332DC3B4" w:rsidR="0069060A" w:rsidRPr="0069060A" w:rsidRDefault="0069060A" w:rsidP="0069060A">
            <w:pPr>
              <w:widowControl w:val="0"/>
              <w:ind w:left="431"/>
              <w:rPr>
                <w:rFonts w:ascii="Arial" w:hAnsi="Arial" w:cs="Arial"/>
                <w:sz w:val="20"/>
                <w:szCs w:val="20"/>
              </w:rPr>
            </w:pPr>
            <w:r w:rsidRPr="00172934">
              <w:rPr>
                <w:rFonts w:ascii="Arial" w:hAnsi="Arial" w:cs="Arial"/>
                <w:sz w:val="20"/>
                <w:szCs w:val="20"/>
              </w:rPr>
              <w:t>Support for Creativity</w:t>
            </w:r>
          </w:p>
        </w:tc>
        <w:tc>
          <w:tcPr>
            <w:tcW w:w="862" w:type="dxa"/>
            <w:tcBorders>
              <w:top w:val="single" w:sz="4" w:space="0" w:color="auto"/>
            </w:tcBorders>
            <w:vAlign w:val="center"/>
          </w:tcPr>
          <w:p w14:paraId="757A6DD3" w14:textId="5288BBDC" w:rsidR="0069060A" w:rsidRPr="0069060A" w:rsidRDefault="0069060A" w:rsidP="0069060A">
            <w:pPr>
              <w:jc w:val="center"/>
              <w:rPr>
                <w:rFonts w:ascii="Arial" w:hAnsi="Arial" w:cs="Arial"/>
                <w:sz w:val="20"/>
                <w:szCs w:val="20"/>
              </w:rPr>
            </w:pPr>
            <w:r w:rsidRPr="00172934">
              <w:rPr>
                <w:rFonts w:ascii="Arial" w:hAnsi="Arial" w:cs="Arial"/>
                <w:sz w:val="20"/>
                <w:szCs w:val="20"/>
              </w:rPr>
              <w:t>1.10</w:t>
            </w:r>
          </w:p>
        </w:tc>
        <w:tc>
          <w:tcPr>
            <w:tcW w:w="1019" w:type="dxa"/>
            <w:gridSpan w:val="2"/>
            <w:tcBorders>
              <w:top w:val="single" w:sz="4" w:space="0" w:color="auto"/>
            </w:tcBorders>
            <w:vAlign w:val="center"/>
          </w:tcPr>
          <w:p w14:paraId="74D42A71" w14:textId="0F0D6A2F" w:rsidR="0069060A" w:rsidRPr="0069060A" w:rsidRDefault="0069060A" w:rsidP="0069060A">
            <w:pPr>
              <w:jc w:val="center"/>
              <w:rPr>
                <w:rFonts w:ascii="Arial" w:hAnsi="Arial" w:cs="Arial"/>
                <w:sz w:val="20"/>
                <w:szCs w:val="20"/>
              </w:rPr>
            </w:pPr>
            <w:r w:rsidRPr="00172934">
              <w:rPr>
                <w:rFonts w:ascii="Arial" w:hAnsi="Arial" w:cs="Arial"/>
                <w:sz w:val="20"/>
                <w:szCs w:val="20"/>
              </w:rPr>
              <w:t>3.36</w:t>
            </w:r>
          </w:p>
        </w:tc>
        <w:tc>
          <w:tcPr>
            <w:tcW w:w="2245" w:type="dxa"/>
            <w:tcBorders>
              <w:top w:val="single" w:sz="4" w:space="0" w:color="auto"/>
            </w:tcBorders>
            <w:vAlign w:val="center"/>
          </w:tcPr>
          <w:p w14:paraId="0A6D1562" w14:textId="2F0FAA1A" w:rsidR="0069060A" w:rsidRPr="0069060A" w:rsidRDefault="0069060A" w:rsidP="0069060A">
            <w:pPr>
              <w:jc w:val="center"/>
              <w:rPr>
                <w:rFonts w:ascii="Arial" w:hAnsi="Arial" w:cs="Arial"/>
                <w:sz w:val="20"/>
                <w:szCs w:val="20"/>
              </w:rPr>
            </w:pPr>
            <w:r w:rsidRPr="00172934">
              <w:rPr>
                <w:rFonts w:ascii="Arial" w:hAnsi="Arial" w:cs="Arial"/>
                <w:sz w:val="20"/>
                <w:szCs w:val="20"/>
              </w:rPr>
              <w:t>Moderate</w:t>
            </w:r>
          </w:p>
        </w:tc>
      </w:tr>
      <w:tr w:rsidR="0069060A" w:rsidRPr="0076337A" w14:paraId="4A3882EF" w14:textId="77777777" w:rsidTr="001142F8">
        <w:trPr>
          <w:gridAfter w:val="1"/>
          <w:wAfter w:w="11" w:type="dxa"/>
          <w:trHeight w:val="438"/>
        </w:trPr>
        <w:tc>
          <w:tcPr>
            <w:tcW w:w="4320" w:type="dxa"/>
            <w:gridSpan w:val="2"/>
            <w:vAlign w:val="center"/>
          </w:tcPr>
          <w:p w14:paraId="197CBC2C" w14:textId="4483F424" w:rsidR="0069060A" w:rsidRPr="0069060A" w:rsidRDefault="0069060A" w:rsidP="0069060A">
            <w:pPr>
              <w:widowControl w:val="0"/>
              <w:ind w:left="431"/>
              <w:rPr>
                <w:rFonts w:ascii="Arial" w:hAnsi="Arial" w:cs="Arial"/>
                <w:sz w:val="20"/>
                <w:szCs w:val="20"/>
              </w:rPr>
            </w:pPr>
            <w:r w:rsidRPr="00172934">
              <w:rPr>
                <w:rFonts w:ascii="Arial" w:hAnsi="Arial" w:cs="Arial"/>
                <w:sz w:val="20"/>
                <w:szCs w:val="20"/>
              </w:rPr>
              <w:t>Tolerance of Differences</w:t>
            </w:r>
          </w:p>
        </w:tc>
        <w:tc>
          <w:tcPr>
            <w:tcW w:w="862" w:type="dxa"/>
            <w:vAlign w:val="center"/>
          </w:tcPr>
          <w:p w14:paraId="614B9835" w14:textId="6B02092D" w:rsidR="0069060A" w:rsidRPr="0069060A" w:rsidRDefault="0069060A" w:rsidP="0069060A">
            <w:pPr>
              <w:jc w:val="center"/>
              <w:rPr>
                <w:rFonts w:ascii="Arial" w:hAnsi="Arial" w:cs="Arial"/>
                <w:sz w:val="20"/>
                <w:szCs w:val="20"/>
              </w:rPr>
            </w:pPr>
            <w:r w:rsidRPr="00172934">
              <w:rPr>
                <w:rFonts w:ascii="Arial" w:hAnsi="Arial" w:cs="Arial"/>
                <w:sz w:val="20"/>
                <w:szCs w:val="20"/>
              </w:rPr>
              <w:t>1.03</w:t>
            </w:r>
          </w:p>
        </w:tc>
        <w:tc>
          <w:tcPr>
            <w:tcW w:w="1019" w:type="dxa"/>
            <w:gridSpan w:val="2"/>
            <w:vAlign w:val="center"/>
          </w:tcPr>
          <w:p w14:paraId="2C1B1A3F" w14:textId="18E5EAD2" w:rsidR="0069060A" w:rsidRPr="0069060A" w:rsidRDefault="0069060A" w:rsidP="0069060A">
            <w:pPr>
              <w:jc w:val="center"/>
              <w:rPr>
                <w:rFonts w:ascii="Arial" w:hAnsi="Arial" w:cs="Arial"/>
                <w:sz w:val="20"/>
                <w:szCs w:val="20"/>
              </w:rPr>
            </w:pPr>
            <w:r w:rsidRPr="00172934">
              <w:rPr>
                <w:rFonts w:ascii="Arial" w:hAnsi="Arial" w:cs="Arial"/>
                <w:sz w:val="20"/>
                <w:szCs w:val="20"/>
              </w:rPr>
              <w:t>3.50</w:t>
            </w:r>
          </w:p>
        </w:tc>
        <w:tc>
          <w:tcPr>
            <w:tcW w:w="2245" w:type="dxa"/>
            <w:vAlign w:val="center"/>
          </w:tcPr>
          <w:p w14:paraId="26CAB96E" w14:textId="6B7C4BBD" w:rsidR="0069060A" w:rsidRPr="0069060A" w:rsidRDefault="0069060A" w:rsidP="0069060A">
            <w:pPr>
              <w:jc w:val="center"/>
              <w:rPr>
                <w:rFonts w:ascii="Arial" w:hAnsi="Arial" w:cs="Arial"/>
                <w:sz w:val="20"/>
                <w:szCs w:val="20"/>
              </w:rPr>
            </w:pPr>
            <w:r w:rsidRPr="00172934">
              <w:rPr>
                <w:rFonts w:ascii="Arial" w:hAnsi="Arial" w:cs="Arial"/>
                <w:sz w:val="20"/>
                <w:szCs w:val="20"/>
              </w:rPr>
              <w:t>High</w:t>
            </w:r>
          </w:p>
        </w:tc>
      </w:tr>
      <w:tr w:rsidR="0069060A" w:rsidRPr="0076337A" w14:paraId="4C078F9D" w14:textId="77777777" w:rsidTr="001142F8">
        <w:trPr>
          <w:gridAfter w:val="1"/>
          <w:wAfter w:w="11" w:type="dxa"/>
          <w:trHeight w:val="438"/>
        </w:trPr>
        <w:tc>
          <w:tcPr>
            <w:tcW w:w="4320" w:type="dxa"/>
            <w:gridSpan w:val="2"/>
            <w:vAlign w:val="center"/>
          </w:tcPr>
          <w:p w14:paraId="7503D9B9" w14:textId="38163FAC" w:rsidR="0069060A" w:rsidRPr="0069060A" w:rsidRDefault="0069060A" w:rsidP="0069060A">
            <w:pPr>
              <w:widowControl w:val="0"/>
              <w:ind w:left="431"/>
              <w:rPr>
                <w:rFonts w:ascii="Arial" w:hAnsi="Arial" w:cs="Arial"/>
                <w:sz w:val="20"/>
                <w:szCs w:val="20"/>
              </w:rPr>
            </w:pPr>
            <w:r w:rsidRPr="00172934">
              <w:rPr>
                <w:rFonts w:ascii="Arial" w:hAnsi="Arial" w:cs="Arial"/>
                <w:sz w:val="20"/>
                <w:szCs w:val="20"/>
              </w:rPr>
              <w:t>Personal Commitment</w:t>
            </w:r>
          </w:p>
        </w:tc>
        <w:tc>
          <w:tcPr>
            <w:tcW w:w="862" w:type="dxa"/>
            <w:vAlign w:val="center"/>
          </w:tcPr>
          <w:p w14:paraId="2FC47250" w14:textId="2C4328A9" w:rsidR="0069060A" w:rsidRPr="0069060A" w:rsidRDefault="0069060A" w:rsidP="0069060A">
            <w:pPr>
              <w:jc w:val="center"/>
              <w:rPr>
                <w:rFonts w:ascii="Arial" w:hAnsi="Arial" w:cs="Arial"/>
                <w:sz w:val="20"/>
                <w:szCs w:val="20"/>
              </w:rPr>
            </w:pPr>
            <w:r w:rsidRPr="00172934">
              <w:rPr>
                <w:rFonts w:ascii="Arial" w:hAnsi="Arial" w:cs="Arial"/>
                <w:sz w:val="20"/>
                <w:szCs w:val="20"/>
              </w:rPr>
              <w:t>1.05</w:t>
            </w:r>
          </w:p>
        </w:tc>
        <w:tc>
          <w:tcPr>
            <w:tcW w:w="1019" w:type="dxa"/>
            <w:gridSpan w:val="2"/>
            <w:vAlign w:val="center"/>
          </w:tcPr>
          <w:p w14:paraId="1E623451" w14:textId="4D5DCD91" w:rsidR="0069060A" w:rsidRPr="0069060A" w:rsidRDefault="0069060A" w:rsidP="0069060A">
            <w:pPr>
              <w:jc w:val="center"/>
              <w:rPr>
                <w:rFonts w:ascii="Arial" w:hAnsi="Arial" w:cs="Arial"/>
                <w:sz w:val="20"/>
                <w:szCs w:val="20"/>
              </w:rPr>
            </w:pPr>
            <w:r w:rsidRPr="00172934">
              <w:rPr>
                <w:rFonts w:ascii="Arial" w:hAnsi="Arial" w:cs="Arial"/>
                <w:sz w:val="20"/>
                <w:szCs w:val="20"/>
              </w:rPr>
              <w:t>3.89</w:t>
            </w:r>
          </w:p>
        </w:tc>
        <w:tc>
          <w:tcPr>
            <w:tcW w:w="2245" w:type="dxa"/>
            <w:vAlign w:val="center"/>
          </w:tcPr>
          <w:p w14:paraId="387DC551" w14:textId="0B902827" w:rsidR="0069060A" w:rsidRPr="0069060A" w:rsidRDefault="0069060A" w:rsidP="0069060A">
            <w:pPr>
              <w:jc w:val="center"/>
              <w:rPr>
                <w:rFonts w:ascii="Arial" w:hAnsi="Arial" w:cs="Arial"/>
                <w:sz w:val="20"/>
                <w:szCs w:val="20"/>
              </w:rPr>
            </w:pPr>
            <w:r w:rsidRPr="00172934">
              <w:rPr>
                <w:rFonts w:ascii="Arial" w:hAnsi="Arial" w:cs="Arial"/>
                <w:sz w:val="20"/>
                <w:szCs w:val="20"/>
              </w:rPr>
              <w:t>High</w:t>
            </w:r>
          </w:p>
        </w:tc>
      </w:tr>
      <w:tr w:rsidR="0069060A" w:rsidRPr="0076337A" w14:paraId="5A3D4E46" w14:textId="77777777" w:rsidTr="002E68B9">
        <w:trPr>
          <w:trHeight w:val="413"/>
        </w:trPr>
        <w:tc>
          <w:tcPr>
            <w:tcW w:w="4278" w:type="dxa"/>
            <w:vAlign w:val="center"/>
          </w:tcPr>
          <w:p w14:paraId="591D560C" w14:textId="0CE1FF9B" w:rsidR="0069060A" w:rsidRPr="0069060A" w:rsidRDefault="0069060A" w:rsidP="0069060A">
            <w:pPr>
              <w:jc w:val="center"/>
              <w:rPr>
                <w:rFonts w:ascii="Arial" w:eastAsia="Calibri" w:hAnsi="Arial" w:cs="Arial"/>
                <w:b/>
                <w:sz w:val="20"/>
                <w:szCs w:val="20"/>
              </w:rPr>
            </w:pPr>
            <w:r w:rsidRPr="00172934">
              <w:rPr>
                <w:rFonts w:ascii="Arial" w:hAnsi="Arial" w:cs="Arial"/>
                <w:b/>
                <w:bCs/>
                <w:sz w:val="20"/>
                <w:szCs w:val="20"/>
              </w:rPr>
              <w:t>Overall</w:t>
            </w:r>
          </w:p>
        </w:tc>
        <w:tc>
          <w:tcPr>
            <w:tcW w:w="904" w:type="dxa"/>
            <w:gridSpan w:val="2"/>
            <w:vAlign w:val="center"/>
          </w:tcPr>
          <w:p w14:paraId="557AE64C" w14:textId="053C93A2" w:rsidR="0069060A" w:rsidRPr="0069060A" w:rsidRDefault="0069060A" w:rsidP="0069060A">
            <w:pPr>
              <w:jc w:val="center"/>
              <w:rPr>
                <w:rFonts w:ascii="Arial" w:hAnsi="Arial" w:cs="Arial"/>
                <w:b/>
                <w:bCs/>
                <w:sz w:val="20"/>
                <w:szCs w:val="20"/>
              </w:rPr>
            </w:pPr>
            <w:r w:rsidRPr="00172934">
              <w:rPr>
                <w:rFonts w:ascii="Arial" w:hAnsi="Arial" w:cs="Arial"/>
                <w:b/>
                <w:bCs/>
                <w:sz w:val="20"/>
                <w:szCs w:val="20"/>
              </w:rPr>
              <w:t>1.06</w:t>
            </w:r>
          </w:p>
        </w:tc>
        <w:tc>
          <w:tcPr>
            <w:tcW w:w="1000" w:type="dxa"/>
            <w:vAlign w:val="center"/>
          </w:tcPr>
          <w:p w14:paraId="66E1C693" w14:textId="7786BC01" w:rsidR="0069060A" w:rsidRPr="0069060A" w:rsidRDefault="0069060A" w:rsidP="0069060A">
            <w:pPr>
              <w:jc w:val="center"/>
              <w:rPr>
                <w:rFonts w:ascii="Arial" w:hAnsi="Arial" w:cs="Arial"/>
                <w:b/>
                <w:bCs/>
                <w:sz w:val="20"/>
                <w:szCs w:val="20"/>
              </w:rPr>
            </w:pPr>
            <w:r w:rsidRPr="00172934">
              <w:rPr>
                <w:rFonts w:ascii="Arial" w:hAnsi="Arial" w:cs="Arial"/>
                <w:b/>
                <w:bCs/>
                <w:sz w:val="20"/>
                <w:szCs w:val="20"/>
              </w:rPr>
              <w:t>3.58</w:t>
            </w:r>
          </w:p>
        </w:tc>
        <w:tc>
          <w:tcPr>
            <w:tcW w:w="2275" w:type="dxa"/>
            <w:gridSpan w:val="3"/>
            <w:vAlign w:val="center"/>
          </w:tcPr>
          <w:p w14:paraId="7E8BF4DA" w14:textId="7479E094" w:rsidR="0069060A" w:rsidRPr="0069060A" w:rsidRDefault="0069060A" w:rsidP="0069060A">
            <w:pPr>
              <w:jc w:val="center"/>
              <w:rPr>
                <w:rFonts w:ascii="Arial" w:hAnsi="Arial" w:cs="Arial"/>
                <w:b/>
                <w:bCs/>
                <w:sz w:val="20"/>
                <w:szCs w:val="20"/>
              </w:rPr>
            </w:pPr>
            <w:r w:rsidRPr="00172934">
              <w:rPr>
                <w:rFonts w:ascii="Arial" w:hAnsi="Arial" w:cs="Arial"/>
                <w:b/>
                <w:bCs/>
                <w:sz w:val="20"/>
                <w:szCs w:val="20"/>
              </w:rPr>
              <w:t>High</w:t>
            </w:r>
          </w:p>
        </w:tc>
      </w:tr>
    </w:tbl>
    <w:p w14:paraId="20CF6BE0" w14:textId="77777777" w:rsidR="00D453B9" w:rsidRPr="0076337A" w:rsidRDefault="00D453B9" w:rsidP="003248E3">
      <w:pPr>
        <w:jc w:val="both"/>
        <w:rPr>
          <w:rFonts w:ascii="Arial" w:hAnsi="Arial" w:cs="Arial"/>
          <w:sz w:val="20"/>
          <w:szCs w:val="20"/>
        </w:rPr>
      </w:pPr>
    </w:p>
    <w:p w14:paraId="00A6272D" w14:textId="77777777" w:rsidR="0069060A" w:rsidRPr="0069060A" w:rsidRDefault="0069060A" w:rsidP="0069060A">
      <w:pPr>
        <w:jc w:val="both"/>
        <w:rPr>
          <w:rFonts w:ascii="Arial" w:hAnsi="Arial" w:cs="Arial"/>
          <w:sz w:val="20"/>
          <w:szCs w:val="20"/>
        </w:rPr>
      </w:pPr>
      <w:r w:rsidRPr="0069060A">
        <w:rPr>
          <w:rFonts w:ascii="Arial" w:hAnsi="Arial" w:cs="Arial"/>
          <w:sz w:val="20"/>
          <w:szCs w:val="20"/>
        </w:rPr>
        <w:t>Presented in Table 1 is the summary of the indicators in the level of operational support among public elementary school teachers, including support for creativity, tolerance of differences, and personal commitment, based on the mean scores and standard deviations. The indicator personal commitment received the highest mean of 3.89, categorized as “high,” followed by tolerance of differences with a mean of 3.50. The indicator support for creativity obtained the lowest mean score of 3.36, categorized as “moderate.” The overall mean of 3.58 is described as “high,” indicating that teachers generally perceive a favorable level of operational support in their schools.</w:t>
      </w:r>
    </w:p>
    <w:p w14:paraId="01399842" w14:textId="77777777" w:rsidR="0069060A" w:rsidRPr="0069060A" w:rsidRDefault="0069060A" w:rsidP="0069060A">
      <w:pPr>
        <w:jc w:val="both"/>
        <w:rPr>
          <w:rFonts w:ascii="Arial" w:hAnsi="Arial" w:cs="Arial"/>
          <w:sz w:val="20"/>
          <w:szCs w:val="20"/>
        </w:rPr>
      </w:pPr>
    </w:p>
    <w:p w14:paraId="1992C438" w14:textId="77777777" w:rsidR="0069060A" w:rsidRPr="0069060A" w:rsidRDefault="0069060A" w:rsidP="0069060A">
      <w:pPr>
        <w:jc w:val="both"/>
        <w:rPr>
          <w:rFonts w:ascii="Arial" w:hAnsi="Arial" w:cs="Arial"/>
          <w:sz w:val="20"/>
          <w:szCs w:val="20"/>
        </w:rPr>
      </w:pPr>
      <w:r w:rsidRPr="0069060A">
        <w:rPr>
          <w:rFonts w:ascii="Arial" w:hAnsi="Arial" w:cs="Arial"/>
          <w:sz w:val="20"/>
          <w:szCs w:val="20"/>
        </w:rPr>
        <w:t>The overall standard deviation of 1.06 suggests moderate consistency in responses across the indicators. This result implies that while most teachers recognize strong personal commitment and tolerance within their working environment, there may still be room to improve school mechanisms that encourage creative practices and innovation in teaching.</w:t>
      </w:r>
    </w:p>
    <w:p w14:paraId="2E7E45B6" w14:textId="77777777" w:rsidR="0069060A" w:rsidRPr="0069060A" w:rsidRDefault="0069060A" w:rsidP="0069060A">
      <w:pPr>
        <w:jc w:val="both"/>
        <w:rPr>
          <w:rFonts w:ascii="Arial" w:hAnsi="Arial" w:cs="Arial"/>
          <w:sz w:val="20"/>
          <w:szCs w:val="20"/>
        </w:rPr>
      </w:pPr>
    </w:p>
    <w:p w14:paraId="52E2B6BB" w14:textId="7478D75B" w:rsidR="00D00568" w:rsidRPr="0076337A" w:rsidRDefault="0069060A" w:rsidP="0069060A">
      <w:pPr>
        <w:jc w:val="both"/>
        <w:rPr>
          <w:rFonts w:ascii="Arial" w:hAnsi="Arial" w:cs="Arial"/>
          <w:sz w:val="20"/>
          <w:szCs w:val="20"/>
        </w:rPr>
      </w:pPr>
      <w:r w:rsidRPr="0069060A">
        <w:rPr>
          <w:rFonts w:ascii="Arial" w:hAnsi="Arial" w:cs="Arial"/>
          <w:sz w:val="20"/>
          <w:szCs w:val="20"/>
        </w:rPr>
        <w:t xml:space="preserve">This finding is consistent with the study of </w:t>
      </w:r>
      <w:r w:rsidR="00E20269" w:rsidRPr="00E20269">
        <w:rPr>
          <w:rFonts w:ascii="Arial" w:hAnsi="Arial" w:cs="Arial"/>
          <w:sz w:val="20"/>
          <w:szCs w:val="20"/>
        </w:rPr>
        <w:t xml:space="preserve">Mwesigwa </w:t>
      </w:r>
      <w:r w:rsidR="00E20269">
        <w:rPr>
          <w:rFonts w:ascii="Arial" w:hAnsi="Arial" w:cs="Arial"/>
          <w:sz w:val="20"/>
          <w:szCs w:val="20"/>
        </w:rPr>
        <w:t xml:space="preserve">et al. </w:t>
      </w:r>
      <w:r w:rsidRPr="0069060A">
        <w:rPr>
          <w:rFonts w:ascii="Arial" w:hAnsi="Arial" w:cs="Arial"/>
          <w:sz w:val="20"/>
          <w:szCs w:val="20"/>
        </w:rPr>
        <w:t>(</w:t>
      </w:r>
      <w:r w:rsidR="00E20269">
        <w:rPr>
          <w:rFonts w:ascii="Arial" w:hAnsi="Arial" w:cs="Arial"/>
          <w:sz w:val="20"/>
          <w:szCs w:val="20"/>
        </w:rPr>
        <w:t>2020</w:t>
      </w:r>
      <w:r w:rsidRPr="0069060A">
        <w:rPr>
          <w:rFonts w:ascii="Arial" w:hAnsi="Arial" w:cs="Arial"/>
          <w:sz w:val="20"/>
          <w:szCs w:val="20"/>
        </w:rPr>
        <w:t xml:space="preserve">), who noted that institutional support for personal commitment and openness to diversity contributes significantly to educators’ job satisfaction and performance. Similarly, the work of </w:t>
      </w:r>
      <w:proofErr w:type="spellStart"/>
      <w:r w:rsidR="00E20269" w:rsidRPr="00E20269">
        <w:rPr>
          <w:rFonts w:ascii="Arial" w:hAnsi="Arial" w:cs="Arial"/>
          <w:sz w:val="20"/>
          <w:szCs w:val="20"/>
        </w:rPr>
        <w:t>Otrębski</w:t>
      </w:r>
      <w:proofErr w:type="spellEnd"/>
      <w:r w:rsidR="00E20269" w:rsidRPr="00E20269">
        <w:rPr>
          <w:rFonts w:ascii="Arial" w:hAnsi="Arial" w:cs="Arial"/>
          <w:sz w:val="20"/>
          <w:szCs w:val="20"/>
        </w:rPr>
        <w:t xml:space="preserve"> </w:t>
      </w:r>
      <w:r w:rsidRPr="0069060A">
        <w:rPr>
          <w:rFonts w:ascii="Arial" w:hAnsi="Arial" w:cs="Arial"/>
          <w:sz w:val="20"/>
          <w:szCs w:val="20"/>
        </w:rPr>
        <w:t>(</w:t>
      </w:r>
      <w:r w:rsidR="00E20269">
        <w:rPr>
          <w:rFonts w:ascii="Arial" w:hAnsi="Arial" w:cs="Arial"/>
          <w:sz w:val="20"/>
          <w:szCs w:val="20"/>
        </w:rPr>
        <w:t>2022</w:t>
      </w:r>
      <w:r w:rsidRPr="0069060A">
        <w:rPr>
          <w:rFonts w:ascii="Arial" w:hAnsi="Arial" w:cs="Arial"/>
          <w:sz w:val="20"/>
          <w:szCs w:val="20"/>
        </w:rPr>
        <w:t xml:space="preserve">) emphasized the role of administrative encouragement for innovation as a determinant of teaching quality. Furthermore, </w:t>
      </w:r>
      <w:r w:rsidR="00E20269" w:rsidRPr="00E20269">
        <w:rPr>
          <w:rFonts w:ascii="Arial" w:hAnsi="Arial" w:cs="Arial"/>
          <w:sz w:val="20"/>
          <w:szCs w:val="20"/>
        </w:rPr>
        <w:t>Ashraf</w:t>
      </w:r>
      <w:r w:rsidRPr="0069060A">
        <w:rPr>
          <w:rFonts w:ascii="Arial" w:hAnsi="Arial" w:cs="Arial"/>
          <w:sz w:val="20"/>
          <w:szCs w:val="20"/>
        </w:rPr>
        <w:t xml:space="preserve"> (2020) found that when schools establish structures that reinforce creativity and respect for individuality, it positively influences the teachers’ motivation and engagement.</w:t>
      </w:r>
    </w:p>
    <w:p w14:paraId="68D2CDDA" w14:textId="2D16CF51" w:rsidR="005923EA" w:rsidRPr="0076337A" w:rsidRDefault="005923EA">
      <w:pPr>
        <w:jc w:val="both"/>
        <w:rPr>
          <w:rFonts w:ascii="Arial" w:hAnsi="Arial" w:cs="Arial"/>
          <w:b/>
          <w:sz w:val="20"/>
          <w:szCs w:val="20"/>
        </w:rPr>
      </w:pPr>
    </w:p>
    <w:p w14:paraId="49153FC3" w14:textId="190D9CB5" w:rsidR="00E16D4E" w:rsidRPr="0076337A" w:rsidRDefault="00180859" w:rsidP="0080567F">
      <w:pPr>
        <w:rPr>
          <w:rFonts w:ascii="Arial" w:hAnsi="Arial" w:cs="Arial"/>
          <w:b/>
          <w:sz w:val="20"/>
          <w:szCs w:val="20"/>
        </w:rPr>
      </w:pPr>
      <w:r w:rsidRPr="0076337A">
        <w:rPr>
          <w:rFonts w:ascii="Arial" w:hAnsi="Arial" w:cs="Arial"/>
          <w:b/>
          <w:sz w:val="20"/>
          <w:szCs w:val="20"/>
        </w:rPr>
        <w:t xml:space="preserve">3.2 </w:t>
      </w:r>
      <w:r w:rsidR="00516916" w:rsidRPr="00516916">
        <w:rPr>
          <w:rFonts w:ascii="Arial" w:hAnsi="Arial" w:cs="Arial"/>
          <w:b/>
          <w:sz w:val="20"/>
          <w:szCs w:val="20"/>
        </w:rPr>
        <w:t>Level of Innovative Work Behavior among Public Elementary School Teachers</w:t>
      </w:r>
    </w:p>
    <w:p w14:paraId="1155E593" w14:textId="77777777" w:rsidR="0080567F" w:rsidRPr="0076337A" w:rsidRDefault="0080567F" w:rsidP="0080567F">
      <w:pPr>
        <w:rPr>
          <w:rFonts w:ascii="Arial" w:hAnsi="Arial" w:cs="Arial"/>
          <w:b/>
          <w:sz w:val="20"/>
          <w:szCs w:val="20"/>
        </w:rPr>
      </w:pPr>
    </w:p>
    <w:p w14:paraId="2745F126" w14:textId="683918B5" w:rsidR="00781D5E" w:rsidRPr="0076337A" w:rsidRDefault="00180859">
      <w:pPr>
        <w:jc w:val="both"/>
        <w:rPr>
          <w:rFonts w:ascii="Arial" w:hAnsi="Arial" w:cs="Arial"/>
          <w:i/>
          <w:sz w:val="20"/>
          <w:szCs w:val="20"/>
        </w:rPr>
      </w:pPr>
      <w:r w:rsidRPr="0076337A">
        <w:rPr>
          <w:rFonts w:ascii="Arial" w:hAnsi="Arial" w:cs="Arial"/>
          <w:iCs/>
          <w:sz w:val="20"/>
          <w:szCs w:val="20"/>
        </w:rPr>
        <w:t>Table 2</w:t>
      </w:r>
      <w:r w:rsidR="00781D5E" w:rsidRPr="0076337A">
        <w:rPr>
          <w:rFonts w:ascii="Arial" w:hAnsi="Arial" w:cs="Arial"/>
          <w:iCs/>
          <w:sz w:val="20"/>
          <w:szCs w:val="20"/>
        </w:rPr>
        <w:t>.</w:t>
      </w:r>
      <w:r w:rsidRPr="0076337A">
        <w:rPr>
          <w:rFonts w:ascii="Arial" w:hAnsi="Arial" w:cs="Arial"/>
          <w:iCs/>
          <w:sz w:val="20"/>
          <w:szCs w:val="20"/>
        </w:rPr>
        <w:t xml:space="preserve"> </w:t>
      </w:r>
      <w:r w:rsidR="007B6EB3" w:rsidRPr="007B6EB3">
        <w:rPr>
          <w:rFonts w:ascii="Arial" w:hAnsi="Arial" w:cs="Arial"/>
          <w:i/>
          <w:sz w:val="20"/>
          <w:szCs w:val="20"/>
        </w:rPr>
        <w:t>Level of Innovative Work Behavior among Public Elementary School Teachers</w:t>
      </w:r>
    </w:p>
    <w:p w14:paraId="58C71F5A" w14:textId="4C7965E3" w:rsidR="00A574C3" w:rsidRPr="0076337A" w:rsidRDefault="00A574C3">
      <w:pPr>
        <w:jc w:val="both"/>
        <w:rPr>
          <w:rFonts w:ascii="Arial" w:hAnsi="Arial" w:cs="Arial"/>
          <w:i/>
          <w:sz w:val="20"/>
          <w:szCs w:val="20"/>
        </w:rPr>
      </w:pPr>
    </w:p>
    <w:tbl>
      <w:tblPr>
        <w:tblStyle w:val="TableGrid"/>
        <w:tblW w:w="85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2"/>
        <w:gridCol w:w="869"/>
        <w:gridCol w:w="1008"/>
        <w:gridCol w:w="19"/>
        <w:gridCol w:w="2263"/>
        <w:gridCol w:w="12"/>
      </w:tblGrid>
      <w:tr w:rsidR="00D815DA" w:rsidRPr="0076337A" w14:paraId="0DDD4F55" w14:textId="77777777" w:rsidTr="00C8398D">
        <w:trPr>
          <w:gridAfter w:val="1"/>
          <w:wAfter w:w="12" w:type="dxa"/>
          <w:trHeight w:val="436"/>
        </w:trPr>
        <w:tc>
          <w:tcPr>
            <w:tcW w:w="4354" w:type="dxa"/>
            <w:gridSpan w:val="2"/>
            <w:tcBorders>
              <w:bottom w:val="single" w:sz="4" w:space="0" w:color="auto"/>
            </w:tcBorders>
          </w:tcPr>
          <w:p w14:paraId="56EC11F9" w14:textId="77777777" w:rsidR="00D815DA" w:rsidRPr="0076337A" w:rsidRDefault="00D815DA" w:rsidP="00C8398D">
            <w:pPr>
              <w:jc w:val="center"/>
              <w:rPr>
                <w:rFonts w:ascii="Arial" w:hAnsi="Arial"/>
                <w:b/>
                <w:sz w:val="20"/>
                <w:szCs w:val="20"/>
              </w:rPr>
            </w:pPr>
            <w:r w:rsidRPr="0076337A">
              <w:rPr>
                <w:rFonts w:ascii="Arial" w:hAnsi="Arial"/>
                <w:b/>
                <w:sz w:val="20"/>
                <w:szCs w:val="20"/>
              </w:rPr>
              <w:t>Domains</w:t>
            </w:r>
          </w:p>
        </w:tc>
        <w:tc>
          <w:tcPr>
            <w:tcW w:w="869" w:type="dxa"/>
            <w:tcBorders>
              <w:bottom w:val="single" w:sz="4" w:space="0" w:color="auto"/>
            </w:tcBorders>
          </w:tcPr>
          <w:p w14:paraId="397A68C1" w14:textId="77777777" w:rsidR="00D815DA" w:rsidRPr="0076337A" w:rsidRDefault="00D815DA" w:rsidP="00C8398D">
            <w:pPr>
              <w:jc w:val="center"/>
              <w:rPr>
                <w:rFonts w:ascii="Arial" w:hAnsi="Arial"/>
                <w:b/>
                <w:sz w:val="20"/>
                <w:szCs w:val="20"/>
              </w:rPr>
            </w:pPr>
            <w:r w:rsidRPr="0076337A">
              <w:rPr>
                <w:rFonts w:ascii="Arial" w:hAnsi="Arial"/>
                <w:b/>
                <w:sz w:val="20"/>
                <w:szCs w:val="20"/>
              </w:rPr>
              <w:t>SD</w:t>
            </w:r>
          </w:p>
        </w:tc>
        <w:tc>
          <w:tcPr>
            <w:tcW w:w="1027" w:type="dxa"/>
            <w:gridSpan w:val="2"/>
            <w:tcBorders>
              <w:bottom w:val="single" w:sz="4" w:space="0" w:color="auto"/>
            </w:tcBorders>
          </w:tcPr>
          <w:p w14:paraId="28119226" w14:textId="77777777" w:rsidR="00D815DA" w:rsidRPr="0076337A" w:rsidRDefault="00D815DA" w:rsidP="00C8398D">
            <w:pPr>
              <w:jc w:val="center"/>
              <w:rPr>
                <w:rFonts w:ascii="Arial" w:hAnsi="Arial"/>
                <w:b/>
                <w:sz w:val="20"/>
                <w:szCs w:val="20"/>
              </w:rPr>
            </w:pPr>
            <w:r w:rsidRPr="0076337A">
              <w:rPr>
                <w:rFonts w:ascii="Arial" w:hAnsi="Arial"/>
                <w:b/>
                <w:sz w:val="20"/>
                <w:szCs w:val="20"/>
              </w:rPr>
              <w:t>Mean</w:t>
            </w:r>
          </w:p>
        </w:tc>
        <w:tc>
          <w:tcPr>
            <w:tcW w:w="2263" w:type="dxa"/>
            <w:tcBorders>
              <w:bottom w:val="single" w:sz="4" w:space="0" w:color="auto"/>
            </w:tcBorders>
          </w:tcPr>
          <w:p w14:paraId="45209412" w14:textId="77777777" w:rsidR="00D815DA" w:rsidRPr="0076337A" w:rsidRDefault="00D815DA" w:rsidP="00C8398D">
            <w:pPr>
              <w:jc w:val="center"/>
              <w:rPr>
                <w:rFonts w:ascii="Arial" w:hAnsi="Arial"/>
                <w:b/>
                <w:sz w:val="20"/>
                <w:szCs w:val="20"/>
              </w:rPr>
            </w:pPr>
            <w:r w:rsidRPr="0076337A">
              <w:rPr>
                <w:rFonts w:ascii="Arial" w:hAnsi="Arial"/>
                <w:b/>
                <w:sz w:val="20"/>
                <w:szCs w:val="20"/>
              </w:rPr>
              <w:t>Descriptive Level</w:t>
            </w:r>
          </w:p>
        </w:tc>
      </w:tr>
      <w:tr w:rsidR="00C85830" w:rsidRPr="0076337A" w14:paraId="75E63BE0" w14:textId="77777777" w:rsidTr="000E03B8">
        <w:trPr>
          <w:gridAfter w:val="1"/>
          <w:wAfter w:w="12" w:type="dxa"/>
          <w:trHeight w:val="415"/>
        </w:trPr>
        <w:tc>
          <w:tcPr>
            <w:tcW w:w="4354" w:type="dxa"/>
            <w:gridSpan w:val="2"/>
            <w:tcBorders>
              <w:top w:val="single" w:sz="4" w:space="0" w:color="auto"/>
            </w:tcBorders>
            <w:vAlign w:val="center"/>
          </w:tcPr>
          <w:p w14:paraId="7E392CB8" w14:textId="2B9F2E3D" w:rsidR="00C85830" w:rsidRPr="00C85830" w:rsidRDefault="00C85830" w:rsidP="00C85830">
            <w:pPr>
              <w:widowControl w:val="0"/>
              <w:ind w:firstLine="341"/>
              <w:rPr>
                <w:rFonts w:ascii="Arial" w:hAnsi="Arial" w:cs="Arial"/>
                <w:sz w:val="20"/>
                <w:szCs w:val="20"/>
              </w:rPr>
            </w:pPr>
            <w:r w:rsidRPr="00172934">
              <w:rPr>
                <w:rFonts w:ascii="Arial" w:hAnsi="Arial" w:cs="Arial"/>
                <w:sz w:val="20"/>
                <w:szCs w:val="20"/>
              </w:rPr>
              <w:t>Idea Generation</w:t>
            </w:r>
          </w:p>
        </w:tc>
        <w:tc>
          <w:tcPr>
            <w:tcW w:w="869" w:type="dxa"/>
            <w:tcBorders>
              <w:top w:val="single" w:sz="4" w:space="0" w:color="auto"/>
            </w:tcBorders>
            <w:vAlign w:val="center"/>
          </w:tcPr>
          <w:p w14:paraId="72757B90" w14:textId="4A1173CE" w:rsidR="00C85830" w:rsidRPr="00C85830" w:rsidRDefault="00C85830" w:rsidP="00C85830">
            <w:pPr>
              <w:jc w:val="center"/>
              <w:rPr>
                <w:rFonts w:ascii="Arial" w:hAnsi="Arial" w:cs="Arial"/>
                <w:sz w:val="20"/>
                <w:szCs w:val="20"/>
              </w:rPr>
            </w:pPr>
            <w:r w:rsidRPr="00172934">
              <w:rPr>
                <w:rFonts w:ascii="Arial" w:hAnsi="Arial" w:cs="Arial"/>
                <w:sz w:val="20"/>
                <w:szCs w:val="20"/>
              </w:rPr>
              <w:t>1.12</w:t>
            </w:r>
          </w:p>
        </w:tc>
        <w:tc>
          <w:tcPr>
            <w:tcW w:w="1027" w:type="dxa"/>
            <w:gridSpan w:val="2"/>
            <w:tcBorders>
              <w:top w:val="single" w:sz="4" w:space="0" w:color="auto"/>
            </w:tcBorders>
            <w:vAlign w:val="center"/>
          </w:tcPr>
          <w:p w14:paraId="201232BC" w14:textId="4E0CC05B" w:rsidR="00C85830" w:rsidRPr="00C85830" w:rsidRDefault="00C85830" w:rsidP="00C85830">
            <w:pPr>
              <w:jc w:val="center"/>
              <w:rPr>
                <w:rFonts w:ascii="Arial" w:hAnsi="Arial" w:cs="Arial"/>
                <w:sz w:val="20"/>
                <w:szCs w:val="20"/>
              </w:rPr>
            </w:pPr>
            <w:r w:rsidRPr="00172934">
              <w:rPr>
                <w:rFonts w:ascii="Arial" w:hAnsi="Arial" w:cs="Arial"/>
                <w:sz w:val="20"/>
                <w:szCs w:val="20"/>
              </w:rPr>
              <w:t>3.88</w:t>
            </w:r>
          </w:p>
        </w:tc>
        <w:tc>
          <w:tcPr>
            <w:tcW w:w="2263" w:type="dxa"/>
            <w:tcBorders>
              <w:top w:val="single" w:sz="4" w:space="0" w:color="auto"/>
            </w:tcBorders>
            <w:vAlign w:val="center"/>
          </w:tcPr>
          <w:p w14:paraId="75310DAA" w14:textId="5418B3CE" w:rsidR="00C85830" w:rsidRPr="00C85830" w:rsidRDefault="00C85830" w:rsidP="00C85830">
            <w:pPr>
              <w:jc w:val="center"/>
              <w:rPr>
                <w:rFonts w:ascii="Arial" w:hAnsi="Arial" w:cs="Arial"/>
                <w:sz w:val="20"/>
                <w:szCs w:val="20"/>
              </w:rPr>
            </w:pPr>
            <w:r w:rsidRPr="00172934">
              <w:rPr>
                <w:rFonts w:ascii="Arial" w:hAnsi="Arial" w:cs="Arial"/>
                <w:sz w:val="20"/>
                <w:szCs w:val="20"/>
              </w:rPr>
              <w:t>High</w:t>
            </w:r>
          </w:p>
        </w:tc>
      </w:tr>
      <w:tr w:rsidR="00C85830" w:rsidRPr="0076337A" w14:paraId="72DBC142" w14:textId="77777777" w:rsidTr="000E03B8">
        <w:trPr>
          <w:gridAfter w:val="1"/>
          <w:wAfter w:w="12" w:type="dxa"/>
          <w:trHeight w:val="406"/>
        </w:trPr>
        <w:tc>
          <w:tcPr>
            <w:tcW w:w="4354" w:type="dxa"/>
            <w:gridSpan w:val="2"/>
            <w:vAlign w:val="center"/>
          </w:tcPr>
          <w:p w14:paraId="652365C3" w14:textId="46C78E53" w:rsidR="00C85830" w:rsidRPr="00C85830" w:rsidRDefault="00C85830" w:rsidP="00C85830">
            <w:pPr>
              <w:widowControl w:val="0"/>
              <w:ind w:firstLine="341"/>
              <w:rPr>
                <w:rFonts w:ascii="Arial" w:hAnsi="Arial" w:cs="Arial"/>
                <w:sz w:val="20"/>
                <w:szCs w:val="20"/>
              </w:rPr>
            </w:pPr>
            <w:r w:rsidRPr="00172934">
              <w:rPr>
                <w:rFonts w:ascii="Arial" w:hAnsi="Arial" w:cs="Arial"/>
                <w:sz w:val="20"/>
                <w:szCs w:val="20"/>
              </w:rPr>
              <w:t>Idea Exploration</w:t>
            </w:r>
          </w:p>
        </w:tc>
        <w:tc>
          <w:tcPr>
            <w:tcW w:w="869" w:type="dxa"/>
            <w:vAlign w:val="center"/>
          </w:tcPr>
          <w:p w14:paraId="1A03CACD" w14:textId="0A921DE9" w:rsidR="00C85830" w:rsidRPr="00C85830" w:rsidRDefault="00C85830" w:rsidP="00C85830">
            <w:pPr>
              <w:jc w:val="center"/>
              <w:rPr>
                <w:rFonts w:ascii="Arial" w:hAnsi="Arial" w:cs="Arial"/>
                <w:sz w:val="20"/>
                <w:szCs w:val="20"/>
              </w:rPr>
            </w:pPr>
            <w:r w:rsidRPr="00172934">
              <w:rPr>
                <w:rFonts w:ascii="Arial" w:hAnsi="Arial" w:cs="Arial"/>
                <w:sz w:val="20"/>
                <w:szCs w:val="20"/>
              </w:rPr>
              <w:t>1.03</w:t>
            </w:r>
          </w:p>
        </w:tc>
        <w:tc>
          <w:tcPr>
            <w:tcW w:w="1027" w:type="dxa"/>
            <w:gridSpan w:val="2"/>
            <w:vAlign w:val="center"/>
          </w:tcPr>
          <w:p w14:paraId="1E87CF99" w14:textId="5A5B744C" w:rsidR="00C85830" w:rsidRPr="00C85830" w:rsidRDefault="00C85830" w:rsidP="00C85830">
            <w:pPr>
              <w:jc w:val="center"/>
              <w:rPr>
                <w:rFonts w:ascii="Arial" w:hAnsi="Arial" w:cs="Arial"/>
                <w:sz w:val="20"/>
                <w:szCs w:val="20"/>
              </w:rPr>
            </w:pPr>
            <w:r w:rsidRPr="00172934">
              <w:rPr>
                <w:rFonts w:ascii="Arial" w:hAnsi="Arial" w:cs="Arial"/>
                <w:sz w:val="20"/>
                <w:szCs w:val="20"/>
              </w:rPr>
              <w:t>3.92</w:t>
            </w:r>
          </w:p>
        </w:tc>
        <w:tc>
          <w:tcPr>
            <w:tcW w:w="2263" w:type="dxa"/>
            <w:vAlign w:val="center"/>
          </w:tcPr>
          <w:p w14:paraId="5B33F21A" w14:textId="0FD0BA6B" w:rsidR="00C85830" w:rsidRPr="00C85830" w:rsidRDefault="00C85830" w:rsidP="00C85830">
            <w:pPr>
              <w:jc w:val="center"/>
              <w:rPr>
                <w:rFonts w:ascii="Arial" w:hAnsi="Arial" w:cs="Arial"/>
                <w:sz w:val="20"/>
                <w:szCs w:val="20"/>
              </w:rPr>
            </w:pPr>
            <w:r w:rsidRPr="00172934">
              <w:rPr>
                <w:rFonts w:ascii="Arial" w:hAnsi="Arial" w:cs="Arial"/>
                <w:sz w:val="20"/>
                <w:szCs w:val="20"/>
              </w:rPr>
              <w:t>High</w:t>
            </w:r>
          </w:p>
        </w:tc>
      </w:tr>
      <w:tr w:rsidR="00C85830" w:rsidRPr="0076337A" w14:paraId="28BCBF44" w14:textId="77777777" w:rsidTr="000E03B8">
        <w:trPr>
          <w:gridAfter w:val="1"/>
          <w:wAfter w:w="12" w:type="dxa"/>
          <w:trHeight w:val="416"/>
        </w:trPr>
        <w:tc>
          <w:tcPr>
            <w:tcW w:w="4354" w:type="dxa"/>
            <w:gridSpan w:val="2"/>
            <w:vAlign w:val="center"/>
          </w:tcPr>
          <w:p w14:paraId="663D10BD" w14:textId="00BDDF7F" w:rsidR="00C85830" w:rsidRPr="00C85830" w:rsidRDefault="00C85830" w:rsidP="00C85830">
            <w:pPr>
              <w:widowControl w:val="0"/>
              <w:ind w:firstLine="341"/>
              <w:rPr>
                <w:rFonts w:ascii="Arial" w:hAnsi="Arial" w:cs="Arial"/>
                <w:sz w:val="20"/>
                <w:szCs w:val="20"/>
              </w:rPr>
            </w:pPr>
            <w:r w:rsidRPr="00172934">
              <w:rPr>
                <w:rFonts w:ascii="Arial" w:hAnsi="Arial" w:cs="Arial"/>
                <w:sz w:val="20"/>
                <w:szCs w:val="20"/>
              </w:rPr>
              <w:t>Idea Championing</w:t>
            </w:r>
          </w:p>
        </w:tc>
        <w:tc>
          <w:tcPr>
            <w:tcW w:w="869" w:type="dxa"/>
            <w:vAlign w:val="center"/>
          </w:tcPr>
          <w:p w14:paraId="4FB81BF8" w14:textId="4D07F705" w:rsidR="00C85830" w:rsidRPr="00C85830" w:rsidRDefault="00C85830" w:rsidP="00C85830">
            <w:pPr>
              <w:jc w:val="center"/>
              <w:rPr>
                <w:rFonts w:ascii="Arial" w:hAnsi="Arial" w:cs="Arial"/>
                <w:sz w:val="20"/>
                <w:szCs w:val="20"/>
              </w:rPr>
            </w:pPr>
            <w:r w:rsidRPr="00172934">
              <w:rPr>
                <w:rFonts w:ascii="Arial" w:hAnsi="Arial" w:cs="Arial"/>
                <w:sz w:val="20"/>
                <w:szCs w:val="20"/>
              </w:rPr>
              <w:t>1.08</w:t>
            </w:r>
          </w:p>
        </w:tc>
        <w:tc>
          <w:tcPr>
            <w:tcW w:w="1027" w:type="dxa"/>
            <w:gridSpan w:val="2"/>
            <w:vAlign w:val="center"/>
          </w:tcPr>
          <w:p w14:paraId="6515D5DA" w14:textId="1C2FF2BC" w:rsidR="00C85830" w:rsidRPr="00C85830" w:rsidRDefault="00C85830" w:rsidP="00C85830">
            <w:pPr>
              <w:jc w:val="center"/>
              <w:rPr>
                <w:rFonts w:ascii="Arial" w:hAnsi="Arial" w:cs="Arial"/>
                <w:sz w:val="20"/>
                <w:szCs w:val="20"/>
              </w:rPr>
            </w:pPr>
            <w:r w:rsidRPr="00172934">
              <w:rPr>
                <w:rFonts w:ascii="Arial" w:hAnsi="Arial" w:cs="Arial"/>
                <w:sz w:val="20"/>
                <w:szCs w:val="20"/>
              </w:rPr>
              <w:t>3.91</w:t>
            </w:r>
          </w:p>
        </w:tc>
        <w:tc>
          <w:tcPr>
            <w:tcW w:w="2263" w:type="dxa"/>
            <w:vAlign w:val="center"/>
          </w:tcPr>
          <w:p w14:paraId="11BA0775" w14:textId="2240E203" w:rsidR="00C85830" w:rsidRPr="00C85830" w:rsidRDefault="00C85830" w:rsidP="00C85830">
            <w:pPr>
              <w:jc w:val="center"/>
              <w:rPr>
                <w:rFonts w:ascii="Arial" w:hAnsi="Arial" w:cs="Arial"/>
                <w:sz w:val="20"/>
                <w:szCs w:val="20"/>
              </w:rPr>
            </w:pPr>
            <w:r w:rsidRPr="00172934">
              <w:rPr>
                <w:rFonts w:ascii="Arial" w:hAnsi="Arial" w:cs="Arial"/>
                <w:sz w:val="20"/>
                <w:szCs w:val="20"/>
              </w:rPr>
              <w:t>High</w:t>
            </w:r>
          </w:p>
        </w:tc>
      </w:tr>
      <w:tr w:rsidR="00C85830" w:rsidRPr="0076337A" w14:paraId="6B4267CB" w14:textId="77777777" w:rsidTr="000E03B8">
        <w:trPr>
          <w:trHeight w:val="305"/>
        </w:trPr>
        <w:tc>
          <w:tcPr>
            <w:tcW w:w="4312" w:type="dxa"/>
            <w:vAlign w:val="center"/>
          </w:tcPr>
          <w:p w14:paraId="6C024A2C" w14:textId="519FCF90" w:rsidR="00C85830" w:rsidRPr="00C85830" w:rsidRDefault="00C85830" w:rsidP="00C85830">
            <w:pPr>
              <w:jc w:val="center"/>
              <w:rPr>
                <w:rFonts w:ascii="Arial" w:eastAsia="Calibri" w:hAnsi="Arial" w:cs="Arial"/>
                <w:b/>
                <w:bCs/>
                <w:sz w:val="20"/>
                <w:szCs w:val="20"/>
              </w:rPr>
            </w:pPr>
            <w:r w:rsidRPr="00172934">
              <w:rPr>
                <w:rFonts w:ascii="Arial" w:hAnsi="Arial" w:cs="Arial"/>
                <w:b/>
                <w:bCs/>
                <w:sz w:val="20"/>
                <w:szCs w:val="20"/>
              </w:rPr>
              <w:t>Overall</w:t>
            </w:r>
          </w:p>
        </w:tc>
        <w:tc>
          <w:tcPr>
            <w:tcW w:w="911" w:type="dxa"/>
            <w:gridSpan w:val="2"/>
            <w:vAlign w:val="center"/>
          </w:tcPr>
          <w:p w14:paraId="2EE47C36" w14:textId="191505BC" w:rsidR="00C85830" w:rsidRPr="00C85830" w:rsidRDefault="00C85830" w:rsidP="00C85830">
            <w:pPr>
              <w:jc w:val="center"/>
              <w:rPr>
                <w:rFonts w:ascii="Arial" w:hAnsi="Arial" w:cs="Arial"/>
                <w:b/>
                <w:bCs/>
                <w:sz w:val="20"/>
                <w:szCs w:val="20"/>
              </w:rPr>
            </w:pPr>
            <w:r w:rsidRPr="00172934">
              <w:rPr>
                <w:rFonts w:ascii="Arial" w:hAnsi="Arial" w:cs="Arial"/>
                <w:sz w:val="20"/>
                <w:szCs w:val="20"/>
              </w:rPr>
              <w:t>1.10</w:t>
            </w:r>
          </w:p>
        </w:tc>
        <w:tc>
          <w:tcPr>
            <w:tcW w:w="1008" w:type="dxa"/>
            <w:vAlign w:val="center"/>
          </w:tcPr>
          <w:p w14:paraId="0E7DF1C5" w14:textId="7E1E0D44" w:rsidR="00C85830" w:rsidRPr="00C85830" w:rsidRDefault="00C85830" w:rsidP="00C85830">
            <w:pPr>
              <w:jc w:val="center"/>
              <w:rPr>
                <w:rFonts w:ascii="Arial" w:hAnsi="Arial" w:cs="Arial"/>
                <w:b/>
                <w:bCs/>
                <w:sz w:val="20"/>
                <w:szCs w:val="20"/>
              </w:rPr>
            </w:pPr>
            <w:r w:rsidRPr="00172934">
              <w:rPr>
                <w:rFonts w:ascii="Arial" w:hAnsi="Arial" w:cs="Arial"/>
                <w:sz w:val="20"/>
                <w:szCs w:val="20"/>
              </w:rPr>
              <w:t>3.90</w:t>
            </w:r>
          </w:p>
        </w:tc>
        <w:tc>
          <w:tcPr>
            <w:tcW w:w="2294" w:type="dxa"/>
            <w:gridSpan w:val="3"/>
            <w:vAlign w:val="center"/>
          </w:tcPr>
          <w:p w14:paraId="10B0D75B" w14:textId="4CB0B23C" w:rsidR="00C85830" w:rsidRPr="00C85830" w:rsidRDefault="00C85830" w:rsidP="00C85830">
            <w:pPr>
              <w:jc w:val="center"/>
              <w:rPr>
                <w:rFonts w:ascii="Arial" w:hAnsi="Arial" w:cs="Arial"/>
                <w:b/>
                <w:bCs/>
                <w:sz w:val="20"/>
                <w:szCs w:val="20"/>
              </w:rPr>
            </w:pPr>
            <w:r w:rsidRPr="00172934">
              <w:rPr>
                <w:rFonts w:ascii="Arial" w:hAnsi="Arial" w:cs="Arial"/>
                <w:sz w:val="20"/>
                <w:szCs w:val="20"/>
              </w:rPr>
              <w:t>High</w:t>
            </w:r>
          </w:p>
        </w:tc>
      </w:tr>
    </w:tbl>
    <w:p w14:paraId="684686C3" w14:textId="77777777" w:rsidR="00A574C3" w:rsidRPr="0076337A" w:rsidRDefault="00A574C3">
      <w:pPr>
        <w:jc w:val="both"/>
        <w:rPr>
          <w:rFonts w:ascii="Arial" w:hAnsi="Arial" w:cs="Arial"/>
          <w:b/>
          <w:iCs/>
          <w:sz w:val="20"/>
          <w:szCs w:val="20"/>
        </w:rPr>
      </w:pPr>
    </w:p>
    <w:p w14:paraId="21ED3F61" w14:textId="47C96E25" w:rsidR="0073677C" w:rsidRPr="0076337A" w:rsidRDefault="0073677C" w:rsidP="0073677C">
      <w:pPr>
        <w:jc w:val="both"/>
        <w:rPr>
          <w:rFonts w:ascii="Arial" w:hAnsi="Arial" w:cs="Arial"/>
          <w:sz w:val="20"/>
          <w:szCs w:val="20"/>
        </w:rPr>
      </w:pPr>
    </w:p>
    <w:p w14:paraId="6F7C668C" w14:textId="77777777" w:rsidR="008F3A04" w:rsidRPr="008F3A04" w:rsidRDefault="008F3A04" w:rsidP="008F3A04">
      <w:pPr>
        <w:jc w:val="both"/>
        <w:rPr>
          <w:rFonts w:ascii="Arial" w:hAnsi="Arial" w:cs="Arial"/>
          <w:sz w:val="20"/>
          <w:szCs w:val="20"/>
        </w:rPr>
      </w:pPr>
      <w:r w:rsidRPr="008F3A04">
        <w:rPr>
          <w:rFonts w:ascii="Arial" w:hAnsi="Arial" w:cs="Arial"/>
          <w:sz w:val="20"/>
          <w:szCs w:val="20"/>
        </w:rPr>
        <w:lastRenderedPageBreak/>
        <w:t>Table 2 presents the summary of the indicators in the level of innovative work behavior among public elementary school teachers. The indicator idea exploration obtained the highest mean score of 3.92, categorized as “high,” followed closely by idea championing at 3.91 and idea generation at 3.88. The overall mean of 3.90 is also categorized as “high,” which indicates that teachers consistently exhibit behaviors associated with creativity, initiative, and active promotion of new ideas within their professional practice.</w:t>
      </w:r>
    </w:p>
    <w:p w14:paraId="1276E938" w14:textId="77777777" w:rsidR="008F3A04" w:rsidRPr="008F3A04" w:rsidRDefault="008F3A04" w:rsidP="008F3A04">
      <w:pPr>
        <w:jc w:val="both"/>
        <w:rPr>
          <w:rFonts w:ascii="Arial" w:hAnsi="Arial" w:cs="Arial"/>
          <w:sz w:val="20"/>
          <w:szCs w:val="20"/>
        </w:rPr>
      </w:pPr>
    </w:p>
    <w:p w14:paraId="76DDD372" w14:textId="77777777" w:rsidR="008F3A04" w:rsidRPr="008F3A04" w:rsidRDefault="008F3A04" w:rsidP="008F3A04">
      <w:pPr>
        <w:jc w:val="both"/>
        <w:rPr>
          <w:rFonts w:ascii="Arial" w:hAnsi="Arial" w:cs="Arial"/>
          <w:sz w:val="20"/>
          <w:szCs w:val="20"/>
        </w:rPr>
      </w:pPr>
      <w:r w:rsidRPr="008F3A04">
        <w:rPr>
          <w:rFonts w:ascii="Arial" w:hAnsi="Arial" w:cs="Arial"/>
          <w:sz w:val="20"/>
          <w:szCs w:val="20"/>
        </w:rPr>
        <w:t>The overall standard deviation of 1.10 indicates a moderate spread in teacher responses. This reflects that while most teachers perceive themselves as innovative, there are slight variations in how frequently they engage in generating and implementing novel teaching strategies.</w:t>
      </w:r>
    </w:p>
    <w:p w14:paraId="3705AEE8" w14:textId="77777777" w:rsidR="008F3A04" w:rsidRPr="008F3A04" w:rsidRDefault="008F3A04" w:rsidP="008F3A04">
      <w:pPr>
        <w:jc w:val="both"/>
        <w:rPr>
          <w:rFonts w:ascii="Arial" w:hAnsi="Arial" w:cs="Arial"/>
          <w:sz w:val="20"/>
          <w:szCs w:val="20"/>
        </w:rPr>
      </w:pPr>
    </w:p>
    <w:p w14:paraId="5591BBD8" w14:textId="610F5AF6" w:rsidR="00D815DA" w:rsidRPr="0076337A" w:rsidRDefault="008F3A04" w:rsidP="008F3A04">
      <w:pPr>
        <w:jc w:val="both"/>
        <w:rPr>
          <w:rFonts w:ascii="Arial" w:hAnsi="Arial" w:cs="Arial"/>
          <w:sz w:val="20"/>
          <w:szCs w:val="20"/>
        </w:rPr>
      </w:pPr>
      <w:r w:rsidRPr="008F3A04">
        <w:rPr>
          <w:rFonts w:ascii="Arial" w:hAnsi="Arial" w:cs="Arial"/>
          <w:sz w:val="20"/>
          <w:szCs w:val="20"/>
        </w:rPr>
        <w:t xml:space="preserve">These findings align with the research of </w:t>
      </w:r>
      <w:r w:rsidR="005E55F6" w:rsidRPr="005E55F6">
        <w:rPr>
          <w:rFonts w:ascii="Arial" w:hAnsi="Arial" w:cs="Arial"/>
          <w:sz w:val="20"/>
          <w:szCs w:val="20"/>
        </w:rPr>
        <w:t xml:space="preserve">Baharuddin </w:t>
      </w:r>
      <w:r w:rsidR="005E55F6">
        <w:rPr>
          <w:rFonts w:ascii="Arial" w:hAnsi="Arial" w:cs="Arial"/>
          <w:sz w:val="20"/>
          <w:szCs w:val="20"/>
        </w:rPr>
        <w:t xml:space="preserve">et al. </w:t>
      </w:r>
      <w:r w:rsidRPr="008F3A04">
        <w:rPr>
          <w:rFonts w:ascii="Arial" w:hAnsi="Arial" w:cs="Arial"/>
          <w:sz w:val="20"/>
          <w:szCs w:val="20"/>
        </w:rPr>
        <w:t>(</w:t>
      </w:r>
      <w:r w:rsidR="005E55F6">
        <w:rPr>
          <w:rFonts w:ascii="Arial" w:hAnsi="Arial" w:cs="Arial"/>
          <w:sz w:val="20"/>
          <w:szCs w:val="20"/>
        </w:rPr>
        <w:t>2020</w:t>
      </w:r>
      <w:r w:rsidRPr="008F3A04">
        <w:rPr>
          <w:rFonts w:ascii="Arial" w:hAnsi="Arial" w:cs="Arial"/>
          <w:sz w:val="20"/>
          <w:szCs w:val="20"/>
        </w:rPr>
        <w:t xml:space="preserve">), who identified idea generation, exploration, and championing as core dimensions of innovative work behavior in organizational settings. In education, a study by </w:t>
      </w:r>
      <w:r w:rsidR="005E55F6" w:rsidRPr="005E55F6">
        <w:rPr>
          <w:rFonts w:ascii="Arial" w:hAnsi="Arial" w:cs="Arial"/>
          <w:sz w:val="20"/>
          <w:szCs w:val="20"/>
        </w:rPr>
        <w:t xml:space="preserve">Černe </w:t>
      </w:r>
      <w:r w:rsidR="005E55F6">
        <w:rPr>
          <w:rFonts w:ascii="Arial" w:hAnsi="Arial" w:cs="Arial"/>
          <w:sz w:val="20"/>
          <w:szCs w:val="20"/>
        </w:rPr>
        <w:t xml:space="preserve">et al. </w:t>
      </w:r>
      <w:r w:rsidRPr="008F3A04">
        <w:rPr>
          <w:rFonts w:ascii="Arial" w:hAnsi="Arial" w:cs="Arial"/>
          <w:sz w:val="20"/>
          <w:szCs w:val="20"/>
        </w:rPr>
        <w:t>(</w:t>
      </w:r>
      <w:r w:rsidR="005E55F6">
        <w:rPr>
          <w:rFonts w:ascii="Arial" w:hAnsi="Arial" w:cs="Arial"/>
          <w:sz w:val="20"/>
          <w:szCs w:val="20"/>
        </w:rPr>
        <w:t>2024</w:t>
      </w:r>
      <w:r w:rsidRPr="008F3A04">
        <w:rPr>
          <w:rFonts w:ascii="Arial" w:hAnsi="Arial" w:cs="Arial"/>
          <w:sz w:val="20"/>
          <w:szCs w:val="20"/>
        </w:rPr>
        <w:t xml:space="preserve">) emphasized that teachers who consistently explore and promote new ideas tend to foster better learning outcomes. Additionally, </w:t>
      </w:r>
      <w:r w:rsidR="005E55F6" w:rsidRPr="005E55F6">
        <w:rPr>
          <w:rFonts w:ascii="Arial" w:hAnsi="Arial" w:cs="Arial"/>
          <w:sz w:val="20"/>
          <w:szCs w:val="20"/>
        </w:rPr>
        <w:t xml:space="preserve">Ayoub </w:t>
      </w:r>
      <w:r w:rsidR="005E55F6">
        <w:rPr>
          <w:rFonts w:ascii="Arial" w:hAnsi="Arial" w:cs="Arial"/>
          <w:sz w:val="20"/>
          <w:szCs w:val="20"/>
        </w:rPr>
        <w:t xml:space="preserve">et al. </w:t>
      </w:r>
      <w:r w:rsidRPr="008F3A04">
        <w:rPr>
          <w:rFonts w:ascii="Arial" w:hAnsi="Arial" w:cs="Arial"/>
          <w:sz w:val="20"/>
          <w:szCs w:val="20"/>
        </w:rPr>
        <w:t>(</w:t>
      </w:r>
      <w:r w:rsidR="005E55F6">
        <w:rPr>
          <w:rFonts w:ascii="Arial" w:hAnsi="Arial" w:cs="Arial"/>
          <w:sz w:val="20"/>
          <w:szCs w:val="20"/>
        </w:rPr>
        <w:t>2023</w:t>
      </w:r>
      <w:r w:rsidRPr="008F3A04">
        <w:rPr>
          <w:rFonts w:ascii="Arial" w:hAnsi="Arial" w:cs="Arial"/>
          <w:sz w:val="20"/>
          <w:szCs w:val="20"/>
        </w:rPr>
        <w:t>) found that teachers who engaged in high levels of innovation were more likely to demonstrate adaptability and sustained professional growth.</w:t>
      </w:r>
    </w:p>
    <w:p w14:paraId="0631691E" w14:textId="77777777" w:rsidR="0009184C" w:rsidRPr="0076337A" w:rsidRDefault="0009184C" w:rsidP="0009184C">
      <w:pPr>
        <w:rPr>
          <w:rFonts w:ascii="Arial" w:hAnsi="Arial" w:cs="Arial"/>
          <w:b/>
          <w:bCs/>
          <w:sz w:val="20"/>
          <w:szCs w:val="20"/>
        </w:rPr>
      </w:pPr>
    </w:p>
    <w:p w14:paraId="4AADC923" w14:textId="7007B69E" w:rsidR="002A20A0" w:rsidRPr="0076337A" w:rsidRDefault="002A20A0" w:rsidP="0009184C">
      <w:pPr>
        <w:rPr>
          <w:rFonts w:ascii="Arial" w:hAnsi="Arial" w:cs="Arial"/>
          <w:b/>
          <w:bCs/>
          <w:sz w:val="20"/>
          <w:szCs w:val="20"/>
        </w:rPr>
      </w:pPr>
      <w:r w:rsidRPr="0076337A">
        <w:rPr>
          <w:rFonts w:ascii="Arial" w:hAnsi="Arial" w:cs="Arial"/>
          <w:b/>
          <w:bCs/>
          <w:sz w:val="20"/>
          <w:szCs w:val="20"/>
        </w:rPr>
        <w:t xml:space="preserve">3.3 </w:t>
      </w:r>
      <w:r w:rsidR="00293B5F" w:rsidRPr="00293B5F">
        <w:rPr>
          <w:rFonts w:ascii="Arial" w:hAnsi="Arial" w:cs="Arial"/>
          <w:b/>
          <w:bCs/>
          <w:sz w:val="20"/>
          <w:szCs w:val="20"/>
        </w:rPr>
        <w:t>Level of Teacher Engagement among Public Elementary School Teachers</w:t>
      </w:r>
    </w:p>
    <w:p w14:paraId="42F8F11C" w14:textId="77777777" w:rsidR="00C03ED9" w:rsidRPr="0076337A" w:rsidRDefault="00C03ED9" w:rsidP="00C958E5">
      <w:pPr>
        <w:jc w:val="both"/>
        <w:rPr>
          <w:rFonts w:ascii="Arial" w:hAnsi="Arial" w:cs="Arial"/>
          <w:sz w:val="20"/>
          <w:szCs w:val="20"/>
        </w:rPr>
      </w:pPr>
    </w:p>
    <w:p w14:paraId="19D82D7C" w14:textId="51FFCE04" w:rsidR="00C03ED9" w:rsidRPr="0076337A" w:rsidRDefault="00C03ED9" w:rsidP="00C03ED9">
      <w:pPr>
        <w:jc w:val="both"/>
        <w:rPr>
          <w:rFonts w:ascii="Arial" w:hAnsi="Arial" w:cs="Arial"/>
          <w:i/>
          <w:sz w:val="20"/>
          <w:szCs w:val="20"/>
        </w:rPr>
      </w:pPr>
      <w:r w:rsidRPr="0076337A">
        <w:rPr>
          <w:rFonts w:ascii="Arial" w:hAnsi="Arial" w:cs="Arial"/>
          <w:iCs/>
          <w:sz w:val="20"/>
          <w:szCs w:val="20"/>
        </w:rPr>
        <w:t xml:space="preserve">Table 3. </w:t>
      </w:r>
      <w:r w:rsidR="000E3E43" w:rsidRPr="000E3E43">
        <w:rPr>
          <w:rFonts w:ascii="Arial" w:hAnsi="Arial" w:cs="Arial"/>
          <w:i/>
          <w:sz w:val="20"/>
          <w:szCs w:val="20"/>
        </w:rPr>
        <w:t>Level of Teacher Engagement among Public Elementary School Teachers</w:t>
      </w:r>
    </w:p>
    <w:p w14:paraId="3288D302" w14:textId="77777777" w:rsidR="004B3F72" w:rsidRPr="0076337A" w:rsidRDefault="004B3F72" w:rsidP="00C03ED9">
      <w:pPr>
        <w:jc w:val="both"/>
        <w:rPr>
          <w:rFonts w:ascii="Arial" w:hAnsi="Arial" w:cs="Arial"/>
          <w:i/>
          <w:sz w:val="20"/>
          <w:szCs w:val="20"/>
        </w:rPr>
      </w:pPr>
    </w:p>
    <w:tbl>
      <w:tblPr>
        <w:tblStyle w:val="TableGrid"/>
        <w:tblW w:w="85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2"/>
        <w:gridCol w:w="869"/>
        <w:gridCol w:w="1008"/>
        <w:gridCol w:w="19"/>
        <w:gridCol w:w="2263"/>
        <w:gridCol w:w="12"/>
      </w:tblGrid>
      <w:tr w:rsidR="00C03ED9" w:rsidRPr="0076337A" w14:paraId="2C5E5BE6" w14:textId="77777777" w:rsidTr="004C1123">
        <w:trPr>
          <w:gridAfter w:val="1"/>
          <w:wAfter w:w="12" w:type="dxa"/>
          <w:trHeight w:val="436"/>
        </w:trPr>
        <w:tc>
          <w:tcPr>
            <w:tcW w:w="4354" w:type="dxa"/>
            <w:gridSpan w:val="2"/>
            <w:tcBorders>
              <w:bottom w:val="single" w:sz="4" w:space="0" w:color="auto"/>
            </w:tcBorders>
          </w:tcPr>
          <w:p w14:paraId="15559C35" w14:textId="77777777" w:rsidR="00C03ED9" w:rsidRPr="0076337A" w:rsidRDefault="00C03ED9" w:rsidP="004C1123">
            <w:pPr>
              <w:jc w:val="center"/>
              <w:rPr>
                <w:rFonts w:ascii="Arial" w:hAnsi="Arial"/>
                <w:b/>
                <w:sz w:val="20"/>
                <w:szCs w:val="20"/>
              </w:rPr>
            </w:pPr>
            <w:r w:rsidRPr="0076337A">
              <w:rPr>
                <w:rFonts w:ascii="Arial" w:hAnsi="Arial"/>
                <w:b/>
                <w:sz w:val="20"/>
                <w:szCs w:val="20"/>
              </w:rPr>
              <w:t>Domains</w:t>
            </w:r>
          </w:p>
        </w:tc>
        <w:tc>
          <w:tcPr>
            <w:tcW w:w="869" w:type="dxa"/>
            <w:tcBorders>
              <w:bottom w:val="single" w:sz="4" w:space="0" w:color="auto"/>
            </w:tcBorders>
          </w:tcPr>
          <w:p w14:paraId="10564C89" w14:textId="77777777" w:rsidR="00C03ED9" w:rsidRPr="0076337A" w:rsidRDefault="00C03ED9" w:rsidP="004C1123">
            <w:pPr>
              <w:jc w:val="center"/>
              <w:rPr>
                <w:rFonts w:ascii="Arial" w:hAnsi="Arial"/>
                <w:b/>
                <w:sz w:val="20"/>
                <w:szCs w:val="20"/>
              </w:rPr>
            </w:pPr>
            <w:r w:rsidRPr="0076337A">
              <w:rPr>
                <w:rFonts w:ascii="Arial" w:hAnsi="Arial"/>
                <w:b/>
                <w:sz w:val="20"/>
                <w:szCs w:val="20"/>
              </w:rPr>
              <w:t>SD</w:t>
            </w:r>
          </w:p>
        </w:tc>
        <w:tc>
          <w:tcPr>
            <w:tcW w:w="1027" w:type="dxa"/>
            <w:gridSpan w:val="2"/>
            <w:tcBorders>
              <w:bottom w:val="single" w:sz="4" w:space="0" w:color="auto"/>
            </w:tcBorders>
          </w:tcPr>
          <w:p w14:paraId="59C2EED9" w14:textId="77777777" w:rsidR="00C03ED9" w:rsidRPr="0076337A" w:rsidRDefault="00C03ED9" w:rsidP="004C1123">
            <w:pPr>
              <w:jc w:val="center"/>
              <w:rPr>
                <w:rFonts w:ascii="Arial" w:hAnsi="Arial"/>
                <w:b/>
                <w:sz w:val="20"/>
                <w:szCs w:val="20"/>
              </w:rPr>
            </w:pPr>
            <w:r w:rsidRPr="0076337A">
              <w:rPr>
                <w:rFonts w:ascii="Arial" w:hAnsi="Arial"/>
                <w:b/>
                <w:sz w:val="20"/>
                <w:szCs w:val="20"/>
              </w:rPr>
              <w:t>Mean</w:t>
            </w:r>
          </w:p>
        </w:tc>
        <w:tc>
          <w:tcPr>
            <w:tcW w:w="2263" w:type="dxa"/>
            <w:tcBorders>
              <w:bottom w:val="single" w:sz="4" w:space="0" w:color="auto"/>
            </w:tcBorders>
          </w:tcPr>
          <w:p w14:paraId="2651D4D3" w14:textId="77777777" w:rsidR="00C03ED9" w:rsidRPr="0076337A" w:rsidRDefault="00C03ED9" w:rsidP="004C1123">
            <w:pPr>
              <w:jc w:val="center"/>
              <w:rPr>
                <w:rFonts w:ascii="Arial" w:hAnsi="Arial"/>
                <w:b/>
                <w:sz w:val="20"/>
                <w:szCs w:val="20"/>
              </w:rPr>
            </w:pPr>
            <w:r w:rsidRPr="0076337A">
              <w:rPr>
                <w:rFonts w:ascii="Arial" w:hAnsi="Arial"/>
                <w:b/>
                <w:sz w:val="20"/>
                <w:szCs w:val="20"/>
              </w:rPr>
              <w:t>Descriptive Level</w:t>
            </w:r>
          </w:p>
        </w:tc>
      </w:tr>
      <w:tr w:rsidR="00A02DB1" w:rsidRPr="0076337A" w14:paraId="6A220D59" w14:textId="77777777" w:rsidTr="004C1123">
        <w:trPr>
          <w:gridAfter w:val="1"/>
          <w:wAfter w:w="12" w:type="dxa"/>
          <w:trHeight w:val="415"/>
        </w:trPr>
        <w:tc>
          <w:tcPr>
            <w:tcW w:w="4354" w:type="dxa"/>
            <w:gridSpan w:val="2"/>
            <w:tcBorders>
              <w:top w:val="single" w:sz="4" w:space="0" w:color="auto"/>
            </w:tcBorders>
            <w:vAlign w:val="center"/>
          </w:tcPr>
          <w:p w14:paraId="3AF857B4" w14:textId="564B6A17" w:rsidR="00A02DB1" w:rsidRPr="00A02DB1" w:rsidRDefault="00A02DB1" w:rsidP="00A02DB1">
            <w:pPr>
              <w:widowControl w:val="0"/>
              <w:ind w:firstLine="341"/>
              <w:rPr>
                <w:rFonts w:ascii="Arial" w:hAnsi="Arial" w:cs="Arial"/>
                <w:sz w:val="20"/>
                <w:szCs w:val="20"/>
              </w:rPr>
            </w:pPr>
            <w:r w:rsidRPr="00172934">
              <w:rPr>
                <w:rFonts w:ascii="Arial" w:hAnsi="Arial" w:cs="Arial"/>
                <w:sz w:val="20"/>
                <w:szCs w:val="20"/>
              </w:rPr>
              <w:t>Emotional Engagement</w:t>
            </w:r>
          </w:p>
        </w:tc>
        <w:tc>
          <w:tcPr>
            <w:tcW w:w="869" w:type="dxa"/>
            <w:tcBorders>
              <w:top w:val="single" w:sz="4" w:space="0" w:color="auto"/>
            </w:tcBorders>
            <w:vAlign w:val="center"/>
          </w:tcPr>
          <w:p w14:paraId="6449635D" w14:textId="635ADC52" w:rsidR="00A02DB1" w:rsidRPr="00A02DB1" w:rsidRDefault="00A02DB1" w:rsidP="00A02DB1">
            <w:pPr>
              <w:jc w:val="center"/>
              <w:rPr>
                <w:rFonts w:ascii="Arial" w:hAnsi="Arial" w:cs="Arial"/>
                <w:sz w:val="20"/>
                <w:szCs w:val="20"/>
              </w:rPr>
            </w:pPr>
            <w:r w:rsidRPr="00172934">
              <w:rPr>
                <w:rFonts w:ascii="Arial" w:hAnsi="Arial" w:cs="Arial"/>
                <w:sz w:val="20"/>
                <w:szCs w:val="20"/>
              </w:rPr>
              <w:t>1.07</w:t>
            </w:r>
          </w:p>
        </w:tc>
        <w:tc>
          <w:tcPr>
            <w:tcW w:w="1027" w:type="dxa"/>
            <w:gridSpan w:val="2"/>
            <w:tcBorders>
              <w:top w:val="single" w:sz="4" w:space="0" w:color="auto"/>
            </w:tcBorders>
            <w:vAlign w:val="center"/>
          </w:tcPr>
          <w:p w14:paraId="6E75D1DB" w14:textId="6C23E3AA" w:rsidR="00A02DB1" w:rsidRPr="00A02DB1" w:rsidRDefault="00A02DB1" w:rsidP="00A02DB1">
            <w:pPr>
              <w:jc w:val="center"/>
              <w:rPr>
                <w:rFonts w:ascii="Arial" w:hAnsi="Arial" w:cs="Arial"/>
                <w:sz w:val="20"/>
                <w:szCs w:val="20"/>
              </w:rPr>
            </w:pPr>
            <w:r w:rsidRPr="00172934">
              <w:rPr>
                <w:rFonts w:ascii="Arial" w:hAnsi="Arial" w:cs="Arial"/>
                <w:sz w:val="20"/>
                <w:szCs w:val="20"/>
              </w:rPr>
              <w:t>3.83</w:t>
            </w:r>
          </w:p>
        </w:tc>
        <w:tc>
          <w:tcPr>
            <w:tcW w:w="2263" w:type="dxa"/>
            <w:tcBorders>
              <w:top w:val="single" w:sz="4" w:space="0" w:color="auto"/>
            </w:tcBorders>
            <w:vAlign w:val="center"/>
          </w:tcPr>
          <w:p w14:paraId="3900AE0D" w14:textId="6D1A7642" w:rsidR="00A02DB1" w:rsidRPr="00A02DB1" w:rsidRDefault="00A02DB1" w:rsidP="00A02DB1">
            <w:pPr>
              <w:jc w:val="center"/>
              <w:rPr>
                <w:rFonts w:ascii="Arial" w:hAnsi="Arial" w:cs="Arial"/>
                <w:sz w:val="20"/>
                <w:szCs w:val="20"/>
              </w:rPr>
            </w:pPr>
            <w:r w:rsidRPr="00172934">
              <w:rPr>
                <w:rFonts w:ascii="Arial" w:hAnsi="Arial" w:cs="Arial"/>
                <w:sz w:val="20"/>
                <w:szCs w:val="20"/>
              </w:rPr>
              <w:t>High</w:t>
            </w:r>
          </w:p>
        </w:tc>
      </w:tr>
      <w:tr w:rsidR="00A02DB1" w:rsidRPr="0076337A" w14:paraId="57A5CD78" w14:textId="77777777" w:rsidTr="004C1123">
        <w:trPr>
          <w:gridAfter w:val="1"/>
          <w:wAfter w:w="12" w:type="dxa"/>
          <w:trHeight w:val="406"/>
        </w:trPr>
        <w:tc>
          <w:tcPr>
            <w:tcW w:w="4354" w:type="dxa"/>
            <w:gridSpan w:val="2"/>
            <w:vAlign w:val="center"/>
          </w:tcPr>
          <w:p w14:paraId="6185E4B5" w14:textId="144F59D4" w:rsidR="00A02DB1" w:rsidRPr="00A02DB1" w:rsidRDefault="00A02DB1" w:rsidP="00A02DB1">
            <w:pPr>
              <w:widowControl w:val="0"/>
              <w:ind w:firstLine="341"/>
              <w:rPr>
                <w:rFonts w:ascii="Arial" w:hAnsi="Arial" w:cs="Arial"/>
                <w:sz w:val="20"/>
                <w:szCs w:val="20"/>
              </w:rPr>
            </w:pPr>
            <w:r w:rsidRPr="00172934">
              <w:rPr>
                <w:rFonts w:ascii="Arial" w:hAnsi="Arial" w:cs="Arial"/>
                <w:sz w:val="20"/>
                <w:szCs w:val="20"/>
              </w:rPr>
              <w:t>Social Engagement</w:t>
            </w:r>
          </w:p>
        </w:tc>
        <w:tc>
          <w:tcPr>
            <w:tcW w:w="869" w:type="dxa"/>
            <w:vAlign w:val="center"/>
          </w:tcPr>
          <w:p w14:paraId="68A3DE86" w14:textId="011F17B3" w:rsidR="00A02DB1" w:rsidRPr="00A02DB1" w:rsidRDefault="00A02DB1" w:rsidP="00A02DB1">
            <w:pPr>
              <w:jc w:val="center"/>
              <w:rPr>
                <w:rFonts w:ascii="Arial" w:hAnsi="Arial" w:cs="Arial"/>
                <w:sz w:val="20"/>
                <w:szCs w:val="20"/>
              </w:rPr>
            </w:pPr>
            <w:r w:rsidRPr="00172934">
              <w:rPr>
                <w:rFonts w:ascii="Arial" w:hAnsi="Arial" w:cs="Arial"/>
                <w:sz w:val="20"/>
                <w:szCs w:val="20"/>
              </w:rPr>
              <w:t>1.09</w:t>
            </w:r>
          </w:p>
        </w:tc>
        <w:tc>
          <w:tcPr>
            <w:tcW w:w="1027" w:type="dxa"/>
            <w:gridSpan w:val="2"/>
            <w:vAlign w:val="center"/>
          </w:tcPr>
          <w:p w14:paraId="719CB4A9" w14:textId="56AF6D6C" w:rsidR="00A02DB1" w:rsidRPr="00A02DB1" w:rsidRDefault="00A02DB1" w:rsidP="00A02DB1">
            <w:pPr>
              <w:jc w:val="center"/>
              <w:rPr>
                <w:rFonts w:ascii="Arial" w:hAnsi="Arial" w:cs="Arial"/>
                <w:sz w:val="20"/>
                <w:szCs w:val="20"/>
              </w:rPr>
            </w:pPr>
            <w:r w:rsidRPr="00172934">
              <w:rPr>
                <w:rFonts w:ascii="Arial" w:hAnsi="Arial" w:cs="Arial"/>
                <w:sz w:val="20"/>
                <w:szCs w:val="20"/>
              </w:rPr>
              <w:t>4.01</w:t>
            </w:r>
          </w:p>
        </w:tc>
        <w:tc>
          <w:tcPr>
            <w:tcW w:w="2263" w:type="dxa"/>
            <w:vAlign w:val="center"/>
          </w:tcPr>
          <w:p w14:paraId="23CBAC82" w14:textId="29B039FB" w:rsidR="00A02DB1" w:rsidRPr="00A02DB1" w:rsidRDefault="00A02DB1" w:rsidP="00A02DB1">
            <w:pPr>
              <w:jc w:val="center"/>
              <w:rPr>
                <w:rFonts w:ascii="Arial" w:hAnsi="Arial" w:cs="Arial"/>
                <w:sz w:val="20"/>
                <w:szCs w:val="20"/>
              </w:rPr>
            </w:pPr>
            <w:r w:rsidRPr="00172934">
              <w:rPr>
                <w:rFonts w:ascii="Arial" w:hAnsi="Arial" w:cs="Arial"/>
                <w:sz w:val="20"/>
                <w:szCs w:val="20"/>
              </w:rPr>
              <w:t>High</w:t>
            </w:r>
          </w:p>
        </w:tc>
      </w:tr>
      <w:tr w:rsidR="00A02DB1" w:rsidRPr="0076337A" w14:paraId="501D14EA" w14:textId="77777777" w:rsidTr="004C1123">
        <w:trPr>
          <w:gridAfter w:val="1"/>
          <w:wAfter w:w="12" w:type="dxa"/>
          <w:trHeight w:val="416"/>
        </w:trPr>
        <w:tc>
          <w:tcPr>
            <w:tcW w:w="4354" w:type="dxa"/>
            <w:gridSpan w:val="2"/>
            <w:vAlign w:val="center"/>
          </w:tcPr>
          <w:p w14:paraId="212E9FED" w14:textId="53D57280" w:rsidR="00A02DB1" w:rsidRPr="00A02DB1" w:rsidRDefault="00A02DB1" w:rsidP="00A02DB1">
            <w:pPr>
              <w:widowControl w:val="0"/>
              <w:ind w:firstLine="341"/>
              <w:rPr>
                <w:rFonts w:ascii="Arial" w:hAnsi="Arial" w:cs="Arial"/>
                <w:sz w:val="20"/>
                <w:szCs w:val="20"/>
              </w:rPr>
            </w:pPr>
            <w:r w:rsidRPr="00172934">
              <w:rPr>
                <w:rFonts w:ascii="Arial" w:hAnsi="Arial" w:cs="Arial"/>
                <w:sz w:val="20"/>
                <w:szCs w:val="20"/>
              </w:rPr>
              <w:t>Cognitive Engagement</w:t>
            </w:r>
          </w:p>
        </w:tc>
        <w:tc>
          <w:tcPr>
            <w:tcW w:w="869" w:type="dxa"/>
            <w:vAlign w:val="center"/>
          </w:tcPr>
          <w:p w14:paraId="14BA16D3" w14:textId="2F3F87AA" w:rsidR="00A02DB1" w:rsidRPr="00A02DB1" w:rsidRDefault="00A02DB1" w:rsidP="00A02DB1">
            <w:pPr>
              <w:jc w:val="center"/>
              <w:rPr>
                <w:rFonts w:ascii="Arial" w:hAnsi="Arial" w:cs="Arial"/>
                <w:sz w:val="20"/>
                <w:szCs w:val="20"/>
              </w:rPr>
            </w:pPr>
            <w:r w:rsidRPr="00172934">
              <w:rPr>
                <w:rFonts w:ascii="Arial" w:hAnsi="Arial" w:cs="Arial"/>
                <w:sz w:val="20"/>
                <w:szCs w:val="20"/>
              </w:rPr>
              <w:t>1.09</w:t>
            </w:r>
          </w:p>
        </w:tc>
        <w:tc>
          <w:tcPr>
            <w:tcW w:w="1027" w:type="dxa"/>
            <w:gridSpan w:val="2"/>
            <w:vAlign w:val="center"/>
          </w:tcPr>
          <w:p w14:paraId="420A5A52" w14:textId="5D6A2DBB" w:rsidR="00A02DB1" w:rsidRPr="00A02DB1" w:rsidRDefault="00A02DB1" w:rsidP="00A02DB1">
            <w:pPr>
              <w:jc w:val="center"/>
              <w:rPr>
                <w:rFonts w:ascii="Arial" w:hAnsi="Arial" w:cs="Arial"/>
                <w:sz w:val="20"/>
                <w:szCs w:val="20"/>
              </w:rPr>
            </w:pPr>
            <w:r w:rsidRPr="00172934">
              <w:rPr>
                <w:rFonts w:ascii="Arial" w:hAnsi="Arial" w:cs="Arial"/>
                <w:sz w:val="20"/>
                <w:szCs w:val="20"/>
              </w:rPr>
              <w:t>4.05</w:t>
            </w:r>
          </w:p>
        </w:tc>
        <w:tc>
          <w:tcPr>
            <w:tcW w:w="2263" w:type="dxa"/>
            <w:vAlign w:val="center"/>
          </w:tcPr>
          <w:p w14:paraId="2237C213" w14:textId="5C378D1F" w:rsidR="00A02DB1" w:rsidRPr="00A02DB1" w:rsidRDefault="00A02DB1" w:rsidP="00A02DB1">
            <w:pPr>
              <w:jc w:val="center"/>
              <w:rPr>
                <w:rFonts w:ascii="Arial" w:hAnsi="Arial" w:cs="Arial"/>
                <w:sz w:val="20"/>
                <w:szCs w:val="20"/>
              </w:rPr>
            </w:pPr>
            <w:r w:rsidRPr="00172934">
              <w:rPr>
                <w:rFonts w:ascii="Arial" w:hAnsi="Arial" w:cs="Arial"/>
                <w:sz w:val="20"/>
                <w:szCs w:val="20"/>
              </w:rPr>
              <w:t>High</w:t>
            </w:r>
          </w:p>
        </w:tc>
      </w:tr>
      <w:tr w:rsidR="00A02DB1" w:rsidRPr="0076337A" w14:paraId="2D56CCA8" w14:textId="77777777" w:rsidTr="004C1123">
        <w:trPr>
          <w:trHeight w:val="305"/>
        </w:trPr>
        <w:tc>
          <w:tcPr>
            <w:tcW w:w="4312" w:type="dxa"/>
            <w:vAlign w:val="center"/>
          </w:tcPr>
          <w:p w14:paraId="06B82FD3" w14:textId="291616EF" w:rsidR="00A02DB1" w:rsidRPr="00A02DB1" w:rsidRDefault="00A02DB1" w:rsidP="00A02DB1">
            <w:pPr>
              <w:jc w:val="center"/>
              <w:rPr>
                <w:rFonts w:ascii="Arial" w:eastAsia="Calibri" w:hAnsi="Arial" w:cs="Arial"/>
                <w:b/>
                <w:bCs/>
                <w:sz w:val="20"/>
                <w:szCs w:val="20"/>
              </w:rPr>
            </w:pPr>
            <w:r w:rsidRPr="00172934">
              <w:rPr>
                <w:rFonts w:ascii="Arial" w:hAnsi="Arial" w:cs="Arial"/>
                <w:b/>
                <w:bCs/>
                <w:sz w:val="20"/>
                <w:szCs w:val="20"/>
              </w:rPr>
              <w:t>Overall</w:t>
            </w:r>
          </w:p>
        </w:tc>
        <w:tc>
          <w:tcPr>
            <w:tcW w:w="911" w:type="dxa"/>
            <w:gridSpan w:val="2"/>
            <w:vAlign w:val="center"/>
          </w:tcPr>
          <w:p w14:paraId="630F6AD2" w14:textId="2F12BA07" w:rsidR="00A02DB1" w:rsidRPr="00A02DB1" w:rsidRDefault="00A02DB1" w:rsidP="00A02DB1">
            <w:pPr>
              <w:jc w:val="center"/>
              <w:rPr>
                <w:rFonts w:ascii="Arial" w:hAnsi="Arial" w:cs="Arial"/>
                <w:b/>
                <w:bCs/>
                <w:sz w:val="20"/>
                <w:szCs w:val="20"/>
              </w:rPr>
            </w:pPr>
            <w:r w:rsidRPr="00172934">
              <w:rPr>
                <w:rFonts w:ascii="Arial" w:hAnsi="Arial" w:cs="Arial"/>
                <w:sz w:val="20"/>
                <w:szCs w:val="20"/>
              </w:rPr>
              <w:t>1.09</w:t>
            </w:r>
          </w:p>
        </w:tc>
        <w:tc>
          <w:tcPr>
            <w:tcW w:w="1008" w:type="dxa"/>
            <w:vAlign w:val="center"/>
          </w:tcPr>
          <w:p w14:paraId="6181EAD4" w14:textId="0B415C95" w:rsidR="00A02DB1" w:rsidRPr="00A02DB1" w:rsidRDefault="00A02DB1" w:rsidP="00A02DB1">
            <w:pPr>
              <w:jc w:val="center"/>
              <w:rPr>
                <w:rFonts w:ascii="Arial" w:hAnsi="Arial" w:cs="Arial"/>
                <w:b/>
                <w:bCs/>
                <w:sz w:val="20"/>
                <w:szCs w:val="20"/>
              </w:rPr>
            </w:pPr>
            <w:r w:rsidRPr="00172934">
              <w:rPr>
                <w:rFonts w:ascii="Arial" w:hAnsi="Arial" w:cs="Arial"/>
                <w:sz w:val="20"/>
                <w:szCs w:val="20"/>
              </w:rPr>
              <w:t>3.96</w:t>
            </w:r>
          </w:p>
        </w:tc>
        <w:tc>
          <w:tcPr>
            <w:tcW w:w="2294" w:type="dxa"/>
            <w:gridSpan w:val="3"/>
            <w:vAlign w:val="center"/>
          </w:tcPr>
          <w:p w14:paraId="501AC079" w14:textId="66F67E07" w:rsidR="00A02DB1" w:rsidRPr="00A02DB1" w:rsidRDefault="00A02DB1" w:rsidP="00A02DB1">
            <w:pPr>
              <w:jc w:val="center"/>
              <w:rPr>
                <w:rFonts w:ascii="Arial" w:hAnsi="Arial" w:cs="Arial"/>
                <w:b/>
                <w:bCs/>
                <w:sz w:val="20"/>
                <w:szCs w:val="20"/>
              </w:rPr>
            </w:pPr>
            <w:r w:rsidRPr="00172934">
              <w:rPr>
                <w:rFonts w:ascii="Arial" w:hAnsi="Arial" w:cs="Arial"/>
                <w:sz w:val="20"/>
                <w:szCs w:val="20"/>
              </w:rPr>
              <w:t>High</w:t>
            </w:r>
          </w:p>
        </w:tc>
      </w:tr>
    </w:tbl>
    <w:p w14:paraId="75F615AE" w14:textId="77777777" w:rsidR="00C03ED9" w:rsidRPr="0076337A" w:rsidRDefault="00C03ED9" w:rsidP="00C03ED9">
      <w:pPr>
        <w:jc w:val="both"/>
        <w:rPr>
          <w:rFonts w:ascii="Arial" w:hAnsi="Arial" w:cs="Arial"/>
          <w:b/>
          <w:iCs/>
          <w:sz w:val="20"/>
          <w:szCs w:val="20"/>
        </w:rPr>
      </w:pPr>
    </w:p>
    <w:p w14:paraId="7CAAAD71" w14:textId="77777777" w:rsidR="00C03ED9" w:rsidRPr="0076337A" w:rsidRDefault="00C03ED9" w:rsidP="00C03ED9">
      <w:pPr>
        <w:jc w:val="both"/>
        <w:rPr>
          <w:rFonts w:ascii="Arial" w:hAnsi="Arial" w:cs="Arial"/>
          <w:sz w:val="20"/>
          <w:szCs w:val="20"/>
        </w:rPr>
      </w:pPr>
    </w:p>
    <w:p w14:paraId="30B8F34F" w14:textId="77777777" w:rsidR="00964943" w:rsidRPr="00964943" w:rsidRDefault="00964943" w:rsidP="00964943">
      <w:pPr>
        <w:jc w:val="both"/>
        <w:rPr>
          <w:rFonts w:ascii="Arial" w:hAnsi="Arial" w:cs="Arial"/>
          <w:sz w:val="20"/>
          <w:szCs w:val="20"/>
        </w:rPr>
      </w:pPr>
      <w:r w:rsidRPr="00964943">
        <w:rPr>
          <w:rFonts w:ascii="Arial" w:hAnsi="Arial" w:cs="Arial"/>
          <w:sz w:val="20"/>
          <w:szCs w:val="20"/>
        </w:rPr>
        <w:t>As shown in Table 3, the level of teacher engagement among public elementary school teachers includes three key indicators: emotional engagement, social engagement, and cognitive engagement. The indicator cognitive engagement recorded the highest mean score of 4.05, categorized as “high,” followed by social engagement at 4.01, and emotional engagement at 3.83. The overall mean of 3.96 is categorized as “high,” signifying that teachers are generally engaged in their work on emotional, social, and intellectual levels.</w:t>
      </w:r>
    </w:p>
    <w:p w14:paraId="425AD8AB" w14:textId="77777777" w:rsidR="00964943" w:rsidRPr="00964943" w:rsidRDefault="00964943" w:rsidP="00964943">
      <w:pPr>
        <w:jc w:val="both"/>
        <w:rPr>
          <w:rFonts w:ascii="Arial" w:hAnsi="Arial" w:cs="Arial"/>
          <w:sz w:val="20"/>
          <w:szCs w:val="20"/>
        </w:rPr>
      </w:pPr>
    </w:p>
    <w:p w14:paraId="3236F017" w14:textId="77777777" w:rsidR="00964943" w:rsidRPr="00964943" w:rsidRDefault="00964943" w:rsidP="00964943">
      <w:pPr>
        <w:jc w:val="both"/>
        <w:rPr>
          <w:rFonts w:ascii="Arial" w:hAnsi="Arial" w:cs="Arial"/>
          <w:sz w:val="20"/>
          <w:szCs w:val="20"/>
        </w:rPr>
      </w:pPr>
      <w:r w:rsidRPr="00964943">
        <w:rPr>
          <w:rFonts w:ascii="Arial" w:hAnsi="Arial" w:cs="Arial"/>
          <w:sz w:val="20"/>
          <w:szCs w:val="20"/>
        </w:rPr>
        <w:t>The overall standard deviation of 1.09 suggests a fair degree of consistency among the respondents’ perceptions of their engagement levels. This implies that most teachers feel mentally involved, socially connected, and emotionally committed to their teaching responsibilities.</w:t>
      </w:r>
    </w:p>
    <w:p w14:paraId="00A55F47" w14:textId="77777777" w:rsidR="00964943" w:rsidRPr="00964943" w:rsidRDefault="00964943" w:rsidP="00964943">
      <w:pPr>
        <w:jc w:val="both"/>
        <w:rPr>
          <w:rFonts w:ascii="Arial" w:hAnsi="Arial" w:cs="Arial"/>
          <w:sz w:val="20"/>
          <w:szCs w:val="20"/>
        </w:rPr>
      </w:pPr>
    </w:p>
    <w:p w14:paraId="1F13EE89" w14:textId="4C562132" w:rsidR="00D815DA" w:rsidRPr="0076337A" w:rsidRDefault="00964943" w:rsidP="00964943">
      <w:pPr>
        <w:jc w:val="both"/>
        <w:rPr>
          <w:rFonts w:ascii="Arial" w:hAnsi="Arial" w:cs="Arial"/>
          <w:sz w:val="20"/>
          <w:szCs w:val="20"/>
        </w:rPr>
      </w:pPr>
      <w:r w:rsidRPr="00964943">
        <w:rPr>
          <w:rFonts w:ascii="Arial" w:hAnsi="Arial" w:cs="Arial"/>
          <w:sz w:val="20"/>
          <w:szCs w:val="20"/>
        </w:rPr>
        <w:t xml:space="preserve">These results resonate with the findings of </w:t>
      </w:r>
      <w:r w:rsidR="009C0975" w:rsidRPr="009C0975">
        <w:rPr>
          <w:rFonts w:ascii="Arial" w:hAnsi="Arial" w:cs="Arial"/>
          <w:sz w:val="20"/>
          <w:szCs w:val="20"/>
        </w:rPr>
        <w:t xml:space="preserve">Harper-Hill </w:t>
      </w:r>
      <w:r w:rsidRPr="00964943">
        <w:rPr>
          <w:rFonts w:ascii="Arial" w:hAnsi="Arial" w:cs="Arial"/>
          <w:sz w:val="20"/>
          <w:szCs w:val="20"/>
        </w:rPr>
        <w:t>et al. (</w:t>
      </w:r>
      <w:r w:rsidR="009C0975">
        <w:rPr>
          <w:rFonts w:ascii="Arial" w:hAnsi="Arial" w:cs="Arial"/>
          <w:sz w:val="20"/>
          <w:szCs w:val="20"/>
        </w:rPr>
        <w:t>2022</w:t>
      </w:r>
      <w:r w:rsidRPr="00964943">
        <w:rPr>
          <w:rFonts w:ascii="Arial" w:hAnsi="Arial" w:cs="Arial"/>
          <w:sz w:val="20"/>
          <w:szCs w:val="20"/>
        </w:rPr>
        <w:t xml:space="preserve">), who defined teacher engagement as a positive, fulfilling, work-related state characterized by vigor, dedication, and absorption. Furthermore, a study by </w:t>
      </w:r>
      <w:r w:rsidR="009C0975" w:rsidRPr="009C0975">
        <w:rPr>
          <w:rFonts w:ascii="Arial" w:hAnsi="Arial" w:cs="Arial"/>
          <w:sz w:val="20"/>
          <w:szCs w:val="20"/>
        </w:rPr>
        <w:t xml:space="preserve">Li </w:t>
      </w:r>
      <w:r w:rsidR="009C0975">
        <w:rPr>
          <w:rFonts w:ascii="Arial" w:hAnsi="Arial" w:cs="Arial"/>
          <w:sz w:val="20"/>
          <w:szCs w:val="20"/>
        </w:rPr>
        <w:t xml:space="preserve">et al. </w:t>
      </w:r>
      <w:r w:rsidRPr="00964943">
        <w:rPr>
          <w:rFonts w:ascii="Arial" w:hAnsi="Arial" w:cs="Arial"/>
          <w:sz w:val="20"/>
          <w:szCs w:val="20"/>
        </w:rPr>
        <w:t>(</w:t>
      </w:r>
      <w:r w:rsidR="009C0975">
        <w:rPr>
          <w:rFonts w:ascii="Arial" w:hAnsi="Arial" w:cs="Arial"/>
          <w:sz w:val="20"/>
          <w:szCs w:val="20"/>
        </w:rPr>
        <w:t>2022</w:t>
      </w:r>
      <w:r w:rsidRPr="00964943">
        <w:rPr>
          <w:rFonts w:ascii="Arial" w:hAnsi="Arial" w:cs="Arial"/>
          <w:sz w:val="20"/>
          <w:szCs w:val="20"/>
        </w:rPr>
        <w:t xml:space="preserve">) revealed that engaged teachers are more likely to create supportive learning environments and experience higher levels of job satisfaction. In the Philippine context, </w:t>
      </w:r>
      <w:r w:rsidR="009C0975" w:rsidRPr="009C0975">
        <w:rPr>
          <w:rFonts w:ascii="Arial" w:hAnsi="Arial" w:cs="Arial"/>
          <w:sz w:val="20"/>
          <w:szCs w:val="20"/>
        </w:rPr>
        <w:t xml:space="preserve">Woodcock </w:t>
      </w:r>
      <w:r w:rsidRPr="00964943">
        <w:rPr>
          <w:rFonts w:ascii="Arial" w:hAnsi="Arial" w:cs="Arial"/>
          <w:sz w:val="20"/>
          <w:szCs w:val="20"/>
        </w:rPr>
        <w:t>et al. (</w:t>
      </w:r>
      <w:r w:rsidR="009C0975">
        <w:rPr>
          <w:rFonts w:ascii="Arial" w:hAnsi="Arial" w:cs="Arial"/>
          <w:sz w:val="20"/>
          <w:szCs w:val="20"/>
        </w:rPr>
        <w:t>2022</w:t>
      </w:r>
      <w:r w:rsidRPr="00964943">
        <w:rPr>
          <w:rFonts w:ascii="Arial" w:hAnsi="Arial" w:cs="Arial"/>
          <w:sz w:val="20"/>
          <w:szCs w:val="20"/>
        </w:rPr>
        <w:t>) emphasized that fostering cognitive and emotional engagement is vital in sustaining teacher resilience and professional performance.</w:t>
      </w:r>
    </w:p>
    <w:p w14:paraId="4949537D" w14:textId="77777777" w:rsidR="00C74EA0" w:rsidRPr="0076337A" w:rsidRDefault="00C74EA0" w:rsidP="00C74EA0">
      <w:pPr>
        <w:rPr>
          <w:rFonts w:ascii="Arial" w:hAnsi="Arial" w:cs="Arial"/>
          <w:b/>
          <w:bCs/>
          <w:iCs/>
          <w:sz w:val="20"/>
          <w:szCs w:val="20"/>
        </w:rPr>
      </w:pPr>
    </w:p>
    <w:p w14:paraId="30567870" w14:textId="5F644F85" w:rsidR="00D815DA" w:rsidRPr="0076337A" w:rsidRDefault="00781D5E" w:rsidP="00C74EA0">
      <w:pPr>
        <w:rPr>
          <w:rFonts w:ascii="Arial" w:hAnsi="Arial" w:cs="Arial"/>
          <w:b/>
          <w:bCs/>
          <w:iCs/>
          <w:sz w:val="20"/>
          <w:szCs w:val="20"/>
        </w:rPr>
      </w:pPr>
      <w:r w:rsidRPr="0076337A">
        <w:rPr>
          <w:rFonts w:ascii="Arial" w:hAnsi="Arial" w:cs="Arial"/>
          <w:b/>
          <w:bCs/>
          <w:iCs/>
          <w:sz w:val="20"/>
          <w:szCs w:val="20"/>
        </w:rPr>
        <w:lastRenderedPageBreak/>
        <w:t>3.</w:t>
      </w:r>
      <w:r w:rsidR="00515908" w:rsidRPr="0076337A">
        <w:rPr>
          <w:rFonts w:ascii="Arial" w:hAnsi="Arial" w:cs="Arial"/>
          <w:b/>
          <w:bCs/>
          <w:iCs/>
          <w:sz w:val="20"/>
          <w:szCs w:val="20"/>
        </w:rPr>
        <w:t>4</w:t>
      </w:r>
      <w:r w:rsidRPr="0076337A">
        <w:rPr>
          <w:rFonts w:ascii="Arial" w:hAnsi="Arial" w:cs="Arial"/>
          <w:b/>
          <w:bCs/>
          <w:iCs/>
          <w:sz w:val="20"/>
          <w:szCs w:val="20"/>
        </w:rPr>
        <w:t xml:space="preserve"> </w:t>
      </w:r>
      <w:r w:rsidR="00DB1008" w:rsidRPr="00DB1008">
        <w:rPr>
          <w:rFonts w:ascii="Arial" w:hAnsi="Arial" w:cs="Arial"/>
          <w:b/>
          <w:bCs/>
          <w:iCs/>
          <w:sz w:val="20"/>
          <w:szCs w:val="20"/>
        </w:rPr>
        <w:t>Significant Relationship Between Operational Support and Teacher Engagement Among Public Elementary School Teachers</w:t>
      </w:r>
    </w:p>
    <w:p w14:paraId="2C47C90E" w14:textId="77777777" w:rsidR="007E7D13" w:rsidRPr="0076337A" w:rsidRDefault="007E7D13" w:rsidP="00F600DB">
      <w:pPr>
        <w:jc w:val="both"/>
        <w:rPr>
          <w:rFonts w:ascii="Arial" w:hAnsi="Arial" w:cs="Arial"/>
          <w:iCs/>
          <w:sz w:val="20"/>
          <w:szCs w:val="20"/>
        </w:rPr>
      </w:pPr>
    </w:p>
    <w:p w14:paraId="3580D37C" w14:textId="7B1D60F2" w:rsidR="00017E5D" w:rsidRDefault="00180859" w:rsidP="00F927B2">
      <w:pPr>
        <w:jc w:val="both"/>
        <w:rPr>
          <w:rFonts w:ascii="Arial" w:hAnsi="Arial" w:cs="Arial"/>
          <w:i/>
          <w:sz w:val="20"/>
          <w:szCs w:val="20"/>
        </w:rPr>
      </w:pPr>
      <w:r w:rsidRPr="0076337A">
        <w:rPr>
          <w:rFonts w:ascii="Arial" w:hAnsi="Arial" w:cs="Arial"/>
          <w:iCs/>
          <w:sz w:val="20"/>
          <w:szCs w:val="20"/>
        </w:rPr>
        <w:t xml:space="preserve">Table </w:t>
      </w:r>
      <w:r w:rsidR="00216E59" w:rsidRPr="0076337A">
        <w:rPr>
          <w:rFonts w:ascii="Arial" w:hAnsi="Arial" w:cs="Arial"/>
          <w:iCs/>
          <w:sz w:val="20"/>
          <w:szCs w:val="20"/>
        </w:rPr>
        <w:t>4</w:t>
      </w:r>
      <w:r w:rsidR="00781D5E" w:rsidRPr="0076337A">
        <w:rPr>
          <w:rFonts w:ascii="Arial" w:hAnsi="Arial" w:cs="Arial"/>
          <w:iCs/>
          <w:sz w:val="20"/>
          <w:szCs w:val="20"/>
        </w:rPr>
        <w:t>.</w:t>
      </w:r>
      <w:r w:rsidRPr="0076337A">
        <w:rPr>
          <w:rFonts w:ascii="Arial" w:hAnsi="Arial" w:cs="Arial"/>
          <w:iCs/>
          <w:sz w:val="20"/>
          <w:szCs w:val="20"/>
        </w:rPr>
        <w:t xml:space="preserve">  </w:t>
      </w:r>
      <w:r w:rsidR="00D75088" w:rsidRPr="00D75088">
        <w:rPr>
          <w:rFonts w:ascii="Arial" w:hAnsi="Arial" w:cs="Arial"/>
          <w:i/>
          <w:sz w:val="20"/>
          <w:szCs w:val="20"/>
        </w:rPr>
        <w:t>Significant Relationship Between Operational Support and Teacher Engagement Among Public Elementary School Teachers</w:t>
      </w:r>
    </w:p>
    <w:p w14:paraId="12247462" w14:textId="77777777" w:rsidR="00D75088" w:rsidRPr="0076337A" w:rsidRDefault="00D75088" w:rsidP="00F927B2">
      <w:pPr>
        <w:jc w:val="both"/>
        <w:rPr>
          <w:rFonts w:ascii="Arial" w:hAnsi="Arial" w:cs="Arial"/>
          <w:iCs/>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849"/>
        <w:gridCol w:w="739"/>
        <w:gridCol w:w="739"/>
        <w:gridCol w:w="739"/>
        <w:gridCol w:w="1591"/>
        <w:gridCol w:w="850"/>
        <w:gridCol w:w="1170"/>
      </w:tblGrid>
      <w:tr w:rsidR="00D815DA" w:rsidRPr="0076337A" w14:paraId="3A18DD2E" w14:textId="77777777" w:rsidTr="00943756">
        <w:trPr>
          <w:trHeight w:val="790"/>
        </w:trPr>
        <w:tc>
          <w:tcPr>
            <w:tcW w:w="1531" w:type="dxa"/>
            <w:tcBorders>
              <w:top w:val="single" w:sz="4" w:space="0" w:color="auto"/>
              <w:bottom w:val="single" w:sz="4" w:space="0" w:color="auto"/>
            </w:tcBorders>
          </w:tcPr>
          <w:p w14:paraId="7CD69310" w14:textId="77777777" w:rsidR="00D815DA" w:rsidRPr="0076337A" w:rsidRDefault="00D815DA" w:rsidP="00C8398D">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Variables</w:t>
            </w:r>
          </w:p>
        </w:tc>
        <w:tc>
          <w:tcPr>
            <w:tcW w:w="849" w:type="dxa"/>
            <w:tcBorders>
              <w:top w:val="single" w:sz="4" w:space="0" w:color="auto"/>
              <w:bottom w:val="single" w:sz="4" w:space="0" w:color="auto"/>
            </w:tcBorders>
          </w:tcPr>
          <w:p w14:paraId="4ED4CFDD" w14:textId="77777777" w:rsidR="00D815DA" w:rsidRPr="0076337A" w:rsidRDefault="00D815DA" w:rsidP="00C8398D">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Mean</w:t>
            </w:r>
          </w:p>
        </w:tc>
        <w:tc>
          <w:tcPr>
            <w:tcW w:w="739" w:type="dxa"/>
            <w:tcBorders>
              <w:top w:val="single" w:sz="4" w:space="0" w:color="auto"/>
              <w:bottom w:val="single" w:sz="4" w:space="0" w:color="auto"/>
            </w:tcBorders>
          </w:tcPr>
          <w:p w14:paraId="55371F49" w14:textId="77777777" w:rsidR="00D815DA" w:rsidRPr="0076337A" w:rsidRDefault="00D815DA" w:rsidP="00C8398D">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SD</w:t>
            </w:r>
          </w:p>
        </w:tc>
        <w:tc>
          <w:tcPr>
            <w:tcW w:w="739" w:type="dxa"/>
            <w:tcBorders>
              <w:top w:val="single" w:sz="4" w:space="0" w:color="auto"/>
              <w:bottom w:val="single" w:sz="4" w:space="0" w:color="auto"/>
            </w:tcBorders>
          </w:tcPr>
          <w:p w14:paraId="3EB810BB" w14:textId="6F9554BF" w:rsidR="00D815DA" w:rsidRPr="00F1623B" w:rsidRDefault="00F1623B" w:rsidP="00C8398D">
            <w:pPr>
              <w:widowControl w:val="0"/>
              <w:autoSpaceDE w:val="0"/>
              <w:autoSpaceDN w:val="0"/>
              <w:jc w:val="center"/>
              <w:rPr>
                <w:rFonts w:ascii="Arial" w:eastAsia="Arial" w:hAnsi="Arial"/>
                <w:b/>
                <w:bCs/>
                <w:i/>
                <w:sz w:val="20"/>
                <w:szCs w:val="20"/>
              </w:rPr>
            </w:pPr>
            <w:r w:rsidRPr="00F1623B">
              <w:rPr>
                <w:rFonts w:ascii="Arial" w:eastAsia="Arial" w:hAnsi="Arial"/>
                <w:b/>
                <w:bCs/>
                <w:i/>
                <w:sz w:val="20"/>
                <w:szCs w:val="20"/>
              </w:rPr>
              <w:t>r</w:t>
            </w:r>
          </w:p>
        </w:tc>
        <w:tc>
          <w:tcPr>
            <w:tcW w:w="739" w:type="dxa"/>
            <w:tcBorders>
              <w:top w:val="single" w:sz="4" w:space="0" w:color="auto"/>
              <w:bottom w:val="single" w:sz="4" w:space="0" w:color="auto"/>
            </w:tcBorders>
          </w:tcPr>
          <w:p w14:paraId="1C389331" w14:textId="3DFBBFC3" w:rsidR="00D815DA" w:rsidRPr="00F1623B" w:rsidRDefault="00F1623B" w:rsidP="00D815DA">
            <w:pPr>
              <w:shd w:val="clear" w:color="auto" w:fill="FFFFFF"/>
              <w:spacing w:after="120"/>
              <w:jc w:val="center"/>
              <w:outlineLvl w:val="0"/>
              <w:rPr>
                <w:rFonts w:ascii="Arial" w:hAnsi="Arial"/>
                <w:b/>
                <w:bCs/>
                <w:i/>
                <w:kern w:val="36"/>
                <w:sz w:val="20"/>
                <w:szCs w:val="20"/>
              </w:rPr>
            </w:pPr>
            <w:r w:rsidRPr="00F1623B">
              <w:rPr>
                <w:rFonts w:ascii="Arial" w:hAnsi="Arial"/>
                <w:b/>
                <w:bCs/>
                <w:i/>
                <w:kern w:val="36"/>
                <w:sz w:val="20"/>
                <w:szCs w:val="20"/>
              </w:rPr>
              <w:t>r</w:t>
            </w:r>
            <w:r w:rsidR="00D815DA" w:rsidRPr="00F1623B">
              <w:rPr>
                <w:rFonts w:ascii="Arial" w:hAnsi="Arial"/>
                <w:b/>
                <w:bCs/>
                <w:i/>
                <w:kern w:val="36"/>
                <w:sz w:val="20"/>
                <w:szCs w:val="20"/>
              </w:rPr>
              <w:t>²</w:t>
            </w:r>
          </w:p>
        </w:tc>
        <w:tc>
          <w:tcPr>
            <w:tcW w:w="1591" w:type="dxa"/>
            <w:tcBorders>
              <w:top w:val="single" w:sz="4" w:space="0" w:color="auto"/>
              <w:bottom w:val="single" w:sz="4" w:space="0" w:color="auto"/>
            </w:tcBorders>
          </w:tcPr>
          <w:p w14:paraId="41737786" w14:textId="77777777" w:rsidR="00D815DA" w:rsidRPr="0076337A" w:rsidRDefault="00D815DA" w:rsidP="00C8398D">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Degree of Relationship</w:t>
            </w:r>
          </w:p>
        </w:tc>
        <w:tc>
          <w:tcPr>
            <w:tcW w:w="850" w:type="dxa"/>
            <w:tcBorders>
              <w:top w:val="single" w:sz="4" w:space="0" w:color="auto"/>
              <w:bottom w:val="single" w:sz="4" w:space="0" w:color="auto"/>
            </w:tcBorders>
          </w:tcPr>
          <w:p w14:paraId="05BD166A" w14:textId="77777777" w:rsidR="00D815DA" w:rsidRPr="0076337A" w:rsidRDefault="00D815DA" w:rsidP="00C8398D">
            <w:pPr>
              <w:widowControl w:val="0"/>
              <w:autoSpaceDE w:val="0"/>
              <w:autoSpaceDN w:val="0"/>
              <w:jc w:val="center"/>
              <w:rPr>
                <w:rFonts w:ascii="Arial" w:eastAsia="Arial" w:hAnsi="Arial"/>
                <w:b/>
                <w:bCs/>
                <w:sz w:val="20"/>
                <w:szCs w:val="20"/>
              </w:rPr>
            </w:pPr>
            <w:r w:rsidRPr="00F1623B">
              <w:rPr>
                <w:rFonts w:ascii="Arial" w:eastAsia="Arial" w:hAnsi="Arial"/>
                <w:b/>
                <w:bCs/>
                <w:i/>
                <w:sz w:val="20"/>
                <w:szCs w:val="20"/>
              </w:rPr>
              <w:t>p</w:t>
            </w:r>
            <w:r w:rsidRPr="0076337A">
              <w:rPr>
                <w:rFonts w:ascii="Arial" w:eastAsia="Arial" w:hAnsi="Arial"/>
                <w:b/>
                <w:bCs/>
                <w:sz w:val="20"/>
                <w:szCs w:val="20"/>
              </w:rPr>
              <w:t>-value</w:t>
            </w:r>
          </w:p>
        </w:tc>
        <w:tc>
          <w:tcPr>
            <w:tcW w:w="1170" w:type="dxa"/>
            <w:tcBorders>
              <w:top w:val="single" w:sz="4" w:space="0" w:color="auto"/>
              <w:bottom w:val="single" w:sz="4" w:space="0" w:color="auto"/>
            </w:tcBorders>
          </w:tcPr>
          <w:p w14:paraId="4211A5F7" w14:textId="77777777" w:rsidR="00D815DA" w:rsidRPr="0076337A" w:rsidRDefault="00D815DA" w:rsidP="00C8398D">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Decision</w:t>
            </w:r>
          </w:p>
        </w:tc>
      </w:tr>
      <w:tr w:rsidR="00040605" w:rsidRPr="0076337A" w14:paraId="50E32557" w14:textId="77777777" w:rsidTr="008C1FF6">
        <w:trPr>
          <w:trHeight w:val="967"/>
        </w:trPr>
        <w:tc>
          <w:tcPr>
            <w:tcW w:w="1531" w:type="dxa"/>
            <w:tcBorders>
              <w:top w:val="single" w:sz="4" w:space="0" w:color="auto"/>
            </w:tcBorders>
            <w:vAlign w:val="center"/>
          </w:tcPr>
          <w:p w14:paraId="66EA0F7E" w14:textId="6D724C67" w:rsidR="00040605" w:rsidRPr="0076337A" w:rsidRDefault="00040605" w:rsidP="00040605">
            <w:pPr>
              <w:widowControl w:val="0"/>
              <w:autoSpaceDE w:val="0"/>
              <w:autoSpaceDN w:val="0"/>
              <w:jc w:val="center"/>
              <w:rPr>
                <w:rFonts w:ascii="Arial" w:eastAsia="Arial" w:hAnsi="Arial" w:cs="Arial"/>
                <w:sz w:val="20"/>
                <w:szCs w:val="20"/>
              </w:rPr>
            </w:pPr>
            <w:r w:rsidRPr="00040605">
              <w:rPr>
                <w:rFonts w:ascii="Arial" w:hAnsi="Arial" w:cs="Arial"/>
                <w:sz w:val="20"/>
                <w:szCs w:val="20"/>
              </w:rPr>
              <w:t>Operational Support</w:t>
            </w:r>
          </w:p>
        </w:tc>
        <w:tc>
          <w:tcPr>
            <w:tcW w:w="849" w:type="dxa"/>
            <w:tcBorders>
              <w:top w:val="single" w:sz="4" w:space="0" w:color="auto"/>
            </w:tcBorders>
            <w:vAlign w:val="center"/>
          </w:tcPr>
          <w:p w14:paraId="3C613030" w14:textId="7F87EA62" w:rsidR="00040605" w:rsidRPr="0076337A" w:rsidRDefault="00040605" w:rsidP="00040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3.58</w:t>
            </w:r>
          </w:p>
        </w:tc>
        <w:tc>
          <w:tcPr>
            <w:tcW w:w="739" w:type="dxa"/>
            <w:tcBorders>
              <w:top w:val="single" w:sz="4" w:space="0" w:color="auto"/>
            </w:tcBorders>
            <w:vAlign w:val="center"/>
          </w:tcPr>
          <w:p w14:paraId="77826BFD" w14:textId="1F81DF73" w:rsidR="00040605" w:rsidRPr="0076337A" w:rsidRDefault="00040605" w:rsidP="00040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1.06</w:t>
            </w:r>
          </w:p>
        </w:tc>
        <w:tc>
          <w:tcPr>
            <w:tcW w:w="739" w:type="dxa"/>
            <w:tcBorders>
              <w:top w:val="single" w:sz="4" w:space="0" w:color="auto"/>
            </w:tcBorders>
            <w:vAlign w:val="center"/>
          </w:tcPr>
          <w:p w14:paraId="6175BED8"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739" w:type="dxa"/>
            <w:tcBorders>
              <w:top w:val="single" w:sz="4" w:space="0" w:color="auto"/>
            </w:tcBorders>
            <w:vAlign w:val="center"/>
          </w:tcPr>
          <w:p w14:paraId="7D276112"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1591" w:type="dxa"/>
            <w:tcBorders>
              <w:top w:val="single" w:sz="4" w:space="0" w:color="auto"/>
            </w:tcBorders>
            <w:vAlign w:val="center"/>
          </w:tcPr>
          <w:p w14:paraId="6AC3F25D"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850" w:type="dxa"/>
            <w:tcBorders>
              <w:top w:val="single" w:sz="4" w:space="0" w:color="auto"/>
            </w:tcBorders>
            <w:vAlign w:val="center"/>
          </w:tcPr>
          <w:p w14:paraId="7A35B951"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1170" w:type="dxa"/>
            <w:tcBorders>
              <w:top w:val="single" w:sz="4" w:space="0" w:color="auto"/>
            </w:tcBorders>
            <w:vAlign w:val="center"/>
          </w:tcPr>
          <w:p w14:paraId="7A1348F7"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r>
      <w:tr w:rsidR="00040605" w:rsidRPr="0076337A" w14:paraId="61744C56" w14:textId="77777777" w:rsidTr="008C1FF6">
        <w:trPr>
          <w:trHeight w:val="652"/>
        </w:trPr>
        <w:tc>
          <w:tcPr>
            <w:tcW w:w="1531" w:type="dxa"/>
            <w:vAlign w:val="center"/>
          </w:tcPr>
          <w:p w14:paraId="351C4CF4" w14:textId="77777777" w:rsidR="00040605" w:rsidRPr="0076337A" w:rsidRDefault="00040605" w:rsidP="00040605">
            <w:pPr>
              <w:widowControl w:val="0"/>
              <w:autoSpaceDE w:val="0"/>
              <w:autoSpaceDN w:val="0"/>
              <w:jc w:val="center"/>
              <w:rPr>
                <w:rFonts w:ascii="Arial" w:eastAsia="Arial" w:hAnsi="Arial" w:cs="Arial"/>
                <w:sz w:val="20"/>
                <w:szCs w:val="20"/>
              </w:rPr>
            </w:pPr>
          </w:p>
        </w:tc>
        <w:tc>
          <w:tcPr>
            <w:tcW w:w="849" w:type="dxa"/>
            <w:vAlign w:val="center"/>
          </w:tcPr>
          <w:p w14:paraId="19C0F805"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739" w:type="dxa"/>
            <w:vAlign w:val="center"/>
          </w:tcPr>
          <w:p w14:paraId="1AF7A751"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739" w:type="dxa"/>
            <w:vAlign w:val="center"/>
          </w:tcPr>
          <w:p w14:paraId="29DA9D8D" w14:textId="697DF194" w:rsidR="00040605" w:rsidRPr="0076337A" w:rsidRDefault="00040605" w:rsidP="00040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0.67</w:t>
            </w:r>
          </w:p>
        </w:tc>
        <w:tc>
          <w:tcPr>
            <w:tcW w:w="739" w:type="dxa"/>
            <w:vAlign w:val="center"/>
          </w:tcPr>
          <w:p w14:paraId="42DAFCDE" w14:textId="4D84ED1E" w:rsidR="00040605" w:rsidRPr="0076337A" w:rsidRDefault="00040605" w:rsidP="00040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0.45</w:t>
            </w:r>
          </w:p>
        </w:tc>
        <w:tc>
          <w:tcPr>
            <w:tcW w:w="1591" w:type="dxa"/>
            <w:vAlign w:val="center"/>
          </w:tcPr>
          <w:p w14:paraId="6623B7E6" w14:textId="59753375" w:rsidR="00040605" w:rsidRPr="0076337A" w:rsidRDefault="00040605" w:rsidP="00040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High</w:t>
            </w:r>
          </w:p>
        </w:tc>
        <w:tc>
          <w:tcPr>
            <w:tcW w:w="850" w:type="dxa"/>
            <w:vAlign w:val="center"/>
          </w:tcPr>
          <w:p w14:paraId="0352D7F0" w14:textId="495E5B00" w:rsidR="00040605" w:rsidRPr="0076337A" w:rsidRDefault="00040605" w:rsidP="00040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0.000</w:t>
            </w:r>
          </w:p>
        </w:tc>
        <w:tc>
          <w:tcPr>
            <w:tcW w:w="1170" w:type="dxa"/>
            <w:vAlign w:val="center"/>
          </w:tcPr>
          <w:p w14:paraId="1C32BC73" w14:textId="0229CAF5" w:rsidR="00040605" w:rsidRPr="0076337A" w:rsidRDefault="00040605" w:rsidP="00040605">
            <w:pPr>
              <w:widowControl w:val="0"/>
              <w:autoSpaceDE w:val="0"/>
              <w:autoSpaceDN w:val="0"/>
              <w:jc w:val="center"/>
              <w:rPr>
                <w:rFonts w:ascii="Arial" w:eastAsia="Arial" w:hAnsi="Arial" w:cs="Arial"/>
                <w:sz w:val="20"/>
                <w:szCs w:val="20"/>
              </w:rPr>
            </w:pPr>
            <w:r w:rsidRPr="00172934">
              <w:rPr>
                <w:rFonts w:ascii="Arial" w:hAnsi="Arial" w:cs="Arial"/>
                <w:sz w:val="20"/>
                <w:szCs w:val="20"/>
              </w:rPr>
              <w:t>Reject Ho</w:t>
            </w:r>
            <w:r w:rsidRPr="00172934">
              <w:rPr>
                <w:rFonts w:ascii="Cambria Math" w:hAnsi="Cambria Math" w:cs="Cambria Math"/>
                <w:sz w:val="20"/>
                <w:szCs w:val="20"/>
              </w:rPr>
              <w:t>₁</w:t>
            </w:r>
          </w:p>
        </w:tc>
      </w:tr>
      <w:tr w:rsidR="00040605" w:rsidRPr="0076337A" w14:paraId="670EDBF1" w14:textId="77777777" w:rsidTr="008C1FF6">
        <w:trPr>
          <w:trHeight w:val="632"/>
        </w:trPr>
        <w:tc>
          <w:tcPr>
            <w:tcW w:w="1531" w:type="dxa"/>
            <w:vAlign w:val="center"/>
          </w:tcPr>
          <w:p w14:paraId="45A177CD" w14:textId="0CE19EAD" w:rsidR="00040605" w:rsidRPr="0076337A" w:rsidRDefault="00040605" w:rsidP="00040605">
            <w:pPr>
              <w:widowControl w:val="0"/>
              <w:autoSpaceDE w:val="0"/>
              <w:autoSpaceDN w:val="0"/>
              <w:jc w:val="center"/>
              <w:rPr>
                <w:rFonts w:ascii="Arial" w:eastAsia="Arial" w:hAnsi="Arial" w:cs="Arial"/>
                <w:sz w:val="20"/>
                <w:szCs w:val="20"/>
              </w:rPr>
            </w:pPr>
            <w:r w:rsidRPr="00040605">
              <w:rPr>
                <w:rFonts w:ascii="Arial" w:hAnsi="Arial" w:cs="Arial"/>
                <w:sz w:val="20"/>
                <w:szCs w:val="20"/>
              </w:rPr>
              <w:t>Teacher Engagement</w:t>
            </w:r>
          </w:p>
        </w:tc>
        <w:tc>
          <w:tcPr>
            <w:tcW w:w="849" w:type="dxa"/>
            <w:vAlign w:val="center"/>
          </w:tcPr>
          <w:p w14:paraId="5E7DD747" w14:textId="162A8C11" w:rsidR="00040605" w:rsidRPr="0076337A" w:rsidRDefault="00040605" w:rsidP="00040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3.96</w:t>
            </w:r>
          </w:p>
        </w:tc>
        <w:tc>
          <w:tcPr>
            <w:tcW w:w="739" w:type="dxa"/>
            <w:vAlign w:val="center"/>
          </w:tcPr>
          <w:p w14:paraId="1CB89689" w14:textId="781B43D8" w:rsidR="00040605" w:rsidRPr="0076337A" w:rsidRDefault="00040605" w:rsidP="00040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1.09</w:t>
            </w:r>
          </w:p>
        </w:tc>
        <w:tc>
          <w:tcPr>
            <w:tcW w:w="739" w:type="dxa"/>
            <w:vAlign w:val="center"/>
          </w:tcPr>
          <w:p w14:paraId="7073D424"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739" w:type="dxa"/>
            <w:vAlign w:val="center"/>
          </w:tcPr>
          <w:p w14:paraId="269E6922"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1591" w:type="dxa"/>
            <w:vAlign w:val="center"/>
          </w:tcPr>
          <w:p w14:paraId="2634012A"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850" w:type="dxa"/>
            <w:vAlign w:val="center"/>
          </w:tcPr>
          <w:p w14:paraId="341D6A7F"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c>
          <w:tcPr>
            <w:tcW w:w="1170" w:type="dxa"/>
            <w:vAlign w:val="center"/>
          </w:tcPr>
          <w:p w14:paraId="678B537D" w14:textId="77777777" w:rsidR="00040605" w:rsidRPr="0076337A" w:rsidRDefault="00040605" w:rsidP="00040605">
            <w:pPr>
              <w:widowControl w:val="0"/>
              <w:autoSpaceDE w:val="0"/>
              <w:autoSpaceDN w:val="0"/>
              <w:spacing w:line="480" w:lineRule="auto"/>
              <w:jc w:val="center"/>
              <w:rPr>
                <w:rFonts w:ascii="Arial" w:eastAsia="Arial" w:hAnsi="Arial" w:cs="Arial"/>
                <w:sz w:val="20"/>
                <w:szCs w:val="20"/>
              </w:rPr>
            </w:pPr>
          </w:p>
        </w:tc>
      </w:tr>
    </w:tbl>
    <w:p w14:paraId="1BDBE2B2" w14:textId="77777777" w:rsidR="00717F2E" w:rsidRPr="0076337A" w:rsidRDefault="00717F2E">
      <w:pPr>
        <w:jc w:val="both"/>
        <w:rPr>
          <w:rFonts w:ascii="Arial" w:hAnsi="Arial" w:cs="Arial"/>
          <w:sz w:val="20"/>
          <w:szCs w:val="20"/>
        </w:rPr>
      </w:pPr>
    </w:p>
    <w:p w14:paraId="34D94643" w14:textId="7742140E" w:rsidR="006826E4" w:rsidRPr="006826E4" w:rsidRDefault="006826E4" w:rsidP="006826E4">
      <w:pPr>
        <w:jc w:val="both"/>
        <w:rPr>
          <w:rFonts w:ascii="Arial" w:hAnsi="Arial" w:cs="Arial"/>
          <w:sz w:val="20"/>
          <w:szCs w:val="20"/>
        </w:rPr>
      </w:pPr>
      <w:r w:rsidRPr="006826E4">
        <w:rPr>
          <w:rFonts w:ascii="Arial" w:hAnsi="Arial" w:cs="Arial"/>
          <w:sz w:val="20"/>
          <w:szCs w:val="20"/>
        </w:rPr>
        <w:t>Presented in Table 4 is the correlation analysis between operational support and teacher engagement among public elementary school teachers. The com</w:t>
      </w:r>
      <w:r w:rsidR="00F1623B">
        <w:rPr>
          <w:rFonts w:ascii="Arial" w:hAnsi="Arial" w:cs="Arial"/>
          <w:sz w:val="20"/>
          <w:szCs w:val="20"/>
        </w:rPr>
        <w:t>puted correlation coefficient (</w:t>
      </w:r>
      <w:r w:rsidR="00F1623B" w:rsidRPr="00F1623B">
        <w:rPr>
          <w:rFonts w:ascii="Arial" w:hAnsi="Arial" w:cs="Arial"/>
          <w:i/>
          <w:sz w:val="20"/>
          <w:szCs w:val="20"/>
        </w:rPr>
        <w:t>r</w:t>
      </w:r>
      <w:r w:rsidRPr="00F1623B">
        <w:rPr>
          <w:rFonts w:ascii="Arial" w:hAnsi="Arial" w:cs="Arial"/>
          <w:i/>
          <w:sz w:val="20"/>
          <w:szCs w:val="20"/>
        </w:rPr>
        <w:t>)</w:t>
      </w:r>
      <w:r w:rsidRPr="006826E4">
        <w:rPr>
          <w:rFonts w:ascii="Arial" w:hAnsi="Arial" w:cs="Arial"/>
          <w:sz w:val="20"/>
          <w:szCs w:val="20"/>
        </w:rPr>
        <w:t xml:space="preserve"> is 0.67, with a p-value of 0.000, which is significantly lower than the 0.05 level. This result indicates a high and statistically significant positive relationship between operational support and teacher engagement. The</w:t>
      </w:r>
      <w:r w:rsidR="00550670">
        <w:rPr>
          <w:rFonts w:ascii="Arial" w:hAnsi="Arial" w:cs="Arial"/>
          <w:sz w:val="20"/>
          <w:szCs w:val="20"/>
        </w:rPr>
        <w:t xml:space="preserve"> coefficient of determination </w:t>
      </w:r>
      <w:r w:rsidR="00550670" w:rsidRPr="00550670">
        <w:rPr>
          <w:rFonts w:ascii="Arial" w:hAnsi="Arial" w:cs="Arial"/>
          <w:sz w:val="20"/>
          <w:szCs w:val="20"/>
        </w:rPr>
        <w:t>(</w:t>
      </w:r>
      <w:r w:rsidR="00550670" w:rsidRPr="00550670">
        <w:rPr>
          <w:rFonts w:ascii="Arial" w:hAnsi="Arial" w:cs="Arial"/>
          <w:i/>
          <w:sz w:val="20"/>
          <w:szCs w:val="20"/>
        </w:rPr>
        <w:t>r</w:t>
      </w:r>
      <w:r w:rsidRPr="006826E4">
        <w:rPr>
          <w:rFonts w:ascii="Arial" w:hAnsi="Arial" w:cs="Arial"/>
          <w:sz w:val="20"/>
          <w:szCs w:val="20"/>
        </w:rPr>
        <w:t>²) is 0.45, meaning that 45% of the variance in teacher engagement can be explained by the level of operational support teachers perceive in their schools. Given that the p-value is less than 0.05, the null hypothesis (Ho</w:t>
      </w:r>
      <w:r w:rsidRPr="006826E4">
        <w:rPr>
          <w:rFonts w:ascii="Cambria Math" w:hAnsi="Cambria Math" w:cs="Cambria Math"/>
          <w:sz w:val="20"/>
          <w:szCs w:val="20"/>
        </w:rPr>
        <w:t>₁</w:t>
      </w:r>
      <w:r w:rsidRPr="006826E4">
        <w:rPr>
          <w:rFonts w:ascii="Arial" w:hAnsi="Arial" w:cs="Arial"/>
          <w:sz w:val="20"/>
          <w:szCs w:val="20"/>
        </w:rPr>
        <w:t>) is rejected, confirming that operational support significantly influences teacher engagement.</w:t>
      </w:r>
    </w:p>
    <w:p w14:paraId="0E694512" w14:textId="77777777" w:rsidR="006826E4" w:rsidRPr="006826E4" w:rsidRDefault="006826E4" w:rsidP="006826E4">
      <w:pPr>
        <w:jc w:val="both"/>
        <w:rPr>
          <w:rFonts w:ascii="Arial" w:hAnsi="Arial" w:cs="Arial"/>
          <w:sz w:val="20"/>
          <w:szCs w:val="20"/>
        </w:rPr>
      </w:pPr>
    </w:p>
    <w:p w14:paraId="778B7703" w14:textId="77777777" w:rsidR="006826E4" w:rsidRPr="006826E4" w:rsidRDefault="006826E4" w:rsidP="006826E4">
      <w:pPr>
        <w:jc w:val="both"/>
        <w:rPr>
          <w:rFonts w:ascii="Arial" w:hAnsi="Arial" w:cs="Arial"/>
          <w:sz w:val="20"/>
          <w:szCs w:val="20"/>
        </w:rPr>
      </w:pPr>
      <w:r w:rsidRPr="006826E4">
        <w:rPr>
          <w:rFonts w:ascii="Arial" w:hAnsi="Arial" w:cs="Arial"/>
          <w:sz w:val="20"/>
          <w:szCs w:val="20"/>
        </w:rPr>
        <w:t>This result implies that when teachers experience supportive environments characterized by encouragement of creativity, tolerance of differences, and personal commitment from administrators, they are more likely to be emotionally, socially, and cognitively engaged in their work. Supportive operational systems promote a sense of belonging and purpose, which enhances job satisfaction and performance.</w:t>
      </w:r>
    </w:p>
    <w:p w14:paraId="3C61A620" w14:textId="77777777" w:rsidR="006826E4" w:rsidRPr="006826E4" w:rsidRDefault="006826E4" w:rsidP="006826E4">
      <w:pPr>
        <w:jc w:val="both"/>
        <w:rPr>
          <w:rFonts w:ascii="Arial" w:hAnsi="Arial" w:cs="Arial"/>
          <w:sz w:val="20"/>
          <w:szCs w:val="20"/>
        </w:rPr>
      </w:pPr>
    </w:p>
    <w:p w14:paraId="79180C0F" w14:textId="53A935CF" w:rsidR="00D82866" w:rsidRPr="0076337A" w:rsidRDefault="006826E4" w:rsidP="006826E4">
      <w:pPr>
        <w:jc w:val="both"/>
        <w:rPr>
          <w:rFonts w:ascii="Arial" w:hAnsi="Arial" w:cs="Arial"/>
          <w:sz w:val="20"/>
          <w:szCs w:val="20"/>
        </w:rPr>
      </w:pPr>
      <w:r w:rsidRPr="006826E4">
        <w:rPr>
          <w:rFonts w:ascii="Arial" w:hAnsi="Arial" w:cs="Arial"/>
          <w:sz w:val="20"/>
          <w:szCs w:val="20"/>
        </w:rPr>
        <w:t xml:space="preserve">These findings are consistent with the study of </w:t>
      </w:r>
      <w:r w:rsidR="00E20269" w:rsidRPr="00E20269">
        <w:rPr>
          <w:rFonts w:ascii="Arial" w:hAnsi="Arial" w:cs="Arial"/>
          <w:sz w:val="20"/>
          <w:szCs w:val="20"/>
        </w:rPr>
        <w:t xml:space="preserve">Abaci </w:t>
      </w:r>
      <w:r w:rsidRPr="006826E4">
        <w:rPr>
          <w:rFonts w:ascii="Arial" w:hAnsi="Arial" w:cs="Arial"/>
          <w:sz w:val="20"/>
          <w:szCs w:val="20"/>
        </w:rPr>
        <w:t xml:space="preserve">et al. (2021), who found that workplace support has a positive effect on teachers’ emotional involvement and job commitment. Likewise, the work of </w:t>
      </w:r>
      <w:r w:rsidR="00E20269" w:rsidRPr="00E20269">
        <w:rPr>
          <w:rFonts w:ascii="Arial" w:hAnsi="Arial" w:cs="Arial"/>
          <w:sz w:val="20"/>
          <w:szCs w:val="20"/>
        </w:rPr>
        <w:t xml:space="preserve">Xu </w:t>
      </w:r>
      <w:r w:rsidR="00E20269">
        <w:rPr>
          <w:rFonts w:ascii="Arial" w:hAnsi="Arial" w:cs="Arial"/>
          <w:sz w:val="20"/>
          <w:szCs w:val="20"/>
        </w:rPr>
        <w:t xml:space="preserve">et al. </w:t>
      </w:r>
      <w:r w:rsidRPr="006826E4">
        <w:rPr>
          <w:rFonts w:ascii="Arial" w:hAnsi="Arial" w:cs="Arial"/>
          <w:sz w:val="20"/>
          <w:szCs w:val="20"/>
        </w:rPr>
        <w:t>(</w:t>
      </w:r>
      <w:r w:rsidR="00E20269">
        <w:rPr>
          <w:rFonts w:ascii="Arial" w:hAnsi="Arial" w:cs="Arial"/>
          <w:sz w:val="20"/>
          <w:szCs w:val="20"/>
        </w:rPr>
        <w:t>2023</w:t>
      </w:r>
      <w:r w:rsidRPr="006826E4">
        <w:rPr>
          <w:rFonts w:ascii="Arial" w:hAnsi="Arial" w:cs="Arial"/>
          <w:sz w:val="20"/>
          <w:szCs w:val="20"/>
        </w:rPr>
        <w:t xml:space="preserve">) emphasized that operational support systems in schools significantly influence how motivated and engaged teachers feel. In addition, </w:t>
      </w:r>
      <w:r w:rsidR="00E20269" w:rsidRPr="00E20269">
        <w:rPr>
          <w:rFonts w:ascii="Arial" w:hAnsi="Arial" w:cs="Arial"/>
          <w:sz w:val="20"/>
          <w:szCs w:val="20"/>
        </w:rPr>
        <w:t xml:space="preserve">Tao </w:t>
      </w:r>
      <w:r w:rsidR="00E20269">
        <w:rPr>
          <w:rFonts w:ascii="Arial" w:hAnsi="Arial" w:cs="Arial"/>
          <w:sz w:val="20"/>
          <w:szCs w:val="20"/>
        </w:rPr>
        <w:t xml:space="preserve">et al. </w:t>
      </w:r>
      <w:r w:rsidRPr="006826E4">
        <w:rPr>
          <w:rFonts w:ascii="Arial" w:hAnsi="Arial" w:cs="Arial"/>
          <w:sz w:val="20"/>
          <w:szCs w:val="20"/>
        </w:rPr>
        <w:t>(</w:t>
      </w:r>
      <w:r w:rsidR="00E20269">
        <w:rPr>
          <w:rFonts w:ascii="Arial" w:hAnsi="Arial" w:cs="Arial"/>
          <w:sz w:val="20"/>
          <w:szCs w:val="20"/>
        </w:rPr>
        <w:t>2022</w:t>
      </w:r>
      <w:r w:rsidRPr="006826E4">
        <w:rPr>
          <w:rFonts w:ascii="Arial" w:hAnsi="Arial" w:cs="Arial"/>
          <w:sz w:val="20"/>
          <w:szCs w:val="20"/>
        </w:rPr>
        <w:t>) noted that when teachers perceive leadership as responsive and inclusive, they are more likely to display higher levels of engagement in classroom and institutional activities.</w:t>
      </w:r>
    </w:p>
    <w:p w14:paraId="1FB8CBC1" w14:textId="2B0212CF" w:rsidR="00017E5D" w:rsidRPr="0076337A" w:rsidRDefault="00017E5D" w:rsidP="00017E5D">
      <w:pPr>
        <w:jc w:val="both"/>
        <w:rPr>
          <w:rFonts w:ascii="Arial" w:hAnsi="Arial" w:cs="Arial"/>
          <w:sz w:val="20"/>
          <w:szCs w:val="20"/>
        </w:rPr>
      </w:pPr>
    </w:p>
    <w:p w14:paraId="480B46C9" w14:textId="6625BDB7" w:rsidR="00943756" w:rsidRPr="0076337A" w:rsidRDefault="00943756" w:rsidP="00943756">
      <w:pPr>
        <w:jc w:val="both"/>
        <w:rPr>
          <w:rFonts w:ascii="Arial" w:hAnsi="Arial" w:cs="Arial"/>
          <w:b/>
          <w:bCs/>
          <w:iCs/>
          <w:sz w:val="20"/>
          <w:szCs w:val="20"/>
        </w:rPr>
      </w:pPr>
      <w:r w:rsidRPr="0076337A">
        <w:rPr>
          <w:rFonts w:ascii="Arial" w:hAnsi="Arial" w:cs="Arial"/>
          <w:b/>
          <w:bCs/>
          <w:iCs/>
          <w:sz w:val="20"/>
          <w:szCs w:val="20"/>
        </w:rPr>
        <w:t xml:space="preserve">3.5 </w:t>
      </w:r>
      <w:r w:rsidR="008343FC" w:rsidRPr="008343FC">
        <w:rPr>
          <w:rFonts w:ascii="Arial" w:hAnsi="Arial" w:cs="Arial"/>
          <w:b/>
          <w:bCs/>
          <w:iCs/>
          <w:sz w:val="20"/>
          <w:szCs w:val="20"/>
        </w:rPr>
        <w:t>Significant Relationship Between Innovative Work Behavior and Teacher Engagement Among Public Elementary School Teachers</w:t>
      </w:r>
    </w:p>
    <w:p w14:paraId="73A76D13" w14:textId="77777777" w:rsidR="00943756" w:rsidRPr="0076337A" w:rsidRDefault="00943756" w:rsidP="00943756">
      <w:pPr>
        <w:jc w:val="both"/>
        <w:rPr>
          <w:rFonts w:ascii="Arial" w:hAnsi="Arial" w:cs="Arial"/>
          <w:iCs/>
          <w:sz w:val="20"/>
          <w:szCs w:val="20"/>
        </w:rPr>
      </w:pPr>
    </w:p>
    <w:p w14:paraId="79106CDB" w14:textId="7B33B221" w:rsidR="00943756" w:rsidRPr="0076337A" w:rsidRDefault="00943756" w:rsidP="00943756">
      <w:pPr>
        <w:jc w:val="both"/>
        <w:rPr>
          <w:rFonts w:ascii="Arial" w:hAnsi="Arial" w:cs="Arial"/>
          <w:i/>
          <w:sz w:val="20"/>
          <w:szCs w:val="20"/>
        </w:rPr>
      </w:pPr>
      <w:r w:rsidRPr="0076337A">
        <w:rPr>
          <w:rFonts w:ascii="Arial" w:hAnsi="Arial" w:cs="Arial"/>
          <w:iCs/>
          <w:sz w:val="20"/>
          <w:szCs w:val="20"/>
        </w:rPr>
        <w:t xml:space="preserve">Table </w:t>
      </w:r>
      <w:r w:rsidR="00477570" w:rsidRPr="0076337A">
        <w:rPr>
          <w:rFonts w:ascii="Arial" w:hAnsi="Arial" w:cs="Arial"/>
          <w:iCs/>
          <w:sz w:val="20"/>
          <w:szCs w:val="20"/>
        </w:rPr>
        <w:t>5</w:t>
      </w:r>
      <w:r w:rsidRPr="0076337A">
        <w:rPr>
          <w:rFonts w:ascii="Arial" w:hAnsi="Arial" w:cs="Arial"/>
          <w:iCs/>
          <w:sz w:val="20"/>
          <w:szCs w:val="20"/>
        </w:rPr>
        <w:t>.</w:t>
      </w:r>
      <w:r w:rsidR="00040605">
        <w:rPr>
          <w:rFonts w:ascii="Arial" w:hAnsi="Arial" w:cs="Arial"/>
          <w:iCs/>
          <w:sz w:val="20"/>
          <w:szCs w:val="20"/>
        </w:rPr>
        <w:t xml:space="preserve"> </w:t>
      </w:r>
      <w:r w:rsidR="004A035C" w:rsidRPr="004A035C">
        <w:rPr>
          <w:rFonts w:ascii="Arial" w:hAnsi="Arial" w:cs="Arial"/>
          <w:i/>
          <w:sz w:val="20"/>
          <w:szCs w:val="20"/>
        </w:rPr>
        <w:t>Significant Relationship Between Innovative Work Behavior and Teacher Engagement Among Public Elementary School Teachers</w:t>
      </w:r>
    </w:p>
    <w:p w14:paraId="062D109D" w14:textId="77777777" w:rsidR="00943756" w:rsidRPr="0076337A" w:rsidRDefault="00943756" w:rsidP="00943756">
      <w:pPr>
        <w:jc w:val="both"/>
        <w:rPr>
          <w:rFonts w:ascii="Arial" w:hAnsi="Arial" w:cs="Arial"/>
          <w:iCs/>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849"/>
        <w:gridCol w:w="739"/>
        <w:gridCol w:w="739"/>
        <w:gridCol w:w="739"/>
        <w:gridCol w:w="1591"/>
        <w:gridCol w:w="850"/>
        <w:gridCol w:w="1170"/>
      </w:tblGrid>
      <w:tr w:rsidR="00943756" w:rsidRPr="0076337A" w14:paraId="31EAF4B3" w14:textId="77777777" w:rsidTr="004C1123">
        <w:trPr>
          <w:trHeight w:val="790"/>
        </w:trPr>
        <w:tc>
          <w:tcPr>
            <w:tcW w:w="1531" w:type="dxa"/>
            <w:tcBorders>
              <w:top w:val="single" w:sz="4" w:space="0" w:color="auto"/>
              <w:bottom w:val="single" w:sz="4" w:space="0" w:color="auto"/>
            </w:tcBorders>
          </w:tcPr>
          <w:p w14:paraId="09E2FEAD" w14:textId="77777777" w:rsidR="00943756" w:rsidRPr="0076337A" w:rsidRDefault="00943756" w:rsidP="004C1123">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Variables</w:t>
            </w:r>
          </w:p>
        </w:tc>
        <w:tc>
          <w:tcPr>
            <w:tcW w:w="849" w:type="dxa"/>
            <w:tcBorders>
              <w:top w:val="single" w:sz="4" w:space="0" w:color="auto"/>
              <w:bottom w:val="single" w:sz="4" w:space="0" w:color="auto"/>
            </w:tcBorders>
          </w:tcPr>
          <w:p w14:paraId="6450E9B1" w14:textId="77777777" w:rsidR="00943756" w:rsidRPr="0076337A" w:rsidRDefault="00943756" w:rsidP="004C1123">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Mean</w:t>
            </w:r>
          </w:p>
        </w:tc>
        <w:tc>
          <w:tcPr>
            <w:tcW w:w="739" w:type="dxa"/>
            <w:tcBorders>
              <w:top w:val="single" w:sz="4" w:space="0" w:color="auto"/>
              <w:bottom w:val="single" w:sz="4" w:space="0" w:color="auto"/>
            </w:tcBorders>
          </w:tcPr>
          <w:p w14:paraId="0F222A02" w14:textId="77777777" w:rsidR="00943756" w:rsidRPr="0076337A" w:rsidRDefault="00943756" w:rsidP="004C1123">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SD</w:t>
            </w:r>
          </w:p>
        </w:tc>
        <w:tc>
          <w:tcPr>
            <w:tcW w:w="739" w:type="dxa"/>
            <w:tcBorders>
              <w:top w:val="single" w:sz="4" w:space="0" w:color="auto"/>
              <w:bottom w:val="single" w:sz="4" w:space="0" w:color="auto"/>
            </w:tcBorders>
          </w:tcPr>
          <w:p w14:paraId="2CB24820" w14:textId="5501EB94" w:rsidR="00943756" w:rsidRPr="003709D8" w:rsidRDefault="003709D8" w:rsidP="004C1123">
            <w:pPr>
              <w:widowControl w:val="0"/>
              <w:autoSpaceDE w:val="0"/>
              <w:autoSpaceDN w:val="0"/>
              <w:jc w:val="center"/>
              <w:rPr>
                <w:rFonts w:ascii="Arial" w:eastAsia="Arial" w:hAnsi="Arial"/>
                <w:b/>
                <w:bCs/>
                <w:i/>
                <w:sz w:val="20"/>
                <w:szCs w:val="20"/>
              </w:rPr>
            </w:pPr>
            <w:r w:rsidRPr="003709D8">
              <w:rPr>
                <w:rFonts w:ascii="Arial" w:eastAsia="Arial" w:hAnsi="Arial"/>
                <w:b/>
                <w:bCs/>
                <w:i/>
                <w:sz w:val="20"/>
                <w:szCs w:val="20"/>
              </w:rPr>
              <w:t>r</w:t>
            </w:r>
          </w:p>
        </w:tc>
        <w:tc>
          <w:tcPr>
            <w:tcW w:w="739" w:type="dxa"/>
            <w:tcBorders>
              <w:top w:val="single" w:sz="4" w:space="0" w:color="auto"/>
              <w:bottom w:val="single" w:sz="4" w:space="0" w:color="auto"/>
            </w:tcBorders>
          </w:tcPr>
          <w:p w14:paraId="4E85AC58" w14:textId="74C54819" w:rsidR="00943756" w:rsidRPr="003709D8" w:rsidRDefault="003709D8" w:rsidP="004C1123">
            <w:pPr>
              <w:shd w:val="clear" w:color="auto" w:fill="FFFFFF"/>
              <w:spacing w:after="120"/>
              <w:jc w:val="center"/>
              <w:outlineLvl w:val="0"/>
              <w:rPr>
                <w:rFonts w:ascii="Arial" w:hAnsi="Arial"/>
                <w:b/>
                <w:bCs/>
                <w:i/>
                <w:kern w:val="36"/>
                <w:sz w:val="20"/>
                <w:szCs w:val="20"/>
              </w:rPr>
            </w:pPr>
            <w:r w:rsidRPr="003709D8">
              <w:rPr>
                <w:rFonts w:ascii="Arial" w:hAnsi="Arial"/>
                <w:b/>
                <w:bCs/>
                <w:i/>
                <w:kern w:val="36"/>
                <w:sz w:val="20"/>
                <w:szCs w:val="20"/>
              </w:rPr>
              <w:t>r</w:t>
            </w:r>
            <w:r w:rsidR="00943756" w:rsidRPr="003709D8">
              <w:rPr>
                <w:rFonts w:ascii="Arial" w:hAnsi="Arial"/>
                <w:b/>
                <w:bCs/>
                <w:i/>
                <w:kern w:val="36"/>
                <w:sz w:val="20"/>
                <w:szCs w:val="20"/>
              </w:rPr>
              <w:t>²</w:t>
            </w:r>
          </w:p>
        </w:tc>
        <w:tc>
          <w:tcPr>
            <w:tcW w:w="1591" w:type="dxa"/>
            <w:tcBorders>
              <w:top w:val="single" w:sz="4" w:space="0" w:color="auto"/>
              <w:bottom w:val="single" w:sz="4" w:space="0" w:color="auto"/>
            </w:tcBorders>
          </w:tcPr>
          <w:p w14:paraId="79319910" w14:textId="77777777" w:rsidR="00943756" w:rsidRPr="0076337A" w:rsidRDefault="00943756" w:rsidP="004C1123">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Degree of Relationship</w:t>
            </w:r>
          </w:p>
        </w:tc>
        <w:tc>
          <w:tcPr>
            <w:tcW w:w="850" w:type="dxa"/>
            <w:tcBorders>
              <w:top w:val="single" w:sz="4" w:space="0" w:color="auto"/>
              <w:bottom w:val="single" w:sz="4" w:space="0" w:color="auto"/>
            </w:tcBorders>
          </w:tcPr>
          <w:p w14:paraId="7EC9E6A1" w14:textId="77777777" w:rsidR="00943756" w:rsidRPr="0076337A" w:rsidRDefault="00943756" w:rsidP="004C1123">
            <w:pPr>
              <w:widowControl w:val="0"/>
              <w:autoSpaceDE w:val="0"/>
              <w:autoSpaceDN w:val="0"/>
              <w:jc w:val="center"/>
              <w:rPr>
                <w:rFonts w:ascii="Arial" w:eastAsia="Arial" w:hAnsi="Arial"/>
                <w:b/>
                <w:bCs/>
                <w:sz w:val="20"/>
                <w:szCs w:val="20"/>
              </w:rPr>
            </w:pPr>
            <w:r w:rsidRPr="003709D8">
              <w:rPr>
                <w:rFonts w:ascii="Arial" w:eastAsia="Arial" w:hAnsi="Arial"/>
                <w:b/>
                <w:bCs/>
                <w:i/>
                <w:sz w:val="20"/>
                <w:szCs w:val="20"/>
              </w:rPr>
              <w:t>p</w:t>
            </w:r>
            <w:r w:rsidRPr="0076337A">
              <w:rPr>
                <w:rFonts w:ascii="Arial" w:eastAsia="Arial" w:hAnsi="Arial"/>
                <w:b/>
                <w:bCs/>
                <w:sz w:val="20"/>
                <w:szCs w:val="20"/>
              </w:rPr>
              <w:t>-value</w:t>
            </w:r>
          </w:p>
        </w:tc>
        <w:tc>
          <w:tcPr>
            <w:tcW w:w="1170" w:type="dxa"/>
            <w:tcBorders>
              <w:top w:val="single" w:sz="4" w:space="0" w:color="auto"/>
              <w:bottom w:val="single" w:sz="4" w:space="0" w:color="auto"/>
            </w:tcBorders>
          </w:tcPr>
          <w:p w14:paraId="22A1BD61" w14:textId="77777777" w:rsidR="00943756" w:rsidRPr="0076337A" w:rsidRDefault="00943756" w:rsidP="004C1123">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Decision</w:t>
            </w:r>
          </w:p>
        </w:tc>
      </w:tr>
      <w:tr w:rsidR="008D1C64" w:rsidRPr="0076337A" w14:paraId="7109E61C" w14:textId="77777777" w:rsidTr="00D11801">
        <w:trPr>
          <w:trHeight w:val="967"/>
        </w:trPr>
        <w:tc>
          <w:tcPr>
            <w:tcW w:w="1531" w:type="dxa"/>
            <w:tcBorders>
              <w:top w:val="single" w:sz="4" w:space="0" w:color="auto"/>
            </w:tcBorders>
            <w:vAlign w:val="center"/>
          </w:tcPr>
          <w:p w14:paraId="1DBA554A" w14:textId="755B286D" w:rsidR="008D1C64" w:rsidRPr="008D1C64" w:rsidRDefault="008D1C64" w:rsidP="008D1C64">
            <w:pPr>
              <w:widowControl w:val="0"/>
              <w:autoSpaceDE w:val="0"/>
              <w:autoSpaceDN w:val="0"/>
              <w:jc w:val="center"/>
              <w:rPr>
                <w:rFonts w:ascii="Arial" w:eastAsia="Arial" w:hAnsi="Arial" w:cs="Arial"/>
                <w:sz w:val="20"/>
                <w:szCs w:val="20"/>
              </w:rPr>
            </w:pPr>
            <w:r w:rsidRPr="008D1C64">
              <w:rPr>
                <w:rFonts w:ascii="Arial" w:hAnsi="Arial" w:cs="Arial"/>
                <w:sz w:val="20"/>
                <w:szCs w:val="20"/>
              </w:rPr>
              <w:lastRenderedPageBreak/>
              <w:t>Innovative Work Behavior</w:t>
            </w:r>
          </w:p>
        </w:tc>
        <w:tc>
          <w:tcPr>
            <w:tcW w:w="849" w:type="dxa"/>
            <w:tcBorders>
              <w:top w:val="single" w:sz="4" w:space="0" w:color="auto"/>
            </w:tcBorders>
            <w:vAlign w:val="center"/>
          </w:tcPr>
          <w:p w14:paraId="1066BEB1" w14:textId="3956A5D2" w:rsidR="008D1C64" w:rsidRPr="008D1C64" w:rsidRDefault="008D1C64" w:rsidP="008D1C64">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3.90</w:t>
            </w:r>
          </w:p>
        </w:tc>
        <w:tc>
          <w:tcPr>
            <w:tcW w:w="739" w:type="dxa"/>
            <w:tcBorders>
              <w:top w:val="single" w:sz="4" w:space="0" w:color="auto"/>
            </w:tcBorders>
            <w:vAlign w:val="center"/>
          </w:tcPr>
          <w:p w14:paraId="50AE58BA" w14:textId="24EE2926" w:rsidR="008D1C64" w:rsidRPr="008D1C64" w:rsidRDefault="008D1C64" w:rsidP="008D1C64">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1.10</w:t>
            </w:r>
          </w:p>
        </w:tc>
        <w:tc>
          <w:tcPr>
            <w:tcW w:w="739" w:type="dxa"/>
            <w:tcBorders>
              <w:top w:val="single" w:sz="4" w:space="0" w:color="auto"/>
            </w:tcBorders>
            <w:vAlign w:val="center"/>
          </w:tcPr>
          <w:p w14:paraId="4B8EBBE6"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739" w:type="dxa"/>
            <w:tcBorders>
              <w:top w:val="single" w:sz="4" w:space="0" w:color="auto"/>
            </w:tcBorders>
            <w:vAlign w:val="center"/>
          </w:tcPr>
          <w:p w14:paraId="3DCB48B6"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1591" w:type="dxa"/>
            <w:tcBorders>
              <w:top w:val="single" w:sz="4" w:space="0" w:color="auto"/>
            </w:tcBorders>
            <w:vAlign w:val="center"/>
          </w:tcPr>
          <w:p w14:paraId="3AB14602"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850" w:type="dxa"/>
            <w:tcBorders>
              <w:top w:val="single" w:sz="4" w:space="0" w:color="auto"/>
            </w:tcBorders>
            <w:vAlign w:val="center"/>
          </w:tcPr>
          <w:p w14:paraId="3DD7970A"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1170" w:type="dxa"/>
            <w:tcBorders>
              <w:top w:val="single" w:sz="4" w:space="0" w:color="auto"/>
            </w:tcBorders>
            <w:vAlign w:val="center"/>
          </w:tcPr>
          <w:p w14:paraId="12CA2C15"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r>
      <w:tr w:rsidR="008D1C64" w:rsidRPr="0076337A" w14:paraId="4CD267B3" w14:textId="77777777" w:rsidTr="00D11801">
        <w:trPr>
          <w:trHeight w:val="652"/>
        </w:trPr>
        <w:tc>
          <w:tcPr>
            <w:tcW w:w="1531" w:type="dxa"/>
            <w:vAlign w:val="center"/>
          </w:tcPr>
          <w:p w14:paraId="23CDC120" w14:textId="77777777" w:rsidR="008D1C64" w:rsidRPr="008D1C64" w:rsidRDefault="008D1C64" w:rsidP="008D1C64">
            <w:pPr>
              <w:widowControl w:val="0"/>
              <w:autoSpaceDE w:val="0"/>
              <w:autoSpaceDN w:val="0"/>
              <w:jc w:val="center"/>
              <w:rPr>
                <w:rFonts w:ascii="Arial" w:eastAsia="Arial" w:hAnsi="Arial" w:cs="Arial"/>
                <w:sz w:val="20"/>
                <w:szCs w:val="20"/>
              </w:rPr>
            </w:pPr>
          </w:p>
        </w:tc>
        <w:tc>
          <w:tcPr>
            <w:tcW w:w="849" w:type="dxa"/>
            <w:vAlign w:val="center"/>
          </w:tcPr>
          <w:p w14:paraId="2776B355" w14:textId="3F450F5C"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739" w:type="dxa"/>
            <w:vAlign w:val="center"/>
          </w:tcPr>
          <w:p w14:paraId="0FCA7B08" w14:textId="12BEDD86"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739" w:type="dxa"/>
            <w:vAlign w:val="center"/>
          </w:tcPr>
          <w:p w14:paraId="65DE8964" w14:textId="77FE6DCC" w:rsidR="008D1C64" w:rsidRPr="008D1C64" w:rsidRDefault="008D1C64" w:rsidP="008D1C64">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0.72</w:t>
            </w:r>
          </w:p>
        </w:tc>
        <w:tc>
          <w:tcPr>
            <w:tcW w:w="739" w:type="dxa"/>
            <w:vAlign w:val="center"/>
          </w:tcPr>
          <w:p w14:paraId="2549B6F8" w14:textId="51C14EA4" w:rsidR="008D1C64" w:rsidRPr="008D1C64" w:rsidRDefault="008D1C64" w:rsidP="008D1C64">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0.52</w:t>
            </w:r>
          </w:p>
        </w:tc>
        <w:tc>
          <w:tcPr>
            <w:tcW w:w="1591" w:type="dxa"/>
            <w:vAlign w:val="center"/>
          </w:tcPr>
          <w:p w14:paraId="17FD0251" w14:textId="1DC4429E" w:rsidR="008D1C64" w:rsidRPr="008D1C64" w:rsidRDefault="008D1C64" w:rsidP="008D1C64">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High</w:t>
            </w:r>
          </w:p>
        </w:tc>
        <w:tc>
          <w:tcPr>
            <w:tcW w:w="850" w:type="dxa"/>
            <w:vAlign w:val="center"/>
          </w:tcPr>
          <w:p w14:paraId="604E9612" w14:textId="606E49EC" w:rsidR="008D1C64" w:rsidRPr="008D1C64" w:rsidRDefault="008D1C64" w:rsidP="008D1C64">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0.000</w:t>
            </w:r>
          </w:p>
        </w:tc>
        <w:tc>
          <w:tcPr>
            <w:tcW w:w="1170" w:type="dxa"/>
            <w:vAlign w:val="center"/>
          </w:tcPr>
          <w:p w14:paraId="41E016AB" w14:textId="419CF36A" w:rsidR="008D1C64" w:rsidRPr="008D1C64" w:rsidRDefault="008D1C64" w:rsidP="008D1C64">
            <w:pPr>
              <w:widowControl w:val="0"/>
              <w:autoSpaceDE w:val="0"/>
              <w:autoSpaceDN w:val="0"/>
              <w:jc w:val="center"/>
              <w:rPr>
                <w:rFonts w:ascii="Arial" w:eastAsia="Arial" w:hAnsi="Arial" w:cs="Arial"/>
                <w:sz w:val="20"/>
                <w:szCs w:val="20"/>
              </w:rPr>
            </w:pPr>
            <w:r w:rsidRPr="00172934">
              <w:rPr>
                <w:rFonts w:ascii="Arial" w:hAnsi="Arial" w:cs="Arial"/>
                <w:sz w:val="20"/>
                <w:szCs w:val="20"/>
              </w:rPr>
              <w:t>Reject Ho</w:t>
            </w:r>
            <w:r w:rsidRPr="00172934">
              <w:rPr>
                <w:rFonts w:ascii="Cambria Math" w:hAnsi="Cambria Math" w:cs="Cambria Math"/>
                <w:sz w:val="20"/>
                <w:szCs w:val="20"/>
              </w:rPr>
              <w:t>₂</w:t>
            </w:r>
          </w:p>
        </w:tc>
      </w:tr>
      <w:tr w:rsidR="008D1C64" w:rsidRPr="0076337A" w14:paraId="2C2AF4D5" w14:textId="77777777" w:rsidTr="00D11801">
        <w:trPr>
          <w:trHeight w:val="632"/>
        </w:trPr>
        <w:tc>
          <w:tcPr>
            <w:tcW w:w="1531" w:type="dxa"/>
            <w:vAlign w:val="center"/>
          </w:tcPr>
          <w:p w14:paraId="3EE1261A" w14:textId="2214002B" w:rsidR="008D1C64" w:rsidRPr="008D1C64" w:rsidRDefault="008D1C64" w:rsidP="008D1C64">
            <w:pPr>
              <w:widowControl w:val="0"/>
              <w:autoSpaceDE w:val="0"/>
              <w:autoSpaceDN w:val="0"/>
              <w:jc w:val="center"/>
              <w:rPr>
                <w:rFonts w:ascii="Arial" w:eastAsia="Arial" w:hAnsi="Arial" w:cs="Arial"/>
                <w:sz w:val="20"/>
                <w:szCs w:val="20"/>
              </w:rPr>
            </w:pPr>
            <w:r w:rsidRPr="008D1C64">
              <w:rPr>
                <w:rFonts w:ascii="Arial" w:hAnsi="Arial" w:cs="Arial"/>
                <w:sz w:val="20"/>
                <w:szCs w:val="20"/>
              </w:rPr>
              <w:t>Teacher Engagement</w:t>
            </w:r>
          </w:p>
        </w:tc>
        <w:tc>
          <w:tcPr>
            <w:tcW w:w="849" w:type="dxa"/>
            <w:vAlign w:val="center"/>
          </w:tcPr>
          <w:p w14:paraId="5E7F98BF" w14:textId="7A2FF418" w:rsidR="008D1C64" w:rsidRPr="008D1C64" w:rsidRDefault="008D1C64" w:rsidP="008D1C64">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3.96</w:t>
            </w:r>
          </w:p>
        </w:tc>
        <w:tc>
          <w:tcPr>
            <w:tcW w:w="739" w:type="dxa"/>
            <w:vAlign w:val="center"/>
          </w:tcPr>
          <w:p w14:paraId="6013C767" w14:textId="46368213" w:rsidR="008D1C64" w:rsidRPr="008D1C64" w:rsidRDefault="008D1C64" w:rsidP="008D1C64">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1.09</w:t>
            </w:r>
          </w:p>
        </w:tc>
        <w:tc>
          <w:tcPr>
            <w:tcW w:w="739" w:type="dxa"/>
            <w:vAlign w:val="center"/>
          </w:tcPr>
          <w:p w14:paraId="71D5A975"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739" w:type="dxa"/>
            <w:vAlign w:val="center"/>
          </w:tcPr>
          <w:p w14:paraId="2CD2F50D"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1591" w:type="dxa"/>
            <w:vAlign w:val="center"/>
          </w:tcPr>
          <w:p w14:paraId="340FBDD4"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850" w:type="dxa"/>
            <w:vAlign w:val="center"/>
          </w:tcPr>
          <w:p w14:paraId="5AF23A24"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c>
          <w:tcPr>
            <w:tcW w:w="1170" w:type="dxa"/>
            <w:vAlign w:val="center"/>
          </w:tcPr>
          <w:p w14:paraId="19AD65E6" w14:textId="77777777" w:rsidR="008D1C64" w:rsidRPr="008D1C64" w:rsidRDefault="008D1C64" w:rsidP="008D1C64">
            <w:pPr>
              <w:widowControl w:val="0"/>
              <w:autoSpaceDE w:val="0"/>
              <w:autoSpaceDN w:val="0"/>
              <w:spacing w:line="480" w:lineRule="auto"/>
              <w:jc w:val="center"/>
              <w:rPr>
                <w:rFonts w:ascii="Arial" w:eastAsia="Arial" w:hAnsi="Arial" w:cs="Arial"/>
                <w:sz w:val="20"/>
                <w:szCs w:val="20"/>
              </w:rPr>
            </w:pPr>
          </w:p>
        </w:tc>
      </w:tr>
    </w:tbl>
    <w:p w14:paraId="06FF65C6" w14:textId="77777777" w:rsidR="00943756" w:rsidRPr="0076337A" w:rsidRDefault="00943756" w:rsidP="00943756">
      <w:pPr>
        <w:jc w:val="both"/>
        <w:rPr>
          <w:rFonts w:ascii="Arial" w:hAnsi="Arial" w:cs="Arial"/>
          <w:sz w:val="20"/>
          <w:szCs w:val="20"/>
        </w:rPr>
      </w:pPr>
    </w:p>
    <w:p w14:paraId="6EEED6FE" w14:textId="73589231" w:rsidR="00596996" w:rsidRPr="00596996" w:rsidRDefault="00596996" w:rsidP="00596996">
      <w:pPr>
        <w:jc w:val="both"/>
        <w:rPr>
          <w:rFonts w:ascii="Arial" w:hAnsi="Arial" w:cs="Arial"/>
          <w:sz w:val="20"/>
          <w:szCs w:val="20"/>
        </w:rPr>
      </w:pPr>
      <w:r w:rsidRPr="00596996">
        <w:rPr>
          <w:rFonts w:ascii="Arial" w:hAnsi="Arial" w:cs="Arial"/>
          <w:sz w:val="20"/>
          <w:szCs w:val="20"/>
        </w:rPr>
        <w:t>Presented in Table 5 is the correlation analysis between innovative work behavior and teacher engagement among public elementary school teachers. The com</w:t>
      </w:r>
      <w:r w:rsidR="003709D8">
        <w:rPr>
          <w:rFonts w:ascii="Arial" w:hAnsi="Arial" w:cs="Arial"/>
          <w:sz w:val="20"/>
          <w:szCs w:val="20"/>
        </w:rPr>
        <w:t>puted correlation coefficient (</w:t>
      </w:r>
      <w:r w:rsidR="003709D8" w:rsidRPr="003709D8">
        <w:rPr>
          <w:rFonts w:ascii="Arial" w:hAnsi="Arial" w:cs="Arial"/>
          <w:i/>
          <w:sz w:val="20"/>
          <w:szCs w:val="20"/>
        </w:rPr>
        <w:t>r</w:t>
      </w:r>
      <w:r w:rsidRPr="00596996">
        <w:rPr>
          <w:rFonts w:ascii="Arial" w:hAnsi="Arial" w:cs="Arial"/>
          <w:sz w:val="20"/>
          <w:szCs w:val="20"/>
        </w:rPr>
        <w:t>) is 0.72, with a p-value of 0.000, which is well below the 0.05 threshold for statistical significance. This finding indicates a high and statistically significant positive relationship between innovative work behavior and teacher engagement. The</w:t>
      </w:r>
      <w:r w:rsidR="003709D8">
        <w:rPr>
          <w:rFonts w:ascii="Arial" w:hAnsi="Arial" w:cs="Arial"/>
          <w:sz w:val="20"/>
          <w:szCs w:val="20"/>
        </w:rPr>
        <w:t xml:space="preserve"> coefficient of determination (</w:t>
      </w:r>
      <w:r w:rsidR="003709D8" w:rsidRPr="003709D8">
        <w:rPr>
          <w:rFonts w:ascii="Arial" w:hAnsi="Arial" w:cs="Arial"/>
          <w:i/>
          <w:sz w:val="20"/>
          <w:szCs w:val="20"/>
        </w:rPr>
        <w:t>r</w:t>
      </w:r>
      <w:r w:rsidRPr="00596996">
        <w:rPr>
          <w:rFonts w:ascii="Arial" w:hAnsi="Arial" w:cs="Arial"/>
          <w:sz w:val="20"/>
          <w:szCs w:val="20"/>
        </w:rPr>
        <w:t>²) is 0.52, meaning that 52% of the variance in teacher engagement can be attributed to the level of innovative work behavior demonstrated by teachers. Therefore, the null hypothesis (Ho</w:t>
      </w:r>
      <w:r w:rsidRPr="00596996">
        <w:rPr>
          <w:rFonts w:ascii="Cambria Math" w:hAnsi="Cambria Math" w:cs="Cambria Math"/>
          <w:sz w:val="20"/>
          <w:szCs w:val="20"/>
        </w:rPr>
        <w:t>₂</w:t>
      </w:r>
      <w:r w:rsidRPr="00596996">
        <w:rPr>
          <w:rFonts w:ascii="Arial" w:hAnsi="Arial" w:cs="Arial"/>
          <w:sz w:val="20"/>
          <w:szCs w:val="20"/>
        </w:rPr>
        <w:t>) is rejected, confirming that innovative work behavior has a significant relationship with teacher engagement.</w:t>
      </w:r>
    </w:p>
    <w:p w14:paraId="5BBACFF9" w14:textId="77777777" w:rsidR="00596996" w:rsidRPr="00596996" w:rsidRDefault="00596996" w:rsidP="00596996">
      <w:pPr>
        <w:jc w:val="both"/>
        <w:rPr>
          <w:rFonts w:ascii="Arial" w:hAnsi="Arial" w:cs="Arial"/>
          <w:sz w:val="20"/>
          <w:szCs w:val="20"/>
        </w:rPr>
      </w:pPr>
    </w:p>
    <w:p w14:paraId="28C96D7B" w14:textId="77777777" w:rsidR="00596996" w:rsidRPr="00596996" w:rsidRDefault="00596996" w:rsidP="00596996">
      <w:pPr>
        <w:jc w:val="both"/>
        <w:rPr>
          <w:rFonts w:ascii="Arial" w:hAnsi="Arial" w:cs="Arial"/>
          <w:sz w:val="20"/>
          <w:szCs w:val="20"/>
        </w:rPr>
      </w:pPr>
      <w:r w:rsidRPr="00596996">
        <w:rPr>
          <w:rFonts w:ascii="Arial" w:hAnsi="Arial" w:cs="Arial"/>
          <w:sz w:val="20"/>
          <w:szCs w:val="20"/>
        </w:rPr>
        <w:t>This finding implies that teachers who frequently generate new ideas, explore novel solutions, and promote innovation within their classrooms are more likely to experience higher levels of engagement. Innovative work behavior fosters intellectual stimulation, relevance, and professional fulfillment—key components of emotional, social, and cognitive engagement.</w:t>
      </w:r>
    </w:p>
    <w:p w14:paraId="5279E259" w14:textId="77777777" w:rsidR="00596996" w:rsidRPr="00596996" w:rsidRDefault="00596996" w:rsidP="00596996">
      <w:pPr>
        <w:jc w:val="both"/>
        <w:rPr>
          <w:rFonts w:ascii="Arial" w:hAnsi="Arial" w:cs="Arial"/>
          <w:sz w:val="20"/>
          <w:szCs w:val="20"/>
        </w:rPr>
      </w:pPr>
    </w:p>
    <w:p w14:paraId="22C57827" w14:textId="0415DAB2" w:rsidR="00943756" w:rsidRPr="0076337A" w:rsidRDefault="00596996" w:rsidP="00596996">
      <w:pPr>
        <w:jc w:val="both"/>
        <w:rPr>
          <w:rFonts w:ascii="Arial" w:hAnsi="Arial" w:cs="Arial"/>
          <w:sz w:val="20"/>
          <w:szCs w:val="20"/>
        </w:rPr>
      </w:pPr>
      <w:r w:rsidRPr="00596996">
        <w:rPr>
          <w:rFonts w:ascii="Arial" w:hAnsi="Arial" w:cs="Arial"/>
          <w:sz w:val="20"/>
          <w:szCs w:val="20"/>
        </w:rPr>
        <w:t xml:space="preserve">This is supported by the study of </w:t>
      </w:r>
      <w:r w:rsidR="00E20269" w:rsidRPr="00E20269">
        <w:rPr>
          <w:rFonts w:ascii="Arial" w:hAnsi="Arial" w:cs="Arial"/>
          <w:sz w:val="20"/>
          <w:szCs w:val="20"/>
        </w:rPr>
        <w:t xml:space="preserve">Jones </w:t>
      </w:r>
      <w:r w:rsidRPr="00596996">
        <w:rPr>
          <w:rFonts w:ascii="Arial" w:hAnsi="Arial" w:cs="Arial"/>
          <w:sz w:val="20"/>
          <w:szCs w:val="20"/>
        </w:rPr>
        <w:t>(</w:t>
      </w:r>
      <w:r w:rsidR="00E20269">
        <w:rPr>
          <w:rFonts w:ascii="Arial" w:hAnsi="Arial" w:cs="Arial"/>
          <w:sz w:val="20"/>
          <w:szCs w:val="20"/>
        </w:rPr>
        <w:t>2020</w:t>
      </w:r>
      <w:r w:rsidRPr="00596996">
        <w:rPr>
          <w:rFonts w:ascii="Arial" w:hAnsi="Arial" w:cs="Arial"/>
          <w:sz w:val="20"/>
          <w:szCs w:val="20"/>
        </w:rPr>
        <w:t xml:space="preserve">), who emphasized that employees who engage in innovation are typically more committed and enthusiastic about their work. Similarly, the research of </w:t>
      </w:r>
      <w:r w:rsidR="00E20269" w:rsidRPr="00E20269">
        <w:rPr>
          <w:rFonts w:ascii="Arial" w:hAnsi="Arial" w:cs="Arial"/>
          <w:sz w:val="20"/>
          <w:szCs w:val="20"/>
        </w:rPr>
        <w:t xml:space="preserve">Scull </w:t>
      </w:r>
      <w:r w:rsidRPr="00596996">
        <w:rPr>
          <w:rFonts w:ascii="Arial" w:hAnsi="Arial" w:cs="Arial"/>
          <w:sz w:val="20"/>
          <w:szCs w:val="20"/>
        </w:rPr>
        <w:t>et al. (</w:t>
      </w:r>
      <w:r w:rsidR="00E20269">
        <w:rPr>
          <w:rFonts w:ascii="Arial" w:hAnsi="Arial" w:cs="Arial"/>
          <w:sz w:val="20"/>
          <w:szCs w:val="20"/>
        </w:rPr>
        <w:t>2020</w:t>
      </w:r>
      <w:r w:rsidRPr="00596996">
        <w:rPr>
          <w:rFonts w:ascii="Arial" w:hAnsi="Arial" w:cs="Arial"/>
          <w:sz w:val="20"/>
          <w:szCs w:val="20"/>
        </w:rPr>
        <w:t xml:space="preserve">) found that innovative teachers exhibit a stronger sense of professional identity and workplace involvement. In the local context, </w:t>
      </w:r>
      <w:r w:rsidR="00E20269" w:rsidRPr="00E20269">
        <w:rPr>
          <w:rFonts w:ascii="Arial" w:hAnsi="Arial" w:cs="Arial"/>
          <w:sz w:val="20"/>
          <w:szCs w:val="20"/>
        </w:rPr>
        <w:t xml:space="preserve">Tang </w:t>
      </w:r>
      <w:r w:rsidR="00E20269">
        <w:rPr>
          <w:rFonts w:ascii="Arial" w:hAnsi="Arial" w:cs="Arial"/>
          <w:sz w:val="20"/>
          <w:szCs w:val="20"/>
        </w:rPr>
        <w:t xml:space="preserve">et al. </w:t>
      </w:r>
      <w:r w:rsidRPr="00596996">
        <w:rPr>
          <w:rFonts w:ascii="Arial" w:hAnsi="Arial" w:cs="Arial"/>
          <w:sz w:val="20"/>
          <w:szCs w:val="20"/>
        </w:rPr>
        <w:t>(2022) observed that teachers who are encouraged to be innovative are more motivated to participate in school improvement initiatives and classroom reforms.</w:t>
      </w:r>
    </w:p>
    <w:p w14:paraId="2E3462A4" w14:textId="77777777" w:rsidR="00943756" w:rsidRPr="0076337A" w:rsidRDefault="00943756" w:rsidP="00017E5D">
      <w:pPr>
        <w:jc w:val="both"/>
        <w:rPr>
          <w:rFonts w:ascii="Arial" w:hAnsi="Arial" w:cs="Arial"/>
          <w:sz w:val="20"/>
          <w:szCs w:val="20"/>
        </w:rPr>
      </w:pPr>
    </w:p>
    <w:p w14:paraId="0D8ABDEF" w14:textId="4BFEA6AF" w:rsidR="00914755" w:rsidRPr="0076337A" w:rsidRDefault="00665D1C" w:rsidP="00151F8F">
      <w:pPr>
        <w:jc w:val="both"/>
        <w:rPr>
          <w:rFonts w:ascii="Arial" w:hAnsi="Arial" w:cs="Arial"/>
          <w:b/>
          <w:bCs/>
          <w:iCs/>
          <w:sz w:val="20"/>
          <w:szCs w:val="20"/>
        </w:rPr>
      </w:pPr>
      <w:r w:rsidRPr="0076337A">
        <w:rPr>
          <w:rFonts w:ascii="Arial" w:hAnsi="Arial" w:cs="Arial"/>
          <w:b/>
          <w:bCs/>
          <w:iCs/>
          <w:sz w:val="20"/>
          <w:szCs w:val="20"/>
        </w:rPr>
        <w:t>3.</w:t>
      </w:r>
      <w:r w:rsidR="006C3F9D" w:rsidRPr="0076337A">
        <w:rPr>
          <w:rFonts w:ascii="Arial" w:hAnsi="Arial" w:cs="Arial"/>
          <w:b/>
          <w:bCs/>
          <w:iCs/>
          <w:sz w:val="20"/>
          <w:szCs w:val="20"/>
        </w:rPr>
        <w:t>6</w:t>
      </w:r>
      <w:r w:rsidR="00271F07" w:rsidRPr="0076337A">
        <w:rPr>
          <w:rFonts w:ascii="Arial" w:hAnsi="Arial" w:cs="Arial"/>
          <w:b/>
          <w:bCs/>
          <w:iCs/>
          <w:sz w:val="20"/>
          <w:szCs w:val="20"/>
        </w:rPr>
        <w:t>.</w:t>
      </w:r>
      <w:r w:rsidRPr="0076337A">
        <w:rPr>
          <w:rFonts w:ascii="Arial" w:hAnsi="Arial" w:cs="Arial"/>
          <w:b/>
          <w:bCs/>
          <w:iCs/>
          <w:sz w:val="20"/>
          <w:szCs w:val="20"/>
        </w:rPr>
        <w:t xml:space="preserve"> </w:t>
      </w:r>
      <w:r w:rsidR="00305A3D" w:rsidRPr="00305A3D">
        <w:rPr>
          <w:rFonts w:ascii="Arial" w:hAnsi="Arial" w:cs="Arial"/>
          <w:b/>
          <w:bCs/>
          <w:iCs/>
          <w:sz w:val="20"/>
          <w:szCs w:val="20"/>
        </w:rPr>
        <w:t>Significant Influence of Operational Support and Innovative Work Behavior on Teacher Engagement Among Public Elementary School Teachers</w:t>
      </w:r>
    </w:p>
    <w:p w14:paraId="7568132A" w14:textId="77777777" w:rsidR="00914755" w:rsidRPr="0076337A" w:rsidRDefault="00914755" w:rsidP="00665D1C">
      <w:pPr>
        <w:rPr>
          <w:rFonts w:ascii="Arial" w:hAnsi="Arial" w:cs="Arial"/>
          <w:b/>
          <w:bCs/>
          <w:iCs/>
          <w:sz w:val="20"/>
          <w:szCs w:val="20"/>
        </w:rPr>
      </w:pPr>
    </w:p>
    <w:p w14:paraId="461FD1E7" w14:textId="58B1B73B" w:rsidR="00DE3EAB" w:rsidRPr="0076337A" w:rsidRDefault="00B364F1" w:rsidP="00D82866">
      <w:pPr>
        <w:jc w:val="both"/>
        <w:rPr>
          <w:rFonts w:ascii="Arial" w:eastAsia="Arial" w:hAnsi="Arial"/>
          <w:i/>
          <w:sz w:val="20"/>
          <w:szCs w:val="20"/>
        </w:rPr>
      </w:pPr>
      <w:r w:rsidRPr="0076337A">
        <w:rPr>
          <w:rFonts w:ascii="Arial" w:eastAsia="Arial" w:hAnsi="Arial"/>
          <w:b/>
          <w:sz w:val="20"/>
          <w:szCs w:val="20"/>
        </w:rPr>
        <w:t xml:space="preserve">Table </w:t>
      </w:r>
      <w:r w:rsidR="001C204D" w:rsidRPr="0076337A">
        <w:rPr>
          <w:rFonts w:ascii="Arial" w:eastAsia="Arial" w:hAnsi="Arial"/>
          <w:b/>
          <w:sz w:val="20"/>
          <w:szCs w:val="20"/>
        </w:rPr>
        <w:t>6.</w:t>
      </w:r>
      <w:r w:rsidRPr="0076337A">
        <w:rPr>
          <w:rFonts w:ascii="Arial" w:eastAsia="Arial" w:hAnsi="Arial"/>
          <w:b/>
          <w:sz w:val="20"/>
          <w:szCs w:val="20"/>
        </w:rPr>
        <w:t xml:space="preserve"> </w:t>
      </w:r>
      <w:r w:rsidR="00F21251" w:rsidRPr="00F21251">
        <w:rPr>
          <w:rFonts w:ascii="Arial" w:eastAsia="Arial" w:hAnsi="Arial"/>
          <w:i/>
          <w:sz w:val="20"/>
          <w:szCs w:val="20"/>
        </w:rPr>
        <w:t>Significant Influence of Operational Support and Innovative Work Behavior on Teacher Engagement Among Public Elementary School Teachers</w:t>
      </w:r>
    </w:p>
    <w:p w14:paraId="42F31227" w14:textId="708EB413" w:rsidR="00187916" w:rsidRPr="0076337A" w:rsidRDefault="00187916" w:rsidP="00B364F1">
      <w:pPr>
        <w:jc w:val="both"/>
        <w:rPr>
          <w:rFonts w:ascii="Arial" w:eastAsia="Arial" w:hAnsi="Arial"/>
          <w:i/>
          <w:sz w:val="20"/>
          <w:szCs w:val="20"/>
        </w:rPr>
      </w:pPr>
    </w:p>
    <w:tbl>
      <w:tblPr>
        <w:tblStyle w:val="TableGrid"/>
        <w:tblW w:w="83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640"/>
        <w:gridCol w:w="998"/>
        <w:gridCol w:w="1050"/>
        <w:gridCol w:w="1019"/>
        <w:gridCol w:w="1074"/>
        <w:gridCol w:w="1447"/>
      </w:tblGrid>
      <w:tr w:rsidR="00D815DA" w:rsidRPr="0076337A" w14:paraId="7A1D9757" w14:textId="77777777" w:rsidTr="00157F68">
        <w:trPr>
          <w:trHeight w:val="324"/>
        </w:trPr>
        <w:tc>
          <w:tcPr>
            <w:tcW w:w="2100" w:type="dxa"/>
            <w:tcBorders>
              <w:top w:val="single" w:sz="4" w:space="0" w:color="auto"/>
              <w:bottom w:val="single" w:sz="4" w:space="0" w:color="auto"/>
            </w:tcBorders>
          </w:tcPr>
          <w:p w14:paraId="3B92D8AC" w14:textId="77777777" w:rsidR="00D815DA" w:rsidRPr="0076337A" w:rsidRDefault="00D815DA" w:rsidP="00D815DA">
            <w:pPr>
              <w:widowControl w:val="0"/>
              <w:autoSpaceDE w:val="0"/>
              <w:autoSpaceDN w:val="0"/>
              <w:jc w:val="center"/>
              <w:rPr>
                <w:rFonts w:ascii="Arial" w:eastAsia="Arial" w:hAnsi="Arial"/>
                <w:b/>
                <w:bCs/>
                <w:sz w:val="20"/>
                <w:szCs w:val="20"/>
              </w:rPr>
            </w:pPr>
            <w:r w:rsidRPr="0076337A">
              <w:rPr>
                <w:rFonts w:ascii="Arial" w:eastAsia="Arial" w:hAnsi="Arial"/>
                <w:b/>
                <w:bCs/>
                <w:sz w:val="20"/>
                <w:szCs w:val="20"/>
              </w:rPr>
              <w:t>Domains</w:t>
            </w:r>
          </w:p>
        </w:tc>
        <w:tc>
          <w:tcPr>
            <w:tcW w:w="640" w:type="dxa"/>
            <w:tcBorders>
              <w:top w:val="single" w:sz="4" w:space="0" w:color="auto"/>
              <w:bottom w:val="single" w:sz="4" w:space="0" w:color="auto"/>
            </w:tcBorders>
          </w:tcPr>
          <w:p w14:paraId="0B8F17CD" w14:textId="77777777" w:rsidR="00D815DA" w:rsidRPr="0076337A" w:rsidRDefault="00D815DA" w:rsidP="00C8398D">
            <w:pPr>
              <w:widowControl w:val="0"/>
              <w:autoSpaceDE w:val="0"/>
              <w:autoSpaceDN w:val="0"/>
              <w:spacing w:line="480" w:lineRule="auto"/>
              <w:jc w:val="center"/>
              <w:rPr>
                <w:rFonts w:ascii="Arial" w:eastAsia="Arial" w:hAnsi="Arial"/>
                <w:b/>
                <w:bCs/>
                <w:sz w:val="20"/>
                <w:szCs w:val="20"/>
              </w:rPr>
            </w:pPr>
            <w:r w:rsidRPr="0076337A">
              <w:rPr>
                <w:rFonts w:ascii="Arial" w:eastAsia="Arial" w:hAnsi="Arial"/>
                <w:b/>
                <w:bCs/>
                <w:sz w:val="20"/>
                <w:szCs w:val="20"/>
              </w:rPr>
              <w:t>B</w:t>
            </w:r>
          </w:p>
        </w:tc>
        <w:tc>
          <w:tcPr>
            <w:tcW w:w="998" w:type="dxa"/>
            <w:tcBorders>
              <w:top w:val="single" w:sz="4" w:space="0" w:color="auto"/>
              <w:bottom w:val="single" w:sz="4" w:space="0" w:color="auto"/>
            </w:tcBorders>
          </w:tcPr>
          <w:p w14:paraId="0B90DABC" w14:textId="77777777" w:rsidR="00D815DA" w:rsidRPr="0076337A" w:rsidRDefault="00D815DA" w:rsidP="00C8398D">
            <w:pPr>
              <w:widowControl w:val="0"/>
              <w:autoSpaceDE w:val="0"/>
              <w:autoSpaceDN w:val="0"/>
              <w:spacing w:line="480" w:lineRule="auto"/>
              <w:jc w:val="center"/>
              <w:rPr>
                <w:rFonts w:ascii="Arial" w:eastAsia="Arial" w:hAnsi="Arial"/>
                <w:b/>
                <w:bCs/>
                <w:sz w:val="20"/>
                <w:szCs w:val="20"/>
              </w:rPr>
            </w:pPr>
            <w:r w:rsidRPr="0076337A">
              <w:rPr>
                <w:rFonts w:ascii="Arial" w:eastAsia="Arial" w:hAnsi="Arial"/>
                <w:b/>
                <w:bCs/>
                <w:sz w:val="20"/>
                <w:szCs w:val="20"/>
              </w:rPr>
              <w:t>BE</w:t>
            </w:r>
          </w:p>
        </w:tc>
        <w:tc>
          <w:tcPr>
            <w:tcW w:w="1050" w:type="dxa"/>
            <w:tcBorders>
              <w:top w:val="single" w:sz="4" w:space="0" w:color="auto"/>
              <w:bottom w:val="single" w:sz="4" w:space="0" w:color="auto"/>
            </w:tcBorders>
          </w:tcPr>
          <w:p w14:paraId="4F2407CE" w14:textId="77777777" w:rsidR="00D815DA" w:rsidRPr="0076337A" w:rsidRDefault="00D815DA" w:rsidP="00C8398D">
            <w:pPr>
              <w:widowControl w:val="0"/>
              <w:autoSpaceDE w:val="0"/>
              <w:autoSpaceDN w:val="0"/>
              <w:spacing w:line="480" w:lineRule="auto"/>
              <w:jc w:val="center"/>
              <w:rPr>
                <w:rFonts w:ascii="Arial" w:eastAsia="Arial" w:hAnsi="Arial"/>
                <w:b/>
                <w:bCs/>
                <w:sz w:val="20"/>
                <w:szCs w:val="20"/>
              </w:rPr>
            </w:pPr>
            <w:r w:rsidRPr="0076337A">
              <w:rPr>
                <w:rFonts w:ascii="Arial" w:eastAsia="Arial" w:hAnsi="Arial"/>
                <w:b/>
                <w:bCs/>
                <w:sz w:val="20"/>
                <w:szCs w:val="20"/>
              </w:rPr>
              <w:t>Beta</w:t>
            </w:r>
          </w:p>
        </w:tc>
        <w:tc>
          <w:tcPr>
            <w:tcW w:w="1019" w:type="dxa"/>
            <w:tcBorders>
              <w:top w:val="single" w:sz="4" w:space="0" w:color="auto"/>
              <w:bottom w:val="single" w:sz="4" w:space="0" w:color="auto"/>
            </w:tcBorders>
          </w:tcPr>
          <w:p w14:paraId="344C5BCE" w14:textId="77777777" w:rsidR="00D815DA" w:rsidRPr="0076337A" w:rsidRDefault="00D815DA" w:rsidP="00C8398D">
            <w:pPr>
              <w:widowControl w:val="0"/>
              <w:autoSpaceDE w:val="0"/>
              <w:autoSpaceDN w:val="0"/>
              <w:spacing w:line="480" w:lineRule="auto"/>
              <w:jc w:val="center"/>
              <w:rPr>
                <w:rFonts w:ascii="Arial" w:eastAsia="Arial" w:hAnsi="Arial"/>
                <w:b/>
                <w:bCs/>
                <w:sz w:val="20"/>
                <w:szCs w:val="20"/>
              </w:rPr>
            </w:pPr>
            <w:r w:rsidRPr="0076337A">
              <w:rPr>
                <w:rFonts w:ascii="Arial" w:eastAsia="Arial" w:hAnsi="Arial"/>
                <w:b/>
                <w:bCs/>
                <w:sz w:val="20"/>
                <w:szCs w:val="20"/>
              </w:rPr>
              <w:t>t-stat</w:t>
            </w:r>
          </w:p>
        </w:tc>
        <w:tc>
          <w:tcPr>
            <w:tcW w:w="1074" w:type="dxa"/>
            <w:tcBorders>
              <w:top w:val="single" w:sz="4" w:space="0" w:color="auto"/>
              <w:bottom w:val="single" w:sz="4" w:space="0" w:color="auto"/>
            </w:tcBorders>
          </w:tcPr>
          <w:p w14:paraId="706AABE0" w14:textId="77777777" w:rsidR="00D815DA" w:rsidRPr="0076337A" w:rsidRDefault="00D815DA" w:rsidP="00C8398D">
            <w:pPr>
              <w:widowControl w:val="0"/>
              <w:autoSpaceDE w:val="0"/>
              <w:autoSpaceDN w:val="0"/>
              <w:spacing w:line="480" w:lineRule="auto"/>
              <w:jc w:val="center"/>
              <w:rPr>
                <w:rFonts w:ascii="Arial" w:eastAsia="Arial" w:hAnsi="Arial"/>
                <w:b/>
                <w:bCs/>
                <w:sz w:val="20"/>
                <w:szCs w:val="20"/>
              </w:rPr>
            </w:pPr>
            <w:r w:rsidRPr="00F207D5">
              <w:rPr>
                <w:rFonts w:ascii="Arial" w:eastAsia="Arial" w:hAnsi="Arial"/>
                <w:b/>
                <w:bCs/>
                <w:i/>
                <w:sz w:val="20"/>
                <w:szCs w:val="20"/>
              </w:rPr>
              <w:t>p</w:t>
            </w:r>
            <w:r w:rsidRPr="0076337A">
              <w:rPr>
                <w:rFonts w:ascii="Arial" w:eastAsia="Arial" w:hAnsi="Arial"/>
                <w:b/>
                <w:bCs/>
                <w:sz w:val="20"/>
                <w:szCs w:val="20"/>
              </w:rPr>
              <w:t>-value</w:t>
            </w:r>
          </w:p>
        </w:tc>
        <w:tc>
          <w:tcPr>
            <w:tcW w:w="1447" w:type="dxa"/>
            <w:tcBorders>
              <w:top w:val="single" w:sz="4" w:space="0" w:color="auto"/>
              <w:bottom w:val="single" w:sz="4" w:space="0" w:color="auto"/>
            </w:tcBorders>
          </w:tcPr>
          <w:p w14:paraId="47509980" w14:textId="77777777" w:rsidR="00D815DA" w:rsidRPr="0076337A" w:rsidRDefault="00D815DA" w:rsidP="00C8398D">
            <w:pPr>
              <w:widowControl w:val="0"/>
              <w:autoSpaceDE w:val="0"/>
              <w:autoSpaceDN w:val="0"/>
              <w:spacing w:line="480" w:lineRule="auto"/>
              <w:jc w:val="center"/>
              <w:rPr>
                <w:rFonts w:ascii="Arial" w:eastAsia="Arial" w:hAnsi="Arial"/>
                <w:b/>
                <w:bCs/>
                <w:sz w:val="20"/>
                <w:szCs w:val="20"/>
              </w:rPr>
            </w:pPr>
            <w:r w:rsidRPr="0076337A">
              <w:rPr>
                <w:rFonts w:ascii="Arial" w:eastAsia="Arial" w:hAnsi="Arial"/>
                <w:b/>
                <w:bCs/>
                <w:sz w:val="20"/>
                <w:szCs w:val="20"/>
              </w:rPr>
              <w:t>Decision</w:t>
            </w:r>
          </w:p>
        </w:tc>
      </w:tr>
      <w:tr w:rsidR="00D34605" w:rsidRPr="0076337A" w14:paraId="4CCCD09F" w14:textId="77777777" w:rsidTr="00A55C5E">
        <w:trPr>
          <w:trHeight w:val="537"/>
        </w:trPr>
        <w:tc>
          <w:tcPr>
            <w:tcW w:w="2100" w:type="dxa"/>
            <w:tcBorders>
              <w:top w:val="single" w:sz="4" w:space="0" w:color="auto"/>
            </w:tcBorders>
            <w:vAlign w:val="center"/>
          </w:tcPr>
          <w:p w14:paraId="5C43EE9F" w14:textId="0BC5064D" w:rsidR="00D34605" w:rsidRPr="00D34605" w:rsidRDefault="00D34605" w:rsidP="00D34605">
            <w:pPr>
              <w:widowControl w:val="0"/>
              <w:autoSpaceDE w:val="0"/>
              <w:autoSpaceDN w:val="0"/>
              <w:jc w:val="center"/>
              <w:rPr>
                <w:rFonts w:ascii="Arial" w:eastAsia="Arial" w:hAnsi="Arial" w:cs="Arial"/>
                <w:sz w:val="20"/>
                <w:szCs w:val="20"/>
              </w:rPr>
            </w:pPr>
            <w:r w:rsidRPr="00172934">
              <w:rPr>
                <w:rFonts w:ascii="Arial" w:hAnsi="Arial" w:cs="Arial"/>
                <w:sz w:val="20"/>
                <w:szCs w:val="20"/>
              </w:rPr>
              <w:t>Constant</w:t>
            </w:r>
          </w:p>
        </w:tc>
        <w:tc>
          <w:tcPr>
            <w:tcW w:w="640" w:type="dxa"/>
            <w:tcBorders>
              <w:top w:val="single" w:sz="4" w:space="0" w:color="auto"/>
            </w:tcBorders>
            <w:vAlign w:val="center"/>
          </w:tcPr>
          <w:p w14:paraId="35263A15" w14:textId="36FD84C3" w:rsidR="00D34605" w:rsidRPr="00D34605" w:rsidRDefault="00D34605" w:rsidP="00D34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1.45</w:t>
            </w:r>
          </w:p>
        </w:tc>
        <w:tc>
          <w:tcPr>
            <w:tcW w:w="998" w:type="dxa"/>
            <w:tcBorders>
              <w:top w:val="single" w:sz="4" w:space="0" w:color="auto"/>
            </w:tcBorders>
            <w:vAlign w:val="center"/>
          </w:tcPr>
          <w:p w14:paraId="168EF5D2" w14:textId="0CAA46BB" w:rsidR="00D34605" w:rsidRPr="00D34605" w:rsidRDefault="00D34605" w:rsidP="00D34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0.62</w:t>
            </w:r>
          </w:p>
        </w:tc>
        <w:tc>
          <w:tcPr>
            <w:tcW w:w="1050" w:type="dxa"/>
            <w:tcBorders>
              <w:top w:val="single" w:sz="4" w:space="0" w:color="auto"/>
            </w:tcBorders>
            <w:vAlign w:val="center"/>
          </w:tcPr>
          <w:p w14:paraId="057949FE" w14:textId="77777777" w:rsidR="00D34605" w:rsidRPr="00D34605" w:rsidRDefault="00D34605" w:rsidP="00D34605">
            <w:pPr>
              <w:widowControl w:val="0"/>
              <w:autoSpaceDE w:val="0"/>
              <w:autoSpaceDN w:val="0"/>
              <w:spacing w:line="480" w:lineRule="auto"/>
              <w:jc w:val="center"/>
              <w:rPr>
                <w:rFonts w:ascii="Arial" w:eastAsia="Arial" w:hAnsi="Arial" w:cs="Arial"/>
                <w:sz w:val="20"/>
                <w:szCs w:val="20"/>
              </w:rPr>
            </w:pPr>
          </w:p>
        </w:tc>
        <w:tc>
          <w:tcPr>
            <w:tcW w:w="1019" w:type="dxa"/>
            <w:tcBorders>
              <w:top w:val="single" w:sz="4" w:space="0" w:color="auto"/>
            </w:tcBorders>
            <w:vAlign w:val="center"/>
          </w:tcPr>
          <w:p w14:paraId="19183A71" w14:textId="651BC00F" w:rsidR="00D34605" w:rsidRPr="00D34605" w:rsidRDefault="00D34605" w:rsidP="00D34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2.34</w:t>
            </w:r>
          </w:p>
        </w:tc>
        <w:tc>
          <w:tcPr>
            <w:tcW w:w="1074" w:type="dxa"/>
            <w:tcBorders>
              <w:top w:val="single" w:sz="4" w:space="0" w:color="auto"/>
            </w:tcBorders>
            <w:vAlign w:val="center"/>
          </w:tcPr>
          <w:p w14:paraId="5186B81F" w14:textId="4CD97D4C" w:rsidR="00D34605" w:rsidRPr="00D34605" w:rsidRDefault="00D34605" w:rsidP="00D34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0.021</w:t>
            </w:r>
          </w:p>
        </w:tc>
        <w:tc>
          <w:tcPr>
            <w:tcW w:w="1447" w:type="dxa"/>
            <w:tcBorders>
              <w:top w:val="single" w:sz="4" w:space="0" w:color="auto"/>
            </w:tcBorders>
            <w:vAlign w:val="center"/>
          </w:tcPr>
          <w:p w14:paraId="38526A82" w14:textId="35B8EA74" w:rsidR="00D34605" w:rsidRPr="00D34605" w:rsidRDefault="00D34605" w:rsidP="00D34605">
            <w:pPr>
              <w:widowControl w:val="0"/>
              <w:autoSpaceDE w:val="0"/>
              <w:autoSpaceDN w:val="0"/>
              <w:spacing w:line="480" w:lineRule="auto"/>
              <w:jc w:val="center"/>
              <w:rPr>
                <w:rFonts w:ascii="Arial" w:eastAsia="Arial" w:hAnsi="Arial" w:cs="Arial"/>
                <w:sz w:val="20"/>
                <w:szCs w:val="20"/>
              </w:rPr>
            </w:pPr>
            <w:r w:rsidRPr="00172934">
              <w:rPr>
                <w:rFonts w:ascii="Arial" w:hAnsi="Arial" w:cs="Arial"/>
                <w:sz w:val="20"/>
                <w:szCs w:val="20"/>
              </w:rPr>
              <w:t>Significant</w:t>
            </w:r>
          </w:p>
        </w:tc>
      </w:tr>
      <w:tr w:rsidR="00D34605" w:rsidRPr="0076337A" w14:paraId="35082B81" w14:textId="77777777" w:rsidTr="00A55C5E">
        <w:trPr>
          <w:trHeight w:val="522"/>
        </w:trPr>
        <w:tc>
          <w:tcPr>
            <w:tcW w:w="2100" w:type="dxa"/>
            <w:vAlign w:val="center"/>
          </w:tcPr>
          <w:p w14:paraId="686C43F8" w14:textId="37B6FC53" w:rsidR="00D34605" w:rsidRPr="00D34605" w:rsidRDefault="00D34605" w:rsidP="00D34605">
            <w:pPr>
              <w:widowControl w:val="0"/>
              <w:autoSpaceDE w:val="0"/>
              <w:autoSpaceDN w:val="0"/>
              <w:spacing w:after="240"/>
              <w:jc w:val="center"/>
              <w:rPr>
                <w:rFonts w:ascii="Arial" w:eastAsia="Arial" w:hAnsi="Arial" w:cs="Arial"/>
                <w:sz w:val="20"/>
                <w:szCs w:val="20"/>
              </w:rPr>
            </w:pPr>
            <w:r w:rsidRPr="00172934">
              <w:rPr>
                <w:rFonts w:ascii="Arial" w:hAnsi="Arial" w:cs="Arial"/>
                <w:sz w:val="20"/>
                <w:szCs w:val="20"/>
              </w:rPr>
              <w:t>Operational Support</w:t>
            </w:r>
          </w:p>
        </w:tc>
        <w:tc>
          <w:tcPr>
            <w:tcW w:w="640" w:type="dxa"/>
            <w:vAlign w:val="center"/>
          </w:tcPr>
          <w:p w14:paraId="1C7863A0" w14:textId="108E3053"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0.43</w:t>
            </w:r>
          </w:p>
        </w:tc>
        <w:tc>
          <w:tcPr>
            <w:tcW w:w="998" w:type="dxa"/>
            <w:vAlign w:val="center"/>
          </w:tcPr>
          <w:p w14:paraId="5192C57E" w14:textId="7A890DC2"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0.41</w:t>
            </w:r>
          </w:p>
        </w:tc>
        <w:tc>
          <w:tcPr>
            <w:tcW w:w="1050" w:type="dxa"/>
            <w:vAlign w:val="center"/>
          </w:tcPr>
          <w:p w14:paraId="06AF60D9" w14:textId="5055381D"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0.39</w:t>
            </w:r>
          </w:p>
        </w:tc>
        <w:tc>
          <w:tcPr>
            <w:tcW w:w="1019" w:type="dxa"/>
            <w:vAlign w:val="center"/>
          </w:tcPr>
          <w:p w14:paraId="112311CB" w14:textId="44438852"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5.22</w:t>
            </w:r>
          </w:p>
        </w:tc>
        <w:tc>
          <w:tcPr>
            <w:tcW w:w="1074" w:type="dxa"/>
            <w:vAlign w:val="center"/>
          </w:tcPr>
          <w:p w14:paraId="096E4BA0" w14:textId="1BE365C8"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0.000</w:t>
            </w:r>
          </w:p>
        </w:tc>
        <w:tc>
          <w:tcPr>
            <w:tcW w:w="1447" w:type="dxa"/>
            <w:vAlign w:val="center"/>
          </w:tcPr>
          <w:p w14:paraId="6757F969" w14:textId="74494F96"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Significant</w:t>
            </w:r>
          </w:p>
        </w:tc>
      </w:tr>
      <w:tr w:rsidR="00D34605" w:rsidRPr="0076337A" w14:paraId="41B98FE8" w14:textId="77777777" w:rsidTr="00A55C5E">
        <w:trPr>
          <w:trHeight w:val="568"/>
        </w:trPr>
        <w:tc>
          <w:tcPr>
            <w:tcW w:w="2100" w:type="dxa"/>
            <w:vAlign w:val="center"/>
          </w:tcPr>
          <w:p w14:paraId="1579BF18" w14:textId="167974E6" w:rsidR="00D34605" w:rsidRPr="00D34605" w:rsidRDefault="00D34605" w:rsidP="00D34605">
            <w:pPr>
              <w:widowControl w:val="0"/>
              <w:autoSpaceDE w:val="0"/>
              <w:autoSpaceDN w:val="0"/>
              <w:spacing w:after="240"/>
              <w:jc w:val="center"/>
              <w:rPr>
                <w:rFonts w:ascii="Arial" w:eastAsia="Arial" w:hAnsi="Arial" w:cs="Arial"/>
                <w:sz w:val="20"/>
                <w:szCs w:val="20"/>
              </w:rPr>
            </w:pPr>
            <w:r w:rsidRPr="00172934">
              <w:rPr>
                <w:rFonts w:ascii="Arial" w:hAnsi="Arial" w:cs="Arial"/>
                <w:sz w:val="20"/>
                <w:szCs w:val="20"/>
              </w:rPr>
              <w:t>Innovative Work Behavior</w:t>
            </w:r>
          </w:p>
        </w:tc>
        <w:tc>
          <w:tcPr>
            <w:tcW w:w="640" w:type="dxa"/>
            <w:vAlign w:val="center"/>
          </w:tcPr>
          <w:p w14:paraId="7AA4BD47" w14:textId="5B612BBC"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0.58</w:t>
            </w:r>
          </w:p>
        </w:tc>
        <w:tc>
          <w:tcPr>
            <w:tcW w:w="998" w:type="dxa"/>
            <w:vAlign w:val="center"/>
          </w:tcPr>
          <w:p w14:paraId="1CFE4A86" w14:textId="24313B7F"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0.44</w:t>
            </w:r>
          </w:p>
        </w:tc>
        <w:tc>
          <w:tcPr>
            <w:tcW w:w="1050" w:type="dxa"/>
            <w:vAlign w:val="center"/>
          </w:tcPr>
          <w:p w14:paraId="627DC8B9" w14:textId="769798B1"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0.48</w:t>
            </w:r>
          </w:p>
        </w:tc>
        <w:tc>
          <w:tcPr>
            <w:tcW w:w="1019" w:type="dxa"/>
            <w:vAlign w:val="center"/>
          </w:tcPr>
          <w:p w14:paraId="0E8A5D71" w14:textId="451A1DFE"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6.09</w:t>
            </w:r>
          </w:p>
        </w:tc>
        <w:tc>
          <w:tcPr>
            <w:tcW w:w="1074" w:type="dxa"/>
            <w:vAlign w:val="center"/>
          </w:tcPr>
          <w:p w14:paraId="6D2F71AB" w14:textId="3A0770BF"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0.000</w:t>
            </w:r>
          </w:p>
        </w:tc>
        <w:tc>
          <w:tcPr>
            <w:tcW w:w="1447" w:type="dxa"/>
            <w:vAlign w:val="center"/>
          </w:tcPr>
          <w:p w14:paraId="5028A11C" w14:textId="3EC8C610" w:rsidR="00D34605" w:rsidRPr="00D34605" w:rsidRDefault="00D34605" w:rsidP="00D34605">
            <w:pPr>
              <w:widowControl w:val="0"/>
              <w:autoSpaceDE w:val="0"/>
              <w:autoSpaceDN w:val="0"/>
              <w:spacing w:after="240" w:line="480" w:lineRule="auto"/>
              <w:jc w:val="center"/>
              <w:rPr>
                <w:rFonts w:ascii="Arial" w:eastAsia="Arial" w:hAnsi="Arial" w:cs="Arial"/>
                <w:sz w:val="20"/>
                <w:szCs w:val="20"/>
              </w:rPr>
            </w:pPr>
            <w:r w:rsidRPr="00172934">
              <w:rPr>
                <w:rFonts w:ascii="Arial" w:hAnsi="Arial" w:cs="Arial"/>
                <w:sz w:val="20"/>
                <w:szCs w:val="20"/>
              </w:rPr>
              <w:t>Significant</w:t>
            </w:r>
          </w:p>
        </w:tc>
      </w:tr>
      <w:tr w:rsidR="00D815DA" w:rsidRPr="0076337A" w14:paraId="0606F920" w14:textId="77777777" w:rsidTr="00D815DA">
        <w:trPr>
          <w:trHeight w:val="522"/>
        </w:trPr>
        <w:tc>
          <w:tcPr>
            <w:tcW w:w="8328" w:type="dxa"/>
            <w:gridSpan w:val="7"/>
          </w:tcPr>
          <w:p w14:paraId="349CFF9D" w14:textId="77777777" w:rsidR="00D815DA" w:rsidRPr="0076337A" w:rsidRDefault="00D815DA" w:rsidP="00D815DA">
            <w:pPr>
              <w:widowControl w:val="0"/>
              <w:autoSpaceDE w:val="0"/>
              <w:autoSpaceDN w:val="0"/>
              <w:jc w:val="both"/>
              <w:rPr>
                <w:rFonts w:ascii="Arial" w:eastAsia="Arial" w:hAnsi="Arial"/>
                <w:b/>
                <w:bCs/>
                <w:sz w:val="20"/>
                <w:szCs w:val="20"/>
                <w:u w:val="single"/>
              </w:rPr>
            </w:pPr>
            <w:r w:rsidRPr="0076337A">
              <w:rPr>
                <w:rFonts w:ascii="Arial" w:eastAsia="Arial" w:hAnsi="Arial"/>
                <w:b/>
                <w:bCs/>
                <w:sz w:val="20"/>
                <w:szCs w:val="20"/>
                <w:u w:val="single"/>
              </w:rPr>
              <w:t>Regression Model</w:t>
            </w:r>
          </w:p>
        </w:tc>
      </w:tr>
      <w:tr w:rsidR="00D815DA" w:rsidRPr="0076337A" w14:paraId="32DA9C71" w14:textId="77777777" w:rsidTr="00D815DA">
        <w:trPr>
          <w:trHeight w:val="522"/>
        </w:trPr>
        <w:tc>
          <w:tcPr>
            <w:tcW w:w="8328" w:type="dxa"/>
            <w:gridSpan w:val="7"/>
          </w:tcPr>
          <w:p w14:paraId="548FFC9B" w14:textId="0370C600" w:rsidR="00D815DA" w:rsidRPr="0076337A" w:rsidRDefault="003369E2" w:rsidP="00D815DA">
            <w:pPr>
              <w:widowControl w:val="0"/>
              <w:autoSpaceDE w:val="0"/>
              <w:autoSpaceDN w:val="0"/>
              <w:jc w:val="both"/>
              <w:rPr>
                <w:rFonts w:ascii="Arial" w:eastAsia="Arial" w:hAnsi="Arial"/>
                <w:sz w:val="20"/>
                <w:szCs w:val="20"/>
              </w:rPr>
            </w:pPr>
            <w:r w:rsidRPr="003369E2">
              <w:rPr>
                <w:rFonts w:ascii="Arial" w:eastAsia="Arial" w:hAnsi="Arial"/>
                <w:sz w:val="20"/>
                <w:szCs w:val="20"/>
              </w:rPr>
              <w:lastRenderedPageBreak/>
              <w:t>Teacher Engagement = 1.45 + 0.43 (Operational Support) + 0.58 (Innovative Work Behavior)</w:t>
            </w:r>
          </w:p>
        </w:tc>
      </w:tr>
      <w:tr w:rsidR="00D815DA" w:rsidRPr="0076337A" w14:paraId="13736F31" w14:textId="77777777" w:rsidTr="00D815DA">
        <w:trPr>
          <w:trHeight w:val="80"/>
        </w:trPr>
        <w:tc>
          <w:tcPr>
            <w:tcW w:w="8328" w:type="dxa"/>
            <w:gridSpan w:val="7"/>
          </w:tcPr>
          <w:p w14:paraId="07B059D8" w14:textId="406E977E" w:rsidR="00D815DA" w:rsidRPr="0076337A" w:rsidRDefault="00F207D5" w:rsidP="00560CCA">
            <w:pPr>
              <w:rPr>
                <w:rFonts w:ascii="Arial" w:eastAsia="Arial" w:hAnsi="Arial"/>
                <w:sz w:val="20"/>
                <w:szCs w:val="20"/>
              </w:rPr>
            </w:pPr>
            <w:r w:rsidRPr="00F207D5">
              <w:rPr>
                <w:rFonts w:ascii="Arial" w:eastAsia="Arial" w:hAnsi="Arial"/>
                <w:i/>
                <w:sz w:val="20"/>
                <w:szCs w:val="20"/>
              </w:rPr>
              <w:t>r</w:t>
            </w:r>
            <w:r>
              <w:rPr>
                <w:rFonts w:ascii="Arial" w:eastAsia="Arial" w:hAnsi="Arial"/>
                <w:sz w:val="20"/>
                <w:szCs w:val="20"/>
              </w:rPr>
              <w:t xml:space="preserve">= 0.75; </w:t>
            </w:r>
            <w:r w:rsidRPr="00F207D5">
              <w:rPr>
                <w:rFonts w:ascii="Arial" w:eastAsia="Arial" w:hAnsi="Arial"/>
                <w:i/>
                <w:sz w:val="20"/>
                <w:szCs w:val="20"/>
              </w:rPr>
              <w:t>r</w:t>
            </w:r>
            <w:r w:rsidR="00333C32">
              <w:rPr>
                <w:rFonts w:ascii="Arial" w:eastAsia="Arial" w:hAnsi="Arial"/>
                <w:sz w:val="20"/>
                <w:szCs w:val="20"/>
              </w:rPr>
              <w:t xml:space="preserve">² = 0.56; </w:t>
            </w:r>
            <w:r w:rsidR="00333C32" w:rsidRPr="00333C32">
              <w:rPr>
                <w:rFonts w:ascii="Arial" w:eastAsia="Arial" w:hAnsi="Arial"/>
                <w:i/>
                <w:sz w:val="20"/>
                <w:szCs w:val="20"/>
              </w:rPr>
              <w:t>f</w:t>
            </w:r>
            <w:r w:rsidR="00EF444E" w:rsidRPr="00EF444E">
              <w:rPr>
                <w:rFonts w:ascii="Arial" w:eastAsia="Arial" w:hAnsi="Arial"/>
                <w:sz w:val="20"/>
                <w:szCs w:val="20"/>
              </w:rPr>
              <w:t xml:space="preserve">= 91.72; </w:t>
            </w:r>
            <w:r w:rsidR="00EF444E" w:rsidRPr="00F207D5">
              <w:rPr>
                <w:rFonts w:ascii="Arial" w:eastAsia="Arial" w:hAnsi="Arial"/>
                <w:i/>
                <w:sz w:val="20"/>
                <w:szCs w:val="20"/>
              </w:rPr>
              <w:t>p</w:t>
            </w:r>
            <w:r w:rsidR="00EF444E" w:rsidRPr="00EF444E">
              <w:rPr>
                <w:rFonts w:ascii="Arial" w:eastAsia="Arial" w:hAnsi="Arial"/>
                <w:sz w:val="20"/>
                <w:szCs w:val="20"/>
              </w:rPr>
              <w:t>-value = 0.000</w:t>
            </w:r>
          </w:p>
        </w:tc>
      </w:tr>
    </w:tbl>
    <w:p w14:paraId="5CB07BF5" w14:textId="7437914E" w:rsidR="00D82866" w:rsidRPr="0076337A" w:rsidRDefault="00D82866" w:rsidP="00D82866">
      <w:pPr>
        <w:jc w:val="both"/>
        <w:rPr>
          <w:rFonts w:ascii="Arial" w:hAnsi="Arial" w:cs="Arial"/>
          <w:sz w:val="20"/>
          <w:szCs w:val="20"/>
        </w:rPr>
      </w:pPr>
    </w:p>
    <w:p w14:paraId="6FDD1CAA" w14:textId="77777777" w:rsidR="00717F2E" w:rsidRPr="0076337A" w:rsidRDefault="00717F2E">
      <w:pPr>
        <w:jc w:val="both"/>
        <w:rPr>
          <w:rFonts w:ascii="Arial" w:hAnsi="Arial" w:cs="Arial"/>
          <w:sz w:val="20"/>
          <w:szCs w:val="20"/>
        </w:rPr>
      </w:pPr>
    </w:p>
    <w:p w14:paraId="094A4C98" w14:textId="763311B7" w:rsidR="00AB7BC8" w:rsidRPr="00AB7BC8" w:rsidRDefault="00AB7BC8" w:rsidP="00AB7BC8">
      <w:pPr>
        <w:pStyle w:val="Body"/>
        <w:rPr>
          <w:rFonts w:ascii="Arial" w:hAnsi="Arial" w:cs="Arial"/>
        </w:rPr>
      </w:pPr>
      <w:r w:rsidRPr="00AB7BC8">
        <w:rPr>
          <w:rFonts w:ascii="Arial" w:hAnsi="Arial" w:cs="Arial"/>
        </w:rPr>
        <w:t>Presented in Table 6 is the regression analysis examining how operational support and innovative work behavior significantly influence teacher engagement among public elementary school teachers. The regression equation that predicts teacher engagement based on the two independent variables is expressed as:</w:t>
      </w:r>
      <w:r w:rsidR="007719CC">
        <w:rPr>
          <w:rFonts w:ascii="Arial" w:hAnsi="Arial" w:cs="Arial"/>
        </w:rPr>
        <w:t xml:space="preserve"> </w:t>
      </w:r>
      <w:r w:rsidRPr="00AB7BC8">
        <w:rPr>
          <w:rFonts w:ascii="Arial" w:hAnsi="Arial" w:cs="Arial"/>
        </w:rPr>
        <w:t>Teacher Engagement = 1.45 + 0.43 (Operational Support) + 0.58 (Innovative Work Behavior).</w:t>
      </w:r>
      <w:r w:rsidR="007719CC">
        <w:rPr>
          <w:rFonts w:ascii="Arial" w:hAnsi="Arial" w:cs="Arial"/>
        </w:rPr>
        <w:t xml:space="preserve"> </w:t>
      </w:r>
      <w:r w:rsidRPr="00AB7BC8">
        <w:rPr>
          <w:rFonts w:ascii="Arial" w:hAnsi="Arial" w:cs="Arial"/>
        </w:rPr>
        <w:t>The model accounts for 56% of the total variance in teacher e</w:t>
      </w:r>
      <w:r w:rsidR="00333C32">
        <w:rPr>
          <w:rFonts w:ascii="Arial" w:hAnsi="Arial" w:cs="Arial"/>
        </w:rPr>
        <w:t xml:space="preserve">ngagement, as indicated by the </w:t>
      </w:r>
      <w:r w:rsidR="00333C32" w:rsidRPr="00333C32">
        <w:rPr>
          <w:rFonts w:ascii="Arial" w:hAnsi="Arial" w:cs="Arial"/>
          <w:i/>
        </w:rPr>
        <w:t>r</w:t>
      </w:r>
      <w:r w:rsidRPr="00AB7BC8">
        <w:rPr>
          <w:rFonts w:ascii="Arial" w:hAnsi="Arial" w:cs="Arial"/>
        </w:rPr>
        <w:t>² value of 0.56. The overall regression model is stat</w:t>
      </w:r>
      <w:r w:rsidR="00333C32">
        <w:rPr>
          <w:rFonts w:ascii="Arial" w:hAnsi="Arial" w:cs="Arial"/>
        </w:rPr>
        <w:t xml:space="preserve">istically significant, with an </w:t>
      </w:r>
      <w:r w:rsidR="00333C32" w:rsidRPr="00333C32">
        <w:rPr>
          <w:rFonts w:ascii="Arial" w:hAnsi="Arial" w:cs="Arial"/>
          <w:i/>
        </w:rPr>
        <w:t>f</w:t>
      </w:r>
      <w:r w:rsidRPr="00AB7BC8">
        <w:rPr>
          <w:rFonts w:ascii="Arial" w:hAnsi="Arial" w:cs="Arial"/>
        </w:rPr>
        <w:t>-value of 91.72 and a p-value of 0.000, confirming the meaningful and strong predictive contribution of both operational support and innovative work behavior to teacher engagement.</w:t>
      </w:r>
    </w:p>
    <w:p w14:paraId="165EA7E8" w14:textId="7D0244BE" w:rsidR="00AB7BC8" w:rsidRPr="00AB7BC8" w:rsidRDefault="00AB7BC8" w:rsidP="00AB7BC8">
      <w:pPr>
        <w:pStyle w:val="Body"/>
        <w:rPr>
          <w:rFonts w:ascii="Arial" w:hAnsi="Arial" w:cs="Arial"/>
        </w:rPr>
      </w:pPr>
      <w:r w:rsidRPr="00AB7BC8">
        <w:rPr>
          <w:rFonts w:ascii="Arial" w:hAnsi="Arial" w:cs="Arial"/>
        </w:rPr>
        <w:t>These findings underscore that both operational support and innovative work behavior are crucial in enhancing the engagement levels of teachers. When teachers experience an encouraging and supportive work environment that values creativity, respects individual differences, and reinforces personal commitment, they are more likely to be emotionally and cognitively invested in their work. Similarly, when teachers are actively involved in generating, exploring, and promoting new ideas, they become more enthusiastic, resilient, and connected to their professional roles.</w:t>
      </w:r>
    </w:p>
    <w:p w14:paraId="20DD07F3" w14:textId="2E7736DA" w:rsidR="00D815DA" w:rsidRPr="0076337A" w:rsidRDefault="00AB7BC8" w:rsidP="00AB7BC8">
      <w:pPr>
        <w:pStyle w:val="Body"/>
        <w:rPr>
          <w:rFonts w:ascii="Arial" w:hAnsi="Arial" w:cs="Arial"/>
        </w:rPr>
      </w:pPr>
      <w:r w:rsidRPr="00AB7BC8">
        <w:rPr>
          <w:rFonts w:ascii="Arial" w:hAnsi="Arial" w:cs="Arial"/>
        </w:rPr>
        <w:t xml:space="preserve">This result affirms the findings of </w:t>
      </w:r>
      <w:proofErr w:type="spellStart"/>
      <w:r w:rsidR="00A631E5" w:rsidRPr="00A631E5">
        <w:rPr>
          <w:rFonts w:ascii="Arial" w:hAnsi="Arial" w:cs="Arial"/>
        </w:rPr>
        <w:t>Musenze</w:t>
      </w:r>
      <w:proofErr w:type="spellEnd"/>
      <w:r w:rsidR="00A631E5" w:rsidRPr="00A631E5">
        <w:rPr>
          <w:rFonts w:ascii="Arial" w:hAnsi="Arial" w:cs="Arial"/>
        </w:rPr>
        <w:t xml:space="preserve"> </w:t>
      </w:r>
      <w:r w:rsidR="00A631E5">
        <w:rPr>
          <w:rFonts w:ascii="Arial" w:hAnsi="Arial" w:cs="Arial"/>
        </w:rPr>
        <w:t xml:space="preserve">et al. </w:t>
      </w:r>
      <w:r w:rsidRPr="00AB7BC8">
        <w:rPr>
          <w:rFonts w:ascii="Arial" w:hAnsi="Arial" w:cs="Arial"/>
        </w:rPr>
        <w:t>(</w:t>
      </w:r>
      <w:r w:rsidR="00A631E5">
        <w:rPr>
          <w:rFonts w:ascii="Arial" w:hAnsi="Arial" w:cs="Arial"/>
        </w:rPr>
        <w:t>2022</w:t>
      </w:r>
      <w:r w:rsidRPr="00AB7BC8">
        <w:rPr>
          <w:rFonts w:ascii="Arial" w:hAnsi="Arial" w:cs="Arial"/>
        </w:rPr>
        <w:t xml:space="preserve">), who highlighted that organizational support significantly affects work engagement by meeting teachers' psychological needs. Moreover, </w:t>
      </w:r>
      <w:proofErr w:type="spellStart"/>
      <w:r w:rsidR="00A631E5" w:rsidRPr="00A631E5">
        <w:rPr>
          <w:rFonts w:ascii="Arial" w:hAnsi="Arial" w:cs="Arial"/>
        </w:rPr>
        <w:t>Şanliöz</w:t>
      </w:r>
      <w:proofErr w:type="spellEnd"/>
      <w:r w:rsidR="00A631E5" w:rsidRPr="00A631E5">
        <w:rPr>
          <w:rFonts w:ascii="Arial" w:hAnsi="Arial" w:cs="Arial"/>
        </w:rPr>
        <w:t xml:space="preserve"> </w:t>
      </w:r>
      <w:r w:rsidR="00A631E5">
        <w:rPr>
          <w:rFonts w:ascii="Arial" w:hAnsi="Arial" w:cs="Arial"/>
        </w:rPr>
        <w:t xml:space="preserve">et al. </w:t>
      </w:r>
      <w:r w:rsidRPr="00AB7BC8">
        <w:rPr>
          <w:rFonts w:ascii="Arial" w:hAnsi="Arial" w:cs="Arial"/>
        </w:rPr>
        <w:t>(</w:t>
      </w:r>
      <w:r w:rsidR="00A631E5">
        <w:rPr>
          <w:rFonts w:ascii="Arial" w:hAnsi="Arial" w:cs="Arial"/>
        </w:rPr>
        <w:t>2023</w:t>
      </w:r>
      <w:r w:rsidRPr="00AB7BC8">
        <w:rPr>
          <w:rFonts w:ascii="Arial" w:hAnsi="Arial" w:cs="Arial"/>
        </w:rPr>
        <w:t xml:space="preserve">) found that innovative behavior enhances a sense of autonomy and professional relevance, leading to sustained motivation. In addition, the study of </w:t>
      </w:r>
      <w:r w:rsidR="00A631E5" w:rsidRPr="00A631E5">
        <w:rPr>
          <w:rFonts w:ascii="Arial" w:hAnsi="Arial" w:cs="Arial"/>
        </w:rPr>
        <w:t xml:space="preserve">Tomaszewski </w:t>
      </w:r>
      <w:r w:rsidRPr="00AB7BC8">
        <w:rPr>
          <w:rFonts w:ascii="Arial" w:hAnsi="Arial" w:cs="Arial"/>
        </w:rPr>
        <w:t>et al. (2022) confirmed that engaged teachers contribute to school effectiveness when supported and encouraged to innovate. Therefore, fostering both supportive systems and innovative culture is essential for sustaining high levels of teacher engagement in the public school system.</w:t>
      </w:r>
    </w:p>
    <w:p w14:paraId="08FEB9C6" w14:textId="089D9801" w:rsidR="002039CD" w:rsidRPr="0076337A" w:rsidRDefault="00180859" w:rsidP="00850E61">
      <w:pPr>
        <w:pStyle w:val="Body"/>
        <w:rPr>
          <w:rFonts w:ascii="Arial" w:hAnsi="Arial" w:cs="Arial"/>
          <w:b/>
          <w:bCs/>
        </w:rPr>
      </w:pPr>
      <w:r w:rsidRPr="0076337A">
        <w:rPr>
          <w:rFonts w:ascii="Arial" w:hAnsi="Arial" w:cs="Arial"/>
          <w:b/>
          <w:bCs/>
        </w:rPr>
        <w:t xml:space="preserve">5. </w:t>
      </w:r>
      <w:r w:rsidR="00B364F1" w:rsidRPr="0076337A">
        <w:rPr>
          <w:rFonts w:ascii="Arial" w:hAnsi="Arial" w:cs="Arial"/>
          <w:b/>
          <w:bCs/>
        </w:rPr>
        <w:t>CONCLUSIONS</w:t>
      </w:r>
    </w:p>
    <w:p w14:paraId="1F8EF9DC" w14:textId="2AF91362" w:rsidR="009676BB" w:rsidRPr="0076337A" w:rsidRDefault="009676BB" w:rsidP="009676BB">
      <w:pPr>
        <w:pStyle w:val="ReferHead"/>
        <w:jc w:val="both"/>
        <w:rPr>
          <w:rFonts w:ascii="Arial" w:hAnsi="Arial" w:cs="Arial"/>
          <w:b w:val="0"/>
          <w:caps w:val="0"/>
          <w:sz w:val="20"/>
        </w:rPr>
      </w:pPr>
      <w:r w:rsidRPr="0076337A">
        <w:rPr>
          <w:rFonts w:ascii="Arial" w:hAnsi="Arial" w:cs="Arial"/>
          <w:b w:val="0"/>
          <w:caps w:val="0"/>
          <w:sz w:val="20"/>
        </w:rPr>
        <w:t>Based on the findings of the study, the following conclusions were formulated:</w:t>
      </w:r>
    </w:p>
    <w:p w14:paraId="12E1CFBB" w14:textId="40B46A3F" w:rsidR="00F261ED" w:rsidRPr="00F261ED" w:rsidRDefault="00F261ED" w:rsidP="00F261ED">
      <w:pPr>
        <w:pStyle w:val="ReferHead"/>
        <w:jc w:val="both"/>
        <w:rPr>
          <w:rFonts w:ascii="Arial" w:hAnsi="Arial" w:cs="Arial"/>
          <w:b w:val="0"/>
          <w:caps w:val="0"/>
          <w:sz w:val="20"/>
        </w:rPr>
      </w:pPr>
      <w:r w:rsidRPr="00F261ED">
        <w:rPr>
          <w:rFonts w:ascii="Arial" w:hAnsi="Arial" w:cs="Arial"/>
          <w:b w:val="0"/>
          <w:caps w:val="0"/>
          <w:sz w:val="20"/>
        </w:rPr>
        <w:t>Firstly, the extent of operational support among public elementary school teachers is generally high, indicating that teachers perceive their work environment as supportive of creativity, respectful of individual differences, and encouraging of personal commitment. This suggests that schools are providing conditions that foster autonomy, inclusivity, and intrinsic motivation among their faculty. When teachers receive strong operational support, they are more likely to feel valued and empowered, which contributes to their enthusiasm, resilience, and overall engagement in their profession.</w:t>
      </w:r>
    </w:p>
    <w:p w14:paraId="017047CF" w14:textId="796B89AC" w:rsidR="00F261ED" w:rsidRPr="00F261ED" w:rsidRDefault="00F261ED" w:rsidP="00F261ED">
      <w:pPr>
        <w:pStyle w:val="ReferHead"/>
        <w:jc w:val="both"/>
        <w:rPr>
          <w:rFonts w:ascii="Arial" w:hAnsi="Arial" w:cs="Arial"/>
          <w:b w:val="0"/>
          <w:caps w:val="0"/>
          <w:sz w:val="20"/>
        </w:rPr>
      </w:pPr>
      <w:r w:rsidRPr="00F261ED">
        <w:rPr>
          <w:rFonts w:ascii="Arial" w:hAnsi="Arial" w:cs="Arial"/>
          <w:b w:val="0"/>
          <w:caps w:val="0"/>
          <w:sz w:val="20"/>
        </w:rPr>
        <w:t xml:space="preserve">Secondly, the level of innovative work behavior among public elementary school teachers is also observed to be high. Teachers actively engage in generating new ideas, exploring possibilities, and championing innovations within their classrooms and school communities. Such behaviors reflect a proactive stance toward problem-solving and instructional improvement. When teachers are encouraged to innovate, they tend to demonstrate higher </w:t>
      </w:r>
      <w:r w:rsidRPr="00F261ED">
        <w:rPr>
          <w:rFonts w:ascii="Arial" w:hAnsi="Arial" w:cs="Arial"/>
          <w:b w:val="0"/>
          <w:caps w:val="0"/>
          <w:sz w:val="20"/>
        </w:rPr>
        <w:lastRenderedPageBreak/>
        <w:t>motivation and a deeper connection to their roles, which reinforces their effectiveness and dedication to student learning.</w:t>
      </w:r>
    </w:p>
    <w:p w14:paraId="746A26D9" w14:textId="5516ADB7" w:rsidR="00F261ED" w:rsidRPr="00F261ED" w:rsidRDefault="00F261ED" w:rsidP="00F261ED">
      <w:pPr>
        <w:pStyle w:val="ReferHead"/>
        <w:jc w:val="both"/>
        <w:rPr>
          <w:rFonts w:ascii="Arial" w:hAnsi="Arial" w:cs="Arial"/>
          <w:b w:val="0"/>
          <w:caps w:val="0"/>
          <w:sz w:val="20"/>
        </w:rPr>
      </w:pPr>
      <w:r w:rsidRPr="00F261ED">
        <w:rPr>
          <w:rFonts w:ascii="Arial" w:hAnsi="Arial" w:cs="Arial"/>
          <w:b w:val="0"/>
          <w:caps w:val="0"/>
          <w:sz w:val="20"/>
        </w:rPr>
        <w:t>Thirdly, the level of teacher engagement among public elementary school teachers is likewise high. Teachers show strong emotional, social, and cognitive investment in their work, which manifests in their relationships with students and colleagues, as well as in their intellectual commitment to teaching. High levels of engagement are often associated with job satisfaction, improved performance, and decreased turnover. These results suggest that teachers are not only present in the workplace but are also meaningfully involved in their professional responsibilities.</w:t>
      </w:r>
    </w:p>
    <w:p w14:paraId="59E6C705" w14:textId="7A34D85D" w:rsidR="00F261ED" w:rsidRPr="00F261ED" w:rsidRDefault="00F261ED" w:rsidP="00F261ED">
      <w:pPr>
        <w:pStyle w:val="ReferHead"/>
        <w:jc w:val="both"/>
        <w:rPr>
          <w:rFonts w:ascii="Arial" w:hAnsi="Arial" w:cs="Arial"/>
          <w:b w:val="0"/>
          <w:caps w:val="0"/>
          <w:sz w:val="20"/>
        </w:rPr>
      </w:pPr>
      <w:r w:rsidRPr="00F261ED">
        <w:rPr>
          <w:rFonts w:ascii="Arial" w:hAnsi="Arial" w:cs="Arial"/>
          <w:b w:val="0"/>
          <w:caps w:val="0"/>
          <w:sz w:val="20"/>
        </w:rPr>
        <w:t>Fourthly, a significant relationship between operational support, innovative work behavior, and teacher engagement was established. Teachers who experience a supportive environment and who regularly engage in innovation are more likely to be fully engaged in their work. These factors collectively foster a sense of ownership, purpose, and professional identity. The alignment between supportive institutional practices and teachers’ innovative actions creates a conducive atmosphere for sustained involvement and excellence.</w:t>
      </w:r>
    </w:p>
    <w:p w14:paraId="31EFD7C0" w14:textId="056DF7C4" w:rsidR="009676BB" w:rsidRPr="0076337A" w:rsidRDefault="00F261ED" w:rsidP="00F261ED">
      <w:pPr>
        <w:pStyle w:val="ReferHead"/>
        <w:spacing w:after="0"/>
        <w:jc w:val="both"/>
        <w:rPr>
          <w:rFonts w:ascii="Arial" w:hAnsi="Arial" w:cs="Arial"/>
          <w:b w:val="0"/>
          <w:caps w:val="0"/>
          <w:sz w:val="20"/>
        </w:rPr>
      </w:pPr>
      <w:r w:rsidRPr="00F261ED">
        <w:rPr>
          <w:rFonts w:ascii="Arial" w:hAnsi="Arial" w:cs="Arial"/>
          <w:b w:val="0"/>
          <w:caps w:val="0"/>
          <w:sz w:val="20"/>
        </w:rPr>
        <w:t>Finally, both operational support and innovative work behavior significantly influence teacher engagement, with innovative work behavior emerging as the stronger predictor. This emphasizes the critical role of fostering a culture of creativity and forward-thinking in schools. While operational support provides the necessary foundation for well-being and motivation, it is through innovation that teachers sustain relevance, growth, and deeper professional fulfillment. Educational leaders who prioritize supportive practices and actively promote innovation are more likely to cultivate a committed, inspired, and enduring teaching workforce.</w:t>
      </w:r>
    </w:p>
    <w:p w14:paraId="32CA4429" w14:textId="77777777" w:rsidR="009676BB" w:rsidRPr="0076337A" w:rsidRDefault="009676BB" w:rsidP="009676BB">
      <w:pPr>
        <w:pStyle w:val="ReferHead"/>
        <w:spacing w:after="0"/>
        <w:jc w:val="both"/>
        <w:rPr>
          <w:rFonts w:ascii="Arial" w:hAnsi="Arial" w:cs="Arial"/>
          <w:b w:val="0"/>
          <w:caps w:val="0"/>
          <w:sz w:val="20"/>
        </w:rPr>
      </w:pPr>
    </w:p>
    <w:p w14:paraId="295DD41E" w14:textId="01F6025E" w:rsidR="006A0F34" w:rsidRPr="0076337A" w:rsidRDefault="006A0F34" w:rsidP="006A0F34">
      <w:pPr>
        <w:pStyle w:val="Body"/>
        <w:rPr>
          <w:rFonts w:ascii="Arial" w:hAnsi="Arial" w:cs="Arial"/>
        </w:rPr>
      </w:pPr>
      <w:r w:rsidRPr="0076337A">
        <w:rPr>
          <w:rFonts w:ascii="Arial" w:hAnsi="Arial" w:cs="Arial"/>
          <w:b/>
          <w:bCs/>
        </w:rPr>
        <w:t>6. RECOMMENDATIONS</w:t>
      </w:r>
    </w:p>
    <w:p w14:paraId="05405137" w14:textId="508DDB48" w:rsidR="009676BB" w:rsidRPr="0076337A" w:rsidRDefault="009676BB" w:rsidP="009676BB">
      <w:pPr>
        <w:pStyle w:val="ReferHead"/>
        <w:jc w:val="both"/>
        <w:rPr>
          <w:rFonts w:ascii="Arial" w:hAnsi="Arial" w:cs="Arial"/>
          <w:b w:val="0"/>
          <w:caps w:val="0"/>
          <w:sz w:val="20"/>
        </w:rPr>
      </w:pPr>
      <w:r w:rsidRPr="0076337A">
        <w:rPr>
          <w:rFonts w:ascii="Arial" w:hAnsi="Arial" w:cs="Arial"/>
          <w:b w:val="0"/>
          <w:caps w:val="0"/>
          <w:sz w:val="20"/>
        </w:rPr>
        <w:t>Based on the findings and conclusions of this study, the following recommendations were proposed:</w:t>
      </w:r>
    </w:p>
    <w:p w14:paraId="73831124" w14:textId="5E9C88AC" w:rsidR="00CC0B1C" w:rsidRPr="00CC0B1C" w:rsidRDefault="00CC0B1C" w:rsidP="00CC0B1C">
      <w:pPr>
        <w:pStyle w:val="ReferHead"/>
        <w:jc w:val="both"/>
        <w:rPr>
          <w:rFonts w:ascii="Arial" w:hAnsi="Arial" w:cs="Arial"/>
          <w:b w:val="0"/>
          <w:caps w:val="0"/>
          <w:sz w:val="20"/>
        </w:rPr>
      </w:pPr>
      <w:r w:rsidRPr="00CC0B1C">
        <w:rPr>
          <w:rFonts w:ascii="Arial" w:hAnsi="Arial" w:cs="Arial"/>
          <w:b w:val="0"/>
          <w:caps w:val="0"/>
          <w:sz w:val="20"/>
        </w:rPr>
        <w:t>For DepEd officials, it is recommended to institutionalize policies that strengthen operational support systems in public elementary schools, ensuring that structures promoting creativity, tolerance of individual differences, and personal commitment are sustained. These policies should prioritize the creation of environments that empower teachers to perform innovatively while feeling valued and respected. Additionally, DepEd should support the integration of innovative work behavior into national teacher development frameworks. Providing funding for creativity-driven initiatives and mechanisms for teacher recognition can further enhance teacher engagement and retention.</w:t>
      </w:r>
    </w:p>
    <w:p w14:paraId="4E457C68" w14:textId="32EBC23D" w:rsidR="00CC0B1C" w:rsidRPr="00CC0B1C" w:rsidRDefault="00CC0B1C" w:rsidP="00CC0B1C">
      <w:pPr>
        <w:pStyle w:val="ReferHead"/>
        <w:jc w:val="both"/>
        <w:rPr>
          <w:rFonts w:ascii="Arial" w:hAnsi="Arial" w:cs="Arial"/>
          <w:b w:val="0"/>
          <w:caps w:val="0"/>
          <w:sz w:val="20"/>
        </w:rPr>
      </w:pPr>
      <w:r w:rsidRPr="00CC0B1C">
        <w:rPr>
          <w:rFonts w:ascii="Arial" w:hAnsi="Arial" w:cs="Arial"/>
          <w:b w:val="0"/>
          <w:caps w:val="0"/>
          <w:sz w:val="20"/>
        </w:rPr>
        <w:t>School administrators are advised to implement professional development programs that simultaneously promote operational support and foster innovative work behavior. This may include initiatives such as team-based innovation projects, school-wide idea-sharing platforms, and capacity-building workshops on creativity and engagement. Administrators should also cultivate a school culture that embraces experimentation, collaboration, and respect for diverse perspectives. When teachers feel supported and encouraged to innovate, they are more likely to demonstrate high levels of engagement and sustained professional commitment.</w:t>
      </w:r>
    </w:p>
    <w:p w14:paraId="71413D9D" w14:textId="2AF97285" w:rsidR="00CC0B1C" w:rsidRPr="00CC0B1C" w:rsidRDefault="00CC0B1C" w:rsidP="00CC0B1C">
      <w:pPr>
        <w:pStyle w:val="ReferHead"/>
        <w:jc w:val="both"/>
        <w:rPr>
          <w:rFonts w:ascii="Arial" w:hAnsi="Arial" w:cs="Arial"/>
          <w:b w:val="0"/>
          <w:caps w:val="0"/>
          <w:sz w:val="20"/>
        </w:rPr>
      </w:pPr>
      <w:r w:rsidRPr="00CC0B1C">
        <w:rPr>
          <w:rFonts w:ascii="Arial" w:hAnsi="Arial" w:cs="Arial"/>
          <w:b w:val="0"/>
          <w:caps w:val="0"/>
          <w:sz w:val="20"/>
        </w:rPr>
        <w:t xml:space="preserve">For teachers, the study recommends active participation in initiatives that promote innovative thinking and collaborative problem-solving. Teachers are encouraged to take ownership of their work by proposing new instructional strategies, participating in school innovation teams, and contributing to peer-led professional learning groups. Regularly reflecting on how </w:t>
      </w:r>
      <w:r w:rsidRPr="00CC0B1C">
        <w:rPr>
          <w:rFonts w:ascii="Arial" w:hAnsi="Arial" w:cs="Arial"/>
          <w:b w:val="0"/>
          <w:caps w:val="0"/>
          <w:sz w:val="20"/>
        </w:rPr>
        <w:lastRenderedPageBreak/>
        <w:t>operational conditions influence one’s capacity to innovate can also enhance personal commitment and emotional engagement. By embracing innovation and maintaining open communication with peers and administrators, teachers can create more meaningful and rewarding teaching experiences.</w:t>
      </w:r>
    </w:p>
    <w:p w14:paraId="32AD8B0D" w14:textId="73F5A890" w:rsidR="00585E1D" w:rsidRDefault="00646296" w:rsidP="00585E1D">
      <w:pPr>
        <w:pStyle w:val="ReferHead"/>
        <w:spacing w:after="0"/>
        <w:jc w:val="both"/>
        <w:rPr>
          <w:rFonts w:ascii="Arial" w:hAnsi="Arial" w:cs="Arial"/>
          <w:b w:val="0"/>
          <w:caps w:val="0"/>
          <w:sz w:val="20"/>
        </w:rPr>
      </w:pPr>
      <w:r w:rsidRPr="00AB0882">
        <w:rPr>
          <w:rFonts w:ascii="Arial" w:hAnsi="Arial" w:cs="Arial"/>
          <w:b w:val="0"/>
          <w:caps w:val="0"/>
          <w:sz w:val="20"/>
          <w:highlight w:val="yellow"/>
        </w:rPr>
        <w:t xml:space="preserve">While this study provides valuable insights into the relationship between operational support, innovative work behavior, and teacher engagement, certain limitations should be acknowledged. First, the study was conducted within a single district, </w:t>
      </w:r>
      <w:proofErr w:type="spellStart"/>
      <w:r w:rsidRPr="00AB0882">
        <w:rPr>
          <w:rFonts w:ascii="Arial" w:hAnsi="Arial" w:cs="Arial"/>
          <w:b w:val="0"/>
          <w:caps w:val="0"/>
          <w:sz w:val="20"/>
          <w:highlight w:val="yellow"/>
        </w:rPr>
        <w:t>Sto</w:t>
      </w:r>
      <w:proofErr w:type="spellEnd"/>
      <w:r w:rsidRPr="00AB0882">
        <w:rPr>
          <w:rFonts w:ascii="Arial" w:hAnsi="Arial" w:cs="Arial"/>
          <w:b w:val="0"/>
          <w:caps w:val="0"/>
          <w:sz w:val="20"/>
          <w:highlight w:val="yellow"/>
        </w:rPr>
        <w:t>. Tomas, Division of Davao del Norte, which may limit the generalizability of the findings to other regions or educational contexts. Second, the use of self-reported questionnaires may be subject to response biases, such as social desirability, which could influence the accuracy of the data. Third, the study employed a cross-sectional design, capturing responses at one point in time; thus, it does not account for changes in engagement or support levels over time. Future research may consider employing longitudinal or mixed-method approaches to capture deeper and more dynamic perspectives.</w:t>
      </w:r>
    </w:p>
    <w:p w14:paraId="3250A236" w14:textId="77777777" w:rsidR="00646296" w:rsidRPr="0076337A" w:rsidRDefault="00646296" w:rsidP="00585E1D">
      <w:pPr>
        <w:pStyle w:val="ReferHead"/>
        <w:spacing w:after="0"/>
        <w:jc w:val="both"/>
        <w:rPr>
          <w:rFonts w:ascii="Arial" w:hAnsi="Arial" w:cs="Arial"/>
          <w:b w:val="0"/>
          <w:caps w:val="0"/>
          <w:sz w:val="20"/>
        </w:rPr>
      </w:pPr>
    </w:p>
    <w:p w14:paraId="7242A187" w14:textId="77777777" w:rsidR="00717F2E" w:rsidRPr="0076337A" w:rsidRDefault="00717F2E">
      <w:pPr>
        <w:pStyle w:val="ReferHead"/>
        <w:spacing w:after="0"/>
        <w:jc w:val="both"/>
        <w:rPr>
          <w:rFonts w:ascii="Arial" w:hAnsi="Arial" w:cs="Arial"/>
          <w:b w:val="0"/>
          <w:caps w:val="0"/>
          <w:sz w:val="20"/>
        </w:rPr>
      </w:pPr>
    </w:p>
    <w:p w14:paraId="013BA332" w14:textId="6B1428ED" w:rsidR="00717F2E" w:rsidRPr="0076337A" w:rsidRDefault="00B30FC5">
      <w:pPr>
        <w:pStyle w:val="ReferHead"/>
        <w:spacing w:after="0"/>
        <w:jc w:val="both"/>
        <w:rPr>
          <w:rFonts w:ascii="Arial" w:hAnsi="Arial" w:cs="Arial"/>
          <w:bCs/>
          <w:sz w:val="20"/>
        </w:rPr>
      </w:pPr>
      <w:r>
        <w:rPr>
          <w:rFonts w:ascii="Arial" w:hAnsi="Arial" w:cs="Arial"/>
          <w:bCs/>
          <w:sz w:val="20"/>
        </w:rPr>
        <w:t xml:space="preserve">EThical approval and </w:t>
      </w:r>
      <w:r w:rsidR="00180859" w:rsidRPr="0076337A">
        <w:rPr>
          <w:rFonts w:ascii="Arial" w:hAnsi="Arial" w:cs="Arial"/>
          <w:bCs/>
          <w:sz w:val="20"/>
        </w:rPr>
        <w:t xml:space="preserve">Consent </w:t>
      </w:r>
    </w:p>
    <w:p w14:paraId="67F05F0C" w14:textId="77777777" w:rsidR="00717F2E" w:rsidRPr="0076337A" w:rsidRDefault="00717F2E">
      <w:pPr>
        <w:pStyle w:val="ReferHead"/>
        <w:spacing w:after="0"/>
        <w:jc w:val="both"/>
        <w:rPr>
          <w:rFonts w:ascii="Arial" w:hAnsi="Arial" w:cs="Arial"/>
          <w:bCs/>
          <w:sz w:val="20"/>
        </w:rPr>
      </w:pPr>
    </w:p>
    <w:p w14:paraId="7891B505" w14:textId="082FE386" w:rsidR="00A50958" w:rsidRPr="0076337A" w:rsidRDefault="00B03988" w:rsidP="00505231">
      <w:pPr>
        <w:pStyle w:val="ReferHead"/>
        <w:spacing w:after="0"/>
        <w:jc w:val="both"/>
        <w:rPr>
          <w:rFonts w:ascii="Arial" w:hAnsi="Arial" w:cs="Arial"/>
          <w:b w:val="0"/>
          <w:caps w:val="0"/>
          <w:sz w:val="20"/>
        </w:rPr>
      </w:pPr>
      <w:r w:rsidRPr="00B03988">
        <w:rPr>
          <w:rFonts w:ascii="Arial" w:hAnsi="Arial" w:cs="Arial"/>
          <w:b w:val="0"/>
          <w:caps w:val="0"/>
          <w:sz w:val="20"/>
        </w:rPr>
        <w:t xml:space="preserve">This study was conducted in full compliance with recognized ethical standards to protect the rights, dignity, and welfare of all participants. Before any data collection began, the researcher obtained the necessary approvals from appropriate institutional authorities, including an endorsement from the Dean of the Graduate School and ethical clearance from the designated Ethics Review Committee. The research procedures followed the ethical guidelines outlined by </w:t>
      </w:r>
      <w:proofErr w:type="spellStart"/>
      <w:r w:rsidRPr="00B03988">
        <w:rPr>
          <w:rFonts w:ascii="Arial" w:hAnsi="Arial" w:cs="Arial"/>
          <w:b w:val="0"/>
          <w:caps w:val="0"/>
          <w:sz w:val="20"/>
        </w:rPr>
        <w:t>Pregoner</w:t>
      </w:r>
      <w:proofErr w:type="spellEnd"/>
      <w:r w:rsidRPr="00B03988">
        <w:rPr>
          <w:rFonts w:ascii="Arial" w:hAnsi="Arial" w:cs="Arial"/>
          <w:b w:val="0"/>
          <w:caps w:val="0"/>
          <w:sz w:val="20"/>
        </w:rPr>
        <w:t xml:space="preserve"> et al. (2025), in accordance with current protocols governing studies involving human participants in educational contexts. Participation was entirely voluntary, and all individuals involved were thoroughly informed about the study’s purpose, procedures, and their right to decline or withdraw at any time without facing repercussions. Informed consent was secured to confirm participants’ understanding and agreement. Personal identifiers were not collected, and confidentiality was strictly maintained at all stages. The data obtained were used solely for scholarly and research purposes. These ethical safeguards ensured the study was conducted responsibly, transparently, and with full respect for participant autonomy.</w:t>
      </w:r>
    </w:p>
    <w:p w14:paraId="32515379" w14:textId="77777777" w:rsidR="00943A20" w:rsidRPr="0076337A" w:rsidRDefault="00943A20" w:rsidP="00505231">
      <w:pPr>
        <w:pStyle w:val="ReferHead"/>
        <w:spacing w:after="0"/>
        <w:jc w:val="both"/>
        <w:rPr>
          <w:rFonts w:ascii="Arial" w:hAnsi="Arial" w:cs="Arial"/>
          <w:b w:val="0"/>
          <w:caps w:val="0"/>
          <w:sz w:val="20"/>
        </w:rPr>
      </w:pPr>
    </w:p>
    <w:p w14:paraId="2BC90047" w14:textId="77777777" w:rsidR="00CD4D57" w:rsidRPr="00B30FC5" w:rsidRDefault="00CD4D57" w:rsidP="00CD4D57">
      <w:pPr>
        <w:pStyle w:val="ReferHead"/>
        <w:spacing w:after="0"/>
        <w:jc w:val="both"/>
        <w:rPr>
          <w:rFonts w:ascii="Arial" w:hAnsi="Arial" w:cs="Arial"/>
          <w:caps w:val="0"/>
          <w:sz w:val="20"/>
          <w:highlight w:val="yellow"/>
        </w:rPr>
      </w:pPr>
      <w:bookmarkStart w:id="0" w:name="_GoBack"/>
      <w:r w:rsidRPr="00B30FC5">
        <w:rPr>
          <w:rFonts w:ascii="Arial" w:hAnsi="Arial" w:cs="Arial"/>
          <w:caps w:val="0"/>
          <w:sz w:val="20"/>
          <w:highlight w:val="yellow"/>
        </w:rPr>
        <w:t>Disclaimer (Artificial Intelligence)</w:t>
      </w:r>
    </w:p>
    <w:bookmarkEnd w:id="0"/>
    <w:p w14:paraId="591C5FF6" w14:textId="77777777" w:rsidR="00CD4D57" w:rsidRPr="0076337A" w:rsidRDefault="00CD4D57" w:rsidP="00CD4D57">
      <w:pPr>
        <w:pStyle w:val="ReferHead"/>
        <w:spacing w:after="0"/>
        <w:jc w:val="both"/>
        <w:rPr>
          <w:rFonts w:ascii="Arial" w:hAnsi="Arial" w:cs="Arial"/>
          <w:b w:val="0"/>
          <w:caps w:val="0"/>
          <w:sz w:val="20"/>
          <w:highlight w:val="yellow"/>
        </w:rPr>
      </w:pPr>
    </w:p>
    <w:p w14:paraId="309A34BD" w14:textId="77777777" w:rsidR="00CD4D57" w:rsidRPr="0076337A" w:rsidRDefault="00CD4D57" w:rsidP="00CD4D57">
      <w:pPr>
        <w:pStyle w:val="ReferHead"/>
        <w:spacing w:after="0"/>
        <w:jc w:val="both"/>
        <w:rPr>
          <w:rFonts w:ascii="Arial" w:hAnsi="Arial" w:cs="Arial"/>
          <w:b w:val="0"/>
          <w:caps w:val="0"/>
          <w:sz w:val="20"/>
          <w:highlight w:val="yellow"/>
        </w:rPr>
      </w:pPr>
    </w:p>
    <w:p w14:paraId="26E5FE5E" w14:textId="77777777" w:rsidR="00CD4D57" w:rsidRPr="0076337A" w:rsidRDefault="00CD4D57" w:rsidP="00CD4D57">
      <w:pPr>
        <w:jc w:val="both"/>
        <w:rPr>
          <w:rFonts w:ascii="Arial" w:eastAsia="Calibri" w:hAnsi="Arial" w:cs="Arial"/>
          <w:kern w:val="2"/>
          <w:sz w:val="20"/>
          <w:szCs w:val="20"/>
          <w:highlight w:val="yellow"/>
        </w:rPr>
      </w:pPr>
      <w:r w:rsidRPr="0076337A">
        <w:rPr>
          <w:rFonts w:ascii="Arial" w:eastAsia="Calibri" w:hAnsi="Arial" w:cs="Arial"/>
          <w:kern w:val="2"/>
          <w:sz w:val="20"/>
          <w:szCs w:val="20"/>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Pr="0076337A" w:rsidRDefault="00CD4D57" w:rsidP="00CD4D57">
      <w:pPr>
        <w:jc w:val="both"/>
        <w:rPr>
          <w:rFonts w:ascii="Arial" w:eastAsia="Calibri" w:hAnsi="Arial" w:cs="Arial"/>
          <w:kern w:val="2"/>
          <w:sz w:val="20"/>
          <w:szCs w:val="20"/>
          <w:highlight w:val="yellow"/>
        </w:rPr>
      </w:pPr>
    </w:p>
    <w:p w14:paraId="4B95E7D5" w14:textId="77777777" w:rsidR="00CD4D57" w:rsidRPr="0076337A" w:rsidRDefault="00CD4D57" w:rsidP="00CD4D57">
      <w:pPr>
        <w:numPr>
          <w:ilvl w:val="0"/>
          <w:numId w:val="4"/>
        </w:numPr>
        <w:ind w:left="540"/>
        <w:jc w:val="both"/>
        <w:rPr>
          <w:rFonts w:ascii="Arial" w:eastAsia="Calibri" w:hAnsi="Arial" w:cs="Arial"/>
          <w:kern w:val="2"/>
          <w:sz w:val="20"/>
          <w:szCs w:val="20"/>
          <w:highlight w:val="yellow"/>
        </w:rPr>
      </w:pPr>
      <w:r w:rsidRPr="0076337A">
        <w:rPr>
          <w:rFonts w:ascii="Arial" w:eastAsia="Calibri" w:hAnsi="Arial" w:cs="Arial"/>
          <w:kern w:val="2"/>
          <w:sz w:val="20"/>
          <w:szCs w:val="20"/>
          <w:highlight w:val="yellow"/>
        </w:rPr>
        <w:t xml:space="preserve">Grammarly: Used for grammar and spellchecking, as well as suggestions for improving sentence structure and overall clarity. </w:t>
      </w:r>
    </w:p>
    <w:p w14:paraId="50EBBD08" w14:textId="77777777" w:rsidR="00CD4D57" w:rsidRPr="0076337A" w:rsidRDefault="00CD4D57" w:rsidP="00CD4D57">
      <w:pPr>
        <w:numPr>
          <w:ilvl w:val="0"/>
          <w:numId w:val="4"/>
        </w:numPr>
        <w:ind w:left="540"/>
        <w:jc w:val="both"/>
        <w:rPr>
          <w:rFonts w:ascii="Arial" w:hAnsi="Arial" w:cs="Arial"/>
          <w:sz w:val="20"/>
          <w:szCs w:val="20"/>
          <w:highlight w:val="yellow"/>
        </w:rPr>
      </w:pPr>
      <w:proofErr w:type="spellStart"/>
      <w:r w:rsidRPr="0076337A">
        <w:rPr>
          <w:rFonts w:ascii="Arial" w:eastAsia="Calibri" w:hAnsi="Arial" w:cs="Arial"/>
          <w:kern w:val="2"/>
          <w:sz w:val="20"/>
          <w:szCs w:val="20"/>
          <w:highlight w:val="yellow"/>
        </w:rPr>
        <w:t>Quillbot</w:t>
      </w:r>
      <w:proofErr w:type="spellEnd"/>
      <w:r w:rsidRPr="0076337A">
        <w:rPr>
          <w:rFonts w:ascii="Arial" w:eastAsia="Calibri" w:hAnsi="Arial" w:cs="Arial"/>
          <w:kern w:val="2"/>
          <w:sz w:val="20"/>
          <w:szCs w:val="20"/>
          <w:highlight w:val="yellow"/>
        </w:rPr>
        <w:t>: Employed for paraphrasing and refining sentence flow to enhance readability and coherence.</w:t>
      </w:r>
    </w:p>
    <w:p w14:paraId="31F11220" w14:textId="77777777" w:rsidR="00CD4D57" w:rsidRPr="0076337A" w:rsidRDefault="00CD4D57" w:rsidP="00505231">
      <w:pPr>
        <w:pStyle w:val="ReferHead"/>
        <w:spacing w:after="0"/>
        <w:jc w:val="both"/>
        <w:rPr>
          <w:rFonts w:ascii="Arial" w:hAnsi="Arial" w:cs="Arial"/>
          <w:b w:val="0"/>
          <w:caps w:val="0"/>
          <w:sz w:val="20"/>
        </w:rPr>
      </w:pPr>
    </w:p>
    <w:p w14:paraId="3710B9F1" w14:textId="77777777" w:rsidR="00151F8F" w:rsidRPr="0076337A" w:rsidRDefault="00151F8F" w:rsidP="00505231">
      <w:pPr>
        <w:pStyle w:val="ReferHead"/>
        <w:spacing w:after="0"/>
        <w:jc w:val="both"/>
        <w:rPr>
          <w:rFonts w:ascii="Arial" w:hAnsi="Arial" w:cs="Arial"/>
          <w:b w:val="0"/>
          <w:caps w:val="0"/>
          <w:sz w:val="20"/>
        </w:rPr>
      </w:pPr>
    </w:p>
    <w:p w14:paraId="2C952D29" w14:textId="7A4BF349" w:rsidR="002B4E2B" w:rsidRPr="0076337A" w:rsidRDefault="00180859" w:rsidP="00AA5542">
      <w:pPr>
        <w:pStyle w:val="ReferHead"/>
        <w:spacing w:after="0"/>
        <w:jc w:val="both"/>
        <w:rPr>
          <w:rFonts w:ascii="Arial" w:hAnsi="Arial" w:cs="Arial"/>
          <w:sz w:val="20"/>
        </w:rPr>
      </w:pPr>
      <w:r w:rsidRPr="0076337A">
        <w:rPr>
          <w:rFonts w:ascii="Arial" w:hAnsi="Arial" w:cs="Arial"/>
          <w:sz w:val="20"/>
        </w:rPr>
        <w:t>References</w:t>
      </w:r>
    </w:p>
    <w:p w14:paraId="4EA0DBB4" w14:textId="77777777" w:rsidR="00C90253" w:rsidRPr="00C90253" w:rsidRDefault="00C90253" w:rsidP="00C90253">
      <w:pPr>
        <w:jc w:val="both"/>
      </w:pPr>
    </w:p>
    <w:p w14:paraId="0C19557F"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Abaci, S., Robertson, J., Linklater, H., &amp; McNeill, F. (2021). Supporting school teachers’ rapid engagement with online education. </w:t>
      </w:r>
      <w:r w:rsidRPr="00C90253">
        <w:rPr>
          <w:rFonts w:ascii="Arial" w:hAnsi="Arial" w:cs="Arial"/>
          <w:i/>
          <w:iCs/>
          <w:color w:val="222222"/>
          <w:sz w:val="20"/>
          <w:szCs w:val="20"/>
          <w:shd w:val="clear" w:color="auto" w:fill="FFFFFF"/>
        </w:rPr>
        <w:t>Educational Technology Research and Development</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69</w:t>
      </w:r>
      <w:r w:rsidRPr="00C90253">
        <w:rPr>
          <w:rFonts w:ascii="Arial" w:hAnsi="Arial" w:cs="Arial"/>
          <w:color w:val="222222"/>
          <w:sz w:val="20"/>
          <w:szCs w:val="20"/>
          <w:shd w:val="clear" w:color="auto" w:fill="FFFFFF"/>
        </w:rPr>
        <w:t xml:space="preserve">, 29-34. </w:t>
      </w:r>
      <w:hyperlink r:id="rId15" w:history="1">
        <w:r w:rsidRPr="00C90253">
          <w:rPr>
            <w:rFonts w:ascii="Arial" w:hAnsi="Arial" w:cs="Arial"/>
            <w:color w:val="1155CC"/>
            <w:sz w:val="20"/>
            <w:szCs w:val="20"/>
            <w:u w:val="single"/>
            <w:shd w:val="clear" w:color="auto" w:fill="FFFFFF"/>
          </w:rPr>
          <w:t>https://link.springer.com/article/10.1007/s11423-020-09839-5</w:t>
        </w:r>
      </w:hyperlink>
    </w:p>
    <w:p w14:paraId="42F19917"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Ashraf, M. A. (2020). Demographic factors, compensation, job satisfaction and organizational commitment in private university: an analysis using SEM. </w:t>
      </w:r>
      <w:r w:rsidRPr="00C90253">
        <w:rPr>
          <w:rFonts w:ascii="Arial" w:hAnsi="Arial" w:cs="Arial"/>
          <w:i/>
          <w:iCs/>
          <w:color w:val="222222"/>
          <w:sz w:val="20"/>
          <w:szCs w:val="20"/>
          <w:shd w:val="clear" w:color="auto" w:fill="FFFFFF"/>
        </w:rPr>
        <w:t xml:space="preserve">Journal of Global </w:t>
      </w:r>
      <w:r w:rsidRPr="00C90253">
        <w:rPr>
          <w:rFonts w:ascii="Arial" w:hAnsi="Arial" w:cs="Arial"/>
          <w:i/>
          <w:iCs/>
          <w:color w:val="222222"/>
          <w:sz w:val="20"/>
          <w:szCs w:val="20"/>
          <w:shd w:val="clear" w:color="auto" w:fill="FFFFFF"/>
        </w:rPr>
        <w:lastRenderedPageBreak/>
        <w:t>Responsibility</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11</w:t>
      </w:r>
      <w:r w:rsidRPr="00C90253">
        <w:rPr>
          <w:rFonts w:ascii="Arial" w:hAnsi="Arial" w:cs="Arial"/>
          <w:color w:val="222222"/>
          <w:sz w:val="20"/>
          <w:szCs w:val="20"/>
          <w:shd w:val="clear" w:color="auto" w:fill="FFFFFF"/>
        </w:rPr>
        <w:t xml:space="preserve">(4), 407-436. </w:t>
      </w:r>
      <w:hyperlink r:id="rId16" w:history="1">
        <w:r w:rsidRPr="00C90253">
          <w:rPr>
            <w:rFonts w:ascii="Arial" w:hAnsi="Arial" w:cs="Arial"/>
            <w:color w:val="1155CC"/>
            <w:sz w:val="20"/>
            <w:szCs w:val="20"/>
            <w:u w:val="single"/>
            <w:shd w:val="clear" w:color="auto" w:fill="FFFFFF"/>
          </w:rPr>
          <w:t>https://www.emerald.com/insight/content/doi/10.1108/jgr-01-2020-0010/full/html</w:t>
        </w:r>
      </w:hyperlink>
    </w:p>
    <w:p w14:paraId="498AEAC9"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Ayoub, A. E. A. H., </w:t>
      </w:r>
      <w:proofErr w:type="spellStart"/>
      <w:r w:rsidRPr="00C90253">
        <w:rPr>
          <w:rFonts w:ascii="Arial" w:hAnsi="Arial" w:cs="Arial"/>
          <w:color w:val="222222"/>
          <w:sz w:val="20"/>
          <w:szCs w:val="20"/>
          <w:shd w:val="clear" w:color="auto" w:fill="FFFFFF"/>
        </w:rPr>
        <w:t>Almahamid</w:t>
      </w:r>
      <w:proofErr w:type="spellEnd"/>
      <w:r w:rsidRPr="00C90253">
        <w:rPr>
          <w:rFonts w:ascii="Arial" w:hAnsi="Arial" w:cs="Arial"/>
          <w:color w:val="222222"/>
          <w:sz w:val="20"/>
          <w:szCs w:val="20"/>
          <w:shd w:val="clear" w:color="auto" w:fill="FFFFFF"/>
        </w:rPr>
        <w:t xml:space="preserve">, S. M., &amp; Al Salah, L. F. (2023). Innovative work behavior scale: development and validation of psychometric properties in higher education in the GCC countries. </w:t>
      </w:r>
      <w:r w:rsidRPr="00C90253">
        <w:rPr>
          <w:rFonts w:ascii="Arial" w:hAnsi="Arial" w:cs="Arial"/>
          <w:i/>
          <w:iCs/>
          <w:color w:val="222222"/>
          <w:sz w:val="20"/>
          <w:szCs w:val="20"/>
          <w:shd w:val="clear" w:color="auto" w:fill="FFFFFF"/>
        </w:rPr>
        <w:t>European Journal of Innovation Management</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26</w:t>
      </w:r>
      <w:r w:rsidRPr="00C90253">
        <w:rPr>
          <w:rFonts w:ascii="Arial" w:hAnsi="Arial" w:cs="Arial"/>
          <w:color w:val="222222"/>
          <w:sz w:val="20"/>
          <w:szCs w:val="20"/>
          <w:shd w:val="clear" w:color="auto" w:fill="FFFFFF"/>
        </w:rPr>
        <w:t xml:space="preserve">(1), 119-133. </w:t>
      </w:r>
      <w:hyperlink r:id="rId17" w:history="1">
        <w:r w:rsidRPr="00C90253">
          <w:rPr>
            <w:rFonts w:ascii="Arial" w:hAnsi="Arial" w:cs="Arial"/>
            <w:color w:val="1155CC"/>
            <w:sz w:val="20"/>
            <w:szCs w:val="20"/>
            <w:u w:val="single"/>
            <w:shd w:val="clear" w:color="auto" w:fill="FFFFFF"/>
          </w:rPr>
          <w:t>https://www.emerald.com/insight/content/doi/10.1108/ejim-04-2021-0176/full/html</w:t>
        </w:r>
      </w:hyperlink>
    </w:p>
    <w:p w14:paraId="715DFC48"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Baharuddin, M. F., Masrek, M. N., &amp; </w:t>
      </w:r>
      <w:proofErr w:type="spellStart"/>
      <w:r w:rsidRPr="00C90253">
        <w:rPr>
          <w:rFonts w:ascii="Arial" w:hAnsi="Arial" w:cs="Arial"/>
          <w:color w:val="222222"/>
          <w:sz w:val="20"/>
          <w:szCs w:val="20"/>
          <w:shd w:val="clear" w:color="auto" w:fill="FFFFFF"/>
        </w:rPr>
        <w:t>Shuhidan</w:t>
      </w:r>
      <w:proofErr w:type="spellEnd"/>
      <w:r w:rsidRPr="00C90253">
        <w:rPr>
          <w:rFonts w:ascii="Arial" w:hAnsi="Arial" w:cs="Arial"/>
          <w:color w:val="222222"/>
          <w:sz w:val="20"/>
          <w:szCs w:val="20"/>
          <w:shd w:val="clear" w:color="auto" w:fill="FFFFFF"/>
        </w:rPr>
        <w:t xml:space="preserve">, S. M. (2020). Content validity of assessment instrument for innovative work </w:t>
      </w:r>
      <w:proofErr w:type="spellStart"/>
      <w:r w:rsidRPr="00C90253">
        <w:rPr>
          <w:rFonts w:ascii="Arial" w:hAnsi="Arial" w:cs="Arial"/>
          <w:color w:val="222222"/>
          <w:sz w:val="20"/>
          <w:szCs w:val="20"/>
          <w:shd w:val="clear" w:color="auto" w:fill="FFFFFF"/>
        </w:rPr>
        <w:t>behaviour</w:t>
      </w:r>
      <w:proofErr w:type="spellEnd"/>
      <w:r w:rsidRPr="00C90253">
        <w:rPr>
          <w:rFonts w:ascii="Arial" w:hAnsi="Arial" w:cs="Arial"/>
          <w:color w:val="222222"/>
          <w:sz w:val="20"/>
          <w:szCs w:val="20"/>
          <w:shd w:val="clear" w:color="auto" w:fill="FFFFFF"/>
        </w:rPr>
        <w:t xml:space="preserve"> of Malaysian school teachers. </w:t>
      </w:r>
      <w:r w:rsidRPr="00C90253">
        <w:rPr>
          <w:rFonts w:ascii="Arial" w:hAnsi="Arial" w:cs="Arial"/>
          <w:i/>
          <w:iCs/>
          <w:color w:val="222222"/>
          <w:sz w:val="20"/>
          <w:szCs w:val="20"/>
          <w:shd w:val="clear" w:color="auto" w:fill="FFFFFF"/>
        </w:rPr>
        <w:t>International Journal of Scientific and Technology Research</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9</w:t>
      </w:r>
      <w:r w:rsidRPr="00C90253">
        <w:rPr>
          <w:rFonts w:ascii="Arial" w:hAnsi="Arial" w:cs="Arial"/>
          <w:color w:val="222222"/>
          <w:sz w:val="20"/>
          <w:szCs w:val="20"/>
          <w:shd w:val="clear" w:color="auto" w:fill="FFFFFF"/>
        </w:rPr>
        <w:t xml:space="preserve">(4), 1940-1946. </w:t>
      </w:r>
      <w:hyperlink r:id="rId18" w:history="1">
        <w:r w:rsidRPr="00C90253">
          <w:rPr>
            <w:rFonts w:ascii="Arial" w:hAnsi="Arial" w:cs="Arial"/>
            <w:color w:val="1155CC"/>
            <w:sz w:val="20"/>
            <w:szCs w:val="20"/>
            <w:u w:val="single"/>
            <w:shd w:val="clear" w:color="auto" w:fill="FFFFFF"/>
          </w:rPr>
          <w:t>https://www.ijstr.org/final-print/apr2020/Content-Validity-Of-Assessment-Instrument-For-Innovative-Work-Behaviour-Of-Malaysian-School-Teachers.pdf</w:t>
        </w:r>
      </w:hyperlink>
    </w:p>
    <w:p w14:paraId="3DA43923"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Bullo, M. M., Labastida, R. T., &amp; </w:t>
      </w:r>
      <w:proofErr w:type="spellStart"/>
      <w:r w:rsidRPr="00C90253">
        <w:rPr>
          <w:rFonts w:ascii="Arial" w:hAnsi="Arial" w:cs="Arial"/>
          <w:color w:val="222222"/>
          <w:sz w:val="20"/>
          <w:szCs w:val="20"/>
          <w:shd w:val="clear" w:color="auto" w:fill="FFFFFF"/>
        </w:rPr>
        <w:t>Manlapas</w:t>
      </w:r>
      <w:proofErr w:type="spellEnd"/>
      <w:r w:rsidRPr="00C90253">
        <w:rPr>
          <w:rFonts w:ascii="Arial" w:hAnsi="Arial" w:cs="Arial"/>
          <w:color w:val="222222"/>
          <w:sz w:val="20"/>
          <w:szCs w:val="20"/>
          <w:shd w:val="clear" w:color="auto" w:fill="FFFFFF"/>
        </w:rPr>
        <w:t xml:space="preserve">, C. C. (2021). Challenges and difficulties encountered by teachers in the conduct of educational research: Basis for teachers’ enhancement program. </w:t>
      </w:r>
      <w:r w:rsidRPr="00C90253">
        <w:rPr>
          <w:rFonts w:ascii="Arial" w:hAnsi="Arial" w:cs="Arial"/>
          <w:i/>
          <w:iCs/>
          <w:color w:val="222222"/>
          <w:sz w:val="20"/>
          <w:szCs w:val="20"/>
          <w:shd w:val="clear" w:color="auto" w:fill="FFFFFF"/>
        </w:rPr>
        <w:t>International Journal of Research Studies in Education</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10</w:t>
      </w:r>
      <w:r w:rsidRPr="00C90253">
        <w:rPr>
          <w:rFonts w:ascii="Arial" w:hAnsi="Arial" w:cs="Arial"/>
          <w:color w:val="222222"/>
          <w:sz w:val="20"/>
          <w:szCs w:val="20"/>
          <w:shd w:val="clear" w:color="auto" w:fill="FFFFFF"/>
        </w:rPr>
        <w:t xml:space="preserve">(13), 67-75. </w:t>
      </w:r>
      <w:hyperlink r:id="rId19" w:history="1">
        <w:r w:rsidRPr="00C90253">
          <w:rPr>
            <w:rFonts w:ascii="Arial" w:hAnsi="Arial" w:cs="Arial"/>
            <w:color w:val="1155CC"/>
            <w:sz w:val="20"/>
            <w:szCs w:val="20"/>
            <w:u w:val="single"/>
            <w:shd w:val="clear" w:color="auto" w:fill="FFFFFF"/>
          </w:rPr>
          <w:t>https://consortiacademia.org/10-5861-ijrse-2021-a044/</w:t>
        </w:r>
      </w:hyperlink>
    </w:p>
    <w:p w14:paraId="6030CB9B"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Černe, M., </w:t>
      </w:r>
      <w:proofErr w:type="spellStart"/>
      <w:r w:rsidRPr="00C90253">
        <w:rPr>
          <w:rFonts w:ascii="Arial" w:hAnsi="Arial" w:cs="Arial"/>
          <w:color w:val="222222"/>
          <w:sz w:val="20"/>
          <w:szCs w:val="20"/>
          <w:shd w:val="clear" w:color="auto" w:fill="FFFFFF"/>
        </w:rPr>
        <w:t>Kaše</w:t>
      </w:r>
      <w:proofErr w:type="spellEnd"/>
      <w:r w:rsidRPr="00C90253">
        <w:rPr>
          <w:rFonts w:ascii="Arial" w:hAnsi="Arial" w:cs="Arial"/>
          <w:color w:val="222222"/>
          <w:sz w:val="20"/>
          <w:szCs w:val="20"/>
          <w:shd w:val="clear" w:color="auto" w:fill="FFFFFF"/>
        </w:rPr>
        <w:t xml:space="preserve">, R., &amp; </w:t>
      </w:r>
      <w:proofErr w:type="spellStart"/>
      <w:r w:rsidRPr="00C90253">
        <w:rPr>
          <w:rFonts w:ascii="Arial" w:hAnsi="Arial" w:cs="Arial"/>
          <w:color w:val="222222"/>
          <w:sz w:val="20"/>
          <w:szCs w:val="20"/>
          <w:shd w:val="clear" w:color="auto" w:fill="FFFFFF"/>
        </w:rPr>
        <w:t>Škerlavaj</w:t>
      </w:r>
      <w:proofErr w:type="spellEnd"/>
      <w:r w:rsidRPr="00C90253">
        <w:rPr>
          <w:rFonts w:ascii="Arial" w:hAnsi="Arial" w:cs="Arial"/>
          <w:color w:val="222222"/>
          <w:sz w:val="20"/>
          <w:szCs w:val="20"/>
          <w:shd w:val="clear" w:color="auto" w:fill="FFFFFF"/>
        </w:rPr>
        <w:t xml:space="preserve">, M. (2024). Idea championing as a missing link between idea generation and team innovation implementation: A situated emergence approach. </w:t>
      </w:r>
      <w:r w:rsidRPr="00C90253">
        <w:rPr>
          <w:rFonts w:ascii="Arial" w:hAnsi="Arial" w:cs="Arial"/>
          <w:i/>
          <w:iCs/>
          <w:color w:val="222222"/>
          <w:sz w:val="20"/>
          <w:szCs w:val="20"/>
          <w:shd w:val="clear" w:color="auto" w:fill="FFFFFF"/>
        </w:rPr>
        <w:t>European Management Journal</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42</w:t>
      </w:r>
      <w:r w:rsidRPr="00C90253">
        <w:rPr>
          <w:rFonts w:ascii="Arial" w:hAnsi="Arial" w:cs="Arial"/>
          <w:color w:val="222222"/>
          <w:sz w:val="20"/>
          <w:szCs w:val="20"/>
          <w:shd w:val="clear" w:color="auto" w:fill="FFFFFF"/>
        </w:rPr>
        <w:t xml:space="preserve">(2), 233-244. </w:t>
      </w:r>
      <w:hyperlink r:id="rId20" w:history="1">
        <w:r w:rsidRPr="00C90253">
          <w:rPr>
            <w:rFonts w:ascii="Arial" w:hAnsi="Arial" w:cs="Arial"/>
            <w:color w:val="1155CC"/>
            <w:sz w:val="20"/>
            <w:szCs w:val="20"/>
            <w:u w:val="single"/>
            <w:shd w:val="clear" w:color="auto" w:fill="FFFFFF"/>
          </w:rPr>
          <w:t>https://www.sciencedirect.com/science/article/pii/S0263237322001256</w:t>
        </w:r>
      </w:hyperlink>
    </w:p>
    <w:p w14:paraId="4AFFD59F"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Christopher, W. (2024). Conceptualizing Well-Being, Autonomy, and Professional Development for Japanese Teachers. </w:t>
      </w:r>
      <w:proofErr w:type="spellStart"/>
      <w:r w:rsidRPr="00C90253">
        <w:rPr>
          <w:rFonts w:ascii="MS Gothic" w:eastAsia="MS Gothic" w:hAnsi="MS Gothic" w:cs="MS Gothic" w:hint="eastAsia"/>
          <w:i/>
          <w:iCs/>
          <w:color w:val="222222"/>
          <w:sz w:val="20"/>
          <w:szCs w:val="20"/>
          <w:shd w:val="clear" w:color="auto" w:fill="FFFFFF"/>
        </w:rPr>
        <w:t>九州地区国立大学教育系・文系研究論文集</w:t>
      </w:r>
      <w:proofErr w:type="spellEnd"/>
      <w:r w:rsidRPr="00C90253">
        <w:rPr>
          <w:rFonts w:ascii="Arial" w:hAnsi="Arial" w:cs="Arial"/>
          <w:i/>
          <w:iCs/>
          <w:color w:val="222222"/>
          <w:sz w:val="20"/>
          <w:szCs w:val="20"/>
          <w:shd w:val="clear" w:color="auto" w:fill="FFFFFF"/>
        </w:rPr>
        <w:t>= The Joint Journal of the National Universities in Kyushu. Education and Humanities</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10</w:t>
      </w:r>
      <w:r w:rsidRPr="00C90253">
        <w:rPr>
          <w:rFonts w:ascii="Arial" w:hAnsi="Arial" w:cs="Arial"/>
          <w:color w:val="222222"/>
          <w:sz w:val="20"/>
          <w:szCs w:val="20"/>
          <w:shd w:val="clear" w:color="auto" w:fill="FFFFFF"/>
        </w:rPr>
        <w:t xml:space="preserve">(2), No-13. </w:t>
      </w:r>
      <w:hyperlink r:id="rId21" w:history="1">
        <w:r w:rsidRPr="00C90253">
          <w:rPr>
            <w:rFonts w:ascii="Arial" w:hAnsi="Arial" w:cs="Arial"/>
            <w:color w:val="1155CC"/>
            <w:sz w:val="20"/>
            <w:szCs w:val="20"/>
            <w:u w:val="single"/>
            <w:shd w:val="clear" w:color="auto" w:fill="FFFFFF"/>
          </w:rPr>
          <w:t>https://our.repo.nii.ac.jp/records/2013081</w:t>
        </w:r>
      </w:hyperlink>
    </w:p>
    <w:p w14:paraId="53B30635"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Conan Simpson, J. (2021). Fostering teacher leadership in K</w:t>
      </w:r>
      <w:r w:rsidRPr="00C90253">
        <w:rPr>
          <w:rFonts w:ascii="Cambria Math" w:hAnsi="Cambria Math" w:cs="Cambria Math"/>
          <w:color w:val="222222"/>
          <w:sz w:val="20"/>
          <w:szCs w:val="20"/>
          <w:shd w:val="clear" w:color="auto" w:fill="FFFFFF"/>
        </w:rPr>
        <w:t>‐</w:t>
      </w:r>
      <w:r w:rsidRPr="00C90253">
        <w:rPr>
          <w:rFonts w:ascii="Arial" w:hAnsi="Arial" w:cs="Arial"/>
          <w:color w:val="222222"/>
          <w:sz w:val="20"/>
          <w:szCs w:val="20"/>
          <w:shd w:val="clear" w:color="auto" w:fill="FFFFFF"/>
        </w:rPr>
        <w:t xml:space="preserve">12 schools: A review of the literature. </w:t>
      </w:r>
      <w:r w:rsidRPr="00C90253">
        <w:rPr>
          <w:rFonts w:ascii="Arial" w:hAnsi="Arial" w:cs="Arial"/>
          <w:i/>
          <w:iCs/>
          <w:color w:val="222222"/>
          <w:sz w:val="20"/>
          <w:szCs w:val="20"/>
          <w:shd w:val="clear" w:color="auto" w:fill="FFFFFF"/>
        </w:rPr>
        <w:t>Performance Improvement Quarterly</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34</w:t>
      </w:r>
      <w:r w:rsidRPr="00C90253">
        <w:rPr>
          <w:rFonts w:ascii="Arial" w:hAnsi="Arial" w:cs="Arial"/>
          <w:color w:val="222222"/>
          <w:sz w:val="20"/>
          <w:szCs w:val="20"/>
          <w:shd w:val="clear" w:color="auto" w:fill="FFFFFF"/>
        </w:rPr>
        <w:t xml:space="preserve">(3), 229-246. </w:t>
      </w:r>
      <w:hyperlink r:id="rId22" w:history="1">
        <w:r w:rsidRPr="00C90253">
          <w:rPr>
            <w:rFonts w:ascii="Arial" w:hAnsi="Arial" w:cs="Arial"/>
            <w:color w:val="1155CC"/>
            <w:sz w:val="20"/>
            <w:szCs w:val="20"/>
            <w:u w:val="single"/>
            <w:shd w:val="clear" w:color="auto" w:fill="FFFFFF"/>
          </w:rPr>
          <w:t>https://onlinelibrary.wiley.com/doi/abs/10.1002/piq.21374</w:t>
        </w:r>
      </w:hyperlink>
    </w:p>
    <w:p w14:paraId="16020A1B"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Harper-Hill, K., Beamish, W., Hay, S., Whelan, M., Kerr, J., Zelenko, O., &amp; Villalba, C. (2022). Teacher engagement in professional learning: what makes the difference to teacher practice?. </w:t>
      </w:r>
      <w:r w:rsidRPr="00C90253">
        <w:rPr>
          <w:rFonts w:ascii="Arial" w:hAnsi="Arial" w:cs="Arial"/>
          <w:i/>
          <w:iCs/>
          <w:color w:val="222222"/>
          <w:sz w:val="20"/>
          <w:szCs w:val="20"/>
          <w:shd w:val="clear" w:color="auto" w:fill="FFFFFF"/>
        </w:rPr>
        <w:t>Studies in Continuing Education</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44</w:t>
      </w:r>
      <w:r w:rsidRPr="00C90253">
        <w:rPr>
          <w:rFonts w:ascii="Arial" w:hAnsi="Arial" w:cs="Arial"/>
          <w:color w:val="222222"/>
          <w:sz w:val="20"/>
          <w:szCs w:val="20"/>
          <w:shd w:val="clear" w:color="auto" w:fill="FFFFFF"/>
        </w:rPr>
        <w:t xml:space="preserve">(1), 105-118. </w:t>
      </w:r>
      <w:hyperlink r:id="rId23" w:history="1">
        <w:r w:rsidRPr="00C90253">
          <w:rPr>
            <w:rFonts w:ascii="Arial" w:hAnsi="Arial" w:cs="Arial"/>
            <w:color w:val="1155CC"/>
            <w:sz w:val="20"/>
            <w:szCs w:val="20"/>
            <w:u w:val="single"/>
            <w:shd w:val="clear" w:color="auto" w:fill="FFFFFF"/>
          </w:rPr>
          <w:t>https://www.tandfonline.com/doi/abs/10.1080/0158037X.2020.1781611</w:t>
        </w:r>
      </w:hyperlink>
    </w:p>
    <w:p w14:paraId="674A6208"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Jones, J. (2020). Innovations in learning: Design enhances engagement. </w:t>
      </w:r>
      <w:r w:rsidRPr="00C90253">
        <w:rPr>
          <w:rFonts w:ascii="Arial" w:hAnsi="Arial" w:cs="Arial"/>
          <w:i/>
          <w:iCs/>
          <w:color w:val="222222"/>
          <w:sz w:val="20"/>
          <w:szCs w:val="20"/>
          <w:shd w:val="clear" w:color="auto" w:fill="FFFFFF"/>
        </w:rPr>
        <w:t>Childhood education</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96</w:t>
      </w:r>
      <w:r w:rsidRPr="00C90253">
        <w:rPr>
          <w:rFonts w:ascii="Arial" w:hAnsi="Arial" w:cs="Arial"/>
          <w:color w:val="222222"/>
          <w:sz w:val="20"/>
          <w:szCs w:val="20"/>
          <w:shd w:val="clear" w:color="auto" w:fill="FFFFFF"/>
        </w:rPr>
        <w:t xml:space="preserve">(1), 58-61. </w:t>
      </w:r>
      <w:hyperlink r:id="rId24" w:history="1">
        <w:r w:rsidRPr="00C90253">
          <w:rPr>
            <w:rFonts w:ascii="Arial" w:hAnsi="Arial" w:cs="Arial"/>
            <w:color w:val="1155CC"/>
            <w:sz w:val="20"/>
            <w:szCs w:val="20"/>
            <w:u w:val="single"/>
            <w:shd w:val="clear" w:color="auto" w:fill="FFFFFF"/>
          </w:rPr>
          <w:t>https://www.tandfonline.com/doi/full/10.1080/00094056.2020.1707540</w:t>
        </w:r>
      </w:hyperlink>
    </w:p>
    <w:p w14:paraId="2B9FBDE6"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Li, R., Liu, H., Chen, Y., &amp; Yao, M. (2022). Teacher engagement and self-efficacy: The mediating role of continuing professional development and moderating role of teaching experience. </w:t>
      </w:r>
      <w:r w:rsidRPr="00C90253">
        <w:rPr>
          <w:rFonts w:ascii="Arial" w:hAnsi="Arial" w:cs="Arial"/>
          <w:i/>
          <w:iCs/>
          <w:color w:val="222222"/>
          <w:sz w:val="20"/>
          <w:szCs w:val="20"/>
          <w:shd w:val="clear" w:color="auto" w:fill="FFFFFF"/>
        </w:rPr>
        <w:t>Current psychology</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41</w:t>
      </w:r>
      <w:r w:rsidRPr="00C90253">
        <w:rPr>
          <w:rFonts w:ascii="Arial" w:hAnsi="Arial" w:cs="Arial"/>
          <w:color w:val="222222"/>
          <w:sz w:val="20"/>
          <w:szCs w:val="20"/>
          <w:shd w:val="clear" w:color="auto" w:fill="FFFFFF"/>
        </w:rPr>
        <w:t xml:space="preserve">(1), 328-337. </w:t>
      </w:r>
      <w:hyperlink r:id="rId25" w:history="1">
        <w:r w:rsidRPr="00C90253">
          <w:rPr>
            <w:rFonts w:ascii="Arial" w:hAnsi="Arial" w:cs="Arial"/>
            <w:color w:val="1155CC"/>
            <w:sz w:val="20"/>
            <w:szCs w:val="20"/>
            <w:u w:val="single"/>
            <w:shd w:val="clear" w:color="auto" w:fill="FFFFFF"/>
          </w:rPr>
          <w:t>https://link.springer.com/article/10.1007/s12144-019-00575-5</w:t>
        </w:r>
      </w:hyperlink>
    </w:p>
    <w:p w14:paraId="2A44F719" w14:textId="77777777" w:rsidR="00C90253" w:rsidRPr="00C90253" w:rsidRDefault="00C90253" w:rsidP="00C90253">
      <w:pPr>
        <w:ind w:left="851" w:hanging="851"/>
        <w:jc w:val="both"/>
      </w:pPr>
      <w:proofErr w:type="spellStart"/>
      <w:r w:rsidRPr="00C90253">
        <w:rPr>
          <w:rFonts w:ascii="Arial" w:hAnsi="Arial" w:cs="Arial"/>
          <w:color w:val="222222"/>
          <w:sz w:val="20"/>
          <w:szCs w:val="20"/>
          <w:shd w:val="clear" w:color="auto" w:fill="FFFFFF"/>
        </w:rPr>
        <w:t>Maguate</w:t>
      </w:r>
      <w:proofErr w:type="spellEnd"/>
      <w:r w:rsidRPr="00C90253">
        <w:rPr>
          <w:rFonts w:ascii="Arial" w:hAnsi="Arial" w:cs="Arial"/>
          <w:color w:val="222222"/>
          <w:sz w:val="20"/>
          <w:szCs w:val="20"/>
          <w:shd w:val="clear" w:color="auto" w:fill="FFFFFF"/>
        </w:rPr>
        <w:t xml:space="preserve">, G. S., </w:t>
      </w:r>
      <w:proofErr w:type="spellStart"/>
      <w:r w:rsidRPr="00C90253">
        <w:rPr>
          <w:rFonts w:ascii="Arial" w:hAnsi="Arial" w:cs="Arial"/>
          <w:color w:val="222222"/>
          <w:sz w:val="20"/>
          <w:szCs w:val="20"/>
          <w:shd w:val="clear" w:color="auto" w:fill="FFFFFF"/>
        </w:rPr>
        <w:t>Ohoylan</w:t>
      </w:r>
      <w:proofErr w:type="spellEnd"/>
      <w:r w:rsidRPr="00C90253">
        <w:rPr>
          <w:rFonts w:ascii="Arial" w:hAnsi="Arial" w:cs="Arial"/>
          <w:color w:val="222222"/>
          <w:sz w:val="20"/>
          <w:szCs w:val="20"/>
          <w:shd w:val="clear" w:color="auto" w:fill="FFFFFF"/>
        </w:rPr>
        <w:t xml:space="preserve">, J. G. D., Sotto, N. A. B., Moises, R. D., &amp; Alegre, A. B. (2024). Exploring in-service training programs for teacher development in the Philippines. </w:t>
      </w:r>
      <w:r w:rsidRPr="00C90253">
        <w:rPr>
          <w:rFonts w:ascii="Arial" w:hAnsi="Arial" w:cs="Arial"/>
          <w:i/>
          <w:iCs/>
          <w:color w:val="222222"/>
          <w:sz w:val="20"/>
          <w:szCs w:val="20"/>
          <w:shd w:val="clear" w:color="auto" w:fill="FFFFFF"/>
        </w:rPr>
        <w:t>International Research Journal of Science, Technology, Education, &amp; Management (IRJSTEM)</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4</w:t>
      </w:r>
      <w:r w:rsidRPr="00C90253">
        <w:rPr>
          <w:rFonts w:ascii="Arial" w:hAnsi="Arial" w:cs="Arial"/>
          <w:color w:val="222222"/>
          <w:sz w:val="20"/>
          <w:szCs w:val="20"/>
          <w:shd w:val="clear" w:color="auto" w:fill="FFFFFF"/>
        </w:rPr>
        <w:t xml:space="preserve">(3). </w:t>
      </w:r>
      <w:hyperlink r:id="rId26" w:history="1">
        <w:r w:rsidRPr="00C90253">
          <w:rPr>
            <w:rFonts w:ascii="Arial" w:hAnsi="Arial" w:cs="Arial"/>
            <w:color w:val="1155CC"/>
            <w:sz w:val="20"/>
            <w:szCs w:val="20"/>
            <w:u w:val="single"/>
            <w:shd w:val="clear" w:color="auto" w:fill="FFFFFF"/>
          </w:rPr>
          <w:t>https://irjstem.com/wp-content/uploads/2024/11/IRJSTEM-V4N3-2024-P04.pdf</w:t>
        </w:r>
      </w:hyperlink>
    </w:p>
    <w:p w14:paraId="32C84C0E" w14:textId="77777777" w:rsidR="00C90253" w:rsidRPr="00C90253" w:rsidRDefault="00C90253" w:rsidP="00C90253">
      <w:pPr>
        <w:ind w:left="851" w:hanging="851"/>
        <w:jc w:val="both"/>
      </w:pPr>
      <w:proofErr w:type="spellStart"/>
      <w:r w:rsidRPr="00C90253">
        <w:rPr>
          <w:rFonts w:ascii="Arial" w:hAnsi="Arial" w:cs="Arial"/>
          <w:color w:val="222222"/>
          <w:sz w:val="20"/>
          <w:szCs w:val="20"/>
          <w:shd w:val="clear" w:color="auto" w:fill="FFFFFF"/>
        </w:rPr>
        <w:t>Musenze</w:t>
      </w:r>
      <w:proofErr w:type="spellEnd"/>
      <w:r w:rsidRPr="00C90253">
        <w:rPr>
          <w:rFonts w:ascii="Arial" w:hAnsi="Arial" w:cs="Arial"/>
          <w:color w:val="222222"/>
          <w:sz w:val="20"/>
          <w:szCs w:val="20"/>
          <w:shd w:val="clear" w:color="auto" w:fill="FFFFFF"/>
        </w:rPr>
        <w:t xml:space="preserve">, I. A., </w:t>
      </w:r>
      <w:proofErr w:type="spellStart"/>
      <w:r w:rsidRPr="00C90253">
        <w:rPr>
          <w:rFonts w:ascii="Arial" w:hAnsi="Arial" w:cs="Arial"/>
          <w:color w:val="222222"/>
          <w:sz w:val="20"/>
          <w:szCs w:val="20"/>
          <w:shd w:val="clear" w:color="auto" w:fill="FFFFFF"/>
        </w:rPr>
        <w:t>Mayende</w:t>
      </w:r>
      <w:proofErr w:type="spellEnd"/>
      <w:r w:rsidRPr="00C90253">
        <w:rPr>
          <w:rFonts w:ascii="Arial" w:hAnsi="Arial" w:cs="Arial"/>
          <w:color w:val="222222"/>
          <w:sz w:val="20"/>
          <w:szCs w:val="20"/>
          <w:shd w:val="clear" w:color="auto" w:fill="FFFFFF"/>
        </w:rPr>
        <w:t xml:space="preserve">, T. S., </w:t>
      </w:r>
      <w:proofErr w:type="spellStart"/>
      <w:r w:rsidRPr="00C90253">
        <w:rPr>
          <w:rFonts w:ascii="Arial" w:hAnsi="Arial" w:cs="Arial"/>
          <w:color w:val="222222"/>
          <w:sz w:val="20"/>
          <w:szCs w:val="20"/>
          <w:shd w:val="clear" w:color="auto" w:fill="FFFFFF"/>
        </w:rPr>
        <w:t>Kalenzi</w:t>
      </w:r>
      <w:proofErr w:type="spellEnd"/>
      <w:r w:rsidRPr="00C90253">
        <w:rPr>
          <w:rFonts w:ascii="Arial" w:hAnsi="Arial" w:cs="Arial"/>
          <w:color w:val="222222"/>
          <w:sz w:val="20"/>
          <w:szCs w:val="20"/>
          <w:shd w:val="clear" w:color="auto" w:fill="FFFFFF"/>
        </w:rPr>
        <w:t xml:space="preserve">, A., &amp; Namono, R. (2022). Perceived organizational support, self-efficacy and work engagement: testing for the interaction effects. </w:t>
      </w:r>
      <w:r w:rsidRPr="00C90253">
        <w:rPr>
          <w:rFonts w:ascii="Arial" w:hAnsi="Arial" w:cs="Arial"/>
          <w:i/>
          <w:iCs/>
          <w:color w:val="222222"/>
          <w:sz w:val="20"/>
          <w:szCs w:val="20"/>
          <w:shd w:val="clear" w:color="auto" w:fill="FFFFFF"/>
        </w:rPr>
        <w:t>Journal of Economic and Administrative Sciences</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38</w:t>
      </w:r>
      <w:r w:rsidRPr="00C90253">
        <w:rPr>
          <w:rFonts w:ascii="Arial" w:hAnsi="Arial" w:cs="Arial"/>
          <w:color w:val="222222"/>
          <w:sz w:val="20"/>
          <w:szCs w:val="20"/>
          <w:shd w:val="clear" w:color="auto" w:fill="FFFFFF"/>
        </w:rPr>
        <w:t xml:space="preserve">(2), 201-228. </w:t>
      </w:r>
      <w:hyperlink r:id="rId27" w:history="1">
        <w:r w:rsidRPr="00C90253">
          <w:rPr>
            <w:rFonts w:ascii="Arial" w:hAnsi="Arial" w:cs="Arial"/>
            <w:color w:val="1155CC"/>
            <w:sz w:val="20"/>
            <w:szCs w:val="20"/>
            <w:u w:val="single"/>
            <w:shd w:val="clear" w:color="auto" w:fill="FFFFFF"/>
          </w:rPr>
          <w:t>https://www.emerald.com/insight/content/doi/10.1108/jeas-08-2020-0141/full/html</w:t>
        </w:r>
      </w:hyperlink>
      <w:r w:rsidRPr="00C90253">
        <w:rPr>
          <w:rFonts w:ascii="Arial" w:hAnsi="Arial" w:cs="Arial"/>
          <w:color w:val="222222"/>
          <w:sz w:val="20"/>
          <w:szCs w:val="20"/>
          <w:shd w:val="clear" w:color="auto" w:fill="FFFFFF"/>
        </w:rPr>
        <w:t> </w:t>
      </w:r>
    </w:p>
    <w:p w14:paraId="491A83FC"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Mwesigwa, R., Tusiime, I., &amp; </w:t>
      </w:r>
      <w:proofErr w:type="spellStart"/>
      <w:r w:rsidRPr="00C90253">
        <w:rPr>
          <w:rFonts w:ascii="Arial" w:hAnsi="Arial" w:cs="Arial"/>
          <w:color w:val="222222"/>
          <w:sz w:val="20"/>
          <w:szCs w:val="20"/>
          <w:shd w:val="clear" w:color="auto" w:fill="FFFFFF"/>
        </w:rPr>
        <w:t>Ssekiziyivu</w:t>
      </w:r>
      <w:proofErr w:type="spellEnd"/>
      <w:r w:rsidRPr="00C90253">
        <w:rPr>
          <w:rFonts w:ascii="Arial" w:hAnsi="Arial" w:cs="Arial"/>
          <w:color w:val="222222"/>
          <w:sz w:val="20"/>
          <w:szCs w:val="20"/>
          <w:shd w:val="clear" w:color="auto" w:fill="FFFFFF"/>
        </w:rPr>
        <w:t xml:space="preserve">, B. (2020). Leadership styles, job satisfaction and organizational commitment among academic staff in public universities. </w:t>
      </w:r>
      <w:r w:rsidRPr="00C90253">
        <w:rPr>
          <w:rFonts w:ascii="Arial" w:hAnsi="Arial" w:cs="Arial"/>
          <w:i/>
          <w:iCs/>
          <w:color w:val="222222"/>
          <w:sz w:val="20"/>
          <w:szCs w:val="20"/>
          <w:shd w:val="clear" w:color="auto" w:fill="FFFFFF"/>
        </w:rPr>
        <w:t>Journal of Management development</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39</w:t>
      </w:r>
      <w:r w:rsidRPr="00C90253">
        <w:rPr>
          <w:rFonts w:ascii="Arial" w:hAnsi="Arial" w:cs="Arial"/>
          <w:color w:val="222222"/>
          <w:sz w:val="20"/>
          <w:szCs w:val="20"/>
          <w:shd w:val="clear" w:color="auto" w:fill="FFFFFF"/>
        </w:rPr>
        <w:t xml:space="preserve">(2), 253-268. </w:t>
      </w:r>
      <w:hyperlink r:id="rId28" w:history="1">
        <w:r w:rsidRPr="00C90253">
          <w:rPr>
            <w:rFonts w:ascii="Arial" w:hAnsi="Arial" w:cs="Arial"/>
            <w:color w:val="1155CC"/>
            <w:sz w:val="20"/>
            <w:szCs w:val="20"/>
            <w:u w:val="single"/>
            <w:shd w:val="clear" w:color="auto" w:fill="FFFFFF"/>
          </w:rPr>
          <w:t>https://www.emerald.com/insight/content/doi/10.1108/jmd-02-2018-0055/full/html</w:t>
        </w:r>
      </w:hyperlink>
    </w:p>
    <w:p w14:paraId="19463EA7" w14:textId="77777777" w:rsidR="00C90253" w:rsidRPr="00C90253" w:rsidRDefault="00C90253" w:rsidP="00C90253">
      <w:pPr>
        <w:ind w:left="851" w:hanging="851"/>
        <w:jc w:val="both"/>
      </w:pPr>
      <w:proofErr w:type="spellStart"/>
      <w:r w:rsidRPr="00C90253">
        <w:rPr>
          <w:rFonts w:ascii="Arial" w:hAnsi="Arial" w:cs="Arial"/>
          <w:color w:val="222222"/>
          <w:sz w:val="20"/>
          <w:szCs w:val="20"/>
          <w:shd w:val="clear" w:color="auto" w:fill="FFFFFF"/>
        </w:rPr>
        <w:t>Otrębski</w:t>
      </w:r>
      <w:proofErr w:type="spellEnd"/>
      <w:r w:rsidRPr="00C90253">
        <w:rPr>
          <w:rFonts w:ascii="Arial" w:hAnsi="Arial" w:cs="Arial"/>
          <w:color w:val="222222"/>
          <w:sz w:val="20"/>
          <w:szCs w:val="20"/>
          <w:shd w:val="clear" w:color="auto" w:fill="FFFFFF"/>
        </w:rPr>
        <w:t xml:space="preserve">, W. (2022). The correlation between organizational (school) climate and teacher job satisfaction—the type of educational institution moderating role. </w:t>
      </w:r>
      <w:r w:rsidRPr="00C90253">
        <w:rPr>
          <w:rFonts w:ascii="Arial" w:hAnsi="Arial" w:cs="Arial"/>
          <w:i/>
          <w:iCs/>
          <w:color w:val="222222"/>
          <w:sz w:val="20"/>
          <w:szCs w:val="20"/>
          <w:shd w:val="clear" w:color="auto" w:fill="FFFFFF"/>
        </w:rPr>
        <w:t xml:space="preserve">International </w:t>
      </w:r>
      <w:r w:rsidRPr="00C90253">
        <w:rPr>
          <w:rFonts w:ascii="Arial" w:hAnsi="Arial" w:cs="Arial"/>
          <w:i/>
          <w:iCs/>
          <w:color w:val="222222"/>
          <w:sz w:val="20"/>
          <w:szCs w:val="20"/>
          <w:shd w:val="clear" w:color="auto" w:fill="FFFFFF"/>
        </w:rPr>
        <w:lastRenderedPageBreak/>
        <w:t>Journal of Environmental Research and Public Health</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19</w:t>
      </w:r>
      <w:r w:rsidRPr="00C90253">
        <w:rPr>
          <w:rFonts w:ascii="Arial" w:hAnsi="Arial" w:cs="Arial"/>
          <w:color w:val="222222"/>
          <w:sz w:val="20"/>
          <w:szCs w:val="20"/>
          <w:shd w:val="clear" w:color="auto" w:fill="FFFFFF"/>
        </w:rPr>
        <w:t xml:space="preserve">(11), 6520. </w:t>
      </w:r>
      <w:hyperlink r:id="rId29" w:history="1">
        <w:r w:rsidRPr="00C90253">
          <w:rPr>
            <w:rFonts w:ascii="Arial" w:hAnsi="Arial" w:cs="Arial"/>
            <w:color w:val="1155CC"/>
            <w:sz w:val="20"/>
            <w:szCs w:val="20"/>
            <w:u w:val="single"/>
            <w:shd w:val="clear" w:color="auto" w:fill="FFFFFF"/>
          </w:rPr>
          <w:t>https://www.mdpi.com/1660-4601/19/11/6520</w:t>
        </w:r>
      </w:hyperlink>
    </w:p>
    <w:p w14:paraId="36DE59EC" w14:textId="77777777" w:rsidR="00C90253" w:rsidRPr="00C90253" w:rsidRDefault="00C90253" w:rsidP="00C90253">
      <w:pPr>
        <w:ind w:left="851" w:hanging="851"/>
        <w:jc w:val="both"/>
      </w:pPr>
      <w:proofErr w:type="spellStart"/>
      <w:r w:rsidRPr="00C90253">
        <w:rPr>
          <w:rFonts w:ascii="Arial" w:hAnsi="Arial" w:cs="Arial"/>
          <w:color w:val="222222"/>
          <w:sz w:val="20"/>
          <w:szCs w:val="20"/>
          <w:shd w:val="clear" w:color="auto" w:fill="FFFFFF"/>
        </w:rPr>
        <w:t>Pasique</w:t>
      </w:r>
      <w:proofErr w:type="spellEnd"/>
      <w:r w:rsidRPr="00C90253">
        <w:rPr>
          <w:rFonts w:ascii="Arial" w:hAnsi="Arial" w:cs="Arial"/>
          <w:color w:val="222222"/>
          <w:sz w:val="20"/>
          <w:szCs w:val="20"/>
          <w:shd w:val="clear" w:color="auto" w:fill="FFFFFF"/>
        </w:rPr>
        <w:t xml:space="preserve">, D. A., &amp; </w:t>
      </w:r>
      <w:proofErr w:type="spellStart"/>
      <w:r w:rsidRPr="00C90253">
        <w:rPr>
          <w:rFonts w:ascii="Arial" w:hAnsi="Arial" w:cs="Arial"/>
          <w:color w:val="222222"/>
          <w:sz w:val="20"/>
          <w:szCs w:val="20"/>
          <w:shd w:val="clear" w:color="auto" w:fill="FFFFFF"/>
        </w:rPr>
        <w:t>Maguate</w:t>
      </w:r>
      <w:proofErr w:type="spellEnd"/>
      <w:r w:rsidRPr="00C90253">
        <w:rPr>
          <w:rFonts w:ascii="Arial" w:hAnsi="Arial" w:cs="Arial"/>
          <w:color w:val="222222"/>
          <w:sz w:val="20"/>
          <w:szCs w:val="20"/>
          <w:shd w:val="clear" w:color="auto" w:fill="FFFFFF"/>
        </w:rPr>
        <w:t xml:space="preserve">, G. (2023). Challenges and opportunities among educators in the implementation of continuing professional development. </w:t>
      </w:r>
      <w:r w:rsidRPr="00C90253">
        <w:rPr>
          <w:rFonts w:ascii="Arial" w:hAnsi="Arial" w:cs="Arial"/>
          <w:i/>
          <w:iCs/>
          <w:color w:val="222222"/>
          <w:sz w:val="20"/>
          <w:szCs w:val="20"/>
          <w:shd w:val="clear" w:color="auto" w:fill="FFFFFF"/>
        </w:rPr>
        <w:t>International Journal for Multidisciplinary Research (IJFMR)</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5</w:t>
      </w:r>
      <w:r w:rsidRPr="00C90253">
        <w:rPr>
          <w:rFonts w:ascii="Arial" w:hAnsi="Arial" w:cs="Arial"/>
          <w:color w:val="222222"/>
          <w:sz w:val="20"/>
          <w:szCs w:val="20"/>
          <w:shd w:val="clear" w:color="auto" w:fill="FFFFFF"/>
        </w:rPr>
        <w:t xml:space="preserve">(4). </w:t>
      </w:r>
      <w:hyperlink r:id="rId30" w:history="1">
        <w:r w:rsidRPr="00C90253">
          <w:rPr>
            <w:rFonts w:ascii="Arial" w:hAnsi="Arial" w:cs="Arial"/>
            <w:color w:val="1155CC"/>
            <w:sz w:val="20"/>
            <w:szCs w:val="20"/>
            <w:u w:val="single"/>
            <w:shd w:val="clear" w:color="auto" w:fill="FFFFFF"/>
          </w:rPr>
          <w:t>https://papers.ssrn.com/sol3/papers.cfm?abstract_id=4636770</w:t>
        </w:r>
      </w:hyperlink>
    </w:p>
    <w:p w14:paraId="0B2C70A1" w14:textId="77777777" w:rsidR="00C90253" w:rsidRPr="00C90253" w:rsidRDefault="00C90253" w:rsidP="00C90253">
      <w:pPr>
        <w:ind w:left="851" w:hanging="851"/>
        <w:jc w:val="both"/>
      </w:pPr>
      <w:proofErr w:type="spellStart"/>
      <w:r w:rsidRPr="00C90253">
        <w:rPr>
          <w:rFonts w:ascii="Arial" w:hAnsi="Arial" w:cs="Arial"/>
          <w:color w:val="000000"/>
          <w:sz w:val="20"/>
          <w:szCs w:val="20"/>
        </w:rPr>
        <w:t>Pregoner</w:t>
      </w:r>
      <w:proofErr w:type="spellEnd"/>
      <w:r w:rsidRPr="00C90253">
        <w:rPr>
          <w:rFonts w:ascii="Arial" w:hAnsi="Arial" w:cs="Arial"/>
          <w:color w:val="000000"/>
          <w:sz w:val="20"/>
          <w:szCs w:val="20"/>
        </w:rPr>
        <w:t xml:space="preserve">, J. D. (2024). Research approaches in education: A comparison of quantitative, qualitative and mixed methods. </w:t>
      </w:r>
      <w:r w:rsidRPr="00C90253">
        <w:rPr>
          <w:rFonts w:ascii="Arial" w:hAnsi="Arial" w:cs="Arial"/>
          <w:i/>
          <w:iCs/>
          <w:color w:val="000000"/>
          <w:sz w:val="20"/>
          <w:szCs w:val="20"/>
        </w:rPr>
        <w:t>IMCC Journal of Science</w:t>
      </w:r>
      <w:r w:rsidRPr="00C90253">
        <w:rPr>
          <w:rFonts w:ascii="Arial" w:hAnsi="Arial" w:cs="Arial"/>
          <w:color w:val="000000"/>
          <w:sz w:val="20"/>
          <w:szCs w:val="20"/>
        </w:rPr>
        <w:t xml:space="preserve">, </w:t>
      </w:r>
      <w:r w:rsidRPr="00C90253">
        <w:rPr>
          <w:rFonts w:ascii="Arial" w:hAnsi="Arial" w:cs="Arial"/>
          <w:i/>
          <w:iCs/>
          <w:color w:val="000000"/>
          <w:sz w:val="20"/>
          <w:szCs w:val="20"/>
        </w:rPr>
        <w:t>4</w:t>
      </w:r>
      <w:r w:rsidRPr="00C90253">
        <w:rPr>
          <w:rFonts w:ascii="Arial" w:hAnsi="Arial" w:cs="Arial"/>
          <w:color w:val="000000"/>
          <w:sz w:val="20"/>
          <w:szCs w:val="20"/>
        </w:rPr>
        <w:t xml:space="preserve">(2), 31-36. </w:t>
      </w:r>
      <w:hyperlink r:id="rId31" w:history="1">
        <w:r w:rsidRPr="00C90253">
          <w:rPr>
            <w:rFonts w:ascii="Arial" w:hAnsi="Arial" w:cs="Arial"/>
            <w:color w:val="000000"/>
            <w:sz w:val="20"/>
            <w:szCs w:val="20"/>
            <w:u w:val="single"/>
          </w:rPr>
          <w:t>https://hal.science/hal-04655066</w:t>
        </w:r>
      </w:hyperlink>
      <w:r w:rsidRPr="00C90253">
        <w:rPr>
          <w:rFonts w:ascii="Arial" w:hAnsi="Arial" w:cs="Arial"/>
          <w:color w:val="000000"/>
          <w:sz w:val="20"/>
          <w:szCs w:val="20"/>
        </w:rPr>
        <w:t>/</w:t>
      </w:r>
    </w:p>
    <w:p w14:paraId="42E98550" w14:textId="77777777" w:rsidR="00C90253" w:rsidRPr="00C90253" w:rsidRDefault="00C90253" w:rsidP="00C90253">
      <w:pPr>
        <w:ind w:left="851" w:hanging="851"/>
        <w:jc w:val="both"/>
      </w:pPr>
      <w:proofErr w:type="spellStart"/>
      <w:r w:rsidRPr="00C90253">
        <w:rPr>
          <w:rFonts w:ascii="Arial" w:hAnsi="Arial" w:cs="Arial"/>
          <w:color w:val="000000"/>
          <w:sz w:val="20"/>
          <w:szCs w:val="20"/>
        </w:rPr>
        <w:t>Pregoner</w:t>
      </w:r>
      <w:proofErr w:type="spellEnd"/>
      <w:r w:rsidRPr="00C90253">
        <w:rPr>
          <w:rFonts w:ascii="Arial" w:hAnsi="Arial" w:cs="Arial"/>
          <w:color w:val="000000"/>
          <w:sz w:val="20"/>
          <w:szCs w:val="20"/>
        </w:rPr>
        <w:t xml:space="preserve">, J. D., </w:t>
      </w:r>
      <w:proofErr w:type="spellStart"/>
      <w:r w:rsidRPr="00C90253">
        <w:rPr>
          <w:rFonts w:ascii="Arial" w:hAnsi="Arial" w:cs="Arial"/>
          <w:color w:val="000000"/>
          <w:sz w:val="20"/>
          <w:szCs w:val="20"/>
        </w:rPr>
        <w:t>Leopardas</w:t>
      </w:r>
      <w:proofErr w:type="spellEnd"/>
      <w:r w:rsidRPr="00C90253">
        <w:rPr>
          <w:rFonts w:ascii="Arial" w:hAnsi="Arial" w:cs="Arial"/>
          <w:color w:val="000000"/>
          <w:sz w:val="20"/>
          <w:szCs w:val="20"/>
        </w:rPr>
        <w:t xml:space="preserve">, R., Ganancial, I. J., </w:t>
      </w:r>
      <w:proofErr w:type="spellStart"/>
      <w:r w:rsidRPr="00C90253">
        <w:rPr>
          <w:rFonts w:ascii="Arial" w:hAnsi="Arial" w:cs="Arial"/>
          <w:color w:val="000000"/>
          <w:sz w:val="20"/>
          <w:szCs w:val="20"/>
        </w:rPr>
        <w:t>Baguhin</w:t>
      </w:r>
      <w:proofErr w:type="spellEnd"/>
      <w:r w:rsidRPr="00C90253">
        <w:rPr>
          <w:rFonts w:ascii="Arial" w:hAnsi="Arial" w:cs="Arial"/>
          <w:color w:val="000000"/>
          <w:sz w:val="20"/>
          <w:szCs w:val="20"/>
        </w:rPr>
        <w:t xml:space="preserve">, M., &amp; Sedo, F. (2025). Ethical Issues in Conducting Research Using Human Participants in the Post-COVID Era. </w:t>
      </w:r>
      <w:r w:rsidRPr="00C90253">
        <w:rPr>
          <w:rFonts w:ascii="Arial" w:hAnsi="Arial" w:cs="Arial"/>
          <w:i/>
          <w:iCs/>
          <w:color w:val="000000"/>
          <w:sz w:val="20"/>
          <w:szCs w:val="20"/>
        </w:rPr>
        <w:t>IMCC Journal of Science</w:t>
      </w:r>
      <w:r w:rsidRPr="00C90253">
        <w:rPr>
          <w:rFonts w:ascii="Arial" w:hAnsi="Arial" w:cs="Arial"/>
          <w:color w:val="000000"/>
          <w:sz w:val="20"/>
          <w:szCs w:val="20"/>
        </w:rPr>
        <w:t xml:space="preserve">, </w:t>
      </w:r>
      <w:r w:rsidRPr="00C90253">
        <w:rPr>
          <w:rFonts w:ascii="Arial" w:hAnsi="Arial" w:cs="Arial"/>
          <w:i/>
          <w:iCs/>
          <w:color w:val="000000"/>
          <w:sz w:val="20"/>
          <w:szCs w:val="20"/>
        </w:rPr>
        <w:t>5</w:t>
      </w:r>
      <w:r w:rsidRPr="00C90253">
        <w:rPr>
          <w:rFonts w:ascii="Arial" w:hAnsi="Arial" w:cs="Arial"/>
          <w:color w:val="000000"/>
          <w:sz w:val="20"/>
          <w:szCs w:val="20"/>
        </w:rPr>
        <w:t xml:space="preserve">(1), 1-9. </w:t>
      </w:r>
      <w:hyperlink r:id="rId32" w:history="1">
        <w:r w:rsidRPr="00C90253">
          <w:rPr>
            <w:rFonts w:ascii="Arial" w:hAnsi="Arial" w:cs="Arial"/>
            <w:color w:val="000000"/>
            <w:sz w:val="20"/>
            <w:szCs w:val="20"/>
            <w:u w:val="single"/>
          </w:rPr>
          <w:t>https://hal.science/hal-05073466</w:t>
        </w:r>
      </w:hyperlink>
      <w:r w:rsidRPr="00C90253">
        <w:rPr>
          <w:rFonts w:ascii="Arial" w:hAnsi="Arial" w:cs="Arial"/>
          <w:color w:val="000000"/>
          <w:sz w:val="20"/>
          <w:szCs w:val="20"/>
        </w:rPr>
        <w:t>/</w:t>
      </w:r>
    </w:p>
    <w:p w14:paraId="13AC2A14"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Ro, J. (2020). Curriculum, standards and </w:t>
      </w:r>
      <w:proofErr w:type="spellStart"/>
      <w:r w:rsidRPr="00C90253">
        <w:rPr>
          <w:rFonts w:ascii="Arial" w:hAnsi="Arial" w:cs="Arial"/>
          <w:color w:val="222222"/>
          <w:sz w:val="20"/>
          <w:szCs w:val="20"/>
          <w:shd w:val="clear" w:color="auto" w:fill="FFFFFF"/>
        </w:rPr>
        <w:t>professionalisation</w:t>
      </w:r>
      <w:proofErr w:type="spellEnd"/>
      <w:r w:rsidRPr="00C90253">
        <w:rPr>
          <w:rFonts w:ascii="Arial" w:hAnsi="Arial" w:cs="Arial"/>
          <w:color w:val="222222"/>
          <w:sz w:val="20"/>
          <w:szCs w:val="20"/>
          <w:shd w:val="clear" w:color="auto" w:fill="FFFFFF"/>
        </w:rPr>
        <w:t xml:space="preserve">: The policy discourse on teacher professionalism in Singapore. </w:t>
      </w:r>
      <w:r w:rsidRPr="00C90253">
        <w:rPr>
          <w:rFonts w:ascii="Arial" w:hAnsi="Arial" w:cs="Arial"/>
          <w:i/>
          <w:iCs/>
          <w:color w:val="222222"/>
          <w:sz w:val="20"/>
          <w:szCs w:val="20"/>
          <w:shd w:val="clear" w:color="auto" w:fill="FFFFFF"/>
        </w:rPr>
        <w:t>Teaching and Teacher Education</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91</w:t>
      </w:r>
      <w:r w:rsidRPr="00C90253">
        <w:rPr>
          <w:rFonts w:ascii="Arial" w:hAnsi="Arial" w:cs="Arial"/>
          <w:color w:val="222222"/>
          <w:sz w:val="20"/>
          <w:szCs w:val="20"/>
          <w:shd w:val="clear" w:color="auto" w:fill="FFFFFF"/>
        </w:rPr>
        <w:t xml:space="preserve">, 103056. </w:t>
      </w:r>
      <w:hyperlink r:id="rId33" w:history="1">
        <w:r w:rsidRPr="00C90253">
          <w:rPr>
            <w:rFonts w:ascii="Arial" w:hAnsi="Arial" w:cs="Arial"/>
            <w:color w:val="1155CC"/>
            <w:sz w:val="20"/>
            <w:szCs w:val="20"/>
            <w:u w:val="single"/>
            <w:shd w:val="clear" w:color="auto" w:fill="FFFFFF"/>
          </w:rPr>
          <w:t>https://www.sciencedirect.com/science/article/abs/pii/S0742051X19308133</w:t>
        </w:r>
      </w:hyperlink>
      <w:r w:rsidRPr="00C90253">
        <w:rPr>
          <w:rFonts w:ascii="Arial" w:hAnsi="Arial" w:cs="Arial"/>
          <w:color w:val="222222"/>
          <w:sz w:val="20"/>
          <w:szCs w:val="20"/>
          <w:shd w:val="clear" w:color="auto" w:fill="FFFFFF"/>
        </w:rPr>
        <w:t> </w:t>
      </w:r>
    </w:p>
    <w:p w14:paraId="4ED6F6D7" w14:textId="77777777" w:rsidR="00C90253" w:rsidRPr="00C90253" w:rsidRDefault="00C90253" w:rsidP="00C90253">
      <w:pPr>
        <w:ind w:left="851" w:hanging="851"/>
        <w:jc w:val="both"/>
      </w:pPr>
      <w:proofErr w:type="spellStart"/>
      <w:r w:rsidRPr="00C90253">
        <w:rPr>
          <w:rFonts w:ascii="Arial" w:hAnsi="Arial" w:cs="Arial"/>
          <w:color w:val="222222"/>
          <w:sz w:val="20"/>
          <w:szCs w:val="20"/>
          <w:shd w:val="clear" w:color="auto" w:fill="FFFFFF"/>
        </w:rPr>
        <w:t>Şanliöz</w:t>
      </w:r>
      <w:proofErr w:type="spellEnd"/>
      <w:r w:rsidRPr="00C90253">
        <w:rPr>
          <w:rFonts w:ascii="Arial" w:hAnsi="Arial" w:cs="Arial"/>
          <w:color w:val="222222"/>
          <w:sz w:val="20"/>
          <w:szCs w:val="20"/>
          <w:shd w:val="clear" w:color="auto" w:fill="FFFFFF"/>
        </w:rPr>
        <w:t xml:space="preserve">, E., </w:t>
      </w:r>
      <w:proofErr w:type="spellStart"/>
      <w:r w:rsidRPr="00C90253">
        <w:rPr>
          <w:rFonts w:ascii="Arial" w:hAnsi="Arial" w:cs="Arial"/>
          <w:color w:val="222222"/>
          <w:sz w:val="20"/>
          <w:szCs w:val="20"/>
          <w:shd w:val="clear" w:color="auto" w:fill="FFFFFF"/>
        </w:rPr>
        <w:t>Sağbaş</w:t>
      </w:r>
      <w:proofErr w:type="spellEnd"/>
      <w:r w:rsidRPr="00C90253">
        <w:rPr>
          <w:rFonts w:ascii="Arial" w:hAnsi="Arial" w:cs="Arial"/>
          <w:color w:val="222222"/>
          <w:sz w:val="20"/>
          <w:szCs w:val="20"/>
          <w:shd w:val="clear" w:color="auto" w:fill="FFFFFF"/>
        </w:rPr>
        <w:t xml:space="preserve">, M., &amp; Sürücü, L. (2023). The mediating role of perceived organizational support in the impact of work engagement on job performance. </w:t>
      </w:r>
      <w:r w:rsidRPr="00C90253">
        <w:rPr>
          <w:rFonts w:ascii="Arial" w:hAnsi="Arial" w:cs="Arial"/>
          <w:i/>
          <w:iCs/>
          <w:color w:val="222222"/>
          <w:sz w:val="20"/>
          <w:szCs w:val="20"/>
          <w:shd w:val="clear" w:color="auto" w:fill="FFFFFF"/>
        </w:rPr>
        <w:t>Hospital topics</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101</w:t>
      </w:r>
      <w:r w:rsidRPr="00C90253">
        <w:rPr>
          <w:rFonts w:ascii="Arial" w:hAnsi="Arial" w:cs="Arial"/>
          <w:color w:val="222222"/>
          <w:sz w:val="20"/>
          <w:szCs w:val="20"/>
          <w:shd w:val="clear" w:color="auto" w:fill="FFFFFF"/>
        </w:rPr>
        <w:t xml:space="preserve">(4), 305-318. </w:t>
      </w:r>
      <w:hyperlink r:id="rId34" w:history="1">
        <w:r w:rsidRPr="00C90253">
          <w:rPr>
            <w:rFonts w:ascii="Arial" w:hAnsi="Arial" w:cs="Arial"/>
            <w:color w:val="1155CC"/>
            <w:sz w:val="20"/>
            <w:szCs w:val="20"/>
            <w:u w:val="single"/>
            <w:shd w:val="clear" w:color="auto" w:fill="FFFFFF"/>
          </w:rPr>
          <w:t>https://www.tandfonline.com/doi/abs/10.1080/00185868.2022.2049024</w:t>
        </w:r>
      </w:hyperlink>
    </w:p>
    <w:p w14:paraId="27C86B13"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Scull, J., Phillips, M., Sharma, U., &amp; Garnier, K. (2020). Innovations in teacher education at the time of COVID19: an Australian perspective. </w:t>
      </w:r>
      <w:r w:rsidRPr="00C90253">
        <w:rPr>
          <w:rFonts w:ascii="Arial" w:hAnsi="Arial" w:cs="Arial"/>
          <w:i/>
          <w:iCs/>
          <w:color w:val="222222"/>
          <w:sz w:val="20"/>
          <w:szCs w:val="20"/>
          <w:shd w:val="clear" w:color="auto" w:fill="FFFFFF"/>
        </w:rPr>
        <w:t>Journal of education for teaching</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46</w:t>
      </w:r>
      <w:r w:rsidRPr="00C90253">
        <w:rPr>
          <w:rFonts w:ascii="Arial" w:hAnsi="Arial" w:cs="Arial"/>
          <w:color w:val="222222"/>
          <w:sz w:val="20"/>
          <w:szCs w:val="20"/>
          <w:shd w:val="clear" w:color="auto" w:fill="FFFFFF"/>
        </w:rPr>
        <w:t xml:space="preserve">(4), 497-506. </w:t>
      </w:r>
      <w:hyperlink r:id="rId35" w:history="1">
        <w:r w:rsidRPr="00C90253">
          <w:rPr>
            <w:rFonts w:ascii="Arial" w:hAnsi="Arial" w:cs="Arial"/>
            <w:color w:val="1155CC"/>
            <w:sz w:val="20"/>
            <w:szCs w:val="20"/>
            <w:u w:val="single"/>
            <w:shd w:val="clear" w:color="auto" w:fill="FFFFFF"/>
          </w:rPr>
          <w:t>https://www.tandfonline.com/doi/abs/10.1080/02607476.2020.1802701</w:t>
        </w:r>
      </w:hyperlink>
    </w:p>
    <w:p w14:paraId="4EC090FE"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Tang, Z., Zhao, R., Bian, F., &amp; Lin, Y. (2022). The Effect of College Teachers' Innovative Classroom Teaching Behavior on Learning Engagement: the Mediating Effect of Teaching. </w:t>
      </w:r>
      <w:r w:rsidRPr="00C90253">
        <w:rPr>
          <w:rFonts w:ascii="Arial" w:hAnsi="Arial" w:cs="Arial"/>
          <w:i/>
          <w:iCs/>
          <w:color w:val="222222"/>
          <w:sz w:val="20"/>
          <w:szCs w:val="20"/>
          <w:shd w:val="clear" w:color="auto" w:fill="FFFFFF"/>
        </w:rPr>
        <w:t>Curriculum and Teaching Methodology</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5</w:t>
      </w:r>
      <w:r w:rsidRPr="00C90253">
        <w:rPr>
          <w:rFonts w:ascii="Arial" w:hAnsi="Arial" w:cs="Arial"/>
          <w:color w:val="222222"/>
          <w:sz w:val="20"/>
          <w:szCs w:val="20"/>
          <w:shd w:val="clear" w:color="auto" w:fill="FFFFFF"/>
        </w:rPr>
        <w:t xml:space="preserve">(5), 37-43. </w:t>
      </w:r>
      <w:hyperlink r:id="rId36" w:history="1">
        <w:r w:rsidRPr="00C90253">
          <w:rPr>
            <w:rFonts w:ascii="Arial" w:hAnsi="Arial" w:cs="Arial"/>
            <w:color w:val="1155CC"/>
            <w:sz w:val="20"/>
            <w:szCs w:val="20"/>
            <w:u w:val="single"/>
            <w:shd w:val="clear" w:color="auto" w:fill="FFFFFF"/>
          </w:rPr>
          <w:t>http://166.62.7.99/assets/default/article/2022/07/28/article_1659062943.pdf</w:t>
        </w:r>
      </w:hyperlink>
    </w:p>
    <w:p w14:paraId="4C8738FD"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Tao, Y., Meng, Y., Gao, Z., &amp; Yang, X. (2022). Perceived teacher support, student engagement, and academic achievement: A meta-analysis. </w:t>
      </w:r>
      <w:r w:rsidRPr="00C90253">
        <w:rPr>
          <w:rFonts w:ascii="Arial" w:hAnsi="Arial" w:cs="Arial"/>
          <w:i/>
          <w:iCs/>
          <w:color w:val="222222"/>
          <w:sz w:val="20"/>
          <w:szCs w:val="20"/>
          <w:shd w:val="clear" w:color="auto" w:fill="FFFFFF"/>
        </w:rPr>
        <w:t>Educational Psychology</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42</w:t>
      </w:r>
      <w:r w:rsidRPr="00C90253">
        <w:rPr>
          <w:rFonts w:ascii="Arial" w:hAnsi="Arial" w:cs="Arial"/>
          <w:color w:val="222222"/>
          <w:sz w:val="20"/>
          <w:szCs w:val="20"/>
          <w:shd w:val="clear" w:color="auto" w:fill="FFFFFF"/>
        </w:rPr>
        <w:t xml:space="preserve">(4), 401-420. </w:t>
      </w:r>
      <w:hyperlink r:id="rId37" w:history="1">
        <w:r w:rsidRPr="00C90253">
          <w:rPr>
            <w:rFonts w:ascii="Arial" w:hAnsi="Arial" w:cs="Arial"/>
            <w:color w:val="1155CC"/>
            <w:sz w:val="20"/>
            <w:szCs w:val="20"/>
            <w:u w:val="single"/>
            <w:shd w:val="clear" w:color="auto" w:fill="FFFFFF"/>
          </w:rPr>
          <w:t>https://www.tandfonline.com/doi/abs/10.1080/01443410.2022.2033168</w:t>
        </w:r>
      </w:hyperlink>
    </w:p>
    <w:p w14:paraId="7AA21E25" w14:textId="77777777" w:rsidR="00C90253" w:rsidRPr="0076337A" w:rsidRDefault="00C90253" w:rsidP="00C90253">
      <w:pPr>
        <w:ind w:left="851" w:hanging="851"/>
        <w:jc w:val="both"/>
        <w:rPr>
          <w:rFonts w:ascii="Arial" w:hAnsi="Arial" w:cs="Arial"/>
          <w:sz w:val="20"/>
          <w:szCs w:val="20"/>
        </w:rPr>
      </w:pPr>
      <w:r w:rsidRPr="00C90253">
        <w:rPr>
          <w:rFonts w:ascii="Arial" w:hAnsi="Arial" w:cs="Arial"/>
          <w:color w:val="222222"/>
          <w:sz w:val="20"/>
          <w:szCs w:val="20"/>
          <w:shd w:val="clear" w:color="auto" w:fill="FFFFFF"/>
        </w:rPr>
        <w:t xml:space="preserve">Tomaszewski, W., Xiang, N., Huang, Y., Western, M., McCourt, B., &amp; McCarthy, I. (2022). The impact of effective teaching practices on academic achievement when mediated by student engagement: Evidence from Australian high schools. </w:t>
      </w:r>
      <w:r w:rsidRPr="00C90253">
        <w:rPr>
          <w:rFonts w:ascii="Arial" w:hAnsi="Arial" w:cs="Arial"/>
          <w:i/>
          <w:iCs/>
          <w:color w:val="222222"/>
          <w:sz w:val="20"/>
          <w:szCs w:val="20"/>
          <w:shd w:val="clear" w:color="auto" w:fill="FFFFFF"/>
        </w:rPr>
        <w:t>Education Sciences</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12</w:t>
      </w:r>
      <w:r w:rsidRPr="00C90253">
        <w:rPr>
          <w:rFonts w:ascii="Arial" w:hAnsi="Arial" w:cs="Arial"/>
          <w:color w:val="222222"/>
          <w:sz w:val="20"/>
          <w:szCs w:val="20"/>
          <w:shd w:val="clear" w:color="auto" w:fill="FFFFFF"/>
        </w:rPr>
        <w:t xml:space="preserve">(5), 358. </w:t>
      </w:r>
      <w:hyperlink r:id="rId38" w:history="1">
        <w:r w:rsidRPr="00C90253">
          <w:rPr>
            <w:rFonts w:ascii="Arial" w:hAnsi="Arial" w:cs="Arial"/>
            <w:color w:val="1155CC"/>
            <w:sz w:val="20"/>
            <w:szCs w:val="20"/>
            <w:u w:val="single"/>
            <w:shd w:val="clear" w:color="auto" w:fill="FFFFFF"/>
          </w:rPr>
          <w:t>https://www.mdpi.com/2227-7102/12/5/358</w:t>
        </w:r>
      </w:hyperlink>
    </w:p>
    <w:p w14:paraId="386B6249"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Woodcock, S., Sharma, U., Subban, P., &amp; Hitches, E. (2022). Teacher self-efficacy and inclusive education practices: Rethinking teachers’ engagement with inclusive practices. </w:t>
      </w:r>
      <w:r w:rsidRPr="00C90253">
        <w:rPr>
          <w:rFonts w:ascii="Arial" w:hAnsi="Arial" w:cs="Arial"/>
          <w:i/>
          <w:iCs/>
          <w:color w:val="222222"/>
          <w:sz w:val="20"/>
          <w:szCs w:val="20"/>
          <w:shd w:val="clear" w:color="auto" w:fill="FFFFFF"/>
        </w:rPr>
        <w:t>Teaching and teacher education</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117</w:t>
      </w:r>
      <w:r w:rsidRPr="00C90253">
        <w:rPr>
          <w:rFonts w:ascii="Arial" w:hAnsi="Arial" w:cs="Arial"/>
          <w:color w:val="222222"/>
          <w:sz w:val="20"/>
          <w:szCs w:val="20"/>
          <w:shd w:val="clear" w:color="auto" w:fill="FFFFFF"/>
        </w:rPr>
        <w:t xml:space="preserve">, 103802. </w:t>
      </w:r>
      <w:hyperlink r:id="rId39" w:history="1">
        <w:r w:rsidRPr="00C90253">
          <w:rPr>
            <w:rFonts w:ascii="Arial" w:hAnsi="Arial" w:cs="Arial"/>
            <w:color w:val="1155CC"/>
            <w:sz w:val="20"/>
            <w:szCs w:val="20"/>
            <w:u w:val="single"/>
            <w:shd w:val="clear" w:color="auto" w:fill="FFFFFF"/>
          </w:rPr>
          <w:t>https://www.sciencedirect.com/science/article/pii/S0742051X22001767</w:t>
        </w:r>
      </w:hyperlink>
    </w:p>
    <w:p w14:paraId="0AA65321" w14:textId="77777777" w:rsidR="00C90253" w:rsidRPr="00C90253" w:rsidRDefault="00C90253" w:rsidP="00C90253">
      <w:pPr>
        <w:ind w:left="851" w:hanging="851"/>
        <w:jc w:val="both"/>
      </w:pPr>
      <w:r w:rsidRPr="00C90253">
        <w:rPr>
          <w:rFonts w:ascii="Arial" w:hAnsi="Arial" w:cs="Arial"/>
          <w:color w:val="222222"/>
          <w:sz w:val="20"/>
          <w:szCs w:val="20"/>
          <w:shd w:val="clear" w:color="auto" w:fill="FFFFFF"/>
        </w:rPr>
        <w:t xml:space="preserve">Xu, X., Wu, Z., &amp; Wei, D. (2023). The relationship between perceived teacher support and student engagement among higher vocational students: A moderated mediation model. </w:t>
      </w:r>
      <w:r w:rsidRPr="00C90253">
        <w:rPr>
          <w:rFonts w:ascii="Arial" w:hAnsi="Arial" w:cs="Arial"/>
          <w:i/>
          <w:iCs/>
          <w:color w:val="222222"/>
          <w:sz w:val="20"/>
          <w:szCs w:val="20"/>
          <w:shd w:val="clear" w:color="auto" w:fill="FFFFFF"/>
        </w:rPr>
        <w:t>Frontiers in Psychology</w:t>
      </w:r>
      <w:r w:rsidRPr="00C90253">
        <w:rPr>
          <w:rFonts w:ascii="Arial" w:hAnsi="Arial" w:cs="Arial"/>
          <w:color w:val="222222"/>
          <w:sz w:val="20"/>
          <w:szCs w:val="20"/>
          <w:shd w:val="clear" w:color="auto" w:fill="FFFFFF"/>
        </w:rPr>
        <w:t xml:space="preserve">, </w:t>
      </w:r>
      <w:r w:rsidRPr="00C90253">
        <w:rPr>
          <w:rFonts w:ascii="Arial" w:hAnsi="Arial" w:cs="Arial"/>
          <w:i/>
          <w:iCs/>
          <w:color w:val="222222"/>
          <w:sz w:val="20"/>
          <w:szCs w:val="20"/>
          <w:shd w:val="clear" w:color="auto" w:fill="FFFFFF"/>
        </w:rPr>
        <w:t>14</w:t>
      </w:r>
      <w:r w:rsidRPr="00C90253">
        <w:rPr>
          <w:rFonts w:ascii="Arial" w:hAnsi="Arial" w:cs="Arial"/>
          <w:color w:val="222222"/>
          <w:sz w:val="20"/>
          <w:szCs w:val="20"/>
          <w:shd w:val="clear" w:color="auto" w:fill="FFFFFF"/>
        </w:rPr>
        <w:t xml:space="preserve">, 1116932. </w:t>
      </w:r>
      <w:hyperlink r:id="rId40" w:history="1">
        <w:r w:rsidRPr="00C90253">
          <w:rPr>
            <w:rFonts w:ascii="Arial" w:hAnsi="Arial" w:cs="Arial"/>
            <w:color w:val="1155CC"/>
            <w:sz w:val="20"/>
            <w:szCs w:val="20"/>
            <w:u w:val="single"/>
            <w:shd w:val="clear" w:color="auto" w:fill="FFFFFF"/>
          </w:rPr>
          <w:t>https://www.frontiersin.org/journals/psychology/articles/10.3389/fpsyg.2023.1116932/full</w:t>
        </w:r>
      </w:hyperlink>
    </w:p>
    <w:sectPr w:rsidR="00C90253" w:rsidRPr="00C90253" w:rsidSect="00FA1496">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14B40" w14:textId="77777777" w:rsidR="009F664E" w:rsidRDefault="009F664E">
      <w:r>
        <w:separator/>
      </w:r>
    </w:p>
  </w:endnote>
  <w:endnote w:type="continuationSeparator" w:id="0">
    <w:p w14:paraId="66B53713" w14:textId="77777777" w:rsidR="009F664E" w:rsidRDefault="009F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16AA" w14:textId="77777777" w:rsidR="00FA1496" w:rsidRDefault="00FA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70D4A" w14:textId="77777777" w:rsidR="00FA1496" w:rsidRDefault="00FA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4FE6FC9B" w:rsidR="00717F2E" w:rsidRPr="00FA1496" w:rsidRDefault="00717F2E" w:rsidP="00FA14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6746A" w14:textId="77777777" w:rsidR="009F664E" w:rsidRDefault="009F664E">
      <w:r>
        <w:separator/>
      </w:r>
    </w:p>
  </w:footnote>
  <w:footnote w:type="continuationSeparator" w:id="0">
    <w:p w14:paraId="41AA61CC" w14:textId="77777777" w:rsidR="009F664E" w:rsidRDefault="009F6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AADA" w14:textId="7F8CF06C" w:rsidR="00FA1496" w:rsidRDefault="009F664E">
    <w:pPr>
      <w:pStyle w:val="Header"/>
    </w:pPr>
    <w:r>
      <w:rPr>
        <w:noProof/>
      </w:rPr>
      <w:pict w14:anchorId="056B4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5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682FD" w14:textId="3F16E8AE" w:rsidR="00FA1496" w:rsidRDefault="009F664E">
    <w:pPr>
      <w:pStyle w:val="Header"/>
    </w:pPr>
    <w:r>
      <w:rPr>
        <w:noProof/>
      </w:rPr>
      <w:pict w14:anchorId="3F33B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5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55C21B33" w:rsidR="00717F2E" w:rsidRDefault="009F664E">
    <w:pPr>
      <w:ind w:left="2160"/>
      <w:jc w:val="center"/>
      <w:rPr>
        <w:rFonts w:eastAsia="Calibri"/>
        <w:i/>
        <w:sz w:val="18"/>
        <w:szCs w:val="22"/>
      </w:rPr>
    </w:pPr>
    <w:r>
      <w:rPr>
        <w:noProof/>
      </w:rPr>
      <w:pict w14:anchorId="2F61C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5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2FE390C6" w14:textId="77777777" w:rsidR="00717F2E" w:rsidRDefault="00180859">
    <w:pPr>
      <w:ind w:left="4320"/>
      <w:rPr>
        <w:rFonts w:eastAsia="Calibri"/>
        <w:i/>
        <w:sz w:val="18"/>
        <w:szCs w:val="22"/>
      </w:rPr>
    </w:pPr>
    <w:r>
      <w:rPr>
        <w:rFonts w:eastAsia="Calibri"/>
        <w:i/>
        <w:sz w:val="18"/>
        <w:szCs w:val="22"/>
      </w:rPr>
      <w:t xml:space="preserve">.     </w:t>
    </w:r>
  </w:p>
  <w:p w14:paraId="4835D4B8" w14:textId="77777777" w:rsidR="00717F2E" w:rsidRDefault="00180859">
    <w:pPr>
      <w:jc w:val="center"/>
      <w:rPr>
        <w:rFonts w:eastAsia="Calibri"/>
        <w:i/>
        <w:sz w:val="18"/>
        <w:szCs w:val="22"/>
      </w:rPr>
    </w:pPr>
    <w:r>
      <w:rPr>
        <w:rFonts w:eastAsia="Calibri"/>
        <w:i/>
        <w:sz w:val="18"/>
        <w:szCs w:val="22"/>
      </w:rPr>
      <w:t>.</w:t>
    </w:r>
  </w:p>
  <w:p w14:paraId="542E7A0C" w14:textId="77777777" w:rsidR="00717F2E" w:rsidRDefault="00180859">
    <w:pPr>
      <w:spacing w:after="200"/>
      <w:jc w:val="center"/>
      <w:rPr>
        <w:rFonts w:eastAsia="Calibri"/>
        <w:b/>
        <w:i/>
        <w:sz w:val="32"/>
        <w:szCs w:val="22"/>
      </w:rPr>
    </w:pPr>
    <w:r>
      <w:rPr>
        <w:rFonts w:eastAsia="Calibri"/>
        <w:b/>
        <w:i/>
        <w:sz w:val="32"/>
        <w:szCs w:val="22"/>
      </w:rPr>
      <w:t xml:space="preserve">              . </w:t>
    </w:r>
  </w:p>
  <w:p w14:paraId="160D0B15" w14:textId="77777777" w:rsidR="00717F2E" w:rsidRDefault="00180859">
    <w:pPr>
      <w:jc w:val="center"/>
      <w:rPr>
        <w:rFonts w:eastAsia="Calibri"/>
        <w:i/>
        <w:sz w:val="18"/>
        <w:szCs w:val="22"/>
      </w:rPr>
    </w:pPr>
    <w:r>
      <w:rPr>
        <w:rFonts w:eastAsia="Calibri"/>
        <w:i/>
        <w:sz w:val="18"/>
        <w:szCs w:val="22"/>
      </w:rPr>
      <w:t xml:space="preserve">                     </w:t>
    </w:r>
  </w:p>
  <w:p w14:paraId="0D6EED9D" w14:textId="77777777" w:rsidR="00717F2E" w:rsidRDefault="00180859">
    <w:pPr>
      <w:tabs>
        <w:tab w:val="left" w:pos="2145"/>
      </w:tabs>
      <w:rPr>
        <w:rFonts w:eastAsia="Calibri"/>
        <w:i/>
        <w:sz w:val="18"/>
        <w:szCs w:val="22"/>
      </w:rPr>
    </w:pPr>
    <w:r>
      <w:rPr>
        <w:rFonts w:eastAsia="Calibri"/>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BA6A" w14:textId="44A7CB35" w:rsidR="00FA1496" w:rsidRDefault="009F664E">
    <w:pPr>
      <w:pStyle w:val="Header"/>
    </w:pPr>
    <w:r>
      <w:rPr>
        <w:noProof/>
      </w:rPr>
      <w:pict w14:anchorId="397E7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5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E3EAF" w14:textId="007CD43E" w:rsidR="00FA1496" w:rsidRDefault="009F664E">
    <w:pPr>
      <w:pStyle w:val="Header"/>
    </w:pPr>
    <w:r>
      <w:rPr>
        <w:noProof/>
      </w:rPr>
      <w:pict w14:anchorId="7A0A8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5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81B2D" w14:textId="547507CF" w:rsidR="00FA1496" w:rsidRDefault="009F664E">
    <w:pPr>
      <w:pStyle w:val="Header"/>
    </w:pPr>
    <w:r>
      <w:rPr>
        <w:noProof/>
      </w:rPr>
      <w:pict w14:anchorId="1A33E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5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143E30F0"/>
    <w:multiLevelType w:val="multilevel"/>
    <w:tmpl w:val="22D0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4"/>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2462"/>
    <w:rsid w:val="00014095"/>
    <w:rsid w:val="00015C44"/>
    <w:rsid w:val="00017E5D"/>
    <w:rsid w:val="00021967"/>
    <w:rsid w:val="00021FDF"/>
    <w:rsid w:val="00023C1A"/>
    <w:rsid w:val="00024B4F"/>
    <w:rsid w:val="000254BB"/>
    <w:rsid w:val="00025BD1"/>
    <w:rsid w:val="000260E3"/>
    <w:rsid w:val="00030174"/>
    <w:rsid w:val="00037406"/>
    <w:rsid w:val="00037475"/>
    <w:rsid w:val="00040605"/>
    <w:rsid w:val="00043453"/>
    <w:rsid w:val="0004445B"/>
    <w:rsid w:val="0004512C"/>
    <w:rsid w:val="0004579C"/>
    <w:rsid w:val="00045CD6"/>
    <w:rsid w:val="00046AE8"/>
    <w:rsid w:val="000500E5"/>
    <w:rsid w:val="00052575"/>
    <w:rsid w:val="00052710"/>
    <w:rsid w:val="000531C9"/>
    <w:rsid w:val="00053CE0"/>
    <w:rsid w:val="00054B24"/>
    <w:rsid w:val="00054B91"/>
    <w:rsid w:val="0005727A"/>
    <w:rsid w:val="00057C65"/>
    <w:rsid w:val="000603D4"/>
    <w:rsid w:val="00061339"/>
    <w:rsid w:val="000647E2"/>
    <w:rsid w:val="00065135"/>
    <w:rsid w:val="00065B83"/>
    <w:rsid w:val="0006706E"/>
    <w:rsid w:val="0006786A"/>
    <w:rsid w:val="00067A0F"/>
    <w:rsid w:val="00067B98"/>
    <w:rsid w:val="00073DA5"/>
    <w:rsid w:val="000743FE"/>
    <w:rsid w:val="000763D2"/>
    <w:rsid w:val="00076F23"/>
    <w:rsid w:val="00081ACB"/>
    <w:rsid w:val="000827FD"/>
    <w:rsid w:val="00084A16"/>
    <w:rsid w:val="00090DFA"/>
    <w:rsid w:val="0009184C"/>
    <w:rsid w:val="00095BAE"/>
    <w:rsid w:val="00095F34"/>
    <w:rsid w:val="00096483"/>
    <w:rsid w:val="00096CB5"/>
    <w:rsid w:val="000A2230"/>
    <w:rsid w:val="000A3474"/>
    <w:rsid w:val="000A3EDA"/>
    <w:rsid w:val="000A47FA"/>
    <w:rsid w:val="000A61FE"/>
    <w:rsid w:val="000A65D3"/>
    <w:rsid w:val="000A729A"/>
    <w:rsid w:val="000A77F6"/>
    <w:rsid w:val="000B03FC"/>
    <w:rsid w:val="000B1E33"/>
    <w:rsid w:val="000B6BC1"/>
    <w:rsid w:val="000C2E75"/>
    <w:rsid w:val="000C3F87"/>
    <w:rsid w:val="000C43E4"/>
    <w:rsid w:val="000C5AE7"/>
    <w:rsid w:val="000C6E8D"/>
    <w:rsid w:val="000C70E2"/>
    <w:rsid w:val="000C73EB"/>
    <w:rsid w:val="000D2384"/>
    <w:rsid w:val="000D23E6"/>
    <w:rsid w:val="000D31C5"/>
    <w:rsid w:val="000D61B2"/>
    <w:rsid w:val="000D6596"/>
    <w:rsid w:val="000D6816"/>
    <w:rsid w:val="000D689F"/>
    <w:rsid w:val="000D75B5"/>
    <w:rsid w:val="000D7A6E"/>
    <w:rsid w:val="000D7D15"/>
    <w:rsid w:val="000E14BC"/>
    <w:rsid w:val="000E2902"/>
    <w:rsid w:val="000E2A0D"/>
    <w:rsid w:val="000E3042"/>
    <w:rsid w:val="000E3E43"/>
    <w:rsid w:val="000E3FD1"/>
    <w:rsid w:val="000E4A79"/>
    <w:rsid w:val="000E6BB8"/>
    <w:rsid w:val="000E75FA"/>
    <w:rsid w:val="000E7B7B"/>
    <w:rsid w:val="000E7C38"/>
    <w:rsid w:val="000E7D62"/>
    <w:rsid w:val="000F64BC"/>
    <w:rsid w:val="000F668F"/>
    <w:rsid w:val="000F7123"/>
    <w:rsid w:val="00103357"/>
    <w:rsid w:val="00107572"/>
    <w:rsid w:val="00113238"/>
    <w:rsid w:val="001142F8"/>
    <w:rsid w:val="00115F49"/>
    <w:rsid w:val="00117553"/>
    <w:rsid w:val="00117986"/>
    <w:rsid w:val="00122285"/>
    <w:rsid w:val="00122E99"/>
    <w:rsid w:val="00123C9F"/>
    <w:rsid w:val="001242A5"/>
    <w:rsid w:val="00126190"/>
    <w:rsid w:val="00126507"/>
    <w:rsid w:val="00126BC5"/>
    <w:rsid w:val="00130F17"/>
    <w:rsid w:val="00131057"/>
    <w:rsid w:val="001320BF"/>
    <w:rsid w:val="001326C5"/>
    <w:rsid w:val="00141329"/>
    <w:rsid w:val="00143F8B"/>
    <w:rsid w:val="001462B8"/>
    <w:rsid w:val="00146358"/>
    <w:rsid w:val="00147E94"/>
    <w:rsid w:val="00147F5C"/>
    <w:rsid w:val="00151F8F"/>
    <w:rsid w:val="001542F7"/>
    <w:rsid w:val="001550F4"/>
    <w:rsid w:val="001568A2"/>
    <w:rsid w:val="00157F68"/>
    <w:rsid w:val="0016056F"/>
    <w:rsid w:val="00160FA3"/>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1F6"/>
    <w:rsid w:val="001858C3"/>
    <w:rsid w:val="00185B38"/>
    <w:rsid w:val="00185D8F"/>
    <w:rsid w:val="001871D1"/>
    <w:rsid w:val="00187916"/>
    <w:rsid w:val="00191062"/>
    <w:rsid w:val="00192B72"/>
    <w:rsid w:val="00192F07"/>
    <w:rsid w:val="0019304D"/>
    <w:rsid w:val="001A1291"/>
    <w:rsid w:val="001A18F4"/>
    <w:rsid w:val="001A23A3"/>
    <w:rsid w:val="001A29D8"/>
    <w:rsid w:val="001A2FB0"/>
    <w:rsid w:val="001A5CAA"/>
    <w:rsid w:val="001B0427"/>
    <w:rsid w:val="001B0E69"/>
    <w:rsid w:val="001B1159"/>
    <w:rsid w:val="001B1ACC"/>
    <w:rsid w:val="001B41D7"/>
    <w:rsid w:val="001B785F"/>
    <w:rsid w:val="001B7F30"/>
    <w:rsid w:val="001C12F6"/>
    <w:rsid w:val="001C204D"/>
    <w:rsid w:val="001C2FC3"/>
    <w:rsid w:val="001C4AD5"/>
    <w:rsid w:val="001C572B"/>
    <w:rsid w:val="001C71EE"/>
    <w:rsid w:val="001C73EE"/>
    <w:rsid w:val="001D0BDE"/>
    <w:rsid w:val="001D10E2"/>
    <w:rsid w:val="001D3A51"/>
    <w:rsid w:val="001D4380"/>
    <w:rsid w:val="001E10D2"/>
    <w:rsid w:val="001E25B4"/>
    <w:rsid w:val="001E28EE"/>
    <w:rsid w:val="001E31B5"/>
    <w:rsid w:val="001E44FE"/>
    <w:rsid w:val="001E5B29"/>
    <w:rsid w:val="001E6121"/>
    <w:rsid w:val="001E7EB7"/>
    <w:rsid w:val="001F0198"/>
    <w:rsid w:val="001F0D34"/>
    <w:rsid w:val="001F7F3C"/>
    <w:rsid w:val="00200595"/>
    <w:rsid w:val="00200CF7"/>
    <w:rsid w:val="0020136A"/>
    <w:rsid w:val="002025A7"/>
    <w:rsid w:val="002039CD"/>
    <w:rsid w:val="00203AF9"/>
    <w:rsid w:val="00204835"/>
    <w:rsid w:val="00204F90"/>
    <w:rsid w:val="002074B8"/>
    <w:rsid w:val="00210C28"/>
    <w:rsid w:val="00216E59"/>
    <w:rsid w:val="002170C0"/>
    <w:rsid w:val="00224DE5"/>
    <w:rsid w:val="0022705B"/>
    <w:rsid w:val="002274C1"/>
    <w:rsid w:val="002309B8"/>
    <w:rsid w:val="00231920"/>
    <w:rsid w:val="0023195C"/>
    <w:rsid w:val="002322BD"/>
    <w:rsid w:val="00237589"/>
    <w:rsid w:val="00240CE3"/>
    <w:rsid w:val="00241741"/>
    <w:rsid w:val="0024282C"/>
    <w:rsid w:val="00245CB7"/>
    <w:rsid w:val="002460DC"/>
    <w:rsid w:val="00246DC7"/>
    <w:rsid w:val="00250985"/>
    <w:rsid w:val="0025105D"/>
    <w:rsid w:val="00251936"/>
    <w:rsid w:val="00251946"/>
    <w:rsid w:val="00254400"/>
    <w:rsid w:val="002556F6"/>
    <w:rsid w:val="00256882"/>
    <w:rsid w:val="002622D4"/>
    <w:rsid w:val="00264A59"/>
    <w:rsid w:val="00266E67"/>
    <w:rsid w:val="00271F07"/>
    <w:rsid w:val="002755D7"/>
    <w:rsid w:val="002814B3"/>
    <w:rsid w:val="00283105"/>
    <w:rsid w:val="00284C4C"/>
    <w:rsid w:val="0028598A"/>
    <w:rsid w:val="00293B5F"/>
    <w:rsid w:val="00293C16"/>
    <w:rsid w:val="00293C4C"/>
    <w:rsid w:val="00296529"/>
    <w:rsid w:val="0029657B"/>
    <w:rsid w:val="00296ED2"/>
    <w:rsid w:val="0029706D"/>
    <w:rsid w:val="002A20A0"/>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6722"/>
    <w:rsid w:val="002D7B25"/>
    <w:rsid w:val="002E0D56"/>
    <w:rsid w:val="002E3D6C"/>
    <w:rsid w:val="002E4205"/>
    <w:rsid w:val="002E68B9"/>
    <w:rsid w:val="002F2031"/>
    <w:rsid w:val="002F2D06"/>
    <w:rsid w:val="002F42EB"/>
    <w:rsid w:val="002F5C4B"/>
    <w:rsid w:val="002F5E64"/>
    <w:rsid w:val="0030202C"/>
    <w:rsid w:val="00303A6C"/>
    <w:rsid w:val="00303E14"/>
    <w:rsid w:val="00304049"/>
    <w:rsid w:val="00304434"/>
    <w:rsid w:val="00304469"/>
    <w:rsid w:val="00305A3D"/>
    <w:rsid w:val="003078F7"/>
    <w:rsid w:val="00312A81"/>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3C32"/>
    <w:rsid w:val="003340B8"/>
    <w:rsid w:val="003369E2"/>
    <w:rsid w:val="00337044"/>
    <w:rsid w:val="003377DA"/>
    <w:rsid w:val="0034085D"/>
    <w:rsid w:val="0034099F"/>
    <w:rsid w:val="00340BF5"/>
    <w:rsid w:val="0034224A"/>
    <w:rsid w:val="003443A5"/>
    <w:rsid w:val="00344502"/>
    <w:rsid w:val="003455D7"/>
    <w:rsid w:val="00346014"/>
    <w:rsid w:val="0034653D"/>
    <w:rsid w:val="003466A1"/>
    <w:rsid w:val="003512C2"/>
    <w:rsid w:val="00351B03"/>
    <w:rsid w:val="00351E2F"/>
    <w:rsid w:val="00351F41"/>
    <w:rsid w:val="003541EC"/>
    <w:rsid w:val="00356ACE"/>
    <w:rsid w:val="00362B79"/>
    <w:rsid w:val="00362D97"/>
    <w:rsid w:val="00363B3A"/>
    <w:rsid w:val="00363CA7"/>
    <w:rsid w:val="00366AA2"/>
    <w:rsid w:val="003709D8"/>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16A"/>
    <w:rsid w:val="003B2756"/>
    <w:rsid w:val="003B2A9F"/>
    <w:rsid w:val="003B6DFE"/>
    <w:rsid w:val="003B73F0"/>
    <w:rsid w:val="003C2056"/>
    <w:rsid w:val="003C4335"/>
    <w:rsid w:val="003C44A6"/>
    <w:rsid w:val="003C4C86"/>
    <w:rsid w:val="003C6258"/>
    <w:rsid w:val="003D171B"/>
    <w:rsid w:val="003D2D0A"/>
    <w:rsid w:val="003D3677"/>
    <w:rsid w:val="003D4C18"/>
    <w:rsid w:val="003D6BA6"/>
    <w:rsid w:val="003D6D18"/>
    <w:rsid w:val="003D7548"/>
    <w:rsid w:val="003D7E45"/>
    <w:rsid w:val="003E2904"/>
    <w:rsid w:val="003E3399"/>
    <w:rsid w:val="003E37A2"/>
    <w:rsid w:val="003E49AD"/>
    <w:rsid w:val="003E525D"/>
    <w:rsid w:val="003E671C"/>
    <w:rsid w:val="003E7C0F"/>
    <w:rsid w:val="003F10CF"/>
    <w:rsid w:val="003F2281"/>
    <w:rsid w:val="003F3B63"/>
    <w:rsid w:val="003F51E6"/>
    <w:rsid w:val="003F717C"/>
    <w:rsid w:val="003F760A"/>
    <w:rsid w:val="00401927"/>
    <w:rsid w:val="004040B3"/>
    <w:rsid w:val="00404135"/>
    <w:rsid w:val="0041027F"/>
    <w:rsid w:val="00410AB7"/>
    <w:rsid w:val="00412475"/>
    <w:rsid w:val="0041280F"/>
    <w:rsid w:val="004138D3"/>
    <w:rsid w:val="00415D76"/>
    <w:rsid w:val="00416DDE"/>
    <w:rsid w:val="00420BB1"/>
    <w:rsid w:val="00422C7D"/>
    <w:rsid w:val="00423789"/>
    <w:rsid w:val="00432C42"/>
    <w:rsid w:val="00432DD0"/>
    <w:rsid w:val="00434182"/>
    <w:rsid w:val="004346E5"/>
    <w:rsid w:val="00437079"/>
    <w:rsid w:val="0044039D"/>
    <w:rsid w:val="004408A9"/>
    <w:rsid w:val="00440F43"/>
    <w:rsid w:val="0044134F"/>
    <w:rsid w:val="00441B6F"/>
    <w:rsid w:val="00446221"/>
    <w:rsid w:val="00450E62"/>
    <w:rsid w:val="004539DB"/>
    <w:rsid w:val="00453EB4"/>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0DA"/>
    <w:rsid w:val="004735A4"/>
    <w:rsid w:val="00474519"/>
    <w:rsid w:val="00477570"/>
    <w:rsid w:val="00483372"/>
    <w:rsid w:val="0048547F"/>
    <w:rsid w:val="00485766"/>
    <w:rsid w:val="00490B0B"/>
    <w:rsid w:val="00491EFD"/>
    <w:rsid w:val="00495915"/>
    <w:rsid w:val="004A035C"/>
    <w:rsid w:val="004A78DF"/>
    <w:rsid w:val="004B1A50"/>
    <w:rsid w:val="004B1AFD"/>
    <w:rsid w:val="004B3158"/>
    <w:rsid w:val="004B3F72"/>
    <w:rsid w:val="004B4F00"/>
    <w:rsid w:val="004B72AD"/>
    <w:rsid w:val="004C0CFF"/>
    <w:rsid w:val="004C0FB0"/>
    <w:rsid w:val="004C23DD"/>
    <w:rsid w:val="004C482A"/>
    <w:rsid w:val="004C6530"/>
    <w:rsid w:val="004D07E8"/>
    <w:rsid w:val="004D0827"/>
    <w:rsid w:val="004D0C87"/>
    <w:rsid w:val="004D305E"/>
    <w:rsid w:val="004D4277"/>
    <w:rsid w:val="004D4879"/>
    <w:rsid w:val="004D4F05"/>
    <w:rsid w:val="004D7AA9"/>
    <w:rsid w:val="004E1DA9"/>
    <w:rsid w:val="004E21A0"/>
    <w:rsid w:val="004E5345"/>
    <w:rsid w:val="004E5924"/>
    <w:rsid w:val="004E6386"/>
    <w:rsid w:val="004F0467"/>
    <w:rsid w:val="004F3865"/>
    <w:rsid w:val="004F45E4"/>
    <w:rsid w:val="004F7E11"/>
    <w:rsid w:val="00500D35"/>
    <w:rsid w:val="00502516"/>
    <w:rsid w:val="00502B94"/>
    <w:rsid w:val="00502C0C"/>
    <w:rsid w:val="00502D46"/>
    <w:rsid w:val="00503ADC"/>
    <w:rsid w:val="00504CAB"/>
    <w:rsid w:val="00505231"/>
    <w:rsid w:val="00505F06"/>
    <w:rsid w:val="00506828"/>
    <w:rsid w:val="005075E3"/>
    <w:rsid w:val="0050761B"/>
    <w:rsid w:val="00507A73"/>
    <w:rsid w:val="00510433"/>
    <w:rsid w:val="00513168"/>
    <w:rsid w:val="00515908"/>
    <w:rsid w:val="0051664C"/>
    <w:rsid w:val="00516916"/>
    <w:rsid w:val="00523F46"/>
    <w:rsid w:val="00524ED0"/>
    <w:rsid w:val="00525B9D"/>
    <w:rsid w:val="00527235"/>
    <w:rsid w:val="00530216"/>
    <w:rsid w:val="0053056E"/>
    <w:rsid w:val="0053144C"/>
    <w:rsid w:val="00533886"/>
    <w:rsid w:val="0053558A"/>
    <w:rsid w:val="00535C8B"/>
    <w:rsid w:val="00535CBD"/>
    <w:rsid w:val="00536E27"/>
    <w:rsid w:val="005374EC"/>
    <w:rsid w:val="005404AD"/>
    <w:rsid w:val="00541DA0"/>
    <w:rsid w:val="00542525"/>
    <w:rsid w:val="005428F9"/>
    <w:rsid w:val="005435C6"/>
    <w:rsid w:val="00550463"/>
    <w:rsid w:val="00550670"/>
    <w:rsid w:val="005521C3"/>
    <w:rsid w:val="00553354"/>
    <w:rsid w:val="0055379E"/>
    <w:rsid w:val="00554C2B"/>
    <w:rsid w:val="00554EEE"/>
    <w:rsid w:val="00554FDA"/>
    <w:rsid w:val="00555852"/>
    <w:rsid w:val="00555A79"/>
    <w:rsid w:val="0055611F"/>
    <w:rsid w:val="00557ED8"/>
    <w:rsid w:val="005602BC"/>
    <w:rsid w:val="00560590"/>
    <w:rsid w:val="00560CCA"/>
    <w:rsid w:val="00561EAE"/>
    <w:rsid w:val="0056218A"/>
    <w:rsid w:val="00567306"/>
    <w:rsid w:val="00570131"/>
    <w:rsid w:val="005704B3"/>
    <w:rsid w:val="0057110B"/>
    <w:rsid w:val="00572250"/>
    <w:rsid w:val="0057230F"/>
    <w:rsid w:val="00572421"/>
    <w:rsid w:val="00573D3E"/>
    <w:rsid w:val="00574C91"/>
    <w:rsid w:val="00575E98"/>
    <w:rsid w:val="005811D6"/>
    <w:rsid w:val="0058179E"/>
    <w:rsid w:val="00582069"/>
    <w:rsid w:val="00585E1D"/>
    <w:rsid w:val="00587F26"/>
    <w:rsid w:val="00590BF3"/>
    <w:rsid w:val="00591549"/>
    <w:rsid w:val="005923EA"/>
    <w:rsid w:val="00596996"/>
    <w:rsid w:val="005A463E"/>
    <w:rsid w:val="005A4C3F"/>
    <w:rsid w:val="005A6405"/>
    <w:rsid w:val="005A6625"/>
    <w:rsid w:val="005B0E96"/>
    <w:rsid w:val="005B222E"/>
    <w:rsid w:val="005B2E0E"/>
    <w:rsid w:val="005B3F31"/>
    <w:rsid w:val="005B5EA4"/>
    <w:rsid w:val="005C004F"/>
    <w:rsid w:val="005C2662"/>
    <w:rsid w:val="005C2AB0"/>
    <w:rsid w:val="005C3039"/>
    <w:rsid w:val="005C5341"/>
    <w:rsid w:val="005C540B"/>
    <w:rsid w:val="005C6F1A"/>
    <w:rsid w:val="005C784C"/>
    <w:rsid w:val="005D17F6"/>
    <w:rsid w:val="005D1CBB"/>
    <w:rsid w:val="005D28C5"/>
    <w:rsid w:val="005D2C58"/>
    <w:rsid w:val="005D4AE9"/>
    <w:rsid w:val="005D5985"/>
    <w:rsid w:val="005D5C0A"/>
    <w:rsid w:val="005D5F0B"/>
    <w:rsid w:val="005D71AE"/>
    <w:rsid w:val="005E2A7F"/>
    <w:rsid w:val="005E34EF"/>
    <w:rsid w:val="005E5539"/>
    <w:rsid w:val="005E55F6"/>
    <w:rsid w:val="005F3517"/>
    <w:rsid w:val="005F3FD1"/>
    <w:rsid w:val="005F4FB1"/>
    <w:rsid w:val="005F5CD3"/>
    <w:rsid w:val="005F6D63"/>
    <w:rsid w:val="005F7B39"/>
    <w:rsid w:val="006013F0"/>
    <w:rsid w:val="00602BF5"/>
    <w:rsid w:val="006039E7"/>
    <w:rsid w:val="00604A7A"/>
    <w:rsid w:val="0060632C"/>
    <w:rsid w:val="00606EB7"/>
    <w:rsid w:val="00611918"/>
    <w:rsid w:val="0061357D"/>
    <w:rsid w:val="00613CF9"/>
    <w:rsid w:val="00615452"/>
    <w:rsid w:val="006162E2"/>
    <w:rsid w:val="006175EC"/>
    <w:rsid w:val="00617FDD"/>
    <w:rsid w:val="00620108"/>
    <w:rsid w:val="006203C5"/>
    <w:rsid w:val="00621CBF"/>
    <w:rsid w:val="00622252"/>
    <w:rsid w:val="0062246A"/>
    <w:rsid w:val="00624014"/>
    <w:rsid w:val="00626FF8"/>
    <w:rsid w:val="006273A5"/>
    <w:rsid w:val="00633614"/>
    <w:rsid w:val="00633D23"/>
    <w:rsid w:val="00633F68"/>
    <w:rsid w:val="00635BF6"/>
    <w:rsid w:val="00636EB2"/>
    <w:rsid w:val="006375B8"/>
    <w:rsid w:val="00641362"/>
    <w:rsid w:val="00641364"/>
    <w:rsid w:val="00641370"/>
    <w:rsid w:val="00641BF9"/>
    <w:rsid w:val="00642019"/>
    <w:rsid w:val="00642BE9"/>
    <w:rsid w:val="00646296"/>
    <w:rsid w:val="0065144C"/>
    <w:rsid w:val="00651627"/>
    <w:rsid w:val="00652742"/>
    <w:rsid w:val="0065364D"/>
    <w:rsid w:val="0065384F"/>
    <w:rsid w:val="00653EC9"/>
    <w:rsid w:val="006543BB"/>
    <w:rsid w:val="00654533"/>
    <w:rsid w:val="00655095"/>
    <w:rsid w:val="00657A66"/>
    <w:rsid w:val="00663234"/>
    <w:rsid w:val="0066510A"/>
    <w:rsid w:val="0066598B"/>
    <w:rsid w:val="00665B52"/>
    <w:rsid w:val="00665BF0"/>
    <w:rsid w:val="00665D1C"/>
    <w:rsid w:val="006706E9"/>
    <w:rsid w:val="00673F9F"/>
    <w:rsid w:val="0068125B"/>
    <w:rsid w:val="00681775"/>
    <w:rsid w:val="00681E63"/>
    <w:rsid w:val="00682376"/>
    <w:rsid w:val="006826E4"/>
    <w:rsid w:val="00683035"/>
    <w:rsid w:val="00686953"/>
    <w:rsid w:val="00686A69"/>
    <w:rsid w:val="00687935"/>
    <w:rsid w:val="00687DEA"/>
    <w:rsid w:val="00687E67"/>
    <w:rsid w:val="00687FCD"/>
    <w:rsid w:val="0069060A"/>
    <w:rsid w:val="006908C7"/>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1CB"/>
    <w:rsid w:val="006C3422"/>
    <w:rsid w:val="006C3F9D"/>
    <w:rsid w:val="006C6977"/>
    <w:rsid w:val="006D0988"/>
    <w:rsid w:val="006D30FF"/>
    <w:rsid w:val="006D4D7A"/>
    <w:rsid w:val="006D4EA0"/>
    <w:rsid w:val="006D6940"/>
    <w:rsid w:val="006E0AD9"/>
    <w:rsid w:val="006E38F4"/>
    <w:rsid w:val="006E4138"/>
    <w:rsid w:val="006E67C9"/>
    <w:rsid w:val="006E6A7D"/>
    <w:rsid w:val="006F0C7A"/>
    <w:rsid w:val="006F11EC"/>
    <w:rsid w:val="006F1B06"/>
    <w:rsid w:val="006F3835"/>
    <w:rsid w:val="006F4747"/>
    <w:rsid w:val="006F5599"/>
    <w:rsid w:val="006F6002"/>
    <w:rsid w:val="006F74CA"/>
    <w:rsid w:val="006F7EB7"/>
    <w:rsid w:val="006F7F32"/>
    <w:rsid w:val="0070082C"/>
    <w:rsid w:val="007033E6"/>
    <w:rsid w:val="00703AE3"/>
    <w:rsid w:val="00703FAD"/>
    <w:rsid w:val="007057ED"/>
    <w:rsid w:val="00706DF3"/>
    <w:rsid w:val="007101DE"/>
    <w:rsid w:val="007147B7"/>
    <w:rsid w:val="00717F2E"/>
    <w:rsid w:val="00720093"/>
    <w:rsid w:val="00720256"/>
    <w:rsid w:val="007210FA"/>
    <w:rsid w:val="00722C51"/>
    <w:rsid w:val="00725C58"/>
    <w:rsid w:val="00726004"/>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77E"/>
    <w:rsid w:val="00754C9A"/>
    <w:rsid w:val="00754DDF"/>
    <w:rsid w:val="0075599A"/>
    <w:rsid w:val="00756316"/>
    <w:rsid w:val="00756864"/>
    <w:rsid w:val="0075735E"/>
    <w:rsid w:val="00757F7F"/>
    <w:rsid w:val="00760B4F"/>
    <w:rsid w:val="00761D52"/>
    <w:rsid w:val="0076337A"/>
    <w:rsid w:val="00764629"/>
    <w:rsid w:val="00766500"/>
    <w:rsid w:val="00766599"/>
    <w:rsid w:val="0076770C"/>
    <w:rsid w:val="007701E3"/>
    <w:rsid w:val="007719CC"/>
    <w:rsid w:val="00771EA9"/>
    <w:rsid w:val="00775725"/>
    <w:rsid w:val="00776F82"/>
    <w:rsid w:val="0077749E"/>
    <w:rsid w:val="00777894"/>
    <w:rsid w:val="00777EFB"/>
    <w:rsid w:val="00781D5E"/>
    <w:rsid w:val="00781F66"/>
    <w:rsid w:val="00790ADA"/>
    <w:rsid w:val="00791230"/>
    <w:rsid w:val="0079158F"/>
    <w:rsid w:val="007969E9"/>
    <w:rsid w:val="007A0633"/>
    <w:rsid w:val="007A2E32"/>
    <w:rsid w:val="007A301D"/>
    <w:rsid w:val="007A351A"/>
    <w:rsid w:val="007B0C10"/>
    <w:rsid w:val="007B541F"/>
    <w:rsid w:val="007B6EB3"/>
    <w:rsid w:val="007C102A"/>
    <w:rsid w:val="007C3792"/>
    <w:rsid w:val="007C4C8B"/>
    <w:rsid w:val="007C4E84"/>
    <w:rsid w:val="007C6F64"/>
    <w:rsid w:val="007C7ACE"/>
    <w:rsid w:val="007D0606"/>
    <w:rsid w:val="007D2288"/>
    <w:rsid w:val="007D2B80"/>
    <w:rsid w:val="007D30D2"/>
    <w:rsid w:val="007D325B"/>
    <w:rsid w:val="007D3FB5"/>
    <w:rsid w:val="007D42A0"/>
    <w:rsid w:val="007D4CAA"/>
    <w:rsid w:val="007D7251"/>
    <w:rsid w:val="007D7C3E"/>
    <w:rsid w:val="007E088F"/>
    <w:rsid w:val="007E565A"/>
    <w:rsid w:val="007E7A7F"/>
    <w:rsid w:val="007E7D13"/>
    <w:rsid w:val="007F0057"/>
    <w:rsid w:val="007F02B2"/>
    <w:rsid w:val="007F209D"/>
    <w:rsid w:val="007F2720"/>
    <w:rsid w:val="007F43D3"/>
    <w:rsid w:val="007F6C64"/>
    <w:rsid w:val="007F6D8D"/>
    <w:rsid w:val="007F750C"/>
    <w:rsid w:val="007F7B32"/>
    <w:rsid w:val="007F7FDC"/>
    <w:rsid w:val="00804067"/>
    <w:rsid w:val="00804BC2"/>
    <w:rsid w:val="0080567F"/>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43FC"/>
    <w:rsid w:val="00836887"/>
    <w:rsid w:val="00840600"/>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5578"/>
    <w:rsid w:val="0088785F"/>
    <w:rsid w:val="00891B60"/>
    <w:rsid w:val="008927A1"/>
    <w:rsid w:val="008945A3"/>
    <w:rsid w:val="00894A4A"/>
    <w:rsid w:val="00895953"/>
    <w:rsid w:val="00896129"/>
    <w:rsid w:val="00896524"/>
    <w:rsid w:val="00897A9D"/>
    <w:rsid w:val="00897FB9"/>
    <w:rsid w:val="008A09AF"/>
    <w:rsid w:val="008A36E1"/>
    <w:rsid w:val="008A7E29"/>
    <w:rsid w:val="008B459E"/>
    <w:rsid w:val="008B64AB"/>
    <w:rsid w:val="008B6AE3"/>
    <w:rsid w:val="008C0731"/>
    <w:rsid w:val="008C2330"/>
    <w:rsid w:val="008C3CF9"/>
    <w:rsid w:val="008C65DE"/>
    <w:rsid w:val="008D1544"/>
    <w:rsid w:val="008D1C64"/>
    <w:rsid w:val="008D3C51"/>
    <w:rsid w:val="008D4CC6"/>
    <w:rsid w:val="008D5531"/>
    <w:rsid w:val="008D5C8A"/>
    <w:rsid w:val="008D6E31"/>
    <w:rsid w:val="008E122F"/>
    <w:rsid w:val="008E13AE"/>
    <w:rsid w:val="008E1506"/>
    <w:rsid w:val="008E1D48"/>
    <w:rsid w:val="008E710C"/>
    <w:rsid w:val="008F0221"/>
    <w:rsid w:val="008F2E29"/>
    <w:rsid w:val="008F3A04"/>
    <w:rsid w:val="008F446C"/>
    <w:rsid w:val="008F5B17"/>
    <w:rsid w:val="008F69D6"/>
    <w:rsid w:val="00902823"/>
    <w:rsid w:val="00907A49"/>
    <w:rsid w:val="00912783"/>
    <w:rsid w:val="00914755"/>
    <w:rsid w:val="00914956"/>
    <w:rsid w:val="00915CA6"/>
    <w:rsid w:val="00915CD7"/>
    <w:rsid w:val="00916994"/>
    <w:rsid w:val="009205F6"/>
    <w:rsid w:val="00922FF1"/>
    <w:rsid w:val="0092466B"/>
    <w:rsid w:val="00924904"/>
    <w:rsid w:val="00925012"/>
    <w:rsid w:val="00926B4B"/>
    <w:rsid w:val="009276F6"/>
    <w:rsid w:val="0092777F"/>
    <w:rsid w:val="00927834"/>
    <w:rsid w:val="009316B6"/>
    <w:rsid w:val="00932889"/>
    <w:rsid w:val="00934E13"/>
    <w:rsid w:val="00940320"/>
    <w:rsid w:val="00943756"/>
    <w:rsid w:val="00943A20"/>
    <w:rsid w:val="009500A6"/>
    <w:rsid w:val="00951100"/>
    <w:rsid w:val="00952916"/>
    <w:rsid w:val="00957C18"/>
    <w:rsid w:val="00957C4C"/>
    <w:rsid w:val="00960222"/>
    <w:rsid w:val="00962B44"/>
    <w:rsid w:val="00962C41"/>
    <w:rsid w:val="009648BB"/>
    <w:rsid w:val="00964943"/>
    <w:rsid w:val="00964E99"/>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46D7"/>
    <w:rsid w:val="00984EA7"/>
    <w:rsid w:val="0098668C"/>
    <w:rsid w:val="009877FB"/>
    <w:rsid w:val="009913C6"/>
    <w:rsid w:val="00991ABC"/>
    <w:rsid w:val="00994FC5"/>
    <w:rsid w:val="009950D9"/>
    <w:rsid w:val="00995521"/>
    <w:rsid w:val="009A1589"/>
    <w:rsid w:val="009A4B52"/>
    <w:rsid w:val="009A5463"/>
    <w:rsid w:val="009A5ABF"/>
    <w:rsid w:val="009B02B2"/>
    <w:rsid w:val="009B2A64"/>
    <w:rsid w:val="009B3195"/>
    <w:rsid w:val="009B3FB9"/>
    <w:rsid w:val="009B4824"/>
    <w:rsid w:val="009B4BA0"/>
    <w:rsid w:val="009B614E"/>
    <w:rsid w:val="009C0975"/>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664E"/>
    <w:rsid w:val="009F743A"/>
    <w:rsid w:val="00A00A1D"/>
    <w:rsid w:val="00A02DB1"/>
    <w:rsid w:val="00A03B96"/>
    <w:rsid w:val="00A03BA8"/>
    <w:rsid w:val="00A04439"/>
    <w:rsid w:val="00A04985"/>
    <w:rsid w:val="00A05387"/>
    <w:rsid w:val="00A05B19"/>
    <w:rsid w:val="00A1134E"/>
    <w:rsid w:val="00A12A42"/>
    <w:rsid w:val="00A12E1C"/>
    <w:rsid w:val="00A15155"/>
    <w:rsid w:val="00A21D6E"/>
    <w:rsid w:val="00A24E7E"/>
    <w:rsid w:val="00A254E5"/>
    <w:rsid w:val="00A258C3"/>
    <w:rsid w:val="00A262FF"/>
    <w:rsid w:val="00A313D4"/>
    <w:rsid w:val="00A32872"/>
    <w:rsid w:val="00A34302"/>
    <w:rsid w:val="00A347C0"/>
    <w:rsid w:val="00A40F15"/>
    <w:rsid w:val="00A44B85"/>
    <w:rsid w:val="00A46357"/>
    <w:rsid w:val="00A477D3"/>
    <w:rsid w:val="00A47DC3"/>
    <w:rsid w:val="00A50958"/>
    <w:rsid w:val="00A51431"/>
    <w:rsid w:val="00A52A80"/>
    <w:rsid w:val="00A539AD"/>
    <w:rsid w:val="00A54DA1"/>
    <w:rsid w:val="00A54DF9"/>
    <w:rsid w:val="00A561C5"/>
    <w:rsid w:val="00A57115"/>
    <w:rsid w:val="00A574C3"/>
    <w:rsid w:val="00A577B9"/>
    <w:rsid w:val="00A61C0B"/>
    <w:rsid w:val="00A631E5"/>
    <w:rsid w:val="00A66CD3"/>
    <w:rsid w:val="00A705F7"/>
    <w:rsid w:val="00A73CD6"/>
    <w:rsid w:val="00A74632"/>
    <w:rsid w:val="00A863CA"/>
    <w:rsid w:val="00A9069D"/>
    <w:rsid w:val="00A9100D"/>
    <w:rsid w:val="00A93DE6"/>
    <w:rsid w:val="00A94063"/>
    <w:rsid w:val="00A97CA7"/>
    <w:rsid w:val="00AA021D"/>
    <w:rsid w:val="00AA046F"/>
    <w:rsid w:val="00AA1319"/>
    <w:rsid w:val="00AA2464"/>
    <w:rsid w:val="00AA39D0"/>
    <w:rsid w:val="00AA4226"/>
    <w:rsid w:val="00AA5542"/>
    <w:rsid w:val="00AA619C"/>
    <w:rsid w:val="00AA6219"/>
    <w:rsid w:val="00AA74E0"/>
    <w:rsid w:val="00AB03A5"/>
    <w:rsid w:val="00AB0882"/>
    <w:rsid w:val="00AB0ED9"/>
    <w:rsid w:val="00AB132C"/>
    <w:rsid w:val="00AB3E72"/>
    <w:rsid w:val="00AB45D9"/>
    <w:rsid w:val="00AB4638"/>
    <w:rsid w:val="00AB703F"/>
    <w:rsid w:val="00AB71CE"/>
    <w:rsid w:val="00AB7BC8"/>
    <w:rsid w:val="00AB7BD9"/>
    <w:rsid w:val="00AB7F0D"/>
    <w:rsid w:val="00AC14F6"/>
    <w:rsid w:val="00AC2477"/>
    <w:rsid w:val="00AC2799"/>
    <w:rsid w:val="00AC571C"/>
    <w:rsid w:val="00AC5747"/>
    <w:rsid w:val="00AC6BB8"/>
    <w:rsid w:val="00AC6E42"/>
    <w:rsid w:val="00AD3432"/>
    <w:rsid w:val="00AD3833"/>
    <w:rsid w:val="00AD41CE"/>
    <w:rsid w:val="00AD47EC"/>
    <w:rsid w:val="00AD6E79"/>
    <w:rsid w:val="00AD766B"/>
    <w:rsid w:val="00AD7C27"/>
    <w:rsid w:val="00AE008F"/>
    <w:rsid w:val="00AE2CF7"/>
    <w:rsid w:val="00AE3293"/>
    <w:rsid w:val="00AE3FEB"/>
    <w:rsid w:val="00AE3FFB"/>
    <w:rsid w:val="00AE4F46"/>
    <w:rsid w:val="00AE6120"/>
    <w:rsid w:val="00AE6C13"/>
    <w:rsid w:val="00AF0598"/>
    <w:rsid w:val="00AF0868"/>
    <w:rsid w:val="00AF2CBB"/>
    <w:rsid w:val="00AF52FA"/>
    <w:rsid w:val="00AF7082"/>
    <w:rsid w:val="00B01FCD"/>
    <w:rsid w:val="00B02104"/>
    <w:rsid w:val="00B03988"/>
    <w:rsid w:val="00B06F9D"/>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0FC5"/>
    <w:rsid w:val="00B31AFA"/>
    <w:rsid w:val="00B32415"/>
    <w:rsid w:val="00B346C5"/>
    <w:rsid w:val="00B346D1"/>
    <w:rsid w:val="00B35A5F"/>
    <w:rsid w:val="00B364F1"/>
    <w:rsid w:val="00B36CD1"/>
    <w:rsid w:val="00B37CEB"/>
    <w:rsid w:val="00B41F6F"/>
    <w:rsid w:val="00B44933"/>
    <w:rsid w:val="00B527BA"/>
    <w:rsid w:val="00B527D2"/>
    <w:rsid w:val="00B52896"/>
    <w:rsid w:val="00B52A44"/>
    <w:rsid w:val="00B53B36"/>
    <w:rsid w:val="00B549CE"/>
    <w:rsid w:val="00B55B85"/>
    <w:rsid w:val="00B55D37"/>
    <w:rsid w:val="00B55FCC"/>
    <w:rsid w:val="00B60155"/>
    <w:rsid w:val="00B62947"/>
    <w:rsid w:val="00B64177"/>
    <w:rsid w:val="00B66A3B"/>
    <w:rsid w:val="00B66AB4"/>
    <w:rsid w:val="00B72B39"/>
    <w:rsid w:val="00B76F94"/>
    <w:rsid w:val="00B771E5"/>
    <w:rsid w:val="00B8032C"/>
    <w:rsid w:val="00B83A45"/>
    <w:rsid w:val="00B859F0"/>
    <w:rsid w:val="00B927F2"/>
    <w:rsid w:val="00B92887"/>
    <w:rsid w:val="00B95236"/>
    <w:rsid w:val="00B96BD9"/>
    <w:rsid w:val="00B978D8"/>
    <w:rsid w:val="00BA1B01"/>
    <w:rsid w:val="00BA2193"/>
    <w:rsid w:val="00BA2641"/>
    <w:rsid w:val="00BA35EB"/>
    <w:rsid w:val="00BA4CDF"/>
    <w:rsid w:val="00BA4D4E"/>
    <w:rsid w:val="00BA5BD8"/>
    <w:rsid w:val="00BA5C84"/>
    <w:rsid w:val="00BA7061"/>
    <w:rsid w:val="00BB0E63"/>
    <w:rsid w:val="00BB24F4"/>
    <w:rsid w:val="00BB37AA"/>
    <w:rsid w:val="00BB4C24"/>
    <w:rsid w:val="00BB698A"/>
    <w:rsid w:val="00BB6D95"/>
    <w:rsid w:val="00BB6DA6"/>
    <w:rsid w:val="00BB7A71"/>
    <w:rsid w:val="00BC2A3C"/>
    <w:rsid w:val="00BC53A0"/>
    <w:rsid w:val="00BC78EB"/>
    <w:rsid w:val="00BD07D8"/>
    <w:rsid w:val="00BD504C"/>
    <w:rsid w:val="00BD7404"/>
    <w:rsid w:val="00BD7576"/>
    <w:rsid w:val="00BD76E4"/>
    <w:rsid w:val="00BD7CD9"/>
    <w:rsid w:val="00BE0A38"/>
    <w:rsid w:val="00BE0E4E"/>
    <w:rsid w:val="00BE10E0"/>
    <w:rsid w:val="00BE1295"/>
    <w:rsid w:val="00BE230B"/>
    <w:rsid w:val="00BE62AD"/>
    <w:rsid w:val="00BF121F"/>
    <w:rsid w:val="00BF1D4D"/>
    <w:rsid w:val="00BF1F80"/>
    <w:rsid w:val="00BF242C"/>
    <w:rsid w:val="00BF2939"/>
    <w:rsid w:val="00BF7728"/>
    <w:rsid w:val="00C01D17"/>
    <w:rsid w:val="00C03ED9"/>
    <w:rsid w:val="00C05B06"/>
    <w:rsid w:val="00C05F9F"/>
    <w:rsid w:val="00C06F68"/>
    <w:rsid w:val="00C07CB7"/>
    <w:rsid w:val="00C11D4D"/>
    <w:rsid w:val="00C12D18"/>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1955"/>
    <w:rsid w:val="00C63EF9"/>
    <w:rsid w:val="00C65D13"/>
    <w:rsid w:val="00C664B3"/>
    <w:rsid w:val="00C705A4"/>
    <w:rsid w:val="00C70F1B"/>
    <w:rsid w:val="00C71A47"/>
    <w:rsid w:val="00C728A3"/>
    <w:rsid w:val="00C72DF1"/>
    <w:rsid w:val="00C73A36"/>
    <w:rsid w:val="00C73E17"/>
    <w:rsid w:val="00C741DB"/>
    <w:rsid w:val="00C7464C"/>
    <w:rsid w:val="00C74EA0"/>
    <w:rsid w:val="00C75625"/>
    <w:rsid w:val="00C77B93"/>
    <w:rsid w:val="00C8034F"/>
    <w:rsid w:val="00C8198B"/>
    <w:rsid w:val="00C81A14"/>
    <w:rsid w:val="00C838DC"/>
    <w:rsid w:val="00C85588"/>
    <w:rsid w:val="00C85830"/>
    <w:rsid w:val="00C85987"/>
    <w:rsid w:val="00C868A2"/>
    <w:rsid w:val="00C90253"/>
    <w:rsid w:val="00C90676"/>
    <w:rsid w:val="00C944B7"/>
    <w:rsid w:val="00C94706"/>
    <w:rsid w:val="00C958E5"/>
    <w:rsid w:val="00C972A1"/>
    <w:rsid w:val="00CA1A21"/>
    <w:rsid w:val="00CA30FF"/>
    <w:rsid w:val="00CA5187"/>
    <w:rsid w:val="00CA519B"/>
    <w:rsid w:val="00CA677C"/>
    <w:rsid w:val="00CA7890"/>
    <w:rsid w:val="00CA7F2F"/>
    <w:rsid w:val="00CB059F"/>
    <w:rsid w:val="00CB11B3"/>
    <w:rsid w:val="00CB2155"/>
    <w:rsid w:val="00CB37FD"/>
    <w:rsid w:val="00CB6F3A"/>
    <w:rsid w:val="00CB7AC1"/>
    <w:rsid w:val="00CC0B1C"/>
    <w:rsid w:val="00CC4B05"/>
    <w:rsid w:val="00CC5ECD"/>
    <w:rsid w:val="00CC701F"/>
    <w:rsid w:val="00CC7073"/>
    <w:rsid w:val="00CD0E3C"/>
    <w:rsid w:val="00CD1124"/>
    <w:rsid w:val="00CD387D"/>
    <w:rsid w:val="00CD4D57"/>
    <w:rsid w:val="00CD6339"/>
    <w:rsid w:val="00CD6755"/>
    <w:rsid w:val="00CD6856"/>
    <w:rsid w:val="00CD6F56"/>
    <w:rsid w:val="00CE0089"/>
    <w:rsid w:val="00CE3176"/>
    <w:rsid w:val="00CE5E13"/>
    <w:rsid w:val="00CE793C"/>
    <w:rsid w:val="00CF1243"/>
    <w:rsid w:val="00CF2E29"/>
    <w:rsid w:val="00D00568"/>
    <w:rsid w:val="00D00F3E"/>
    <w:rsid w:val="00D01782"/>
    <w:rsid w:val="00D0289A"/>
    <w:rsid w:val="00D03BEB"/>
    <w:rsid w:val="00D04A8F"/>
    <w:rsid w:val="00D065CB"/>
    <w:rsid w:val="00D07502"/>
    <w:rsid w:val="00D10E7E"/>
    <w:rsid w:val="00D13BF4"/>
    <w:rsid w:val="00D16A04"/>
    <w:rsid w:val="00D17273"/>
    <w:rsid w:val="00D173F1"/>
    <w:rsid w:val="00D21E8D"/>
    <w:rsid w:val="00D227D5"/>
    <w:rsid w:val="00D23445"/>
    <w:rsid w:val="00D23722"/>
    <w:rsid w:val="00D23799"/>
    <w:rsid w:val="00D23B1F"/>
    <w:rsid w:val="00D24440"/>
    <w:rsid w:val="00D27900"/>
    <w:rsid w:val="00D30AC4"/>
    <w:rsid w:val="00D311B1"/>
    <w:rsid w:val="00D31407"/>
    <w:rsid w:val="00D32F12"/>
    <w:rsid w:val="00D341E9"/>
    <w:rsid w:val="00D34605"/>
    <w:rsid w:val="00D41A18"/>
    <w:rsid w:val="00D42848"/>
    <w:rsid w:val="00D429C7"/>
    <w:rsid w:val="00D42F2F"/>
    <w:rsid w:val="00D430F1"/>
    <w:rsid w:val="00D453B9"/>
    <w:rsid w:val="00D461DC"/>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3987"/>
    <w:rsid w:val="00D64B9B"/>
    <w:rsid w:val="00D66561"/>
    <w:rsid w:val="00D668D6"/>
    <w:rsid w:val="00D67D5C"/>
    <w:rsid w:val="00D717BB"/>
    <w:rsid w:val="00D71E66"/>
    <w:rsid w:val="00D72CC0"/>
    <w:rsid w:val="00D745F6"/>
    <w:rsid w:val="00D74FE6"/>
    <w:rsid w:val="00D75088"/>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670"/>
    <w:rsid w:val="00DA3A1E"/>
    <w:rsid w:val="00DA3D24"/>
    <w:rsid w:val="00DA509E"/>
    <w:rsid w:val="00DA6816"/>
    <w:rsid w:val="00DA7635"/>
    <w:rsid w:val="00DB03BF"/>
    <w:rsid w:val="00DB0B12"/>
    <w:rsid w:val="00DB0B8E"/>
    <w:rsid w:val="00DB1008"/>
    <w:rsid w:val="00DB27EE"/>
    <w:rsid w:val="00DB46B2"/>
    <w:rsid w:val="00DB4775"/>
    <w:rsid w:val="00DC09E0"/>
    <w:rsid w:val="00DC0BFC"/>
    <w:rsid w:val="00DC2754"/>
    <w:rsid w:val="00DC2A65"/>
    <w:rsid w:val="00DC2C0A"/>
    <w:rsid w:val="00DD0B2B"/>
    <w:rsid w:val="00DD1370"/>
    <w:rsid w:val="00DD1EA9"/>
    <w:rsid w:val="00DD5EA2"/>
    <w:rsid w:val="00DD622D"/>
    <w:rsid w:val="00DD6431"/>
    <w:rsid w:val="00DD68C1"/>
    <w:rsid w:val="00DD733B"/>
    <w:rsid w:val="00DD7E9A"/>
    <w:rsid w:val="00DE15F0"/>
    <w:rsid w:val="00DE32FA"/>
    <w:rsid w:val="00DE3EAB"/>
    <w:rsid w:val="00DE5663"/>
    <w:rsid w:val="00DE69BC"/>
    <w:rsid w:val="00DE7036"/>
    <w:rsid w:val="00DE7644"/>
    <w:rsid w:val="00DE78AA"/>
    <w:rsid w:val="00DF4C95"/>
    <w:rsid w:val="00DF6E1B"/>
    <w:rsid w:val="00DF7EDB"/>
    <w:rsid w:val="00E009EA"/>
    <w:rsid w:val="00E026F4"/>
    <w:rsid w:val="00E053D0"/>
    <w:rsid w:val="00E05D72"/>
    <w:rsid w:val="00E100D0"/>
    <w:rsid w:val="00E103CF"/>
    <w:rsid w:val="00E112E6"/>
    <w:rsid w:val="00E1142D"/>
    <w:rsid w:val="00E12CED"/>
    <w:rsid w:val="00E1322F"/>
    <w:rsid w:val="00E146D8"/>
    <w:rsid w:val="00E15994"/>
    <w:rsid w:val="00E16D4E"/>
    <w:rsid w:val="00E20269"/>
    <w:rsid w:val="00E2159C"/>
    <w:rsid w:val="00E22B41"/>
    <w:rsid w:val="00E2395E"/>
    <w:rsid w:val="00E2437E"/>
    <w:rsid w:val="00E25EC4"/>
    <w:rsid w:val="00E263A0"/>
    <w:rsid w:val="00E30085"/>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1BA9"/>
    <w:rsid w:val="00E62F53"/>
    <w:rsid w:val="00E64B1B"/>
    <w:rsid w:val="00E64B69"/>
    <w:rsid w:val="00E66496"/>
    <w:rsid w:val="00E66A3C"/>
    <w:rsid w:val="00E66B35"/>
    <w:rsid w:val="00E66E10"/>
    <w:rsid w:val="00E70CB4"/>
    <w:rsid w:val="00E71A6B"/>
    <w:rsid w:val="00E744D3"/>
    <w:rsid w:val="00E75068"/>
    <w:rsid w:val="00E75538"/>
    <w:rsid w:val="00E769F6"/>
    <w:rsid w:val="00E80D52"/>
    <w:rsid w:val="00E81953"/>
    <w:rsid w:val="00E81AEE"/>
    <w:rsid w:val="00E8217A"/>
    <w:rsid w:val="00E82357"/>
    <w:rsid w:val="00E824CE"/>
    <w:rsid w:val="00E8407C"/>
    <w:rsid w:val="00E84F3C"/>
    <w:rsid w:val="00E855E0"/>
    <w:rsid w:val="00E87AFE"/>
    <w:rsid w:val="00E94E5E"/>
    <w:rsid w:val="00E9718F"/>
    <w:rsid w:val="00EA012C"/>
    <w:rsid w:val="00EA4419"/>
    <w:rsid w:val="00EA461E"/>
    <w:rsid w:val="00EA70C1"/>
    <w:rsid w:val="00EB1CD4"/>
    <w:rsid w:val="00EB1D47"/>
    <w:rsid w:val="00EB2E0E"/>
    <w:rsid w:val="00EB7104"/>
    <w:rsid w:val="00EB7AEC"/>
    <w:rsid w:val="00EC0D56"/>
    <w:rsid w:val="00EC3636"/>
    <w:rsid w:val="00EC7AAE"/>
    <w:rsid w:val="00ED0288"/>
    <w:rsid w:val="00ED2411"/>
    <w:rsid w:val="00ED4718"/>
    <w:rsid w:val="00ED54F5"/>
    <w:rsid w:val="00ED755D"/>
    <w:rsid w:val="00EE04B6"/>
    <w:rsid w:val="00EE0BC5"/>
    <w:rsid w:val="00EE3755"/>
    <w:rsid w:val="00EE52CB"/>
    <w:rsid w:val="00EE66A5"/>
    <w:rsid w:val="00EF15DE"/>
    <w:rsid w:val="00EF1EB5"/>
    <w:rsid w:val="00EF2383"/>
    <w:rsid w:val="00EF444E"/>
    <w:rsid w:val="00EF4B2D"/>
    <w:rsid w:val="00EF581D"/>
    <w:rsid w:val="00EF7DF2"/>
    <w:rsid w:val="00EF7FD8"/>
    <w:rsid w:val="00F0289E"/>
    <w:rsid w:val="00F02CEA"/>
    <w:rsid w:val="00F03243"/>
    <w:rsid w:val="00F04F13"/>
    <w:rsid w:val="00F05FAA"/>
    <w:rsid w:val="00F06F59"/>
    <w:rsid w:val="00F071D7"/>
    <w:rsid w:val="00F07371"/>
    <w:rsid w:val="00F10958"/>
    <w:rsid w:val="00F11DDA"/>
    <w:rsid w:val="00F12135"/>
    <w:rsid w:val="00F159E4"/>
    <w:rsid w:val="00F1623B"/>
    <w:rsid w:val="00F16D53"/>
    <w:rsid w:val="00F174B8"/>
    <w:rsid w:val="00F17988"/>
    <w:rsid w:val="00F207D5"/>
    <w:rsid w:val="00F20BD8"/>
    <w:rsid w:val="00F2100D"/>
    <w:rsid w:val="00F21251"/>
    <w:rsid w:val="00F21FC5"/>
    <w:rsid w:val="00F22051"/>
    <w:rsid w:val="00F23507"/>
    <w:rsid w:val="00F23A67"/>
    <w:rsid w:val="00F261ED"/>
    <w:rsid w:val="00F266FB"/>
    <w:rsid w:val="00F26DEB"/>
    <w:rsid w:val="00F2706C"/>
    <w:rsid w:val="00F303EB"/>
    <w:rsid w:val="00F30D27"/>
    <w:rsid w:val="00F33340"/>
    <w:rsid w:val="00F36ABC"/>
    <w:rsid w:val="00F40FB0"/>
    <w:rsid w:val="00F41F1C"/>
    <w:rsid w:val="00F42FC6"/>
    <w:rsid w:val="00F4685B"/>
    <w:rsid w:val="00F469F0"/>
    <w:rsid w:val="00F50D17"/>
    <w:rsid w:val="00F51246"/>
    <w:rsid w:val="00F53273"/>
    <w:rsid w:val="00F53CF3"/>
    <w:rsid w:val="00F548F2"/>
    <w:rsid w:val="00F5572F"/>
    <w:rsid w:val="00F576D3"/>
    <w:rsid w:val="00F57E77"/>
    <w:rsid w:val="00F57FA7"/>
    <w:rsid w:val="00F600DB"/>
    <w:rsid w:val="00F60286"/>
    <w:rsid w:val="00F606EA"/>
    <w:rsid w:val="00F63AD9"/>
    <w:rsid w:val="00F63EA4"/>
    <w:rsid w:val="00F64AEE"/>
    <w:rsid w:val="00F665DE"/>
    <w:rsid w:val="00F70217"/>
    <w:rsid w:val="00F70245"/>
    <w:rsid w:val="00F7028B"/>
    <w:rsid w:val="00F70399"/>
    <w:rsid w:val="00F70BCD"/>
    <w:rsid w:val="00F71EB8"/>
    <w:rsid w:val="00F74F93"/>
    <w:rsid w:val="00F755E4"/>
    <w:rsid w:val="00F759B7"/>
    <w:rsid w:val="00F77D02"/>
    <w:rsid w:val="00F80106"/>
    <w:rsid w:val="00F828E1"/>
    <w:rsid w:val="00F8739E"/>
    <w:rsid w:val="00F927B2"/>
    <w:rsid w:val="00F947E3"/>
    <w:rsid w:val="00F96071"/>
    <w:rsid w:val="00FA07CE"/>
    <w:rsid w:val="00FA0D6E"/>
    <w:rsid w:val="00FA1496"/>
    <w:rsid w:val="00FA2543"/>
    <w:rsid w:val="00FA3582"/>
    <w:rsid w:val="00FA5D23"/>
    <w:rsid w:val="00FB137A"/>
    <w:rsid w:val="00FB3A86"/>
    <w:rsid w:val="00FB469D"/>
    <w:rsid w:val="00FB6C0F"/>
    <w:rsid w:val="00FB7F6C"/>
    <w:rsid w:val="00FC4F69"/>
    <w:rsid w:val="00FC59FE"/>
    <w:rsid w:val="00FD1942"/>
    <w:rsid w:val="00FD227E"/>
    <w:rsid w:val="00FD270D"/>
    <w:rsid w:val="00FD2B99"/>
    <w:rsid w:val="00FD36C8"/>
    <w:rsid w:val="00FD5070"/>
    <w:rsid w:val="00FE179D"/>
    <w:rsid w:val="00FE32B3"/>
    <w:rsid w:val="00FE44DE"/>
    <w:rsid w:val="00FE46CD"/>
    <w:rsid w:val="00FE663C"/>
    <w:rsid w:val="00FF06DB"/>
    <w:rsid w:val="00FF23CD"/>
    <w:rsid w:val="00FF30BA"/>
    <w:rsid w:val="00FF3F05"/>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0253"/>
    <w:rPr>
      <w:rFonts w:eastAsia="Times New Roman"/>
      <w:sz w:val="24"/>
      <w:szCs w:val="24"/>
      <w:lang w:val="en-PH"/>
    </w:rPr>
  </w:style>
  <w:style w:type="paragraph" w:styleId="Heading1">
    <w:name w:val="heading 1"/>
    <w:basedOn w:val="Normal"/>
    <w:next w:val="Normal"/>
    <w:qFormat/>
    <w:pPr>
      <w:keepNext/>
      <w:spacing w:before="240" w:after="60"/>
      <w:outlineLvl w:val="0"/>
    </w:pPr>
    <w:rPr>
      <w:rFonts w:ascii="Arial" w:hAnsi="Arial"/>
      <w:b/>
      <w:kern w:val="28"/>
      <w:sz w:val="28"/>
      <w:szCs w:val="20"/>
      <w:lang w:val="en-US"/>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lang w:val="en-US"/>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lang w:val="en-US"/>
    </w:rPr>
  </w:style>
  <w:style w:type="paragraph" w:styleId="BodyText">
    <w:name w:val="Body Text"/>
    <w:basedOn w:val="Normal"/>
    <w:link w:val="BodyTextChar"/>
    <w:qFormat/>
    <w:pPr>
      <w:spacing w:after="120"/>
    </w:pPr>
    <w:rPr>
      <w:rFonts w:ascii="Helvetica" w:hAnsi="Helvetica"/>
      <w:sz w:val="20"/>
      <w:szCs w:val="20"/>
      <w:lang w:val="en-US"/>
    </w:rPr>
  </w:style>
  <w:style w:type="paragraph" w:styleId="BodyText2">
    <w:name w:val="Body Text 2"/>
    <w:basedOn w:val="Normal"/>
    <w:link w:val="BodyText2Char"/>
    <w:qFormat/>
    <w:pPr>
      <w:spacing w:after="120" w:line="480" w:lineRule="auto"/>
    </w:pPr>
    <w:rPr>
      <w:rFonts w:ascii="Helvetica" w:hAnsi="Helvetica"/>
      <w:sz w:val="20"/>
      <w:szCs w:val="20"/>
      <w:lang w:val="en-US"/>
    </w:rPr>
  </w:style>
  <w:style w:type="paragraph" w:styleId="BodyText3">
    <w:name w:val="Body Text 3"/>
    <w:basedOn w:val="Normal"/>
    <w:link w:val="BodyText3Char"/>
    <w:qFormat/>
    <w:pPr>
      <w:spacing w:after="120"/>
    </w:pPr>
    <w:rPr>
      <w:rFonts w:ascii="Helvetica" w:hAnsi="Helvetica"/>
      <w:sz w:val="16"/>
      <w:szCs w:val="16"/>
      <w:lang w:val="en-US"/>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rPr>
      <w:rFonts w:ascii="Helvetica" w:hAnsi="Helvetica"/>
      <w:sz w:val="20"/>
      <w:szCs w:val="20"/>
      <w:lang w:val="en-US"/>
    </w:rPr>
  </w:style>
  <w:style w:type="paragraph" w:styleId="Header">
    <w:name w:val="header"/>
    <w:basedOn w:val="Normal"/>
    <w:pPr>
      <w:tabs>
        <w:tab w:val="center" w:pos="4320"/>
        <w:tab w:val="right" w:pos="8640"/>
      </w:tabs>
    </w:pPr>
    <w:rPr>
      <w:rFonts w:ascii="Helvetica" w:hAnsi="Helvetica"/>
      <w:sz w:val="20"/>
      <w:szCs w:val="20"/>
      <w:lang w:val="en-US"/>
    </w:r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lang w:val="en-US"/>
    </w:rPr>
  </w:style>
  <w:style w:type="paragraph" w:styleId="Signature">
    <w:name w:val="Signature"/>
    <w:basedOn w:val="Normal"/>
    <w:qFormat/>
    <w:pPr>
      <w:ind w:left="4320"/>
    </w:pPr>
    <w:rPr>
      <w:rFonts w:ascii="Helvetica" w:hAnsi="Helvetica"/>
      <w:sz w:val="20"/>
      <w:szCs w:val="20"/>
      <w:lang w:val="en-US"/>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rFonts w:ascii="Helvetica" w:hAnsi="Helvetica"/>
      <w:b/>
      <w:kern w:val="28"/>
      <w:sz w:val="36"/>
      <w:szCs w:val="20"/>
      <w:lang w:val="en-US"/>
    </w:rPr>
  </w:style>
  <w:style w:type="paragraph" w:customStyle="1" w:styleId="Author">
    <w:name w:val="Author"/>
    <w:basedOn w:val="Normal"/>
    <w:qFormat/>
    <w:pPr>
      <w:spacing w:line="280" w:lineRule="exact"/>
      <w:jc w:val="right"/>
    </w:pPr>
    <w:rPr>
      <w:rFonts w:ascii="Helvetica" w:hAnsi="Helvetica"/>
      <w:b/>
      <w:szCs w:val="20"/>
      <w:lang w:val="en-US"/>
    </w:rPr>
  </w:style>
  <w:style w:type="paragraph" w:customStyle="1" w:styleId="Affiliation">
    <w:name w:val="Affiliation"/>
    <w:basedOn w:val="Normal"/>
    <w:qFormat/>
    <w:pPr>
      <w:spacing w:after="240" w:line="240" w:lineRule="exact"/>
      <w:jc w:val="right"/>
    </w:pPr>
    <w:rPr>
      <w:rFonts w:ascii="Helvetica" w:hAnsi="Helvetica"/>
      <w:sz w:val="20"/>
      <w:szCs w:val="20"/>
      <w:lang w:val="en-US"/>
    </w:rPr>
  </w:style>
  <w:style w:type="paragraph" w:customStyle="1" w:styleId="Body">
    <w:name w:val="Body"/>
    <w:basedOn w:val="Normal"/>
    <w:qFormat/>
    <w:pPr>
      <w:spacing w:after="240"/>
      <w:jc w:val="both"/>
    </w:pPr>
    <w:rPr>
      <w:rFonts w:ascii="Helvetica" w:hAnsi="Helvetica"/>
      <w:sz w:val="20"/>
      <w:szCs w:val="20"/>
      <w:lang w:val="en-US"/>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rFonts w:ascii="Helvetica" w:hAnsi="Helvetica"/>
      <w:b/>
      <w:caps/>
      <w:sz w:val="20"/>
      <w:szCs w:val="20"/>
      <w:lang w:val="en-U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rFonts w:ascii="Helvetica" w:hAnsi="Helvetica"/>
      <w:b/>
      <w:sz w:val="28"/>
      <w:szCs w:val="20"/>
      <w:lang w:val="en-US"/>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rFonts w:ascii="Helvetica" w:hAnsi="Helvetica"/>
      <w:sz w:val="16"/>
      <w:szCs w:val="20"/>
      <w:lang w:val="en-US"/>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rFonts w:ascii="Helvetica" w:hAnsi="Helvetica"/>
      <w:caps/>
      <w:sz w:val="20"/>
      <w:szCs w:val="20"/>
      <w:lang w:val="en-U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rFonts w:ascii="Helvetica" w:hAnsi="Helvetica"/>
      <w:b/>
      <w:sz w:val="36"/>
      <w:szCs w:val="20"/>
      <w:lang w:val="en-US"/>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rPr>
      <w:rFonts w:ascii="Helvetica" w:hAnsi="Helvetica"/>
      <w:sz w:val="20"/>
      <w:szCs w:val="20"/>
      <w:lang w:val="en-US"/>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lang w:val="en-US"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764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805228">
      <w:bodyDiv w:val="1"/>
      <w:marLeft w:val="0"/>
      <w:marRight w:val="0"/>
      <w:marTop w:val="0"/>
      <w:marBottom w:val="0"/>
      <w:divBdr>
        <w:top w:val="none" w:sz="0" w:space="0" w:color="auto"/>
        <w:left w:val="none" w:sz="0" w:space="0" w:color="auto"/>
        <w:bottom w:val="none" w:sz="0" w:space="0" w:color="auto"/>
        <w:right w:val="none" w:sz="0" w:space="0" w:color="auto"/>
      </w:divBdr>
    </w:div>
    <w:div w:id="448940650">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1429736105">
      <w:bodyDiv w:val="1"/>
      <w:marLeft w:val="0"/>
      <w:marRight w:val="0"/>
      <w:marTop w:val="0"/>
      <w:marBottom w:val="0"/>
      <w:divBdr>
        <w:top w:val="none" w:sz="0" w:space="0" w:color="auto"/>
        <w:left w:val="none" w:sz="0" w:space="0" w:color="auto"/>
        <w:bottom w:val="none" w:sz="0" w:space="0" w:color="auto"/>
        <w:right w:val="none" w:sz="0" w:space="0" w:color="auto"/>
      </w:divBdr>
    </w:div>
    <w:div w:id="2016153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ijstr.org/final-print/apr2020/Content-Validity-Of-Assessment-Instrument-For-Innovative-Work-Behaviour-Of-Malaysian-School-Teachers.pdf" TargetMode="External"/><Relationship Id="rId26" Type="http://schemas.openxmlformats.org/officeDocument/2006/relationships/hyperlink" Target="https://irjstem.com/wp-content/uploads/2024/11/IRJSTEM-V4N3-2024-P04.pdf" TargetMode="External"/><Relationship Id="rId39" Type="http://schemas.openxmlformats.org/officeDocument/2006/relationships/hyperlink" Target="https://www.sciencedirect.com/science/article/pii/S0742051X22001767" TargetMode="External"/><Relationship Id="rId21" Type="http://schemas.openxmlformats.org/officeDocument/2006/relationships/hyperlink" Target="https://our.repo.nii.ac.jp/records/2013081" TargetMode="External"/><Relationship Id="rId34" Type="http://schemas.openxmlformats.org/officeDocument/2006/relationships/hyperlink" Target="https://www.tandfonline.com/doi/abs/10.1080/00185868.2022.2049024"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merald.com/insight/content/doi/10.1108/jgr-01-2020-0010/full/html" TargetMode="External"/><Relationship Id="rId29" Type="http://schemas.openxmlformats.org/officeDocument/2006/relationships/hyperlink" Target="https://www.mdpi.com/1660-4601/19/11/65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andfonline.com/doi/full/10.1080/00094056.2020.1707540" TargetMode="External"/><Relationship Id="rId32" Type="http://schemas.openxmlformats.org/officeDocument/2006/relationships/hyperlink" Target="https://hal.science/hal-05073466/" TargetMode="External"/><Relationship Id="rId37" Type="http://schemas.openxmlformats.org/officeDocument/2006/relationships/hyperlink" Target="https://www.tandfonline.com/doi/abs/10.1080/01443410.2022.2033168" TargetMode="External"/><Relationship Id="rId40" Type="http://schemas.openxmlformats.org/officeDocument/2006/relationships/hyperlink" Target="https://www.frontiersin.org/journals/psychology/articles/10.3389/fpsyg.2023.1116932/ful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nk.springer.com/article/10.1007/s11423-020-09839-5" TargetMode="External"/><Relationship Id="rId23" Type="http://schemas.openxmlformats.org/officeDocument/2006/relationships/hyperlink" Target="https://www.tandfonline.com/doi/abs/10.1080/0158037X.2020.1781611" TargetMode="External"/><Relationship Id="rId28" Type="http://schemas.openxmlformats.org/officeDocument/2006/relationships/hyperlink" Target="https://www.emerald.com/insight/content/doi/10.1108/jmd-02-2018-0055/full/html" TargetMode="External"/><Relationship Id="rId36" Type="http://schemas.openxmlformats.org/officeDocument/2006/relationships/hyperlink" Target="http://166.62.7.99/assets/default/article/2022/07/28/article_1659062943.pdf" TargetMode="External"/><Relationship Id="rId10" Type="http://schemas.openxmlformats.org/officeDocument/2006/relationships/footer" Target="footer1.xml"/><Relationship Id="rId19" Type="http://schemas.openxmlformats.org/officeDocument/2006/relationships/hyperlink" Target="https://consortiacademia.org/10-5861-ijrse-2021-a044/" TargetMode="External"/><Relationship Id="rId31" Type="http://schemas.openxmlformats.org/officeDocument/2006/relationships/hyperlink" Target="https://hal.science/hal-04655066/"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onlinelibrary.wiley.com/doi/abs/10.1002/piq.21374" TargetMode="External"/><Relationship Id="rId27" Type="http://schemas.openxmlformats.org/officeDocument/2006/relationships/hyperlink" Target="https://www.emerald.com/insight/content/doi/10.1108/jeas-08-2020-0141/full/html" TargetMode="External"/><Relationship Id="rId30" Type="http://schemas.openxmlformats.org/officeDocument/2006/relationships/hyperlink" Target="https://papers.ssrn.com/sol3/papers.cfm?abstract_id=4636770" TargetMode="External"/><Relationship Id="rId35" Type="http://schemas.openxmlformats.org/officeDocument/2006/relationships/hyperlink" Target="https://www.tandfonline.com/doi/abs/10.1080/02607476.2020.1802701"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emerald.com/insight/content/doi/10.1108/ejim-04-2021-0176/full/html" TargetMode="External"/><Relationship Id="rId25" Type="http://schemas.openxmlformats.org/officeDocument/2006/relationships/hyperlink" Target="https://link.springer.com/article/10.1007/s12144-019-00575-5" TargetMode="External"/><Relationship Id="rId33" Type="http://schemas.openxmlformats.org/officeDocument/2006/relationships/hyperlink" Target="https://www.sciencedirect.com/science/article/abs/pii/S0742051X19308133" TargetMode="External"/><Relationship Id="rId38" Type="http://schemas.openxmlformats.org/officeDocument/2006/relationships/hyperlink" Target="https://www.mdpi.com/2227-7102/12/5/358" TargetMode="External"/><Relationship Id="rId46" Type="http://schemas.openxmlformats.org/officeDocument/2006/relationships/theme" Target="theme/theme1.xml"/><Relationship Id="rId20" Type="http://schemas.openxmlformats.org/officeDocument/2006/relationships/hyperlink" Target="https://www.sciencedirect.com/science/article/pii/S0263237322001256"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14</Pages>
  <Words>7013</Words>
  <Characters>34578</Characters>
  <Application>Microsoft Office Word</Application>
  <DocSecurity>0</DocSecurity>
  <Lines>8644</Lines>
  <Paragraphs>5198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25</cp:revision>
  <cp:lastPrinted>2024-10-20T02:52:00Z</cp:lastPrinted>
  <dcterms:created xsi:type="dcterms:W3CDTF">2025-06-16T05:10:00Z</dcterms:created>
  <dcterms:modified xsi:type="dcterms:W3CDTF">2025-06-23T11:43:00Z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