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6AC2" w14:textId="77777777" w:rsidR="00E642C3" w:rsidRDefault="00E642C3" w:rsidP="000763D2">
      <w:pPr>
        <w:pStyle w:val="Author"/>
        <w:spacing w:line="240" w:lineRule="auto"/>
        <w:jc w:val="left"/>
        <w:rPr>
          <w:rFonts w:ascii="Arial" w:hAnsi="Arial" w:cs="Arial"/>
          <w:bCs/>
          <w:iCs/>
          <w:kern w:val="28"/>
          <w:szCs w:val="24"/>
        </w:rPr>
      </w:pPr>
    </w:p>
    <w:p w14:paraId="18A055F5" w14:textId="7088FCE6" w:rsidR="00E642C3" w:rsidRPr="00AB685F" w:rsidRDefault="00AB685F" w:rsidP="00AB685F">
      <w:pPr>
        <w:ind w:left="180"/>
        <w:jc w:val="center"/>
        <w:rPr>
          <w:rFonts w:ascii="Arial" w:hAnsi="Arial" w:cs="Arial"/>
          <w:b/>
          <w:noProof/>
          <w:sz w:val="28"/>
          <w:szCs w:val="28"/>
          <w:lang w:val="en-PH" w:eastAsia="en-PH"/>
        </w:rPr>
      </w:pPr>
      <w:r w:rsidRPr="00C902B3">
        <w:rPr>
          <w:rFonts w:ascii="Arial" w:hAnsi="Arial" w:cs="Arial"/>
          <w:b/>
          <w:noProof/>
          <w:sz w:val="28"/>
          <w:szCs w:val="28"/>
          <w:lang w:val="en-PH" w:eastAsia="en-PH"/>
        </w:rPr>
        <w:t>Data-driven decision making and information competence of public elementary School teachers</w:t>
      </w:r>
      <w:r>
        <w:rPr>
          <w:rFonts w:ascii="Arial" w:hAnsi="Arial" w:cs="Arial"/>
        </w:rPr>
        <w:t xml:space="preserve">                     </w:t>
      </w:r>
    </w:p>
    <w:p w14:paraId="78F39FEA" w14:textId="77777777" w:rsidR="00E642C3" w:rsidRDefault="00E642C3" w:rsidP="00E642C3">
      <w:pPr>
        <w:ind w:left="180"/>
        <w:jc w:val="right"/>
        <w:rPr>
          <w:rFonts w:ascii="Arial" w:hAnsi="Arial" w:cs="Arial"/>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94BC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02E7AC8" w:rsidR="00717F2E" w:rsidRPr="000763D2" w:rsidRDefault="00C902B3" w:rsidP="00896129">
            <w:pPr>
              <w:jc w:val="both"/>
              <w:rPr>
                <w:rFonts w:ascii="Arial" w:hAnsi="Arial" w:cs="Arial"/>
                <w:iCs/>
              </w:rPr>
            </w:pPr>
            <w:r w:rsidRPr="00C902B3">
              <w:rPr>
                <w:rFonts w:ascii="Arial" w:hAnsi="Arial" w:cs="Arial"/>
                <w:iCs/>
              </w:rPr>
              <w:t>This study aimed to determine the significant relationship between data-driven decision making and information competence among public school teachers in Caraga North Distri</w:t>
            </w:r>
            <w:r>
              <w:rPr>
                <w:rFonts w:ascii="Arial" w:hAnsi="Arial" w:cs="Arial"/>
                <w:iCs/>
              </w:rPr>
              <w:t>ct</w:t>
            </w:r>
            <w:r w:rsidRPr="00C902B3">
              <w:rPr>
                <w:rFonts w:ascii="Arial" w:hAnsi="Arial" w:cs="Arial"/>
                <w:iCs/>
              </w:rPr>
              <w:t xml:space="preserve">, Division of Davao Oriental. A descriptive-correlational research design was utilized, involving a sample of 144 teachers from public schools in Caraga North </w:t>
            </w:r>
            <w:proofErr w:type="gramStart"/>
            <w:r w:rsidRPr="00C902B3">
              <w:rPr>
                <w:rFonts w:ascii="Arial" w:hAnsi="Arial" w:cs="Arial"/>
                <w:iCs/>
              </w:rPr>
              <w:t>District ,</w:t>
            </w:r>
            <w:proofErr w:type="gramEnd"/>
            <w:r w:rsidRPr="00C902B3">
              <w:rPr>
                <w:rFonts w:ascii="Arial" w:hAnsi="Arial" w:cs="Arial"/>
                <w:iCs/>
              </w:rPr>
              <w:t xml:space="preserve"> Division of Davao Oriental. Standardized questionnaires were administered through online surveys to gather the data. The mean, standard deviation (SD), Pearson product-moment correlation, and multiple linear regression analyses were used to analyze the data collected. The findings revealed that both data-driven decision making and information competence were at very extensive levels. Correlation analysis indicated a significant relationship between these two variables. Moreover, the study identified that the domains of data-driven decision making, including the technological infrastructure and hardware, data usage culture, data usage purpose, and data literacy, all significantly influenced teachers' information competence. Based on these findings, it is recommended that school administrators focus on enhancing data-driven decision making and information competence among teachers. Professional development may emphasize the integration of data analysis skills with the ability to critically evaluate and apply information effectively. By strengthening these areas, teachers may become more adept at using data to inform instructional decisions, ensuring that information is not only gathered but also critically assessed and applied in meaningful ways. This approach will likely improve teaching practices and foster better student outcomes.</w:t>
            </w:r>
          </w:p>
        </w:tc>
      </w:tr>
    </w:tbl>
    <w:p w14:paraId="175A3F79" w14:textId="77777777" w:rsidR="00717F2E" w:rsidRDefault="00717F2E">
      <w:pPr>
        <w:pStyle w:val="Body"/>
        <w:spacing w:after="0"/>
        <w:rPr>
          <w:rFonts w:ascii="Arial" w:hAnsi="Arial" w:cs="Arial"/>
          <w:i/>
        </w:rPr>
      </w:pPr>
    </w:p>
    <w:p w14:paraId="63DA1D4D" w14:textId="628569E6"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C902B3" w:rsidRPr="00C902B3">
        <w:rPr>
          <w:rFonts w:ascii="Arial" w:hAnsi="Arial" w:cs="Arial"/>
          <w:iCs/>
        </w:rPr>
        <w:t>Data-Driven Decision Making, Information Competence, Education, Public School Teachers,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189CD3E" w14:textId="77777777" w:rsidR="00C902B3" w:rsidRPr="00C902B3" w:rsidRDefault="00C902B3" w:rsidP="00C902B3">
      <w:pPr>
        <w:jc w:val="both"/>
        <w:rPr>
          <w:rFonts w:ascii="Arial" w:hAnsi="Arial"/>
        </w:rPr>
      </w:pPr>
      <w:r w:rsidRPr="00C902B3">
        <w:rPr>
          <w:rFonts w:ascii="Arial" w:hAnsi="Arial"/>
        </w:rPr>
        <w:t xml:space="preserve">The increasing reliance on technology and digital resources in education has highlighted the need for teachers to develop strong information </w:t>
      </w:r>
      <w:proofErr w:type="gramStart"/>
      <w:r w:rsidRPr="00C902B3">
        <w:rPr>
          <w:rFonts w:ascii="Arial" w:hAnsi="Arial"/>
        </w:rPr>
        <w:t>competence .</w:t>
      </w:r>
      <w:proofErr w:type="gramEnd"/>
      <w:r w:rsidRPr="00C902B3">
        <w:rPr>
          <w:rFonts w:ascii="Arial" w:hAnsi="Arial"/>
        </w:rPr>
        <w:t xml:space="preserve"> Information competence refers to the ability to locate, evaluate, and effectively use information for teaching and learning. However, many teachers struggle with this skill, leading to difficulties in integrating digital tools, verifying sources, and utilizing technology to enhance student </w:t>
      </w:r>
      <w:proofErr w:type="gramStart"/>
      <w:r w:rsidRPr="00C902B3">
        <w:rPr>
          <w:rFonts w:ascii="Arial" w:hAnsi="Arial"/>
        </w:rPr>
        <w:t>engagement .</w:t>
      </w:r>
      <w:proofErr w:type="gramEnd"/>
      <w:r w:rsidRPr="00C902B3">
        <w:rPr>
          <w:rFonts w:ascii="Arial" w:hAnsi="Arial"/>
        </w:rPr>
        <w:t xml:space="preserve">  </w:t>
      </w:r>
    </w:p>
    <w:p w14:paraId="69D454EB" w14:textId="77777777" w:rsidR="00C902B3" w:rsidRDefault="00C902B3" w:rsidP="00C902B3">
      <w:pPr>
        <w:jc w:val="both"/>
        <w:rPr>
          <w:rFonts w:ascii="Arial" w:hAnsi="Arial"/>
        </w:rPr>
      </w:pPr>
    </w:p>
    <w:p w14:paraId="7E93A90C" w14:textId="07443D6A" w:rsidR="00C902B3" w:rsidRPr="00C902B3" w:rsidRDefault="00C902B3" w:rsidP="00C902B3">
      <w:pPr>
        <w:jc w:val="both"/>
        <w:rPr>
          <w:rFonts w:ascii="Arial" w:hAnsi="Arial"/>
        </w:rPr>
      </w:pPr>
      <w:r w:rsidRPr="00C902B3">
        <w:rPr>
          <w:rFonts w:ascii="Arial" w:hAnsi="Arial"/>
        </w:rPr>
        <w:t>Globally, particularly in Russia, low information competence among teachers poses significant challenges to educational systems. In many countries, particularly in developing regions, teachers have limited exposure to digital literacy training and struggle to integrate information and communication technology (ICT) into their instructional practices (</w:t>
      </w:r>
      <w:proofErr w:type="spellStart"/>
      <w:r w:rsidR="00506B07" w:rsidRPr="00506B07">
        <w:rPr>
          <w:rFonts w:ascii="Arial" w:hAnsi="Arial"/>
        </w:rPr>
        <w:t>Vaskov</w:t>
      </w:r>
      <w:proofErr w:type="spellEnd"/>
      <w:r w:rsidR="00506B07">
        <w:rPr>
          <w:rFonts w:ascii="Arial" w:hAnsi="Arial"/>
        </w:rPr>
        <w:t xml:space="preserve"> et al., 2021</w:t>
      </w:r>
      <w:r w:rsidRPr="00C902B3">
        <w:rPr>
          <w:rFonts w:ascii="Arial" w:hAnsi="Arial"/>
        </w:rPr>
        <w:t>). In Spain, a study highlights that inadequate teacher training on digital resources contributes to ineffective knowledge dissemination, resulting in students’ poor academic performance and reduced competitiveness in the global workforce (</w:t>
      </w:r>
      <w:proofErr w:type="spellStart"/>
      <w:r w:rsidRPr="00C902B3">
        <w:rPr>
          <w:rFonts w:ascii="Arial" w:hAnsi="Arial"/>
        </w:rPr>
        <w:t>FernándezBatanero</w:t>
      </w:r>
      <w:proofErr w:type="spellEnd"/>
      <w:r w:rsidRPr="00C902B3">
        <w:rPr>
          <w:rFonts w:ascii="Arial" w:hAnsi="Arial"/>
        </w:rPr>
        <w:t xml:space="preserve"> et al., 2022). Furthermore, in Pakistan, disparities in access to digital resources and a lack of institutional support hinder teachers from improving their information competence (Afzal et al., 2023). </w:t>
      </w:r>
    </w:p>
    <w:p w14:paraId="01C93649" w14:textId="77777777" w:rsidR="00C902B3" w:rsidRPr="00C902B3" w:rsidRDefault="00C902B3" w:rsidP="00C902B3">
      <w:pPr>
        <w:jc w:val="both"/>
        <w:rPr>
          <w:rFonts w:ascii="Arial" w:hAnsi="Arial"/>
        </w:rPr>
      </w:pPr>
      <w:r w:rsidRPr="00C902B3">
        <w:rPr>
          <w:rFonts w:ascii="Arial" w:hAnsi="Arial"/>
        </w:rPr>
        <w:t xml:space="preserve">Moreover, several research studies have explored the relationship between data-driven decision making and information competence, emphasizing the crucial role that data-driven </w:t>
      </w:r>
      <w:r w:rsidRPr="00C902B3">
        <w:rPr>
          <w:rFonts w:ascii="Arial" w:hAnsi="Arial"/>
        </w:rPr>
        <w:lastRenderedPageBreak/>
        <w:t>decision-making processes play in leveraging information effectively. Data-driven decision making, which involves making decisions based on data analysis and interpretation, has been found to significantly benefit from strong information competence skills, particularly when it comes to selecting, evaluating, and applying relevant data (</w:t>
      </w:r>
      <w:proofErr w:type="spellStart"/>
      <w:r w:rsidRPr="00C902B3">
        <w:rPr>
          <w:rFonts w:ascii="Arial" w:hAnsi="Arial"/>
        </w:rPr>
        <w:t>Žilka</w:t>
      </w:r>
      <w:proofErr w:type="spellEnd"/>
      <w:r w:rsidRPr="00C902B3">
        <w:rPr>
          <w:rFonts w:ascii="Arial" w:hAnsi="Arial"/>
        </w:rPr>
        <w:t xml:space="preserve"> et al., 2024). Decision-makers who are adept at analyzing data are more likely to make informed choices that improve outcomes across various sectors, such as business, healthcare, and education (</w:t>
      </w:r>
      <w:proofErr w:type="spellStart"/>
      <w:r w:rsidRPr="00C902B3">
        <w:rPr>
          <w:rFonts w:ascii="Arial" w:hAnsi="Arial"/>
        </w:rPr>
        <w:t>Akindote</w:t>
      </w:r>
      <w:proofErr w:type="spellEnd"/>
      <w:r w:rsidRPr="00C902B3">
        <w:rPr>
          <w:rFonts w:ascii="Arial" w:hAnsi="Arial"/>
        </w:rPr>
        <w:t xml:space="preserve"> et al., 2023).</w:t>
      </w:r>
    </w:p>
    <w:p w14:paraId="50B8FC5F" w14:textId="77777777" w:rsidR="00C902B3" w:rsidRDefault="00C902B3" w:rsidP="00C902B3">
      <w:pPr>
        <w:jc w:val="both"/>
        <w:rPr>
          <w:rFonts w:ascii="Arial" w:hAnsi="Arial"/>
        </w:rPr>
      </w:pPr>
    </w:p>
    <w:p w14:paraId="1F344AFD" w14:textId="48B7DD7E" w:rsidR="00C902B3" w:rsidRPr="00C902B3" w:rsidRDefault="00C902B3" w:rsidP="00C902B3">
      <w:pPr>
        <w:jc w:val="both"/>
        <w:rPr>
          <w:rFonts w:ascii="Arial" w:hAnsi="Arial"/>
        </w:rPr>
      </w:pPr>
      <w:r w:rsidRPr="00C902B3">
        <w:rPr>
          <w:rFonts w:ascii="Arial" w:hAnsi="Arial"/>
        </w:rPr>
        <w:t>Furthermore, research indicates that individuals who are proficient in data-driven decision making are more likely to utilize data efficiently, integrating information competence to critically assess the quality and relevance of the data they use (</w:t>
      </w:r>
      <w:proofErr w:type="spellStart"/>
      <w:r w:rsidRPr="00C902B3">
        <w:rPr>
          <w:rFonts w:ascii="Arial" w:hAnsi="Arial"/>
        </w:rPr>
        <w:t>Žilka</w:t>
      </w:r>
      <w:proofErr w:type="spellEnd"/>
      <w:r w:rsidRPr="00C902B3">
        <w:rPr>
          <w:rFonts w:ascii="Arial" w:hAnsi="Arial"/>
        </w:rPr>
        <w:t xml:space="preserve"> et al., 2024). These individuals often demonstrate a higher level of accuracy and effectiveness in their decision-making because they can distinguish between valuable and unreliable information (Schemmer et al., 2022). As such, the ability to interpret data through a lens of information competence is essential to avoid errors and biases in decision-making (Szukits, 2022). </w:t>
      </w:r>
    </w:p>
    <w:p w14:paraId="108A3F81" w14:textId="77777777" w:rsidR="00C902B3" w:rsidRDefault="00C902B3" w:rsidP="00C902B3">
      <w:pPr>
        <w:jc w:val="both"/>
        <w:rPr>
          <w:rFonts w:ascii="Arial" w:hAnsi="Arial"/>
        </w:rPr>
      </w:pPr>
    </w:p>
    <w:p w14:paraId="342D95CB" w14:textId="31B1E425" w:rsidR="00C902B3" w:rsidRPr="00C902B3" w:rsidRDefault="00C902B3" w:rsidP="00C902B3">
      <w:pPr>
        <w:jc w:val="both"/>
        <w:rPr>
          <w:rFonts w:ascii="Arial" w:hAnsi="Arial"/>
        </w:rPr>
      </w:pPr>
      <w:r w:rsidRPr="00C902B3">
        <w:rPr>
          <w:rFonts w:ascii="Arial" w:hAnsi="Arial"/>
        </w:rPr>
        <w:t xml:space="preserve">In the Philippines, the issue of low information competence among teachers remains a pressing concern, particularly with the implementation of blended and online learning modalities. The Department of Education (DepEd) and the Commission on Higher Education (CHED) have introduced initiatives to enhance teachers' digital skills, but many educators still face challenges in navigating online platforms, verifying information sources, and using educational technologies effectively (Alea et al., 2020). In the City of Manila, research has shown that the digital divide, outdated curricula in teacher education programs, and limited access to high-quality training opportunities contribute to this problem (Liu et al., 2023). As a result, students may receive outdated or inaccurate information, affecting the overall quality of education in the country. </w:t>
      </w:r>
    </w:p>
    <w:p w14:paraId="293F4610" w14:textId="77777777" w:rsidR="00C902B3" w:rsidRDefault="00C902B3" w:rsidP="00C902B3">
      <w:pPr>
        <w:jc w:val="both"/>
        <w:rPr>
          <w:rFonts w:ascii="Arial" w:hAnsi="Arial"/>
        </w:rPr>
      </w:pPr>
    </w:p>
    <w:p w14:paraId="53D85AF8" w14:textId="57245E37" w:rsidR="00C902B3" w:rsidRPr="00C902B3" w:rsidRDefault="00C902B3" w:rsidP="00C902B3">
      <w:pPr>
        <w:jc w:val="both"/>
        <w:rPr>
          <w:rFonts w:ascii="Arial" w:hAnsi="Arial"/>
        </w:rPr>
      </w:pPr>
      <w:r w:rsidRPr="00C902B3">
        <w:rPr>
          <w:rFonts w:ascii="Arial" w:hAnsi="Arial"/>
        </w:rPr>
        <w:t>Data-driven decision-making plays a crucial role in enhancing information coherence among teachers by providing structured, evidence-based insights that guide instructional strategies and professional development (Awan et al., 2021). When teachers rely on systematically collected and analyzed data—such as student performance metrics, learning analytics, and educational research—they can ensure that the information they use and share is accurate, relevant, and aligned with curriculum standards (</w:t>
      </w:r>
      <w:proofErr w:type="spellStart"/>
      <w:r w:rsidRPr="00C902B3">
        <w:rPr>
          <w:rFonts w:ascii="Arial" w:hAnsi="Arial"/>
        </w:rPr>
        <w:t>Mandinach</w:t>
      </w:r>
      <w:proofErr w:type="spellEnd"/>
      <w:r w:rsidRPr="00C902B3">
        <w:rPr>
          <w:rFonts w:ascii="Arial" w:hAnsi="Arial"/>
        </w:rPr>
        <w:t xml:space="preserve"> &amp; </w:t>
      </w:r>
      <w:proofErr w:type="spellStart"/>
      <w:r w:rsidRPr="00C902B3">
        <w:rPr>
          <w:rFonts w:ascii="Arial" w:hAnsi="Arial"/>
        </w:rPr>
        <w:t>Schildkamp</w:t>
      </w:r>
      <w:proofErr w:type="spellEnd"/>
      <w:r w:rsidRPr="00C902B3">
        <w:rPr>
          <w:rFonts w:ascii="Arial" w:hAnsi="Arial"/>
        </w:rPr>
        <w:t>, 2021). This approach minimizes inconsistencies in teaching methodologies and content delivery, fostering a more unified and effective educational framework (Matheus et al., 2020). Moreover, data-driven decision-making helps educators identify gaps in their own information competence, allowing institutions to design targeted training programs that enhance their ability to evaluate and utilize information critically (</w:t>
      </w:r>
      <w:proofErr w:type="spellStart"/>
      <w:r w:rsidRPr="00C902B3">
        <w:rPr>
          <w:rFonts w:ascii="Arial" w:hAnsi="Arial"/>
        </w:rPr>
        <w:t>Bibri</w:t>
      </w:r>
      <w:proofErr w:type="spellEnd"/>
      <w:r w:rsidRPr="00C902B3">
        <w:rPr>
          <w:rFonts w:ascii="Arial" w:hAnsi="Arial"/>
        </w:rPr>
        <w:t xml:space="preserve"> &amp; </w:t>
      </w:r>
      <w:proofErr w:type="spellStart"/>
      <w:r w:rsidRPr="00C902B3">
        <w:rPr>
          <w:rFonts w:ascii="Arial" w:hAnsi="Arial"/>
        </w:rPr>
        <w:t>Krogstie</w:t>
      </w:r>
      <w:proofErr w:type="spellEnd"/>
      <w:r w:rsidRPr="00C902B3">
        <w:rPr>
          <w:rFonts w:ascii="Arial" w:hAnsi="Arial"/>
        </w:rPr>
        <w:t xml:space="preserve">, 2020). </w:t>
      </w:r>
    </w:p>
    <w:p w14:paraId="16ACFE28" w14:textId="77777777" w:rsidR="00C902B3" w:rsidRDefault="00C902B3" w:rsidP="00C902B3">
      <w:pPr>
        <w:jc w:val="both"/>
        <w:rPr>
          <w:rFonts w:ascii="Arial" w:hAnsi="Arial"/>
        </w:rPr>
      </w:pPr>
    </w:p>
    <w:p w14:paraId="2E26CE36" w14:textId="3E13BFAC" w:rsidR="00C902B3" w:rsidRPr="00C902B3" w:rsidRDefault="00C902B3" w:rsidP="00C902B3">
      <w:pPr>
        <w:jc w:val="both"/>
        <w:rPr>
          <w:rFonts w:ascii="Arial" w:hAnsi="Arial"/>
        </w:rPr>
      </w:pPr>
      <w:r w:rsidRPr="00C902B3">
        <w:rPr>
          <w:rFonts w:ascii="Arial" w:hAnsi="Arial"/>
        </w:rPr>
        <w:t>In environments where data-driven decision making is valued and supported by strong information competence, decision-makers tend to exhibit greater confidence, job satisfaction, and a commitment to improving organizational outcomes (Nisar et al., 2021). These settings foster a culture of collaboration, as individuals share data insights and work together to refine decision-making processes (</w:t>
      </w:r>
      <w:proofErr w:type="spellStart"/>
      <w:r w:rsidRPr="00C902B3">
        <w:rPr>
          <w:rFonts w:ascii="Arial" w:hAnsi="Arial"/>
        </w:rPr>
        <w:t>Alshwayat</w:t>
      </w:r>
      <w:proofErr w:type="spellEnd"/>
      <w:r w:rsidRPr="00C902B3">
        <w:rPr>
          <w:rFonts w:ascii="Arial" w:hAnsi="Arial"/>
        </w:rPr>
        <w:t xml:space="preserve"> et al., 2021). Ultimately, the relationship between </w:t>
      </w:r>
      <w:proofErr w:type="spellStart"/>
      <w:r w:rsidRPr="00C902B3">
        <w:rPr>
          <w:rFonts w:ascii="Arial" w:hAnsi="Arial"/>
        </w:rPr>
        <w:t>datadriven</w:t>
      </w:r>
      <w:proofErr w:type="spellEnd"/>
      <w:r w:rsidRPr="00C902B3">
        <w:rPr>
          <w:rFonts w:ascii="Arial" w:hAnsi="Arial"/>
        </w:rPr>
        <w:t xml:space="preserve"> decision making and information competence contributes to </w:t>
      </w:r>
      <w:proofErr w:type="spellStart"/>
      <w:r w:rsidRPr="00C902B3">
        <w:rPr>
          <w:rFonts w:ascii="Arial" w:hAnsi="Arial"/>
        </w:rPr>
        <w:t>betterinformed</w:t>
      </w:r>
      <w:proofErr w:type="spellEnd"/>
      <w:r w:rsidRPr="00C902B3">
        <w:rPr>
          <w:rFonts w:ascii="Arial" w:hAnsi="Arial"/>
        </w:rPr>
        <w:t>, more reliable decisions that drive positive change and improved performance (</w:t>
      </w:r>
      <w:proofErr w:type="spellStart"/>
      <w:r w:rsidRPr="00C902B3">
        <w:rPr>
          <w:rFonts w:ascii="Arial" w:hAnsi="Arial"/>
        </w:rPr>
        <w:t>Elugbaju</w:t>
      </w:r>
      <w:proofErr w:type="spellEnd"/>
      <w:r w:rsidRPr="00C902B3">
        <w:rPr>
          <w:rFonts w:ascii="Arial" w:hAnsi="Arial"/>
        </w:rPr>
        <w:t xml:space="preserve"> et al., 2024).</w:t>
      </w:r>
    </w:p>
    <w:p w14:paraId="21C1B999" w14:textId="77777777" w:rsidR="00C902B3" w:rsidRPr="00C902B3" w:rsidRDefault="00C902B3" w:rsidP="00C902B3">
      <w:pPr>
        <w:jc w:val="both"/>
        <w:rPr>
          <w:rFonts w:ascii="Arial" w:hAnsi="Arial"/>
        </w:rPr>
      </w:pPr>
      <w:r w:rsidRPr="00C902B3">
        <w:rPr>
          <w:rFonts w:ascii="Arial" w:hAnsi="Arial"/>
        </w:rPr>
        <w:t xml:space="preserve">In Caraga North District, Division of Davao Oriental, the problem of low information competence among teachers is evident in public and private schools struggling to implement technology-based learning strategies. While some institutions have made efforts to equip teachers with digital skills, many educators still lack the necessary competence to effectively utilize online resources and verify academic </w:t>
      </w:r>
      <w:proofErr w:type="gramStart"/>
      <w:r w:rsidRPr="00C902B3">
        <w:rPr>
          <w:rFonts w:ascii="Arial" w:hAnsi="Arial"/>
        </w:rPr>
        <w:t>information .</w:t>
      </w:r>
      <w:proofErr w:type="gramEnd"/>
      <w:r w:rsidRPr="00C902B3">
        <w:rPr>
          <w:rFonts w:ascii="Arial" w:hAnsi="Arial"/>
        </w:rPr>
        <w:t xml:space="preserve"> This issue is particularly prevalent in schools with limited access to ICT infrastructure and professional development programs. The challenge is further compounded by teachers' workload, which leaves little time for skill </w:t>
      </w:r>
      <w:r w:rsidRPr="00C902B3">
        <w:rPr>
          <w:rFonts w:ascii="Arial" w:hAnsi="Arial"/>
        </w:rPr>
        <w:lastRenderedPageBreak/>
        <w:t xml:space="preserve">development, leading to a reliance on traditional teaching methods that may not fully meet the demands of modern education. </w:t>
      </w:r>
    </w:p>
    <w:p w14:paraId="46AF0441" w14:textId="77777777" w:rsidR="00C902B3" w:rsidRDefault="00C902B3" w:rsidP="00C902B3">
      <w:pPr>
        <w:jc w:val="both"/>
        <w:rPr>
          <w:rFonts w:ascii="Arial" w:hAnsi="Arial"/>
        </w:rPr>
      </w:pPr>
    </w:p>
    <w:p w14:paraId="7AEEE99D" w14:textId="09240A62" w:rsidR="0074551A" w:rsidRPr="00C902B3" w:rsidRDefault="00C902B3" w:rsidP="00C902B3">
      <w:pPr>
        <w:jc w:val="both"/>
        <w:rPr>
          <w:rFonts w:ascii="Arial" w:eastAsia="MS Mincho" w:hAnsi="Arial" w:cs="Arial"/>
          <w:b/>
          <w:bCs/>
          <w:lang w:eastAsia="ja-JP"/>
        </w:rPr>
      </w:pPr>
      <w:r w:rsidRPr="00C902B3">
        <w:rPr>
          <w:rFonts w:ascii="Arial" w:hAnsi="Arial"/>
        </w:rPr>
        <w:t>To provide quality and relevant 21st-century education, this study aims to determine the relationship between data-driven decision-making and information competence among elementary public school teachers in Caraga North District, Division of Davao Oriental. Given the increasing reliance on digital resources and data-informed teaching strategies, understanding this relationship is crucial in addressing gaps in information coherence and instructional effectiveness. The urgency of this research lies in the need to equip teachers with the necessary skills to evaluate, process, and apply information accurately, especially in a rapidly evolving educational landscape. By identifying the extent to which data-driven decision-making influences information competence, this study can provide valuable insights for policymakers, school administrators, and educators in developing targeted training programs and support systems. Ultimately, the findings will contribute to improving teaching practices, ensuring more reliable information dissemination, and enhancing the overall quality of education in public elementary schools.</w:t>
      </w:r>
    </w:p>
    <w:p w14:paraId="3017206B" w14:textId="549228AA" w:rsidR="003227FA" w:rsidRDefault="00C902B3" w:rsidP="00323BB4">
      <w:pPr>
        <w:jc w:val="center"/>
        <w:rPr>
          <w:rFonts w:ascii="Arial" w:eastAsia="MS Mincho" w:hAnsi="Arial" w:cs="Arial"/>
          <w:b/>
          <w:bCs/>
          <w:lang w:eastAsia="ja-JP"/>
        </w:rPr>
      </w:pPr>
      <w:r w:rsidRPr="00C902B3">
        <w:rPr>
          <w:rFonts w:ascii="Arial" w:eastAsia="MS Mincho" w:hAnsi="Arial" w:cs="Arial"/>
          <w:b/>
          <w:bCs/>
          <w:noProof/>
        </w:rPr>
        <w:drawing>
          <wp:inline distT="0" distB="0" distL="0" distR="0" wp14:anchorId="062EE4E4" wp14:editId="60E4A384">
            <wp:extent cx="3354705"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98985" cy="2296872"/>
                    </a:xfrm>
                    <a:prstGeom prst="rect">
                      <a:avLst/>
                    </a:prstGeom>
                  </pic:spPr>
                </pic:pic>
              </a:graphicData>
            </a:graphic>
          </wp:inline>
        </w:drawing>
      </w: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392260EA" w:rsidR="003227FA" w:rsidRDefault="003227FA" w:rsidP="003340B8">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202BCDDE" w14:textId="77777777" w:rsidR="00C902B3" w:rsidRPr="00C902B3" w:rsidRDefault="00C902B3" w:rsidP="00C902B3">
      <w:pPr>
        <w:jc w:val="both"/>
        <w:rPr>
          <w:rFonts w:ascii="Arial" w:eastAsia="MS Mincho" w:hAnsi="Arial" w:cs="Arial"/>
          <w:lang w:eastAsia="ja-JP"/>
        </w:rPr>
      </w:pPr>
      <w:r w:rsidRPr="00C902B3">
        <w:rPr>
          <w:rFonts w:ascii="Arial" w:eastAsia="MS Mincho" w:hAnsi="Arial" w:cs="Arial"/>
          <w:lang w:eastAsia="ja-JP"/>
        </w:rPr>
        <w:t xml:space="preserve">This study aimed to determine the significant relationship between data-driven decision making and information competence of public elementary school teachers in Caraga North District, Division of Davao Oriental. Specifically, it sought to answer the following questions: </w:t>
      </w:r>
    </w:p>
    <w:p w14:paraId="3496B823" w14:textId="77777777" w:rsidR="00C902B3" w:rsidRDefault="00C902B3" w:rsidP="00C902B3">
      <w:pPr>
        <w:rPr>
          <w:rFonts w:ascii="Arial" w:eastAsia="MS Mincho" w:hAnsi="Arial" w:cs="Arial"/>
          <w:lang w:eastAsia="ja-JP"/>
        </w:rPr>
      </w:pPr>
    </w:p>
    <w:p w14:paraId="4B857B8A" w14:textId="19783BB1" w:rsidR="00C902B3" w:rsidRPr="00C902B3" w:rsidRDefault="00C902B3" w:rsidP="00C902B3">
      <w:pPr>
        <w:rPr>
          <w:rFonts w:ascii="Arial" w:eastAsia="MS Mincho" w:hAnsi="Arial" w:cs="Arial"/>
          <w:lang w:eastAsia="ja-JP"/>
        </w:rPr>
      </w:pPr>
      <w:r>
        <w:rPr>
          <w:rFonts w:ascii="Arial" w:eastAsia="MS Mincho" w:hAnsi="Arial" w:cs="Arial"/>
          <w:lang w:eastAsia="ja-JP"/>
        </w:rPr>
        <w:t xml:space="preserve">1. </w:t>
      </w:r>
      <w:r w:rsidRPr="00C902B3">
        <w:rPr>
          <w:rFonts w:ascii="Arial" w:eastAsia="MS Mincho" w:hAnsi="Arial" w:cs="Arial"/>
          <w:lang w:eastAsia="ja-JP"/>
        </w:rPr>
        <w:t xml:space="preserve">What is the level of data-driven decision making of teachers in terms of: </w:t>
      </w:r>
    </w:p>
    <w:p w14:paraId="5AE13852"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1.1 technological infrastructure and hardware; </w:t>
      </w:r>
    </w:p>
    <w:p w14:paraId="0D3A7DCE"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1.2 data usage culture;   </w:t>
      </w:r>
    </w:p>
    <w:p w14:paraId="17F8FD6A"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1.3 data usage purpose; and </w:t>
      </w:r>
    </w:p>
    <w:p w14:paraId="461E7A1D"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1.4 data literacy?</w:t>
      </w:r>
    </w:p>
    <w:p w14:paraId="702CAE5B" w14:textId="77777777" w:rsidR="00C902B3" w:rsidRDefault="00C902B3" w:rsidP="00C902B3">
      <w:pPr>
        <w:rPr>
          <w:rFonts w:ascii="Arial" w:eastAsia="MS Mincho" w:hAnsi="Arial" w:cs="Arial"/>
          <w:lang w:eastAsia="ja-JP"/>
        </w:rPr>
      </w:pPr>
    </w:p>
    <w:p w14:paraId="1A3F83A1" w14:textId="70389F03" w:rsidR="00C902B3" w:rsidRPr="00C902B3" w:rsidRDefault="00C902B3" w:rsidP="00C902B3">
      <w:pPr>
        <w:rPr>
          <w:rFonts w:ascii="Arial" w:eastAsia="MS Mincho" w:hAnsi="Arial" w:cs="Arial"/>
          <w:lang w:eastAsia="ja-JP"/>
        </w:rPr>
      </w:pPr>
      <w:r>
        <w:rPr>
          <w:rFonts w:ascii="Arial" w:eastAsia="MS Mincho" w:hAnsi="Arial" w:cs="Arial"/>
          <w:lang w:eastAsia="ja-JP"/>
        </w:rPr>
        <w:t xml:space="preserve">2. </w:t>
      </w:r>
      <w:r w:rsidRPr="00C902B3">
        <w:rPr>
          <w:rFonts w:ascii="Arial" w:eastAsia="MS Mincho" w:hAnsi="Arial" w:cs="Arial"/>
          <w:lang w:eastAsia="ja-JP"/>
        </w:rPr>
        <w:t xml:space="preserve">What is the degree of information competence of teachers in terms of: </w:t>
      </w:r>
    </w:p>
    <w:p w14:paraId="11A969D8"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2.1 evaluation; </w:t>
      </w:r>
    </w:p>
    <w:p w14:paraId="2B4E3958"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2.2 </w:t>
      </w:r>
      <w:proofErr w:type="gramStart"/>
      <w:r w:rsidRPr="00C902B3">
        <w:rPr>
          <w:rFonts w:ascii="Arial" w:eastAsia="MS Mincho" w:hAnsi="Arial" w:cs="Arial"/>
          <w:lang w:eastAsia="ja-JP"/>
        </w:rPr>
        <w:t>sources;  and</w:t>
      </w:r>
      <w:proofErr w:type="gramEnd"/>
      <w:r w:rsidRPr="00C902B3">
        <w:rPr>
          <w:rFonts w:ascii="Arial" w:eastAsia="MS Mincho" w:hAnsi="Arial" w:cs="Arial"/>
          <w:lang w:eastAsia="ja-JP"/>
        </w:rPr>
        <w:t xml:space="preserve"> </w:t>
      </w:r>
    </w:p>
    <w:p w14:paraId="72FAAF72"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2.1 processing and evaluation?  </w:t>
      </w:r>
    </w:p>
    <w:p w14:paraId="5048FA13" w14:textId="77777777" w:rsidR="00C902B3" w:rsidRDefault="00C902B3" w:rsidP="00C902B3">
      <w:pPr>
        <w:rPr>
          <w:rFonts w:ascii="Arial" w:eastAsia="MS Mincho" w:hAnsi="Arial" w:cs="Arial"/>
          <w:lang w:eastAsia="ja-JP"/>
        </w:rPr>
      </w:pPr>
    </w:p>
    <w:p w14:paraId="16299763" w14:textId="4D238775" w:rsidR="00C902B3" w:rsidRPr="00C902B3" w:rsidRDefault="00C902B3" w:rsidP="00C902B3">
      <w:pPr>
        <w:rPr>
          <w:rFonts w:ascii="Arial" w:eastAsia="MS Mincho" w:hAnsi="Arial" w:cs="Arial"/>
          <w:lang w:eastAsia="ja-JP"/>
        </w:rPr>
      </w:pPr>
      <w:r>
        <w:rPr>
          <w:rFonts w:ascii="Arial" w:eastAsia="MS Mincho" w:hAnsi="Arial" w:cs="Arial"/>
          <w:lang w:eastAsia="ja-JP"/>
        </w:rPr>
        <w:t xml:space="preserve">3. </w:t>
      </w:r>
      <w:r w:rsidRPr="00C902B3">
        <w:rPr>
          <w:rFonts w:ascii="Arial" w:eastAsia="MS Mincho" w:hAnsi="Arial" w:cs="Arial"/>
          <w:lang w:eastAsia="ja-JP"/>
        </w:rPr>
        <w:t xml:space="preserve">Is there a significant relationship between data-driven decision making and the information competence? </w:t>
      </w:r>
    </w:p>
    <w:p w14:paraId="0ECCE839" w14:textId="77777777" w:rsidR="00C902B3" w:rsidRDefault="00C902B3" w:rsidP="00C902B3">
      <w:pPr>
        <w:rPr>
          <w:rFonts w:ascii="Arial" w:eastAsia="MS Mincho" w:hAnsi="Arial" w:cs="Arial"/>
          <w:lang w:eastAsia="ja-JP"/>
        </w:rPr>
      </w:pPr>
    </w:p>
    <w:p w14:paraId="3243C943" w14:textId="00C0CD6B" w:rsidR="00B43C88" w:rsidRPr="00C902B3" w:rsidRDefault="00C902B3" w:rsidP="00C902B3">
      <w:pPr>
        <w:rPr>
          <w:rFonts w:ascii="Arial" w:eastAsia="MS Mincho" w:hAnsi="Arial" w:cs="Arial"/>
          <w:lang w:eastAsia="ja-JP"/>
        </w:rPr>
      </w:pPr>
      <w:r>
        <w:rPr>
          <w:rFonts w:ascii="Arial" w:eastAsia="MS Mincho" w:hAnsi="Arial" w:cs="Arial"/>
          <w:lang w:eastAsia="ja-JP"/>
        </w:rPr>
        <w:t xml:space="preserve">4. </w:t>
      </w:r>
      <w:r w:rsidRPr="00C902B3">
        <w:rPr>
          <w:rFonts w:ascii="Arial" w:eastAsia="MS Mincho" w:hAnsi="Arial" w:cs="Arial"/>
          <w:lang w:eastAsia="ja-JP"/>
        </w:rPr>
        <w:t>Which domains of data-driven decision making significantly influence the teacher information competence?</w:t>
      </w:r>
    </w:p>
    <w:p w14:paraId="1AB12110" w14:textId="77777777" w:rsidR="00C902B3" w:rsidRDefault="00C902B3" w:rsidP="002F5C4B">
      <w:pPr>
        <w:rPr>
          <w:rFonts w:ascii="Arial" w:eastAsia="MS Mincho" w:hAnsi="Arial" w:cs="Arial"/>
          <w:b/>
          <w:lang w:eastAsia="ja-JP"/>
        </w:rPr>
      </w:pPr>
    </w:p>
    <w:p w14:paraId="4110F409" w14:textId="667B13BD"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5682D5CB" w14:textId="77777777" w:rsidR="00C902B3" w:rsidRPr="00C902B3" w:rsidRDefault="00C902B3" w:rsidP="00C902B3">
      <w:pPr>
        <w:ind w:firstLine="720"/>
        <w:jc w:val="both"/>
        <w:rPr>
          <w:rFonts w:ascii="Arial" w:hAnsi="Arial" w:cs="Arial"/>
        </w:rPr>
      </w:pPr>
      <w:r w:rsidRPr="00C902B3">
        <w:rPr>
          <w:rFonts w:ascii="Arial" w:hAnsi="Arial" w:cs="Arial"/>
        </w:rPr>
        <w:t xml:space="preserve">Ho1: There is no significant relationship between data-driven decision making and information competence among teachers. </w:t>
      </w:r>
    </w:p>
    <w:p w14:paraId="2761BBBA" w14:textId="7450A469" w:rsidR="000D23E6" w:rsidRPr="00C902B3" w:rsidRDefault="00C902B3" w:rsidP="00C902B3">
      <w:pPr>
        <w:ind w:firstLine="720"/>
        <w:jc w:val="both"/>
        <w:rPr>
          <w:rFonts w:ascii="Arial" w:hAnsi="Arial" w:cs="Arial"/>
        </w:rPr>
      </w:pPr>
      <w:r w:rsidRPr="00C902B3">
        <w:rPr>
          <w:rFonts w:ascii="Arial" w:hAnsi="Arial" w:cs="Arial"/>
        </w:rPr>
        <w:t>Ho2: All domains of data-driven decision making do not significantly influence information competence among teachers.</w:t>
      </w:r>
    </w:p>
    <w:p w14:paraId="7C922644" w14:textId="77777777" w:rsidR="00C902B3" w:rsidRDefault="00C902B3">
      <w:pPr>
        <w:pStyle w:val="AbstHead"/>
        <w:spacing w:after="0"/>
        <w:jc w:val="both"/>
        <w:rPr>
          <w:rFonts w:ascii="Arial" w:hAnsi="Arial" w:cs="Arial"/>
          <w:sz w:val="20"/>
        </w:rPr>
      </w:pPr>
    </w:p>
    <w:p w14:paraId="012EB897" w14:textId="1DAFCE82" w:rsidR="00717F2E" w:rsidRDefault="00180859">
      <w:pPr>
        <w:pStyle w:val="AbstHead"/>
        <w:spacing w:after="0"/>
        <w:jc w:val="both"/>
        <w:rPr>
          <w:rFonts w:ascii="Arial" w:hAnsi="Arial" w:cs="Arial"/>
          <w:sz w:val="20"/>
        </w:rPr>
      </w:pPr>
      <w:r>
        <w:rPr>
          <w:rFonts w:ascii="Arial" w:hAnsi="Arial" w:cs="Arial"/>
          <w:sz w:val="20"/>
        </w:rPr>
        <w:t>2. methodology</w:t>
      </w:r>
    </w:p>
    <w:p w14:paraId="392683DA" w14:textId="52F1F85D"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E797BB5" w14:textId="77777777" w:rsidR="00C902B3" w:rsidRPr="00C902B3" w:rsidRDefault="00C902B3" w:rsidP="00C902B3">
      <w:pPr>
        <w:jc w:val="both"/>
        <w:rPr>
          <w:rFonts w:ascii="Arial" w:hAnsi="Arial" w:cs="Arial"/>
        </w:rPr>
      </w:pPr>
      <w:r w:rsidRPr="00C902B3">
        <w:rPr>
          <w:rFonts w:ascii="Arial" w:hAnsi="Arial" w:cs="Arial"/>
        </w:rPr>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C902B3">
        <w:rPr>
          <w:rFonts w:ascii="Arial" w:hAnsi="Arial" w:cs="Arial"/>
        </w:rPr>
        <w:t>Mohajan</w:t>
      </w:r>
      <w:proofErr w:type="spellEnd"/>
      <w:r w:rsidRPr="00C902B3">
        <w:rPr>
          <w:rFonts w:ascii="Arial" w:hAnsi="Arial" w:cs="Arial"/>
        </w:rPr>
        <w:t xml:space="preserve">, 2020). To achieve reliable findings, the study uses standardized and controlled data collection methods, such as surveys, to quantify variables and test hypotheses (Rassel et al., 2020). </w:t>
      </w:r>
    </w:p>
    <w:p w14:paraId="0EA91373" w14:textId="77777777" w:rsidR="00C902B3" w:rsidRDefault="00C902B3" w:rsidP="00C902B3">
      <w:pPr>
        <w:jc w:val="both"/>
        <w:rPr>
          <w:rFonts w:ascii="Arial" w:hAnsi="Arial" w:cs="Arial"/>
        </w:rPr>
      </w:pPr>
    </w:p>
    <w:p w14:paraId="358B9603" w14:textId="07FD345D" w:rsidR="00C902B3" w:rsidRPr="00C902B3" w:rsidRDefault="00C902B3" w:rsidP="00C902B3">
      <w:pPr>
        <w:jc w:val="both"/>
        <w:rPr>
          <w:rFonts w:ascii="Arial" w:hAnsi="Arial" w:cs="Arial"/>
        </w:rPr>
      </w:pPr>
      <w:r w:rsidRPr="00C902B3">
        <w:rPr>
          <w:rFonts w:ascii="Arial" w:hAnsi="Arial" w:cs="Arial"/>
        </w:rPr>
        <w:t>Additionally, the research followed a non-experimental framework, which focuses on observing and analyzing naturally occurring relationships between variables (Roberts, 2021). Unlike experimental research, which manipulates variables to explore cause-and-effect relationships, non-experimental research aims to understand and describe relationships as they naturally unfold in real-world settings (</w:t>
      </w:r>
      <w:r w:rsidR="001B5D2F">
        <w:rPr>
          <w:rFonts w:ascii="Arial" w:hAnsi="Arial" w:cs="Arial"/>
        </w:rPr>
        <w:t>Gamage, 2025</w:t>
      </w:r>
      <w:r w:rsidRPr="00C902B3">
        <w:rPr>
          <w:rFonts w:ascii="Arial" w:hAnsi="Arial" w:cs="Arial"/>
        </w:rPr>
        <w:t xml:space="preserve">). </w:t>
      </w:r>
    </w:p>
    <w:p w14:paraId="30F8295B" w14:textId="77777777" w:rsidR="00C902B3" w:rsidRDefault="00C902B3" w:rsidP="00C902B3">
      <w:pPr>
        <w:jc w:val="both"/>
        <w:rPr>
          <w:rFonts w:ascii="Arial" w:hAnsi="Arial" w:cs="Arial"/>
        </w:rPr>
      </w:pPr>
    </w:p>
    <w:p w14:paraId="4706C0F7" w14:textId="3EC1EEEF" w:rsidR="00C902B3" w:rsidRPr="00C902B3" w:rsidRDefault="00C902B3" w:rsidP="00C902B3">
      <w:pPr>
        <w:jc w:val="both"/>
        <w:rPr>
          <w:rFonts w:ascii="Arial" w:hAnsi="Arial" w:cs="Arial"/>
        </w:rPr>
      </w:pPr>
      <w:r w:rsidRPr="00C902B3">
        <w:rPr>
          <w:rFonts w:ascii="Arial" w:hAnsi="Arial" w:cs="Arial"/>
        </w:rPr>
        <w:t xml:space="preserve">Furthermore, a descriptive correlational research approach </w:t>
      </w:r>
      <w:proofErr w:type="gramStart"/>
      <w:r w:rsidRPr="00C902B3">
        <w:rPr>
          <w:rFonts w:ascii="Arial" w:hAnsi="Arial" w:cs="Arial"/>
        </w:rPr>
        <w:t>were</w:t>
      </w:r>
      <w:proofErr w:type="gramEnd"/>
      <w:r w:rsidRPr="00C902B3">
        <w:rPr>
          <w:rFonts w:ascii="Arial" w:hAnsi="Arial" w:cs="Arial"/>
        </w:rPr>
        <w:t xml:space="preserve"> applied to explore and describe the connections between two or more variables without altering them. The primary goal of this approach was to identify and understand patterns, relationships, or associations between variables (</w:t>
      </w:r>
      <w:proofErr w:type="spellStart"/>
      <w:r w:rsidRPr="00C902B3">
        <w:rPr>
          <w:rFonts w:ascii="Arial" w:hAnsi="Arial" w:cs="Arial"/>
        </w:rPr>
        <w:t>Mertler</w:t>
      </w:r>
      <w:proofErr w:type="spellEnd"/>
      <w:r w:rsidRPr="00C902B3">
        <w:rPr>
          <w:rFonts w:ascii="Arial" w:hAnsi="Arial" w:cs="Arial"/>
        </w:rPr>
        <w:t xml:space="preserve"> et al., 2021). Unlike experimental research, which seeks to establish causality by manipulating conditions, descriptive correlational research focuses on measuring the strength and direction of relationships as they naturally occur (Seeram, 2019). </w:t>
      </w:r>
    </w:p>
    <w:p w14:paraId="7580B072" w14:textId="77777777" w:rsidR="00C902B3" w:rsidRDefault="00C902B3" w:rsidP="00C902B3">
      <w:pPr>
        <w:jc w:val="both"/>
        <w:rPr>
          <w:rFonts w:ascii="Arial" w:hAnsi="Arial" w:cs="Arial"/>
        </w:rPr>
      </w:pPr>
    </w:p>
    <w:p w14:paraId="227BD7A9" w14:textId="61FB01CB" w:rsidR="00F121AE" w:rsidRDefault="00C902B3" w:rsidP="00C902B3">
      <w:pPr>
        <w:jc w:val="both"/>
        <w:rPr>
          <w:rFonts w:ascii="Arial" w:hAnsi="Arial" w:cs="Arial"/>
        </w:rPr>
      </w:pPr>
      <w:r w:rsidRPr="00C902B3">
        <w:rPr>
          <w:rFonts w:ascii="Arial" w:hAnsi="Arial" w:cs="Arial"/>
        </w:rPr>
        <w:t>In the context of this study, the descriptive-correlational research design was considered suitable as it aimed to describe the extent of data-driven decision making and information competence among teachers. It also sought to identify the significant relationship between teachers' attitudes toward lifelong learning and their overall effectiveness among public elementary school teachers in Caraga North District, Division of Davao Oriental.</w:t>
      </w:r>
    </w:p>
    <w:p w14:paraId="48B45E44" w14:textId="77777777" w:rsidR="00C902B3" w:rsidRDefault="00C902B3" w:rsidP="00C902B3">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24D0026" w14:textId="77777777" w:rsidR="00C902B3" w:rsidRPr="00C902B3" w:rsidRDefault="00C902B3" w:rsidP="00C902B3">
      <w:pPr>
        <w:jc w:val="both"/>
        <w:rPr>
          <w:rFonts w:ascii="Arial" w:hAnsi="Arial" w:cs="Arial"/>
        </w:rPr>
      </w:pPr>
      <w:r w:rsidRPr="00C902B3">
        <w:rPr>
          <w:rFonts w:ascii="Arial" w:hAnsi="Arial" w:cs="Arial"/>
        </w:rPr>
        <w:t xml:space="preserve">This study was conducted in Caraga North District, Division of Davao Oriental. There were 144 teachers who were involved as respondents in the study out of a total population of 226, using Slovin’s Formula, to assess the Strategic Thinking Skills and Global Competence of Public Elementary School Teachers. The study was conducted during the school year 2024–2025. In selecting the respondents, the researcher employed simple random sampling utilizing the lottery or fishbowl technique. Numbers were assigned to the respondents in the population </w:t>
      </w:r>
      <w:r w:rsidRPr="00C902B3">
        <w:rPr>
          <w:rFonts w:ascii="Arial" w:hAnsi="Arial" w:cs="Arial"/>
        </w:rPr>
        <w:lastRenderedPageBreak/>
        <w:t>and placed in a container large enough to allow the rolled pieces of paper to move freely in all directions when shaken. The researcher picked out the desired number of participants for the study. Teachers with at least three years of teaching experience were chosen as respondents.</w:t>
      </w:r>
    </w:p>
    <w:p w14:paraId="4CE52D1E" w14:textId="77777777" w:rsidR="00C902B3" w:rsidRDefault="00C902B3" w:rsidP="00C902B3">
      <w:pPr>
        <w:jc w:val="both"/>
        <w:rPr>
          <w:rFonts w:ascii="Arial" w:hAnsi="Arial" w:cs="Arial"/>
        </w:rPr>
      </w:pPr>
    </w:p>
    <w:p w14:paraId="1E725D10" w14:textId="77B3EF03" w:rsidR="00A67B21" w:rsidRDefault="00C902B3" w:rsidP="00C902B3">
      <w:pPr>
        <w:jc w:val="both"/>
        <w:rPr>
          <w:rFonts w:ascii="Arial" w:hAnsi="Arial" w:cs="Arial"/>
        </w:rPr>
      </w:pPr>
      <w:r w:rsidRPr="00C902B3">
        <w:rPr>
          <w:rFonts w:ascii="Arial" w:hAnsi="Arial" w:cs="Arial"/>
        </w:rPr>
        <w:t>The inclusion criteria were as follows: first, the teacher must have been currently employed at a public elementary school within Caraga North District, Division of Davao Oriental during the 2024–2025 school year. Second, the teacher must have had at least three years of teaching experience in any subject. Lastly, the teacher must have attended training or a seminar under the MATATAG program. Teachers who did not meet these criteria were excluded from the study.</w:t>
      </w:r>
    </w:p>
    <w:p w14:paraId="1B68A248" w14:textId="77777777" w:rsidR="00C902B3" w:rsidRDefault="00C902B3" w:rsidP="00C902B3">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CF42F12" w14:textId="17558E95" w:rsidR="00C52519" w:rsidRDefault="00C902B3" w:rsidP="00C902B3">
      <w:pPr>
        <w:jc w:val="both"/>
        <w:rPr>
          <w:rFonts w:ascii="Arial" w:hAnsi="Arial" w:cs="Arial"/>
        </w:rPr>
      </w:pPr>
      <w:r w:rsidRPr="00C902B3">
        <w:rPr>
          <w:rFonts w:ascii="Arial" w:hAnsi="Arial" w:cs="Arial"/>
        </w:rPr>
        <w:t xml:space="preserve">The first part of the questionnaire was based on the Data-Driven Decision Making in Schools Scale: A Study of Validity and Reliability by Dogan and </w:t>
      </w:r>
      <w:proofErr w:type="spellStart"/>
      <w:r w:rsidRPr="00C902B3">
        <w:rPr>
          <w:rFonts w:ascii="Arial" w:hAnsi="Arial" w:cs="Arial"/>
        </w:rPr>
        <w:t>Demirbolat</w:t>
      </w:r>
      <w:proofErr w:type="spellEnd"/>
      <w:r w:rsidRPr="00C902B3">
        <w:rPr>
          <w:rFonts w:ascii="Arial" w:hAnsi="Arial" w:cs="Arial"/>
        </w:rPr>
        <w:t xml:space="preserve"> (2021). The data-driven decision-making scale included items that measured teachers' technological infrastructure and hardware, data usage culture, data usage purpose, and data literacy. Its overall Cronbach’s alpha coefficient was 0.760, which supported the reliability of the questionnaire for measuring the variable of data-driven decision-making. In this study, the data-driven decision-making scale demonstrated excellent reliability, with a Cronbach’s alpha value of 0.987.</w:t>
      </w:r>
    </w:p>
    <w:p w14:paraId="484BA1F3" w14:textId="186CD658" w:rsidR="00C902B3" w:rsidRDefault="00C902B3" w:rsidP="00C902B3">
      <w:pPr>
        <w:jc w:val="both"/>
        <w:rPr>
          <w:rFonts w:ascii="Arial" w:hAnsi="Arial" w:cs="Arial"/>
        </w:rPr>
      </w:pPr>
    </w:p>
    <w:p w14:paraId="22679AC7" w14:textId="4C3440F0" w:rsidR="00C902B3" w:rsidRDefault="00C902B3" w:rsidP="00C902B3">
      <w:pPr>
        <w:jc w:val="both"/>
        <w:rPr>
          <w:rFonts w:ascii="Arial" w:hAnsi="Arial" w:cs="Arial"/>
        </w:rPr>
      </w:pPr>
      <w:r w:rsidRPr="00C902B3">
        <w:rPr>
          <w:rFonts w:ascii="Arial" w:hAnsi="Arial" w:cs="Arial"/>
        </w:rPr>
        <w:t>The second part of the questionnaire was developed by Gómez-García et al. (2021) to assess information competence. The Information Competence Scale assessed different aspects of information competence, such as evaluation, sources, processing, and elaboration. The overall Cronbach’s alpha coefficient for the scale was 0.760, indicating that the questionnaire was reliable for measuring the variable of information competence. Additionally, the information competence questionnaire demonstrated good reliability in this study, with a Cronbach’s alpha value of 0.975.</w:t>
      </w:r>
    </w:p>
    <w:p w14:paraId="577910D9" w14:textId="77777777" w:rsidR="00C902B3" w:rsidRDefault="00C902B3"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AFE353F" w14:textId="77777777" w:rsidR="00C902B3" w:rsidRPr="00C902B3" w:rsidRDefault="00C902B3" w:rsidP="00C87B13">
      <w:pPr>
        <w:pStyle w:val="Heading1"/>
        <w:jc w:val="both"/>
        <w:rPr>
          <w:rFonts w:cs="Arial"/>
          <w:b w:val="0"/>
          <w:kern w:val="0"/>
          <w:sz w:val="20"/>
        </w:rPr>
      </w:pPr>
      <w:r w:rsidRPr="00C902B3">
        <w:rPr>
          <w:rFonts w:cs="Arial"/>
          <w:b w:val="0"/>
          <w:kern w:val="0"/>
          <w:sz w:val="20"/>
        </w:rPr>
        <w:t>In order to collect data for this study, the researcher went through the following processes and procedures.</w:t>
      </w:r>
    </w:p>
    <w:p w14:paraId="054DA415" w14:textId="77777777" w:rsidR="00C902B3" w:rsidRPr="00C902B3" w:rsidRDefault="00C902B3" w:rsidP="00C87B13">
      <w:pPr>
        <w:pStyle w:val="Heading1"/>
        <w:jc w:val="both"/>
        <w:rPr>
          <w:rFonts w:cs="Arial"/>
          <w:b w:val="0"/>
          <w:kern w:val="0"/>
          <w:sz w:val="20"/>
        </w:rPr>
      </w:pPr>
      <w:r w:rsidRPr="00C902B3">
        <w:rPr>
          <w:rFonts w:cs="Arial"/>
          <w:b w:val="0"/>
          <w:kern w:val="0"/>
          <w:sz w:val="20"/>
        </w:rPr>
        <w:t>The data collection procedure for this study was carried out in a systematic manner to ensure ethical adherence and to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0E9C6637" w14:textId="77777777" w:rsidR="00C902B3" w:rsidRPr="00C902B3" w:rsidRDefault="00C902B3" w:rsidP="00C87B13">
      <w:pPr>
        <w:pStyle w:val="Heading1"/>
        <w:jc w:val="both"/>
        <w:rPr>
          <w:rFonts w:cs="Arial"/>
          <w:b w:val="0"/>
          <w:kern w:val="0"/>
          <w:sz w:val="20"/>
        </w:rPr>
      </w:pPr>
      <w:r w:rsidRPr="00C902B3">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042669F2" w14:textId="5E3EC964" w:rsidR="00C902B3" w:rsidRPr="00C902B3" w:rsidRDefault="00C902B3" w:rsidP="00C87B13">
      <w:pPr>
        <w:pStyle w:val="Heading1"/>
        <w:jc w:val="both"/>
        <w:rPr>
          <w:rFonts w:cs="Arial"/>
          <w:b w:val="0"/>
          <w:kern w:val="0"/>
          <w:sz w:val="20"/>
        </w:rPr>
      </w:pPr>
      <w:r w:rsidRPr="00C902B3">
        <w:rPr>
          <w:rFonts w:cs="Arial"/>
          <w:b w:val="0"/>
          <w:kern w:val="0"/>
          <w:sz w:val="20"/>
        </w:rPr>
        <w:t xml:space="preserve">After data collection, the retrieval process involved carefully organizing and analyzing the collected information. The completed questionnaires were counted, and responses were </w:t>
      </w:r>
      <w:r w:rsidRPr="00C902B3">
        <w:rPr>
          <w:rFonts w:cs="Arial"/>
          <w:b w:val="0"/>
          <w:kern w:val="0"/>
          <w:sz w:val="20"/>
        </w:rPr>
        <w:lastRenderedPageBreak/>
        <w:t>systematically recorded for statistical evaluation using tools such as mean, standard deviation, and correlation analysis.</w:t>
      </w:r>
    </w:p>
    <w:p w14:paraId="3CB0DE7E" w14:textId="45D18F80" w:rsidR="005D71AE" w:rsidRDefault="00180859" w:rsidP="00C87B13">
      <w:pPr>
        <w:pStyle w:val="Heading1"/>
        <w:jc w:val="both"/>
        <w:rPr>
          <w:rFonts w:cs="Arial"/>
          <w:sz w:val="20"/>
        </w:rPr>
      </w:pPr>
      <w:r>
        <w:rPr>
          <w:rFonts w:cs="Arial"/>
          <w:sz w:val="20"/>
        </w:rPr>
        <w:t>2.5 Data Analysis</w:t>
      </w:r>
    </w:p>
    <w:p w14:paraId="137B090E" w14:textId="77777777" w:rsidR="00C902B3" w:rsidRPr="00C902B3" w:rsidRDefault="00C902B3" w:rsidP="00C902B3"/>
    <w:p w14:paraId="4F80636B" w14:textId="77777777" w:rsidR="00C902B3"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t>In analyzing and interpreting the data gathered for this study, several statistical tools were utilized to determine the objectives of the study.</w:t>
      </w:r>
    </w:p>
    <w:p w14:paraId="0B72E986" w14:textId="77777777" w:rsidR="00C902B3"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t xml:space="preserve">Mean was used to assess the extent of data-driven decision making and information competence among teachers. </w:t>
      </w:r>
    </w:p>
    <w:p w14:paraId="52757180" w14:textId="77777777" w:rsidR="00C902B3"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t xml:space="preserve">Pearson r-moment correlation analysis was applied to examine the strength and direction of the relationship between data-driven decision making and information competence. </w:t>
      </w:r>
    </w:p>
    <w:p w14:paraId="08B1DEAA" w14:textId="7E9021B3" w:rsidR="00C84872"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t>Multiple linear regression analysis was employed to identify which domains of data-driven decision making and information competence would influence the teaching effectiveness of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C6C0F86" w:rsidR="005D71AE" w:rsidRDefault="00180859">
      <w:pPr>
        <w:suppressAutoHyphens/>
        <w:jc w:val="both"/>
        <w:rPr>
          <w:rFonts w:ascii="Arial" w:hAnsi="Arial" w:cs="Arial"/>
          <w:b/>
        </w:rPr>
      </w:pPr>
      <w:r>
        <w:rPr>
          <w:rFonts w:ascii="Arial" w:hAnsi="Arial" w:cs="Arial"/>
          <w:b/>
        </w:rPr>
        <w:t xml:space="preserve">3.1 </w:t>
      </w:r>
      <w:r w:rsidR="0054027F" w:rsidRPr="0054027F">
        <w:rPr>
          <w:rFonts w:ascii="Arial" w:hAnsi="Arial" w:cs="Arial"/>
          <w:b/>
        </w:rPr>
        <w:t xml:space="preserve">Extent of Data-Driven Decision Making </w:t>
      </w:r>
      <w:r w:rsidR="00483EDC" w:rsidRPr="00483EDC">
        <w:rPr>
          <w:rFonts w:ascii="Arial" w:hAnsi="Arial" w:cs="Arial"/>
          <w:b/>
        </w:rPr>
        <w:t>among Public Elementary School Teachers</w:t>
      </w:r>
    </w:p>
    <w:p w14:paraId="1B38FF68" w14:textId="77777777" w:rsidR="00EF4B2D" w:rsidRDefault="00EF4B2D">
      <w:pPr>
        <w:suppressAutoHyphens/>
        <w:jc w:val="both"/>
        <w:rPr>
          <w:rFonts w:ascii="Arial" w:hAnsi="Arial" w:cs="Arial"/>
          <w:b/>
        </w:rPr>
      </w:pPr>
    </w:p>
    <w:p w14:paraId="69D23EB0" w14:textId="19432AA2"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4027F" w:rsidRPr="0054027F">
        <w:rPr>
          <w:rFonts w:ascii="Arial" w:hAnsi="Arial" w:cs="Arial"/>
          <w:i/>
          <w:iCs/>
        </w:rPr>
        <w:t>Extent of Data-Driven Decision Making among Public Elementary School Teachers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996"/>
        <w:gridCol w:w="606"/>
        <w:gridCol w:w="728"/>
        <w:gridCol w:w="1862"/>
      </w:tblGrid>
      <w:tr w:rsidR="0054027F" w:rsidRPr="0054027F" w14:paraId="3E949855" w14:textId="77777777" w:rsidTr="0054027F">
        <w:trPr>
          <w:trHeight w:val="35"/>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103235D4"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7147C45A"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6944B5B1"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08" w:type="dxa"/>
              <w:bottom w:w="0" w:type="dxa"/>
              <w:right w:w="108" w:type="dxa"/>
            </w:tcMar>
            <w:hideMark/>
          </w:tcPr>
          <w:p w14:paraId="0BFB3107"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Descriptive Level</w:t>
            </w:r>
          </w:p>
        </w:tc>
      </w:tr>
      <w:tr w:rsidR="0054027F" w:rsidRPr="0054027F" w14:paraId="372C8561" w14:textId="77777777" w:rsidTr="0054027F">
        <w:trPr>
          <w:trHeight w:val="269"/>
          <w:jc w:val="center"/>
        </w:trPr>
        <w:tc>
          <w:tcPr>
            <w:tcW w:w="0" w:type="auto"/>
            <w:tcBorders>
              <w:top w:val="single" w:sz="4" w:space="0" w:color="000000"/>
            </w:tcBorders>
            <w:tcMar>
              <w:top w:w="0" w:type="dxa"/>
              <w:left w:w="108" w:type="dxa"/>
              <w:bottom w:w="0" w:type="dxa"/>
              <w:right w:w="108" w:type="dxa"/>
            </w:tcMar>
            <w:hideMark/>
          </w:tcPr>
          <w:p w14:paraId="65A4D6F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Technological Infrastructure and Hardware</w:t>
            </w:r>
          </w:p>
        </w:tc>
        <w:tc>
          <w:tcPr>
            <w:tcW w:w="0" w:type="auto"/>
            <w:tcBorders>
              <w:top w:val="single" w:sz="4" w:space="0" w:color="000000"/>
            </w:tcBorders>
            <w:tcMar>
              <w:top w:w="0" w:type="dxa"/>
              <w:left w:w="108" w:type="dxa"/>
              <w:bottom w:w="0" w:type="dxa"/>
              <w:right w:w="108" w:type="dxa"/>
            </w:tcMar>
            <w:hideMark/>
          </w:tcPr>
          <w:p w14:paraId="7FD76C49"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0.50</w:t>
            </w:r>
          </w:p>
        </w:tc>
        <w:tc>
          <w:tcPr>
            <w:tcW w:w="0" w:type="auto"/>
            <w:tcBorders>
              <w:top w:val="single" w:sz="4" w:space="0" w:color="000000"/>
            </w:tcBorders>
            <w:tcMar>
              <w:top w:w="0" w:type="dxa"/>
              <w:left w:w="108" w:type="dxa"/>
              <w:bottom w:w="0" w:type="dxa"/>
              <w:right w:w="108" w:type="dxa"/>
            </w:tcMar>
            <w:hideMark/>
          </w:tcPr>
          <w:p w14:paraId="06623352"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4.27</w:t>
            </w:r>
          </w:p>
        </w:tc>
        <w:tc>
          <w:tcPr>
            <w:tcW w:w="0" w:type="auto"/>
            <w:tcBorders>
              <w:top w:val="single" w:sz="4" w:space="0" w:color="000000"/>
            </w:tcBorders>
            <w:tcMar>
              <w:top w:w="0" w:type="dxa"/>
              <w:left w:w="108" w:type="dxa"/>
              <w:bottom w:w="0" w:type="dxa"/>
              <w:right w:w="108" w:type="dxa"/>
            </w:tcMar>
            <w:hideMark/>
          </w:tcPr>
          <w:p w14:paraId="00577B9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6B0227C5" w14:textId="77777777" w:rsidTr="0054027F">
        <w:trPr>
          <w:trHeight w:val="280"/>
          <w:jc w:val="center"/>
        </w:trPr>
        <w:tc>
          <w:tcPr>
            <w:tcW w:w="0" w:type="auto"/>
            <w:tcMar>
              <w:top w:w="0" w:type="dxa"/>
              <w:left w:w="108" w:type="dxa"/>
              <w:bottom w:w="0" w:type="dxa"/>
              <w:right w:w="108" w:type="dxa"/>
            </w:tcMar>
            <w:hideMark/>
          </w:tcPr>
          <w:p w14:paraId="42059EF3"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 Usage Culture</w:t>
            </w:r>
          </w:p>
        </w:tc>
        <w:tc>
          <w:tcPr>
            <w:tcW w:w="0" w:type="auto"/>
            <w:tcMar>
              <w:top w:w="0" w:type="dxa"/>
              <w:left w:w="108" w:type="dxa"/>
              <w:bottom w:w="0" w:type="dxa"/>
              <w:right w:w="108" w:type="dxa"/>
            </w:tcMar>
            <w:hideMark/>
          </w:tcPr>
          <w:p w14:paraId="6CAFA7CB"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0.63</w:t>
            </w:r>
          </w:p>
        </w:tc>
        <w:tc>
          <w:tcPr>
            <w:tcW w:w="0" w:type="auto"/>
            <w:tcMar>
              <w:top w:w="0" w:type="dxa"/>
              <w:left w:w="108" w:type="dxa"/>
              <w:bottom w:w="0" w:type="dxa"/>
              <w:right w:w="108" w:type="dxa"/>
            </w:tcMar>
            <w:hideMark/>
          </w:tcPr>
          <w:p w14:paraId="29C4F69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4.31</w:t>
            </w:r>
          </w:p>
        </w:tc>
        <w:tc>
          <w:tcPr>
            <w:tcW w:w="0" w:type="auto"/>
            <w:tcMar>
              <w:top w:w="0" w:type="dxa"/>
              <w:left w:w="108" w:type="dxa"/>
              <w:bottom w:w="0" w:type="dxa"/>
              <w:right w:w="108" w:type="dxa"/>
            </w:tcMar>
            <w:hideMark/>
          </w:tcPr>
          <w:p w14:paraId="043471E6"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519D4DFD" w14:textId="77777777" w:rsidTr="0054027F">
        <w:trPr>
          <w:trHeight w:val="280"/>
          <w:jc w:val="center"/>
        </w:trPr>
        <w:tc>
          <w:tcPr>
            <w:tcW w:w="0" w:type="auto"/>
            <w:tcMar>
              <w:top w:w="0" w:type="dxa"/>
              <w:left w:w="108" w:type="dxa"/>
              <w:bottom w:w="0" w:type="dxa"/>
              <w:right w:w="108" w:type="dxa"/>
            </w:tcMar>
            <w:hideMark/>
          </w:tcPr>
          <w:p w14:paraId="4CBC98A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 Usage Purpose</w:t>
            </w:r>
          </w:p>
        </w:tc>
        <w:tc>
          <w:tcPr>
            <w:tcW w:w="0" w:type="auto"/>
            <w:tcMar>
              <w:top w:w="0" w:type="dxa"/>
              <w:left w:w="108" w:type="dxa"/>
              <w:bottom w:w="0" w:type="dxa"/>
              <w:right w:w="108" w:type="dxa"/>
            </w:tcMar>
            <w:hideMark/>
          </w:tcPr>
          <w:p w14:paraId="7A38B0F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0.68</w:t>
            </w:r>
          </w:p>
        </w:tc>
        <w:tc>
          <w:tcPr>
            <w:tcW w:w="0" w:type="auto"/>
            <w:tcMar>
              <w:top w:w="0" w:type="dxa"/>
              <w:left w:w="108" w:type="dxa"/>
              <w:bottom w:w="0" w:type="dxa"/>
              <w:right w:w="108" w:type="dxa"/>
            </w:tcMar>
            <w:hideMark/>
          </w:tcPr>
          <w:p w14:paraId="6BE977A0"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4.35</w:t>
            </w:r>
          </w:p>
        </w:tc>
        <w:tc>
          <w:tcPr>
            <w:tcW w:w="0" w:type="auto"/>
            <w:tcMar>
              <w:top w:w="0" w:type="dxa"/>
              <w:left w:w="108" w:type="dxa"/>
              <w:bottom w:w="0" w:type="dxa"/>
              <w:right w:w="108" w:type="dxa"/>
            </w:tcMar>
            <w:hideMark/>
          </w:tcPr>
          <w:p w14:paraId="769F200B"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05596BDD" w14:textId="77777777" w:rsidTr="0054027F">
        <w:trPr>
          <w:trHeight w:val="280"/>
          <w:jc w:val="center"/>
        </w:trPr>
        <w:tc>
          <w:tcPr>
            <w:tcW w:w="0" w:type="auto"/>
            <w:tcBorders>
              <w:bottom w:val="single" w:sz="4" w:space="0" w:color="000000"/>
            </w:tcBorders>
            <w:tcMar>
              <w:top w:w="0" w:type="dxa"/>
              <w:left w:w="108" w:type="dxa"/>
              <w:bottom w:w="0" w:type="dxa"/>
              <w:right w:w="108" w:type="dxa"/>
            </w:tcMar>
            <w:hideMark/>
          </w:tcPr>
          <w:p w14:paraId="1AC5D6D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 Literacy</w:t>
            </w:r>
          </w:p>
        </w:tc>
        <w:tc>
          <w:tcPr>
            <w:tcW w:w="0" w:type="auto"/>
            <w:tcBorders>
              <w:bottom w:val="single" w:sz="4" w:space="0" w:color="000000"/>
            </w:tcBorders>
            <w:tcMar>
              <w:top w:w="0" w:type="dxa"/>
              <w:left w:w="108" w:type="dxa"/>
              <w:bottom w:w="0" w:type="dxa"/>
              <w:right w:w="108" w:type="dxa"/>
            </w:tcMar>
            <w:hideMark/>
          </w:tcPr>
          <w:p w14:paraId="32CF366B"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0.65</w:t>
            </w:r>
          </w:p>
        </w:tc>
        <w:tc>
          <w:tcPr>
            <w:tcW w:w="0" w:type="auto"/>
            <w:tcBorders>
              <w:bottom w:val="single" w:sz="4" w:space="0" w:color="000000"/>
            </w:tcBorders>
            <w:tcMar>
              <w:top w:w="0" w:type="dxa"/>
              <w:left w:w="108" w:type="dxa"/>
              <w:bottom w:w="0" w:type="dxa"/>
              <w:right w:w="108" w:type="dxa"/>
            </w:tcMar>
            <w:hideMark/>
          </w:tcPr>
          <w:p w14:paraId="52677193"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4.35</w:t>
            </w:r>
          </w:p>
        </w:tc>
        <w:tc>
          <w:tcPr>
            <w:tcW w:w="0" w:type="auto"/>
            <w:tcBorders>
              <w:bottom w:val="single" w:sz="4" w:space="0" w:color="000000"/>
            </w:tcBorders>
            <w:tcMar>
              <w:top w:w="0" w:type="dxa"/>
              <w:left w:w="108" w:type="dxa"/>
              <w:bottom w:w="0" w:type="dxa"/>
              <w:right w:w="108" w:type="dxa"/>
            </w:tcMar>
            <w:hideMark/>
          </w:tcPr>
          <w:p w14:paraId="657CF1E9"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25B4F3BA" w14:textId="77777777" w:rsidTr="0054027F">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528BA632"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Overall</w:t>
            </w:r>
          </w:p>
          <w:p w14:paraId="5273ACBF" w14:textId="77777777" w:rsidR="0054027F" w:rsidRPr="0054027F" w:rsidRDefault="0054027F" w:rsidP="0054027F">
            <w:pPr>
              <w:rPr>
                <w:rFonts w:ascii="Times New Roman" w:hAnsi="Times New Roman"/>
                <w:lang w:val="en-PH" w:eastAsia="en-PH"/>
              </w:rPr>
            </w:pPr>
          </w:p>
        </w:tc>
        <w:tc>
          <w:tcPr>
            <w:tcW w:w="0" w:type="auto"/>
            <w:tcBorders>
              <w:top w:val="single" w:sz="4" w:space="0" w:color="000000"/>
              <w:bottom w:val="single" w:sz="4" w:space="0" w:color="auto"/>
            </w:tcBorders>
            <w:tcMar>
              <w:top w:w="0" w:type="dxa"/>
              <w:left w:w="108" w:type="dxa"/>
              <w:bottom w:w="0" w:type="dxa"/>
              <w:right w:w="108" w:type="dxa"/>
            </w:tcMar>
            <w:hideMark/>
          </w:tcPr>
          <w:p w14:paraId="3AB6FA65"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0.46</w:t>
            </w:r>
          </w:p>
        </w:tc>
        <w:tc>
          <w:tcPr>
            <w:tcW w:w="0" w:type="auto"/>
            <w:tcBorders>
              <w:top w:val="single" w:sz="4" w:space="0" w:color="000000"/>
              <w:bottom w:val="single" w:sz="4" w:space="0" w:color="auto"/>
            </w:tcBorders>
            <w:tcMar>
              <w:top w:w="0" w:type="dxa"/>
              <w:left w:w="108" w:type="dxa"/>
              <w:bottom w:w="0" w:type="dxa"/>
              <w:right w:w="108" w:type="dxa"/>
            </w:tcMar>
            <w:hideMark/>
          </w:tcPr>
          <w:p w14:paraId="18B0DAD2"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4.32</w:t>
            </w:r>
          </w:p>
        </w:tc>
        <w:tc>
          <w:tcPr>
            <w:tcW w:w="0" w:type="auto"/>
            <w:tcBorders>
              <w:top w:val="single" w:sz="4" w:space="0" w:color="000000"/>
              <w:bottom w:val="single" w:sz="4" w:space="0" w:color="auto"/>
            </w:tcBorders>
            <w:tcMar>
              <w:top w:w="0" w:type="dxa"/>
              <w:left w:w="108" w:type="dxa"/>
              <w:bottom w:w="0" w:type="dxa"/>
              <w:right w:w="108" w:type="dxa"/>
            </w:tcMar>
            <w:hideMark/>
          </w:tcPr>
          <w:p w14:paraId="53C773DE"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503F2708" w14:textId="77777777" w:rsidR="0054027F" w:rsidRPr="0054027F" w:rsidRDefault="00A8786A" w:rsidP="0054027F">
      <w:pPr>
        <w:jc w:val="both"/>
        <w:rPr>
          <w:rFonts w:ascii="Arial" w:hAnsi="Arial" w:cs="Arial"/>
        </w:rPr>
      </w:pPr>
      <w:r w:rsidRPr="00A8786A">
        <w:rPr>
          <w:rFonts w:ascii="Arial" w:hAnsi="Arial" w:cs="Arial"/>
        </w:rPr>
        <w:t xml:space="preserve">Presented in Table 1 </w:t>
      </w:r>
      <w:r w:rsidR="0054027F" w:rsidRPr="0054027F">
        <w:rPr>
          <w:rFonts w:ascii="Arial" w:hAnsi="Arial" w:cs="Arial"/>
        </w:rPr>
        <w:t>is the summary of the indicators in the extent of data-driven decision making, including technological infrastructure and hardware, data usage culture, data usage purpose, and data literacy, based on the mean scores and standard deviations. The indicator of data usage purpose has the highest mean of 4.35, which is described as "very extensive," followed closely by data literacy, also with a mean of 4.35, categorized as "very extensive." The data usage culture received a mean of 4.31, categorized as "very extensive," while technological infrastructure and hardware received a mean of 4.27, also categorized as "very extensive." The overall mean of 4.32 is described as "very extensive," indicating that teachers generally exhibit a very high level of data-driven decision making across these indicators.</w:t>
      </w:r>
    </w:p>
    <w:p w14:paraId="21C945AF" w14:textId="77777777" w:rsidR="0054027F" w:rsidRPr="0054027F" w:rsidRDefault="0054027F" w:rsidP="0054027F">
      <w:pPr>
        <w:jc w:val="both"/>
        <w:rPr>
          <w:rFonts w:ascii="Arial" w:hAnsi="Arial" w:cs="Arial"/>
        </w:rPr>
      </w:pPr>
      <w:r w:rsidRPr="0054027F">
        <w:rPr>
          <w:rFonts w:ascii="Arial" w:hAnsi="Arial" w:cs="Arial"/>
        </w:rPr>
        <w:t>This suggests that teachers are highly skilled in utilizing data for decision-making purposes, and they possess a strong foundation in data literacy. Additionally, the findings highlight the importance of a supportive data usage culture and the availability of technological infrastructure to ensure effective data usage in the classroom.</w:t>
      </w:r>
    </w:p>
    <w:p w14:paraId="60DA6EEE" w14:textId="7C78AA4C" w:rsidR="00A8786A" w:rsidRDefault="0054027F" w:rsidP="0054027F">
      <w:pPr>
        <w:jc w:val="both"/>
        <w:rPr>
          <w:rFonts w:ascii="Arial" w:hAnsi="Arial" w:cs="Arial"/>
        </w:rPr>
      </w:pPr>
      <w:r w:rsidRPr="0054027F">
        <w:rPr>
          <w:rFonts w:ascii="Arial" w:hAnsi="Arial" w:cs="Arial"/>
        </w:rPr>
        <w:t>The overall standard deviation of 0.46, being less than 1, indicates that the ratings were consistent and closely clustered around the mean.</w:t>
      </w:r>
    </w:p>
    <w:p w14:paraId="3C2A213E" w14:textId="137767B0" w:rsidR="0054027F" w:rsidRDefault="0054027F" w:rsidP="0054027F">
      <w:pPr>
        <w:jc w:val="both"/>
        <w:rPr>
          <w:rFonts w:ascii="Arial" w:hAnsi="Arial" w:cs="Arial"/>
        </w:rPr>
      </w:pPr>
    </w:p>
    <w:p w14:paraId="66D17EB6" w14:textId="093FDEC4" w:rsidR="0054027F" w:rsidRDefault="0054027F" w:rsidP="0054027F">
      <w:pPr>
        <w:jc w:val="both"/>
        <w:rPr>
          <w:rFonts w:ascii="Arial" w:hAnsi="Arial" w:cs="Arial"/>
        </w:rPr>
      </w:pPr>
      <w:r w:rsidRPr="0054027F">
        <w:rPr>
          <w:rFonts w:ascii="Arial" w:hAnsi="Arial" w:cs="Arial"/>
        </w:rPr>
        <w:t xml:space="preserve">This finding aligns with the research of </w:t>
      </w:r>
      <w:r w:rsidR="00A26E65" w:rsidRPr="00A26E65">
        <w:rPr>
          <w:rFonts w:ascii="Arial" w:hAnsi="Arial" w:cs="Arial"/>
        </w:rPr>
        <w:t>Kaspi</w:t>
      </w:r>
      <w:r w:rsidR="00A26E65">
        <w:rPr>
          <w:rFonts w:ascii="Arial" w:hAnsi="Arial" w:cs="Arial"/>
        </w:rPr>
        <w:t xml:space="preserve"> </w:t>
      </w:r>
      <w:r w:rsidR="00A26E65" w:rsidRPr="00A26E65">
        <w:rPr>
          <w:rFonts w:ascii="Arial" w:hAnsi="Arial" w:cs="Arial"/>
        </w:rPr>
        <w:t xml:space="preserve">&amp; Venkatraman </w:t>
      </w:r>
      <w:r w:rsidRPr="0054027F">
        <w:rPr>
          <w:rFonts w:ascii="Arial" w:hAnsi="Arial" w:cs="Arial"/>
        </w:rPr>
        <w:t xml:space="preserve">(2022), which underscores that </w:t>
      </w:r>
      <w:r w:rsidRPr="00A26E65">
        <w:rPr>
          <w:rFonts w:ascii="Arial" w:hAnsi="Arial" w:cs="Arial"/>
        </w:rPr>
        <w:t>strong data-driven decision-making enhances teachers' ability to make informed instructional choices that improve student outcomes</w:t>
      </w:r>
      <w:r w:rsidRPr="0054027F">
        <w:rPr>
          <w:rFonts w:ascii="Arial" w:hAnsi="Arial" w:cs="Arial"/>
        </w:rPr>
        <w:t xml:space="preserve">. Their study found that when schools invest in strong data systems and encourage data utilization, teachers are more likely to implement effective teaching strategies and adapt to students' needs. Moreover, Esqueda (2024) emphasized that </w:t>
      </w:r>
      <w:r w:rsidRPr="0054027F">
        <w:rPr>
          <w:rFonts w:ascii="Arial" w:hAnsi="Arial" w:cs="Arial"/>
        </w:rPr>
        <w:lastRenderedPageBreak/>
        <w:t xml:space="preserve">data-driven decision-making fosters a more collaborative teaching environment, where educators work together to analyze student data and tailor their approaches accordingly. In a similar vein, </w:t>
      </w:r>
      <w:proofErr w:type="spellStart"/>
      <w:r w:rsidRPr="0054027F">
        <w:rPr>
          <w:rFonts w:ascii="Arial" w:hAnsi="Arial" w:cs="Arial"/>
        </w:rPr>
        <w:t>Hostas</w:t>
      </w:r>
      <w:proofErr w:type="spellEnd"/>
      <w:r w:rsidRPr="0054027F">
        <w:rPr>
          <w:rFonts w:ascii="Arial" w:hAnsi="Arial" w:cs="Arial"/>
        </w:rPr>
        <w:t xml:space="preserve"> (2023) highlighted that schools with extensive levels of data-driven decision-making not only improve academic performance but also create a culture of accountability and ongoing professional development among teachers.</w:t>
      </w:r>
    </w:p>
    <w:p w14:paraId="3A3CD8A2" w14:textId="77777777" w:rsidR="0054027F" w:rsidRPr="00A8786A" w:rsidRDefault="0054027F" w:rsidP="0054027F">
      <w:pPr>
        <w:jc w:val="both"/>
        <w:rPr>
          <w:rFonts w:ascii="Arial" w:hAnsi="Arial" w:cs="Arial"/>
        </w:rPr>
      </w:pPr>
    </w:p>
    <w:p w14:paraId="49153FC3" w14:textId="4A037ADB" w:rsidR="00E16D4E" w:rsidRDefault="00180859">
      <w:pPr>
        <w:jc w:val="both"/>
        <w:rPr>
          <w:rFonts w:ascii="Arial" w:hAnsi="Arial" w:cs="Arial"/>
          <w:b/>
        </w:rPr>
      </w:pPr>
      <w:r>
        <w:rPr>
          <w:rFonts w:ascii="Arial" w:hAnsi="Arial" w:cs="Arial"/>
          <w:b/>
        </w:rPr>
        <w:t xml:space="preserve">3.2 </w:t>
      </w:r>
      <w:r w:rsidR="0054027F" w:rsidRPr="0054027F">
        <w:rPr>
          <w:rFonts w:ascii="Arial" w:hAnsi="Arial" w:cs="Arial"/>
          <w:b/>
        </w:rPr>
        <w:t xml:space="preserve">Extent of Information Competence of </w:t>
      </w:r>
      <w:r w:rsidR="00D532E8" w:rsidRPr="00D532E8">
        <w:rPr>
          <w:rFonts w:ascii="Arial" w:hAnsi="Arial" w:cs="Arial"/>
          <w:b/>
        </w:rPr>
        <w:t>among Public Elementary School Teachers</w:t>
      </w:r>
    </w:p>
    <w:p w14:paraId="5B335AF5" w14:textId="77777777" w:rsidR="00D532E8" w:rsidRDefault="00D532E8">
      <w:pPr>
        <w:jc w:val="both"/>
        <w:rPr>
          <w:rFonts w:ascii="Arial" w:hAnsi="Arial" w:cs="Arial"/>
          <w:b/>
        </w:rPr>
      </w:pPr>
    </w:p>
    <w:p w14:paraId="2745F126" w14:textId="7656DAFA"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54027F" w:rsidRPr="0054027F">
        <w:rPr>
          <w:rFonts w:ascii="Arial" w:hAnsi="Arial" w:cs="Arial"/>
          <w:i/>
        </w:rPr>
        <w:t>Extent of Information Competence of among Public Elementary School Teachers</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62"/>
        <w:gridCol w:w="606"/>
        <w:gridCol w:w="728"/>
        <w:gridCol w:w="1862"/>
      </w:tblGrid>
      <w:tr w:rsidR="0054027F" w:rsidRPr="0054027F" w14:paraId="7A7510F8" w14:textId="77777777" w:rsidTr="0054027F">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7FB9AFD6"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119BA0D4"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1A7590B4"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Mean</w:t>
            </w:r>
          </w:p>
          <w:p w14:paraId="2B3CF8E6" w14:textId="77777777" w:rsidR="0054027F" w:rsidRPr="0054027F" w:rsidRDefault="0054027F" w:rsidP="0054027F">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5D25492C"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Descriptive Level</w:t>
            </w:r>
          </w:p>
        </w:tc>
      </w:tr>
      <w:tr w:rsidR="0054027F" w:rsidRPr="0054027F" w14:paraId="1C503ABC" w14:textId="77777777" w:rsidTr="0054027F">
        <w:trPr>
          <w:trHeight w:val="269"/>
          <w:jc w:val="center"/>
        </w:trPr>
        <w:tc>
          <w:tcPr>
            <w:tcW w:w="0" w:type="auto"/>
            <w:tcBorders>
              <w:top w:val="single" w:sz="4" w:space="0" w:color="000000"/>
            </w:tcBorders>
            <w:tcMar>
              <w:top w:w="0" w:type="dxa"/>
              <w:left w:w="108" w:type="dxa"/>
              <w:bottom w:w="0" w:type="dxa"/>
              <w:right w:w="108" w:type="dxa"/>
            </w:tcMar>
            <w:hideMark/>
          </w:tcPr>
          <w:p w14:paraId="78190130"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Evaluation</w:t>
            </w:r>
          </w:p>
        </w:tc>
        <w:tc>
          <w:tcPr>
            <w:tcW w:w="0" w:type="auto"/>
            <w:tcBorders>
              <w:top w:val="single" w:sz="4" w:space="0" w:color="000000"/>
            </w:tcBorders>
            <w:tcMar>
              <w:top w:w="0" w:type="dxa"/>
              <w:left w:w="108" w:type="dxa"/>
              <w:bottom w:w="0" w:type="dxa"/>
              <w:right w:w="108" w:type="dxa"/>
            </w:tcMar>
            <w:hideMark/>
          </w:tcPr>
          <w:p w14:paraId="724F7B7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0.55</w:t>
            </w:r>
          </w:p>
        </w:tc>
        <w:tc>
          <w:tcPr>
            <w:tcW w:w="0" w:type="auto"/>
            <w:tcBorders>
              <w:top w:val="single" w:sz="4" w:space="0" w:color="000000"/>
            </w:tcBorders>
            <w:tcMar>
              <w:top w:w="0" w:type="dxa"/>
              <w:left w:w="108" w:type="dxa"/>
              <w:bottom w:w="0" w:type="dxa"/>
              <w:right w:w="108" w:type="dxa"/>
            </w:tcMar>
            <w:hideMark/>
          </w:tcPr>
          <w:p w14:paraId="6E401C6E"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4.35</w:t>
            </w:r>
          </w:p>
        </w:tc>
        <w:tc>
          <w:tcPr>
            <w:tcW w:w="0" w:type="auto"/>
            <w:tcBorders>
              <w:top w:val="single" w:sz="4" w:space="0" w:color="000000"/>
            </w:tcBorders>
            <w:tcMar>
              <w:top w:w="0" w:type="dxa"/>
              <w:left w:w="108" w:type="dxa"/>
              <w:bottom w:w="0" w:type="dxa"/>
              <w:right w:w="108" w:type="dxa"/>
            </w:tcMar>
            <w:hideMark/>
          </w:tcPr>
          <w:p w14:paraId="2C8F9B9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1716BD4F" w14:textId="77777777" w:rsidTr="0054027F">
        <w:trPr>
          <w:trHeight w:val="280"/>
          <w:jc w:val="center"/>
        </w:trPr>
        <w:tc>
          <w:tcPr>
            <w:tcW w:w="0" w:type="auto"/>
            <w:tcMar>
              <w:top w:w="0" w:type="dxa"/>
              <w:left w:w="108" w:type="dxa"/>
              <w:bottom w:w="0" w:type="dxa"/>
              <w:right w:w="108" w:type="dxa"/>
            </w:tcMar>
            <w:hideMark/>
          </w:tcPr>
          <w:p w14:paraId="4CE9FA17"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Sources</w:t>
            </w:r>
          </w:p>
        </w:tc>
        <w:tc>
          <w:tcPr>
            <w:tcW w:w="0" w:type="auto"/>
            <w:tcMar>
              <w:top w:w="0" w:type="dxa"/>
              <w:left w:w="108" w:type="dxa"/>
              <w:bottom w:w="0" w:type="dxa"/>
              <w:right w:w="108" w:type="dxa"/>
            </w:tcMar>
            <w:hideMark/>
          </w:tcPr>
          <w:p w14:paraId="472C1C3F"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0.65</w:t>
            </w:r>
          </w:p>
        </w:tc>
        <w:tc>
          <w:tcPr>
            <w:tcW w:w="0" w:type="auto"/>
            <w:tcMar>
              <w:top w:w="0" w:type="dxa"/>
              <w:left w:w="108" w:type="dxa"/>
              <w:bottom w:w="0" w:type="dxa"/>
              <w:right w:w="108" w:type="dxa"/>
            </w:tcMar>
            <w:hideMark/>
          </w:tcPr>
          <w:p w14:paraId="0244793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4.37</w:t>
            </w:r>
          </w:p>
        </w:tc>
        <w:tc>
          <w:tcPr>
            <w:tcW w:w="0" w:type="auto"/>
            <w:tcMar>
              <w:top w:w="0" w:type="dxa"/>
              <w:left w:w="108" w:type="dxa"/>
              <w:bottom w:w="0" w:type="dxa"/>
              <w:right w:w="108" w:type="dxa"/>
            </w:tcMar>
            <w:hideMark/>
          </w:tcPr>
          <w:p w14:paraId="17EA6AFA"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7118E168" w14:textId="77777777" w:rsidTr="0054027F">
        <w:trPr>
          <w:trHeight w:val="280"/>
          <w:jc w:val="center"/>
        </w:trPr>
        <w:tc>
          <w:tcPr>
            <w:tcW w:w="0" w:type="auto"/>
            <w:tcBorders>
              <w:bottom w:val="single" w:sz="4" w:space="0" w:color="000000"/>
            </w:tcBorders>
            <w:tcMar>
              <w:top w:w="0" w:type="dxa"/>
              <w:left w:w="108" w:type="dxa"/>
              <w:bottom w:w="0" w:type="dxa"/>
              <w:right w:w="108" w:type="dxa"/>
            </w:tcMar>
            <w:hideMark/>
          </w:tcPr>
          <w:p w14:paraId="5E694AED"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Processing and Elaboration</w:t>
            </w:r>
          </w:p>
        </w:tc>
        <w:tc>
          <w:tcPr>
            <w:tcW w:w="0" w:type="auto"/>
            <w:tcBorders>
              <w:bottom w:val="single" w:sz="4" w:space="0" w:color="000000"/>
            </w:tcBorders>
            <w:tcMar>
              <w:top w:w="0" w:type="dxa"/>
              <w:left w:w="108" w:type="dxa"/>
              <w:bottom w:w="0" w:type="dxa"/>
              <w:right w:w="108" w:type="dxa"/>
            </w:tcMar>
            <w:hideMark/>
          </w:tcPr>
          <w:p w14:paraId="086C4E07"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0.52</w:t>
            </w:r>
          </w:p>
        </w:tc>
        <w:tc>
          <w:tcPr>
            <w:tcW w:w="0" w:type="auto"/>
            <w:tcBorders>
              <w:bottom w:val="single" w:sz="4" w:space="0" w:color="000000"/>
            </w:tcBorders>
            <w:tcMar>
              <w:top w:w="0" w:type="dxa"/>
              <w:left w:w="108" w:type="dxa"/>
              <w:bottom w:w="0" w:type="dxa"/>
              <w:right w:w="108" w:type="dxa"/>
            </w:tcMar>
            <w:hideMark/>
          </w:tcPr>
          <w:p w14:paraId="3DFA138C"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4.40</w:t>
            </w:r>
          </w:p>
        </w:tc>
        <w:tc>
          <w:tcPr>
            <w:tcW w:w="0" w:type="auto"/>
            <w:tcBorders>
              <w:bottom w:val="single" w:sz="4" w:space="0" w:color="000000"/>
            </w:tcBorders>
            <w:tcMar>
              <w:top w:w="0" w:type="dxa"/>
              <w:left w:w="108" w:type="dxa"/>
              <w:bottom w:w="0" w:type="dxa"/>
              <w:right w:w="108" w:type="dxa"/>
            </w:tcMar>
            <w:hideMark/>
          </w:tcPr>
          <w:p w14:paraId="3DCCB3C2"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42068C8E" w14:textId="77777777" w:rsidTr="0054027F">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628C3B01"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38C088AE"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0.40</w:t>
            </w:r>
          </w:p>
        </w:tc>
        <w:tc>
          <w:tcPr>
            <w:tcW w:w="0" w:type="auto"/>
            <w:tcBorders>
              <w:top w:val="single" w:sz="4" w:space="0" w:color="000000"/>
              <w:bottom w:val="single" w:sz="4" w:space="0" w:color="auto"/>
            </w:tcBorders>
            <w:tcMar>
              <w:top w:w="0" w:type="dxa"/>
              <w:left w:w="108" w:type="dxa"/>
              <w:bottom w:w="0" w:type="dxa"/>
              <w:right w:w="108" w:type="dxa"/>
            </w:tcMar>
            <w:hideMark/>
          </w:tcPr>
          <w:p w14:paraId="4D484397"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4.40</w:t>
            </w:r>
          </w:p>
        </w:tc>
        <w:tc>
          <w:tcPr>
            <w:tcW w:w="0" w:type="auto"/>
            <w:tcBorders>
              <w:top w:val="single" w:sz="4" w:space="0" w:color="000000"/>
              <w:bottom w:val="single" w:sz="4" w:space="0" w:color="auto"/>
            </w:tcBorders>
            <w:tcMar>
              <w:top w:w="0" w:type="dxa"/>
              <w:left w:w="108" w:type="dxa"/>
              <w:bottom w:w="0" w:type="dxa"/>
              <w:right w:w="108" w:type="dxa"/>
            </w:tcMar>
            <w:hideMark/>
          </w:tcPr>
          <w:p w14:paraId="6855E386"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1F13EE89" w14:textId="431BAA31" w:rsidR="00D815DA" w:rsidRDefault="00691641" w:rsidP="0054027F">
      <w:pPr>
        <w:jc w:val="both"/>
        <w:rPr>
          <w:rFonts w:ascii="Arial" w:hAnsi="Arial" w:cs="Arial"/>
        </w:rPr>
      </w:pPr>
      <w:r>
        <w:rPr>
          <w:rFonts w:ascii="Arial" w:hAnsi="Arial" w:cs="Arial"/>
        </w:rPr>
        <w:t>Presented in Table 2</w:t>
      </w:r>
      <w:r w:rsidRPr="00691641">
        <w:rPr>
          <w:rFonts w:ascii="Arial" w:hAnsi="Arial" w:cs="Arial"/>
        </w:rPr>
        <w:t xml:space="preserve"> is the </w:t>
      </w:r>
      <w:r w:rsidR="0054027F" w:rsidRPr="0054027F">
        <w:rPr>
          <w:rFonts w:ascii="Arial" w:hAnsi="Arial" w:cs="Arial"/>
        </w:rPr>
        <w:t>summary of the indicators in the extent of information competence, including evaluation, sources, and processing and elaboration, based on the mean scores and standard deviations. The indicator of processing and elaboration has the highest mean of 4.40, which is described as "very extensive," followed closely by sources with a mean of 4.37, also categorized as "very extensive." The indicator of evaluation received a mean of 4.35, categorized as "very extensive."</w:t>
      </w:r>
    </w:p>
    <w:p w14:paraId="175CFFB5" w14:textId="7246FECD" w:rsidR="0054027F" w:rsidRDefault="0054027F" w:rsidP="0054027F">
      <w:pPr>
        <w:jc w:val="both"/>
        <w:rPr>
          <w:rFonts w:ascii="Arial" w:hAnsi="Arial" w:cs="Arial"/>
        </w:rPr>
      </w:pPr>
    </w:p>
    <w:p w14:paraId="6E19DE0F" w14:textId="77777777" w:rsidR="0054027F" w:rsidRPr="0054027F" w:rsidRDefault="0054027F" w:rsidP="0054027F">
      <w:pPr>
        <w:jc w:val="both"/>
        <w:rPr>
          <w:rFonts w:ascii="Arial" w:hAnsi="Arial" w:cs="Arial"/>
        </w:rPr>
      </w:pPr>
      <w:r w:rsidRPr="0054027F">
        <w:rPr>
          <w:rFonts w:ascii="Arial" w:hAnsi="Arial" w:cs="Arial"/>
        </w:rPr>
        <w:t>The overall mean of 4.40 is described as "very extensive," indicating that teachers generally exhibit a very high level of information competence across these indicators.</w:t>
      </w:r>
    </w:p>
    <w:p w14:paraId="7168D098" w14:textId="77777777" w:rsidR="0054027F" w:rsidRPr="0054027F" w:rsidRDefault="0054027F" w:rsidP="0054027F">
      <w:pPr>
        <w:jc w:val="both"/>
        <w:rPr>
          <w:rFonts w:ascii="Arial" w:hAnsi="Arial" w:cs="Arial"/>
        </w:rPr>
      </w:pPr>
      <w:r w:rsidRPr="0054027F">
        <w:rPr>
          <w:rFonts w:ascii="Arial" w:hAnsi="Arial" w:cs="Arial"/>
        </w:rPr>
        <w:t>This suggests that teachers excel in critically evaluating the information they encounter, effectively utilizing specialized sources and processing and elaborating information in a structured manner. The data reveals that teachers consistently demonstrate strong skills in handling information across all areas of competence.</w:t>
      </w:r>
    </w:p>
    <w:p w14:paraId="5D174DD4" w14:textId="77777777" w:rsidR="0054027F" w:rsidRPr="0054027F" w:rsidRDefault="0054027F" w:rsidP="0054027F">
      <w:pPr>
        <w:jc w:val="both"/>
        <w:rPr>
          <w:rFonts w:ascii="Arial" w:hAnsi="Arial" w:cs="Arial"/>
        </w:rPr>
      </w:pPr>
      <w:r w:rsidRPr="0054027F">
        <w:rPr>
          <w:rFonts w:ascii="Arial" w:hAnsi="Arial" w:cs="Arial"/>
        </w:rPr>
        <w:t>The overall standard deviation of 0.40, being less than 1, indicates that the ratings were tightly clustered around the mean.</w:t>
      </w:r>
    </w:p>
    <w:p w14:paraId="6A653816" w14:textId="77777777" w:rsidR="0054027F" w:rsidRDefault="0054027F" w:rsidP="0054027F">
      <w:pPr>
        <w:jc w:val="both"/>
        <w:rPr>
          <w:rFonts w:ascii="Arial" w:hAnsi="Arial" w:cs="Arial"/>
        </w:rPr>
      </w:pPr>
    </w:p>
    <w:p w14:paraId="28A9E5CD" w14:textId="0953FDEC" w:rsidR="0054027F" w:rsidRDefault="0054027F" w:rsidP="0054027F">
      <w:pPr>
        <w:jc w:val="both"/>
        <w:rPr>
          <w:rFonts w:ascii="Arial" w:hAnsi="Arial" w:cs="Arial"/>
        </w:rPr>
      </w:pPr>
      <w:r w:rsidRPr="0054027F">
        <w:rPr>
          <w:rFonts w:ascii="Arial" w:hAnsi="Arial" w:cs="Arial"/>
        </w:rPr>
        <w:t xml:space="preserve">This finding aligns with the research conducted by </w:t>
      </w:r>
      <w:proofErr w:type="spellStart"/>
      <w:r w:rsidRPr="0054027F">
        <w:rPr>
          <w:rFonts w:ascii="Arial" w:hAnsi="Arial" w:cs="Arial"/>
        </w:rPr>
        <w:t>Saikkonen</w:t>
      </w:r>
      <w:proofErr w:type="spellEnd"/>
      <w:r w:rsidRPr="0054027F">
        <w:rPr>
          <w:rFonts w:ascii="Arial" w:hAnsi="Arial" w:cs="Arial"/>
        </w:rPr>
        <w:t xml:space="preserve"> and </w:t>
      </w:r>
      <w:proofErr w:type="spellStart"/>
      <w:r w:rsidRPr="0054027F">
        <w:rPr>
          <w:rFonts w:ascii="Arial" w:hAnsi="Arial" w:cs="Arial"/>
        </w:rPr>
        <w:t>Kaarakainen</w:t>
      </w:r>
      <w:proofErr w:type="spellEnd"/>
      <w:r w:rsidRPr="0054027F">
        <w:rPr>
          <w:rFonts w:ascii="Arial" w:hAnsi="Arial" w:cs="Arial"/>
        </w:rPr>
        <w:t xml:space="preserve"> (2021), who emphasize that teachers with high information competence are more adept at evaluating, sourcing, and processing information to enhance their teaching practices. Teachers who are skilled in evaluating the accuracy and relevance of information are better equipped to make informed decisions that support student learning outcomes. Additionally, Kier and Ives (2022) found that teachers who effectively use specialized resources and cite credible sources not only ensure the reliability of their information but also set a strong example of academic integrity for their studen</w:t>
      </w:r>
      <w:r w:rsidR="00A26E65">
        <w:rPr>
          <w:rFonts w:ascii="Arial" w:hAnsi="Arial" w:cs="Arial"/>
        </w:rPr>
        <w:t>ts. Furthermore, Johnson (2020</w:t>
      </w:r>
      <w:r w:rsidRPr="0054027F">
        <w:rPr>
          <w:rFonts w:ascii="Arial" w:hAnsi="Arial" w:cs="Arial"/>
        </w:rPr>
        <w:t>) highlighted that teachers who excel in processing and elaborating on information are able to present complex concepts in an accessible manner, facilitating a deeper understanding among students and encouraging independent thinking.</w:t>
      </w:r>
    </w:p>
    <w:p w14:paraId="08E9F99A" w14:textId="77777777" w:rsidR="0054027F" w:rsidRPr="0054027F" w:rsidRDefault="0054027F" w:rsidP="0054027F">
      <w:pPr>
        <w:jc w:val="both"/>
        <w:rPr>
          <w:rFonts w:ascii="Arial" w:hAnsi="Arial" w:cs="Arial"/>
        </w:rPr>
      </w:pPr>
    </w:p>
    <w:p w14:paraId="308FAF8A" w14:textId="7A259180" w:rsidR="00D82866" w:rsidRDefault="00781D5E" w:rsidP="00F600DB">
      <w:pPr>
        <w:jc w:val="both"/>
        <w:rPr>
          <w:rFonts w:ascii="Arial" w:hAnsi="Arial" w:cs="Arial"/>
          <w:b/>
          <w:bCs/>
          <w:iCs/>
        </w:rPr>
      </w:pPr>
      <w:r>
        <w:rPr>
          <w:rFonts w:ascii="Arial" w:hAnsi="Arial" w:cs="Arial"/>
          <w:b/>
          <w:bCs/>
          <w:iCs/>
        </w:rPr>
        <w:t xml:space="preserve">3.3 </w:t>
      </w:r>
      <w:r w:rsidR="0054027F" w:rsidRPr="0054027F">
        <w:rPr>
          <w:rFonts w:ascii="Arial" w:hAnsi="Arial" w:cs="Arial"/>
          <w:b/>
          <w:bCs/>
          <w:iCs/>
        </w:rPr>
        <w:t xml:space="preserve">Significant Relationship between Data-Driven Decision Making and Information Competence </w:t>
      </w:r>
      <w:r w:rsidR="0054027F">
        <w:rPr>
          <w:rFonts w:ascii="Arial" w:hAnsi="Arial" w:cs="Arial"/>
          <w:b/>
          <w:bCs/>
          <w:iCs/>
        </w:rPr>
        <w:t>among</w:t>
      </w:r>
      <w:r w:rsidR="0054027F" w:rsidRPr="0054027F">
        <w:rPr>
          <w:rFonts w:ascii="Arial" w:hAnsi="Arial" w:cs="Arial"/>
          <w:b/>
          <w:bCs/>
          <w:iCs/>
        </w:rPr>
        <w:t xml:space="preserve"> </w:t>
      </w:r>
      <w:r w:rsidR="00691641" w:rsidRPr="00691641">
        <w:rPr>
          <w:rFonts w:ascii="Arial" w:hAnsi="Arial" w:cs="Arial"/>
          <w:b/>
          <w:bCs/>
          <w:iCs/>
        </w:rPr>
        <w:t>Public Elementary School Teachers</w:t>
      </w:r>
    </w:p>
    <w:p w14:paraId="30567870" w14:textId="77777777" w:rsidR="00D815DA" w:rsidRDefault="00D815DA" w:rsidP="00F600DB">
      <w:pPr>
        <w:jc w:val="both"/>
        <w:rPr>
          <w:rFonts w:ascii="Arial" w:hAnsi="Arial" w:cs="Arial"/>
          <w:iCs/>
        </w:rPr>
      </w:pPr>
    </w:p>
    <w:p w14:paraId="1C8DB0B6" w14:textId="1AC7C239"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54027F" w:rsidRPr="0054027F">
        <w:rPr>
          <w:rFonts w:ascii="Arial" w:hAnsi="Arial" w:cs="Arial"/>
          <w:i/>
        </w:rPr>
        <w:t>Significant Relationship between Data-Driven Decision Making and Information Competence among Public Elementary School Teachers</w:t>
      </w:r>
    </w:p>
    <w:p w14:paraId="3E38AC03" w14:textId="77777777" w:rsidR="00D815DA" w:rsidRDefault="00D815DA" w:rsidP="00F927B2">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35"/>
        <w:gridCol w:w="728"/>
        <w:gridCol w:w="606"/>
        <w:gridCol w:w="606"/>
        <w:gridCol w:w="606"/>
        <w:gridCol w:w="1810"/>
        <w:gridCol w:w="804"/>
        <w:gridCol w:w="1113"/>
      </w:tblGrid>
      <w:tr w:rsidR="0054027F" w:rsidRPr="0054027F" w14:paraId="7B16A20F" w14:textId="77777777" w:rsidTr="0054027F">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22BD9E81"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lastRenderedPageBreak/>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5F7685B7"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08" w:type="dxa"/>
              <w:bottom w:w="0" w:type="dxa"/>
              <w:right w:w="108" w:type="dxa"/>
            </w:tcMar>
            <w:hideMark/>
          </w:tcPr>
          <w:p w14:paraId="60F4A8ED"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08" w:type="dxa"/>
              <w:bottom w:w="0" w:type="dxa"/>
              <w:right w:w="108" w:type="dxa"/>
            </w:tcMar>
            <w:hideMark/>
          </w:tcPr>
          <w:p w14:paraId="25017812"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08" w:type="dxa"/>
              <w:bottom w:w="0" w:type="dxa"/>
              <w:right w:w="108" w:type="dxa"/>
            </w:tcMar>
            <w:hideMark/>
          </w:tcPr>
          <w:p w14:paraId="44681A90" w14:textId="77777777" w:rsidR="0054027F" w:rsidRPr="0054027F" w:rsidRDefault="0054027F" w:rsidP="0054027F">
            <w:pPr>
              <w:shd w:val="clear" w:color="auto" w:fill="FFFFFF"/>
              <w:jc w:val="center"/>
              <w:rPr>
                <w:rFonts w:ascii="Times New Roman" w:hAnsi="Times New Roman"/>
                <w:lang w:val="en-PH" w:eastAsia="en-PH"/>
              </w:rPr>
            </w:pPr>
            <w:r w:rsidRPr="0054027F">
              <w:rPr>
                <w:rFonts w:ascii="Arial" w:hAnsi="Arial" w:cs="Arial"/>
                <w:b/>
                <w:bCs/>
                <w:color w:val="000000"/>
                <w:lang w:val="en-PH" w:eastAsia="en-PH"/>
              </w:rPr>
              <w:t>R²</w:t>
            </w:r>
          </w:p>
          <w:p w14:paraId="68CFDFDA" w14:textId="77777777" w:rsidR="0054027F" w:rsidRPr="0054027F" w:rsidRDefault="0054027F" w:rsidP="0054027F">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09CB8A5C"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08" w:type="dxa"/>
              <w:bottom w:w="0" w:type="dxa"/>
              <w:right w:w="108" w:type="dxa"/>
            </w:tcMar>
            <w:hideMark/>
          </w:tcPr>
          <w:p w14:paraId="6087AEEE"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504ED38D"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Decision</w:t>
            </w:r>
          </w:p>
        </w:tc>
      </w:tr>
      <w:tr w:rsidR="0054027F" w:rsidRPr="0054027F" w14:paraId="61345055" w14:textId="77777777" w:rsidTr="0054027F">
        <w:trPr>
          <w:jc w:val="center"/>
        </w:trPr>
        <w:tc>
          <w:tcPr>
            <w:tcW w:w="0" w:type="auto"/>
            <w:tcBorders>
              <w:top w:val="single" w:sz="4" w:space="0" w:color="000000"/>
            </w:tcBorders>
            <w:tcMar>
              <w:top w:w="0" w:type="dxa"/>
              <w:left w:w="108" w:type="dxa"/>
              <w:bottom w:w="0" w:type="dxa"/>
              <w:right w:w="108" w:type="dxa"/>
            </w:tcMar>
            <w:hideMark/>
          </w:tcPr>
          <w:p w14:paraId="2E54117C"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Data-Driven Decision Making</w:t>
            </w:r>
          </w:p>
        </w:tc>
        <w:tc>
          <w:tcPr>
            <w:tcW w:w="0" w:type="auto"/>
            <w:tcBorders>
              <w:top w:val="single" w:sz="4" w:space="0" w:color="000000"/>
            </w:tcBorders>
            <w:tcMar>
              <w:top w:w="0" w:type="dxa"/>
              <w:left w:w="108" w:type="dxa"/>
              <w:bottom w:w="0" w:type="dxa"/>
              <w:right w:w="108" w:type="dxa"/>
            </w:tcMar>
            <w:hideMark/>
          </w:tcPr>
          <w:p w14:paraId="6A2F9B95"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4.32</w:t>
            </w:r>
          </w:p>
        </w:tc>
        <w:tc>
          <w:tcPr>
            <w:tcW w:w="0" w:type="auto"/>
            <w:tcBorders>
              <w:top w:val="single" w:sz="4" w:space="0" w:color="000000"/>
            </w:tcBorders>
            <w:tcMar>
              <w:top w:w="0" w:type="dxa"/>
              <w:left w:w="108" w:type="dxa"/>
              <w:bottom w:w="0" w:type="dxa"/>
              <w:right w:w="108" w:type="dxa"/>
            </w:tcMar>
            <w:hideMark/>
          </w:tcPr>
          <w:p w14:paraId="3F70A5A8"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0.46</w:t>
            </w:r>
          </w:p>
        </w:tc>
        <w:tc>
          <w:tcPr>
            <w:tcW w:w="0" w:type="auto"/>
            <w:tcBorders>
              <w:top w:val="single" w:sz="4" w:space="0" w:color="000000"/>
            </w:tcBorders>
            <w:tcMar>
              <w:top w:w="0" w:type="dxa"/>
              <w:left w:w="108" w:type="dxa"/>
              <w:bottom w:w="0" w:type="dxa"/>
              <w:right w:w="108" w:type="dxa"/>
            </w:tcMar>
            <w:hideMark/>
          </w:tcPr>
          <w:p w14:paraId="5F8FE18A"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DCC5E39"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14478A8D"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179AEE89"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DBDB0CC" w14:textId="77777777" w:rsidR="0054027F" w:rsidRPr="0054027F" w:rsidRDefault="0054027F" w:rsidP="0054027F">
            <w:pPr>
              <w:rPr>
                <w:rFonts w:ascii="Times New Roman" w:hAnsi="Times New Roman"/>
                <w:lang w:val="en-PH" w:eastAsia="en-PH"/>
              </w:rPr>
            </w:pPr>
          </w:p>
        </w:tc>
      </w:tr>
      <w:tr w:rsidR="0054027F" w:rsidRPr="0054027F" w14:paraId="09E3B4A5" w14:textId="77777777" w:rsidTr="0054027F">
        <w:trPr>
          <w:jc w:val="center"/>
        </w:trPr>
        <w:tc>
          <w:tcPr>
            <w:tcW w:w="0" w:type="auto"/>
            <w:tcMar>
              <w:top w:w="0" w:type="dxa"/>
              <w:left w:w="108" w:type="dxa"/>
              <w:bottom w:w="0" w:type="dxa"/>
              <w:right w:w="108" w:type="dxa"/>
            </w:tcMar>
            <w:hideMark/>
          </w:tcPr>
          <w:p w14:paraId="2EFABEFF" w14:textId="77777777" w:rsidR="0054027F" w:rsidRPr="0054027F" w:rsidRDefault="0054027F" w:rsidP="0054027F">
            <w:pPr>
              <w:rPr>
                <w:rFonts w:ascii="Times New Roman" w:hAnsi="Times New Roman"/>
                <w:lang w:val="en-PH" w:eastAsia="en-PH"/>
              </w:rPr>
            </w:pPr>
          </w:p>
        </w:tc>
        <w:tc>
          <w:tcPr>
            <w:tcW w:w="0" w:type="auto"/>
            <w:tcMar>
              <w:top w:w="0" w:type="dxa"/>
              <w:left w:w="108" w:type="dxa"/>
              <w:bottom w:w="0" w:type="dxa"/>
              <w:right w:w="108" w:type="dxa"/>
            </w:tcMar>
            <w:hideMark/>
          </w:tcPr>
          <w:p w14:paraId="647E089D" w14:textId="77777777" w:rsidR="0054027F" w:rsidRPr="0054027F" w:rsidRDefault="0054027F" w:rsidP="0054027F">
            <w:pPr>
              <w:rPr>
                <w:rFonts w:ascii="Times New Roman" w:hAnsi="Times New Roman"/>
                <w:lang w:val="en-PH" w:eastAsia="en-PH"/>
              </w:rPr>
            </w:pPr>
          </w:p>
        </w:tc>
        <w:tc>
          <w:tcPr>
            <w:tcW w:w="0" w:type="auto"/>
            <w:tcMar>
              <w:top w:w="0" w:type="dxa"/>
              <w:left w:w="108" w:type="dxa"/>
              <w:bottom w:w="0" w:type="dxa"/>
              <w:right w:w="108" w:type="dxa"/>
            </w:tcMar>
            <w:hideMark/>
          </w:tcPr>
          <w:p w14:paraId="521D4FEB" w14:textId="77777777" w:rsidR="0054027F" w:rsidRPr="0054027F" w:rsidRDefault="0054027F" w:rsidP="0054027F">
            <w:pPr>
              <w:rPr>
                <w:rFonts w:ascii="Times New Roman" w:hAnsi="Times New Roman"/>
                <w:lang w:val="en-PH" w:eastAsia="en-PH"/>
              </w:rPr>
            </w:pPr>
          </w:p>
        </w:tc>
        <w:tc>
          <w:tcPr>
            <w:tcW w:w="0" w:type="auto"/>
            <w:tcMar>
              <w:top w:w="0" w:type="dxa"/>
              <w:left w:w="108" w:type="dxa"/>
              <w:bottom w:w="0" w:type="dxa"/>
              <w:right w:w="108" w:type="dxa"/>
            </w:tcMar>
            <w:hideMark/>
          </w:tcPr>
          <w:p w14:paraId="498FBEE4"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0.74</w:t>
            </w:r>
          </w:p>
        </w:tc>
        <w:tc>
          <w:tcPr>
            <w:tcW w:w="0" w:type="auto"/>
            <w:tcMar>
              <w:top w:w="0" w:type="dxa"/>
              <w:left w:w="108" w:type="dxa"/>
              <w:bottom w:w="0" w:type="dxa"/>
              <w:right w:w="108" w:type="dxa"/>
            </w:tcMar>
            <w:hideMark/>
          </w:tcPr>
          <w:p w14:paraId="2A9B0679"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0.54</w:t>
            </w:r>
          </w:p>
        </w:tc>
        <w:tc>
          <w:tcPr>
            <w:tcW w:w="0" w:type="auto"/>
            <w:tcMar>
              <w:top w:w="0" w:type="dxa"/>
              <w:left w:w="108" w:type="dxa"/>
              <w:bottom w:w="0" w:type="dxa"/>
              <w:right w:w="108" w:type="dxa"/>
            </w:tcMar>
            <w:hideMark/>
          </w:tcPr>
          <w:p w14:paraId="18541B0A"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High</w:t>
            </w:r>
          </w:p>
        </w:tc>
        <w:tc>
          <w:tcPr>
            <w:tcW w:w="0" w:type="auto"/>
            <w:tcMar>
              <w:top w:w="0" w:type="dxa"/>
              <w:left w:w="108" w:type="dxa"/>
              <w:bottom w:w="0" w:type="dxa"/>
              <w:right w:w="108" w:type="dxa"/>
            </w:tcMar>
            <w:hideMark/>
          </w:tcPr>
          <w:p w14:paraId="6D9E0242"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0.000</w:t>
            </w:r>
          </w:p>
        </w:tc>
        <w:tc>
          <w:tcPr>
            <w:tcW w:w="0" w:type="auto"/>
            <w:tcMar>
              <w:top w:w="0" w:type="dxa"/>
              <w:left w:w="108" w:type="dxa"/>
              <w:bottom w:w="0" w:type="dxa"/>
              <w:right w:w="108" w:type="dxa"/>
            </w:tcMar>
            <w:hideMark/>
          </w:tcPr>
          <w:p w14:paraId="61C97D9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Reject Ho1</w:t>
            </w:r>
          </w:p>
        </w:tc>
      </w:tr>
      <w:tr w:rsidR="0054027F" w:rsidRPr="0054027F" w14:paraId="059F5831" w14:textId="77777777" w:rsidTr="0054027F">
        <w:trPr>
          <w:jc w:val="center"/>
        </w:trPr>
        <w:tc>
          <w:tcPr>
            <w:tcW w:w="0" w:type="auto"/>
            <w:tcBorders>
              <w:bottom w:val="single" w:sz="4" w:space="0" w:color="000000"/>
            </w:tcBorders>
            <w:tcMar>
              <w:top w:w="0" w:type="dxa"/>
              <w:left w:w="108" w:type="dxa"/>
              <w:bottom w:w="0" w:type="dxa"/>
              <w:right w:w="108" w:type="dxa"/>
            </w:tcMar>
            <w:hideMark/>
          </w:tcPr>
          <w:p w14:paraId="7F95C68D"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Information Competence</w:t>
            </w:r>
          </w:p>
        </w:tc>
        <w:tc>
          <w:tcPr>
            <w:tcW w:w="0" w:type="auto"/>
            <w:tcBorders>
              <w:bottom w:val="single" w:sz="4" w:space="0" w:color="000000"/>
            </w:tcBorders>
            <w:tcMar>
              <w:top w:w="0" w:type="dxa"/>
              <w:left w:w="108" w:type="dxa"/>
              <w:bottom w:w="0" w:type="dxa"/>
              <w:right w:w="108" w:type="dxa"/>
            </w:tcMar>
            <w:hideMark/>
          </w:tcPr>
          <w:p w14:paraId="2FEEFA4C"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4.40</w:t>
            </w:r>
          </w:p>
        </w:tc>
        <w:tc>
          <w:tcPr>
            <w:tcW w:w="0" w:type="auto"/>
            <w:tcBorders>
              <w:bottom w:val="single" w:sz="4" w:space="0" w:color="000000"/>
            </w:tcBorders>
            <w:tcMar>
              <w:top w:w="0" w:type="dxa"/>
              <w:left w:w="108" w:type="dxa"/>
              <w:bottom w:w="0" w:type="dxa"/>
              <w:right w:w="108" w:type="dxa"/>
            </w:tcMar>
            <w:hideMark/>
          </w:tcPr>
          <w:p w14:paraId="7E04FED0"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0.40</w:t>
            </w:r>
          </w:p>
        </w:tc>
        <w:tc>
          <w:tcPr>
            <w:tcW w:w="0" w:type="auto"/>
            <w:tcBorders>
              <w:bottom w:val="single" w:sz="4" w:space="0" w:color="000000"/>
            </w:tcBorders>
            <w:tcMar>
              <w:top w:w="0" w:type="dxa"/>
              <w:left w:w="108" w:type="dxa"/>
              <w:bottom w:w="0" w:type="dxa"/>
              <w:right w:w="108" w:type="dxa"/>
            </w:tcMar>
            <w:hideMark/>
          </w:tcPr>
          <w:p w14:paraId="20B05D29"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28F2C171"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03F3D3D6"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3C126CAB"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29DFB13E" w14:textId="77777777" w:rsidR="0054027F" w:rsidRPr="0054027F" w:rsidRDefault="0054027F" w:rsidP="0054027F">
            <w:pPr>
              <w:rPr>
                <w:rFonts w:ascii="Times New Roman" w:hAnsi="Times New Roman"/>
                <w:lang w:val="en-PH" w:eastAsia="en-PH"/>
              </w:rPr>
            </w:pPr>
          </w:p>
        </w:tc>
      </w:tr>
    </w:tbl>
    <w:p w14:paraId="3580D37C" w14:textId="77777777" w:rsidR="00017E5D" w:rsidRDefault="00017E5D" w:rsidP="00F927B2">
      <w:pPr>
        <w:jc w:val="both"/>
        <w:rPr>
          <w:rFonts w:ascii="Arial" w:hAnsi="Arial" w:cs="Arial"/>
          <w:iCs/>
        </w:rPr>
      </w:pPr>
    </w:p>
    <w:p w14:paraId="1BDBE2B2" w14:textId="77777777" w:rsidR="00717F2E" w:rsidRDefault="00717F2E">
      <w:pPr>
        <w:jc w:val="both"/>
        <w:rPr>
          <w:rFonts w:ascii="Arial" w:hAnsi="Arial" w:cs="Arial"/>
        </w:rPr>
      </w:pPr>
    </w:p>
    <w:p w14:paraId="77E4EAD9" w14:textId="109AB5FE" w:rsidR="0054027F" w:rsidRPr="0054027F" w:rsidRDefault="00691641" w:rsidP="0054027F">
      <w:pPr>
        <w:jc w:val="both"/>
        <w:rPr>
          <w:rFonts w:ascii="Arial" w:hAnsi="Arial" w:cs="Arial"/>
        </w:rPr>
      </w:pPr>
      <w:r>
        <w:rPr>
          <w:rFonts w:ascii="Arial" w:hAnsi="Arial" w:cs="Arial"/>
        </w:rPr>
        <w:t>Presented in Table 3</w:t>
      </w:r>
      <w:r w:rsidRPr="00691641">
        <w:rPr>
          <w:rFonts w:ascii="Arial" w:hAnsi="Arial" w:cs="Arial"/>
        </w:rPr>
        <w:t xml:space="preserve"> </w:t>
      </w:r>
      <w:r w:rsidR="00241E3D" w:rsidRPr="00241E3D">
        <w:rPr>
          <w:rFonts w:ascii="Arial" w:hAnsi="Arial" w:cs="Arial"/>
          <w:highlight w:val="yellow"/>
        </w:rPr>
        <w:t>i</w:t>
      </w:r>
      <w:r w:rsidR="0054027F" w:rsidRPr="00241E3D">
        <w:rPr>
          <w:rFonts w:ascii="Arial" w:hAnsi="Arial" w:cs="Arial"/>
          <w:highlight w:val="yellow"/>
        </w:rPr>
        <w:t>s t</w:t>
      </w:r>
      <w:r w:rsidR="0054027F" w:rsidRPr="0054027F">
        <w:rPr>
          <w:rFonts w:ascii="Arial" w:hAnsi="Arial" w:cs="Arial"/>
        </w:rPr>
        <w:t>he correlation analysis between data-driven decision making and information competence among teachers. The relationship between data-driven decision making and information competence has a correlation coefficient of 0.74 with a p-value of 0.000, which is less than the 0.05 significance level. This indicates a high and statistically significant positive relationship between data-driven decision making and information competence. The R² value of 0.54 suggests that approximately 54% of the variation in information competence can be explained by data-driven decision making. Given that the p-value is less than 0.05, the null hypothesis (Ho1) is rejected, supporting the claim that data-driven decision making significantly influences information competence.</w:t>
      </w:r>
    </w:p>
    <w:p w14:paraId="2C114240" w14:textId="77777777" w:rsidR="00B71838" w:rsidRDefault="00B71838" w:rsidP="0054027F">
      <w:pPr>
        <w:jc w:val="both"/>
        <w:rPr>
          <w:rFonts w:ascii="Arial" w:hAnsi="Arial" w:cs="Arial"/>
        </w:rPr>
      </w:pPr>
    </w:p>
    <w:p w14:paraId="3B6CC02D" w14:textId="4D6B6512" w:rsidR="00691641" w:rsidRPr="0054027F" w:rsidRDefault="0054027F" w:rsidP="0054027F">
      <w:pPr>
        <w:jc w:val="both"/>
        <w:rPr>
          <w:rFonts w:ascii="Arial" w:hAnsi="Arial" w:cs="Arial"/>
          <w:b/>
          <w:bCs/>
          <w:iCs/>
        </w:rPr>
      </w:pPr>
      <w:r w:rsidRPr="0054027F">
        <w:rPr>
          <w:rFonts w:ascii="Arial" w:hAnsi="Arial" w:cs="Arial"/>
        </w:rPr>
        <w:t>This suggests that teachers who effectively use data in decision-making processes tend to demonstrate high levels of information competence. Teachers who incorporate data into their practices are likely to develop strong skills in evaluating, sourcing, and processing information, leading to improved teaching outcomes.</w:t>
      </w:r>
    </w:p>
    <w:p w14:paraId="7F6D88F3" w14:textId="77777777" w:rsidR="0054027F" w:rsidRDefault="0054027F" w:rsidP="00151F8F">
      <w:pPr>
        <w:jc w:val="both"/>
        <w:rPr>
          <w:rFonts w:ascii="Arial" w:hAnsi="Arial" w:cs="Arial"/>
          <w:b/>
          <w:bCs/>
          <w:iCs/>
        </w:rPr>
      </w:pPr>
    </w:p>
    <w:p w14:paraId="0BBC7F18" w14:textId="77777777" w:rsidR="0054027F" w:rsidRDefault="0054027F" w:rsidP="0054027F">
      <w:pPr>
        <w:jc w:val="both"/>
        <w:rPr>
          <w:rFonts w:ascii="Arial" w:hAnsi="Arial" w:cs="Arial"/>
          <w:bCs/>
          <w:iCs/>
        </w:rPr>
      </w:pPr>
      <w:r w:rsidRPr="0054027F">
        <w:rPr>
          <w:rFonts w:ascii="Arial" w:hAnsi="Arial" w:cs="Arial"/>
          <w:bCs/>
          <w:iCs/>
        </w:rPr>
        <w:t>By promoting data-driven decision making, schools can support teachers in refining their information literacy and enhance their overall effectiveness in the classroom. Therefore, fostering a strong connection between data-driven decision making and information competence is essential for improving educational practices and ach</w:t>
      </w:r>
      <w:r>
        <w:rPr>
          <w:rFonts w:ascii="Arial" w:hAnsi="Arial" w:cs="Arial"/>
          <w:bCs/>
          <w:iCs/>
        </w:rPr>
        <w:t>ieving better student outcomes.</w:t>
      </w:r>
    </w:p>
    <w:p w14:paraId="5E29493B" w14:textId="77777777" w:rsidR="0054027F" w:rsidRDefault="0054027F" w:rsidP="0054027F">
      <w:pPr>
        <w:jc w:val="both"/>
        <w:rPr>
          <w:rFonts w:ascii="Arial" w:hAnsi="Arial" w:cs="Arial"/>
          <w:bCs/>
          <w:iCs/>
        </w:rPr>
      </w:pPr>
    </w:p>
    <w:p w14:paraId="6196871A" w14:textId="56BAFA83" w:rsidR="0054027F" w:rsidRPr="0054027F" w:rsidRDefault="0054027F" w:rsidP="0054027F">
      <w:pPr>
        <w:jc w:val="both"/>
        <w:rPr>
          <w:rFonts w:ascii="Arial" w:hAnsi="Arial" w:cs="Arial"/>
          <w:bCs/>
          <w:iCs/>
        </w:rPr>
      </w:pPr>
      <w:r w:rsidRPr="0054027F">
        <w:rPr>
          <w:rFonts w:ascii="Arial" w:hAnsi="Arial" w:cs="Arial"/>
          <w:bCs/>
          <w:iCs/>
        </w:rPr>
        <w:t xml:space="preserve">This finding aligns with the research conducted by Dogan and </w:t>
      </w:r>
      <w:proofErr w:type="spellStart"/>
      <w:r w:rsidRPr="0054027F">
        <w:rPr>
          <w:rFonts w:ascii="Arial" w:hAnsi="Arial" w:cs="Arial"/>
          <w:bCs/>
          <w:iCs/>
        </w:rPr>
        <w:t>Demirbolat</w:t>
      </w:r>
      <w:proofErr w:type="spellEnd"/>
      <w:r w:rsidRPr="0054027F">
        <w:rPr>
          <w:rFonts w:ascii="Arial" w:hAnsi="Arial" w:cs="Arial"/>
          <w:bCs/>
          <w:iCs/>
        </w:rPr>
        <w:t xml:space="preserve"> (2021), who highlighted that a strong commitment to data-driven decision making significantly enhances teachers' information competence. Their study indicated that teachers who effectively utilize data in their decision-making processes tend to exhibit greater proficiency in interpreting and applying information in their teaching practices. Similarly, Daniels et al. (2021) found that teachers with high levels of data-driven decision-making skills are more adept at utilizing various data sources, resulting in improved instructional strategies and better student outcomes. Additionally, </w:t>
      </w:r>
      <w:proofErr w:type="spellStart"/>
      <w:r w:rsidRPr="0054027F">
        <w:rPr>
          <w:rFonts w:ascii="Arial" w:hAnsi="Arial" w:cs="Arial"/>
          <w:bCs/>
          <w:iCs/>
        </w:rPr>
        <w:t>Hebbecker</w:t>
      </w:r>
      <w:proofErr w:type="spellEnd"/>
      <w:r w:rsidRPr="0054027F">
        <w:rPr>
          <w:rFonts w:ascii="Arial" w:hAnsi="Arial" w:cs="Arial"/>
          <w:bCs/>
          <w:iCs/>
        </w:rPr>
        <w:t xml:space="preserve"> et al. (2022) observed that the integration of data into daily teaching decisions positively correlates with teachers' ability to make informed instructional adjustments, further enhancing their overall effectiveness in the classroom.</w:t>
      </w:r>
    </w:p>
    <w:p w14:paraId="3C855BB6" w14:textId="77777777" w:rsidR="0054027F" w:rsidRDefault="0054027F" w:rsidP="00151F8F">
      <w:pPr>
        <w:jc w:val="both"/>
        <w:rPr>
          <w:rFonts w:ascii="Arial" w:hAnsi="Arial" w:cs="Arial"/>
          <w:b/>
          <w:bCs/>
          <w:iCs/>
        </w:rPr>
      </w:pPr>
    </w:p>
    <w:p w14:paraId="0D8ABDEF" w14:textId="2FF3F538"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A3811" w:rsidRPr="001A3811">
        <w:rPr>
          <w:rFonts w:ascii="Arial" w:hAnsi="Arial" w:cs="Arial"/>
          <w:b/>
          <w:bCs/>
          <w:iCs/>
        </w:rPr>
        <w:t xml:space="preserve">Domains of Data-Driven Decision Making that Significantly Influence the Information Competence </w:t>
      </w:r>
      <w:r w:rsidR="00691641" w:rsidRPr="00691641">
        <w:rPr>
          <w:rFonts w:ascii="Arial" w:hAnsi="Arial" w:cs="Arial"/>
          <w:b/>
          <w:bCs/>
          <w:iCs/>
        </w:rPr>
        <w:t>of Public Elementary School Teachers</w:t>
      </w:r>
    </w:p>
    <w:p w14:paraId="7568132A" w14:textId="77777777" w:rsidR="00914755" w:rsidRDefault="00914755" w:rsidP="00665D1C">
      <w:pPr>
        <w:rPr>
          <w:rFonts w:ascii="Arial" w:hAnsi="Arial" w:cs="Arial"/>
          <w:b/>
          <w:bCs/>
          <w:iCs/>
        </w:rPr>
      </w:pPr>
    </w:p>
    <w:p w14:paraId="461FD1E7" w14:textId="305594D7" w:rsidR="00DE3EAB" w:rsidRPr="00D82866" w:rsidRDefault="00B364F1" w:rsidP="00D82866">
      <w:pPr>
        <w:jc w:val="both"/>
        <w:rPr>
          <w:rFonts w:ascii="Arial" w:eastAsia="Arial" w:hAnsi="Arial"/>
          <w:i/>
        </w:rPr>
      </w:pPr>
      <w:r w:rsidRPr="00B364F1">
        <w:rPr>
          <w:rFonts w:ascii="Arial" w:eastAsia="Arial" w:hAnsi="Arial"/>
          <w:b/>
        </w:rPr>
        <w:t xml:space="preserve">Table 4. </w:t>
      </w:r>
      <w:r w:rsidR="001A3811" w:rsidRPr="001A3811">
        <w:rPr>
          <w:rFonts w:ascii="Arial" w:eastAsia="Arial" w:hAnsi="Arial"/>
          <w:i/>
        </w:rPr>
        <w:t>Domains of Data-Driven Decision Making that Significantly Influence the Information Competence of Public Elementary School Teachers</w:t>
      </w:r>
    </w:p>
    <w:p w14:paraId="42F31227" w14:textId="708EB413" w:rsidR="00187916" w:rsidRPr="00B364F1" w:rsidRDefault="00187916" w:rsidP="00B364F1">
      <w:pPr>
        <w:jc w:val="both"/>
        <w:rPr>
          <w:rFonts w:ascii="Arial" w:eastAsia="Arial" w:hAnsi="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914"/>
        <w:gridCol w:w="721"/>
        <w:gridCol w:w="721"/>
        <w:gridCol w:w="774"/>
        <w:gridCol w:w="767"/>
        <w:gridCol w:w="955"/>
        <w:gridCol w:w="1356"/>
      </w:tblGrid>
      <w:tr w:rsidR="001A3811" w:rsidRPr="001A3811" w14:paraId="19EC3F3D" w14:textId="77777777" w:rsidTr="001A3811">
        <w:trPr>
          <w:trHeight w:val="323"/>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00F1799B"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08" w:type="dxa"/>
              <w:bottom w:w="0" w:type="dxa"/>
              <w:right w:w="108" w:type="dxa"/>
            </w:tcMar>
            <w:hideMark/>
          </w:tcPr>
          <w:p w14:paraId="4AD2EB53"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08" w:type="dxa"/>
              <w:bottom w:w="0" w:type="dxa"/>
              <w:right w:w="108" w:type="dxa"/>
            </w:tcMar>
            <w:hideMark/>
          </w:tcPr>
          <w:p w14:paraId="189ABBF4"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08" w:type="dxa"/>
              <w:bottom w:w="0" w:type="dxa"/>
              <w:right w:w="108" w:type="dxa"/>
            </w:tcMar>
            <w:hideMark/>
          </w:tcPr>
          <w:p w14:paraId="032934B2"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08" w:type="dxa"/>
              <w:bottom w:w="0" w:type="dxa"/>
              <w:right w:w="108" w:type="dxa"/>
            </w:tcMar>
            <w:hideMark/>
          </w:tcPr>
          <w:p w14:paraId="5ED734DA"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08" w:type="dxa"/>
              <w:bottom w:w="0" w:type="dxa"/>
              <w:right w:w="108" w:type="dxa"/>
            </w:tcMar>
            <w:hideMark/>
          </w:tcPr>
          <w:p w14:paraId="01138524"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64E75672"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Decision</w:t>
            </w:r>
          </w:p>
        </w:tc>
      </w:tr>
      <w:tr w:rsidR="001A3811" w:rsidRPr="001A3811" w14:paraId="5671B289" w14:textId="77777777" w:rsidTr="001A3811">
        <w:trPr>
          <w:trHeight w:val="536"/>
          <w:jc w:val="center"/>
        </w:trPr>
        <w:tc>
          <w:tcPr>
            <w:tcW w:w="0" w:type="auto"/>
            <w:tcBorders>
              <w:top w:val="single" w:sz="4" w:space="0" w:color="000000"/>
            </w:tcBorders>
            <w:tcMar>
              <w:top w:w="0" w:type="dxa"/>
              <w:left w:w="108" w:type="dxa"/>
              <w:bottom w:w="0" w:type="dxa"/>
              <w:right w:w="108" w:type="dxa"/>
            </w:tcMar>
            <w:hideMark/>
          </w:tcPr>
          <w:p w14:paraId="1742D4B7"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Constant</w:t>
            </w:r>
            <w:bookmarkStart w:id="0" w:name="_GoBack"/>
            <w:bookmarkEnd w:id="0"/>
          </w:p>
        </w:tc>
        <w:tc>
          <w:tcPr>
            <w:tcW w:w="0" w:type="auto"/>
            <w:tcBorders>
              <w:top w:val="single" w:sz="4" w:space="0" w:color="000000"/>
            </w:tcBorders>
            <w:tcMar>
              <w:top w:w="0" w:type="dxa"/>
              <w:left w:w="108" w:type="dxa"/>
              <w:bottom w:w="0" w:type="dxa"/>
              <w:right w:w="108" w:type="dxa"/>
            </w:tcMar>
            <w:hideMark/>
          </w:tcPr>
          <w:p w14:paraId="79E723E1"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3.70</w:t>
            </w:r>
          </w:p>
        </w:tc>
        <w:tc>
          <w:tcPr>
            <w:tcW w:w="0" w:type="auto"/>
            <w:tcBorders>
              <w:top w:val="single" w:sz="4" w:space="0" w:color="000000"/>
            </w:tcBorders>
            <w:tcMar>
              <w:top w:w="0" w:type="dxa"/>
              <w:left w:w="108" w:type="dxa"/>
              <w:bottom w:w="0" w:type="dxa"/>
              <w:right w:w="108" w:type="dxa"/>
            </w:tcMar>
            <w:hideMark/>
          </w:tcPr>
          <w:p w14:paraId="33585FCE"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0.80</w:t>
            </w:r>
          </w:p>
        </w:tc>
        <w:tc>
          <w:tcPr>
            <w:tcW w:w="0" w:type="auto"/>
            <w:tcBorders>
              <w:top w:val="single" w:sz="4" w:space="0" w:color="000000"/>
            </w:tcBorders>
            <w:tcMar>
              <w:top w:w="0" w:type="dxa"/>
              <w:left w:w="108" w:type="dxa"/>
              <w:bottom w:w="0" w:type="dxa"/>
              <w:right w:w="108" w:type="dxa"/>
            </w:tcMar>
            <w:hideMark/>
          </w:tcPr>
          <w:p w14:paraId="60603F6B" w14:textId="77777777" w:rsidR="001A3811" w:rsidRPr="001A3811" w:rsidRDefault="001A3811" w:rsidP="001A3811">
            <w:pPr>
              <w:rPr>
                <w:rFonts w:ascii="Arial" w:hAnsi="Arial" w:cs="Arial"/>
                <w:lang w:val="en-PH" w:eastAsia="en-PH"/>
              </w:rPr>
            </w:pPr>
          </w:p>
        </w:tc>
        <w:tc>
          <w:tcPr>
            <w:tcW w:w="0" w:type="auto"/>
            <w:tcBorders>
              <w:top w:val="single" w:sz="4" w:space="0" w:color="000000"/>
            </w:tcBorders>
            <w:tcMar>
              <w:top w:w="0" w:type="dxa"/>
              <w:left w:w="108" w:type="dxa"/>
              <w:bottom w:w="0" w:type="dxa"/>
              <w:right w:w="108" w:type="dxa"/>
            </w:tcMar>
            <w:hideMark/>
          </w:tcPr>
          <w:p w14:paraId="676DE70D"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8.45</w:t>
            </w:r>
          </w:p>
        </w:tc>
        <w:tc>
          <w:tcPr>
            <w:tcW w:w="0" w:type="auto"/>
            <w:tcBorders>
              <w:top w:val="single" w:sz="4" w:space="0" w:color="000000"/>
            </w:tcBorders>
            <w:tcMar>
              <w:top w:w="0" w:type="dxa"/>
              <w:left w:w="108" w:type="dxa"/>
              <w:bottom w:w="0" w:type="dxa"/>
              <w:right w:w="108" w:type="dxa"/>
            </w:tcMar>
            <w:hideMark/>
          </w:tcPr>
          <w:p w14:paraId="7E45CF3C"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572C381E"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5614EE6F" w14:textId="77777777" w:rsidTr="001A3811">
        <w:trPr>
          <w:trHeight w:val="521"/>
          <w:jc w:val="center"/>
        </w:trPr>
        <w:tc>
          <w:tcPr>
            <w:tcW w:w="0" w:type="auto"/>
            <w:tcMar>
              <w:top w:w="0" w:type="dxa"/>
              <w:left w:w="108" w:type="dxa"/>
              <w:bottom w:w="0" w:type="dxa"/>
              <w:right w:w="108" w:type="dxa"/>
            </w:tcMar>
            <w:hideMark/>
          </w:tcPr>
          <w:p w14:paraId="62DB113A"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lastRenderedPageBreak/>
              <w:t>Technological Infrastructure and Hardware</w:t>
            </w:r>
          </w:p>
        </w:tc>
        <w:tc>
          <w:tcPr>
            <w:tcW w:w="0" w:type="auto"/>
            <w:tcMar>
              <w:top w:w="0" w:type="dxa"/>
              <w:left w:w="108" w:type="dxa"/>
              <w:bottom w:w="0" w:type="dxa"/>
              <w:right w:w="108" w:type="dxa"/>
            </w:tcMar>
            <w:hideMark/>
          </w:tcPr>
          <w:p w14:paraId="0930C7A6"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0.82</w:t>
            </w:r>
          </w:p>
        </w:tc>
        <w:tc>
          <w:tcPr>
            <w:tcW w:w="0" w:type="auto"/>
            <w:tcMar>
              <w:top w:w="0" w:type="dxa"/>
              <w:left w:w="108" w:type="dxa"/>
              <w:bottom w:w="0" w:type="dxa"/>
              <w:right w:w="108" w:type="dxa"/>
            </w:tcMar>
            <w:hideMark/>
          </w:tcPr>
          <w:p w14:paraId="2F67DC2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0.65</w:t>
            </w:r>
          </w:p>
        </w:tc>
        <w:tc>
          <w:tcPr>
            <w:tcW w:w="0" w:type="auto"/>
            <w:tcMar>
              <w:top w:w="0" w:type="dxa"/>
              <w:left w:w="108" w:type="dxa"/>
              <w:bottom w:w="0" w:type="dxa"/>
              <w:right w:w="108" w:type="dxa"/>
            </w:tcMar>
            <w:hideMark/>
          </w:tcPr>
          <w:p w14:paraId="3E75D4D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0.56</w:t>
            </w:r>
          </w:p>
        </w:tc>
        <w:tc>
          <w:tcPr>
            <w:tcW w:w="0" w:type="auto"/>
            <w:tcMar>
              <w:top w:w="0" w:type="dxa"/>
              <w:left w:w="108" w:type="dxa"/>
              <w:bottom w:w="0" w:type="dxa"/>
              <w:right w:w="108" w:type="dxa"/>
            </w:tcMar>
            <w:hideMark/>
          </w:tcPr>
          <w:p w14:paraId="4973A5B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4.60</w:t>
            </w:r>
          </w:p>
        </w:tc>
        <w:tc>
          <w:tcPr>
            <w:tcW w:w="0" w:type="auto"/>
            <w:tcMar>
              <w:top w:w="0" w:type="dxa"/>
              <w:left w:w="108" w:type="dxa"/>
              <w:bottom w:w="0" w:type="dxa"/>
              <w:right w:w="108" w:type="dxa"/>
            </w:tcMar>
            <w:hideMark/>
          </w:tcPr>
          <w:p w14:paraId="74A9DE68"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33C63611"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148E3F72" w14:textId="77777777" w:rsidTr="001A3811">
        <w:trPr>
          <w:trHeight w:val="521"/>
          <w:jc w:val="center"/>
        </w:trPr>
        <w:tc>
          <w:tcPr>
            <w:tcW w:w="0" w:type="auto"/>
            <w:tcMar>
              <w:top w:w="0" w:type="dxa"/>
              <w:left w:w="108" w:type="dxa"/>
              <w:bottom w:w="0" w:type="dxa"/>
              <w:right w:w="108" w:type="dxa"/>
            </w:tcMar>
            <w:hideMark/>
          </w:tcPr>
          <w:p w14:paraId="7C0C045E"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Data Usage Culture</w:t>
            </w:r>
          </w:p>
        </w:tc>
        <w:tc>
          <w:tcPr>
            <w:tcW w:w="0" w:type="auto"/>
            <w:tcMar>
              <w:top w:w="0" w:type="dxa"/>
              <w:left w:w="108" w:type="dxa"/>
              <w:bottom w:w="0" w:type="dxa"/>
              <w:right w:w="108" w:type="dxa"/>
            </w:tcMar>
            <w:hideMark/>
          </w:tcPr>
          <w:p w14:paraId="74108780"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0.75</w:t>
            </w:r>
          </w:p>
        </w:tc>
        <w:tc>
          <w:tcPr>
            <w:tcW w:w="0" w:type="auto"/>
            <w:tcMar>
              <w:top w:w="0" w:type="dxa"/>
              <w:left w:w="108" w:type="dxa"/>
              <w:bottom w:w="0" w:type="dxa"/>
              <w:right w:w="108" w:type="dxa"/>
            </w:tcMar>
            <w:hideMark/>
          </w:tcPr>
          <w:p w14:paraId="392B355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0.55</w:t>
            </w:r>
          </w:p>
        </w:tc>
        <w:tc>
          <w:tcPr>
            <w:tcW w:w="0" w:type="auto"/>
            <w:tcMar>
              <w:top w:w="0" w:type="dxa"/>
              <w:left w:w="108" w:type="dxa"/>
              <w:bottom w:w="0" w:type="dxa"/>
              <w:right w:w="108" w:type="dxa"/>
            </w:tcMar>
            <w:hideMark/>
          </w:tcPr>
          <w:p w14:paraId="49AAC7A3"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0.45</w:t>
            </w:r>
          </w:p>
        </w:tc>
        <w:tc>
          <w:tcPr>
            <w:tcW w:w="0" w:type="auto"/>
            <w:tcMar>
              <w:top w:w="0" w:type="dxa"/>
              <w:left w:w="108" w:type="dxa"/>
              <w:bottom w:w="0" w:type="dxa"/>
              <w:right w:w="108" w:type="dxa"/>
            </w:tcMar>
            <w:hideMark/>
          </w:tcPr>
          <w:p w14:paraId="37B9A16A"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4.44</w:t>
            </w:r>
          </w:p>
        </w:tc>
        <w:tc>
          <w:tcPr>
            <w:tcW w:w="0" w:type="auto"/>
            <w:tcMar>
              <w:top w:w="0" w:type="dxa"/>
              <w:left w:w="108" w:type="dxa"/>
              <w:bottom w:w="0" w:type="dxa"/>
              <w:right w:w="108" w:type="dxa"/>
            </w:tcMar>
            <w:hideMark/>
          </w:tcPr>
          <w:p w14:paraId="67723A3E"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24315B74"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3C78C79E" w14:textId="77777777" w:rsidTr="001A3811">
        <w:trPr>
          <w:trHeight w:val="521"/>
          <w:jc w:val="center"/>
        </w:trPr>
        <w:tc>
          <w:tcPr>
            <w:tcW w:w="0" w:type="auto"/>
            <w:tcMar>
              <w:top w:w="0" w:type="dxa"/>
              <w:left w:w="108" w:type="dxa"/>
              <w:bottom w:w="0" w:type="dxa"/>
              <w:right w:w="108" w:type="dxa"/>
            </w:tcMar>
            <w:hideMark/>
          </w:tcPr>
          <w:p w14:paraId="3024A4C6"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Data Usage Purpose</w:t>
            </w:r>
          </w:p>
        </w:tc>
        <w:tc>
          <w:tcPr>
            <w:tcW w:w="0" w:type="auto"/>
            <w:tcMar>
              <w:top w:w="0" w:type="dxa"/>
              <w:left w:w="108" w:type="dxa"/>
              <w:bottom w:w="0" w:type="dxa"/>
              <w:right w:w="108" w:type="dxa"/>
            </w:tcMar>
            <w:hideMark/>
          </w:tcPr>
          <w:p w14:paraId="08D207CA"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0.78</w:t>
            </w:r>
          </w:p>
        </w:tc>
        <w:tc>
          <w:tcPr>
            <w:tcW w:w="0" w:type="auto"/>
            <w:tcMar>
              <w:top w:w="0" w:type="dxa"/>
              <w:left w:w="108" w:type="dxa"/>
              <w:bottom w:w="0" w:type="dxa"/>
              <w:right w:w="108" w:type="dxa"/>
            </w:tcMar>
            <w:hideMark/>
          </w:tcPr>
          <w:p w14:paraId="7C818B46"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0.62</w:t>
            </w:r>
          </w:p>
        </w:tc>
        <w:tc>
          <w:tcPr>
            <w:tcW w:w="0" w:type="auto"/>
            <w:tcMar>
              <w:top w:w="0" w:type="dxa"/>
              <w:left w:w="108" w:type="dxa"/>
              <w:bottom w:w="0" w:type="dxa"/>
              <w:right w:w="108" w:type="dxa"/>
            </w:tcMar>
            <w:hideMark/>
          </w:tcPr>
          <w:p w14:paraId="10C8F3C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0.48</w:t>
            </w:r>
          </w:p>
        </w:tc>
        <w:tc>
          <w:tcPr>
            <w:tcW w:w="0" w:type="auto"/>
            <w:tcMar>
              <w:top w:w="0" w:type="dxa"/>
              <w:left w:w="108" w:type="dxa"/>
              <w:bottom w:w="0" w:type="dxa"/>
              <w:right w:w="108" w:type="dxa"/>
            </w:tcMar>
            <w:hideMark/>
          </w:tcPr>
          <w:p w14:paraId="083D73DD"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4.46</w:t>
            </w:r>
          </w:p>
        </w:tc>
        <w:tc>
          <w:tcPr>
            <w:tcW w:w="0" w:type="auto"/>
            <w:tcMar>
              <w:top w:w="0" w:type="dxa"/>
              <w:left w:w="108" w:type="dxa"/>
              <w:bottom w:w="0" w:type="dxa"/>
              <w:right w:w="108" w:type="dxa"/>
            </w:tcMar>
            <w:hideMark/>
          </w:tcPr>
          <w:p w14:paraId="389292D8"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6A182CBA"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7E47B153" w14:textId="77777777" w:rsidTr="001A3811">
        <w:trPr>
          <w:trHeight w:val="521"/>
          <w:jc w:val="center"/>
        </w:trPr>
        <w:tc>
          <w:tcPr>
            <w:tcW w:w="0" w:type="auto"/>
            <w:tcMar>
              <w:top w:w="0" w:type="dxa"/>
              <w:left w:w="108" w:type="dxa"/>
              <w:bottom w:w="0" w:type="dxa"/>
              <w:right w:w="108" w:type="dxa"/>
            </w:tcMar>
            <w:hideMark/>
          </w:tcPr>
          <w:p w14:paraId="008ECF65"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Data Literacy</w:t>
            </w:r>
          </w:p>
        </w:tc>
        <w:tc>
          <w:tcPr>
            <w:tcW w:w="0" w:type="auto"/>
            <w:tcMar>
              <w:top w:w="0" w:type="dxa"/>
              <w:left w:w="108" w:type="dxa"/>
              <w:bottom w:w="0" w:type="dxa"/>
              <w:right w:w="108" w:type="dxa"/>
            </w:tcMar>
            <w:hideMark/>
          </w:tcPr>
          <w:p w14:paraId="01B704C0"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0.84</w:t>
            </w:r>
          </w:p>
        </w:tc>
        <w:tc>
          <w:tcPr>
            <w:tcW w:w="0" w:type="auto"/>
            <w:tcMar>
              <w:top w:w="0" w:type="dxa"/>
              <w:left w:w="108" w:type="dxa"/>
              <w:bottom w:w="0" w:type="dxa"/>
              <w:right w:w="108" w:type="dxa"/>
            </w:tcMar>
            <w:hideMark/>
          </w:tcPr>
          <w:p w14:paraId="653DEFEC"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0.70</w:t>
            </w:r>
          </w:p>
        </w:tc>
        <w:tc>
          <w:tcPr>
            <w:tcW w:w="0" w:type="auto"/>
            <w:tcMar>
              <w:top w:w="0" w:type="dxa"/>
              <w:left w:w="108" w:type="dxa"/>
              <w:bottom w:w="0" w:type="dxa"/>
              <w:right w:w="108" w:type="dxa"/>
            </w:tcMar>
            <w:hideMark/>
          </w:tcPr>
          <w:p w14:paraId="142A2297"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0.60</w:t>
            </w:r>
          </w:p>
        </w:tc>
        <w:tc>
          <w:tcPr>
            <w:tcW w:w="0" w:type="auto"/>
            <w:tcMar>
              <w:top w:w="0" w:type="dxa"/>
              <w:left w:w="108" w:type="dxa"/>
              <w:bottom w:w="0" w:type="dxa"/>
              <w:right w:w="108" w:type="dxa"/>
            </w:tcMar>
            <w:hideMark/>
          </w:tcPr>
          <w:p w14:paraId="2F7DAAA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4.68</w:t>
            </w:r>
          </w:p>
        </w:tc>
        <w:tc>
          <w:tcPr>
            <w:tcW w:w="0" w:type="auto"/>
            <w:tcMar>
              <w:top w:w="0" w:type="dxa"/>
              <w:left w:w="108" w:type="dxa"/>
              <w:bottom w:w="0" w:type="dxa"/>
              <w:right w:w="108" w:type="dxa"/>
            </w:tcMar>
            <w:hideMark/>
          </w:tcPr>
          <w:p w14:paraId="0308EAE4"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0827E9F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3BB895F7" w14:textId="77777777" w:rsidTr="001A3811">
        <w:trPr>
          <w:trHeight w:val="536"/>
          <w:jc w:val="center"/>
        </w:trPr>
        <w:tc>
          <w:tcPr>
            <w:tcW w:w="0" w:type="auto"/>
            <w:tcMar>
              <w:top w:w="0" w:type="dxa"/>
              <w:left w:w="108" w:type="dxa"/>
              <w:bottom w:w="0" w:type="dxa"/>
              <w:right w:w="108" w:type="dxa"/>
            </w:tcMar>
            <w:hideMark/>
          </w:tcPr>
          <w:p w14:paraId="1F6AB302"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B6213A4"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C985218"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A92428D"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38100147"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90DC367"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000E329E" w14:textId="77777777" w:rsidR="001A3811" w:rsidRPr="001A3811" w:rsidRDefault="001A3811" w:rsidP="001A3811">
            <w:pPr>
              <w:rPr>
                <w:rFonts w:ascii="Arial" w:hAnsi="Arial" w:cs="Arial"/>
                <w:lang w:val="en-PH" w:eastAsia="en-PH"/>
              </w:rPr>
            </w:pPr>
          </w:p>
        </w:tc>
      </w:tr>
      <w:tr w:rsidR="001A3811" w:rsidRPr="001A3811" w14:paraId="36163C34" w14:textId="77777777" w:rsidTr="001A3811">
        <w:trPr>
          <w:trHeight w:val="521"/>
          <w:jc w:val="center"/>
        </w:trPr>
        <w:tc>
          <w:tcPr>
            <w:tcW w:w="0" w:type="auto"/>
            <w:gridSpan w:val="7"/>
            <w:tcMar>
              <w:top w:w="0" w:type="dxa"/>
              <w:left w:w="108" w:type="dxa"/>
              <w:bottom w:w="0" w:type="dxa"/>
              <w:right w:w="108" w:type="dxa"/>
            </w:tcMar>
            <w:hideMark/>
          </w:tcPr>
          <w:p w14:paraId="335DF1E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b/>
                <w:bCs/>
                <w:color w:val="000000"/>
                <w:u w:val="single"/>
                <w:lang w:val="en-PH" w:eastAsia="en-PH"/>
              </w:rPr>
              <w:t>Regression Model</w:t>
            </w:r>
          </w:p>
        </w:tc>
      </w:tr>
      <w:tr w:rsidR="001A3811" w:rsidRPr="001A3811" w14:paraId="24D0B970" w14:textId="77777777" w:rsidTr="001A3811">
        <w:trPr>
          <w:trHeight w:val="521"/>
          <w:jc w:val="center"/>
        </w:trPr>
        <w:tc>
          <w:tcPr>
            <w:tcW w:w="0" w:type="auto"/>
            <w:gridSpan w:val="7"/>
            <w:tcMar>
              <w:top w:w="0" w:type="dxa"/>
              <w:left w:w="108" w:type="dxa"/>
              <w:bottom w:w="0" w:type="dxa"/>
              <w:right w:w="108" w:type="dxa"/>
            </w:tcMar>
            <w:hideMark/>
          </w:tcPr>
          <w:p w14:paraId="0E107873"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Teacher Effectiveness =3.70 + 0.82 (Technological Infrastructure and Hardware) + 0.75 (Data Usage Culture) + 0.78 (Data Usage Purpose) + 0.84 (Data Literacy)</w:t>
            </w:r>
          </w:p>
          <w:p w14:paraId="28E99A49" w14:textId="77777777" w:rsidR="001A3811" w:rsidRPr="001A3811" w:rsidRDefault="001A3811" w:rsidP="001A3811">
            <w:pPr>
              <w:rPr>
                <w:rFonts w:ascii="Arial" w:hAnsi="Arial" w:cs="Arial"/>
                <w:lang w:val="en-PH" w:eastAsia="en-PH"/>
              </w:rPr>
            </w:pPr>
          </w:p>
        </w:tc>
      </w:tr>
      <w:tr w:rsidR="001A3811" w:rsidRPr="001A3811" w14:paraId="60B23B5F" w14:textId="77777777" w:rsidTr="001A3811">
        <w:trPr>
          <w:trHeight w:val="80"/>
          <w:jc w:val="center"/>
        </w:trPr>
        <w:tc>
          <w:tcPr>
            <w:tcW w:w="0" w:type="auto"/>
            <w:gridSpan w:val="7"/>
            <w:tcBorders>
              <w:bottom w:val="single" w:sz="4" w:space="0" w:color="000000"/>
            </w:tcBorders>
            <w:tcMar>
              <w:top w:w="0" w:type="dxa"/>
              <w:left w:w="108" w:type="dxa"/>
              <w:bottom w:w="0" w:type="dxa"/>
              <w:right w:w="108" w:type="dxa"/>
            </w:tcMar>
            <w:hideMark/>
          </w:tcPr>
          <w:p w14:paraId="7666CC22"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R=0.740; R²=0.547; F=58.82;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031B7AE1" w14:textId="77777777" w:rsidR="001A3811" w:rsidRPr="001A3811" w:rsidRDefault="004C5898" w:rsidP="001A3811">
      <w:pPr>
        <w:pStyle w:val="Body"/>
        <w:rPr>
          <w:rFonts w:ascii="Arial" w:hAnsi="Arial" w:cs="Arial"/>
        </w:rPr>
      </w:pPr>
      <w:r>
        <w:rPr>
          <w:rFonts w:ascii="Arial" w:hAnsi="Arial" w:cs="Arial"/>
        </w:rPr>
        <w:t>Presented in Table 4</w:t>
      </w:r>
      <w:r w:rsidRPr="004C5898">
        <w:rPr>
          <w:rFonts w:ascii="Arial" w:hAnsi="Arial" w:cs="Arial"/>
        </w:rPr>
        <w:t xml:space="preserve"> </w:t>
      </w:r>
      <w:r w:rsidR="001A3811" w:rsidRPr="001A3811">
        <w:rPr>
          <w:rFonts w:ascii="Arial" w:hAnsi="Arial" w:cs="Arial"/>
        </w:rPr>
        <w:t>is the regression analysis of how different domains of data-driven decision making—technological infrastructure and hardware, data usage culture, data usage purpose, and data literacy significantly influence the Information Competence of teachers. The regression model reveals that all four domains positively contribute to Information Competence. Specifically, data literacy (with a Beta of 0.84) has the strongest relationship with information competence, followed by technological infrastructure and hardware (Beta of 0.56), data usage purpose (Beta of 0.48), and data usage culture (Beta of 0.45). The t-statistics for each domain (4.60 for technological infrastructure and hardware, 4.44 for data usage culture, 4.46 for data usage purpose, and 4.68 for data literacy) and the p-values (all 0.000) confirm that these relationships are statistically significant.</w:t>
      </w:r>
    </w:p>
    <w:p w14:paraId="411B73A7" w14:textId="20778414" w:rsidR="004C5898" w:rsidRDefault="001A3811" w:rsidP="001A3811">
      <w:pPr>
        <w:pStyle w:val="Body"/>
        <w:rPr>
          <w:rFonts w:ascii="Arial" w:hAnsi="Arial" w:cs="Arial"/>
        </w:rPr>
      </w:pPr>
      <w:r w:rsidRPr="001A3811">
        <w:rPr>
          <w:rFonts w:ascii="Arial" w:hAnsi="Arial" w:cs="Arial"/>
        </w:rPr>
        <w:t>The regression equation, information competence=3.70+ 0.82 (Technological Infrastructure and Hardware) + 0.75 (Data Usage Culture) + 0.78 (Data Usage Purpose) + 0.84 (Data Literacy), reveals that the overall model explains 54.7% of the variance in Information Competence (R²=0.547). Additionally, the model's F-value of 58.82 and its p-value of 0.000 indicate that the model is statistically significant.</w:t>
      </w:r>
    </w:p>
    <w:p w14:paraId="75264027" w14:textId="77777777" w:rsidR="001A3811" w:rsidRPr="001A3811" w:rsidRDefault="001A3811" w:rsidP="001A3811">
      <w:pPr>
        <w:pStyle w:val="Body"/>
        <w:rPr>
          <w:rFonts w:ascii="Arial" w:hAnsi="Arial" w:cs="Arial"/>
        </w:rPr>
      </w:pPr>
      <w:r w:rsidRPr="001A3811">
        <w:rPr>
          <w:rFonts w:ascii="Arial" w:hAnsi="Arial" w:cs="Arial"/>
        </w:rPr>
        <w:t>In conclusion, these results highlight that the domains of data-driven decision making, particularly technological infrastructure and hardware, data usage culture, data usage purpose, and data literacy play a crucial role in enhancing information competence among teachers. Teachers who are equipped with strong technological infrastructure, a culture that supports data usage, a clear purpose for using data, and the literacy to interpret and act on data are better positioned to demonstrate high levels of information competence. This suggests that fostering these domains in teachers can significantly improve their ability to make informed decisions, which in turn leads to better educational outcomes for their students.</w:t>
      </w:r>
    </w:p>
    <w:p w14:paraId="2412C2B1" w14:textId="69369DBB" w:rsidR="001A3811" w:rsidRDefault="001A3811" w:rsidP="001A3811">
      <w:pPr>
        <w:pStyle w:val="Body"/>
        <w:rPr>
          <w:rFonts w:ascii="Arial" w:hAnsi="Arial" w:cs="Arial"/>
        </w:rPr>
      </w:pPr>
      <w:r w:rsidRPr="001A3811">
        <w:rPr>
          <w:rFonts w:ascii="Arial" w:hAnsi="Arial" w:cs="Arial"/>
        </w:rPr>
        <w:t xml:space="preserve">This finding aligns with the research of </w:t>
      </w:r>
      <w:proofErr w:type="spellStart"/>
      <w:r w:rsidR="002F03EE" w:rsidRPr="002F03EE">
        <w:rPr>
          <w:rFonts w:ascii="Arial" w:hAnsi="Arial" w:cs="Arial"/>
        </w:rPr>
        <w:t>Gaftandzhieva</w:t>
      </w:r>
      <w:proofErr w:type="spellEnd"/>
      <w:r w:rsidR="002F03EE" w:rsidRPr="002F03EE">
        <w:rPr>
          <w:rFonts w:ascii="Arial" w:hAnsi="Arial" w:cs="Arial"/>
        </w:rPr>
        <w:t xml:space="preserve"> </w:t>
      </w:r>
      <w:r w:rsidR="002F03EE">
        <w:rPr>
          <w:rFonts w:ascii="Arial" w:hAnsi="Arial" w:cs="Arial"/>
        </w:rPr>
        <w:t>et al. (2023</w:t>
      </w:r>
      <w:r w:rsidRPr="001A3811">
        <w:rPr>
          <w:rFonts w:ascii="Arial" w:hAnsi="Arial" w:cs="Arial"/>
        </w:rPr>
        <w:t xml:space="preserve">), who highlighted the significant role of data-driven decision making in enhancing teachers' information competence. Their study found that teachers who consistently use data to inform their decisions tend to show higher proficiency in evaluating, sourcing, and processing information. Additionally, research by </w:t>
      </w:r>
      <w:proofErr w:type="spellStart"/>
      <w:r w:rsidR="002F03EE" w:rsidRPr="002F03EE">
        <w:rPr>
          <w:rFonts w:ascii="Arial" w:hAnsi="Arial" w:cs="Arial"/>
        </w:rPr>
        <w:t>Trixa</w:t>
      </w:r>
      <w:proofErr w:type="spellEnd"/>
      <w:r w:rsidR="002F03EE">
        <w:rPr>
          <w:rFonts w:ascii="Arial" w:hAnsi="Arial" w:cs="Arial"/>
        </w:rPr>
        <w:t xml:space="preserve"> and </w:t>
      </w:r>
      <w:proofErr w:type="spellStart"/>
      <w:r w:rsidR="002F03EE" w:rsidRPr="002F03EE">
        <w:rPr>
          <w:rFonts w:ascii="Arial" w:hAnsi="Arial" w:cs="Arial"/>
        </w:rPr>
        <w:t>Kaspar</w:t>
      </w:r>
      <w:proofErr w:type="spellEnd"/>
      <w:r w:rsidR="002F03EE" w:rsidRPr="002F03EE">
        <w:rPr>
          <w:rFonts w:ascii="Arial" w:hAnsi="Arial" w:cs="Arial"/>
        </w:rPr>
        <w:t xml:space="preserve"> </w:t>
      </w:r>
      <w:r w:rsidR="002F03EE">
        <w:rPr>
          <w:rFonts w:ascii="Arial" w:hAnsi="Arial" w:cs="Arial"/>
        </w:rPr>
        <w:t>(2024</w:t>
      </w:r>
      <w:r w:rsidRPr="001A3811">
        <w:rPr>
          <w:rFonts w:ascii="Arial" w:hAnsi="Arial" w:cs="Arial"/>
        </w:rPr>
        <w:t xml:space="preserve">) demonstrated that data-driven decision making supports teachers in effectively navigating and analyzing diverse data sources, which in turn strengthens their ability to improve teaching practices. Similarly, the work of </w:t>
      </w:r>
      <w:r w:rsidR="002F03EE">
        <w:rPr>
          <w:rFonts w:ascii="Arial" w:hAnsi="Arial" w:cs="Arial"/>
        </w:rPr>
        <w:t>Ramdani et al. (2021</w:t>
      </w:r>
      <w:r w:rsidRPr="001A3811">
        <w:rPr>
          <w:rFonts w:ascii="Arial" w:hAnsi="Arial" w:cs="Arial"/>
        </w:rPr>
        <w:t xml:space="preserve">) emphasized that teachers who integrate data into their daily routines show greater </w:t>
      </w:r>
      <w:r w:rsidRPr="001A3811">
        <w:rPr>
          <w:rFonts w:ascii="Arial" w:hAnsi="Arial" w:cs="Arial"/>
        </w:rPr>
        <w:lastRenderedPageBreak/>
        <w:t>competence in both utilizing and elaborating on information, ultimately benefiting their students' learning experiences.</w:t>
      </w:r>
    </w:p>
    <w:p w14:paraId="53D190D5" w14:textId="77777777" w:rsidR="001A3811" w:rsidRDefault="001A3811" w:rsidP="001A381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0F3EB61C"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t>Based on the findings of the study, the following conclusions were drawn:</w:t>
      </w:r>
    </w:p>
    <w:p w14:paraId="73DCF6C2"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t>Firstly, the level of informative expedient learning practices among public elementary school teachers is always observed. Teachers consistently demonstrate image, accessory environment, and cognition, reflecting their commitment to fostering a well-structured and engaging learning atmosphere. This indicates that teachers actively implement strategies that enhance knowledge-sharing, resource allocation, and cognitive development to improve both teaching effectiveness and student outcomes. Additionally, it implies that teachers who integrate these practices create a more stimulating and well-organized learning environment that promotes both academic excellence and holistic student development.</w:t>
      </w:r>
    </w:p>
    <w:p w14:paraId="7EF35F38"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t>Secondly, the level of professional ontogeny among public elementary school teachers is always observed. Educators regularly engage in consultation, mentoring, practice, contemplative approaches, and specialized assistance, showing their dedication to continuous professional growth and collaborative learning. This suggests that teachers actively seek guidance, share expertise, and support one another in refining instructional methods and addressing challenges in the educational setting. Additionally, it implies that fostering professional ontogeny encourages a culture of mentorship and shared expertise, ultimately enhancing instructional quality and teacher effectiveness.</w:t>
      </w:r>
    </w:p>
    <w:p w14:paraId="5998D32A"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t>Thirdly, a significant relationship between informative expedient learning practices and professional ontogeny is observed. This implies that when teachers engage in effective informative expedient learning practices, they enhance their professional ontogeny, leading to improved teaching methodologies, reflective practices, and stronger professional collaboration. Their ability to integrate these learning practices fosters innovation, adaptability, and lifelong learning in the teaching profession. Additionally, it implies that strengthening these learning practices among educators can lead to higher levels of professional engagement, resulting in more responsive and student-centered teaching approaches.</w:t>
      </w:r>
    </w:p>
    <w:p w14:paraId="31EFD7C0" w14:textId="35A29261" w:rsidR="009676BB" w:rsidRDefault="00F35314" w:rsidP="00F35314">
      <w:pPr>
        <w:pStyle w:val="ReferHead"/>
        <w:spacing w:after="0"/>
        <w:jc w:val="both"/>
        <w:rPr>
          <w:rFonts w:ascii="Arial" w:hAnsi="Arial" w:cs="Arial"/>
          <w:b w:val="0"/>
          <w:caps w:val="0"/>
          <w:sz w:val="20"/>
        </w:rPr>
      </w:pPr>
      <w:r w:rsidRPr="00F35314">
        <w:rPr>
          <w:rFonts w:ascii="Arial" w:hAnsi="Arial" w:cs="Arial"/>
          <w:b w:val="0"/>
          <w:caps w:val="0"/>
          <w:sz w:val="20"/>
        </w:rPr>
        <w:t>Finally, all domains of informative expedient learning practices significantly influence professional ontogeny, with image having the strongest impact. This highlights the essential role of shaping a shared vision and long-term educational goals in enhancing teachers' professional development. Establishing a strong informative expedient learning environment not only strengthens teachers’ competencies but also ensures their continuous engagement in professional ontogeny, ultimately fostering a more dynamic, accountable, and student-centered educational system. Additionally, it implies that by prioritizing a strong professional identity, educators can maintain a high level of motivation, self-efficacy, and commitment to lifelong learning, ultimately benefiting both teachers and students.</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2C02EF7"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lastRenderedPageBreak/>
        <w:t>Based on the findings and conclusions of the study, the following recommendations were proposed:</w:t>
      </w:r>
    </w:p>
    <w:p w14:paraId="21D67560"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t>Firstly, given that data-driven decision making among teachers is very extensive, school administrators may consider enhancing teachers' skills in utilizing data for instructional purposes. Administrators should organize professional development programs that focus on improving teachers' ability to analyze and interpret data, helping them make informed decisions that support student learning. Teachers may also engage in these programs to refine their data analysis skills and integrate them into their teaching practices.</w:t>
      </w:r>
    </w:p>
    <w:p w14:paraId="3B61ADD5"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t>Secondly, considering the very extensive level of information competence observed in the study, school administrators may prioritize providing teachers with more opportunities to further enhance their information processing and analytical abilities. Administrators could offer training sessions on how to effectively select, process, and apply various types of information in their teaching strategies. Teachers, in turn, may actively seek to enhance their information competence by engaging in professional development activities that focus on improving their critical thinking and evaluative skills when handling different sources of information.</w:t>
      </w:r>
    </w:p>
    <w:p w14:paraId="2D569993"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t>Thirdly, recognizing the significant relationship between data-driven decision making and information competence, it is recommended that school administrators invest in resources and create an infrastructure that supports both the use of data and the development of teachers' information competence. This could include providing access to data management systems, offering training on how to leverage these systems, and ensuring that teachers have access to relevant, high-quality data for decision-making. Teachers may take advantage of these resources to strengthen their information competence, enabling them to make better, data-informed decisions in the classroom.</w:t>
      </w:r>
    </w:p>
    <w:p w14:paraId="53E88C64" w14:textId="5CB4C569" w:rsidR="009676BB" w:rsidRDefault="001A3811" w:rsidP="001A3811">
      <w:pPr>
        <w:pStyle w:val="ReferHead"/>
        <w:spacing w:after="0"/>
        <w:jc w:val="both"/>
        <w:rPr>
          <w:rFonts w:ascii="Arial" w:hAnsi="Arial" w:cs="Arial"/>
          <w:b w:val="0"/>
          <w:caps w:val="0"/>
          <w:sz w:val="20"/>
        </w:rPr>
      </w:pPr>
      <w:r w:rsidRPr="001A3811">
        <w:rPr>
          <w:rFonts w:ascii="Arial" w:hAnsi="Arial" w:cs="Arial"/>
          <w:b w:val="0"/>
          <w:caps w:val="0"/>
          <w:sz w:val="20"/>
        </w:rPr>
        <w:t>Finally, in light of the significant influence of data-driven decision making on information competence, school administrators may consider fostering a culture that encourages the continuous improvement of both data usage and information processing. Administrators could implement peer collaboration programs where teachers share their experiences and best practices in utilizing data and enhancing information competence. Teachers may collaborate with their colleagues to reflect on their practices, share insights, and further develop their ability to use data effectively in their teaching practices. Future researchers may explore the long-term impact of data-driven decision making and information competence on teaching outcomes, considering various teaching contexts and examining how these factors influence student achievement over time. They may also investigate how the integration of emerging technologies in data analysis impacts teachers' decision-making processes and overall instructional effectiveness.</w:t>
      </w:r>
    </w:p>
    <w:p w14:paraId="1E0626EA" w14:textId="77777777" w:rsidR="001A3811" w:rsidRDefault="001A3811" w:rsidP="001A3811">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4E293B15" w:rsidR="00717F2E" w:rsidRDefault="00AB685F">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p>
    <w:p w14:paraId="2421F161" w14:textId="38B2FD3F" w:rsidR="00624A8B" w:rsidRDefault="001A3811" w:rsidP="00CD4D57">
      <w:pPr>
        <w:pStyle w:val="ReferHead"/>
        <w:spacing w:after="0"/>
        <w:jc w:val="both"/>
        <w:rPr>
          <w:rFonts w:ascii="Arial" w:hAnsi="Arial" w:cs="Arial"/>
          <w:b w:val="0"/>
          <w:caps w:val="0"/>
          <w:sz w:val="20"/>
        </w:rPr>
      </w:pPr>
      <w:r w:rsidRPr="001A3811">
        <w:rPr>
          <w:rFonts w:ascii="Arial" w:hAnsi="Arial" w:cs="Arial"/>
          <w:b w:val="0"/>
          <w:caps w:val="0"/>
          <w:sz w:val="20"/>
        </w:rPr>
        <w:t xml:space="preserve">This study was carried out in strict observance of recognized ethical standards to uphold the protection, dignity, and overall well-being of its participants. Before commencing data collection, the researcher obtained all required authorizations, including an endorsement from the Dean of the Graduate School of Rizal Memorial Colleges and ethical clearance from the institution’s Ethics Review Committee. The ethical guidelines followed were based on the framework proposed by </w:t>
      </w:r>
      <w:proofErr w:type="spellStart"/>
      <w:r w:rsidRPr="001A3811">
        <w:rPr>
          <w:rFonts w:ascii="Arial" w:hAnsi="Arial" w:cs="Arial"/>
          <w:b w:val="0"/>
          <w:caps w:val="0"/>
          <w:sz w:val="20"/>
        </w:rPr>
        <w:t>Pregoner</w:t>
      </w:r>
      <w:proofErr w:type="spellEnd"/>
      <w:r w:rsidRPr="001A3811">
        <w:rPr>
          <w:rFonts w:ascii="Arial" w:hAnsi="Arial" w:cs="Arial"/>
          <w:b w:val="0"/>
          <w:caps w:val="0"/>
          <w:sz w:val="20"/>
        </w:rPr>
        <w:t xml:space="preserve"> et al. (2025), ensuring alignment with current research protocols involving human subjects in educational contexts. Participation in the study was completely voluntary. Respondents were fully briefed on the study’s purpose, scope, and their right to decline or withdraw at any time without facing any negative consequences. Informed consent was obtained to confirm that participants clearly understood the nature of the research </w:t>
      </w:r>
      <w:r w:rsidRPr="001A3811">
        <w:rPr>
          <w:rFonts w:ascii="Arial" w:hAnsi="Arial" w:cs="Arial"/>
          <w:b w:val="0"/>
          <w:caps w:val="0"/>
          <w:sz w:val="20"/>
        </w:rPr>
        <w:lastRenderedPageBreak/>
        <w:t>and willingly agreed to be involved. To ensure privacy, no personally identifiable data were collected, and all responses were handled with strict confidentiality. The data were used exclusively for academic purposes. These ethical measures assured that the study was executed with transparency, integrity, and full professional responsibility.</w:t>
      </w:r>
    </w:p>
    <w:p w14:paraId="45AA2A96" w14:textId="77777777" w:rsidR="001A3811" w:rsidRDefault="001A3811" w:rsidP="00CD4D57">
      <w:pPr>
        <w:pStyle w:val="ReferHead"/>
        <w:spacing w:after="0"/>
        <w:jc w:val="both"/>
        <w:rPr>
          <w:rFonts w:ascii="Arial" w:hAnsi="Arial" w:cs="Arial"/>
          <w:b w:val="0"/>
          <w:caps w:val="0"/>
          <w:sz w:val="20"/>
        </w:rPr>
      </w:pPr>
    </w:p>
    <w:p w14:paraId="2BC90047" w14:textId="7585ABEF" w:rsidR="00CD4D57" w:rsidRPr="00AB685F" w:rsidRDefault="00CD4D57" w:rsidP="00CD4D57">
      <w:pPr>
        <w:pStyle w:val="ReferHead"/>
        <w:spacing w:after="0"/>
        <w:jc w:val="both"/>
        <w:rPr>
          <w:rFonts w:ascii="Arial" w:hAnsi="Arial" w:cs="Arial"/>
          <w:caps w:val="0"/>
          <w:sz w:val="20"/>
          <w:highlight w:val="yellow"/>
        </w:rPr>
      </w:pPr>
      <w:r w:rsidRPr="00AB685F">
        <w:rPr>
          <w:rFonts w:ascii="Arial" w:hAnsi="Arial" w:cs="Arial"/>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46A669D9" w14:textId="77777777" w:rsidR="00EF2BDA" w:rsidRPr="00EF2BDA" w:rsidRDefault="00EF2BDA" w:rsidP="00EF2BDA">
      <w:pPr>
        <w:ind w:left="720" w:hanging="720"/>
        <w:rPr>
          <w:color w:val="000000" w:themeColor="text1"/>
        </w:rPr>
      </w:pPr>
    </w:p>
    <w:p w14:paraId="2E4EE122" w14:textId="77777777" w:rsidR="00EF2BDA" w:rsidRPr="00EF2BDA" w:rsidRDefault="00EF2BDA" w:rsidP="00EF2BDA">
      <w:pPr>
        <w:ind w:left="720" w:hanging="720"/>
        <w:rPr>
          <w:color w:val="000000" w:themeColor="text1"/>
        </w:rPr>
      </w:pPr>
      <w:r w:rsidRPr="00EF2BDA">
        <w:rPr>
          <w:color w:val="000000" w:themeColor="text1"/>
        </w:rPr>
        <w:t>Afzal, A., Khan, S., Daud, S., Ahmad, Z., &amp; Butt, A. (2023). Addressing the digital divide: Access and use of technology in education. Journal of Social Sciences Review, 3(2), 883-895. http://ojs.jssr.org.pk/index.php/jssr/article/download/326/261</w:t>
      </w:r>
    </w:p>
    <w:p w14:paraId="231F9E69" w14:textId="77777777" w:rsidR="00EF2BDA" w:rsidRPr="00EF2BDA" w:rsidRDefault="00EF2BDA" w:rsidP="00EF2BDA">
      <w:pPr>
        <w:ind w:left="720" w:hanging="720"/>
        <w:rPr>
          <w:color w:val="000000" w:themeColor="text1"/>
        </w:rPr>
      </w:pPr>
      <w:proofErr w:type="spellStart"/>
      <w:r w:rsidRPr="00EF2BDA">
        <w:rPr>
          <w:color w:val="000000" w:themeColor="text1"/>
        </w:rPr>
        <w:t>Akindote</w:t>
      </w:r>
      <w:proofErr w:type="spellEnd"/>
      <w:r w:rsidRPr="00EF2BDA">
        <w:rPr>
          <w:color w:val="000000" w:themeColor="text1"/>
        </w:rPr>
        <w:t>, O. J., Adegbite, A. O., Dawodu, S. O., Omotosho, A., Anyanwu, A., &amp; Maduka, C. P. (2023). Comparative review of big data analytics and GIS in healthcare decision-making. World Journal of Advanced Research and Reviews, 20(3), 1293-1302. https://www.researchgate.net/profile/Odunayo-Akindote/publication/376983032_Comparative_review_of_big_data_analytics_and_GIS_in_healthcare_decision-making/links/65caab281bed776ae34cdbeb/Comparative-review-of-big-data-analytics-and-GIS-in-healthcare-decision-making.pdf</w:t>
      </w:r>
    </w:p>
    <w:p w14:paraId="0F0CD972" w14:textId="77777777" w:rsidR="00EF2BDA" w:rsidRPr="00EF2BDA" w:rsidRDefault="00EF2BDA" w:rsidP="00EF2BDA">
      <w:pPr>
        <w:ind w:left="720" w:hanging="720"/>
        <w:rPr>
          <w:color w:val="000000" w:themeColor="text1"/>
        </w:rPr>
      </w:pPr>
      <w:r w:rsidRPr="00EF2BDA">
        <w:rPr>
          <w:color w:val="000000" w:themeColor="text1"/>
        </w:rPr>
        <w:t xml:space="preserve">Alea, L. A., </w:t>
      </w:r>
      <w:proofErr w:type="spellStart"/>
      <w:r w:rsidRPr="00EF2BDA">
        <w:rPr>
          <w:color w:val="000000" w:themeColor="text1"/>
        </w:rPr>
        <w:t>Fabrea</w:t>
      </w:r>
      <w:proofErr w:type="spellEnd"/>
      <w:r w:rsidRPr="00EF2BDA">
        <w:rPr>
          <w:color w:val="000000" w:themeColor="text1"/>
        </w:rPr>
        <w:t>, M. F., Roldan, R. D. A., &amp; Farooqi, A. Z. (2020). Teachers' Covid-19 awareness, distance learning education experiences and perceptions towards institutional readiness and challenges. International journal of learning, teaching and educational research, 19(6), 127-144. http://ijlter.net/index.php/ijlter/article/download/308/310</w:t>
      </w:r>
    </w:p>
    <w:p w14:paraId="7AFE9FD6" w14:textId="77777777" w:rsidR="00EF2BDA" w:rsidRPr="00EF2BDA" w:rsidRDefault="00EF2BDA" w:rsidP="00EF2BDA">
      <w:pPr>
        <w:ind w:left="720" w:hanging="720"/>
        <w:rPr>
          <w:color w:val="000000" w:themeColor="text1"/>
        </w:rPr>
      </w:pPr>
      <w:proofErr w:type="spellStart"/>
      <w:r w:rsidRPr="00EF2BDA">
        <w:rPr>
          <w:color w:val="000000" w:themeColor="text1"/>
        </w:rPr>
        <w:t>Alshwayat</w:t>
      </w:r>
      <w:proofErr w:type="spellEnd"/>
      <w:r w:rsidRPr="00EF2BDA">
        <w:rPr>
          <w:color w:val="000000" w:themeColor="text1"/>
        </w:rPr>
        <w:t xml:space="preserve">, D., </w:t>
      </w:r>
      <w:proofErr w:type="spellStart"/>
      <w:r w:rsidRPr="00EF2BDA">
        <w:rPr>
          <w:color w:val="000000" w:themeColor="text1"/>
        </w:rPr>
        <w:t>MacVaugh</w:t>
      </w:r>
      <w:proofErr w:type="spellEnd"/>
      <w:r w:rsidRPr="00EF2BDA">
        <w:rPr>
          <w:color w:val="000000" w:themeColor="text1"/>
        </w:rPr>
        <w:t>, J. A., &amp; Akbar, H. (2021). A multi-level perspective on trust, collaboration and knowledge sharing cultures in a highly formalized organization. Journal of knowledge management, 25(9), 2220-2244. https://livrepository.liverpool.ac.uk/3115045/1/JKM-05-2020-0354.R2_Proof_hi.pdf</w:t>
      </w:r>
    </w:p>
    <w:p w14:paraId="1546C224" w14:textId="77777777" w:rsidR="00EF2BDA" w:rsidRPr="00EF2BDA" w:rsidRDefault="00EF2BDA" w:rsidP="00EF2BDA">
      <w:pPr>
        <w:ind w:left="720" w:hanging="720"/>
        <w:rPr>
          <w:color w:val="000000" w:themeColor="text1"/>
        </w:rPr>
      </w:pPr>
      <w:r w:rsidRPr="00EF2BDA">
        <w:rPr>
          <w:color w:val="000000" w:themeColor="text1"/>
        </w:rPr>
        <w:t>Awan, U., Shamim, S., Khan, Z., Zia, N. U., Shariq, S. M., &amp; Khan, M. N. (2021). Big data analytics capability and decision-making: The role of data-driven insight on circular economy performance. Technological Forecasting and Social Change, 168, 120766.</w:t>
      </w:r>
    </w:p>
    <w:p w14:paraId="56929A0C" w14:textId="77777777" w:rsidR="00EF2BDA" w:rsidRPr="00EF2BDA" w:rsidRDefault="00EF2BDA" w:rsidP="00EF2BDA">
      <w:pPr>
        <w:ind w:left="720" w:hanging="720"/>
        <w:rPr>
          <w:color w:val="000000" w:themeColor="text1"/>
        </w:rPr>
      </w:pPr>
      <w:proofErr w:type="spellStart"/>
      <w:r w:rsidRPr="00EF2BDA">
        <w:rPr>
          <w:color w:val="000000" w:themeColor="text1"/>
        </w:rPr>
        <w:t>Bibri</w:t>
      </w:r>
      <w:proofErr w:type="spellEnd"/>
      <w:r w:rsidRPr="00EF2BDA">
        <w:rPr>
          <w:color w:val="000000" w:themeColor="text1"/>
        </w:rPr>
        <w:t xml:space="preserve">, S. E., &amp; </w:t>
      </w:r>
      <w:proofErr w:type="spellStart"/>
      <w:r w:rsidRPr="00EF2BDA">
        <w:rPr>
          <w:color w:val="000000" w:themeColor="text1"/>
        </w:rPr>
        <w:t>Krogstie</w:t>
      </w:r>
      <w:proofErr w:type="spellEnd"/>
      <w:r w:rsidRPr="00EF2BDA">
        <w:rPr>
          <w:color w:val="000000" w:themeColor="text1"/>
        </w:rPr>
        <w:t>, J. (2020). The emerging data–driven Smart City and its innovative applied solutions for sustainability: The cases of London and Barcelona. Energy Informatics, 3(1), 5. https://link.springer.com/content/pdf/10.1186/s42162-020-00108-6.pdf</w:t>
      </w:r>
    </w:p>
    <w:p w14:paraId="512C9653" w14:textId="77777777" w:rsidR="00EF2BDA" w:rsidRPr="00EF2BDA" w:rsidRDefault="00EF2BDA" w:rsidP="00EF2BDA">
      <w:pPr>
        <w:ind w:left="720" w:hanging="720"/>
        <w:rPr>
          <w:color w:val="000000" w:themeColor="text1"/>
        </w:rPr>
      </w:pPr>
      <w:r w:rsidRPr="00EF2BDA">
        <w:rPr>
          <w:color w:val="000000" w:themeColor="text1"/>
        </w:rPr>
        <w:t>Daniels, D., McBrayer, J. S., Griffin, M., Norman, T., Pannell, S., &amp; Fallon, K. (2021). School leaders’ and teachers’ preparedness for the online k–12 setting: Student learning and engagement, curriculum and instruction, and data-driven decision-making. Journal of Online Learning Research, 7(3), 269-291. https://www.learntechlib.org/d/219875/</w:t>
      </w:r>
    </w:p>
    <w:p w14:paraId="368FD16F" w14:textId="77777777" w:rsidR="00EF2BDA" w:rsidRPr="00EF2BDA" w:rsidRDefault="00EF2BDA" w:rsidP="00EF2BDA">
      <w:pPr>
        <w:ind w:left="720" w:hanging="720"/>
        <w:rPr>
          <w:color w:val="000000" w:themeColor="text1"/>
        </w:rPr>
      </w:pPr>
      <w:r w:rsidRPr="00EF2BDA">
        <w:rPr>
          <w:color w:val="000000" w:themeColor="text1"/>
        </w:rPr>
        <w:lastRenderedPageBreak/>
        <w:t xml:space="preserve">Dogan, E., &amp; </w:t>
      </w:r>
      <w:proofErr w:type="spellStart"/>
      <w:r w:rsidRPr="00EF2BDA">
        <w:rPr>
          <w:color w:val="000000" w:themeColor="text1"/>
        </w:rPr>
        <w:t>Demirbolat</w:t>
      </w:r>
      <w:proofErr w:type="spellEnd"/>
      <w:r w:rsidRPr="00EF2BDA">
        <w:rPr>
          <w:color w:val="000000" w:themeColor="text1"/>
        </w:rPr>
        <w:t>, A. O. (2021). Data-Driven Decision-Making in Schools Scale: A Study of Validity and Reliability. International Journal of Curriculum and Instruction, 13(1), 507-523. https://files.eric.ed.gov/fulltext/EJ1285547.pdf</w:t>
      </w:r>
    </w:p>
    <w:p w14:paraId="46625CA6" w14:textId="77777777" w:rsidR="00EF2BDA" w:rsidRPr="00EF2BDA" w:rsidRDefault="00EF2BDA" w:rsidP="00EF2BDA">
      <w:pPr>
        <w:ind w:left="720" w:hanging="720"/>
        <w:rPr>
          <w:color w:val="000000" w:themeColor="text1"/>
        </w:rPr>
      </w:pPr>
      <w:proofErr w:type="spellStart"/>
      <w:r w:rsidRPr="00EF2BDA">
        <w:rPr>
          <w:color w:val="000000" w:themeColor="text1"/>
        </w:rPr>
        <w:t>Elugbaju</w:t>
      </w:r>
      <w:proofErr w:type="spellEnd"/>
      <w:r w:rsidRPr="00EF2BDA">
        <w:rPr>
          <w:color w:val="000000" w:themeColor="text1"/>
        </w:rPr>
        <w:t>, W. K., Okeke, N. I., &amp; Alabi, O. A. (2024). Conceptual framework for enhancing decision-making in higher education through data-driven governance. Global Journal of Advanced Research and Reviews, 2(02), 016-030. https://gsjournals.com/gjarr/sites/default/files/GJARR-2024-0055.pdf</w:t>
      </w:r>
    </w:p>
    <w:p w14:paraId="46893787" w14:textId="77777777" w:rsidR="00EF2BDA" w:rsidRPr="00EF2BDA" w:rsidRDefault="00EF2BDA" w:rsidP="00EF2BDA">
      <w:pPr>
        <w:ind w:left="720" w:hanging="720"/>
        <w:rPr>
          <w:color w:val="000000" w:themeColor="text1"/>
        </w:rPr>
      </w:pPr>
      <w:r w:rsidRPr="00EF2BDA">
        <w:rPr>
          <w:color w:val="000000" w:themeColor="text1"/>
        </w:rPr>
        <w:t>Esqueda, D. (2024). From Data-Driven to Data-Informed: How Principals, Counselors, and Teachers Use Collaborative Practices to Support Student Achievement in an Urban High School. University of California, Los Angeles. https://escholarship.org/content/qt29c4c5nx/qt29c4c5nx_noSplash_3466d9a072d8063b864be619ea841764.pdf</w:t>
      </w:r>
    </w:p>
    <w:p w14:paraId="19240D1D" w14:textId="77777777" w:rsidR="00EF2BDA" w:rsidRPr="00EF2BDA" w:rsidRDefault="00EF2BDA" w:rsidP="00EF2BDA">
      <w:pPr>
        <w:ind w:left="720" w:hanging="720"/>
        <w:rPr>
          <w:color w:val="000000" w:themeColor="text1"/>
        </w:rPr>
      </w:pPr>
      <w:r w:rsidRPr="00EF2BDA">
        <w:rPr>
          <w:color w:val="000000" w:themeColor="text1"/>
        </w:rPr>
        <w:t>Fernández-</w:t>
      </w:r>
      <w:proofErr w:type="spellStart"/>
      <w:r w:rsidRPr="00EF2BDA">
        <w:rPr>
          <w:color w:val="000000" w:themeColor="text1"/>
        </w:rPr>
        <w:t>Batanero</w:t>
      </w:r>
      <w:proofErr w:type="spellEnd"/>
      <w:r w:rsidRPr="00EF2BDA">
        <w:rPr>
          <w:color w:val="000000" w:themeColor="text1"/>
        </w:rPr>
        <w:t>, J. M., Román-</w:t>
      </w:r>
      <w:proofErr w:type="spellStart"/>
      <w:r w:rsidRPr="00EF2BDA">
        <w:rPr>
          <w:color w:val="000000" w:themeColor="text1"/>
        </w:rPr>
        <w:t>Graván</w:t>
      </w:r>
      <w:proofErr w:type="spellEnd"/>
      <w:r w:rsidRPr="00EF2BDA">
        <w:rPr>
          <w:color w:val="000000" w:themeColor="text1"/>
        </w:rPr>
        <w:t xml:space="preserve">, P., Montenegro-Rueda, M., &amp; Fernández-Cerero, J. (2022). </w:t>
      </w:r>
      <w:proofErr w:type="spellStart"/>
      <w:r w:rsidRPr="00EF2BDA">
        <w:rPr>
          <w:color w:val="000000" w:themeColor="text1"/>
        </w:rPr>
        <w:t>Conocimiento</w:t>
      </w:r>
      <w:proofErr w:type="spellEnd"/>
      <w:r w:rsidRPr="00EF2BDA">
        <w:rPr>
          <w:color w:val="000000" w:themeColor="text1"/>
        </w:rPr>
        <w:t xml:space="preserve"> del </w:t>
      </w:r>
      <w:proofErr w:type="spellStart"/>
      <w:r w:rsidRPr="00EF2BDA">
        <w:rPr>
          <w:color w:val="000000" w:themeColor="text1"/>
        </w:rPr>
        <w:t>profesorado</w:t>
      </w:r>
      <w:proofErr w:type="spellEnd"/>
      <w:r w:rsidRPr="00EF2BDA">
        <w:rPr>
          <w:color w:val="000000" w:themeColor="text1"/>
        </w:rPr>
        <w:t xml:space="preserve"> </w:t>
      </w:r>
      <w:proofErr w:type="spellStart"/>
      <w:r w:rsidRPr="00EF2BDA">
        <w:rPr>
          <w:color w:val="000000" w:themeColor="text1"/>
        </w:rPr>
        <w:t>universitario</w:t>
      </w:r>
      <w:proofErr w:type="spellEnd"/>
      <w:r w:rsidRPr="00EF2BDA">
        <w:rPr>
          <w:color w:val="000000" w:themeColor="text1"/>
        </w:rPr>
        <w:t xml:space="preserve"> </w:t>
      </w:r>
      <w:proofErr w:type="spellStart"/>
      <w:r w:rsidRPr="00EF2BDA">
        <w:rPr>
          <w:color w:val="000000" w:themeColor="text1"/>
        </w:rPr>
        <w:t>sobre</w:t>
      </w:r>
      <w:proofErr w:type="spellEnd"/>
      <w:r w:rsidRPr="00EF2BDA">
        <w:rPr>
          <w:color w:val="000000" w:themeColor="text1"/>
        </w:rPr>
        <w:t xml:space="preserve"> el </w:t>
      </w:r>
      <w:proofErr w:type="spellStart"/>
      <w:r w:rsidRPr="00EF2BDA">
        <w:rPr>
          <w:color w:val="000000" w:themeColor="text1"/>
        </w:rPr>
        <w:t>uso</w:t>
      </w:r>
      <w:proofErr w:type="spellEnd"/>
      <w:r w:rsidRPr="00EF2BDA">
        <w:rPr>
          <w:color w:val="000000" w:themeColor="text1"/>
        </w:rPr>
        <w:t xml:space="preserve"> de </w:t>
      </w:r>
      <w:proofErr w:type="spellStart"/>
      <w:r w:rsidRPr="00EF2BDA">
        <w:rPr>
          <w:color w:val="000000" w:themeColor="text1"/>
        </w:rPr>
        <w:t>recursos</w:t>
      </w:r>
      <w:proofErr w:type="spellEnd"/>
      <w:r w:rsidRPr="00EF2BDA">
        <w:rPr>
          <w:color w:val="000000" w:themeColor="text1"/>
        </w:rPr>
        <w:t xml:space="preserve"> </w:t>
      </w:r>
      <w:proofErr w:type="spellStart"/>
      <w:r w:rsidRPr="00EF2BDA">
        <w:rPr>
          <w:color w:val="000000" w:themeColor="text1"/>
        </w:rPr>
        <w:t>digitales</w:t>
      </w:r>
      <w:proofErr w:type="spellEnd"/>
      <w:r w:rsidRPr="00EF2BDA">
        <w:rPr>
          <w:color w:val="000000" w:themeColor="text1"/>
        </w:rPr>
        <w:t xml:space="preserve"> para </w:t>
      </w:r>
      <w:proofErr w:type="spellStart"/>
      <w:r w:rsidRPr="00EF2BDA">
        <w:rPr>
          <w:color w:val="000000" w:themeColor="text1"/>
        </w:rPr>
        <w:t>atender</w:t>
      </w:r>
      <w:proofErr w:type="spellEnd"/>
      <w:r w:rsidRPr="00EF2BDA">
        <w:rPr>
          <w:color w:val="000000" w:themeColor="text1"/>
        </w:rPr>
        <w:t xml:space="preserve"> a </w:t>
      </w:r>
      <w:proofErr w:type="gramStart"/>
      <w:r w:rsidRPr="00EF2BDA">
        <w:rPr>
          <w:color w:val="000000" w:themeColor="text1"/>
        </w:rPr>
        <w:t>personas</w:t>
      </w:r>
      <w:proofErr w:type="gramEnd"/>
      <w:r w:rsidRPr="00EF2BDA">
        <w:rPr>
          <w:color w:val="000000" w:themeColor="text1"/>
        </w:rPr>
        <w:t xml:space="preserve"> con </w:t>
      </w:r>
      <w:proofErr w:type="spellStart"/>
      <w:r w:rsidRPr="00EF2BDA">
        <w:rPr>
          <w:color w:val="000000" w:themeColor="text1"/>
        </w:rPr>
        <w:t>discapacidad</w:t>
      </w:r>
      <w:proofErr w:type="spellEnd"/>
      <w:r w:rsidRPr="00EF2BDA">
        <w:rPr>
          <w:color w:val="000000" w:themeColor="text1"/>
        </w:rPr>
        <w:t xml:space="preserve">. El </w:t>
      </w:r>
      <w:proofErr w:type="spellStart"/>
      <w:r w:rsidRPr="00EF2BDA">
        <w:rPr>
          <w:color w:val="000000" w:themeColor="text1"/>
        </w:rPr>
        <w:t>caso</w:t>
      </w:r>
      <w:proofErr w:type="spellEnd"/>
      <w:r w:rsidRPr="00EF2BDA">
        <w:rPr>
          <w:color w:val="000000" w:themeColor="text1"/>
        </w:rPr>
        <w:t xml:space="preserve"> de la </w:t>
      </w:r>
      <w:proofErr w:type="spellStart"/>
      <w:r w:rsidRPr="00EF2BDA">
        <w:rPr>
          <w:color w:val="000000" w:themeColor="text1"/>
        </w:rPr>
        <w:t>Comunidad</w:t>
      </w:r>
      <w:proofErr w:type="spellEnd"/>
      <w:r w:rsidRPr="00EF2BDA">
        <w:rPr>
          <w:color w:val="000000" w:themeColor="text1"/>
        </w:rPr>
        <w:t xml:space="preserve"> Autónoma de Castilla-La Mancha. https://digitum.um.es/digitum/bitstream/10201/122947/1/Conocimiento%20del%20profesorado%20universitario%20sobre%20el%20uso%20de%20recursos%20digitales%20para%20atender%20a%20personas%20con%20discapacidad.%20El%20caso%20de%20la%20Comunidad%20Aut%C3%B3noma%20de%20Castilla-La%20Mancha.pdf</w:t>
      </w:r>
    </w:p>
    <w:p w14:paraId="1717C790" w14:textId="77777777" w:rsidR="00EF2BDA" w:rsidRPr="00EF2BDA" w:rsidRDefault="00EF2BDA" w:rsidP="00EF2BDA">
      <w:pPr>
        <w:ind w:left="720" w:hanging="720"/>
        <w:rPr>
          <w:color w:val="000000" w:themeColor="text1"/>
        </w:rPr>
      </w:pPr>
      <w:proofErr w:type="spellStart"/>
      <w:r w:rsidRPr="00EF2BDA">
        <w:rPr>
          <w:color w:val="000000" w:themeColor="text1"/>
        </w:rPr>
        <w:t>Gaftandzhieva</w:t>
      </w:r>
      <w:proofErr w:type="spellEnd"/>
      <w:r w:rsidRPr="00EF2BDA">
        <w:rPr>
          <w:color w:val="000000" w:themeColor="text1"/>
        </w:rPr>
        <w:t xml:space="preserve">, S., Hussain, S., </w:t>
      </w:r>
      <w:proofErr w:type="spellStart"/>
      <w:r w:rsidRPr="00EF2BDA">
        <w:rPr>
          <w:color w:val="000000" w:themeColor="text1"/>
        </w:rPr>
        <w:t>Hilcenko</w:t>
      </w:r>
      <w:proofErr w:type="spellEnd"/>
      <w:r w:rsidRPr="00EF2BDA">
        <w:rPr>
          <w:color w:val="000000" w:themeColor="text1"/>
        </w:rPr>
        <w:t xml:space="preserve">, S., Doneva, R., &amp; </w:t>
      </w:r>
      <w:proofErr w:type="spellStart"/>
      <w:r w:rsidRPr="00EF2BDA">
        <w:rPr>
          <w:color w:val="000000" w:themeColor="text1"/>
        </w:rPr>
        <w:t>Boykova</w:t>
      </w:r>
      <w:proofErr w:type="spellEnd"/>
      <w:r w:rsidRPr="00EF2BDA">
        <w:rPr>
          <w:color w:val="000000" w:themeColor="text1"/>
        </w:rPr>
        <w:t>, K. (2023). Data-driven decision making in higher education institutions: State-of-play. International Journal of Advanced Computer Science and Applications, 14(6). https://pdfs.semanticscholar.org/2568/e0ded66a292d2fb0b92fd00092fdb05eb9f7.pdf</w:t>
      </w:r>
    </w:p>
    <w:p w14:paraId="064F915E" w14:textId="77777777" w:rsidR="00EF2BDA" w:rsidRPr="00EF2BDA" w:rsidRDefault="00EF2BDA" w:rsidP="00EF2BDA">
      <w:pPr>
        <w:ind w:left="720" w:hanging="720"/>
        <w:rPr>
          <w:color w:val="000000" w:themeColor="text1"/>
        </w:rPr>
      </w:pPr>
      <w:r w:rsidRPr="00EF2BDA">
        <w:rPr>
          <w:color w:val="000000" w:themeColor="text1"/>
        </w:rPr>
        <w:t>Gamage, A. N. (2025). Research Design, Philosophy, and Quantitative Approaches in Scientific Research Methodology. Sch J Eng Tech, 2, 91-103. https://www.researchgate.net/profile/Amila-Gamage/publication/389026547_Research_Design_Philosophy_and_Quantitative_Approaches_in_Scientific_Research_Methodology/links/67b0ad04207c0c20fa8add82/Research-Design-Philosophy-and-Quantitative-Approaches-in-Scientific-Research-Methodology.pdf</w:t>
      </w:r>
    </w:p>
    <w:p w14:paraId="35888383" w14:textId="77777777" w:rsidR="00EF2BDA" w:rsidRPr="00EF2BDA" w:rsidRDefault="00EF2BDA" w:rsidP="00EF2BDA">
      <w:pPr>
        <w:ind w:left="720" w:hanging="720"/>
        <w:rPr>
          <w:color w:val="000000" w:themeColor="text1"/>
        </w:rPr>
      </w:pPr>
      <w:r w:rsidRPr="00EF2BDA">
        <w:rPr>
          <w:color w:val="000000" w:themeColor="text1"/>
        </w:rPr>
        <w:t>Gómez-García, G., Hinojo-Lucena, F. J., Fernández-Martín, F. D., &amp; Romero-Rodríguez, J. M. (2021). Educational challenges of higher education: validation of the information competence scale for future teachers (ICS-FT). Education Sciences, 12(1), 14. https://www.mdpi.com/2227-7102/12/1/14/pdf</w:t>
      </w:r>
    </w:p>
    <w:p w14:paraId="512A138D" w14:textId="77777777" w:rsidR="00EF2BDA" w:rsidRPr="00EF2BDA" w:rsidRDefault="00EF2BDA" w:rsidP="00EF2BDA">
      <w:pPr>
        <w:ind w:left="720" w:hanging="720"/>
        <w:rPr>
          <w:color w:val="000000" w:themeColor="text1"/>
        </w:rPr>
      </w:pPr>
      <w:proofErr w:type="spellStart"/>
      <w:r w:rsidRPr="00EF2BDA">
        <w:rPr>
          <w:color w:val="000000" w:themeColor="text1"/>
        </w:rPr>
        <w:t>Hebbecker</w:t>
      </w:r>
      <w:proofErr w:type="spellEnd"/>
      <w:r w:rsidRPr="00EF2BDA">
        <w:rPr>
          <w:color w:val="000000" w:themeColor="text1"/>
        </w:rPr>
        <w:t xml:space="preserve">, K., Förster, N., </w:t>
      </w:r>
      <w:proofErr w:type="spellStart"/>
      <w:r w:rsidRPr="00EF2BDA">
        <w:rPr>
          <w:color w:val="000000" w:themeColor="text1"/>
        </w:rPr>
        <w:t>Forthmann</w:t>
      </w:r>
      <w:proofErr w:type="spellEnd"/>
      <w:r w:rsidRPr="00EF2BDA">
        <w:rPr>
          <w:color w:val="000000" w:themeColor="text1"/>
        </w:rPr>
        <w:t xml:space="preserve">, B., &amp; </w:t>
      </w:r>
      <w:proofErr w:type="spellStart"/>
      <w:r w:rsidRPr="00EF2BDA">
        <w:rPr>
          <w:color w:val="000000" w:themeColor="text1"/>
        </w:rPr>
        <w:t>Souvignier</w:t>
      </w:r>
      <w:proofErr w:type="spellEnd"/>
      <w:r w:rsidRPr="00EF2BDA">
        <w:rPr>
          <w:color w:val="000000" w:themeColor="text1"/>
        </w:rPr>
        <w:t>, E. (2022). Data-based decision-making in schools: Examining the process and effects of teacher support. Journal of Educational Psychology, 114(7), 1695. https://www.researchgate.net/profile/Boris-Forthmann/publication/360244226_Data-based_decision-making_in_schools_Examining_the_process_and_effects_of_teacher_support/links/6270eb02973bbb29cc5d45ed/Data-Based-Decision-Making-in-Schools-Examining-the-Process-and-Effects-of-Teacher-Support.pdf</w:t>
      </w:r>
    </w:p>
    <w:p w14:paraId="563CF5B1" w14:textId="77777777" w:rsidR="00EF2BDA" w:rsidRPr="00EF2BDA" w:rsidRDefault="00EF2BDA" w:rsidP="00EF2BDA">
      <w:pPr>
        <w:ind w:left="720" w:hanging="720"/>
        <w:rPr>
          <w:color w:val="000000" w:themeColor="text1"/>
        </w:rPr>
      </w:pPr>
      <w:proofErr w:type="spellStart"/>
      <w:r w:rsidRPr="00EF2BDA">
        <w:rPr>
          <w:color w:val="000000" w:themeColor="text1"/>
        </w:rPr>
        <w:t>Hostas</w:t>
      </w:r>
      <w:proofErr w:type="spellEnd"/>
      <w:r w:rsidRPr="00EF2BDA">
        <w:rPr>
          <w:color w:val="000000" w:themeColor="text1"/>
        </w:rPr>
        <w:t>, J. L. (2023). Creating Productive School Cultures: Using Data-Driven Decision Making to Improve the Outcomes of At-Risk Students. https://ttu-ir.tdl.org/bitstreams/00cd3a86-b1d7-40ac-a73a-d8d62ec6774a/download</w:t>
      </w:r>
    </w:p>
    <w:p w14:paraId="7BAA6F99" w14:textId="77777777" w:rsidR="00EF2BDA" w:rsidRPr="00EF2BDA" w:rsidRDefault="00EF2BDA" w:rsidP="00EF2BDA">
      <w:pPr>
        <w:ind w:left="720" w:hanging="720"/>
        <w:rPr>
          <w:color w:val="000000" w:themeColor="text1"/>
        </w:rPr>
      </w:pPr>
      <w:r w:rsidRPr="00EF2BDA">
        <w:rPr>
          <w:color w:val="000000" w:themeColor="text1"/>
        </w:rPr>
        <w:t>Johnson, S. G. (2020). Data-driven decision making for differentiated instruction (Doctoral dissertation). https://ttu-ir.tdl.org/bitstreams/847ccdf1-7a8c-44b7-ab2b-e6c975c98726/download</w:t>
      </w:r>
    </w:p>
    <w:p w14:paraId="54883ACA" w14:textId="77777777" w:rsidR="00EF2BDA" w:rsidRPr="00EF2BDA" w:rsidRDefault="00EF2BDA" w:rsidP="00EF2BDA">
      <w:pPr>
        <w:ind w:left="720" w:hanging="720"/>
        <w:rPr>
          <w:color w:val="000000" w:themeColor="text1"/>
        </w:rPr>
      </w:pPr>
      <w:r w:rsidRPr="00EF2BDA">
        <w:rPr>
          <w:color w:val="000000" w:themeColor="text1"/>
        </w:rPr>
        <w:t>Kaspi, S., &amp; Venkatraman, S. (2023). Data-driven decision-making (DDDM) for higher education assessments: A case study. Systems, 11(6), 306. https://www.mdpi.com/2079-</w:t>
      </w:r>
      <w:r w:rsidRPr="00EF2BDA">
        <w:rPr>
          <w:color w:val="000000" w:themeColor="text1"/>
        </w:rPr>
        <w:lastRenderedPageBreak/>
        <w:t>8954/11/6/306?utm_campaign=releaseissue_systemsutm_medium=emailutm_source=releaseissueutm_term=doilink47</w:t>
      </w:r>
    </w:p>
    <w:p w14:paraId="09443B1E" w14:textId="77777777" w:rsidR="00EF2BDA" w:rsidRPr="00EF2BDA" w:rsidRDefault="00EF2BDA" w:rsidP="00EF2BDA">
      <w:pPr>
        <w:ind w:left="720" w:hanging="720"/>
        <w:rPr>
          <w:color w:val="000000" w:themeColor="text1"/>
        </w:rPr>
      </w:pPr>
      <w:r w:rsidRPr="00EF2BDA">
        <w:rPr>
          <w:color w:val="000000" w:themeColor="text1"/>
        </w:rPr>
        <w:t>Kier, C. A., &amp; Ives, C. (2022). Recommendations for a balanced approach to supporting academic integrity: perspectives from a survey of students, faculty, and tutors. International Journal for Educational Integrity, 18(1), 22. https://link.springer.com/content/pdf/10.1007/s40979-022-00116-x.pdf</w:t>
      </w:r>
    </w:p>
    <w:p w14:paraId="199C984F" w14:textId="77777777" w:rsidR="00EF2BDA" w:rsidRPr="00EF2BDA" w:rsidRDefault="00EF2BDA" w:rsidP="00EF2BDA">
      <w:pPr>
        <w:ind w:left="720" w:hanging="720"/>
        <w:rPr>
          <w:color w:val="000000" w:themeColor="text1"/>
        </w:rPr>
      </w:pPr>
      <w:r w:rsidRPr="00EF2BDA">
        <w:rPr>
          <w:color w:val="000000" w:themeColor="text1"/>
        </w:rPr>
        <w:t>Liu, L., Chen, L. T., &amp; Pugh, K. (2023). Online teaching and learning under COVID-19: Challenges and opportunities. Technology’s Challenges and Solutions in K-16 Education during a Worldwide Pandemic, 1-7.</w:t>
      </w:r>
    </w:p>
    <w:p w14:paraId="278BE132" w14:textId="77777777" w:rsidR="00EF2BDA" w:rsidRPr="00EF2BDA" w:rsidRDefault="00EF2BDA" w:rsidP="00EF2BDA">
      <w:pPr>
        <w:ind w:left="720" w:hanging="720"/>
        <w:rPr>
          <w:color w:val="000000" w:themeColor="text1"/>
        </w:rPr>
      </w:pPr>
      <w:proofErr w:type="spellStart"/>
      <w:r w:rsidRPr="00EF2BDA">
        <w:rPr>
          <w:color w:val="000000" w:themeColor="text1"/>
        </w:rPr>
        <w:t>Mandinach</w:t>
      </w:r>
      <w:proofErr w:type="spellEnd"/>
      <w:r w:rsidRPr="00EF2BDA">
        <w:rPr>
          <w:color w:val="000000" w:themeColor="text1"/>
        </w:rPr>
        <w:t xml:space="preserve">, E. B., &amp; </w:t>
      </w:r>
      <w:proofErr w:type="spellStart"/>
      <w:r w:rsidRPr="00EF2BDA">
        <w:rPr>
          <w:color w:val="000000" w:themeColor="text1"/>
        </w:rPr>
        <w:t>Schildkamp</w:t>
      </w:r>
      <w:proofErr w:type="spellEnd"/>
      <w:r w:rsidRPr="00EF2BDA">
        <w:rPr>
          <w:color w:val="000000" w:themeColor="text1"/>
        </w:rPr>
        <w:t>, K. (2021). Misconceptions about data-based decision making in education: An exploration of the literature. Studies in Educational Evaluation, 69, 100842. https://www.sciencedirect.com/science/article/pii/S0191491X1930416X</w:t>
      </w:r>
    </w:p>
    <w:p w14:paraId="3C4B147B" w14:textId="77777777" w:rsidR="00EF2BDA" w:rsidRPr="00EF2BDA" w:rsidRDefault="00EF2BDA" w:rsidP="00EF2BDA">
      <w:pPr>
        <w:ind w:left="720" w:hanging="720"/>
        <w:rPr>
          <w:color w:val="000000" w:themeColor="text1"/>
        </w:rPr>
      </w:pPr>
      <w:r w:rsidRPr="00EF2BDA">
        <w:rPr>
          <w:color w:val="000000" w:themeColor="text1"/>
        </w:rPr>
        <w:t>Matheus, R., Janssen, M., &amp; Maheshwari, D. (2020). Data science empowering the public: Data-driven dashboards for transparent and accountable decision-making in smart cities. Government Information Quarterly, 37(3), 101284. https://www.sciencedirect.com/science/article/pii/S0740624X18300303</w:t>
      </w:r>
    </w:p>
    <w:p w14:paraId="275D79F1" w14:textId="77777777" w:rsidR="00EF2BDA" w:rsidRPr="00EF2BDA" w:rsidRDefault="00EF2BDA" w:rsidP="00EF2BDA">
      <w:pPr>
        <w:ind w:left="720" w:hanging="720"/>
        <w:rPr>
          <w:color w:val="000000" w:themeColor="text1"/>
        </w:rPr>
      </w:pPr>
      <w:proofErr w:type="spellStart"/>
      <w:r w:rsidRPr="00EF2BDA">
        <w:rPr>
          <w:color w:val="000000" w:themeColor="text1"/>
        </w:rPr>
        <w:t>Mertler</w:t>
      </w:r>
      <w:proofErr w:type="spellEnd"/>
      <w:r w:rsidRPr="00EF2BDA">
        <w:rPr>
          <w:color w:val="000000" w:themeColor="text1"/>
        </w:rPr>
        <w:t>, C. A. (2024). Action research: Improving schools and empowering educators. Sage Publications. https://journalhosting.ucalgary.ca/index.php/ajer/article/download/56076/pdf/0</w:t>
      </w:r>
    </w:p>
    <w:p w14:paraId="481BE26D" w14:textId="77777777" w:rsidR="00EF2BDA" w:rsidRPr="00EF2BDA" w:rsidRDefault="00EF2BDA" w:rsidP="00EF2BDA">
      <w:pPr>
        <w:ind w:left="720" w:hanging="720"/>
        <w:rPr>
          <w:color w:val="000000" w:themeColor="text1"/>
        </w:rPr>
      </w:pPr>
      <w:proofErr w:type="spellStart"/>
      <w:r w:rsidRPr="00EF2BDA">
        <w:rPr>
          <w:color w:val="000000" w:themeColor="text1"/>
        </w:rPr>
        <w:t>Mohajan</w:t>
      </w:r>
      <w:proofErr w:type="spellEnd"/>
      <w:r w:rsidRPr="00EF2BDA">
        <w:rPr>
          <w:color w:val="000000" w:themeColor="text1"/>
        </w:rPr>
        <w:t>, H. K. (2020). Quantitative research: A successful investigation in natural and social sciences. Journal of economic development, environment and people, 9(4), 50-79. https://mpra.ub.uni-muenchen.de/105149/1/MPRA_paper_105149.pdf</w:t>
      </w:r>
    </w:p>
    <w:p w14:paraId="70CA3B33" w14:textId="77777777" w:rsidR="00EF2BDA" w:rsidRPr="00EF2BDA" w:rsidRDefault="00EF2BDA" w:rsidP="00EF2BDA">
      <w:pPr>
        <w:ind w:left="720" w:hanging="720"/>
        <w:rPr>
          <w:color w:val="000000" w:themeColor="text1"/>
        </w:rPr>
      </w:pPr>
      <w:r w:rsidRPr="00EF2BDA">
        <w:rPr>
          <w:color w:val="000000" w:themeColor="text1"/>
        </w:rPr>
        <w:t>Nisar, Q. A., Nasir, N., Jamshed, S., Naz, S., Ali, M., &amp; Ali, S. (2021). Big data management and environmental performance: role of big data decision-making capabilities and decision-making quality. Journal of Enterprise Information Management, 34(4), 1061-1096. https://www.academia.edu/download/87880832/60120-Big-data-management-and-environmental-performance-role-of-big-data-decision-making-capabilities-and-decision-making-quality.pdf</w:t>
      </w:r>
    </w:p>
    <w:p w14:paraId="194DF7EF" w14:textId="77777777" w:rsidR="00EF2BDA" w:rsidRPr="00EF2BDA" w:rsidRDefault="00EF2BDA" w:rsidP="00EF2BDA">
      <w:pPr>
        <w:ind w:left="720" w:hanging="720"/>
        <w:rPr>
          <w:color w:val="000000" w:themeColor="text1"/>
        </w:rPr>
      </w:pPr>
      <w:proofErr w:type="spellStart"/>
      <w:r w:rsidRPr="00EF2BDA">
        <w:rPr>
          <w:color w:val="000000" w:themeColor="text1"/>
        </w:rPr>
        <w:t>Pregoner</w:t>
      </w:r>
      <w:proofErr w:type="spellEnd"/>
      <w:r w:rsidRPr="00EF2BDA">
        <w:rPr>
          <w:color w:val="000000" w:themeColor="text1"/>
        </w:rPr>
        <w:t xml:space="preserve">, J. D., </w:t>
      </w:r>
      <w:proofErr w:type="spellStart"/>
      <w:r w:rsidRPr="00EF2BDA">
        <w:rPr>
          <w:color w:val="000000" w:themeColor="text1"/>
        </w:rPr>
        <w:t>Leopardas</w:t>
      </w:r>
      <w:proofErr w:type="spellEnd"/>
      <w:r w:rsidRPr="00EF2BDA">
        <w:rPr>
          <w:color w:val="000000" w:themeColor="text1"/>
        </w:rPr>
        <w:t xml:space="preserve">, R., Ganancial, I. J., </w:t>
      </w:r>
      <w:proofErr w:type="spellStart"/>
      <w:r w:rsidRPr="00EF2BDA">
        <w:rPr>
          <w:color w:val="000000" w:themeColor="text1"/>
        </w:rPr>
        <w:t>Baguhin</w:t>
      </w:r>
      <w:proofErr w:type="spellEnd"/>
      <w:r w:rsidRPr="00EF2BDA">
        <w:rPr>
          <w:color w:val="000000" w:themeColor="text1"/>
        </w:rPr>
        <w:t>, M., &amp; Sedo, F. (2025). Ethical Issues in Conducting Research Using Human Participants in the Post-COVID Era. IMCC Journal of Science, 5(1), 1-9. https://hal.science/hal-05073466/</w:t>
      </w:r>
    </w:p>
    <w:p w14:paraId="5F2D4E95" w14:textId="77777777" w:rsidR="00EF2BDA" w:rsidRPr="00EF2BDA" w:rsidRDefault="00EF2BDA" w:rsidP="00EF2BDA">
      <w:pPr>
        <w:ind w:left="720" w:hanging="720"/>
        <w:rPr>
          <w:color w:val="000000" w:themeColor="text1"/>
        </w:rPr>
      </w:pPr>
      <w:r w:rsidRPr="00EF2BDA">
        <w:rPr>
          <w:color w:val="000000" w:themeColor="text1"/>
        </w:rPr>
        <w:t xml:space="preserve">Ramdani, A., </w:t>
      </w:r>
      <w:proofErr w:type="spellStart"/>
      <w:r w:rsidRPr="00EF2BDA">
        <w:rPr>
          <w:color w:val="000000" w:themeColor="text1"/>
        </w:rPr>
        <w:t>Jufri</w:t>
      </w:r>
      <w:proofErr w:type="spellEnd"/>
      <w:r w:rsidRPr="00EF2BDA">
        <w:rPr>
          <w:color w:val="000000" w:themeColor="text1"/>
        </w:rPr>
        <w:t xml:space="preserve">, A. W., Gunawan, G., </w:t>
      </w:r>
      <w:proofErr w:type="spellStart"/>
      <w:r w:rsidRPr="00EF2BDA">
        <w:rPr>
          <w:color w:val="000000" w:themeColor="text1"/>
        </w:rPr>
        <w:t>Fahrurrozi</w:t>
      </w:r>
      <w:proofErr w:type="spellEnd"/>
      <w:r w:rsidRPr="00EF2BDA">
        <w:rPr>
          <w:color w:val="000000" w:themeColor="text1"/>
        </w:rPr>
        <w:t xml:space="preserve">, M., &amp; </w:t>
      </w:r>
      <w:proofErr w:type="spellStart"/>
      <w:r w:rsidRPr="00EF2BDA">
        <w:rPr>
          <w:color w:val="000000" w:themeColor="text1"/>
        </w:rPr>
        <w:t>Yustiqvar</w:t>
      </w:r>
      <w:proofErr w:type="spellEnd"/>
      <w:r w:rsidRPr="00EF2BDA">
        <w:rPr>
          <w:color w:val="000000" w:themeColor="text1"/>
        </w:rPr>
        <w:t xml:space="preserve">, M. (2021). Analysis of students' critical thinking skills in terms of gender using science teaching materials based on the 5E learning cycle integrated with local wisdom. </w:t>
      </w:r>
      <w:proofErr w:type="spellStart"/>
      <w:r w:rsidRPr="00EF2BDA">
        <w:rPr>
          <w:color w:val="000000" w:themeColor="text1"/>
        </w:rPr>
        <w:t>Jurnal</w:t>
      </w:r>
      <w:proofErr w:type="spellEnd"/>
      <w:r w:rsidRPr="00EF2BDA">
        <w:rPr>
          <w:color w:val="000000" w:themeColor="text1"/>
        </w:rPr>
        <w:t xml:space="preserve"> Pendidikan IPA Indonesia, 10(2), 187-199. https://journal.unnes.ac.id/nju/jpii/article/viewFile/29956/11808</w:t>
      </w:r>
    </w:p>
    <w:p w14:paraId="682CA443" w14:textId="77777777" w:rsidR="00EF2BDA" w:rsidRPr="00EF2BDA" w:rsidRDefault="00EF2BDA" w:rsidP="00EF2BDA">
      <w:pPr>
        <w:ind w:left="720" w:hanging="720"/>
        <w:rPr>
          <w:color w:val="000000" w:themeColor="text1"/>
        </w:rPr>
      </w:pPr>
      <w:r w:rsidRPr="00EF2BDA">
        <w:rPr>
          <w:color w:val="000000" w:themeColor="text1"/>
        </w:rPr>
        <w:t>Rassel, G., Leland, S., Mohr, Z., &amp; O'Sullivan, E. (2020). Research methods for public administrators. Routledge. https://mlodyobywatel.ceo.org.pl/sites/mlodyobywatel.ceo.org.pl/files/webform/research-methods-for-public-administrators-elizabethann-osullivan-gary-rassel-maureen-berner-jocelyn-dev-pdf-download-free-book-b8d1097.pdf</w:t>
      </w:r>
    </w:p>
    <w:p w14:paraId="13A67B07" w14:textId="77777777" w:rsidR="00EF2BDA" w:rsidRPr="00EF2BDA" w:rsidRDefault="00EF2BDA" w:rsidP="00EF2BDA">
      <w:pPr>
        <w:ind w:left="720" w:hanging="720"/>
        <w:rPr>
          <w:color w:val="000000" w:themeColor="text1"/>
        </w:rPr>
      </w:pPr>
      <w:r w:rsidRPr="00EF2BDA">
        <w:rPr>
          <w:color w:val="000000" w:themeColor="text1"/>
        </w:rPr>
        <w:t>Roberts, J. L., &amp; Inman, T. F. (2023). Strategies for differentiating instruction: Best practices for the classroom. Routledge. http://cehd.gmu.edu/assets/docs/syllabi/2012/syllabus_15558.pdf</w:t>
      </w:r>
    </w:p>
    <w:p w14:paraId="74CA8977" w14:textId="77777777" w:rsidR="00EF2BDA" w:rsidRPr="00EF2BDA" w:rsidRDefault="00EF2BDA" w:rsidP="00EF2BDA">
      <w:pPr>
        <w:ind w:left="720" w:hanging="720"/>
        <w:rPr>
          <w:color w:val="000000" w:themeColor="text1"/>
        </w:rPr>
      </w:pPr>
      <w:r w:rsidRPr="00EF2BDA">
        <w:rPr>
          <w:color w:val="000000" w:themeColor="text1"/>
        </w:rPr>
        <w:t xml:space="preserve">Saikkonen, L., &amp; </w:t>
      </w:r>
      <w:proofErr w:type="spellStart"/>
      <w:r w:rsidRPr="00EF2BDA">
        <w:rPr>
          <w:color w:val="000000" w:themeColor="text1"/>
        </w:rPr>
        <w:t>Kaarakainen</w:t>
      </w:r>
      <w:proofErr w:type="spellEnd"/>
      <w:r w:rsidRPr="00EF2BDA">
        <w:rPr>
          <w:color w:val="000000" w:themeColor="text1"/>
        </w:rPr>
        <w:t>, M. T. (2021). Multivariate analysis of teachers’ digital information skills-The importance of available resources. Computers &amp; Education, 168, 104206. https://www.sciencedirect.com/science/article/pii/S036013152100083X</w:t>
      </w:r>
    </w:p>
    <w:p w14:paraId="190896D7" w14:textId="77777777" w:rsidR="00EF2BDA" w:rsidRPr="00EF2BDA" w:rsidRDefault="00EF2BDA" w:rsidP="00EF2BDA">
      <w:pPr>
        <w:ind w:left="720" w:hanging="720"/>
        <w:rPr>
          <w:color w:val="000000" w:themeColor="text1"/>
        </w:rPr>
      </w:pPr>
      <w:r w:rsidRPr="00EF2BDA">
        <w:rPr>
          <w:color w:val="000000" w:themeColor="text1"/>
        </w:rPr>
        <w:t xml:space="preserve">Schemmer, M., Hemmer, P., Kühl, N., Benz, C., &amp; </w:t>
      </w:r>
      <w:proofErr w:type="spellStart"/>
      <w:r w:rsidRPr="00EF2BDA">
        <w:rPr>
          <w:color w:val="000000" w:themeColor="text1"/>
        </w:rPr>
        <w:t>Satzger</w:t>
      </w:r>
      <w:proofErr w:type="spellEnd"/>
      <w:r w:rsidRPr="00EF2BDA">
        <w:rPr>
          <w:color w:val="000000" w:themeColor="text1"/>
        </w:rPr>
        <w:t xml:space="preserve">, G. (2022). Should I follow AI-based advice? Measuring appropriate reliance in human-AI decision-making. </w:t>
      </w:r>
      <w:proofErr w:type="spellStart"/>
      <w:r w:rsidRPr="00EF2BDA">
        <w:rPr>
          <w:color w:val="000000" w:themeColor="text1"/>
        </w:rPr>
        <w:t>arXiv</w:t>
      </w:r>
      <w:proofErr w:type="spellEnd"/>
      <w:r w:rsidRPr="00EF2BDA">
        <w:rPr>
          <w:color w:val="000000" w:themeColor="text1"/>
        </w:rPr>
        <w:t xml:space="preserve"> preprint arXiv:2204.06916. https://arxiv.org/pdf/2204.06916</w:t>
      </w:r>
    </w:p>
    <w:p w14:paraId="798F6C47" w14:textId="77777777" w:rsidR="00EF2BDA" w:rsidRPr="00EF2BDA" w:rsidRDefault="00EF2BDA" w:rsidP="00EF2BDA">
      <w:pPr>
        <w:ind w:left="720" w:hanging="720"/>
        <w:rPr>
          <w:color w:val="000000" w:themeColor="text1"/>
        </w:rPr>
      </w:pPr>
      <w:r w:rsidRPr="00EF2BDA">
        <w:rPr>
          <w:color w:val="000000" w:themeColor="text1"/>
        </w:rPr>
        <w:t xml:space="preserve">Seeram, E. (2022). Quantitative and qualitative research: An overview of approaches. Research for Medical Imaging and Radiation Sciences, 13-23. </w:t>
      </w:r>
      <w:r w:rsidRPr="00EF2BDA">
        <w:rPr>
          <w:color w:val="000000" w:themeColor="text1"/>
        </w:rPr>
        <w:lastRenderedPageBreak/>
        <w:t>https://www.dufuhselibrary.com.ng/eBM/RGY/2022%20Research%20for%20Medical%20Imaging%20and%20Radiation%20Sciences.pdf#page=26</w:t>
      </w:r>
    </w:p>
    <w:p w14:paraId="0E39C626" w14:textId="77777777" w:rsidR="00EF2BDA" w:rsidRPr="00EF2BDA" w:rsidRDefault="00EF2BDA" w:rsidP="00EF2BDA">
      <w:pPr>
        <w:ind w:left="720" w:hanging="720"/>
        <w:rPr>
          <w:color w:val="000000" w:themeColor="text1"/>
        </w:rPr>
      </w:pPr>
      <w:r w:rsidRPr="00EF2BDA">
        <w:rPr>
          <w:color w:val="000000" w:themeColor="text1"/>
        </w:rPr>
        <w:t>Szukits, Á. (2022). The illusion of data-driven decision making–The mediating effect of digital orientation and controllers’ added value in explaining organizational implications of advanced analytics. Journal of Management Control, 33(3), 403-446. https://link.springer.com/content/pdf/10.1007/s00187-022-00343-w.pdf</w:t>
      </w:r>
    </w:p>
    <w:p w14:paraId="59735813" w14:textId="77777777" w:rsidR="00EF2BDA" w:rsidRPr="00EF2BDA" w:rsidRDefault="00EF2BDA" w:rsidP="00EF2BDA">
      <w:pPr>
        <w:ind w:left="720" w:hanging="720"/>
        <w:rPr>
          <w:color w:val="000000" w:themeColor="text1"/>
        </w:rPr>
      </w:pPr>
      <w:proofErr w:type="spellStart"/>
      <w:r w:rsidRPr="00EF2BDA">
        <w:rPr>
          <w:color w:val="000000" w:themeColor="text1"/>
        </w:rPr>
        <w:t>Trixa</w:t>
      </w:r>
      <w:proofErr w:type="spellEnd"/>
      <w:r w:rsidRPr="00EF2BDA">
        <w:rPr>
          <w:color w:val="000000" w:themeColor="text1"/>
        </w:rPr>
        <w:t>, J., &amp; Kaspar, K. (2024). Information literacy in the digital age: information sources, evaluation strategies, and perceived teaching competences of pre-service teachers. Frontiers in Psychology, 15, 1336436. https://www.frontiersin.org/articles/10.3389/fpsyg.2024.1336436/pdf</w:t>
      </w:r>
    </w:p>
    <w:p w14:paraId="3906BA8D" w14:textId="77777777" w:rsidR="00EF2BDA" w:rsidRPr="00EF2BDA" w:rsidRDefault="00EF2BDA" w:rsidP="00EF2BDA">
      <w:pPr>
        <w:ind w:left="720" w:hanging="720"/>
        <w:rPr>
          <w:color w:val="000000" w:themeColor="text1"/>
        </w:rPr>
      </w:pPr>
      <w:proofErr w:type="spellStart"/>
      <w:r w:rsidRPr="00EF2BDA">
        <w:rPr>
          <w:color w:val="000000" w:themeColor="text1"/>
        </w:rPr>
        <w:t>Vaskov</w:t>
      </w:r>
      <w:proofErr w:type="spellEnd"/>
      <w:r w:rsidRPr="00EF2BDA">
        <w:rPr>
          <w:color w:val="000000" w:themeColor="text1"/>
        </w:rPr>
        <w:t xml:space="preserve">, M., Isakov, A., </w:t>
      </w:r>
      <w:proofErr w:type="spellStart"/>
      <w:r w:rsidRPr="00EF2BDA">
        <w:rPr>
          <w:color w:val="000000" w:themeColor="text1"/>
        </w:rPr>
        <w:t>Bilovus</w:t>
      </w:r>
      <w:proofErr w:type="spellEnd"/>
      <w:r w:rsidRPr="00EF2BDA">
        <w:rPr>
          <w:color w:val="000000" w:themeColor="text1"/>
        </w:rPr>
        <w:t xml:space="preserve">, V., </w:t>
      </w:r>
      <w:proofErr w:type="spellStart"/>
      <w:r w:rsidRPr="00EF2BDA">
        <w:rPr>
          <w:color w:val="000000" w:themeColor="text1"/>
        </w:rPr>
        <w:t>Bulavkin</w:t>
      </w:r>
      <w:proofErr w:type="spellEnd"/>
      <w:r w:rsidRPr="00EF2BDA">
        <w:rPr>
          <w:color w:val="000000" w:themeColor="text1"/>
        </w:rPr>
        <w:t>, A., &amp; Mikhaylenko, N. (2021). Digital literacy of modern higher education teachers. In E3S web of conferences (Vol. 273, p. 12035). EDP Sciences. https://www.e3s-conferences.org/articles/e3sconf/pdf/2021/49/e3sconf_interagromash2021_12035.pdf</w:t>
      </w:r>
    </w:p>
    <w:p w14:paraId="095D7E44" w14:textId="522F9168" w:rsidR="00E0166B" w:rsidRPr="000C6018" w:rsidRDefault="00EF2BDA" w:rsidP="00EF2BDA">
      <w:pPr>
        <w:ind w:left="720" w:hanging="720"/>
        <w:rPr>
          <w:color w:val="000000" w:themeColor="text1"/>
        </w:rPr>
      </w:pPr>
      <w:proofErr w:type="spellStart"/>
      <w:r w:rsidRPr="00EF2BDA">
        <w:rPr>
          <w:color w:val="000000" w:themeColor="text1"/>
        </w:rPr>
        <w:t>Žilka</w:t>
      </w:r>
      <w:proofErr w:type="spellEnd"/>
      <w:r w:rsidRPr="00EF2BDA">
        <w:rPr>
          <w:color w:val="000000" w:themeColor="text1"/>
        </w:rPr>
        <w:t>, M., Kalender, Z. T., Lhota, J., Kalina, V., &amp; Pinto, R. (2024). Tools to support managerial decision-building competencies in data driven decision making in manufacturing SMEs. Procedia Computer Science, 232, 416-425. https://www.sciencedirect.com/science/article/pii/S1877050924000413/pdf?md5=93d69a10847165a8d8f1f7a4f6b2d28b&amp;pid=1-s2.0-S1877050924000413-main.pdf</w:t>
      </w:r>
    </w:p>
    <w:p w14:paraId="5B6B9734" w14:textId="5C8D05E1" w:rsidR="00CD4D57" w:rsidRDefault="00CD4D57" w:rsidP="00505231">
      <w:pPr>
        <w:tabs>
          <w:tab w:val="left" w:pos="270"/>
        </w:tabs>
        <w:rPr>
          <w:rFonts w:ascii="Arial" w:hAnsi="Arial" w:cs="Arial"/>
          <w:b/>
        </w:rPr>
      </w:pPr>
    </w:p>
    <w:sectPr w:rsidR="00CD4D57" w:rsidSect="00E94BC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34DA" w14:textId="77777777" w:rsidR="0038078D" w:rsidRDefault="0038078D">
      <w:r>
        <w:separator/>
      </w:r>
    </w:p>
  </w:endnote>
  <w:endnote w:type="continuationSeparator" w:id="0">
    <w:p w14:paraId="0FCB24B3" w14:textId="77777777" w:rsidR="0038078D" w:rsidRDefault="0038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0C4C" w14:textId="77777777" w:rsidR="00E94BC1" w:rsidRDefault="00E94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CEF0" w14:textId="77777777" w:rsidR="00E94BC1" w:rsidRDefault="00E94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0CE82606" w:rsidR="00717F2E" w:rsidRPr="00E94BC1" w:rsidRDefault="00717F2E" w:rsidP="00E94B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A3D5D" w14:textId="77777777" w:rsidR="0038078D" w:rsidRDefault="0038078D">
      <w:r>
        <w:separator/>
      </w:r>
    </w:p>
  </w:footnote>
  <w:footnote w:type="continuationSeparator" w:id="0">
    <w:p w14:paraId="7781BB14" w14:textId="77777777" w:rsidR="0038078D" w:rsidRDefault="0038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FB92" w14:textId="11769FC7" w:rsidR="00E94BC1" w:rsidRDefault="0038078D">
    <w:pPr>
      <w:pStyle w:val="Header"/>
    </w:pPr>
    <w:r>
      <w:rPr>
        <w:noProof/>
      </w:rPr>
      <w:pict w14:anchorId="01BB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DB5B" w14:textId="7CA91965" w:rsidR="00E94BC1" w:rsidRDefault="0038078D">
    <w:pPr>
      <w:pStyle w:val="Header"/>
    </w:pPr>
    <w:r>
      <w:rPr>
        <w:noProof/>
      </w:rPr>
      <w:pict w14:anchorId="01358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069EA9D7" w:rsidR="00717F2E" w:rsidRDefault="0038078D">
    <w:pPr>
      <w:ind w:left="2160"/>
      <w:jc w:val="center"/>
      <w:rPr>
        <w:rFonts w:ascii="Times New Roman" w:eastAsia="Calibri" w:hAnsi="Times New Roman"/>
        <w:i/>
        <w:sz w:val="18"/>
        <w:szCs w:val="22"/>
      </w:rPr>
    </w:pPr>
    <w:r>
      <w:rPr>
        <w:noProof/>
      </w:rPr>
      <w:pict w14:anchorId="77B8C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C2CE" w14:textId="72512EF3" w:rsidR="00E94BC1" w:rsidRDefault="0038078D">
    <w:pPr>
      <w:pStyle w:val="Header"/>
    </w:pPr>
    <w:r>
      <w:rPr>
        <w:noProof/>
      </w:rPr>
      <w:pict w14:anchorId="35254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D0D8" w14:textId="50028D00" w:rsidR="00E94BC1" w:rsidRDefault="0038078D">
    <w:pPr>
      <w:pStyle w:val="Header"/>
    </w:pPr>
    <w:r>
      <w:rPr>
        <w:noProof/>
      </w:rPr>
      <w:pict w14:anchorId="2FA45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571E" w14:textId="23D0188B" w:rsidR="00E94BC1" w:rsidRDefault="0038078D">
    <w:pPr>
      <w:pStyle w:val="Header"/>
    </w:pPr>
    <w:r>
      <w:rPr>
        <w:noProof/>
      </w:rPr>
      <w:pict w14:anchorId="061D0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1A8"/>
    <w:rsid w:val="0004579C"/>
    <w:rsid w:val="00045CD6"/>
    <w:rsid w:val="00046AE8"/>
    <w:rsid w:val="00051785"/>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1DEC"/>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3811"/>
    <w:rsid w:val="001A5CAA"/>
    <w:rsid w:val="001B0427"/>
    <w:rsid w:val="001B0E69"/>
    <w:rsid w:val="001B1ACC"/>
    <w:rsid w:val="001B41D7"/>
    <w:rsid w:val="001B5D2F"/>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1E3D"/>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03EE"/>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078D"/>
    <w:rsid w:val="0038437D"/>
    <w:rsid w:val="00384B44"/>
    <w:rsid w:val="003872C9"/>
    <w:rsid w:val="00387F72"/>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96B09"/>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6B07"/>
    <w:rsid w:val="0050761B"/>
    <w:rsid w:val="00507A73"/>
    <w:rsid w:val="00523F46"/>
    <w:rsid w:val="00524ED0"/>
    <w:rsid w:val="0053056E"/>
    <w:rsid w:val="0053144C"/>
    <w:rsid w:val="00533886"/>
    <w:rsid w:val="0053558A"/>
    <w:rsid w:val="00535C8B"/>
    <w:rsid w:val="00535CBD"/>
    <w:rsid w:val="0054027F"/>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A71FE"/>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5FFA"/>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26E65"/>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685F"/>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1838"/>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87B13"/>
    <w:rsid w:val="00C902B3"/>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D67"/>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2C3"/>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BC1"/>
    <w:rsid w:val="00E94E5E"/>
    <w:rsid w:val="00E9718F"/>
    <w:rsid w:val="00EA012C"/>
    <w:rsid w:val="00EA70C1"/>
    <w:rsid w:val="00EB1CD4"/>
    <w:rsid w:val="00EB1D47"/>
    <w:rsid w:val="00EB2E0E"/>
    <w:rsid w:val="00EB7104"/>
    <w:rsid w:val="00EB7AEC"/>
    <w:rsid w:val="00EC0D56"/>
    <w:rsid w:val="00EC319A"/>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2BDA"/>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518E"/>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E6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9005">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56670736">
      <w:bodyDiv w:val="1"/>
      <w:marLeft w:val="0"/>
      <w:marRight w:val="0"/>
      <w:marTop w:val="0"/>
      <w:marBottom w:val="0"/>
      <w:divBdr>
        <w:top w:val="none" w:sz="0" w:space="0" w:color="auto"/>
        <w:left w:val="none" w:sz="0" w:space="0" w:color="auto"/>
        <w:bottom w:val="none" w:sz="0" w:space="0" w:color="auto"/>
        <w:right w:val="none" w:sz="0" w:space="0" w:color="auto"/>
      </w:divBdr>
    </w:div>
    <w:div w:id="1390962350">
      <w:bodyDiv w:val="1"/>
      <w:marLeft w:val="0"/>
      <w:marRight w:val="0"/>
      <w:marTop w:val="0"/>
      <w:marBottom w:val="0"/>
      <w:divBdr>
        <w:top w:val="none" w:sz="0" w:space="0" w:color="auto"/>
        <w:left w:val="none" w:sz="0" w:space="0" w:color="auto"/>
        <w:bottom w:val="none" w:sz="0" w:space="0" w:color="auto"/>
        <w:right w:val="none" w:sz="0" w:space="0" w:color="auto"/>
      </w:divBdr>
    </w:div>
    <w:div w:id="143886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15</Pages>
  <Words>7007</Words>
  <Characters>39940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cp:revision>
  <cp:lastPrinted>2024-10-20T02:52:00Z</cp:lastPrinted>
  <dcterms:created xsi:type="dcterms:W3CDTF">2025-06-16T05:07:00Z</dcterms:created>
  <dcterms:modified xsi:type="dcterms:W3CDTF">2025-06-19T12:24:00Z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eccfea4e-84e0-4563-b1ee-741dfc42d65b</vt:lpwstr>
  </property>
</Properties>
</file>