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C9E69" w14:textId="77777777" w:rsidR="00D33A31" w:rsidRDefault="00D33A31" w:rsidP="000763D2">
      <w:pPr>
        <w:pStyle w:val="Author"/>
        <w:spacing w:line="240" w:lineRule="auto"/>
        <w:jc w:val="left"/>
        <w:rPr>
          <w:rFonts w:ascii="Arial" w:hAnsi="Arial" w:cs="Arial"/>
          <w:bCs/>
          <w:iCs/>
          <w:kern w:val="28"/>
          <w:szCs w:val="24"/>
        </w:rPr>
      </w:pPr>
    </w:p>
    <w:p w14:paraId="5156F3A4" w14:textId="13E52114" w:rsidR="00DC6EF2" w:rsidRDefault="00F107D1" w:rsidP="00F107D1">
      <w:pPr>
        <w:jc w:val="center"/>
        <w:rPr>
          <w:rFonts w:ascii="Arial" w:hAnsi="Arial" w:cs="Arial"/>
          <w:b/>
          <w:noProof/>
          <w:sz w:val="28"/>
          <w:szCs w:val="28"/>
          <w:lang w:val="en-PH" w:eastAsia="en-PH"/>
        </w:rPr>
      </w:pPr>
      <w:r>
        <w:rPr>
          <w:rFonts w:ascii="Arial" w:hAnsi="Arial" w:cs="Arial"/>
          <w:b/>
          <w:noProof/>
          <w:sz w:val="28"/>
          <w:szCs w:val="28"/>
          <w:lang w:val="en-PH" w:eastAsia="en-PH"/>
        </w:rPr>
        <w:t>Professional life quality and career sustainability of public elementary school teachers</w:t>
      </w:r>
    </w:p>
    <w:p w14:paraId="27061442" w14:textId="77777777" w:rsidR="00D33A31" w:rsidRDefault="00D33A31" w:rsidP="00B0064D">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4175F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79CCDC2A" w:rsidR="00717F2E" w:rsidRPr="000763D2" w:rsidRDefault="00D14936" w:rsidP="00D14936">
            <w:pPr>
              <w:jc w:val="both"/>
              <w:rPr>
                <w:rFonts w:ascii="Arial" w:hAnsi="Arial" w:cs="Arial"/>
                <w:iCs/>
              </w:rPr>
            </w:pPr>
            <w:r w:rsidRPr="00D14936">
              <w:rPr>
                <w:rFonts w:ascii="Arial" w:hAnsi="Arial" w:cs="Arial"/>
                <w:iCs/>
              </w:rPr>
              <w:t xml:space="preserve">This study aimed to determine the significant relationship between professional life quality and career sustainability among public elementary school teachers. A descriptive-correlational research design was employed. A total of 163 teachers were selected as respondents from a population of 276 using Slovin’s Formula with a 0.05 margin of error. These teachers rated the levels of professional life quality and career sustainability among public elementary school teachers in </w:t>
            </w:r>
            <w:proofErr w:type="spellStart"/>
            <w:r w:rsidRPr="00D14936">
              <w:rPr>
                <w:rFonts w:ascii="Arial" w:hAnsi="Arial" w:cs="Arial"/>
                <w:iCs/>
              </w:rPr>
              <w:t>Paquibato</w:t>
            </w:r>
            <w:proofErr w:type="spellEnd"/>
            <w:r w:rsidRPr="00D14936">
              <w:rPr>
                <w:rFonts w:ascii="Arial" w:hAnsi="Arial" w:cs="Arial"/>
                <w:iCs/>
              </w:rPr>
              <w:t xml:space="preserve"> District, Division of Davao City. Data were collected using standardized quest</w:t>
            </w:r>
            <w:r w:rsidR="000A4361">
              <w:rPr>
                <w:rFonts w:ascii="Arial" w:hAnsi="Arial" w:cs="Arial"/>
                <w:iCs/>
              </w:rPr>
              <w:t xml:space="preserve">ionnaires and analyzed through </w:t>
            </w:r>
            <w:r w:rsidR="000A4361" w:rsidRPr="000A4361">
              <w:rPr>
                <w:rFonts w:ascii="Arial" w:hAnsi="Arial" w:cs="Arial"/>
                <w:iCs/>
                <w:highlight w:val="yellow"/>
              </w:rPr>
              <w:t>Mean, Standard D</w:t>
            </w:r>
            <w:r w:rsidRPr="000A4361">
              <w:rPr>
                <w:rFonts w:ascii="Arial" w:hAnsi="Arial" w:cs="Arial"/>
                <w:iCs/>
                <w:highlight w:val="yellow"/>
              </w:rPr>
              <w:t>eviation (SD</w:t>
            </w:r>
            <w:r w:rsidRPr="00D14936">
              <w:rPr>
                <w:rFonts w:ascii="Arial" w:hAnsi="Arial" w:cs="Arial"/>
                <w:iCs/>
              </w:rPr>
              <w:t>), Pearson product-moment correlation, and multiple linear regression.</w:t>
            </w:r>
            <w:r>
              <w:rPr>
                <w:rFonts w:ascii="Arial" w:hAnsi="Arial" w:cs="Arial"/>
                <w:iCs/>
              </w:rPr>
              <w:t xml:space="preserve"> </w:t>
            </w:r>
            <w:r w:rsidRPr="00D14936">
              <w:rPr>
                <w:rFonts w:ascii="Arial" w:hAnsi="Arial" w:cs="Arial"/>
                <w:iCs/>
              </w:rPr>
              <w:t>The findings revealed that both professional life quality and career sustainability were at very extensive levels. Correlation analysis indicated a significant positive relationship between professional life quality and career sustainability. Further analysis showed that the domains of professional life quality—development of worker capacity, safe and healthy working conditions, total living space, and social responsibility—significantly influenced career sustainability, with development of worker capacity having the strongest impact.</w:t>
            </w:r>
            <w:r>
              <w:rPr>
                <w:rFonts w:ascii="Arial" w:hAnsi="Arial" w:cs="Arial"/>
                <w:iCs/>
              </w:rPr>
              <w:t xml:space="preserve"> </w:t>
            </w:r>
            <w:r w:rsidRPr="00D14936">
              <w:rPr>
                <w:rFonts w:ascii="Arial" w:hAnsi="Arial" w:cs="Arial"/>
                <w:iCs/>
              </w:rPr>
              <w:t>Based on these findings, it is recommended that school administrators enhance professional development programs, improve workplace conditions, and implement policies that support career growth and long-term engagement. Strengthening these aspects may further enhance teachers’ career sustainability, ensuring a stable, effective, and motivated teaching workforce.</w:t>
            </w:r>
          </w:p>
        </w:tc>
      </w:tr>
    </w:tbl>
    <w:p w14:paraId="175A3F79" w14:textId="77777777" w:rsidR="00717F2E" w:rsidRDefault="00717F2E">
      <w:pPr>
        <w:pStyle w:val="Body"/>
        <w:spacing w:after="0"/>
        <w:rPr>
          <w:rFonts w:ascii="Arial" w:hAnsi="Arial" w:cs="Arial"/>
          <w:i/>
        </w:rPr>
      </w:pPr>
    </w:p>
    <w:p w14:paraId="63DA1D4D" w14:textId="6F9083AA"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246695" w:rsidRPr="00246695">
        <w:rPr>
          <w:rFonts w:ascii="Arial" w:hAnsi="Arial" w:cs="Arial"/>
          <w:iCs/>
        </w:rPr>
        <w:t>Professional Life Quality, Career Sustainability, Public Elementary School Teachers, Descriptive-Correlational</w:t>
      </w:r>
    </w:p>
    <w:p w14:paraId="63A7B6AA" w14:textId="77777777" w:rsidR="00BB0E63" w:rsidRDefault="00BB0E63" w:rsidP="00BB0E63">
      <w:pPr>
        <w:jc w:val="both"/>
        <w:rPr>
          <w:rFonts w:ascii="Arial" w:hAnsi="Arial" w:cs="Arial"/>
        </w:rPr>
      </w:pPr>
    </w:p>
    <w:p w14:paraId="0C7D9A8E" w14:textId="38321ED4" w:rsidR="00717F2E" w:rsidRDefault="00180859">
      <w:pPr>
        <w:pStyle w:val="AbstHead"/>
        <w:spacing w:after="0"/>
        <w:jc w:val="both"/>
        <w:rPr>
          <w:rFonts w:ascii="Arial" w:hAnsi="Arial" w:cs="Arial"/>
          <w:sz w:val="20"/>
        </w:rPr>
      </w:pPr>
      <w:r w:rsidRPr="00D003FA">
        <w:rPr>
          <w:rFonts w:ascii="Arial" w:hAnsi="Arial" w:cs="Arial"/>
          <w:sz w:val="20"/>
          <w:highlight w:val="yellow"/>
        </w:rPr>
        <w:t>1.</w:t>
      </w:r>
      <w:r w:rsidR="00D003FA" w:rsidRPr="00D003FA">
        <w:rPr>
          <w:rFonts w:ascii="Arial" w:hAnsi="Arial" w:cs="Arial"/>
          <w:sz w:val="20"/>
          <w:highlight w:val="yellow"/>
        </w:rPr>
        <w:t>0</w:t>
      </w:r>
      <w:r w:rsidRPr="00D003FA">
        <w:rPr>
          <w:rFonts w:ascii="Arial" w:hAnsi="Arial" w:cs="Arial"/>
          <w:sz w:val="20"/>
          <w:highlight w:val="yellow"/>
        </w:rPr>
        <w:t xml:space="preserve"> INTRODUCTION</w:t>
      </w:r>
    </w:p>
    <w:p w14:paraId="499EF934" w14:textId="77777777" w:rsidR="00717F2E" w:rsidRDefault="00717F2E">
      <w:pPr>
        <w:pStyle w:val="AbstHead"/>
        <w:spacing w:after="0"/>
        <w:jc w:val="both"/>
        <w:rPr>
          <w:rFonts w:ascii="Arial" w:hAnsi="Arial" w:cs="Arial"/>
          <w:sz w:val="20"/>
        </w:rPr>
      </w:pPr>
    </w:p>
    <w:p w14:paraId="31DC7E32" w14:textId="11B3496C" w:rsidR="00246695" w:rsidRPr="00246695" w:rsidRDefault="00495DCC" w:rsidP="00246695">
      <w:pPr>
        <w:jc w:val="both"/>
        <w:rPr>
          <w:rFonts w:ascii="Arial" w:hAnsi="Arial"/>
        </w:rPr>
      </w:pPr>
      <w:r>
        <w:rPr>
          <w:rFonts w:ascii="Arial" w:hAnsi="Arial"/>
        </w:rPr>
        <w:t>T</w:t>
      </w:r>
      <w:r w:rsidR="00246695" w:rsidRPr="00246695">
        <w:rPr>
          <w:rFonts w:ascii="Arial" w:hAnsi="Arial"/>
        </w:rPr>
        <w:t>he teaching profession is often regarded as a noble yet demanding career. However, many teachers worldwide face challenges that hinder their long-term commitment to the profession, leading to poor career sustainability. Factors such as low salaries, heavy workloads, lack of professional growth, and workplace stress contribute to teacher burnout and attrition. The inability to sustain a career in teaching not only affects individual educators but also impacts the quality of education provided to students.</w:t>
      </w:r>
    </w:p>
    <w:p w14:paraId="4901CCA3" w14:textId="77777777" w:rsidR="00977342" w:rsidRDefault="00977342" w:rsidP="00246695">
      <w:pPr>
        <w:jc w:val="both"/>
        <w:rPr>
          <w:rFonts w:ascii="Arial" w:hAnsi="Arial"/>
        </w:rPr>
      </w:pPr>
    </w:p>
    <w:p w14:paraId="72E210AA" w14:textId="652B4BA4" w:rsidR="00246695" w:rsidRPr="00246695" w:rsidRDefault="00246695" w:rsidP="00246695">
      <w:pPr>
        <w:jc w:val="both"/>
        <w:rPr>
          <w:rFonts w:ascii="Arial" w:hAnsi="Arial"/>
        </w:rPr>
      </w:pPr>
      <w:r w:rsidRPr="00246695">
        <w:rPr>
          <w:rFonts w:ascii="Arial" w:hAnsi="Arial"/>
        </w:rPr>
        <w:t>Globally, the issue of poor career sustainability among teachers has been a persistent challenge in various educational systems. In Finland, teachers leave the profession due to job dissatisfaction, lack of institutional support, and unfavorable working conditions (Räsänen et al., 2020). In Belgium, high turnover rates among teachers are linked to inadequate salaries and excessive administrative burdens (</w:t>
      </w:r>
      <w:proofErr w:type="spellStart"/>
      <w:r w:rsidRPr="00246695">
        <w:rPr>
          <w:rFonts w:ascii="Arial" w:hAnsi="Arial"/>
        </w:rPr>
        <w:t>Amitai</w:t>
      </w:r>
      <w:proofErr w:type="spellEnd"/>
      <w:r w:rsidRPr="00246695">
        <w:rPr>
          <w:rFonts w:ascii="Arial" w:hAnsi="Arial"/>
        </w:rPr>
        <w:t xml:space="preserve"> &amp; Van </w:t>
      </w:r>
      <w:proofErr w:type="spellStart"/>
      <w:r w:rsidRPr="00246695">
        <w:rPr>
          <w:rFonts w:ascii="Arial" w:hAnsi="Arial"/>
        </w:rPr>
        <w:t>Houtte</w:t>
      </w:r>
      <w:proofErr w:type="spellEnd"/>
      <w:r w:rsidRPr="00246695">
        <w:rPr>
          <w:rFonts w:ascii="Arial" w:hAnsi="Arial"/>
        </w:rPr>
        <w:t>, 2022). Similarly, Australia faced the problem of retaining qualified educators due to economic instability and limited access to professional development opportunities (Heffernan et al., 2022).</w:t>
      </w:r>
    </w:p>
    <w:p w14:paraId="65A6350E" w14:textId="77777777" w:rsidR="00246695" w:rsidRPr="00246695" w:rsidRDefault="00246695" w:rsidP="00246695">
      <w:pPr>
        <w:jc w:val="both"/>
        <w:rPr>
          <w:rFonts w:ascii="Arial" w:hAnsi="Arial"/>
        </w:rPr>
      </w:pPr>
      <w:r w:rsidRPr="00246695">
        <w:rPr>
          <w:rFonts w:ascii="Arial" w:hAnsi="Arial"/>
        </w:rPr>
        <w:t xml:space="preserve">One of the key connections between professional life quality and career sustainability is job satisfaction. Individuals who are satisfied with their professional conditions are more likely to remain committed to their careers (Chanana &amp; Sangeeta, 2021). Likewise, job satisfaction </w:t>
      </w:r>
      <w:r w:rsidRPr="00246695">
        <w:rPr>
          <w:rFonts w:ascii="Arial" w:hAnsi="Arial"/>
        </w:rPr>
        <w:lastRenderedPageBreak/>
        <w:t xml:space="preserve">directly influences career sustainability by fostering long-term engagement (Sypniewska et al., 2023). </w:t>
      </w:r>
    </w:p>
    <w:p w14:paraId="344E381F" w14:textId="77777777" w:rsidR="00246695" w:rsidRPr="00246695" w:rsidRDefault="00246695" w:rsidP="00246695">
      <w:pPr>
        <w:jc w:val="both"/>
        <w:rPr>
          <w:rFonts w:ascii="Arial" w:hAnsi="Arial"/>
        </w:rPr>
      </w:pPr>
    </w:p>
    <w:p w14:paraId="21CB74D6" w14:textId="06B4B5CB" w:rsidR="00246695" w:rsidRPr="00246695" w:rsidRDefault="00246695" w:rsidP="00246695">
      <w:pPr>
        <w:jc w:val="both"/>
        <w:rPr>
          <w:rFonts w:ascii="Arial" w:hAnsi="Arial"/>
        </w:rPr>
      </w:pPr>
      <w:r w:rsidRPr="003A4E74">
        <w:rPr>
          <w:rFonts w:ascii="Arial" w:hAnsi="Arial"/>
          <w:highlight w:val="yellow"/>
        </w:rPr>
        <w:t>Furthermore, organizations that prioritize employee well-being create an environment that supports career growth and stability (Sinsky et al., 2020).</w:t>
      </w:r>
      <w:r w:rsidR="000A4361" w:rsidRPr="003A4E74">
        <w:rPr>
          <w:rFonts w:ascii="Arial" w:hAnsi="Arial"/>
          <w:highlight w:val="yellow"/>
        </w:rPr>
        <w:t xml:space="preserve"> </w:t>
      </w:r>
      <w:r w:rsidRPr="003A4E74">
        <w:rPr>
          <w:rFonts w:ascii="Arial" w:hAnsi="Arial"/>
          <w:highlight w:val="yellow"/>
        </w:rPr>
        <w:t>Wo</w:t>
      </w:r>
      <w:r w:rsidRPr="00246695">
        <w:rPr>
          <w:rFonts w:ascii="Arial" w:hAnsi="Arial"/>
        </w:rPr>
        <w:t>rk-life balance is another critical factor linking professional life quality and career sustainability. Professionals who experience a balance between work and personal life demonstrate higher levels of job retention Bae et al., (2020). Similarly, organizations that support flexible working conditions contribute to career longevity (Weideman &amp; Hofmeyr, 2020). Additionally, employees who can effectively manage their professional and personal responsibilities are more likely to sustain long-term careers (Van der Heijden et al., 2020).</w:t>
      </w:r>
    </w:p>
    <w:p w14:paraId="47B3D690" w14:textId="77777777" w:rsidR="00495DCC" w:rsidRDefault="00495DCC" w:rsidP="00246695">
      <w:pPr>
        <w:jc w:val="both"/>
        <w:rPr>
          <w:rFonts w:ascii="Arial" w:hAnsi="Arial"/>
        </w:rPr>
      </w:pPr>
    </w:p>
    <w:p w14:paraId="154DF296" w14:textId="2DCF52FA" w:rsidR="00246695" w:rsidRPr="00246695" w:rsidRDefault="00246695" w:rsidP="00246695">
      <w:pPr>
        <w:jc w:val="both"/>
        <w:rPr>
          <w:rFonts w:ascii="Arial" w:hAnsi="Arial"/>
        </w:rPr>
      </w:pPr>
      <w:r w:rsidRPr="00246695">
        <w:rPr>
          <w:rFonts w:ascii="Arial" w:hAnsi="Arial"/>
        </w:rPr>
        <w:t xml:space="preserve">In the Philippines, teacher career sustainability remains a pressing concern, especially in public schools. Many Filipino teachers in Makati, San Juan, and Taguig experience financial struggles due to low wages, forcing them to seek additional jobs or even migrate abroad for better opportunities (Tan &amp; </w:t>
      </w:r>
      <w:proofErr w:type="spellStart"/>
      <w:r w:rsidRPr="00246695">
        <w:rPr>
          <w:rFonts w:ascii="Arial" w:hAnsi="Arial"/>
        </w:rPr>
        <w:t>Urdan</w:t>
      </w:r>
      <w:proofErr w:type="spellEnd"/>
      <w:r w:rsidRPr="00246695">
        <w:rPr>
          <w:rFonts w:ascii="Arial" w:hAnsi="Arial"/>
        </w:rPr>
        <w:t>, 2025). Additionally, overcrowded classrooms, excessive workload, and bureaucratic inefficiencies in Ormoc City contribute to teacher burnout (</w:t>
      </w:r>
      <w:proofErr w:type="spellStart"/>
      <w:r w:rsidRPr="00246695">
        <w:rPr>
          <w:rFonts w:ascii="Arial" w:hAnsi="Arial"/>
        </w:rPr>
        <w:t>Malquisto</w:t>
      </w:r>
      <w:proofErr w:type="spellEnd"/>
      <w:r w:rsidRPr="00246695">
        <w:rPr>
          <w:rFonts w:ascii="Arial" w:hAnsi="Arial"/>
        </w:rPr>
        <w:t xml:space="preserve"> et al., 2023). </w:t>
      </w:r>
      <w:r w:rsidR="00495DCC" w:rsidRPr="00495DCC">
        <w:rPr>
          <w:rFonts w:ascii="Arial" w:hAnsi="Arial"/>
        </w:rPr>
        <w:t>Many educators opt for early retirement or career shifts due to mental and physical exhaustion (</w:t>
      </w:r>
      <w:proofErr w:type="spellStart"/>
      <w:r w:rsidR="00495DCC" w:rsidRPr="00495DCC">
        <w:rPr>
          <w:rFonts w:ascii="Arial" w:hAnsi="Arial"/>
        </w:rPr>
        <w:t>Bangao</w:t>
      </w:r>
      <w:proofErr w:type="spellEnd"/>
      <w:r w:rsidR="00495DCC" w:rsidRPr="00495DCC">
        <w:rPr>
          <w:rFonts w:ascii="Arial" w:hAnsi="Arial"/>
        </w:rPr>
        <w:t>, 2020).</w:t>
      </w:r>
    </w:p>
    <w:p w14:paraId="12BA897E" w14:textId="77777777" w:rsidR="00246695" w:rsidRDefault="00246695" w:rsidP="00246695">
      <w:pPr>
        <w:jc w:val="both"/>
        <w:rPr>
          <w:rFonts w:ascii="Arial" w:hAnsi="Arial"/>
        </w:rPr>
      </w:pPr>
    </w:p>
    <w:p w14:paraId="6A602AD9" w14:textId="5C35B055" w:rsidR="00246695" w:rsidRPr="00246695" w:rsidRDefault="00246695" w:rsidP="00246695">
      <w:pPr>
        <w:jc w:val="both"/>
        <w:rPr>
          <w:rFonts w:ascii="Arial" w:hAnsi="Arial"/>
        </w:rPr>
      </w:pPr>
      <w:r w:rsidRPr="00246695">
        <w:rPr>
          <w:rFonts w:ascii="Arial" w:hAnsi="Arial"/>
        </w:rPr>
        <w:t>The quality of professional life plays a crucial role in determining the sustainability of a teacher’s career (</w:t>
      </w:r>
      <w:proofErr w:type="spellStart"/>
      <w:r w:rsidRPr="00246695">
        <w:rPr>
          <w:rFonts w:ascii="Arial" w:hAnsi="Arial"/>
        </w:rPr>
        <w:t>Maarefvand</w:t>
      </w:r>
      <w:proofErr w:type="spellEnd"/>
      <w:r w:rsidRPr="00246695">
        <w:rPr>
          <w:rFonts w:ascii="Arial" w:hAnsi="Arial"/>
        </w:rPr>
        <w:t xml:space="preserve"> &amp; </w:t>
      </w:r>
      <w:proofErr w:type="spellStart"/>
      <w:r w:rsidRPr="00246695">
        <w:rPr>
          <w:rFonts w:ascii="Arial" w:hAnsi="Arial"/>
        </w:rPr>
        <w:t>Shafiabady</w:t>
      </w:r>
      <w:proofErr w:type="spellEnd"/>
      <w:r w:rsidRPr="00246695">
        <w:rPr>
          <w:rFonts w:ascii="Arial" w:hAnsi="Arial"/>
        </w:rPr>
        <w:t>, 2024). Factors such as job satisfaction, work-life balance, institutional support, and professional development opportunities significantly influence a teacher’s decision to remain in the profession (</w:t>
      </w:r>
      <w:proofErr w:type="spellStart"/>
      <w:r w:rsidRPr="00246695">
        <w:rPr>
          <w:rFonts w:ascii="Arial" w:hAnsi="Arial"/>
        </w:rPr>
        <w:t>Meesuk</w:t>
      </w:r>
      <w:proofErr w:type="spellEnd"/>
      <w:r w:rsidRPr="00246695">
        <w:rPr>
          <w:rFonts w:ascii="Arial" w:hAnsi="Arial"/>
        </w:rPr>
        <w:t xml:space="preserve"> et al., 2020). When teachers feel valued, adequately compensated, and supported by their institutions, they are more likely to experience job satisfaction and long-term career commitment (Verbeek et al., 2020). Conversely, poor professional life quality can lead to burnout, decreased motivation, and eventual departure from the field, thereby affecting both educators and the education system as a whole (</w:t>
      </w:r>
      <w:proofErr w:type="spellStart"/>
      <w:r w:rsidRPr="00246695">
        <w:rPr>
          <w:rFonts w:ascii="Arial" w:hAnsi="Arial"/>
        </w:rPr>
        <w:t>Hlaďo</w:t>
      </w:r>
      <w:proofErr w:type="spellEnd"/>
      <w:r w:rsidRPr="00246695">
        <w:rPr>
          <w:rFonts w:ascii="Arial" w:hAnsi="Arial"/>
        </w:rPr>
        <w:t xml:space="preserve"> et al., 2020).</w:t>
      </w:r>
    </w:p>
    <w:p w14:paraId="1B8D4C3F" w14:textId="77777777" w:rsidR="00495DCC" w:rsidRDefault="00495DCC" w:rsidP="00246695">
      <w:pPr>
        <w:jc w:val="both"/>
        <w:rPr>
          <w:rFonts w:ascii="Arial" w:hAnsi="Arial"/>
        </w:rPr>
      </w:pPr>
    </w:p>
    <w:p w14:paraId="0658B62E" w14:textId="2A550AD5" w:rsidR="00246695" w:rsidRPr="00246695" w:rsidRDefault="00246695" w:rsidP="00246695">
      <w:pPr>
        <w:jc w:val="both"/>
        <w:rPr>
          <w:rFonts w:ascii="Arial" w:hAnsi="Arial"/>
        </w:rPr>
      </w:pPr>
      <w:r w:rsidRPr="00246695">
        <w:rPr>
          <w:rFonts w:ascii="Arial" w:hAnsi="Arial"/>
        </w:rPr>
        <w:t>Safe and healthy working conditions also play a crucial role in sustaining a career. It is found that individuals working in supportive and secure environments exhibit greater career satisfaction and resilience (</w:t>
      </w:r>
      <w:proofErr w:type="spellStart"/>
      <w:r w:rsidRPr="00246695">
        <w:rPr>
          <w:rFonts w:ascii="Arial" w:hAnsi="Arial"/>
        </w:rPr>
        <w:t>Benevene</w:t>
      </w:r>
      <w:proofErr w:type="spellEnd"/>
      <w:r w:rsidRPr="00246695">
        <w:rPr>
          <w:rFonts w:ascii="Arial" w:hAnsi="Arial"/>
        </w:rPr>
        <w:t xml:space="preserve"> et al., 2020). Similarly, workplace safety and adequate resources reduce job-related stress, allowing professionals to maintain career momentum (Mitra et al., 2024). Furthermore, employees who feel safe and valued in their work environments are more likely to invest in long-term career development (Mahand &amp; Caldwell, 2023).</w:t>
      </w:r>
    </w:p>
    <w:p w14:paraId="662C31D5" w14:textId="77777777" w:rsidR="00246695" w:rsidRDefault="00246695" w:rsidP="00246695">
      <w:pPr>
        <w:jc w:val="both"/>
        <w:rPr>
          <w:rFonts w:ascii="Arial" w:hAnsi="Arial"/>
        </w:rPr>
      </w:pPr>
    </w:p>
    <w:p w14:paraId="1451B30B" w14:textId="38FD3D7A" w:rsidR="00246695" w:rsidRPr="00246695" w:rsidRDefault="00246695" w:rsidP="00246695">
      <w:pPr>
        <w:jc w:val="both"/>
        <w:rPr>
          <w:rFonts w:ascii="Arial" w:hAnsi="Arial"/>
        </w:rPr>
      </w:pPr>
      <w:r w:rsidRPr="00246695">
        <w:rPr>
          <w:rFonts w:ascii="Arial" w:hAnsi="Arial"/>
        </w:rPr>
        <w:t xml:space="preserve">In </w:t>
      </w:r>
      <w:proofErr w:type="spellStart"/>
      <w:r w:rsidRPr="00246695">
        <w:rPr>
          <w:rFonts w:ascii="Arial" w:hAnsi="Arial"/>
        </w:rPr>
        <w:t>Paquibato</w:t>
      </w:r>
      <w:proofErr w:type="spellEnd"/>
      <w:r w:rsidRPr="00246695">
        <w:rPr>
          <w:rFonts w:ascii="Arial" w:hAnsi="Arial"/>
        </w:rPr>
        <w:t xml:space="preserve"> District, Division of Davao City, the problem of poor career sustainability among teachers is also evident, particularly in public elementary schools. Many teachers in the city face similar challenges, including limited career advancement opportunities, low compensation, and the pressure of handling large class </w:t>
      </w:r>
      <w:proofErr w:type="gramStart"/>
      <w:r w:rsidRPr="00246695">
        <w:rPr>
          <w:rFonts w:ascii="Arial" w:hAnsi="Arial"/>
        </w:rPr>
        <w:t>sizes .</w:t>
      </w:r>
      <w:proofErr w:type="gramEnd"/>
      <w:r w:rsidRPr="00246695">
        <w:rPr>
          <w:rFonts w:ascii="Arial" w:hAnsi="Arial"/>
        </w:rPr>
        <w:t xml:space="preserve"> Additionally, teachers in public schools often experience difficulties in accessing mental health support and work-life balance strategies, further affecting their motivation and retention in the profession.</w:t>
      </w:r>
    </w:p>
    <w:p w14:paraId="10F7E7DD" w14:textId="77777777" w:rsidR="00CF1325" w:rsidRPr="00CF1325" w:rsidRDefault="00CF1325" w:rsidP="00246695">
      <w:pPr>
        <w:jc w:val="both"/>
        <w:rPr>
          <w:rFonts w:ascii="Arial" w:hAnsi="Arial"/>
          <w:b/>
        </w:rPr>
      </w:pPr>
    </w:p>
    <w:p w14:paraId="647B819F" w14:textId="4BAF3672" w:rsidR="00CF1325" w:rsidRPr="00CF1325" w:rsidRDefault="00CF1325" w:rsidP="00246695">
      <w:pPr>
        <w:jc w:val="both"/>
        <w:rPr>
          <w:rFonts w:ascii="Arial" w:hAnsi="Arial"/>
          <w:b/>
        </w:rPr>
      </w:pPr>
      <w:r w:rsidRPr="00CF1325">
        <w:rPr>
          <w:rFonts w:ascii="Arial" w:hAnsi="Arial"/>
          <w:b/>
          <w:highlight w:val="yellow"/>
        </w:rPr>
        <w:t>1.1 Statement of the Problem</w:t>
      </w:r>
    </w:p>
    <w:p w14:paraId="331C1ED1" w14:textId="77777777" w:rsidR="00CF1325" w:rsidRDefault="00CF1325" w:rsidP="00246695">
      <w:pPr>
        <w:jc w:val="both"/>
        <w:rPr>
          <w:rFonts w:ascii="Arial" w:hAnsi="Arial"/>
        </w:rPr>
      </w:pPr>
    </w:p>
    <w:p w14:paraId="7AEEE99D" w14:textId="429D99A5" w:rsidR="0074551A" w:rsidRDefault="00246695" w:rsidP="00246695">
      <w:pPr>
        <w:jc w:val="both"/>
        <w:rPr>
          <w:rFonts w:ascii="Arial" w:eastAsia="MS Mincho" w:hAnsi="Arial" w:cs="Arial"/>
          <w:b/>
          <w:bCs/>
          <w:lang w:eastAsia="ja-JP"/>
        </w:rPr>
      </w:pPr>
      <w:r w:rsidRPr="00246695">
        <w:rPr>
          <w:rFonts w:ascii="Arial" w:hAnsi="Arial"/>
        </w:rPr>
        <w:t xml:space="preserve">To promote professionalism and sustainability in </w:t>
      </w:r>
      <w:proofErr w:type="gramStart"/>
      <w:r w:rsidRPr="00246695">
        <w:rPr>
          <w:rFonts w:ascii="Arial" w:hAnsi="Arial"/>
        </w:rPr>
        <w:t>teaching,  this</w:t>
      </w:r>
      <w:proofErr w:type="gramEnd"/>
      <w:r w:rsidRPr="00246695">
        <w:rPr>
          <w:rFonts w:ascii="Arial" w:hAnsi="Arial"/>
        </w:rPr>
        <w:t xml:space="preserve"> study aims to determine the relationship between professional life quality and career sustainability among public elementary school teachers in </w:t>
      </w:r>
      <w:proofErr w:type="spellStart"/>
      <w:r w:rsidRPr="00246695">
        <w:rPr>
          <w:rFonts w:ascii="Arial" w:hAnsi="Arial"/>
        </w:rPr>
        <w:t>Paquibato</w:t>
      </w:r>
      <w:proofErr w:type="spellEnd"/>
      <w:r w:rsidRPr="00246695">
        <w:rPr>
          <w:rFonts w:ascii="Arial" w:hAnsi="Arial"/>
        </w:rPr>
        <w:t xml:space="preserve"> District, Division of Davao City. Given the alarming rate of teacher burnout and attrition, it is urgent to conduct this research to identify key factors affecting career sustainability and provide recommendations for improving teacher retention. The findings of this study will be significant for educational policymakers, school </w:t>
      </w:r>
      <w:r w:rsidRPr="00246695">
        <w:rPr>
          <w:rFonts w:ascii="Arial" w:hAnsi="Arial"/>
        </w:rPr>
        <w:lastRenderedPageBreak/>
        <w:t>administrators, and teacher support organizations in implementing effective strategies to enhance professional life quality, ultimately ensuring a more sustainable teaching workforce in public elementary schools.</w:t>
      </w:r>
    </w:p>
    <w:p w14:paraId="24AB303C" w14:textId="77777777" w:rsidR="0074551A" w:rsidRDefault="0074551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331A57D8" w:rsidR="003227FA" w:rsidRDefault="00246695" w:rsidP="003340B8">
      <w:pPr>
        <w:jc w:val="center"/>
        <w:rPr>
          <w:rFonts w:ascii="Arial" w:eastAsia="MS Mincho" w:hAnsi="Arial" w:cs="Arial"/>
          <w:b/>
          <w:bCs/>
          <w:lang w:eastAsia="ja-JP"/>
        </w:rPr>
      </w:pPr>
      <w:r w:rsidRPr="00246695">
        <w:rPr>
          <w:noProof/>
        </w:rPr>
        <w:drawing>
          <wp:inline distT="0" distB="0" distL="0" distR="0" wp14:anchorId="3A6D377F" wp14:editId="015C47DC">
            <wp:extent cx="3595880" cy="1934270"/>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5327" cy="1987764"/>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1C830B55" w:rsidR="000D23E6" w:rsidRPr="000D23E6" w:rsidRDefault="00CF1325" w:rsidP="000D23E6">
      <w:pPr>
        <w:rPr>
          <w:rFonts w:ascii="Arial" w:eastAsia="MS Mincho" w:hAnsi="Arial" w:cs="Arial"/>
          <w:b/>
          <w:lang w:eastAsia="ja-JP"/>
        </w:rPr>
      </w:pPr>
      <w:r>
        <w:rPr>
          <w:rFonts w:ascii="Arial" w:eastAsia="MS Mincho" w:hAnsi="Arial" w:cs="Arial"/>
          <w:b/>
          <w:highlight w:val="yellow"/>
          <w:lang w:eastAsia="ja-JP"/>
        </w:rPr>
        <w:t>1.2</w:t>
      </w:r>
      <w:r w:rsidR="002F5C4B" w:rsidRPr="00CF1325">
        <w:rPr>
          <w:rFonts w:ascii="Arial" w:eastAsia="MS Mincho" w:hAnsi="Arial" w:cs="Arial"/>
          <w:b/>
          <w:highlight w:val="yellow"/>
          <w:lang w:eastAsia="ja-JP"/>
        </w:rPr>
        <w:t xml:space="preserve"> </w:t>
      </w:r>
      <w:r w:rsidRPr="00CF1325">
        <w:rPr>
          <w:rFonts w:ascii="Arial" w:eastAsia="MS Mincho" w:hAnsi="Arial" w:cs="Arial"/>
          <w:b/>
          <w:highlight w:val="yellow"/>
          <w:lang w:eastAsia="ja-JP"/>
        </w:rPr>
        <w:t>Research Questions</w:t>
      </w:r>
    </w:p>
    <w:p w14:paraId="71350A61" w14:textId="77777777" w:rsidR="000D23E6" w:rsidRPr="000D23E6" w:rsidRDefault="000D23E6" w:rsidP="000D23E6">
      <w:pPr>
        <w:rPr>
          <w:rFonts w:ascii="Arial" w:eastAsia="MS Mincho" w:hAnsi="Arial" w:cs="Arial"/>
          <w:lang w:eastAsia="ja-JP"/>
        </w:rPr>
      </w:pPr>
    </w:p>
    <w:p w14:paraId="4FF3916D" w14:textId="77777777" w:rsidR="00246695" w:rsidRPr="00246695" w:rsidRDefault="00246695" w:rsidP="00246695">
      <w:pPr>
        <w:jc w:val="both"/>
        <w:rPr>
          <w:rFonts w:ascii="Arial" w:eastAsia="MS Mincho" w:hAnsi="Arial" w:cs="Arial"/>
          <w:lang w:eastAsia="ja-JP"/>
        </w:rPr>
      </w:pPr>
      <w:r w:rsidRPr="00246695">
        <w:rPr>
          <w:rFonts w:ascii="Arial" w:eastAsia="MS Mincho" w:hAnsi="Arial" w:cs="Arial"/>
          <w:lang w:eastAsia="ja-JP"/>
        </w:rPr>
        <w:t xml:space="preserve">This study aimed to determine the significant relationship between professional life quality and career sustainability of public elementary school teachers in </w:t>
      </w:r>
      <w:proofErr w:type="spellStart"/>
      <w:r w:rsidRPr="00246695">
        <w:rPr>
          <w:rFonts w:ascii="Arial" w:eastAsia="MS Mincho" w:hAnsi="Arial" w:cs="Arial"/>
          <w:lang w:eastAsia="ja-JP"/>
        </w:rPr>
        <w:t>Paquibato</w:t>
      </w:r>
      <w:proofErr w:type="spellEnd"/>
      <w:r w:rsidRPr="00246695">
        <w:rPr>
          <w:rFonts w:ascii="Arial" w:eastAsia="MS Mincho" w:hAnsi="Arial" w:cs="Arial"/>
          <w:lang w:eastAsia="ja-JP"/>
        </w:rPr>
        <w:t xml:space="preserve"> District, Division of Davao City.  Specifically, it sought to answer the following questions:</w:t>
      </w:r>
    </w:p>
    <w:p w14:paraId="1F472914"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0005F780" w14:textId="77777777" w:rsidR="00977342" w:rsidRDefault="00246695" w:rsidP="00246695">
      <w:pPr>
        <w:rPr>
          <w:rFonts w:ascii="Arial" w:eastAsia="MS Mincho" w:hAnsi="Arial" w:cs="Arial"/>
          <w:lang w:eastAsia="ja-JP"/>
        </w:rPr>
      </w:pPr>
      <w:r w:rsidRPr="00246695">
        <w:rPr>
          <w:rFonts w:ascii="Arial" w:eastAsia="MS Mincho" w:hAnsi="Arial" w:cs="Arial"/>
          <w:lang w:eastAsia="ja-JP"/>
        </w:rPr>
        <w:t xml:space="preserve">  1. What is the extent of professional life quality of publi</w:t>
      </w:r>
      <w:r w:rsidR="00977342">
        <w:rPr>
          <w:rFonts w:ascii="Arial" w:eastAsia="MS Mincho" w:hAnsi="Arial" w:cs="Arial"/>
          <w:lang w:eastAsia="ja-JP"/>
        </w:rPr>
        <w:t xml:space="preserve">c elementary school teachers in    </w:t>
      </w:r>
    </w:p>
    <w:p w14:paraId="4E1EF5D6" w14:textId="36063C66"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terms of:</w:t>
      </w:r>
    </w:p>
    <w:p w14:paraId="14C9FA85"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1.1 total living space;</w:t>
      </w:r>
    </w:p>
    <w:p w14:paraId="239C89C0"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1.2 safe and healthy working conditions;</w:t>
      </w:r>
    </w:p>
    <w:p w14:paraId="475D3E86"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1.3 development of worker capacity; and</w:t>
      </w:r>
    </w:p>
    <w:p w14:paraId="5F348839"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1.4 social responsibility?</w:t>
      </w:r>
    </w:p>
    <w:p w14:paraId="228380C5"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502F3092" w14:textId="77777777" w:rsidR="00977342" w:rsidRDefault="00246695" w:rsidP="00246695">
      <w:pPr>
        <w:rPr>
          <w:rFonts w:ascii="Arial" w:eastAsia="MS Mincho" w:hAnsi="Arial" w:cs="Arial"/>
          <w:lang w:eastAsia="ja-JP"/>
        </w:rPr>
      </w:pPr>
      <w:r w:rsidRPr="00246695">
        <w:rPr>
          <w:rFonts w:ascii="Arial" w:eastAsia="MS Mincho" w:hAnsi="Arial" w:cs="Arial"/>
          <w:lang w:eastAsia="ja-JP"/>
        </w:rPr>
        <w:t xml:space="preserve"> 2. What is the extent of career sustainability of public elementary</w:t>
      </w:r>
      <w:r w:rsidR="00977342">
        <w:rPr>
          <w:rFonts w:ascii="Arial" w:eastAsia="MS Mincho" w:hAnsi="Arial" w:cs="Arial"/>
          <w:lang w:eastAsia="ja-JP"/>
        </w:rPr>
        <w:t xml:space="preserve"> school teachers in terms </w:t>
      </w:r>
    </w:p>
    <w:p w14:paraId="7D5AE1F9" w14:textId="78C0E655"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of:</w:t>
      </w:r>
    </w:p>
    <w:p w14:paraId="229C038C" w14:textId="77777777" w:rsidR="00246695" w:rsidRPr="00246695" w:rsidRDefault="00246695" w:rsidP="00977342">
      <w:pPr>
        <w:ind w:left="90"/>
        <w:rPr>
          <w:rFonts w:ascii="Arial" w:eastAsia="MS Mincho" w:hAnsi="Arial" w:cs="Arial"/>
          <w:lang w:eastAsia="ja-JP"/>
        </w:rPr>
      </w:pPr>
      <w:r w:rsidRPr="00246695">
        <w:rPr>
          <w:rFonts w:ascii="Arial" w:eastAsia="MS Mincho" w:hAnsi="Arial" w:cs="Arial"/>
          <w:lang w:eastAsia="ja-JP"/>
        </w:rPr>
        <w:t>2.1 meaning perception;</w:t>
      </w:r>
    </w:p>
    <w:p w14:paraId="5640CF86" w14:textId="77777777" w:rsidR="00246695" w:rsidRPr="00246695" w:rsidRDefault="00246695" w:rsidP="00977342">
      <w:pPr>
        <w:ind w:left="90"/>
        <w:rPr>
          <w:rFonts w:ascii="Arial" w:eastAsia="MS Mincho" w:hAnsi="Arial" w:cs="Arial"/>
          <w:lang w:eastAsia="ja-JP"/>
        </w:rPr>
      </w:pPr>
      <w:r w:rsidRPr="00246695">
        <w:rPr>
          <w:rFonts w:ascii="Arial" w:eastAsia="MS Mincho" w:hAnsi="Arial" w:cs="Arial"/>
          <w:lang w:eastAsia="ja-JP"/>
        </w:rPr>
        <w:t>2.2 skill acquisition; and</w:t>
      </w:r>
    </w:p>
    <w:p w14:paraId="0F663454" w14:textId="19ADBE37"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2.3 relationship building?</w:t>
      </w:r>
    </w:p>
    <w:p w14:paraId="129C1118"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5EF23C87" w14:textId="5F5D1FDC" w:rsidR="00246695" w:rsidRPr="00246695" w:rsidRDefault="00246695" w:rsidP="00246695">
      <w:pPr>
        <w:rPr>
          <w:rFonts w:ascii="Arial" w:eastAsia="MS Mincho" w:hAnsi="Arial" w:cs="Arial"/>
          <w:lang w:eastAsia="ja-JP"/>
        </w:rPr>
      </w:pPr>
      <w:r w:rsidRPr="00246695">
        <w:rPr>
          <w:rFonts w:ascii="Arial" w:eastAsia="MS Mincho" w:hAnsi="Arial" w:cs="Arial"/>
          <w:lang w:eastAsia="ja-JP"/>
        </w:rPr>
        <w:t xml:space="preserve"> 3. Is there a significant relationship between professional life quality and career sustainability?</w:t>
      </w:r>
    </w:p>
    <w:p w14:paraId="3BB1B8E4"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3243C943" w14:textId="067B1A6F" w:rsidR="00B43C88" w:rsidRPr="002F5C4B" w:rsidRDefault="00246695" w:rsidP="00246695">
      <w:pPr>
        <w:rPr>
          <w:rFonts w:ascii="Arial" w:eastAsia="MS Mincho" w:hAnsi="Arial" w:cs="Arial"/>
          <w:lang w:eastAsia="ja-JP"/>
        </w:rPr>
      </w:pPr>
      <w:r w:rsidRPr="00246695">
        <w:rPr>
          <w:rFonts w:ascii="Arial" w:eastAsia="MS Mincho" w:hAnsi="Arial" w:cs="Arial"/>
          <w:lang w:eastAsia="ja-JP"/>
        </w:rPr>
        <w:t xml:space="preserve"> 4. Which domains of professional life quality significantly influence career sustainability?</w:t>
      </w:r>
    </w:p>
    <w:p w14:paraId="53AF5706" w14:textId="77777777" w:rsidR="00246695" w:rsidRDefault="00246695" w:rsidP="002F5C4B">
      <w:pPr>
        <w:rPr>
          <w:rFonts w:ascii="Arial" w:eastAsia="MS Mincho" w:hAnsi="Arial" w:cs="Arial"/>
          <w:b/>
          <w:lang w:eastAsia="ja-JP"/>
        </w:rPr>
      </w:pPr>
    </w:p>
    <w:p w14:paraId="4110F409" w14:textId="5C8715EA" w:rsidR="002F5C4B" w:rsidRPr="002F5C4B" w:rsidRDefault="002F5C4B" w:rsidP="002F5C4B">
      <w:pPr>
        <w:rPr>
          <w:rFonts w:ascii="Arial" w:eastAsia="MS Mincho" w:hAnsi="Arial" w:cs="Arial"/>
          <w:b/>
          <w:lang w:eastAsia="ja-JP"/>
        </w:rPr>
      </w:pPr>
      <w:r w:rsidRPr="00D003FA">
        <w:rPr>
          <w:rFonts w:ascii="Arial" w:eastAsia="MS Mincho" w:hAnsi="Arial" w:cs="Arial"/>
          <w:b/>
          <w:highlight w:val="yellow"/>
          <w:lang w:eastAsia="ja-JP"/>
        </w:rPr>
        <w:t xml:space="preserve">1.2 </w:t>
      </w:r>
      <w:r w:rsidR="00D003FA" w:rsidRPr="00D003FA">
        <w:rPr>
          <w:rFonts w:ascii="Arial" w:eastAsia="MS Mincho" w:hAnsi="Arial" w:cs="Arial"/>
          <w:b/>
          <w:highlight w:val="yellow"/>
          <w:lang w:eastAsia="ja-JP"/>
        </w:rPr>
        <w:t xml:space="preserve">Research </w:t>
      </w:r>
      <w:r w:rsidRPr="00D003FA">
        <w:rPr>
          <w:rFonts w:ascii="Arial" w:eastAsia="MS Mincho" w:hAnsi="Arial" w:cs="Arial"/>
          <w:b/>
          <w:highlight w:val="yellow"/>
          <w:lang w:eastAsia="ja-JP"/>
        </w:rPr>
        <w:t>Hypotheses</w:t>
      </w:r>
    </w:p>
    <w:p w14:paraId="426EE532" w14:textId="77777777" w:rsidR="002F5C4B" w:rsidRPr="002F5C4B" w:rsidRDefault="002F5C4B" w:rsidP="002F5C4B">
      <w:pPr>
        <w:rPr>
          <w:rFonts w:ascii="Arial" w:eastAsia="MS Mincho" w:hAnsi="Arial" w:cs="Arial"/>
          <w:lang w:eastAsia="ja-JP"/>
        </w:rPr>
      </w:pPr>
    </w:p>
    <w:p w14:paraId="3EC56936" w14:textId="272357FC" w:rsidR="00D003FA" w:rsidRPr="00246695" w:rsidRDefault="00D003FA" w:rsidP="00D003FA">
      <w:pPr>
        <w:ind w:firstLine="720"/>
        <w:jc w:val="both"/>
        <w:rPr>
          <w:rFonts w:ascii="Arial" w:hAnsi="Arial" w:cs="Arial"/>
        </w:rPr>
      </w:pPr>
      <w:r>
        <w:rPr>
          <w:rFonts w:ascii="Arial" w:hAnsi="Arial" w:cs="Arial"/>
          <w:i/>
          <w:iCs/>
          <w:color w:val="0070C0"/>
        </w:rPr>
        <w:t>H</w:t>
      </w:r>
      <w:r w:rsidRPr="006D1BB1">
        <w:rPr>
          <w:rFonts w:ascii="Arial" w:hAnsi="Arial" w:cs="Arial"/>
          <w:i/>
          <w:iCs/>
          <w:color w:val="0070C0"/>
          <w:vertAlign w:val="subscript"/>
        </w:rPr>
        <w:t>o</w:t>
      </w:r>
      <w:r w:rsidRPr="00246695">
        <w:rPr>
          <w:rFonts w:ascii="Arial" w:hAnsi="Arial" w:cs="Arial"/>
        </w:rPr>
        <w:t>: There is no significant relationship between professional life quality and career sustainability.</w:t>
      </w:r>
    </w:p>
    <w:p w14:paraId="2761BBBA" w14:textId="5F1B5FAB" w:rsidR="000D23E6" w:rsidRDefault="00D003FA" w:rsidP="00D003FA">
      <w:pPr>
        <w:ind w:firstLine="720"/>
        <w:rPr>
          <w:rFonts w:ascii="Arial" w:hAnsi="Arial" w:cs="Arial"/>
        </w:rPr>
      </w:pPr>
      <w:r>
        <w:rPr>
          <w:rFonts w:ascii="Arial" w:hAnsi="Arial" w:cs="Arial"/>
          <w:i/>
          <w:iCs/>
          <w:color w:val="0070C0"/>
        </w:rPr>
        <w:t>H</w:t>
      </w:r>
      <w:r w:rsidRPr="006D1BB1">
        <w:rPr>
          <w:rFonts w:ascii="Arial" w:hAnsi="Arial" w:cs="Arial"/>
          <w:i/>
          <w:iCs/>
          <w:color w:val="0070C0"/>
          <w:vertAlign w:val="subscript"/>
        </w:rPr>
        <w:t>1</w:t>
      </w:r>
      <w:r w:rsidRPr="00246695">
        <w:rPr>
          <w:rFonts w:ascii="Arial" w:hAnsi="Arial" w:cs="Arial"/>
        </w:rPr>
        <w:t>: None of the domains of the readiness for professional life quality do not significantly influence career sustainability.</w:t>
      </w:r>
    </w:p>
    <w:p w14:paraId="1AB2BE9B" w14:textId="77777777" w:rsidR="00D003FA" w:rsidRDefault="00D003FA">
      <w:pPr>
        <w:pStyle w:val="AbstHead"/>
        <w:spacing w:after="0"/>
        <w:jc w:val="both"/>
        <w:rPr>
          <w:rFonts w:ascii="Arial" w:hAnsi="Arial" w:cs="Arial"/>
          <w:sz w:val="20"/>
        </w:rPr>
      </w:pPr>
    </w:p>
    <w:p w14:paraId="012EB897" w14:textId="5646F821" w:rsidR="00717F2E" w:rsidRDefault="00180859">
      <w:pPr>
        <w:pStyle w:val="AbstHead"/>
        <w:spacing w:after="0"/>
        <w:jc w:val="both"/>
        <w:rPr>
          <w:rFonts w:ascii="Arial" w:hAnsi="Arial" w:cs="Arial"/>
          <w:sz w:val="20"/>
        </w:rPr>
      </w:pPr>
      <w:r w:rsidRPr="00D003FA">
        <w:rPr>
          <w:rFonts w:ascii="Arial" w:hAnsi="Arial" w:cs="Arial"/>
          <w:sz w:val="20"/>
          <w:highlight w:val="yellow"/>
        </w:rPr>
        <w:t>2.</w:t>
      </w:r>
      <w:r w:rsidR="00D003FA" w:rsidRPr="00D003FA">
        <w:rPr>
          <w:rFonts w:ascii="Arial" w:hAnsi="Arial" w:cs="Arial"/>
          <w:sz w:val="20"/>
          <w:highlight w:val="yellow"/>
        </w:rPr>
        <w:t>0</w:t>
      </w:r>
      <w:r w:rsidRPr="00D003FA">
        <w:rPr>
          <w:rFonts w:ascii="Arial" w:hAnsi="Arial" w:cs="Arial"/>
          <w:sz w:val="20"/>
          <w:highlight w:val="yellow"/>
        </w:rPr>
        <w:t xml:space="preserve"> methodology</w:t>
      </w:r>
    </w:p>
    <w:p w14:paraId="2881E8B0" w14:textId="6A923E2C"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B1B48FD" w14:textId="7B2AEC8D" w:rsidR="00246695" w:rsidRDefault="00246695" w:rsidP="00246695">
      <w:pPr>
        <w:jc w:val="both"/>
        <w:rPr>
          <w:rFonts w:ascii="Arial" w:hAnsi="Arial" w:cs="Arial"/>
        </w:rPr>
      </w:pPr>
      <w:r w:rsidRPr="00246695">
        <w:rPr>
          <w:rFonts w:ascii="Arial" w:hAnsi="Arial" w:cs="Arial"/>
        </w:rPr>
        <w:t>This study employed a quantitative research design, specifically utilizing a descriptive correlational approach. Quantitative research systematically collects numerical data and applies statistical techniques to ensure objective, measurable, and reliable results (</w:t>
      </w:r>
      <w:proofErr w:type="spellStart"/>
      <w:r w:rsidR="005939DF" w:rsidRPr="005939DF">
        <w:rPr>
          <w:rFonts w:ascii="Arial" w:hAnsi="Arial" w:cs="Arial"/>
        </w:rPr>
        <w:t>Ghanad</w:t>
      </w:r>
      <w:proofErr w:type="spellEnd"/>
      <w:r w:rsidR="005939DF">
        <w:rPr>
          <w:rFonts w:ascii="Arial" w:hAnsi="Arial" w:cs="Arial"/>
        </w:rPr>
        <w:t>, 2023</w:t>
      </w:r>
      <w:r w:rsidRPr="00246695">
        <w:rPr>
          <w:rFonts w:ascii="Arial" w:hAnsi="Arial" w:cs="Arial"/>
        </w:rPr>
        <w:t>). By using standardized survey instruments, the study quantifies variables related to professional life quality and career sustainability, allowing for an accurate assessment of their relationship (</w:t>
      </w:r>
      <w:r w:rsidR="0074668B" w:rsidRPr="0074668B">
        <w:rPr>
          <w:rFonts w:ascii="Arial" w:hAnsi="Arial" w:cs="Arial"/>
        </w:rPr>
        <w:t>Stefana</w:t>
      </w:r>
      <w:r w:rsidR="0074668B">
        <w:rPr>
          <w:rFonts w:ascii="Arial" w:hAnsi="Arial" w:cs="Arial"/>
        </w:rPr>
        <w:t xml:space="preserve"> et al., 2021</w:t>
      </w:r>
      <w:r w:rsidRPr="00246695">
        <w:rPr>
          <w:rFonts w:ascii="Arial" w:hAnsi="Arial" w:cs="Arial"/>
        </w:rPr>
        <w:t>).</w:t>
      </w:r>
      <w:r w:rsidR="00977342">
        <w:rPr>
          <w:rFonts w:ascii="Arial" w:hAnsi="Arial" w:cs="Arial"/>
        </w:rPr>
        <w:t xml:space="preserve"> </w:t>
      </w:r>
      <w:r w:rsidRPr="00246695">
        <w:rPr>
          <w:rFonts w:ascii="Arial" w:hAnsi="Arial" w:cs="Arial"/>
        </w:rPr>
        <w:t>A non-experimental framework is adopted, focusing on naturally occurring relationships between variables without manipulating conditions (</w:t>
      </w:r>
      <w:r w:rsidR="0074668B" w:rsidRPr="0074668B">
        <w:rPr>
          <w:rFonts w:ascii="Arial" w:hAnsi="Arial" w:cs="Arial"/>
        </w:rPr>
        <w:t>Roberts</w:t>
      </w:r>
      <w:r w:rsidR="0074668B">
        <w:rPr>
          <w:rFonts w:ascii="Arial" w:hAnsi="Arial" w:cs="Arial"/>
        </w:rPr>
        <w:t>, 2021</w:t>
      </w:r>
      <w:r w:rsidRPr="00246695">
        <w:rPr>
          <w:rFonts w:ascii="Arial" w:hAnsi="Arial" w:cs="Arial"/>
        </w:rPr>
        <w:t>). Unlike experimental research, which seeks to establish causality, non-experimental research observes and describes how variables interact in real-world professional settings (</w:t>
      </w:r>
      <w:r w:rsidR="0074668B" w:rsidRPr="0074668B">
        <w:rPr>
          <w:rFonts w:ascii="Arial" w:hAnsi="Arial" w:cs="Arial"/>
        </w:rPr>
        <w:t>Aarsman</w:t>
      </w:r>
      <w:r w:rsidR="0074668B">
        <w:rPr>
          <w:rFonts w:ascii="Arial" w:hAnsi="Arial" w:cs="Arial"/>
        </w:rPr>
        <w:t xml:space="preserve"> et al., 2024</w:t>
      </w:r>
      <w:r w:rsidRPr="00246695">
        <w:rPr>
          <w:rFonts w:ascii="Arial" w:hAnsi="Arial" w:cs="Arial"/>
        </w:rPr>
        <w:t>).</w:t>
      </w:r>
    </w:p>
    <w:p w14:paraId="1A1E587E" w14:textId="77777777" w:rsidR="00246695" w:rsidRPr="00246695" w:rsidRDefault="00246695" w:rsidP="00246695">
      <w:pPr>
        <w:jc w:val="both"/>
        <w:rPr>
          <w:rFonts w:ascii="Arial" w:hAnsi="Arial" w:cs="Arial"/>
        </w:rPr>
      </w:pPr>
    </w:p>
    <w:p w14:paraId="70CBF317" w14:textId="32A0E8B7" w:rsidR="00246695" w:rsidRPr="00246695" w:rsidRDefault="00246695" w:rsidP="00246695">
      <w:pPr>
        <w:jc w:val="both"/>
        <w:rPr>
          <w:rFonts w:ascii="Arial" w:hAnsi="Arial" w:cs="Arial"/>
        </w:rPr>
      </w:pPr>
      <w:r w:rsidRPr="00246695">
        <w:rPr>
          <w:rFonts w:ascii="Arial" w:hAnsi="Arial" w:cs="Arial"/>
        </w:rPr>
        <w:t>The descriptive correlational approach is selected to explore and describe the association between professional life quality and career sustainability. This approach allows the study to measure the strength and direction of relationships among factors such as total living space, safe and healthy working conditions, development of worker capacity, and social responsibility in relation to career sustainability indicators such as meaning perception, skill acquisition, and relationship building (</w:t>
      </w:r>
      <w:proofErr w:type="spellStart"/>
      <w:r w:rsidR="00D62FB2" w:rsidRPr="00D62FB2">
        <w:rPr>
          <w:rFonts w:ascii="Arial" w:hAnsi="Arial" w:cs="Arial"/>
        </w:rPr>
        <w:t>Elshater</w:t>
      </w:r>
      <w:proofErr w:type="spellEnd"/>
      <w:r w:rsidR="00D62FB2">
        <w:rPr>
          <w:rFonts w:ascii="Arial" w:hAnsi="Arial" w:cs="Arial"/>
        </w:rPr>
        <w:t xml:space="preserve"> et al., 2022</w:t>
      </w:r>
      <w:r w:rsidRPr="00246695">
        <w:rPr>
          <w:rFonts w:ascii="Arial" w:hAnsi="Arial" w:cs="Arial"/>
        </w:rPr>
        <w:t>). Rather than establishing causation, the study aimed to determine whether and to what extent these variables are related, providing insights into how organizations can support employees' long-term career stability (</w:t>
      </w:r>
      <w:r w:rsidR="00D62FB2" w:rsidRPr="00D62FB2">
        <w:rPr>
          <w:rFonts w:ascii="Arial" w:hAnsi="Arial" w:cs="Arial"/>
        </w:rPr>
        <w:t>Gignac</w:t>
      </w:r>
      <w:r w:rsidR="00D62FB2">
        <w:rPr>
          <w:rFonts w:ascii="Arial" w:hAnsi="Arial" w:cs="Arial"/>
        </w:rPr>
        <w:t xml:space="preserve"> et al., 2021</w:t>
      </w:r>
      <w:r w:rsidRPr="00246695">
        <w:rPr>
          <w:rFonts w:ascii="Arial" w:hAnsi="Arial" w:cs="Arial"/>
        </w:rPr>
        <w:t>).</w:t>
      </w:r>
    </w:p>
    <w:p w14:paraId="7FCBE619" w14:textId="77777777" w:rsidR="00D62FB2" w:rsidRDefault="00D62FB2" w:rsidP="00246695">
      <w:pPr>
        <w:jc w:val="both"/>
        <w:rPr>
          <w:rFonts w:ascii="Arial" w:hAnsi="Arial" w:cs="Arial"/>
        </w:rPr>
      </w:pPr>
    </w:p>
    <w:p w14:paraId="227BD7A9" w14:textId="041048F7" w:rsidR="00F121AE" w:rsidRDefault="00246695" w:rsidP="00246695">
      <w:pPr>
        <w:jc w:val="both"/>
        <w:rPr>
          <w:rFonts w:ascii="Arial" w:hAnsi="Arial" w:cs="Arial"/>
          <w:b/>
          <w:bCs/>
        </w:rPr>
      </w:pPr>
      <w:r w:rsidRPr="00246695">
        <w:rPr>
          <w:rFonts w:ascii="Arial" w:hAnsi="Arial" w:cs="Arial"/>
        </w:rPr>
        <w:t>In the context of this study, the descriptive-correlational research design was considered suitable as it aims to describe the extent of professional life quality and career sustainability among public elementary school teachers. It also sought to identify the significant relationship between the domains of professional life quality and career sustainability among public elementary school teachers.</w:t>
      </w:r>
    </w:p>
    <w:p w14:paraId="644B39B7" w14:textId="77777777" w:rsidR="00246695" w:rsidRDefault="00246695">
      <w:pPr>
        <w:rPr>
          <w:rFonts w:ascii="Arial" w:hAnsi="Arial" w:cs="Arial"/>
          <w:b/>
          <w:bCs/>
        </w:rPr>
      </w:pPr>
    </w:p>
    <w:p w14:paraId="318F0781" w14:textId="07041865" w:rsidR="00717F2E" w:rsidRDefault="00180859">
      <w:pPr>
        <w:rPr>
          <w:rFonts w:ascii="Arial" w:hAnsi="Arial" w:cs="Arial"/>
          <w:b/>
          <w:bCs/>
        </w:rPr>
      </w:pPr>
      <w:r w:rsidRPr="00871DF6">
        <w:rPr>
          <w:rFonts w:ascii="Arial" w:hAnsi="Arial" w:cs="Arial"/>
          <w:b/>
          <w:bCs/>
          <w:highlight w:val="yellow"/>
        </w:rPr>
        <w:t xml:space="preserve">2.2 Research </w:t>
      </w:r>
      <w:r w:rsidR="00871DF6" w:rsidRPr="00871DF6">
        <w:rPr>
          <w:rFonts w:ascii="Arial" w:hAnsi="Arial" w:cs="Arial"/>
          <w:b/>
          <w:bCs/>
          <w:highlight w:val="yellow"/>
        </w:rPr>
        <w:t>Population</w:t>
      </w:r>
    </w:p>
    <w:p w14:paraId="6FAEDE51" w14:textId="77777777" w:rsidR="005803D0" w:rsidRPr="005803D0" w:rsidRDefault="005803D0" w:rsidP="005803D0">
      <w:pPr>
        <w:rPr>
          <w:rFonts w:ascii="Arial" w:hAnsi="Arial" w:cs="Arial"/>
        </w:rPr>
      </w:pPr>
    </w:p>
    <w:p w14:paraId="052DC172" w14:textId="77777777" w:rsidR="00871DF6" w:rsidRDefault="005803D0" w:rsidP="005803D0">
      <w:pPr>
        <w:jc w:val="both"/>
        <w:rPr>
          <w:rFonts w:ascii="Arial" w:hAnsi="Arial" w:cs="Arial"/>
        </w:rPr>
      </w:pPr>
      <w:r w:rsidRPr="005803D0">
        <w:rPr>
          <w:rFonts w:ascii="Arial" w:hAnsi="Arial" w:cs="Arial"/>
        </w:rPr>
        <w:t xml:space="preserve">This study was conducted in </w:t>
      </w:r>
      <w:proofErr w:type="spellStart"/>
      <w:r w:rsidRPr="005803D0">
        <w:rPr>
          <w:rFonts w:ascii="Arial" w:hAnsi="Arial" w:cs="Arial"/>
        </w:rPr>
        <w:t>Paquibato</w:t>
      </w:r>
      <w:proofErr w:type="spellEnd"/>
      <w:r w:rsidRPr="005803D0">
        <w:rPr>
          <w:rFonts w:ascii="Arial" w:hAnsi="Arial" w:cs="Arial"/>
        </w:rPr>
        <w:t xml:space="preserve"> District, Division of Davao City. It included the 22 schools within the district. A total of 163 teachers participated as respondents out of a population of 276, determined using Slovin’s Formula with a 0.05 margin of error. These teachers rated the Professional Life Quality and Career Sustainability of Public Elementary School Teachers. The study was conducted during the school year 2024–2025.</w:t>
      </w:r>
      <w:r w:rsidR="00977342">
        <w:rPr>
          <w:rFonts w:ascii="Arial" w:hAnsi="Arial" w:cs="Arial"/>
        </w:rPr>
        <w:t xml:space="preserve"> </w:t>
      </w:r>
    </w:p>
    <w:p w14:paraId="36B2DDAB" w14:textId="77777777" w:rsidR="00871DF6" w:rsidRDefault="00871DF6" w:rsidP="005803D0">
      <w:pPr>
        <w:jc w:val="both"/>
        <w:rPr>
          <w:rFonts w:ascii="Arial" w:hAnsi="Arial" w:cs="Arial"/>
        </w:rPr>
      </w:pPr>
    </w:p>
    <w:p w14:paraId="038FA8E9" w14:textId="77777777" w:rsidR="00871DF6" w:rsidRPr="00871DF6" w:rsidRDefault="00871DF6" w:rsidP="005803D0">
      <w:pPr>
        <w:jc w:val="both"/>
        <w:rPr>
          <w:rFonts w:ascii="Arial" w:hAnsi="Arial" w:cs="Arial"/>
          <w:b/>
        </w:rPr>
      </w:pPr>
      <w:r w:rsidRPr="00871DF6">
        <w:rPr>
          <w:rFonts w:ascii="Arial" w:hAnsi="Arial" w:cs="Arial"/>
          <w:b/>
          <w:highlight w:val="yellow"/>
        </w:rPr>
        <w:t>2.3 Sampling Method</w:t>
      </w:r>
    </w:p>
    <w:p w14:paraId="3DBEFACA" w14:textId="77777777" w:rsidR="00871DF6" w:rsidRDefault="00871DF6" w:rsidP="005803D0">
      <w:pPr>
        <w:jc w:val="both"/>
        <w:rPr>
          <w:rFonts w:ascii="Arial" w:hAnsi="Arial" w:cs="Arial"/>
        </w:rPr>
      </w:pPr>
    </w:p>
    <w:p w14:paraId="0A8D8B38" w14:textId="394F9975" w:rsidR="005803D0" w:rsidRPr="005803D0" w:rsidRDefault="005803D0" w:rsidP="005803D0">
      <w:pPr>
        <w:jc w:val="both"/>
        <w:rPr>
          <w:rFonts w:ascii="Arial" w:hAnsi="Arial" w:cs="Arial"/>
        </w:rPr>
      </w:pPr>
      <w:r w:rsidRPr="005803D0">
        <w:rPr>
          <w:rFonts w:ascii="Arial" w:hAnsi="Arial" w:cs="Arial"/>
        </w:rPr>
        <w:t>In selecting the respondents, the researcher employed simple random sampling using the lottery or fishbowl technique. Numbers were assigned to the potential respondents, which were placed in a container large enough to allow the rolled pieces of paper to move freely when shaken. The researcher then picked out the desired number of participants for the study.</w:t>
      </w:r>
    </w:p>
    <w:p w14:paraId="6C009B31" w14:textId="77777777" w:rsidR="005803D0" w:rsidRDefault="005803D0" w:rsidP="005803D0">
      <w:pPr>
        <w:jc w:val="both"/>
        <w:rPr>
          <w:rFonts w:ascii="Arial" w:hAnsi="Arial" w:cs="Arial"/>
        </w:rPr>
      </w:pPr>
    </w:p>
    <w:p w14:paraId="1E725D10" w14:textId="23495F9D" w:rsidR="00A67B21" w:rsidRDefault="005803D0" w:rsidP="005803D0">
      <w:pPr>
        <w:jc w:val="both"/>
        <w:rPr>
          <w:rFonts w:ascii="Arial" w:hAnsi="Arial" w:cs="Arial"/>
        </w:rPr>
      </w:pPr>
      <w:r w:rsidRPr="005803D0">
        <w:rPr>
          <w:rFonts w:ascii="Arial" w:hAnsi="Arial" w:cs="Arial"/>
        </w:rPr>
        <w:t xml:space="preserve">The inclusion criteria were as follows: teachers had to be currently employed in a public elementary school within </w:t>
      </w:r>
      <w:proofErr w:type="spellStart"/>
      <w:r w:rsidRPr="005803D0">
        <w:rPr>
          <w:rFonts w:ascii="Arial" w:hAnsi="Arial" w:cs="Arial"/>
        </w:rPr>
        <w:t>Paquibato</w:t>
      </w:r>
      <w:proofErr w:type="spellEnd"/>
      <w:r w:rsidRPr="005803D0">
        <w:rPr>
          <w:rFonts w:ascii="Arial" w:hAnsi="Arial" w:cs="Arial"/>
        </w:rPr>
        <w:t xml:space="preserve"> District, Division of Davao City during the 2024–2025 school year and must have had at least one year of teaching experience. Teachers were excluded if they did not meet these requirements. Specifically, the study excluded individuals not employed in a public elementary school in </w:t>
      </w:r>
      <w:proofErr w:type="spellStart"/>
      <w:r w:rsidRPr="005803D0">
        <w:rPr>
          <w:rFonts w:ascii="Arial" w:hAnsi="Arial" w:cs="Arial"/>
        </w:rPr>
        <w:t>Paquibato</w:t>
      </w:r>
      <w:proofErr w:type="spellEnd"/>
      <w:r w:rsidRPr="005803D0">
        <w:rPr>
          <w:rFonts w:ascii="Arial" w:hAnsi="Arial" w:cs="Arial"/>
        </w:rPr>
        <w:t xml:space="preserve"> District during that period, those with less than a year of teaching experience, and those on temporary leave or under administrative review, as these situations might have skewed the representation of active teachers' </w:t>
      </w:r>
      <w:r w:rsidRPr="005803D0">
        <w:rPr>
          <w:rFonts w:ascii="Arial" w:hAnsi="Arial" w:cs="Arial"/>
        </w:rPr>
        <w:lastRenderedPageBreak/>
        <w:t>experiences. Furthermore, school administrators and guidance counselors were also excluded because their primary duties involved supervision and student support, rather than direct classroom instruction.</w:t>
      </w:r>
    </w:p>
    <w:p w14:paraId="50E5D7CF" w14:textId="77777777" w:rsidR="00977342" w:rsidRDefault="00977342" w:rsidP="005803D0">
      <w:pPr>
        <w:jc w:val="both"/>
        <w:rPr>
          <w:rFonts w:ascii="Arial" w:hAnsi="Arial" w:cs="Arial"/>
        </w:rPr>
      </w:pPr>
    </w:p>
    <w:p w14:paraId="1FF9BA82" w14:textId="43F6E868" w:rsidR="00977342" w:rsidRDefault="007F1C37" w:rsidP="00977342">
      <w:pPr>
        <w:rPr>
          <w:rFonts w:ascii="Arial" w:hAnsi="Arial" w:cs="Arial"/>
          <w:b/>
          <w:bCs/>
        </w:rPr>
      </w:pPr>
      <w:r w:rsidRPr="007F1C37">
        <w:rPr>
          <w:rFonts w:ascii="Arial" w:hAnsi="Arial" w:cs="Arial"/>
          <w:b/>
          <w:bCs/>
          <w:highlight w:val="yellow"/>
        </w:rPr>
        <w:t>2.4</w:t>
      </w:r>
      <w:r w:rsidR="00180859" w:rsidRPr="007F1C37">
        <w:rPr>
          <w:rFonts w:ascii="Arial" w:hAnsi="Arial" w:cs="Arial"/>
          <w:b/>
          <w:bCs/>
          <w:highlight w:val="yellow"/>
        </w:rPr>
        <w:t xml:space="preserve"> Research Instrument</w:t>
      </w:r>
    </w:p>
    <w:p w14:paraId="1B1317B2" w14:textId="77777777" w:rsidR="00977342" w:rsidRDefault="00977342" w:rsidP="00977342">
      <w:pPr>
        <w:rPr>
          <w:rFonts w:ascii="Arial" w:hAnsi="Arial" w:cs="Arial"/>
          <w:b/>
          <w:bCs/>
        </w:rPr>
      </w:pPr>
    </w:p>
    <w:p w14:paraId="4CF42F12" w14:textId="43AA02C5" w:rsidR="00C52519" w:rsidRPr="00AB695B" w:rsidRDefault="009928B2" w:rsidP="00E1786A">
      <w:pPr>
        <w:jc w:val="both"/>
        <w:rPr>
          <w:rFonts w:ascii="Arial" w:hAnsi="Arial" w:cs="Arial"/>
          <w:b/>
          <w:bCs/>
          <w:highlight w:val="yellow"/>
        </w:rPr>
      </w:pPr>
      <w:r w:rsidRPr="009928B2">
        <w:rPr>
          <w:rFonts w:ascii="Arial" w:hAnsi="Arial" w:cs="Arial"/>
          <w:iCs/>
          <w:color w:val="0070C0"/>
          <w:highlight w:val="yellow"/>
        </w:rPr>
        <w:t>Data were collected using standardized questionnaires.</w:t>
      </w:r>
      <w:r w:rsidRPr="009928B2">
        <w:rPr>
          <w:rFonts w:ascii="Arial" w:hAnsi="Arial" w:cs="Arial"/>
          <w:iCs/>
          <w:highlight w:val="yellow"/>
        </w:rPr>
        <w:t xml:space="preserve"> </w:t>
      </w:r>
      <w:r w:rsidR="005803D0" w:rsidRPr="009928B2">
        <w:rPr>
          <w:rFonts w:ascii="Arial" w:hAnsi="Arial" w:cs="Arial"/>
          <w:highlight w:val="yellow"/>
        </w:rPr>
        <w:t xml:space="preserve">The first </w:t>
      </w:r>
      <w:r w:rsidR="005803D0" w:rsidRPr="00AB695B">
        <w:rPr>
          <w:rFonts w:ascii="Arial" w:hAnsi="Arial" w:cs="Arial"/>
          <w:highlight w:val="yellow"/>
        </w:rPr>
        <w:t xml:space="preserve">section of the questionnaire measured professional life quality, using an adapted version of the Professional Life Quality Scale of </w:t>
      </w:r>
      <w:r w:rsidR="00D62FB2" w:rsidRPr="00AB695B">
        <w:rPr>
          <w:rFonts w:ascii="Arial" w:hAnsi="Arial" w:cs="Arial"/>
          <w:highlight w:val="yellow"/>
        </w:rPr>
        <w:t>Galiana et al. (2020</w:t>
      </w:r>
      <w:r w:rsidR="005803D0" w:rsidRPr="00AB695B">
        <w:rPr>
          <w:rFonts w:ascii="Arial" w:hAnsi="Arial" w:cs="Arial"/>
          <w:highlight w:val="yellow"/>
        </w:rPr>
        <w:t>). This section included key indicators such as total living space, safe and healthy working conditions, development of worker capacity, and social responsibility. The original scale demonstrated a Cronbach’s alpha coefficient of 0.880, supporting its reliability. In this study, the adapted scale achieved a Cronbach’s alpha value of 0.993, confirming its consistency.</w:t>
      </w:r>
    </w:p>
    <w:p w14:paraId="1D4C34D8" w14:textId="492957E8" w:rsidR="005803D0" w:rsidRPr="00AB695B" w:rsidRDefault="005803D0" w:rsidP="005803D0">
      <w:pPr>
        <w:jc w:val="both"/>
        <w:rPr>
          <w:rFonts w:ascii="Arial" w:hAnsi="Arial" w:cs="Arial"/>
          <w:highlight w:val="yellow"/>
        </w:rPr>
      </w:pPr>
    </w:p>
    <w:p w14:paraId="521E3346" w14:textId="6CC76FFA" w:rsidR="005803D0" w:rsidRDefault="005803D0" w:rsidP="005803D0">
      <w:pPr>
        <w:jc w:val="both"/>
        <w:rPr>
          <w:rFonts w:ascii="Arial" w:hAnsi="Arial" w:cs="Arial"/>
        </w:rPr>
      </w:pPr>
      <w:r w:rsidRPr="00AB695B">
        <w:rPr>
          <w:rFonts w:ascii="Arial" w:hAnsi="Arial" w:cs="Arial"/>
          <w:highlight w:val="yellow"/>
        </w:rPr>
        <w:t xml:space="preserve">The second section assessed career sustainability, using an adapted version of the Career Sustainability Scale of </w:t>
      </w:r>
      <w:r w:rsidR="00D62FB2" w:rsidRPr="00AB695B">
        <w:rPr>
          <w:rFonts w:ascii="Arial" w:hAnsi="Arial" w:cs="Arial"/>
          <w:highlight w:val="yellow"/>
        </w:rPr>
        <w:t>Talluri et al. (2022</w:t>
      </w:r>
      <w:r w:rsidRPr="00AB695B">
        <w:rPr>
          <w:rFonts w:ascii="Arial" w:hAnsi="Arial" w:cs="Arial"/>
          <w:highlight w:val="yellow"/>
        </w:rPr>
        <w:t>). This section included indicators such as meaning perception, skill acquisition, and relationship building. The original scale had an overall Cronbach’s alpha coefficient of 0.900, indicating high reliability. In the study, the instrument demonstrated excellent reliability, with a Cronbach’s alpha value of 0.992.</w:t>
      </w:r>
    </w:p>
    <w:p w14:paraId="0AC45619" w14:textId="77777777" w:rsidR="005803D0" w:rsidRDefault="005803D0" w:rsidP="00C52519">
      <w:pPr>
        <w:rPr>
          <w:rFonts w:ascii="Arial" w:hAnsi="Arial" w:cs="Arial"/>
          <w:b/>
          <w:bCs/>
        </w:rPr>
      </w:pPr>
    </w:p>
    <w:p w14:paraId="27C6641A" w14:textId="28E673E1" w:rsidR="005D71AE" w:rsidRDefault="00153D6B" w:rsidP="005D71AE">
      <w:pPr>
        <w:rPr>
          <w:rFonts w:ascii="Arial" w:hAnsi="Arial" w:cs="Arial"/>
          <w:b/>
          <w:bCs/>
        </w:rPr>
      </w:pPr>
      <w:r w:rsidRPr="00153D6B">
        <w:rPr>
          <w:rFonts w:ascii="Arial" w:hAnsi="Arial" w:cs="Arial"/>
          <w:b/>
          <w:bCs/>
          <w:highlight w:val="yellow"/>
        </w:rPr>
        <w:t>2.5</w:t>
      </w:r>
      <w:r w:rsidR="00180859" w:rsidRPr="00153D6B">
        <w:rPr>
          <w:rFonts w:ascii="Arial" w:hAnsi="Arial" w:cs="Arial"/>
          <w:b/>
          <w:bCs/>
          <w:highlight w:val="yellow"/>
        </w:rPr>
        <w:t xml:space="preserve"> Data </w:t>
      </w:r>
      <w:r w:rsidRPr="00153D6B">
        <w:rPr>
          <w:rFonts w:ascii="Arial" w:hAnsi="Arial" w:cs="Arial"/>
          <w:b/>
          <w:bCs/>
          <w:highlight w:val="yellow"/>
        </w:rPr>
        <w:t>Collection</w:t>
      </w:r>
    </w:p>
    <w:p w14:paraId="3A455D08" w14:textId="666497BD" w:rsidR="00C74C43" w:rsidRDefault="00C74C43" w:rsidP="005D71AE">
      <w:pPr>
        <w:rPr>
          <w:rFonts w:ascii="Arial" w:hAnsi="Arial" w:cs="Arial"/>
          <w:b/>
          <w:bCs/>
        </w:rPr>
      </w:pPr>
    </w:p>
    <w:p w14:paraId="5A382261" w14:textId="77777777" w:rsidR="00C74C43" w:rsidRPr="00C74C43" w:rsidRDefault="00C74C43" w:rsidP="00C74C43">
      <w:pPr>
        <w:jc w:val="both"/>
        <w:rPr>
          <w:rFonts w:ascii="Arial" w:hAnsi="Arial" w:cs="Arial"/>
          <w:bCs/>
        </w:rPr>
      </w:pPr>
      <w:r w:rsidRPr="00C74C43">
        <w:rPr>
          <w:rFonts w:ascii="Arial" w:hAnsi="Arial" w:cs="Arial"/>
          <w:bCs/>
        </w:rPr>
        <w:t>In order to collect data for this study, the researcher went through the following processes and procedures:</w:t>
      </w:r>
    </w:p>
    <w:p w14:paraId="4B42BD81" w14:textId="77777777" w:rsidR="00C74C43" w:rsidRDefault="00C74C43" w:rsidP="00C74C43">
      <w:pPr>
        <w:jc w:val="both"/>
        <w:rPr>
          <w:rFonts w:ascii="Arial" w:hAnsi="Arial" w:cs="Arial"/>
          <w:bCs/>
        </w:rPr>
      </w:pPr>
    </w:p>
    <w:p w14:paraId="368BD4C1" w14:textId="52C784E9" w:rsidR="00C74C43" w:rsidRPr="00C74C43" w:rsidRDefault="00C74C43" w:rsidP="00C74C43">
      <w:pPr>
        <w:jc w:val="both"/>
        <w:rPr>
          <w:rFonts w:ascii="Arial" w:hAnsi="Arial" w:cs="Arial"/>
          <w:bCs/>
        </w:rPr>
      </w:pPr>
      <w:r w:rsidRPr="00C74C43">
        <w:rPr>
          <w:rFonts w:ascii="Arial" w:hAnsi="Arial" w:cs="Arial"/>
          <w:bCs/>
        </w:rPr>
        <w:t>The data collection procedure for this study were carried out in a systematic manner to ensured ethical adherence and obtain the necessary approvals. Initially, formal permission was requested from the Dean of the Graduate School. Once granted, the request was forwarded to the School's Division Superintendent for further evaluation. This step-by-step approval processed ensured that all institutional and educational guidelines will be followed.</w:t>
      </w:r>
    </w:p>
    <w:p w14:paraId="75D8DD12" w14:textId="77777777" w:rsidR="00C74C43" w:rsidRDefault="00C74C43" w:rsidP="00C74C43">
      <w:pPr>
        <w:jc w:val="both"/>
        <w:rPr>
          <w:rFonts w:ascii="Arial" w:hAnsi="Arial" w:cs="Arial"/>
          <w:bCs/>
        </w:rPr>
      </w:pPr>
    </w:p>
    <w:p w14:paraId="2D6DD112" w14:textId="71AC30CB" w:rsidR="00C74C43" w:rsidRPr="00C74C43" w:rsidRDefault="00C74C43" w:rsidP="00C74C43">
      <w:pPr>
        <w:jc w:val="both"/>
        <w:rPr>
          <w:rFonts w:ascii="Arial" w:hAnsi="Arial" w:cs="Arial"/>
          <w:bCs/>
        </w:rPr>
      </w:pPr>
      <w:r w:rsidRPr="00C74C43">
        <w:rPr>
          <w:rFonts w:ascii="Arial" w:hAnsi="Arial" w:cs="Arial"/>
          <w:bCs/>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encouraged candid responses.</w:t>
      </w:r>
    </w:p>
    <w:p w14:paraId="74B25B91" w14:textId="3BC94BF1" w:rsidR="00C74C43" w:rsidRDefault="00C74C43" w:rsidP="00C74C43">
      <w:pPr>
        <w:jc w:val="both"/>
        <w:rPr>
          <w:rFonts w:ascii="Arial" w:hAnsi="Arial" w:cs="Arial"/>
          <w:bCs/>
        </w:rPr>
      </w:pPr>
      <w:r w:rsidRPr="00C74C43">
        <w:rPr>
          <w:rFonts w:ascii="Arial" w:hAnsi="Arial" w:cs="Arial"/>
          <w:bCs/>
        </w:rPr>
        <w:t>After data collection, the retrieval processed involves carefully organizing and analyzing the collected information. The completed questionnaires were counted, and responses were systematically recorded for statistical evaluation using statistical tools such as mean, standard deviation, and correlation analysis.</w:t>
      </w:r>
    </w:p>
    <w:p w14:paraId="347320BD" w14:textId="77777777" w:rsidR="00C74C43" w:rsidRDefault="00C74C43" w:rsidP="00C74C43">
      <w:pPr>
        <w:jc w:val="both"/>
        <w:rPr>
          <w:rFonts w:ascii="Arial" w:hAnsi="Arial" w:cs="Arial"/>
          <w:bCs/>
        </w:rPr>
      </w:pPr>
    </w:p>
    <w:p w14:paraId="6D3435E3" w14:textId="6F961DB5" w:rsidR="005803D0" w:rsidRPr="00C74C43" w:rsidRDefault="00CD64ED" w:rsidP="00C74C43">
      <w:pPr>
        <w:jc w:val="both"/>
        <w:rPr>
          <w:rFonts w:cs="Arial"/>
          <w:b/>
        </w:rPr>
      </w:pPr>
      <w:r>
        <w:rPr>
          <w:rFonts w:cs="Arial"/>
          <w:b/>
        </w:rPr>
        <w:t>2.6</w:t>
      </w:r>
      <w:r w:rsidR="00180859" w:rsidRPr="00C74C43">
        <w:rPr>
          <w:rFonts w:cs="Arial"/>
          <w:b/>
        </w:rPr>
        <w:t xml:space="preserve"> Data Analysis</w:t>
      </w:r>
    </w:p>
    <w:p w14:paraId="6BBF8D5C" w14:textId="77777777" w:rsidR="00C74C43" w:rsidRPr="005803D0" w:rsidRDefault="00C74C43" w:rsidP="00C74C43">
      <w:pPr>
        <w:jc w:val="both"/>
        <w:rPr>
          <w:rFonts w:ascii="Arial" w:hAnsi="Arial" w:cs="Arial"/>
          <w:b/>
        </w:rPr>
      </w:pPr>
    </w:p>
    <w:p w14:paraId="15E284EE" w14:textId="5A864E62" w:rsidR="005803D0"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lastRenderedPageBreak/>
        <w:t>In analyzing and interpreting the data gathered for this study, several statistical tools were utilized to determine the aimed of the study.</w:t>
      </w:r>
    </w:p>
    <w:p w14:paraId="2E126CFD" w14:textId="325EDC8E" w:rsidR="005803D0" w:rsidRDefault="005803D0" w:rsidP="005803D0">
      <w:pPr>
        <w:pStyle w:val="Head1"/>
        <w:jc w:val="both"/>
        <w:rPr>
          <w:rFonts w:ascii="Arial" w:hAnsi="Arial" w:cs="Arial"/>
          <w:b w:val="0"/>
          <w:caps w:val="0"/>
          <w:sz w:val="20"/>
        </w:rPr>
      </w:pPr>
      <w:r w:rsidRPr="005803D0">
        <w:rPr>
          <w:rFonts w:ascii="Arial" w:hAnsi="Arial" w:cs="Arial"/>
          <w:b w:val="0"/>
          <w:caps w:val="0"/>
          <w:sz w:val="20"/>
        </w:rPr>
        <w:t xml:space="preserve">Mean was used to determine the extent of professional life quality and career sustainability of public elementary school teachers. </w:t>
      </w:r>
    </w:p>
    <w:p w14:paraId="7C3FF85E" w14:textId="71F32A2D" w:rsidR="00950FCD" w:rsidRPr="00950FCD" w:rsidRDefault="00950FCD" w:rsidP="00950FCD">
      <w:pPr>
        <w:pStyle w:val="Head1"/>
        <w:jc w:val="both"/>
        <w:rPr>
          <w:rFonts w:ascii="Arial" w:hAnsi="Arial" w:cs="Arial"/>
          <w:b w:val="0"/>
          <w:caps w:val="0"/>
          <w:sz w:val="20"/>
        </w:rPr>
      </w:pPr>
      <w:r w:rsidRPr="00D342CA">
        <w:rPr>
          <w:rFonts w:ascii="Arial" w:hAnsi="Arial" w:cs="Arial"/>
          <w:b w:val="0"/>
          <w:caps w:val="0"/>
          <w:sz w:val="20"/>
          <w:highlight w:val="yellow"/>
        </w:rPr>
        <w:t>Standard Deviation was used to indicate the degree of dispersion in the responses.</w:t>
      </w:r>
    </w:p>
    <w:p w14:paraId="13EBE72D" w14:textId="77777777" w:rsidR="005803D0"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t xml:space="preserve">Pearson </w:t>
      </w:r>
      <w:r w:rsidRPr="001F6FBD">
        <w:rPr>
          <w:rFonts w:ascii="Arial" w:hAnsi="Arial" w:cs="Arial"/>
          <w:b w:val="0"/>
          <w:i/>
          <w:caps w:val="0"/>
          <w:sz w:val="20"/>
        </w:rPr>
        <w:t>r-</w:t>
      </w:r>
      <w:r w:rsidRPr="005803D0">
        <w:rPr>
          <w:rFonts w:ascii="Arial" w:hAnsi="Arial" w:cs="Arial"/>
          <w:b w:val="0"/>
          <w:caps w:val="0"/>
          <w:sz w:val="20"/>
        </w:rPr>
        <w:t xml:space="preserve">moment correlation analysis was applied to assess the strength and direction of the relationship between professional life quality and career sustainability of public elementary school teachers. </w:t>
      </w:r>
    </w:p>
    <w:p w14:paraId="08B1DEAA" w14:textId="5C1064D7" w:rsidR="00C84872"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t>Regression analysis was conducted to identify the domains of professional life quality and career sustainability of public elementary school teachers.</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F99F3E1" w:rsidR="005D71AE" w:rsidRDefault="00180859">
      <w:pPr>
        <w:suppressAutoHyphens/>
        <w:jc w:val="both"/>
        <w:rPr>
          <w:rFonts w:ascii="Arial" w:hAnsi="Arial" w:cs="Arial"/>
          <w:b/>
        </w:rPr>
      </w:pPr>
      <w:proofErr w:type="gramStart"/>
      <w:r>
        <w:rPr>
          <w:rFonts w:ascii="Arial" w:hAnsi="Arial" w:cs="Arial"/>
          <w:b/>
        </w:rPr>
        <w:t xml:space="preserve">3.1 </w:t>
      </w:r>
      <w:r w:rsidR="005803D0" w:rsidRPr="005803D0">
        <w:rPr>
          <w:rFonts w:ascii="Arial" w:hAnsi="Arial" w:cs="Arial"/>
          <w:b/>
        </w:rPr>
        <w:t xml:space="preserve"> Extent</w:t>
      </w:r>
      <w:proofErr w:type="gramEnd"/>
      <w:r w:rsidR="005803D0" w:rsidRPr="005803D0">
        <w:rPr>
          <w:rFonts w:ascii="Arial" w:hAnsi="Arial" w:cs="Arial"/>
          <w:b/>
        </w:rPr>
        <w:t xml:space="preserve"> of Professional Life Quality</w:t>
      </w:r>
      <w:r w:rsidR="005803D0">
        <w:rPr>
          <w:rFonts w:ascii="Arial" w:hAnsi="Arial" w:cs="Arial"/>
          <w:b/>
        </w:rPr>
        <w:t xml:space="preserve"> </w:t>
      </w:r>
      <w:r w:rsidR="00483EDC" w:rsidRPr="00483EDC">
        <w:rPr>
          <w:rFonts w:ascii="Arial" w:hAnsi="Arial" w:cs="Arial"/>
          <w:b/>
        </w:rPr>
        <w:t>among Public Elementary School Teachers</w:t>
      </w:r>
    </w:p>
    <w:p w14:paraId="1B38FF68" w14:textId="77777777" w:rsidR="00EF4B2D" w:rsidRDefault="00EF4B2D">
      <w:pPr>
        <w:suppressAutoHyphens/>
        <w:jc w:val="both"/>
        <w:rPr>
          <w:rFonts w:ascii="Arial" w:hAnsi="Arial" w:cs="Arial"/>
          <w:b/>
        </w:rPr>
      </w:pPr>
    </w:p>
    <w:p w14:paraId="69D23EB0" w14:textId="1442DA89"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803D0" w:rsidRPr="005803D0">
        <w:rPr>
          <w:rFonts w:ascii="Arial" w:hAnsi="Arial" w:cs="Arial"/>
          <w:i/>
          <w:iCs/>
        </w:rPr>
        <w:t>Extent of Professional Life Quality among Public Elementary School Teachers</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55"/>
        <w:gridCol w:w="620"/>
        <w:gridCol w:w="742"/>
        <w:gridCol w:w="1876"/>
      </w:tblGrid>
      <w:tr w:rsidR="005803D0" w:rsidRPr="005803D0" w14:paraId="126085CC" w14:textId="77777777" w:rsidTr="005803D0">
        <w:trPr>
          <w:trHeight w:val="35"/>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75353F59" w14:textId="77777777" w:rsidR="005803D0" w:rsidRPr="005803D0" w:rsidRDefault="005803D0" w:rsidP="005803D0">
            <w:pPr>
              <w:jc w:val="both"/>
              <w:rPr>
                <w:rFonts w:ascii="Arial" w:hAnsi="Arial" w:cs="Arial"/>
                <w:lang w:val="en-PH"/>
              </w:rPr>
            </w:pPr>
            <w:r w:rsidRPr="005803D0">
              <w:rPr>
                <w:rFonts w:ascii="Arial" w:hAnsi="Arial" w:cs="Arial"/>
                <w:b/>
                <w:bCs/>
                <w:lang w:val="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16CC1F2A" w14:textId="77777777" w:rsidR="005803D0" w:rsidRPr="005803D0" w:rsidRDefault="005803D0" w:rsidP="005803D0">
            <w:pPr>
              <w:jc w:val="both"/>
              <w:rPr>
                <w:rFonts w:ascii="Arial" w:hAnsi="Arial" w:cs="Arial"/>
                <w:lang w:val="en-PH"/>
              </w:rPr>
            </w:pPr>
            <w:r w:rsidRPr="005803D0">
              <w:rPr>
                <w:rFonts w:ascii="Arial" w:hAnsi="Arial" w:cs="Arial"/>
                <w:b/>
                <w:bCs/>
                <w:lang w:val="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FD43C0A" w14:textId="77777777" w:rsidR="005803D0" w:rsidRPr="005803D0" w:rsidRDefault="005803D0" w:rsidP="005803D0">
            <w:pPr>
              <w:jc w:val="both"/>
              <w:rPr>
                <w:rFonts w:ascii="Arial" w:hAnsi="Arial" w:cs="Arial"/>
                <w:lang w:val="en-PH"/>
              </w:rPr>
            </w:pPr>
            <w:r w:rsidRPr="005803D0">
              <w:rPr>
                <w:rFonts w:ascii="Arial" w:hAnsi="Arial" w:cs="Arial"/>
                <w:b/>
                <w:bCs/>
                <w:lang w:val="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7C1024CB" w14:textId="77777777" w:rsidR="005803D0" w:rsidRPr="005803D0" w:rsidRDefault="005803D0" w:rsidP="005803D0">
            <w:pPr>
              <w:jc w:val="both"/>
              <w:rPr>
                <w:rFonts w:ascii="Arial" w:hAnsi="Arial" w:cs="Arial"/>
                <w:lang w:val="en-PH"/>
              </w:rPr>
            </w:pPr>
            <w:r w:rsidRPr="005803D0">
              <w:rPr>
                <w:rFonts w:ascii="Arial" w:hAnsi="Arial" w:cs="Arial"/>
                <w:b/>
                <w:bCs/>
                <w:lang w:val="en-PH"/>
              </w:rPr>
              <w:t>Descriptive Level</w:t>
            </w:r>
          </w:p>
        </w:tc>
      </w:tr>
      <w:tr w:rsidR="005803D0" w:rsidRPr="005803D0" w14:paraId="7E9C170A" w14:textId="77777777" w:rsidTr="005803D0">
        <w:trPr>
          <w:trHeight w:val="269"/>
          <w:jc w:val="center"/>
        </w:trPr>
        <w:tc>
          <w:tcPr>
            <w:tcW w:w="0" w:type="auto"/>
            <w:tcBorders>
              <w:top w:val="single" w:sz="4" w:space="0" w:color="000000"/>
            </w:tcBorders>
            <w:tcMar>
              <w:top w:w="0" w:type="dxa"/>
              <w:left w:w="115" w:type="dxa"/>
              <w:bottom w:w="0" w:type="dxa"/>
              <w:right w:w="115" w:type="dxa"/>
            </w:tcMar>
            <w:hideMark/>
          </w:tcPr>
          <w:p w14:paraId="1BF994F0" w14:textId="77777777" w:rsidR="005803D0" w:rsidRPr="005803D0" w:rsidRDefault="005803D0" w:rsidP="005803D0">
            <w:pPr>
              <w:jc w:val="both"/>
              <w:rPr>
                <w:rFonts w:ascii="Arial" w:hAnsi="Arial" w:cs="Arial"/>
                <w:lang w:val="en-PH"/>
              </w:rPr>
            </w:pPr>
            <w:r w:rsidRPr="005803D0">
              <w:rPr>
                <w:rFonts w:ascii="Arial" w:hAnsi="Arial" w:cs="Arial"/>
                <w:lang w:val="en-PH"/>
              </w:rPr>
              <w:t>Total Living Space</w:t>
            </w:r>
          </w:p>
        </w:tc>
        <w:tc>
          <w:tcPr>
            <w:tcW w:w="0" w:type="auto"/>
            <w:tcBorders>
              <w:top w:val="single" w:sz="4" w:space="0" w:color="000000"/>
            </w:tcBorders>
            <w:tcMar>
              <w:top w:w="0" w:type="dxa"/>
              <w:left w:w="115" w:type="dxa"/>
              <w:bottom w:w="0" w:type="dxa"/>
              <w:right w:w="115" w:type="dxa"/>
            </w:tcMar>
            <w:hideMark/>
          </w:tcPr>
          <w:p w14:paraId="50D38D02" w14:textId="77777777" w:rsidR="005803D0" w:rsidRPr="005803D0" w:rsidRDefault="005803D0" w:rsidP="005803D0">
            <w:pPr>
              <w:jc w:val="both"/>
              <w:rPr>
                <w:rFonts w:ascii="Arial" w:hAnsi="Arial" w:cs="Arial"/>
                <w:lang w:val="en-PH"/>
              </w:rPr>
            </w:pPr>
            <w:r w:rsidRPr="005803D0">
              <w:rPr>
                <w:rFonts w:ascii="Arial" w:hAnsi="Arial" w:cs="Arial"/>
                <w:lang w:val="en-PH"/>
              </w:rPr>
              <w:t>0.77</w:t>
            </w:r>
          </w:p>
        </w:tc>
        <w:tc>
          <w:tcPr>
            <w:tcW w:w="0" w:type="auto"/>
            <w:tcBorders>
              <w:top w:val="single" w:sz="4" w:space="0" w:color="000000"/>
            </w:tcBorders>
            <w:tcMar>
              <w:top w:w="0" w:type="dxa"/>
              <w:left w:w="115" w:type="dxa"/>
              <w:bottom w:w="0" w:type="dxa"/>
              <w:right w:w="115" w:type="dxa"/>
            </w:tcMar>
            <w:hideMark/>
          </w:tcPr>
          <w:p w14:paraId="5ED56D0D" w14:textId="77777777" w:rsidR="005803D0" w:rsidRPr="005803D0" w:rsidRDefault="005803D0" w:rsidP="005803D0">
            <w:pPr>
              <w:jc w:val="both"/>
              <w:rPr>
                <w:rFonts w:ascii="Arial" w:hAnsi="Arial" w:cs="Arial"/>
                <w:lang w:val="en-PH"/>
              </w:rPr>
            </w:pPr>
            <w:r w:rsidRPr="005803D0">
              <w:rPr>
                <w:rFonts w:ascii="Arial" w:hAnsi="Arial" w:cs="Arial"/>
                <w:lang w:val="en-PH"/>
              </w:rPr>
              <w:t>4.32</w:t>
            </w:r>
          </w:p>
        </w:tc>
        <w:tc>
          <w:tcPr>
            <w:tcW w:w="0" w:type="auto"/>
            <w:tcBorders>
              <w:top w:val="single" w:sz="4" w:space="0" w:color="000000"/>
            </w:tcBorders>
            <w:tcMar>
              <w:top w:w="0" w:type="dxa"/>
              <w:left w:w="115" w:type="dxa"/>
              <w:bottom w:w="0" w:type="dxa"/>
              <w:right w:w="115" w:type="dxa"/>
            </w:tcMar>
            <w:hideMark/>
          </w:tcPr>
          <w:p w14:paraId="3CC57812"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42745976" w14:textId="77777777" w:rsidTr="005803D0">
        <w:trPr>
          <w:trHeight w:val="280"/>
          <w:jc w:val="center"/>
        </w:trPr>
        <w:tc>
          <w:tcPr>
            <w:tcW w:w="0" w:type="auto"/>
            <w:tcMar>
              <w:top w:w="0" w:type="dxa"/>
              <w:left w:w="115" w:type="dxa"/>
              <w:bottom w:w="0" w:type="dxa"/>
              <w:right w:w="115" w:type="dxa"/>
            </w:tcMar>
            <w:hideMark/>
          </w:tcPr>
          <w:p w14:paraId="452CC5EE" w14:textId="77777777" w:rsidR="005803D0" w:rsidRPr="005803D0" w:rsidRDefault="005803D0" w:rsidP="005803D0">
            <w:pPr>
              <w:jc w:val="both"/>
              <w:rPr>
                <w:rFonts w:ascii="Arial" w:hAnsi="Arial" w:cs="Arial"/>
                <w:lang w:val="en-PH"/>
              </w:rPr>
            </w:pPr>
            <w:r w:rsidRPr="005803D0">
              <w:rPr>
                <w:rFonts w:ascii="Arial" w:hAnsi="Arial" w:cs="Arial"/>
                <w:lang w:val="en-PH"/>
              </w:rPr>
              <w:t>Safe and Healthy Working Conditions</w:t>
            </w:r>
          </w:p>
        </w:tc>
        <w:tc>
          <w:tcPr>
            <w:tcW w:w="0" w:type="auto"/>
            <w:tcMar>
              <w:top w:w="0" w:type="dxa"/>
              <w:left w:w="115" w:type="dxa"/>
              <w:bottom w:w="0" w:type="dxa"/>
              <w:right w:w="115" w:type="dxa"/>
            </w:tcMar>
            <w:hideMark/>
          </w:tcPr>
          <w:p w14:paraId="61B2197F" w14:textId="77777777" w:rsidR="005803D0" w:rsidRPr="005803D0" w:rsidRDefault="005803D0" w:rsidP="005803D0">
            <w:pPr>
              <w:jc w:val="both"/>
              <w:rPr>
                <w:rFonts w:ascii="Arial" w:hAnsi="Arial" w:cs="Arial"/>
                <w:lang w:val="en-PH"/>
              </w:rPr>
            </w:pPr>
            <w:r w:rsidRPr="005803D0">
              <w:rPr>
                <w:rFonts w:ascii="Arial" w:hAnsi="Arial" w:cs="Arial"/>
                <w:lang w:val="en-PH"/>
              </w:rPr>
              <w:t>0.65</w:t>
            </w:r>
          </w:p>
        </w:tc>
        <w:tc>
          <w:tcPr>
            <w:tcW w:w="0" w:type="auto"/>
            <w:tcMar>
              <w:top w:w="0" w:type="dxa"/>
              <w:left w:w="115" w:type="dxa"/>
              <w:bottom w:w="0" w:type="dxa"/>
              <w:right w:w="115" w:type="dxa"/>
            </w:tcMar>
            <w:hideMark/>
          </w:tcPr>
          <w:p w14:paraId="0888F568" w14:textId="77777777" w:rsidR="005803D0" w:rsidRPr="005803D0" w:rsidRDefault="005803D0" w:rsidP="005803D0">
            <w:pPr>
              <w:jc w:val="both"/>
              <w:rPr>
                <w:rFonts w:ascii="Arial" w:hAnsi="Arial" w:cs="Arial"/>
                <w:lang w:val="en-PH"/>
              </w:rPr>
            </w:pPr>
            <w:r w:rsidRPr="005803D0">
              <w:rPr>
                <w:rFonts w:ascii="Arial" w:hAnsi="Arial" w:cs="Arial"/>
                <w:lang w:val="en-PH"/>
              </w:rPr>
              <w:t>4.30</w:t>
            </w:r>
          </w:p>
        </w:tc>
        <w:tc>
          <w:tcPr>
            <w:tcW w:w="0" w:type="auto"/>
            <w:tcMar>
              <w:top w:w="0" w:type="dxa"/>
              <w:left w:w="115" w:type="dxa"/>
              <w:bottom w:w="0" w:type="dxa"/>
              <w:right w:w="115" w:type="dxa"/>
            </w:tcMar>
            <w:hideMark/>
          </w:tcPr>
          <w:p w14:paraId="093B4936"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301D4667" w14:textId="77777777" w:rsidTr="005803D0">
        <w:trPr>
          <w:trHeight w:val="280"/>
          <w:jc w:val="center"/>
        </w:trPr>
        <w:tc>
          <w:tcPr>
            <w:tcW w:w="0" w:type="auto"/>
            <w:tcMar>
              <w:top w:w="0" w:type="dxa"/>
              <w:left w:w="115" w:type="dxa"/>
              <w:bottom w:w="0" w:type="dxa"/>
              <w:right w:w="115" w:type="dxa"/>
            </w:tcMar>
            <w:hideMark/>
          </w:tcPr>
          <w:p w14:paraId="0498CA3B" w14:textId="77777777" w:rsidR="005803D0" w:rsidRPr="005803D0" w:rsidRDefault="005803D0" w:rsidP="005803D0">
            <w:pPr>
              <w:jc w:val="both"/>
              <w:rPr>
                <w:rFonts w:ascii="Arial" w:hAnsi="Arial" w:cs="Arial"/>
                <w:lang w:val="en-PH"/>
              </w:rPr>
            </w:pPr>
            <w:r w:rsidRPr="005803D0">
              <w:rPr>
                <w:rFonts w:ascii="Arial" w:hAnsi="Arial" w:cs="Arial"/>
                <w:lang w:val="en-PH"/>
              </w:rPr>
              <w:t>Development of Worker Capacity</w:t>
            </w:r>
          </w:p>
        </w:tc>
        <w:tc>
          <w:tcPr>
            <w:tcW w:w="0" w:type="auto"/>
            <w:tcMar>
              <w:top w:w="0" w:type="dxa"/>
              <w:left w:w="115" w:type="dxa"/>
              <w:bottom w:w="0" w:type="dxa"/>
              <w:right w:w="115" w:type="dxa"/>
            </w:tcMar>
            <w:hideMark/>
          </w:tcPr>
          <w:p w14:paraId="7492DC0C" w14:textId="77777777" w:rsidR="005803D0" w:rsidRPr="005803D0" w:rsidRDefault="005803D0" w:rsidP="005803D0">
            <w:pPr>
              <w:jc w:val="both"/>
              <w:rPr>
                <w:rFonts w:ascii="Arial" w:hAnsi="Arial" w:cs="Arial"/>
                <w:lang w:val="en-PH"/>
              </w:rPr>
            </w:pPr>
            <w:r w:rsidRPr="005803D0">
              <w:rPr>
                <w:rFonts w:ascii="Arial" w:hAnsi="Arial" w:cs="Arial"/>
                <w:lang w:val="en-PH"/>
              </w:rPr>
              <w:t>0.75</w:t>
            </w:r>
          </w:p>
        </w:tc>
        <w:tc>
          <w:tcPr>
            <w:tcW w:w="0" w:type="auto"/>
            <w:tcMar>
              <w:top w:w="0" w:type="dxa"/>
              <w:left w:w="115" w:type="dxa"/>
              <w:bottom w:w="0" w:type="dxa"/>
              <w:right w:w="115" w:type="dxa"/>
            </w:tcMar>
            <w:hideMark/>
          </w:tcPr>
          <w:p w14:paraId="4110B56A" w14:textId="77777777" w:rsidR="005803D0" w:rsidRPr="005803D0" w:rsidRDefault="005803D0" w:rsidP="005803D0">
            <w:pPr>
              <w:jc w:val="both"/>
              <w:rPr>
                <w:rFonts w:ascii="Arial" w:hAnsi="Arial" w:cs="Arial"/>
                <w:lang w:val="en-PH"/>
              </w:rPr>
            </w:pPr>
            <w:r w:rsidRPr="005803D0">
              <w:rPr>
                <w:rFonts w:ascii="Arial" w:hAnsi="Arial" w:cs="Arial"/>
                <w:lang w:val="en-PH"/>
              </w:rPr>
              <w:t>4.28</w:t>
            </w:r>
          </w:p>
        </w:tc>
        <w:tc>
          <w:tcPr>
            <w:tcW w:w="0" w:type="auto"/>
            <w:tcMar>
              <w:top w:w="0" w:type="dxa"/>
              <w:left w:w="115" w:type="dxa"/>
              <w:bottom w:w="0" w:type="dxa"/>
              <w:right w:w="115" w:type="dxa"/>
            </w:tcMar>
            <w:hideMark/>
          </w:tcPr>
          <w:p w14:paraId="390C837E"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3852F662" w14:textId="77777777" w:rsidTr="005803D0">
        <w:trPr>
          <w:trHeight w:val="280"/>
          <w:jc w:val="center"/>
        </w:trPr>
        <w:tc>
          <w:tcPr>
            <w:tcW w:w="0" w:type="auto"/>
            <w:tcBorders>
              <w:bottom w:val="single" w:sz="4" w:space="0" w:color="000000"/>
            </w:tcBorders>
            <w:tcMar>
              <w:top w:w="0" w:type="dxa"/>
              <w:left w:w="115" w:type="dxa"/>
              <w:bottom w:w="0" w:type="dxa"/>
              <w:right w:w="115" w:type="dxa"/>
            </w:tcMar>
            <w:hideMark/>
          </w:tcPr>
          <w:p w14:paraId="6E2297C9" w14:textId="77777777" w:rsidR="005803D0" w:rsidRPr="005803D0" w:rsidRDefault="005803D0" w:rsidP="005803D0">
            <w:pPr>
              <w:jc w:val="both"/>
              <w:rPr>
                <w:rFonts w:ascii="Arial" w:hAnsi="Arial" w:cs="Arial"/>
                <w:lang w:val="en-PH"/>
              </w:rPr>
            </w:pPr>
            <w:r w:rsidRPr="005803D0">
              <w:rPr>
                <w:rFonts w:ascii="Arial" w:hAnsi="Arial" w:cs="Arial"/>
                <w:lang w:val="en-PH"/>
              </w:rPr>
              <w:t>Social Responsibility</w:t>
            </w:r>
          </w:p>
        </w:tc>
        <w:tc>
          <w:tcPr>
            <w:tcW w:w="0" w:type="auto"/>
            <w:tcBorders>
              <w:bottom w:val="single" w:sz="4" w:space="0" w:color="000000"/>
            </w:tcBorders>
            <w:tcMar>
              <w:top w:w="0" w:type="dxa"/>
              <w:left w:w="115" w:type="dxa"/>
              <w:bottom w:w="0" w:type="dxa"/>
              <w:right w:w="115" w:type="dxa"/>
            </w:tcMar>
            <w:hideMark/>
          </w:tcPr>
          <w:p w14:paraId="4025E6F7" w14:textId="77777777" w:rsidR="005803D0" w:rsidRPr="005803D0" w:rsidRDefault="005803D0" w:rsidP="005803D0">
            <w:pPr>
              <w:jc w:val="both"/>
              <w:rPr>
                <w:rFonts w:ascii="Arial" w:hAnsi="Arial" w:cs="Arial"/>
                <w:lang w:val="en-PH"/>
              </w:rPr>
            </w:pPr>
            <w:r w:rsidRPr="005803D0">
              <w:rPr>
                <w:rFonts w:ascii="Arial" w:hAnsi="Arial" w:cs="Arial"/>
                <w:lang w:val="en-PH"/>
              </w:rPr>
              <w:t>0.71</w:t>
            </w:r>
          </w:p>
        </w:tc>
        <w:tc>
          <w:tcPr>
            <w:tcW w:w="0" w:type="auto"/>
            <w:tcBorders>
              <w:bottom w:val="single" w:sz="4" w:space="0" w:color="000000"/>
            </w:tcBorders>
            <w:tcMar>
              <w:top w:w="0" w:type="dxa"/>
              <w:left w:w="115" w:type="dxa"/>
              <w:bottom w:w="0" w:type="dxa"/>
              <w:right w:w="115" w:type="dxa"/>
            </w:tcMar>
            <w:hideMark/>
          </w:tcPr>
          <w:p w14:paraId="091A6FC5" w14:textId="77777777" w:rsidR="005803D0" w:rsidRPr="005803D0" w:rsidRDefault="005803D0" w:rsidP="005803D0">
            <w:pPr>
              <w:jc w:val="both"/>
              <w:rPr>
                <w:rFonts w:ascii="Arial" w:hAnsi="Arial" w:cs="Arial"/>
                <w:lang w:val="en-PH"/>
              </w:rPr>
            </w:pPr>
            <w:r w:rsidRPr="005803D0">
              <w:rPr>
                <w:rFonts w:ascii="Arial" w:hAnsi="Arial" w:cs="Arial"/>
                <w:lang w:val="en-PH"/>
              </w:rPr>
              <w:t>4.31</w:t>
            </w:r>
          </w:p>
        </w:tc>
        <w:tc>
          <w:tcPr>
            <w:tcW w:w="0" w:type="auto"/>
            <w:tcBorders>
              <w:bottom w:val="single" w:sz="4" w:space="0" w:color="000000"/>
            </w:tcBorders>
            <w:tcMar>
              <w:top w:w="0" w:type="dxa"/>
              <w:left w:w="115" w:type="dxa"/>
              <w:bottom w:w="0" w:type="dxa"/>
              <w:right w:w="115" w:type="dxa"/>
            </w:tcMar>
            <w:hideMark/>
          </w:tcPr>
          <w:p w14:paraId="563E8A78"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56BAE213" w14:textId="77777777" w:rsidTr="005803D0">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61C2F0CE" w14:textId="77777777" w:rsidR="005803D0" w:rsidRPr="005803D0" w:rsidRDefault="005803D0" w:rsidP="005803D0">
            <w:pPr>
              <w:jc w:val="both"/>
              <w:rPr>
                <w:rFonts w:ascii="Arial" w:hAnsi="Arial" w:cs="Arial"/>
                <w:lang w:val="en-PH"/>
              </w:rPr>
            </w:pPr>
            <w:r w:rsidRPr="005803D0">
              <w:rPr>
                <w:rFonts w:ascii="Arial" w:hAnsi="Arial" w:cs="Arial"/>
                <w:b/>
                <w:bCs/>
                <w:lang w:val="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0E9CFB8F" w14:textId="77777777" w:rsidR="005803D0" w:rsidRPr="005803D0" w:rsidRDefault="005803D0" w:rsidP="005803D0">
            <w:pPr>
              <w:jc w:val="both"/>
              <w:rPr>
                <w:rFonts w:ascii="Arial" w:hAnsi="Arial" w:cs="Arial"/>
                <w:lang w:val="en-PH"/>
              </w:rPr>
            </w:pPr>
            <w:r w:rsidRPr="005803D0">
              <w:rPr>
                <w:rFonts w:ascii="Arial" w:hAnsi="Arial" w:cs="Arial"/>
                <w:b/>
                <w:bCs/>
                <w:lang w:val="en-PH"/>
              </w:rPr>
              <w:t>0.76</w:t>
            </w:r>
          </w:p>
        </w:tc>
        <w:tc>
          <w:tcPr>
            <w:tcW w:w="0" w:type="auto"/>
            <w:tcBorders>
              <w:top w:val="single" w:sz="4" w:space="0" w:color="000000"/>
              <w:bottom w:val="single" w:sz="4" w:space="0" w:color="auto"/>
            </w:tcBorders>
            <w:tcMar>
              <w:top w:w="0" w:type="dxa"/>
              <w:left w:w="115" w:type="dxa"/>
              <w:bottom w:w="0" w:type="dxa"/>
              <w:right w:w="115" w:type="dxa"/>
            </w:tcMar>
            <w:hideMark/>
          </w:tcPr>
          <w:p w14:paraId="376B65EE" w14:textId="77777777" w:rsidR="005803D0" w:rsidRPr="005803D0" w:rsidRDefault="005803D0" w:rsidP="005803D0">
            <w:pPr>
              <w:jc w:val="both"/>
              <w:rPr>
                <w:rFonts w:ascii="Arial" w:hAnsi="Arial" w:cs="Arial"/>
                <w:lang w:val="en-PH"/>
              </w:rPr>
            </w:pPr>
            <w:r w:rsidRPr="005803D0">
              <w:rPr>
                <w:rFonts w:ascii="Arial" w:hAnsi="Arial" w:cs="Arial"/>
                <w:b/>
                <w:bCs/>
                <w:lang w:val="en-PH"/>
              </w:rPr>
              <w:t>4.30</w:t>
            </w:r>
          </w:p>
        </w:tc>
        <w:tc>
          <w:tcPr>
            <w:tcW w:w="0" w:type="auto"/>
            <w:tcBorders>
              <w:top w:val="single" w:sz="4" w:space="0" w:color="000000"/>
              <w:bottom w:val="single" w:sz="4" w:space="0" w:color="auto"/>
            </w:tcBorders>
            <w:tcMar>
              <w:top w:w="0" w:type="dxa"/>
              <w:left w:w="115" w:type="dxa"/>
              <w:bottom w:w="0" w:type="dxa"/>
              <w:right w:w="115" w:type="dxa"/>
            </w:tcMar>
            <w:hideMark/>
          </w:tcPr>
          <w:p w14:paraId="2E323228" w14:textId="77777777" w:rsidR="005803D0" w:rsidRPr="005803D0" w:rsidRDefault="005803D0" w:rsidP="005803D0">
            <w:pPr>
              <w:jc w:val="both"/>
              <w:rPr>
                <w:rFonts w:ascii="Arial" w:hAnsi="Arial" w:cs="Arial"/>
                <w:lang w:val="en-PH"/>
              </w:rPr>
            </w:pPr>
            <w:r w:rsidRPr="005803D0">
              <w:rPr>
                <w:rFonts w:ascii="Arial" w:hAnsi="Arial" w:cs="Arial"/>
                <w:b/>
                <w:bCs/>
                <w:lang w:val="en-PH"/>
              </w:rPr>
              <w:t>Very Extensive</w:t>
            </w:r>
          </w:p>
        </w:tc>
      </w:tr>
    </w:tbl>
    <w:p w14:paraId="20CF6BE0" w14:textId="77777777" w:rsidR="00D453B9" w:rsidRDefault="00D453B9" w:rsidP="003248E3">
      <w:pPr>
        <w:jc w:val="both"/>
        <w:rPr>
          <w:rFonts w:ascii="Arial" w:hAnsi="Arial" w:cs="Arial"/>
        </w:rPr>
      </w:pPr>
    </w:p>
    <w:p w14:paraId="6108A930" w14:textId="6BF7DCFF" w:rsidR="00A8786A" w:rsidRPr="00CE08C9" w:rsidRDefault="00A8786A" w:rsidP="00CE08C9">
      <w:pPr>
        <w:jc w:val="both"/>
        <w:rPr>
          <w:rFonts w:ascii="Arial" w:hAnsi="Arial" w:cs="Arial"/>
        </w:rPr>
      </w:pPr>
      <w:r w:rsidRPr="00A8786A">
        <w:rPr>
          <w:rFonts w:ascii="Arial" w:hAnsi="Arial" w:cs="Arial"/>
        </w:rPr>
        <w:t xml:space="preserve">Presented in Table 1 is the </w:t>
      </w:r>
      <w:r w:rsidR="00CE08C9" w:rsidRPr="00CE08C9">
        <w:rPr>
          <w:rFonts w:ascii="Arial" w:hAnsi="Arial" w:cs="Arial"/>
        </w:rPr>
        <w:t>summary of the indicators in the extent of professional life quality, including total living space, safe and healthy working conditions, development of worker capacity, and social responsibility, based on the mean scores and standard deviations. The indicator total living space has</w:t>
      </w:r>
      <w:r w:rsidR="00B474E3">
        <w:rPr>
          <w:rFonts w:ascii="Arial" w:hAnsi="Arial" w:cs="Arial"/>
        </w:rPr>
        <w:t xml:space="preserve"> the highest M</w:t>
      </w:r>
      <w:r w:rsidR="00CE08C9" w:rsidRPr="00CE08C9">
        <w:rPr>
          <w:rFonts w:ascii="Arial" w:hAnsi="Arial" w:cs="Arial"/>
        </w:rPr>
        <w:t>ean of 4.32, categorized as "very extensive," indicating that teachers feel satisfied with their personal and professional environments, contributing to their overall well-being.</w:t>
      </w:r>
    </w:p>
    <w:p w14:paraId="6D32D024" w14:textId="77777777" w:rsidR="00CE08C9" w:rsidRDefault="00CE08C9" w:rsidP="00CE08C9">
      <w:pPr>
        <w:jc w:val="both"/>
        <w:rPr>
          <w:rFonts w:ascii="Arial" w:hAnsi="Arial" w:cs="Arial"/>
        </w:rPr>
      </w:pPr>
    </w:p>
    <w:p w14:paraId="60DA6EEE" w14:textId="73093C54" w:rsidR="00A8786A" w:rsidRDefault="00CE08C9" w:rsidP="00CE08C9">
      <w:pPr>
        <w:jc w:val="both"/>
        <w:rPr>
          <w:rFonts w:ascii="Arial" w:hAnsi="Arial" w:cs="Arial"/>
        </w:rPr>
      </w:pPr>
      <w:r w:rsidRPr="00CE08C9">
        <w:rPr>
          <w:rFonts w:ascii="Arial" w:hAnsi="Arial" w:cs="Arial"/>
        </w:rPr>
        <w:t>Safe and healthy working conditions follow with a mean of 4.30, also categorized as "very extensive," suggesting that teachers perceive their work environment as secure, well-equipped, and conducive to effective teaching and learning. Meanwhile, social responsibility obtained a mean of 4.31, categorized as "very extensive," reflecting the schools' commitment to community engagement, environmental sustainability, and inclusivity. Lastly, development</w:t>
      </w:r>
      <w:r w:rsidR="00B474E3">
        <w:rPr>
          <w:rFonts w:ascii="Arial" w:hAnsi="Arial" w:cs="Arial"/>
        </w:rPr>
        <w:t xml:space="preserve"> of worker capacity received a M</w:t>
      </w:r>
      <w:r w:rsidRPr="00CE08C9">
        <w:rPr>
          <w:rFonts w:ascii="Arial" w:hAnsi="Arial" w:cs="Arial"/>
        </w:rPr>
        <w:t>ean of 4.28, categorized as "very extensive," signifying that teachers are provided with opportunities for professional growth, career advancement, and continuous learning. The overall mean of 4.30, categorized as "very extensive," indicates a high level of professional life quality among teachers.</w:t>
      </w:r>
    </w:p>
    <w:p w14:paraId="425C6F18" w14:textId="4F745107" w:rsidR="00C74C43" w:rsidRDefault="00C74C43" w:rsidP="00CE08C9">
      <w:pPr>
        <w:jc w:val="both"/>
        <w:rPr>
          <w:rFonts w:ascii="Arial" w:hAnsi="Arial" w:cs="Arial"/>
        </w:rPr>
      </w:pPr>
    </w:p>
    <w:p w14:paraId="13F0BC64" w14:textId="77777777" w:rsidR="00C74C43" w:rsidRPr="00C74C43" w:rsidRDefault="00C74C43" w:rsidP="00C74C43">
      <w:pPr>
        <w:jc w:val="both"/>
        <w:rPr>
          <w:rFonts w:ascii="Arial" w:hAnsi="Arial" w:cs="Arial"/>
        </w:rPr>
      </w:pPr>
      <w:r w:rsidRPr="00C74C43">
        <w:rPr>
          <w:rFonts w:ascii="Arial" w:hAnsi="Arial" w:cs="Arial"/>
        </w:rPr>
        <w:t>This suggests that teachers experience a well-balanced professional environment, benefiting from secure and supportive working conditions, continuous career development, and meaningful community engagement. Their overall professional life quality contributes to their well-being and effectiveness in their roles.</w:t>
      </w:r>
    </w:p>
    <w:p w14:paraId="1578052C" w14:textId="4A4CFF54" w:rsidR="00C74C43" w:rsidRPr="00C74C43" w:rsidRDefault="00B474E3" w:rsidP="00C74C43">
      <w:pPr>
        <w:jc w:val="both"/>
        <w:rPr>
          <w:rFonts w:ascii="Arial" w:hAnsi="Arial" w:cs="Arial"/>
        </w:rPr>
      </w:pPr>
      <w:r>
        <w:rPr>
          <w:rFonts w:ascii="Arial" w:hAnsi="Arial" w:cs="Arial"/>
        </w:rPr>
        <w:t>The overall Standard D</w:t>
      </w:r>
      <w:r w:rsidR="00C74C43" w:rsidRPr="00C74C43">
        <w:rPr>
          <w:rFonts w:ascii="Arial" w:hAnsi="Arial" w:cs="Arial"/>
        </w:rPr>
        <w:t>eviation of 0.76 suggests that responses were relatively consistent across participants, indicating a shared perception of professional life quality.</w:t>
      </w:r>
    </w:p>
    <w:p w14:paraId="3C5547B2" w14:textId="58276ADA" w:rsidR="00C74C43" w:rsidRDefault="00C74C43" w:rsidP="00C74C43">
      <w:pPr>
        <w:jc w:val="both"/>
        <w:rPr>
          <w:rFonts w:ascii="Arial" w:hAnsi="Arial" w:cs="Arial"/>
        </w:rPr>
      </w:pPr>
      <w:r w:rsidRPr="00C74C43">
        <w:rPr>
          <w:rFonts w:ascii="Arial" w:hAnsi="Arial" w:cs="Arial"/>
        </w:rPr>
        <w:lastRenderedPageBreak/>
        <w:t xml:space="preserve">This finding supports the study of </w:t>
      </w:r>
      <w:proofErr w:type="spellStart"/>
      <w:r w:rsidRPr="00C74C43">
        <w:rPr>
          <w:rFonts w:ascii="Arial" w:hAnsi="Arial" w:cs="Arial"/>
        </w:rPr>
        <w:t>Ortan</w:t>
      </w:r>
      <w:proofErr w:type="spellEnd"/>
      <w:r w:rsidRPr="00C74C43">
        <w:rPr>
          <w:rFonts w:ascii="Arial" w:hAnsi="Arial" w:cs="Arial"/>
        </w:rPr>
        <w:t xml:space="preserve"> et al. (2021), which emphasized that safe and supportive working conditions contribute to job satisfaction and teacher retention. Similarly, King et al. (2021) highlighted that continuous career development opportunities enhance professional life quality. Furthermore, </w:t>
      </w:r>
      <w:proofErr w:type="spellStart"/>
      <w:r w:rsidRPr="00C74C43">
        <w:rPr>
          <w:rFonts w:ascii="Arial" w:hAnsi="Arial" w:cs="Arial"/>
        </w:rPr>
        <w:t>Onyekwelu</w:t>
      </w:r>
      <w:proofErr w:type="spellEnd"/>
      <w:r w:rsidRPr="00C74C43">
        <w:rPr>
          <w:rFonts w:ascii="Arial" w:hAnsi="Arial" w:cs="Arial"/>
        </w:rPr>
        <w:t xml:space="preserve"> (2024) found that schools fostering social responsibility initiatives create a positive and inclusive work environment that benefits both teachers and the community.</w:t>
      </w:r>
      <w:r>
        <w:rPr>
          <w:rFonts w:ascii="Arial" w:hAnsi="Arial" w:cs="Arial"/>
        </w:rPr>
        <w:t xml:space="preserve"> </w:t>
      </w:r>
    </w:p>
    <w:p w14:paraId="76979D38" w14:textId="77777777" w:rsidR="00CE08C9" w:rsidRPr="00CE08C9" w:rsidRDefault="00CE08C9" w:rsidP="00CE08C9">
      <w:pPr>
        <w:jc w:val="both"/>
        <w:rPr>
          <w:rFonts w:ascii="Arial" w:hAnsi="Arial" w:cs="Arial"/>
        </w:rPr>
      </w:pPr>
    </w:p>
    <w:p w14:paraId="49153FC3" w14:textId="303D163E" w:rsidR="00E16D4E" w:rsidRDefault="00180859">
      <w:pPr>
        <w:jc w:val="both"/>
        <w:rPr>
          <w:rFonts w:ascii="Arial" w:hAnsi="Arial" w:cs="Arial"/>
          <w:b/>
        </w:rPr>
      </w:pPr>
      <w:r>
        <w:rPr>
          <w:rFonts w:ascii="Arial" w:hAnsi="Arial" w:cs="Arial"/>
          <w:b/>
        </w:rPr>
        <w:t xml:space="preserve">3.2 </w:t>
      </w:r>
      <w:r w:rsidR="00CE08C9" w:rsidRPr="00CE08C9">
        <w:rPr>
          <w:rFonts w:ascii="Arial" w:hAnsi="Arial" w:cs="Arial"/>
          <w:b/>
        </w:rPr>
        <w:t xml:space="preserve">Extent of Career Sustainability </w:t>
      </w:r>
      <w:r w:rsidR="00D532E8" w:rsidRPr="00D532E8">
        <w:rPr>
          <w:rFonts w:ascii="Arial" w:hAnsi="Arial" w:cs="Arial"/>
          <w:b/>
        </w:rPr>
        <w:t>among Public Elementary School Teachers</w:t>
      </w:r>
    </w:p>
    <w:p w14:paraId="5B335AF5" w14:textId="77777777" w:rsidR="00D532E8" w:rsidRDefault="00D532E8">
      <w:pPr>
        <w:jc w:val="both"/>
        <w:rPr>
          <w:rFonts w:ascii="Arial" w:hAnsi="Arial" w:cs="Arial"/>
          <w:b/>
        </w:rPr>
      </w:pPr>
    </w:p>
    <w:p w14:paraId="2745F126" w14:textId="6535F1A2"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CE08C9" w:rsidRPr="00CE08C9">
        <w:rPr>
          <w:rFonts w:ascii="Arial" w:hAnsi="Arial" w:cs="Arial"/>
          <w:i/>
        </w:rPr>
        <w:t>Extent of Career Sustainability among Public Elementary School Teachers</w:t>
      </w:r>
    </w:p>
    <w:p w14:paraId="6183D22E" w14:textId="77777777" w:rsidR="005F0F26" w:rsidRDefault="005F0F26">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98"/>
        <w:gridCol w:w="620"/>
        <w:gridCol w:w="742"/>
        <w:gridCol w:w="1876"/>
      </w:tblGrid>
      <w:tr w:rsidR="00CE08C9" w:rsidRPr="00CE08C9" w14:paraId="4F2C2133" w14:textId="77777777" w:rsidTr="00CE08C9">
        <w:trPr>
          <w:trHeight w:val="258"/>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8A44096"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104E948F"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31A5F22A"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Mean</w:t>
            </w:r>
          </w:p>
          <w:p w14:paraId="46480249" w14:textId="77777777" w:rsidR="00CE08C9" w:rsidRPr="00CE08C9" w:rsidRDefault="00CE08C9" w:rsidP="00CE08C9">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538C79DE"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Descriptive Level</w:t>
            </w:r>
          </w:p>
        </w:tc>
      </w:tr>
      <w:tr w:rsidR="00CE08C9" w:rsidRPr="00CE08C9" w14:paraId="44899F9B" w14:textId="77777777" w:rsidTr="00CE08C9">
        <w:trPr>
          <w:trHeight w:val="269"/>
          <w:jc w:val="center"/>
        </w:trPr>
        <w:tc>
          <w:tcPr>
            <w:tcW w:w="0" w:type="auto"/>
            <w:tcBorders>
              <w:top w:val="single" w:sz="4" w:space="0" w:color="000000"/>
            </w:tcBorders>
            <w:tcMar>
              <w:top w:w="0" w:type="dxa"/>
              <w:left w:w="115" w:type="dxa"/>
              <w:bottom w:w="0" w:type="dxa"/>
              <w:right w:w="115" w:type="dxa"/>
            </w:tcMar>
            <w:hideMark/>
          </w:tcPr>
          <w:p w14:paraId="6B027C6A"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Meaning Perception</w:t>
            </w:r>
          </w:p>
        </w:tc>
        <w:tc>
          <w:tcPr>
            <w:tcW w:w="0" w:type="auto"/>
            <w:tcBorders>
              <w:top w:val="single" w:sz="4" w:space="0" w:color="000000"/>
            </w:tcBorders>
            <w:tcMar>
              <w:top w:w="0" w:type="dxa"/>
              <w:left w:w="115" w:type="dxa"/>
              <w:bottom w:w="0" w:type="dxa"/>
              <w:right w:w="115" w:type="dxa"/>
            </w:tcMar>
            <w:hideMark/>
          </w:tcPr>
          <w:p w14:paraId="596BD502"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0.66</w:t>
            </w:r>
          </w:p>
        </w:tc>
        <w:tc>
          <w:tcPr>
            <w:tcW w:w="0" w:type="auto"/>
            <w:tcBorders>
              <w:top w:val="single" w:sz="4" w:space="0" w:color="000000"/>
            </w:tcBorders>
            <w:tcMar>
              <w:top w:w="0" w:type="dxa"/>
              <w:left w:w="115" w:type="dxa"/>
              <w:bottom w:w="0" w:type="dxa"/>
              <w:right w:w="115" w:type="dxa"/>
            </w:tcMar>
            <w:hideMark/>
          </w:tcPr>
          <w:p w14:paraId="18D79A2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4.38</w:t>
            </w:r>
          </w:p>
        </w:tc>
        <w:tc>
          <w:tcPr>
            <w:tcW w:w="0" w:type="auto"/>
            <w:tcBorders>
              <w:top w:val="single" w:sz="4" w:space="0" w:color="000000"/>
            </w:tcBorders>
            <w:tcMar>
              <w:top w:w="0" w:type="dxa"/>
              <w:left w:w="115" w:type="dxa"/>
              <w:bottom w:w="0" w:type="dxa"/>
              <w:right w:w="115" w:type="dxa"/>
            </w:tcMar>
            <w:hideMark/>
          </w:tcPr>
          <w:p w14:paraId="2241774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0D69FA20" w14:textId="77777777" w:rsidTr="00CE08C9">
        <w:trPr>
          <w:trHeight w:val="280"/>
          <w:jc w:val="center"/>
        </w:trPr>
        <w:tc>
          <w:tcPr>
            <w:tcW w:w="0" w:type="auto"/>
            <w:tcMar>
              <w:top w:w="0" w:type="dxa"/>
              <w:left w:w="115" w:type="dxa"/>
              <w:bottom w:w="0" w:type="dxa"/>
              <w:right w:w="115" w:type="dxa"/>
            </w:tcMar>
            <w:hideMark/>
          </w:tcPr>
          <w:p w14:paraId="6EBCDBB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Skill Acquisition</w:t>
            </w:r>
            <w:r w:rsidRPr="00CE08C9">
              <w:rPr>
                <w:rFonts w:ascii="Arial" w:hAnsi="Arial" w:cs="Arial"/>
                <w:color w:val="000000"/>
                <w:lang w:val="en-PH" w:eastAsia="en-PH"/>
              </w:rPr>
              <w:tab/>
            </w:r>
          </w:p>
        </w:tc>
        <w:tc>
          <w:tcPr>
            <w:tcW w:w="0" w:type="auto"/>
            <w:tcMar>
              <w:top w:w="0" w:type="dxa"/>
              <w:left w:w="115" w:type="dxa"/>
              <w:bottom w:w="0" w:type="dxa"/>
              <w:right w:w="115" w:type="dxa"/>
            </w:tcMar>
            <w:hideMark/>
          </w:tcPr>
          <w:p w14:paraId="5E45F696"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0.69</w:t>
            </w:r>
          </w:p>
        </w:tc>
        <w:tc>
          <w:tcPr>
            <w:tcW w:w="0" w:type="auto"/>
            <w:tcMar>
              <w:top w:w="0" w:type="dxa"/>
              <w:left w:w="115" w:type="dxa"/>
              <w:bottom w:w="0" w:type="dxa"/>
              <w:right w:w="115" w:type="dxa"/>
            </w:tcMar>
            <w:hideMark/>
          </w:tcPr>
          <w:p w14:paraId="3D11C31E"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4.39</w:t>
            </w:r>
          </w:p>
        </w:tc>
        <w:tc>
          <w:tcPr>
            <w:tcW w:w="0" w:type="auto"/>
            <w:tcMar>
              <w:top w:w="0" w:type="dxa"/>
              <w:left w:w="115" w:type="dxa"/>
              <w:bottom w:w="0" w:type="dxa"/>
              <w:right w:w="115" w:type="dxa"/>
            </w:tcMar>
            <w:hideMark/>
          </w:tcPr>
          <w:p w14:paraId="6D771B94"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4E442FAC" w14:textId="77777777" w:rsidTr="00CE08C9">
        <w:trPr>
          <w:trHeight w:val="280"/>
          <w:jc w:val="center"/>
        </w:trPr>
        <w:tc>
          <w:tcPr>
            <w:tcW w:w="0" w:type="auto"/>
            <w:tcBorders>
              <w:bottom w:val="single" w:sz="4" w:space="0" w:color="000000"/>
            </w:tcBorders>
            <w:tcMar>
              <w:top w:w="0" w:type="dxa"/>
              <w:left w:w="115" w:type="dxa"/>
              <w:bottom w:w="0" w:type="dxa"/>
              <w:right w:w="115" w:type="dxa"/>
            </w:tcMar>
            <w:hideMark/>
          </w:tcPr>
          <w:p w14:paraId="35AD4CC1"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Relationship Building</w:t>
            </w:r>
          </w:p>
        </w:tc>
        <w:tc>
          <w:tcPr>
            <w:tcW w:w="0" w:type="auto"/>
            <w:tcBorders>
              <w:bottom w:val="single" w:sz="4" w:space="0" w:color="000000"/>
            </w:tcBorders>
            <w:tcMar>
              <w:top w:w="0" w:type="dxa"/>
              <w:left w:w="115" w:type="dxa"/>
              <w:bottom w:w="0" w:type="dxa"/>
              <w:right w:w="115" w:type="dxa"/>
            </w:tcMar>
            <w:hideMark/>
          </w:tcPr>
          <w:p w14:paraId="54666B9E"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0.74</w:t>
            </w:r>
          </w:p>
        </w:tc>
        <w:tc>
          <w:tcPr>
            <w:tcW w:w="0" w:type="auto"/>
            <w:tcBorders>
              <w:bottom w:val="single" w:sz="4" w:space="0" w:color="000000"/>
            </w:tcBorders>
            <w:tcMar>
              <w:top w:w="0" w:type="dxa"/>
              <w:left w:w="115" w:type="dxa"/>
              <w:bottom w:w="0" w:type="dxa"/>
              <w:right w:w="115" w:type="dxa"/>
            </w:tcMar>
            <w:hideMark/>
          </w:tcPr>
          <w:p w14:paraId="783B6EA0"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4.36</w:t>
            </w:r>
          </w:p>
        </w:tc>
        <w:tc>
          <w:tcPr>
            <w:tcW w:w="0" w:type="auto"/>
            <w:tcBorders>
              <w:bottom w:val="single" w:sz="4" w:space="0" w:color="000000"/>
            </w:tcBorders>
            <w:tcMar>
              <w:top w:w="0" w:type="dxa"/>
              <w:left w:w="115" w:type="dxa"/>
              <w:bottom w:w="0" w:type="dxa"/>
              <w:right w:w="115" w:type="dxa"/>
            </w:tcMar>
            <w:hideMark/>
          </w:tcPr>
          <w:p w14:paraId="1B0FF55A"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568490AF" w14:textId="77777777" w:rsidTr="00CE08C9">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28E5B93F"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10005E9C"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0.73</w:t>
            </w:r>
          </w:p>
        </w:tc>
        <w:tc>
          <w:tcPr>
            <w:tcW w:w="0" w:type="auto"/>
            <w:tcBorders>
              <w:top w:val="single" w:sz="4" w:space="0" w:color="000000"/>
              <w:bottom w:val="single" w:sz="4" w:space="0" w:color="auto"/>
            </w:tcBorders>
            <w:tcMar>
              <w:top w:w="0" w:type="dxa"/>
              <w:left w:w="115" w:type="dxa"/>
              <w:bottom w:w="0" w:type="dxa"/>
              <w:right w:w="115" w:type="dxa"/>
            </w:tcMar>
            <w:hideMark/>
          </w:tcPr>
          <w:p w14:paraId="793A4D67"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4.38</w:t>
            </w:r>
          </w:p>
        </w:tc>
        <w:tc>
          <w:tcPr>
            <w:tcW w:w="0" w:type="auto"/>
            <w:tcBorders>
              <w:top w:val="single" w:sz="4" w:space="0" w:color="000000"/>
              <w:bottom w:val="single" w:sz="4" w:space="0" w:color="auto"/>
            </w:tcBorders>
            <w:tcMar>
              <w:top w:w="0" w:type="dxa"/>
              <w:left w:w="115" w:type="dxa"/>
              <w:bottom w:w="0" w:type="dxa"/>
              <w:right w:w="115" w:type="dxa"/>
            </w:tcMar>
            <w:hideMark/>
          </w:tcPr>
          <w:p w14:paraId="4CB8543D"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Very Extensive</w:t>
            </w:r>
          </w:p>
        </w:tc>
      </w:tr>
    </w:tbl>
    <w:p w14:paraId="2CBCEC53" w14:textId="77777777" w:rsidR="00977342" w:rsidRDefault="00977342" w:rsidP="00CE08C9">
      <w:pPr>
        <w:jc w:val="both"/>
        <w:rPr>
          <w:rFonts w:ascii="Arial" w:hAnsi="Arial" w:cs="Arial"/>
        </w:rPr>
      </w:pPr>
    </w:p>
    <w:p w14:paraId="03518C5A" w14:textId="03768755" w:rsidR="00CE08C9" w:rsidRPr="00CE08C9" w:rsidRDefault="00691641" w:rsidP="00CE08C9">
      <w:pPr>
        <w:jc w:val="both"/>
        <w:rPr>
          <w:rFonts w:ascii="Arial" w:hAnsi="Arial" w:cs="Arial"/>
        </w:rPr>
      </w:pPr>
      <w:r>
        <w:rPr>
          <w:rFonts w:ascii="Arial" w:hAnsi="Arial" w:cs="Arial"/>
        </w:rPr>
        <w:t>Presented in Table 2</w:t>
      </w:r>
      <w:r w:rsidRPr="00691641">
        <w:rPr>
          <w:rFonts w:ascii="Arial" w:hAnsi="Arial" w:cs="Arial"/>
        </w:rPr>
        <w:t xml:space="preserve"> is the summary </w:t>
      </w:r>
      <w:r w:rsidR="00CE08C9" w:rsidRPr="00CE08C9">
        <w:rPr>
          <w:rFonts w:ascii="Arial" w:hAnsi="Arial" w:cs="Arial"/>
        </w:rPr>
        <w:t>of the indicators in the extent of career sustainability, including meaning perception, skill acquisition, and relationship building, based on the mean scores and standard deviations. The indicator ski</w:t>
      </w:r>
      <w:r w:rsidR="00B474E3">
        <w:rPr>
          <w:rFonts w:ascii="Arial" w:hAnsi="Arial" w:cs="Arial"/>
        </w:rPr>
        <w:t>ll acquisition has the highest M</w:t>
      </w:r>
      <w:r w:rsidR="00CE08C9" w:rsidRPr="00CE08C9">
        <w:rPr>
          <w:rFonts w:ascii="Arial" w:hAnsi="Arial" w:cs="Arial"/>
        </w:rPr>
        <w:t>ean of 4.39, categorized as "very extensive," indicating that teachers continuously enhance their competencies, acquire new skills, and adapt to evolving career demands. Meaning perception follows with a mean of 4.38, also categorized as "very extensive," suggesting that teachers find purpose in their careers, prioritize professional growth, and recognize the value of their work in both personal and professional development. Meanwhile, re</w:t>
      </w:r>
      <w:r w:rsidR="00B474E3">
        <w:rPr>
          <w:rFonts w:ascii="Arial" w:hAnsi="Arial" w:cs="Arial"/>
        </w:rPr>
        <w:t>lationship building obtained a M</w:t>
      </w:r>
      <w:r w:rsidR="00CE08C9" w:rsidRPr="00CE08C9">
        <w:rPr>
          <w:rFonts w:ascii="Arial" w:hAnsi="Arial" w:cs="Arial"/>
        </w:rPr>
        <w:t>ean of 4.36, categorized as "very extensive," reflecting that teachers actively establish professional connections, engage in career-oriented interactions, and leverage networking for c</w:t>
      </w:r>
      <w:r w:rsidR="00B474E3">
        <w:rPr>
          <w:rFonts w:ascii="Arial" w:hAnsi="Arial" w:cs="Arial"/>
        </w:rPr>
        <w:t>areer advancement. The overall m</w:t>
      </w:r>
      <w:r w:rsidR="00CE08C9" w:rsidRPr="00CE08C9">
        <w:rPr>
          <w:rFonts w:ascii="Arial" w:hAnsi="Arial" w:cs="Arial"/>
        </w:rPr>
        <w:t xml:space="preserve">ean of 4.38 reinforces the perception that career sustainability among teachers is at a very high level. </w:t>
      </w:r>
    </w:p>
    <w:p w14:paraId="6663FF1D" w14:textId="77777777" w:rsidR="005F0F26" w:rsidRDefault="005F0F26" w:rsidP="00CE08C9">
      <w:pPr>
        <w:jc w:val="both"/>
        <w:rPr>
          <w:rFonts w:ascii="Arial" w:hAnsi="Arial" w:cs="Arial"/>
        </w:rPr>
      </w:pPr>
    </w:p>
    <w:p w14:paraId="6A81F803" w14:textId="23DCBDA4" w:rsidR="00CE08C9" w:rsidRPr="00CE08C9" w:rsidRDefault="00CE08C9" w:rsidP="00CE08C9">
      <w:pPr>
        <w:jc w:val="both"/>
        <w:rPr>
          <w:rFonts w:ascii="Arial" w:hAnsi="Arial" w:cs="Arial"/>
        </w:rPr>
      </w:pPr>
      <w:r w:rsidRPr="00CE08C9">
        <w:rPr>
          <w:rFonts w:ascii="Arial" w:hAnsi="Arial" w:cs="Arial"/>
        </w:rPr>
        <w:t>This suggests that teachers are actively engaged in maintaining their career stability by building strong professional networks, continuously developing their skills, and finding meaning in their work. Their commitment to career sustainability ensures long-term professional growth and adaptability in the evolving educational landscape.</w:t>
      </w:r>
    </w:p>
    <w:p w14:paraId="1F13EE89" w14:textId="3C37F932" w:rsidR="00D815DA" w:rsidRDefault="00B474E3" w:rsidP="00CE08C9">
      <w:pPr>
        <w:jc w:val="both"/>
        <w:rPr>
          <w:rFonts w:ascii="Arial" w:hAnsi="Arial" w:cs="Arial"/>
        </w:rPr>
      </w:pPr>
      <w:r>
        <w:rPr>
          <w:rFonts w:ascii="Arial" w:hAnsi="Arial" w:cs="Arial"/>
        </w:rPr>
        <w:t>The overall Standard D</w:t>
      </w:r>
      <w:r w:rsidR="00CE08C9" w:rsidRPr="00CE08C9">
        <w:rPr>
          <w:rFonts w:ascii="Arial" w:hAnsi="Arial" w:cs="Arial"/>
        </w:rPr>
        <w:t>eviation of 0.73 suggests that responses were relatively consistent across participants, indicating a shared perception of career sustainability.</w:t>
      </w:r>
    </w:p>
    <w:p w14:paraId="4C64E4F3" w14:textId="09A04644" w:rsidR="00CE08C9" w:rsidRDefault="00CE08C9" w:rsidP="00CE08C9">
      <w:pPr>
        <w:jc w:val="both"/>
        <w:rPr>
          <w:rFonts w:ascii="Arial" w:hAnsi="Arial" w:cs="Arial"/>
        </w:rPr>
      </w:pPr>
    </w:p>
    <w:p w14:paraId="64B46356" w14:textId="7BC91FA6" w:rsidR="00CE08C9" w:rsidRDefault="00CE08C9" w:rsidP="00CE08C9">
      <w:pPr>
        <w:jc w:val="both"/>
        <w:rPr>
          <w:rFonts w:ascii="Arial" w:hAnsi="Arial" w:cs="Arial"/>
        </w:rPr>
      </w:pPr>
      <w:r w:rsidRPr="00CE08C9">
        <w:rPr>
          <w:rFonts w:ascii="Arial" w:hAnsi="Arial" w:cs="Arial"/>
        </w:rPr>
        <w:t>This finding supports the study of Robinson (2022), which emphasized that strong professional relationships enhance career sustainability. Similarly, Borg et al. (2021) highlighted that continuous skill acquisition ensures career adaptability and long-term success. Furthermore, Wang et al. (2024) found that a strong sense of meaning in one’s career fosters greater motivation and commitment to professional growth.</w:t>
      </w:r>
    </w:p>
    <w:p w14:paraId="4155BD87" w14:textId="77777777" w:rsidR="00CE08C9" w:rsidRDefault="00CE08C9" w:rsidP="00CE08C9">
      <w:pPr>
        <w:jc w:val="both"/>
        <w:rPr>
          <w:rFonts w:ascii="Arial" w:hAnsi="Arial" w:cs="Arial"/>
        </w:rPr>
      </w:pPr>
    </w:p>
    <w:p w14:paraId="308FAF8A" w14:textId="0A7A8D2B" w:rsidR="00D82866" w:rsidRPr="00CE08C9" w:rsidRDefault="00781D5E" w:rsidP="00CE08C9">
      <w:pPr>
        <w:jc w:val="both"/>
        <w:rPr>
          <w:rFonts w:ascii="Arial" w:hAnsi="Arial" w:cs="Arial"/>
          <w:b/>
          <w:bCs/>
          <w:iCs/>
        </w:rPr>
      </w:pPr>
      <w:r>
        <w:rPr>
          <w:rFonts w:ascii="Arial" w:hAnsi="Arial" w:cs="Arial"/>
          <w:b/>
          <w:bCs/>
          <w:iCs/>
        </w:rPr>
        <w:t xml:space="preserve">3.3 </w:t>
      </w:r>
      <w:r w:rsidR="00CE08C9" w:rsidRPr="00CE08C9">
        <w:rPr>
          <w:rFonts w:ascii="Arial" w:hAnsi="Arial" w:cs="Arial"/>
          <w:b/>
          <w:bCs/>
          <w:iCs/>
        </w:rPr>
        <w:t>Significant Relationship Between Professional Life Quality and Career Sustainability</w:t>
      </w:r>
    </w:p>
    <w:p w14:paraId="30567870" w14:textId="77777777" w:rsidR="00D815DA" w:rsidRDefault="00D815DA" w:rsidP="00F600DB">
      <w:pPr>
        <w:jc w:val="both"/>
        <w:rPr>
          <w:rFonts w:ascii="Arial" w:hAnsi="Arial" w:cs="Arial"/>
          <w:iCs/>
        </w:rPr>
      </w:pPr>
    </w:p>
    <w:p w14:paraId="3E38AC03" w14:textId="393852AC" w:rsidR="00D815DA" w:rsidRPr="00CE08C9" w:rsidRDefault="00180859" w:rsidP="00CE08C9">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CE08C9" w:rsidRPr="00CE08C9">
        <w:rPr>
          <w:rFonts w:ascii="Arial" w:hAnsi="Arial" w:cs="Arial"/>
          <w:i/>
        </w:rPr>
        <w:t>Significant Relationship Between Professional Life Quality and Career Sustainability</w:t>
      </w:r>
    </w:p>
    <w:p w14:paraId="3580D37C" w14:textId="77777777" w:rsidR="00017E5D" w:rsidRDefault="00017E5D" w:rsidP="00F927B2">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17"/>
        <w:gridCol w:w="742"/>
        <w:gridCol w:w="620"/>
        <w:gridCol w:w="620"/>
        <w:gridCol w:w="620"/>
        <w:gridCol w:w="1839"/>
        <w:gridCol w:w="821"/>
        <w:gridCol w:w="1129"/>
      </w:tblGrid>
      <w:tr w:rsidR="00CE08C9" w:rsidRPr="00CE08C9" w14:paraId="1D595D10" w14:textId="77777777" w:rsidTr="00CE08C9">
        <w:trPr>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2159D4A9"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0E400E65"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4A74F89B"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047229D4"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2ABB637D" w14:textId="77777777" w:rsidR="00CE08C9" w:rsidRPr="00CE08C9" w:rsidRDefault="00CE08C9" w:rsidP="00CE08C9">
            <w:pPr>
              <w:shd w:val="clear" w:color="auto" w:fill="FFFFFF"/>
              <w:jc w:val="center"/>
              <w:rPr>
                <w:rFonts w:ascii="Times New Roman" w:hAnsi="Times New Roman"/>
                <w:lang w:val="en-PH" w:eastAsia="en-PH"/>
              </w:rPr>
            </w:pPr>
            <w:r w:rsidRPr="00CE08C9">
              <w:rPr>
                <w:rFonts w:ascii="Arial" w:hAnsi="Arial" w:cs="Arial"/>
                <w:b/>
                <w:bCs/>
                <w:color w:val="000000"/>
                <w:lang w:val="en-PH" w:eastAsia="en-PH"/>
              </w:rPr>
              <w:t>R²</w:t>
            </w:r>
          </w:p>
          <w:p w14:paraId="71E47219" w14:textId="77777777" w:rsidR="00CE08C9" w:rsidRPr="00CE08C9" w:rsidRDefault="00CE08C9" w:rsidP="00CE08C9">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63FA120E"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0B938F5C"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36EF81F5"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Decision</w:t>
            </w:r>
          </w:p>
        </w:tc>
      </w:tr>
      <w:tr w:rsidR="00CE08C9" w:rsidRPr="00CE08C9" w14:paraId="6DF64CA6" w14:textId="77777777" w:rsidTr="00CE08C9">
        <w:trPr>
          <w:jc w:val="center"/>
        </w:trPr>
        <w:tc>
          <w:tcPr>
            <w:tcW w:w="0" w:type="auto"/>
            <w:tcBorders>
              <w:top w:val="single" w:sz="4" w:space="0" w:color="000000"/>
            </w:tcBorders>
            <w:tcMar>
              <w:top w:w="0" w:type="dxa"/>
              <w:left w:w="115" w:type="dxa"/>
              <w:bottom w:w="0" w:type="dxa"/>
              <w:right w:w="115" w:type="dxa"/>
            </w:tcMar>
            <w:hideMark/>
          </w:tcPr>
          <w:p w14:paraId="0853E61D"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Professional Life Quality</w:t>
            </w:r>
          </w:p>
        </w:tc>
        <w:tc>
          <w:tcPr>
            <w:tcW w:w="0" w:type="auto"/>
            <w:tcBorders>
              <w:top w:val="single" w:sz="4" w:space="0" w:color="000000"/>
            </w:tcBorders>
            <w:tcMar>
              <w:top w:w="0" w:type="dxa"/>
              <w:left w:w="115" w:type="dxa"/>
              <w:bottom w:w="0" w:type="dxa"/>
              <w:right w:w="115" w:type="dxa"/>
            </w:tcMar>
            <w:hideMark/>
          </w:tcPr>
          <w:p w14:paraId="15AF9BF6"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4.30</w:t>
            </w:r>
          </w:p>
        </w:tc>
        <w:tc>
          <w:tcPr>
            <w:tcW w:w="0" w:type="auto"/>
            <w:tcBorders>
              <w:top w:val="single" w:sz="4" w:space="0" w:color="000000"/>
            </w:tcBorders>
            <w:tcMar>
              <w:top w:w="0" w:type="dxa"/>
              <w:left w:w="115" w:type="dxa"/>
              <w:bottom w:w="0" w:type="dxa"/>
              <w:right w:w="115" w:type="dxa"/>
            </w:tcMar>
            <w:hideMark/>
          </w:tcPr>
          <w:p w14:paraId="0CFEF367"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0.76</w:t>
            </w:r>
          </w:p>
        </w:tc>
        <w:tc>
          <w:tcPr>
            <w:tcW w:w="0" w:type="auto"/>
            <w:tcBorders>
              <w:top w:val="single" w:sz="4" w:space="0" w:color="000000"/>
            </w:tcBorders>
            <w:tcMar>
              <w:top w:w="0" w:type="dxa"/>
              <w:left w:w="115" w:type="dxa"/>
              <w:bottom w:w="0" w:type="dxa"/>
              <w:right w:w="115" w:type="dxa"/>
            </w:tcMar>
            <w:hideMark/>
          </w:tcPr>
          <w:p w14:paraId="2BCC7163"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D26BAEE"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1DE1FBE"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174895A"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EC6068E" w14:textId="77777777" w:rsidR="00CE08C9" w:rsidRPr="00CE08C9" w:rsidRDefault="00CE08C9" w:rsidP="00CE08C9">
            <w:pPr>
              <w:rPr>
                <w:rFonts w:ascii="Times New Roman" w:hAnsi="Times New Roman"/>
                <w:lang w:val="en-PH" w:eastAsia="en-PH"/>
              </w:rPr>
            </w:pPr>
          </w:p>
        </w:tc>
      </w:tr>
      <w:tr w:rsidR="00CE08C9" w:rsidRPr="00CE08C9" w14:paraId="6FCA22A1" w14:textId="77777777" w:rsidTr="00CE08C9">
        <w:trPr>
          <w:jc w:val="center"/>
        </w:trPr>
        <w:tc>
          <w:tcPr>
            <w:tcW w:w="0" w:type="auto"/>
            <w:tcMar>
              <w:top w:w="0" w:type="dxa"/>
              <w:left w:w="115" w:type="dxa"/>
              <w:bottom w:w="0" w:type="dxa"/>
              <w:right w:w="115" w:type="dxa"/>
            </w:tcMar>
            <w:hideMark/>
          </w:tcPr>
          <w:p w14:paraId="1CE77F0F"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78021493"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02DC391A"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55874AEC"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0.74</w:t>
            </w:r>
          </w:p>
        </w:tc>
        <w:tc>
          <w:tcPr>
            <w:tcW w:w="0" w:type="auto"/>
            <w:tcMar>
              <w:top w:w="0" w:type="dxa"/>
              <w:left w:w="115" w:type="dxa"/>
              <w:bottom w:w="0" w:type="dxa"/>
              <w:right w:w="115" w:type="dxa"/>
            </w:tcMar>
            <w:hideMark/>
          </w:tcPr>
          <w:p w14:paraId="42522D95"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0.55</w:t>
            </w:r>
          </w:p>
        </w:tc>
        <w:tc>
          <w:tcPr>
            <w:tcW w:w="0" w:type="auto"/>
            <w:tcMar>
              <w:top w:w="0" w:type="dxa"/>
              <w:left w:w="115" w:type="dxa"/>
              <w:bottom w:w="0" w:type="dxa"/>
              <w:right w:w="115" w:type="dxa"/>
            </w:tcMar>
            <w:hideMark/>
          </w:tcPr>
          <w:p w14:paraId="65AB828C"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High</w:t>
            </w:r>
          </w:p>
        </w:tc>
        <w:tc>
          <w:tcPr>
            <w:tcW w:w="0" w:type="auto"/>
            <w:tcMar>
              <w:top w:w="0" w:type="dxa"/>
              <w:left w:w="115" w:type="dxa"/>
              <w:bottom w:w="0" w:type="dxa"/>
              <w:right w:w="115" w:type="dxa"/>
            </w:tcMar>
            <w:hideMark/>
          </w:tcPr>
          <w:p w14:paraId="7FBC1164"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0.000</w:t>
            </w:r>
          </w:p>
        </w:tc>
        <w:tc>
          <w:tcPr>
            <w:tcW w:w="0" w:type="auto"/>
            <w:tcMar>
              <w:top w:w="0" w:type="dxa"/>
              <w:left w:w="115" w:type="dxa"/>
              <w:bottom w:w="0" w:type="dxa"/>
              <w:right w:w="115" w:type="dxa"/>
            </w:tcMar>
            <w:hideMark/>
          </w:tcPr>
          <w:p w14:paraId="6CF4360B"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Reject Ho1</w:t>
            </w:r>
          </w:p>
        </w:tc>
      </w:tr>
      <w:tr w:rsidR="00CE08C9" w:rsidRPr="00CE08C9" w14:paraId="6E9D670E" w14:textId="77777777" w:rsidTr="00CE08C9">
        <w:trPr>
          <w:jc w:val="center"/>
        </w:trPr>
        <w:tc>
          <w:tcPr>
            <w:tcW w:w="0" w:type="auto"/>
            <w:tcBorders>
              <w:bottom w:val="single" w:sz="4" w:space="0" w:color="000000"/>
            </w:tcBorders>
            <w:tcMar>
              <w:top w:w="0" w:type="dxa"/>
              <w:left w:w="115" w:type="dxa"/>
              <w:bottom w:w="0" w:type="dxa"/>
              <w:right w:w="115" w:type="dxa"/>
            </w:tcMar>
            <w:hideMark/>
          </w:tcPr>
          <w:p w14:paraId="389F6436"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Career Sustainability</w:t>
            </w:r>
          </w:p>
        </w:tc>
        <w:tc>
          <w:tcPr>
            <w:tcW w:w="0" w:type="auto"/>
            <w:tcBorders>
              <w:bottom w:val="single" w:sz="4" w:space="0" w:color="000000"/>
            </w:tcBorders>
            <w:tcMar>
              <w:top w:w="0" w:type="dxa"/>
              <w:left w:w="115" w:type="dxa"/>
              <w:bottom w:w="0" w:type="dxa"/>
              <w:right w:w="115" w:type="dxa"/>
            </w:tcMar>
            <w:hideMark/>
          </w:tcPr>
          <w:p w14:paraId="55D450D8"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4D2E5785"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0.73</w:t>
            </w:r>
          </w:p>
        </w:tc>
        <w:tc>
          <w:tcPr>
            <w:tcW w:w="0" w:type="auto"/>
            <w:tcBorders>
              <w:bottom w:val="single" w:sz="4" w:space="0" w:color="000000"/>
            </w:tcBorders>
            <w:tcMar>
              <w:top w:w="0" w:type="dxa"/>
              <w:left w:w="115" w:type="dxa"/>
              <w:bottom w:w="0" w:type="dxa"/>
              <w:right w:w="115" w:type="dxa"/>
            </w:tcMar>
            <w:hideMark/>
          </w:tcPr>
          <w:p w14:paraId="05E0561F"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A549DB6"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B32F64D"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1D1FE81A"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C17F84C" w14:textId="77777777" w:rsidR="00CE08C9" w:rsidRPr="00CE08C9" w:rsidRDefault="00CE08C9" w:rsidP="00CE08C9">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1FB8CBC1" w14:textId="1E92A335" w:rsidR="00017E5D" w:rsidRPr="00CE08C9" w:rsidRDefault="00691641" w:rsidP="00CE08C9">
      <w:pPr>
        <w:jc w:val="both"/>
        <w:rPr>
          <w:rFonts w:ascii="Arial" w:hAnsi="Arial" w:cs="Arial"/>
        </w:rPr>
      </w:pPr>
      <w:r>
        <w:rPr>
          <w:rFonts w:ascii="Arial" w:hAnsi="Arial" w:cs="Arial"/>
        </w:rPr>
        <w:t>Presented in Table 3</w:t>
      </w:r>
      <w:r w:rsidRPr="00691641">
        <w:rPr>
          <w:rFonts w:ascii="Arial" w:hAnsi="Arial" w:cs="Arial"/>
        </w:rPr>
        <w:t xml:space="preserve"> </w:t>
      </w:r>
      <w:r w:rsidR="00CE08C9" w:rsidRPr="00CE08C9">
        <w:rPr>
          <w:rFonts w:ascii="Arial" w:hAnsi="Arial" w:cs="Arial"/>
        </w:rPr>
        <w:t>is the correlation analysis between professional life quality and career sustainability among teachers. The relationship between professional life quality and career sustainability has a correlation coefficient of 0.74 with a p-value of 0.000, which is less than the 0.05 significance level. This indicates a high and statistically significant positive relationship between professional life quality and career sustainability. The R² value of 0.55 suggests that approximately 55% of the variation in career sustainability can be explained by professional life quality. Given that the p-value is less than 0.05, the null hypothesis (Ho1) is rejected, supporting the claim that professional life quality is significantly related to career sustainability.</w:t>
      </w:r>
    </w:p>
    <w:p w14:paraId="3B6CC02D" w14:textId="6EFF9919" w:rsidR="00691641" w:rsidRDefault="00691641" w:rsidP="00151F8F">
      <w:pPr>
        <w:jc w:val="both"/>
        <w:rPr>
          <w:rFonts w:ascii="Arial" w:hAnsi="Arial" w:cs="Arial"/>
          <w:b/>
          <w:bCs/>
          <w:iCs/>
        </w:rPr>
      </w:pPr>
    </w:p>
    <w:p w14:paraId="1F709094" w14:textId="77777777" w:rsidR="00CE08C9" w:rsidRPr="00CE08C9" w:rsidRDefault="00CE08C9" w:rsidP="00CE08C9">
      <w:pPr>
        <w:jc w:val="both"/>
        <w:rPr>
          <w:rFonts w:ascii="Arial" w:hAnsi="Arial" w:cs="Arial"/>
          <w:bCs/>
          <w:iCs/>
        </w:rPr>
      </w:pPr>
      <w:r w:rsidRPr="00CE08C9">
        <w:rPr>
          <w:rFonts w:ascii="Arial" w:hAnsi="Arial" w:cs="Arial"/>
          <w:bCs/>
          <w:iCs/>
        </w:rPr>
        <w:t>This suggests that teachers who experience better professional life quality characterized by adequate living spaces, safe and healthy working conditions, opportunities for professional development, and a strong sense of social responsibility are more likely to sustain their careers. Schools that provide a supportive and growth-oriented work environment enable teachers to continuously develop their skills, engage in meaningful career experiences, and maintain long-term career stability. Therefore, enhancing professional life quality can be a strategic approach to fostering career sustainability among teachers.</w:t>
      </w:r>
    </w:p>
    <w:p w14:paraId="2089F644" w14:textId="77777777" w:rsidR="00CE08C9" w:rsidRDefault="00CE08C9" w:rsidP="00CE08C9">
      <w:pPr>
        <w:jc w:val="both"/>
        <w:rPr>
          <w:rFonts w:ascii="Arial" w:hAnsi="Arial" w:cs="Arial"/>
          <w:bCs/>
          <w:iCs/>
        </w:rPr>
      </w:pPr>
    </w:p>
    <w:p w14:paraId="5EA156AE" w14:textId="52E7C554" w:rsidR="00CE08C9" w:rsidRPr="00CE08C9" w:rsidRDefault="00CE08C9" w:rsidP="00CE08C9">
      <w:pPr>
        <w:jc w:val="both"/>
        <w:rPr>
          <w:rFonts w:ascii="Arial" w:hAnsi="Arial" w:cs="Arial"/>
          <w:bCs/>
          <w:iCs/>
        </w:rPr>
      </w:pPr>
      <w:r w:rsidRPr="00CE08C9">
        <w:rPr>
          <w:rFonts w:ascii="Arial" w:hAnsi="Arial" w:cs="Arial"/>
          <w:bCs/>
          <w:iCs/>
        </w:rPr>
        <w:t>This finding is supported by the study conducted by Şahin et al. (2024), who emphasized that a high-quality professional environment enhances teachers’ career commitment and longevity. Their research found that safe working conditions, career development opportunities, and institutional support contribute to teachers’ ability to sustain their careers. Similarly, Melesse and Belay (2022) highlighted that when schools actively promote social responsibility and continuous skill development, teachers experience greater job satisfaction and career fulfillment. Furthermore, Rajagopal et al. (2024) found that teachers in institutions that prioritize work-life balance, professional growth, and a positive work environment are more likely to sustain their careers in the long run.</w:t>
      </w:r>
    </w:p>
    <w:p w14:paraId="7241F3B7" w14:textId="77777777" w:rsidR="00CE08C9" w:rsidRDefault="00CE08C9" w:rsidP="00151F8F">
      <w:pPr>
        <w:jc w:val="both"/>
        <w:rPr>
          <w:rFonts w:ascii="Arial" w:hAnsi="Arial" w:cs="Arial"/>
          <w:b/>
          <w:bCs/>
          <w:iCs/>
        </w:rPr>
      </w:pPr>
    </w:p>
    <w:p w14:paraId="0D8ABDEF" w14:textId="39043310" w:rsidR="00914755" w:rsidRPr="00914755" w:rsidRDefault="00665D1C" w:rsidP="00CE08C9">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CE08C9" w:rsidRPr="00CE08C9">
        <w:rPr>
          <w:rFonts w:ascii="Arial" w:hAnsi="Arial" w:cs="Arial"/>
          <w:b/>
          <w:bCs/>
          <w:iCs/>
        </w:rPr>
        <w:t xml:space="preserve">Domains of </w:t>
      </w:r>
      <w:r w:rsidR="00CE08C9">
        <w:rPr>
          <w:rFonts w:ascii="Arial" w:hAnsi="Arial" w:cs="Arial"/>
          <w:b/>
          <w:bCs/>
          <w:iCs/>
        </w:rPr>
        <w:t xml:space="preserve">Professional Life Quality that </w:t>
      </w:r>
      <w:r w:rsidR="00CE08C9" w:rsidRPr="00CE08C9">
        <w:rPr>
          <w:rFonts w:ascii="Arial" w:hAnsi="Arial" w:cs="Arial"/>
          <w:b/>
          <w:bCs/>
          <w:iCs/>
        </w:rPr>
        <w:t>Significantly Influence Career Sustainability</w:t>
      </w:r>
    </w:p>
    <w:p w14:paraId="7568132A" w14:textId="77777777" w:rsidR="00914755" w:rsidRDefault="00914755" w:rsidP="00665D1C">
      <w:pPr>
        <w:rPr>
          <w:rFonts w:ascii="Arial" w:hAnsi="Arial" w:cs="Arial"/>
          <w:b/>
          <w:bCs/>
          <w:iCs/>
        </w:rPr>
      </w:pPr>
    </w:p>
    <w:p w14:paraId="42F31227" w14:textId="7EBE48DD" w:rsidR="00187916" w:rsidRPr="00B364F1" w:rsidRDefault="00B364F1" w:rsidP="00B364F1">
      <w:pPr>
        <w:jc w:val="both"/>
        <w:rPr>
          <w:rFonts w:ascii="Arial" w:eastAsia="Arial" w:hAnsi="Arial"/>
          <w:i/>
        </w:rPr>
      </w:pPr>
      <w:r w:rsidRPr="00B364F1">
        <w:rPr>
          <w:rFonts w:ascii="Arial" w:eastAsia="Arial" w:hAnsi="Arial"/>
          <w:b/>
        </w:rPr>
        <w:t xml:space="preserve">Table 4. </w:t>
      </w:r>
      <w:r w:rsidR="00CE08C9" w:rsidRPr="00CE08C9">
        <w:rPr>
          <w:rFonts w:ascii="Arial" w:eastAsia="Arial" w:hAnsi="Arial"/>
          <w:i/>
        </w:rPr>
        <w:t>Domains of Professional Life Quality that Significantly Influence Career Sustainability</w:t>
      </w:r>
    </w:p>
    <w:tbl>
      <w:tblPr>
        <w:tblW w:w="0" w:type="auto"/>
        <w:jc w:val="center"/>
        <w:tblCellMar>
          <w:top w:w="15" w:type="dxa"/>
          <w:left w:w="15" w:type="dxa"/>
          <w:bottom w:w="15" w:type="dxa"/>
          <w:right w:w="15" w:type="dxa"/>
        </w:tblCellMar>
        <w:tblLook w:val="04A0" w:firstRow="1" w:lastRow="0" w:firstColumn="1" w:lastColumn="0" w:noHBand="0" w:noVBand="1"/>
      </w:tblPr>
      <w:tblGrid>
        <w:gridCol w:w="2767"/>
        <w:gridCol w:w="726"/>
        <w:gridCol w:w="726"/>
        <w:gridCol w:w="817"/>
        <w:gridCol w:w="788"/>
        <w:gridCol w:w="1003"/>
        <w:gridCol w:w="1381"/>
      </w:tblGrid>
      <w:tr w:rsidR="00CE08C9" w:rsidRPr="00CE08C9" w14:paraId="7BE14EC1" w14:textId="77777777" w:rsidTr="00CE08C9">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460B75FC"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40BA0E6D"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3CC8492F"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6AAC64E4"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72A77057"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1C8DC0EE"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52F1FBD"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Decision</w:t>
            </w:r>
          </w:p>
        </w:tc>
      </w:tr>
      <w:tr w:rsidR="00CE08C9" w:rsidRPr="00CE08C9" w14:paraId="34E65E6E" w14:textId="77777777" w:rsidTr="00CE08C9">
        <w:trPr>
          <w:trHeight w:val="170"/>
          <w:jc w:val="center"/>
        </w:trPr>
        <w:tc>
          <w:tcPr>
            <w:tcW w:w="0" w:type="auto"/>
            <w:tcBorders>
              <w:top w:val="single" w:sz="4" w:space="0" w:color="000000"/>
            </w:tcBorders>
            <w:tcMar>
              <w:top w:w="100" w:type="dxa"/>
              <w:left w:w="100" w:type="dxa"/>
              <w:bottom w:w="100" w:type="dxa"/>
              <w:right w:w="100" w:type="dxa"/>
            </w:tcMar>
            <w:hideMark/>
          </w:tcPr>
          <w:p w14:paraId="0D972BB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Constant</w:t>
            </w:r>
          </w:p>
        </w:tc>
        <w:tc>
          <w:tcPr>
            <w:tcW w:w="0" w:type="auto"/>
            <w:tcBorders>
              <w:top w:val="single" w:sz="4" w:space="0" w:color="000000"/>
            </w:tcBorders>
            <w:tcMar>
              <w:top w:w="100" w:type="dxa"/>
              <w:left w:w="100" w:type="dxa"/>
              <w:bottom w:w="100" w:type="dxa"/>
              <w:right w:w="100" w:type="dxa"/>
            </w:tcMar>
            <w:hideMark/>
          </w:tcPr>
          <w:p w14:paraId="7B73D63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3.72</w:t>
            </w:r>
          </w:p>
        </w:tc>
        <w:tc>
          <w:tcPr>
            <w:tcW w:w="0" w:type="auto"/>
            <w:tcBorders>
              <w:top w:val="single" w:sz="4" w:space="0" w:color="000000"/>
            </w:tcBorders>
            <w:tcMar>
              <w:top w:w="100" w:type="dxa"/>
              <w:left w:w="100" w:type="dxa"/>
              <w:bottom w:w="100" w:type="dxa"/>
              <w:right w:w="100" w:type="dxa"/>
            </w:tcMar>
            <w:hideMark/>
          </w:tcPr>
          <w:p w14:paraId="25EE605D"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0.72</w:t>
            </w:r>
          </w:p>
        </w:tc>
        <w:tc>
          <w:tcPr>
            <w:tcW w:w="0" w:type="auto"/>
            <w:tcBorders>
              <w:top w:val="single" w:sz="4" w:space="0" w:color="000000"/>
            </w:tcBorders>
            <w:tcMar>
              <w:top w:w="100" w:type="dxa"/>
              <w:left w:w="100" w:type="dxa"/>
              <w:bottom w:w="100" w:type="dxa"/>
              <w:right w:w="100" w:type="dxa"/>
            </w:tcMar>
            <w:hideMark/>
          </w:tcPr>
          <w:p w14:paraId="44F39BD6" w14:textId="77777777" w:rsidR="00CE08C9" w:rsidRPr="00CE08C9" w:rsidRDefault="00CE08C9" w:rsidP="00CE08C9">
            <w:pPr>
              <w:rPr>
                <w:rFonts w:ascii="Arial" w:hAnsi="Arial" w:cs="Arial"/>
                <w:lang w:val="en-PH" w:eastAsia="en-PH"/>
              </w:rPr>
            </w:pPr>
          </w:p>
        </w:tc>
        <w:tc>
          <w:tcPr>
            <w:tcW w:w="0" w:type="auto"/>
            <w:tcBorders>
              <w:top w:val="single" w:sz="4" w:space="0" w:color="000000"/>
            </w:tcBorders>
            <w:tcMar>
              <w:top w:w="100" w:type="dxa"/>
              <w:left w:w="100" w:type="dxa"/>
              <w:bottom w:w="100" w:type="dxa"/>
              <w:right w:w="100" w:type="dxa"/>
            </w:tcMar>
            <w:hideMark/>
          </w:tcPr>
          <w:p w14:paraId="50AE4898"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7.25</w:t>
            </w:r>
          </w:p>
        </w:tc>
        <w:tc>
          <w:tcPr>
            <w:tcW w:w="0" w:type="auto"/>
            <w:tcBorders>
              <w:top w:val="single" w:sz="4" w:space="0" w:color="000000"/>
            </w:tcBorders>
            <w:tcMar>
              <w:top w:w="100" w:type="dxa"/>
              <w:left w:w="100" w:type="dxa"/>
              <w:bottom w:w="100" w:type="dxa"/>
              <w:right w:w="100" w:type="dxa"/>
            </w:tcMar>
            <w:hideMark/>
          </w:tcPr>
          <w:p w14:paraId="4923BF9E"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Borders>
              <w:top w:val="single" w:sz="4" w:space="0" w:color="000000"/>
            </w:tcBorders>
            <w:tcMar>
              <w:top w:w="100" w:type="dxa"/>
              <w:left w:w="100" w:type="dxa"/>
              <w:bottom w:w="100" w:type="dxa"/>
              <w:right w:w="100" w:type="dxa"/>
            </w:tcMar>
            <w:hideMark/>
          </w:tcPr>
          <w:p w14:paraId="7B7AE66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6DDBDD23" w14:textId="77777777" w:rsidTr="00CE08C9">
        <w:trPr>
          <w:trHeight w:val="242"/>
          <w:jc w:val="center"/>
        </w:trPr>
        <w:tc>
          <w:tcPr>
            <w:tcW w:w="0" w:type="auto"/>
            <w:tcMar>
              <w:top w:w="100" w:type="dxa"/>
              <w:left w:w="100" w:type="dxa"/>
              <w:bottom w:w="100" w:type="dxa"/>
              <w:right w:w="100" w:type="dxa"/>
            </w:tcMar>
            <w:hideMark/>
          </w:tcPr>
          <w:p w14:paraId="04C1676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Total Living Space</w:t>
            </w:r>
          </w:p>
        </w:tc>
        <w:tc>
          <w:tcPr>
            <w:tcW w:w="0" w:type="auto"/>
            <w:tcMar>
              <w:top w:w="100" w:type="dxa"/>
              <w:left w:w="100" w:type="dxa"/>
              <w:bottom w:w="100" w:type="dxa"/>
              <w:right w:w="100" w:type="dxa"/>
            </w:tcMar>
            <w:hideMark/>
          </w:tcPr>
          <w:p w14:paraId="0AA95C5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0.79</w:t>
            </w:r>
          </w:p>
        </w:tc>
        <w:tc>
          <w:tcPr>
            <w:tcW w:w="0" w:type="auto"/>
            <w:tcMar>
              <w:top w:w="100" w:type="dxa"/>
              <w:left w:w="100" w:type="dxa"/>
              <w:bottom w:w="100" w:type="dxa"/>
              <w:right w:w="100" w:type="dxa"/>
            </w:tcMar>
            <w:hideMark/>
          </w:tcPr>
          <w:p w14:paraId="1E47979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0.60</w:t>
            </w:r>
          </w:p>
        </w:tc>
        <w:tc>
          <w:tcPr>
            <w:tcW w:w="0" w:type="auto"/>
            <w:tcMar>
              <w:top w:w="100" w:type="dxa"/>
              <w:left w:w="100" w:type="dxa"/>
              <w:bottom w:w="100" w:type="dxa"/>
              <w:right w:w="100" w:type="dxa"/>
            </w:tcMar>
            <w:hideMark/>
          </w:tcPr>
          <w:p w14:paraId="3B8E9774"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0.52</w:t>
            </w:r>
          </w:p>
        </w:tc>
        <w:tc>
          <w:tcPr>
            <w:tcW w:w="0" w:type="auto"/>
            <w:tcMar>
              <w:top w:w="100" w:type="dxa"/>
              <w:left w:w="100" w:type="dxa"/>
              <w:bottom w:w="100" w:type="dxa"/>
              <w:right w:w="100" w:type="dxa"/>
            </w:tcMar>
            <w:hideMark/>
          </w:tcPr>
          <w:p w14:paraId="685507B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4.40</w:t>
            </w:r>
          </w:p>
        </w:tc>
        <w:tc>
          <w:tcPr>
            <w:tcW w:w="0" w:type="auto"/>
            <w:tcMar>
              <w:top w:w="100" w:type="dxa"/>
              <w:left w:w="100" w:type="dxa"/>
              <w:bottom w:w="100" w:type="dxa"/>
              <w:right w:w="100" w:type="dxa"/>
            </w:tcMar>
            <w:hideMark/>
          </w:tcPr>
          <w:p w14:paraId="2115073D"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3EC3854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0A170A10" w14:textId="77777777" w:rsidTr="00CE08C9">
        <w:trPr>
          <w:trHeight w:val="1016"/>
          <w:jc w:val="center"/>
        </w:trPr>
        <w:tc>
          <w:tcPr>
            <w:tcW w:w="0" w:type="auto"/>
            <w:tcMar>
              <w:top w:w="100" w:type="dxa"/>
              <w:left w:w="100" w:type="dxa"/>
              <w:bottom w:w="100" w:type="dxa"/>
              <w:right w:w="100" w:type="dxa"/>
            </w:tcMar>
            <w:hideMark/>
          </w:tcPr>
          <w:p w14:paraId="26BF6F58"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Safe and Healthy Working Conditions</w:t>
            </w:r>
          </w:p>
        </w:tc>
        <w:tc>
          <w:tcPr>
            <w:tcW w:w="0" w:type="auto"/>
            <w:tcMar>
              <w:top w:w="100" w:type="dxa"/>
              <w:left w:w="100" w:type="dxa"/>
              <w:bottom w:w="100" w:type="dxa"/>
              <w:right w:w="100" w:type="dxa"/>
            </w:tcMar>
            <w:hideMark/>
          </w:tcPr>
          <w:p w14:paraId="191F3E8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0.81</w:t>
            </w:r>
          </w:p>
        </w:tc>
        <w:tc>
          <w:tcPr>
            <w:tcW w:w="0" w:type="auto"/>
            <w:tcMar>
              <w:top w:w="100" w:type="dxa"/>
              <w:left w:w="100" w:type="dxa"/>
              <w:bottom w:w="100" w:type="dxa"/>
              <w:right w:w="100" w:type="dxa"/>
            </w:tcMar>
            <w:hideMark/>
          </w:tcPr>
          <w:p w14:paraId="5EAEF71E"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0.63</w:t>
            </w:r>
          </w:p>
        </w:tc>
        <w:tc>
          <w:tcPr>
            <w:tcW w:w="0" w:type="auto"/>
            <w:tcMar>
              <w:top w:w="100" w:type="dxa"/>
              <w:left w:w="100" w:type="dxa"/>
              <w:bottom w:w="100" w:type="dxa"/>
              <w:right w:w="100" w:type="dxa"/>
            </w:tcMar>
            <w:hideMark/>
          </w:tcPr>
          <w:p w14:paraId="794B2292"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0.55</w:t>
            </w:r>
          </w:p>
        </w:tc>
        <w:tc>
          <w:tcPr>
            <w:tcW w:w="0" w:type="auto"/>
            <w:tcMar>
              <w:top w:w="100" w:type="dxa"/>
              <w:left w:w="100" w:type="dxa"/>
              <w:bottom w:w="100" w:type="dxa"/>
              <w:right w:w="100" w:type="dxa"/>
            </w:tcMar>
            <w:hideMark/>
          </w:tcPr>
          <w:p w14:paraId="527A31B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4.48</w:t>
            </w:r>
          </w:p>
        </w:tc>
        <w:tc>
          <w:tcPr>
            <w:tcW w:w="0" w:type="auto"/>
            <w:tcMar>
              <w:top w:w="100" w:type="dxa"/>
              <w:left w:w="100" w:type="dxa"/>
              <w:bottom w:w="100" w:type="dxa"/>
              <w:right w:w="100" w:type="dxa"/>
            </w:tcMar>
            <w:hideMark/>
          </w:tcPr>
          <w:p w14:paraId="34D27B9F"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09DD4E7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2D0AE5E4" w14:textId="77777777" w:rsidTr="00CE08C9">
        <w:trPr>
          <w:trHeight w:val="521"/>
          <w:jc w:val="center"/>
        </w:trPr>
        <w:tc>
          <w:tcPr>
            <w:tcW w:w="0" w:type="auto"/>
            <w:tcMar>
              <w:top w:w="100" w:type="dxa"/>
              <w:left w:w="100" w:type="dxa"/>
              <w:bottom w:w="100" w:type="dxa"/>
              <w:right w:w="100" w:type="dxa"/>
            </w:tcMar>
            <w:hideMark/>
          </w:tcPr>
          <w:p w14:paraId="30E9C674"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Development of Worker Capacity</w:t>
            </w:r>
          </w:p>
        </w:tc>
        <w:tc>
          <w:tcPr>
            <w:tcW w:w="0" w:type="auto"/>
            <w:tcMar>
              <w:top w:w="100" w:type="dxa"/>
              <w:left w:w="100" w:type="dxa"/>
              <w:bottom w:w="100" w:type="dxa"/>
              <w:right w:w="100" w:type="dxa"/>
            </w:tcMar>
            <w:hideMark/>
          </w:tcPr>
          <w:p w14:paraId="136F244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0.84</w:t>
            </w:r>
          </w:p>
        </w:tc>
        <w:tc>
          <w:tcPr>
            <w:tcW w:w="0" w:type="auto"/>
            <w:tcMar>
              <w:top w:w="100" w:type="dxa"/>
              <w:left w:w="100" w:type="dxa"/>
              <w:bottom w:w="100" w:type="dxa"/>
              <w:right w:w="100" w:type="dxa"/>
            </w:tcMar>
            <w:hideMark/>
          </w:tcPr>
          <w:p w14:paraId="29CFDDB0"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0.59</w:t>
            </w:r>
          </w:p>
        </w:tc>
        <w:tc>
          <w:tcPr>
            <w:tcW w:w="0" w:type="auto"/>
            <w:tcMar>
              <w:top w:w="100" w:type="dxa"/>
              <w:left w:w="100" w:type="dxa"/>
              <w:bottom w:w="100" w:type="dxa"/>
              <w:right w:w="100" w:type="dxa"/>
            </w:tcMar>
            <w:hideMark/>
          </w:tcPr>
          <w:p w14:paraId="26786242"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0.58</w:t>
            </w:r>
          </w:p>
        </w:tc>
        <w:tc>
          <w:tcPr>
            <w:tcW w:w="0" w:type="auto"/>
            <w:tcMar>
              <w:top w:w="100" w:type="dxa"/>
              <w:left w:w="100" w:type="dxa"/>
              <w:bottom w:w="100" w:type="dxa"/>
              <w:right w:w="100" w:type="dxa"/>
            </w:tcMar>
            <w:hideMark/>
          </w:tcPr>
          <w:p w14:paraId="735E561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4.52</w:t>
            </w:r>
          </w:p>
        </w:tc>
        <w:tc>
          <w:tcPr>
            <w:tcW w:w="0" w:type="auto"/>
            <w:tcMar>
              <w:top w:w="100" w:type="dxa"/>
              <w:left w:w="100" w:type="dxa"/>
              <w:bottom w:w="100" w:type="dxa"/>
              <w:right w:w="100" w:type="dxa"/>
            </w:tcMar>
            <w:hideMark/>
          </w:tcPr>
          <w:p w14:paraId="0519A19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43584990"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686AB5BC" w14:textId="77777777" w:rsidTr="00CE08C9">
        <w:trPr>
          <w:trHeight w:val="521"/>
          <w:jc w:val="center"/>
        </w:trPr>
        <w:tc>
          <w:tcPr>
            <w:tcW w:w="0" w:type="auto"/>
            <w:tcMar>
              <w:top w:w="100" w:type="dxa"/>
              <w:left w:w="100" w:type="dxa"/>
              <w:bottom w:w="100" w:type="dxa"/>
              <w:right w:w="100" w:type="dxa"/>
            </w:tcMar>
            <w:hideMark/>
          </w:tcPr>
          <w:p w14:paraId="162227B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lastRenderedPageBreak/>
              <w:t>Social Responsibility</w:t>
            </w:r>
          </w:p>
        </w:tc>
        <w:tc>
          <w:tcPr>
            <w:tcW w:w="0" w:type="auto"/>
            <w:tcMar>
              <w:top w:w="100" w:type="dxa"/>
              <w:left w:w="100" w:type="dxa"/>
              <w:bottom w:w="100" w:type="dxa"/>
              <w:right w:w="100" w:type="dxa"/>
            </w:tcMar>
            <w:hideMark/>
          </w:tcPr>
          <w:p w14:paraId="375B0AD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0.76</w:t>
            </w:r>
          </w:p>
        </w:tc>
        <w:tc>
          <w:tcPr>
            <w:tcW w:w="0" w:type="auto"/>
            <w:tcMar>
              <w:top w:w="100" w:type="dxa"/>
              <w:left w:w="100" w:type="dxa"/>
              <w:bottom w:w="100" w:type="dxa"/>
              <w:right w:w="100" w:type="dxa"/>
            </w:tcMar>
            <w:hideMark/>
          </w:tcPr>
          <w:p w14:paraId="3ABBFF7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0.65</w:t>
            </w:r>
          </w:p>
        </w:tc>
        <w:tc>
          <w:tcPr>
            <w:tcW w:w="0" w:type="auto"/>
            <w:tcMar>
              <w:top w:w="100" w:type="dxa"/>
              <w:left w:w="100" w:type="dxa"/>
              <w:bottom w:w="100" w:type="dxa"/>
              <w:right w:w="100" w:type="dxa"/>
            </w:tcMar>
            <w:hideMark/>
          </w:tcPr>
          <w:p w14:paraId="59449A3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0.50</w:t>
            </w:r>
          </w:p>
        </w:tc>
        <w:tc>
          <w:tcPr>
            <w:tcW w:w="0" w:type="auto"/>
            <w:tcMar>
              <w:top w:w="100" w:type="dxa"/>
              <w:left w:w="100" w:type="dxa"/>
              <w:bottom w:w="100" w:type="dxa"/>
              <w:right w:w="100" w:type="dxa"/>
            </w:tcMar>
            <w:hideMark/>
          </w:tcPr>
          <w:p w14:paraId="37DD71A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4.32</w:t>
            </w:r>
          </w:p>
        </w:tc>
        <w:tc>
          <w:tcPr>
            <w:tcW w:w="0" w:type="auto"/>
            <w:tcMar>
              <w:top w:w="100" w:type="dxa"/>
              <w:left w:w="100" w:type="dxa"/>
              <w:bottom w:w="100" w:type="dxa"/>
              <w:right w:w="100" w:type="dxa"/>
            </w:tcMar>
            <w:hideMark/>
          </w:tcPr>
          <w:p w14:paraId="455E9BB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5988993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7123766F" w14:textId="77777777" w:rsidTr="00CE08C9">
        <w:trPr>
          <w:trHeight w:val="536"/>
          <w:jc w:val="center"/>
        </w:trPr>
        <w:tc>
          <w:tcPr>
            <w:tcW w:w="0" w:type="auto"/>
            <w:tcMar>
              <w:top w:w="0" w:type="dxa"/>
              <w:left w:w="115" w:type="dxa"/>
              <w:bottom w:w="0" w:type="dxa"/>
              <w:right w:w="115" w:type="dxa"/>
            </w:tcMar>
            <w:hideMark/>
          </w:tcPr>
          <w:p w14:paraId="60CAD692"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609680BE"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08D5F3D6"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12F8010F"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4F4D4549"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6267DB22"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454E8A7B" w14:textId="77777777" w:rsidR="00CE08C9" w:rsidRPr="00CE08C9" w:rsidRDefault="00CE08C9" w:rsidP="00CE08C9">
            <w:pPr>
              <w:rPr>
                <w:rFonts w:ascii="Arial" w:hAnsi="Arial" w:cs="Arial"/>
                <w:lang w:val="en-PH" w:eastAsia="en-PH"/>
              </w:rPr>
            </w:pPr>
          </w:p>
        </w:tc>
      </w:tr>
      <w:tr w:rsidR="00CE08C9" w:rsidRPr="00CE08C9" w14:paraId="65FDE2C6" w14:textId="77777777" w:rsidTr="00CE08C9">
        <w:trPr>
          <w:trHeight w:val="521"/>
          <w:jc w:val="center"/>
        </w:trPr>
        <w:tc>
          <w:tcPr>
            <w:tcW w:w="0" w:type="auto"/>
            <w:gridSpan w:val="7"/>
            <w:tcMar>
              <w:top w:w="0" w:type="dxa"/>
              <w:left w:w="115" w:type="dxa"/>
              <w:bottom w:w="0" w:type="dxa"/>
              <w:right w:w="115" w:type="dxa"/>
            </w:tcMar>
            <w:hideMark/>
          </w:tcPr>
          <w:p w14:paraId="788373C9" w14:textId="77777777" w:rsidR="00CE08C9" w:rsidRPr="00CE08C9" w:rsidRDefault="00CE08C9" w:rsidP="00CE08C9">
            <w:pPr>
              <w:jc w:val="both"/>
              <w:rPr>
                <w:rFonts w:ascii="Arial" w:hAnsi="Arial" w:cs="Arial"/>
                <w:lang w:val="en-PH" w:eastAsia="en-PH"/>
              </w:rPr>
            </w:pPr>
            <w:r w:rsidRPr="00CE08C9">
              <w:rPr>
                <w:rFonts w:ascii="Arial" w:hAnsi="Arial" w:cs="Arial"/>
                <w:b/>
                <w:bCs/>
                <w:color w:val="000000"/>
                <w:u w:val="single"/>
                <w:lang w:val="en-PH" w:eastAsia="en-PH"/>
              </w:rPr>
              <w:t>Regression Model</w:t>
            </w:r>
          </w:p>
        </w:tc>
      </w:tr>
      <w:tr w:rsidR="00CE08C9" w:rsidRPr="00CE08C9" w14:paraId="1A43CF8A" w14:textId="77777777" w:rsidTr="00CE08C9">
        <w:trPr>
          <w:trHeight w:val="521"/>
          <w:jc w:val="center"/>
        </w:trPr>
        <w:tc>
          <w:tcPr>
            <w:tcW w:w="0" w:type="auto"/>
            <w:gridSpan w:val="7"/>
            <w:tcBorders>
              <w:bottom w:val="single" w:sz="4" w:space="0" w:color="000000"/>
            </w:tcBorders>
            <w:tcMar>
              <w:top w:w="0" w:type="dxa"/>
              <w:left w:w="115" w:type="dxa"/>
              <w:bottom w:w="0" w:type="dxa"/>
              <w:right w:w="115" w:type="dxa"/>
            </w:tcMar>
            <w:hideMark/>
          </w:tcPr>
          <w:p w14:paraId="57F1B067" w14:textId="77777777" w:rsidR="00CE08C9" w:rsidRPr="00CE08C9" w:rsidRDefault="00CE08C9" w:rsidP="00CE08C9">
            <w:pPr>
              <w:jc w:val="both"/>
              <w:rPr>
                <w:rFonts w:ascii="Arial" w:hAnsi="Arial" w:cs="Arial"/>
                <w:lang w:val="en-PH" w:eastAsia="en-PH"/>
              </w:rPr>
            </w:pPr>
            <w:r w:rsidRPr="00CE08C9">
              <w:rPr>
                <w:rFonts w:ascii="Arial" w:hAnsi="Arial" w:cs="Arial"/>
                <w:color w:val="000000"/>
                <w:lang w:val="en-PH" w:eastAsia="en-PH"/>
              </w:rPr>
              <w:t>Career Sustainability = 3.72 + 0.79 (Total Living Space) + 0.81 (Safe and Healthy Working Conditions) + 0.84 (Development of Worker Capacity) + 0.76 (Social Responsibility)</w:t>
            </w:r>
          </w:p>
          <w:p w14:paraId="6E093D87" w14:textId="77777777" w:rsidR="00CE08C9" w:rsidRPr="00CE08C9" w:rsidRDefault="00CE08C9" w:rsidP="00CE08C9">
            <w:pPr>
              <w:rPr>
                <w:rFonts w:ascii="Arial" w:hAnsi="Arial" w:cs="Arial"/>
                <w:lang w:val="en-PH" w:eastAsia="en-PH"/>
              </w:rPr>
            </w:pPr>
          </w:p>
          <w:p w14:paraId="738A4346" w14:textId="5FBBF4CD" w:rsidR="00CE08C9" w:rsidRPr="00CE08C9" w:rsidRDefault="000C464B" w:rsidP="00CE08C9">
            <w:pPr>
              <w:jc w:val="both"/>
              <w:rPr>
                <w:rFonts w:ascii="Arial" w:hAnsi="Arial" w:cs="Arial"/>
                <w:lang w:val="en-PH" w:eastAsia="en-PH"/>
              </w:rPr>
            </w:pPr>
            <w:r w:rsidRPr="000C464B">
              <w:rPr>
                <w:rFonts w:ascii="Arial" w:hAnsi="Arial" w:cs="Arial"/>
                <w:i/>
                <w:color w:val="000000"/>
                <w:highlight w:val="yellow"/>
                <w:lang w:val="en-PH" w:eastAsia="en-PH"/>
              </w:rPr>
              <w:t>r</w:t>
            </w:r>
            <w:r w:rsidRPr="000C464B">
              <w:rPr>
                <w:rFonts w:ascii="Arial" w:hAnsi="Arial" w:cs="Arial"/>
                <w:color w:val="000000"/>
                <w:highlight w:val="yellow"/>
                <w:lang w:val="en-PH" w:eastAsia="en-PH"/>
              </w:rPr>
              <w:t xml:space="preserve"> = 0.748; </w:t>
            </w:r>
            <w:r w:rsidRPr="000C464B">
              <w:rPr>
                <w:rFonts w:ascii="Arial" w:hAnsi="Arial" w:cs="Arial"/>
                <w:i/>
                <w:color w:val="000000"/>
                <w:highlight w:val="yellow"/>
                <w:lang w:val="en-PH" w:eastAsia="en-PH"/>
              </w:rPr>
              <w:t>r</w:t>
            </w:r>
            <w:r w:rsidRPr="000C464B">
              <w:rPr>
                <w:rFonts w:ascii="Arial" w:hAnsi="Arial" w:cs="Arial"/>
                <w:color w:val="000000"/>
                <w:highlight w:val="yellow"/>
                <w:lang w:val="en-PH" w:eastAsia="en-PH"/>
              </w:rPr>
              <w:t xml:space="preserve">² = 0.561; </w:t>
            </w:r>
            <w:r w:rsidR="00CE08C9" w:rsidRPr="000C464B">
              <w:rPr>
                <w:rFonts w:ascii="Arial" w:hAnsi="Arial" w:cs="Arial"/>
                <w:color w:val="000000"/>
                <w:highlight w:val="yellow"/>
                <w:lang w:val="en-PH" w:eastAsia="en-PH"/>
              </w:rPr>
              <w:t xml:space="preserve"> </w:t>
            </w:r>
            <w:r w:rsidRPr="000C464B">
              <w:rPr>
                <w:rFonts w:ascii="Arial" w:hAnsi="Arial" w:cs="Arial"/>
                <w:i/>
                <w:color w:val="000000"/>
                <w:highlight w:val="yellow"/>
                <w:lang w:val="en-PH" w:eastAsia="en-PH"/>
              </w:rPr>
              <w:t>f</w:t>
            </w:r>
            <w:r w:rsidR="00CE08C9" w:rsidRPr="000C464B">
              <w:rPr>
                <w:rFonts w:ascii="Arial" w:hAnsi="Arial" w:cs="Arial"/>
                <w:color w:val="000000"/>
                <w:highlight w:val="yellow"/>
                <w:lang w:val="en-PH" w:eastAsia="en-PH"/>
              </w:rPr>
              <w:t xml:space="preserve">= 73.85; </w:t>
            </w:r>
            <w:r w:rsidR="00CE08C9" w:rsidRPr="000C464B">
              <w:rPr>
                <w:rFonts w:ascii="Arial" w:hAnsi="Arial" w:cs="Arial"/>
                <w:i/>
                <w:color w:val="000000"/>
                <w:highlight w:val="yellow"/>
                <w:lang w:val="en-PH" w:eastAsia="en-PH"/>
              </w:rPr>
              <w:t>p</w:t>
            </w:r>
            <w:r w:rsidR="00CE08C9" w:rsidRPr="000C464B">
              <w:rPr>
                <w:rFonts w:ascii="Arial" w:hAnsi="Arial" w:cs="Arial"/>
                <w:color w:val="000000"/>
                <w:highlight w:val="yellow"/>
                <w:lang w:val="en-PH" w:eastAsia="en-PH"/>
              </w:rPr>
              <w:t>-value = 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64943195" w14:textId="72DB88D2" w:rsidR="00CE08C9" w:rsidRDefault="004C5898" w:rsidP="00AA3A1D">
      <w:pPr>
        <w:pStyle w:val="Body"/>
        <w:rPr>
          <w:rFonts w:ascii="Arial" w:hAnsi="Arial" w:cs="Arial"/>
        </w:rPr>
      </w:pPr>
      <w:r>
        <w:rPr>
          <w:rFonts w:ascii="Arial" w:hAnsi="Arial" w:cs="Arial"/>
        </w:rPr>
        <w:t>Presented in Table 4</w:t>
      </w:r>
      <w:r w:rsidRPr="004C5898">
        <w:rPr>
          <w:rFonts w:ascii="Arial" w:hAnsi="Arial" w:cs="Arial"/>
        </w:rPr>
        <w:t xml:space="preserve"> </w:t>
      </w:r>
      <w:r w:rsidR="00CE08C9" w:rsidRPr="00CE08C9">
        <w:rPr>
          <w:rFonts w:ascii="Arial" w:hAnsi="Arial" w:cs="Arial"/>
        </w:rPr>
        <w:t>is the regression analysis of how different domains of professional life quality total living space, safe and healthy working conditions, development of worker capacity, and social responsibility significantly influence career sustainability among teachers. The regression model reveals that all four indicators positively contribute to career sustainability. Specifically, development of worker capacity (with a Beta of 0.84) has the strongest relationship with career sustainability, followed by safe and healthy working conditions (Beta = 0.81), total living space (Beta = 0.79), and social responsibility (Beta = 0.76). The t-statistics for each indicator (4.52 for development of worker capacity, 4.48 for safe and healthy working conditions, 4.40 for total living space, and 4.32 for social responsibility) and the p-values (all 0.000) confirm that these relationships are statistically significant.</w:t>
      </w:r>
    </w:p>
    <w:p w14:paraId="5DF97F0F" w14:textId="6BBD82C1" w:rsidR="00CE08C9" w:rsidRPr="00CE08C9" w:rsidRDefault="00CE08C9" w:rsidP="00CE08C9">
      <w:pPr>
        <w:pStyle w:val="Body"/>
        <w:rPr>
          <w:rFonts w:ascii="Arial" w:hAnsi="Arial" w:cs="Arial"/>
        </w:rPr>
      </w:pPr>
      <w:r w:rsidRPr="00CE08C9">
        <w:rPr>
          <w:rFonts w:ascii="Arial" w:hAnsi="Arial" w:cs="Arial"/>
        </w:rPr>
        <w:t>The regression equation, career sustainability = 3.72 + 0.79 (total living space) + 0.81 (safe and healthy working conditions) + 0.84 (development of worker capacity) + 0.76 (social responsibility), reveals that the overall model explains 56.1% of the variance in career sustainability (R² = 0.561). Additionally, the model's F-value of 73.85 and its p-value of 0.000 indicate that the mode</w:t>
      </w:r>
      <w:r w:rsidR="001B28AE">
        <w:rPr>
          <w:rFonts w:ascii="Arial" w:hAnsi="Arial" w:cs="Arial"/>
        </w:rPr>
        <w:t xml:space="preserve">l is statistically </w:t>
      </w:r>
      <w:proofErr w:type="spellStart"/>
      <w:proofErr w:type="gramStart"/>
      <w:r w:rsidR="001B28AE">
        <w:rPr>
          <w:rFonts w:ascii="Arial" w:hAnsi="Arial" w:cs="Arial"/>
        </w:rPr>
        <w:t>significant.</w:t>
      </w:r>
      <w:r w:rsidRPr="00CE08C9">
        <w:rPr>
          <w:rFonts w:ascii="Arial" w:hAnsi="Arial" w:cs="Arial"/>
        </w:rPr>
        <w:t>These</w:t>
      </w:r>
      <w:proofErr w:type="spellEnd"/>
      <w:proofErr w:type="gramEnd"/>
      <w:r w:rsidRPr="00CE08C9">
        <w:rPr>
          <w:rFonts w:ascii="Arial" w:hAnsi="Arial" w:cs="Arial"/>
        </w:rPr>
        <w:t xml:space="preserve"> results highlight that the indicators of professional life quality, particularly the development of worker capacity, safe and healthy working conditions, total living space, and social responsibility, play a crucial role in enhancing career</w:t>
      </w:r>
      <w:r w:rsidR="001B28AE">
        <w:rPr>
          <w:rFonts w:ascii="Arial" w:hAnsi="Arial" w:cs="Arial"/>
        </w:rPr>
        <w:t xml:space="preserve"> sustainability among teachers. </w:t>
      </w:r>
      <w:r w:rsidRPr="00CE08C9">
        <w:rPr>
          <w:rFonts w:ascii="Arial" w:hAnsi="Arial" w:cs="Arial"/>
        </w:rPr>
        <w:t>Teachers who experience professional life quality through career development opportunities, healthy work environments, personal well-being, and social engagement are more likely to build sustainable careers. This suggests that schools should focus on improving professional life quality as a key strategy for enhancing career sustainability among teachers.</w:t>
      </w:r>
    </w:p>
    <w:p w14:paraId="411B73A7" w14:textId="478C4AD3" w:rsidR="004C5898" w:rsidRDefault="00CE08C9" w:rsidP="00CE08C9">
      <w:pPr>
        <w:pStyle w:val="Body"/>
        <w:rPr>
          <w:rFonts w:ascii="Arial" w:hAnsi="Arial" w:cs="Arial"/>
        </w:rPr>
      </w:pPr>
      <w:r w:rsidRPr="00CE08C9">
        <w:rPr>
          <w:rFonts w:ascii="Arial" w:hAnsi="Arial" w:cs="Arial"/>
        </w:rPr>
        <w:t xml:space="preserve">This finding is consistent with the research of </w:t>
      </w:r>
      <w:proofErr w:type="spellStart"/>
      <w:r w:rsidRPr="00CE08C9">
        <w:rPr>
          <w:rFonts w:ascii="Arial" w:hAnsi="Arial" w:cs="Arial"/>
        </w:rPr>
        <w:t>Toropova</w:t>
      </w:r>
      <w:proofErr w:type="spellEnd"/>
      <w:r w:rsidRPr="00CE08C9">
        <w:rPr>
          <w:rFonts w:ascii="Arial" w:hAnsi="Arial" w:cs="Arial"/>
        </w:rPr>
        <w:t xml:space="preserve"> et al. (2021), who emphasized that teachers in schools with strong career development initiatives and supportive environments exhibit higher career satisfaction and sustainability. Their study revealed that a combination of safe working conditions, career support programs, and community involvement enhances teachers' long-term career commitment. Additionally, research by </w:t>
      </w:r>
      <w:proofErr w:type="spellStart"/>
      <w:r w:rsidRPr="00CE08C9">
        <w:rPr>
          <w:rFonts w:ascii="Arial" w:hAnsi="Arial" w:cs="Arial"/>
        </w:rPr>
        <w:t>Roos</w:t>
      </w:r>
      <w:proofErr w:type="spellEnd"/>
      <w:r w:rsidRPr="00CE08C9">
        <w:rPr>
          <w:rFonts w:ascii="Arial" w:hAnsi="Arial" w:cs="Arial"/>
        </w:rPr>
        <w:t xml:space="preserve"> and </w:t>
      </w:r>
      <w:proofErr w:type="spellStart"/>
      <w:r w:rsidRPr="00CE08C9">
        <w:rPr>
          <w:rFonts w:ascii="Arial" w:hAnsi="Arial" w:cs="Arial"/>
        </w:rPr>
        <w:t>Borkoski</w:t>
      </w:r>
      <w:proofErr w:type="spellEnd"/>
      <w:r w:rsidRPr="00CE08C9">
        <w:rPr>
          <w:rFonts w:ascii="Arial" w:hAnsi="Arial" w:cs="Arial"/>
        </w:rPr>
        <w:t xml:space="preserve"> (2021) demonstrated that schools that prioritize teacher well-being and career progression create more resilient and dedicated educators. Similarly, the work of Singh et al. (2022) highlighted that institutions that integrate social responsibility, continuous learning, and healthy work environments empower teachers to maintain fulfilling and sustainable careers.</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78967D81"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lastRenderedPageBreak/>
        <w:t>Based on the findings of the study, the following conclusions were formulated:</w:t>
      </w:r>
    </w:p>
    <w:p w14:paraId="4059B812"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Firstly, professional life quality among public elementary school teachers is always observed, demonstrating a strong institutional culture that supports teacher well-being and career development. The consistent presence of total living space, safe and healthy working conditions, development of worker capacity, and social responsibility suggests that schools provide a supportive environment for sustained professional growth, work engagement, and long-term career commitment.</w:t>
      </w:r>
    </w:p>
    <w:p w14:paraId="4CF76E45"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Secondly, teachers’ career sustainability is always observed, indicating that they regularly find meaning in their profession, acquire necessary skills, and build relationships that contribute to their long-term engagement in teaching. This highlights the importance of continuous institutional support in ensuring teachers remain motivated and committed to their profession.</w:t>
      </w:r>
    </w:p>
    <w:p w14:paraId="4B4E1DD7"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Thirdly, a significant relationship exists between professional life quality and career sustainability, emphasizing the role of a supportive work environment in fostering teachers' long-term career engagement. Schools that prioritize safe and healthy working conditions, provide opportunities for skill development, and promote social responsibility enable teachers to maintain their sense of purpose, enhance their competencies, and develop meaningful professional relationships.</w:t>
      </w:r>
    </w:p>
    <w:p w14:paraId="0EDB939B"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Finally, among the four dimensions of professional life quality, development of worker capacity has the strongest influence on career sustainability, followed by safe and healthy working conditions, total living space, and social responsibility. This suggests that teachers who have access to professional growth opportunities, skills training, and career development initiatives are more likely to sustain their careers over time. Additionally, ensuring safe and healthy working conditions contributes significantly to career sustainability, as it provides an environment conducive to productivity and job satisfaction. While total living space and social responsibility also play important roles, their impact is comparatively lower. This highlights the importance of fostering a school culture that prioritizes professional development, ensures workplace safety, and supports teachers' overall well-being to enhance career sustainability.</w:t>
      </w:r>
    </w:p>
    <w:p w14:paraId="18BA5443"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This study is anchored in the Job Demands-Resources (JD-R) Theory, Career Construction Theory, and Self-Determination Theory to examine the relationship between professional life quality and career sustainability.</w:t>
      </w:r>
    </w:p>
    <w:p w14:paraId="3F3F5599" w14:textId="79D3B423"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The Job Demands-Resources (JD-R) Theory, proposed by </w:t>
      </w:r>
      <w:r w:rsidR="001B28AE" w:rsidRPr="001B28AE">
        <w:rPr>
          <w:rFonts w:ascii="Arial" w:hAnsi="Arial" w:cs="Arial"/>
          <w:b w:val="0"/>
          <w:caps w:val="0"/>
          <w:sz w:val="20"/>
        </w:rPr>
        <w:t>Van Den Heuve</w:t>
      </w:r>
      <w:r w:rsidR="001B28AE">
        <w:rPr>
          <w:rFonts w:ascii="Arial" w:hAnsi="Arial" w:cs="Arial"/>
          <w:b w:val="0"/>
          <w:caps w:val="0"/>
          <w:sz w:val="20"/>
        </w:rPr>
        <w:t>l et al. (2020</w:t>
      </w:r>
      <w:r w:rsidRPr="00CE08C9">
        <w:rPr>
          <w:rFonts w:ascii="Arial" w:hAnsi="Arial" w:cs="Arial"/>
          <w:b w:val="0"/>
          <w:caps w:val="0"/>
          <w:sz w:val="20"/>
        </w:rPr>
        <w:t>), explains how job resources and job demands influence employee well-being and performance. According to this theory, job resources such as safe and healthy working conditions, skill development opportunities, and social support enhance motivation, while excessive job demands may lead to burnout. In the context of this study, the availability of job resources positively influences career sustainability by fostering meaning perception, skill acquisition, and relationship building among teachers.</w:t>
      </w:r>
    </w:p>
    <w:p w14:paraId="7BC39E74" w14:textId="739C212F"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The Career Construction Theory, introduced by </w:t>
      </w:r>
      <w:r w:rsidR="001B28AE" w:rsidRPr="001B28AE">
        <w:rPr>
          <w:rFonts w:ascii="Arial" w:hAnsi="Arial" w:cs="Arial"/>
          <w:b w:val="0"/>
          <w:caps w:val="0"/>
          <w:sz w:val="20"/>
        </w:rPr>
        <w:t>Chen</w:t>
      </w:r>
      <w:r w:rsidR="001B28AE">
        <w:rPr>
          <w:rFonts w:ascii="Arial" w:hAnsi="Arial" w:cs="Arial"/>
          <w:b w:val="0"/>
          <w:caps w:val="0"/>
          <w:sz w:val="20"/>
        </w:rPr>
        <w:t xml:space="preserve"> et al. (2020</w:t>
      </w:r>
      <w:r w:rsidRPr="00CE08C9">
        <w:rPr>
          <w:rFonts w:ascii="Arial" w:hAnsi="Arial" w:cs="Arial"/>
          <w:b w:val="0"/>
          <w:caps w:val="0"/>
          <w:sz w:val="20"/>
        </w:rPr>
        <w:t>), focuses on how individuals shape their careers through adaptability, identity, and personal agency. This theory emphasizes that teachers actively construct their careers by developing coping strategies, engaging in continuous learning, and adjusting to professional challenges. In this study, career sustainability is influenced by teachers’ ability to find meaning in their work, acquire new skills, and build supportive professional relationships.</w:t>
      </w:r>
    </w:p>
    <w:p w14:paraId="38D65CF8" w14:textId="0E9092F5" w:rsidR="00F35314" w:rsidRDefault="00CE08C9" w:rsidP="00CE08C9">
      <w:pPr>
        <w:pStyle w:val="ReferHead"/>
        <w:spacing w:after="0"/>
        <w:jc w:val="both"/>
        <w:rPr>
          <w:rFonts w:ascii="Arial" w:hAnsi="Arial" w:cs="Arial"/>
          <w:b w:val="0"/>
          <w:caps w:val="0"/>
          <w:sz w:val="20"/>
        </w:rPr>
      </w:pPr>
      <w:r w:rsidRPr="00CE08C9">
        <w:rPr>
          <w:rFonts w:ascii="Arial" w:hAnsi="Arial" w:cs="Arial"/>
          <w:b w:val="0"/>
          <w:caps w:val="0"/>
          <w:sz w:val="20"/>
        </w:rPr>
        <w:t xml:space="preserve">The Self-Determination Theory, developed by </w:t>
      </w:r>
      <w:r w:rsidR="001B28AE" w:rsidRPr="001B28AE">
        <w:rPr>
          <w:rFonts w:ascii="Arial" w:hAnsi="Arial" w:cs="Arial"/>
          <w:b w:val="0"/>
          <w:caps w:val="0"/>
          <w:sz w:val="20"/>
        </w:rPr>
        <w:t xml:space="preserve">Wang </w:t>
      </w:r>
      <w:r w:rsidR="001B28AE">
        <w:rPr>
          <w:rFonts w:ascii="Arial" w:hAnsi="Arial" w:cs="Arial"/>
          <w:b w:val="0"/>
          <w:caps w:val="0"/>
          <w:sz w:val="20"/>
        </w:rPr>
        <w:t>(2022</w:t>
      </w:r>
      <w:r w:rsidRPr="00CE08C9">
        <w:rPr>
          <w:rFonts w:ascii="Arial" w:hAnsi="Arial" w:cs="Arial"/>
          <w:b w:val="0"/>
          <w:caps w:val="0"/>
          <w:sz w:val="20"/>
        </w:rPr>
        <w:t xml:space="preserve">), highlights the role of intrinsic motivation and psychological needs in shaping behavior. This theory suggests that autonomy, </w:t>
      </w:r>
      <w:r w:rsidRPr="00CE08C9">
        <w:rPr>
          <w:rFonts w:ascii="Arial" w:hAnsi="Arial" w:cs="Arial"/>
          <w:b w:val="0"/>
          <w:caps w:val="0"/>
          <w:sz w:val="20"/>
        </w:rPr>
        <w:lastRenderedPageBreak/>
        <w:t>competence, and relatedness drive career satisfaction and long-term professional commitment. In this study, teachers’ career sustainability is strengthened when their work environment supports personal development, provides opportunities to enhance their competencies, and fosters a strong sense of belonging in the educational community.</w:t>
      </w:r>
    </w:p>
    <w:p w14:paraId="32CA4429" w14:textId="77777777" w:rsidR="009676BB" w:rsidRDefault="009676BB" w:rsidP="009676BB">
      <w:pPr>
        <w:pStyle w:val="ReferHead"/>
        <w:spacing w:after="0"/>
        <w:jc w:val="both"/>
        <w:rPr>
          <w:rFonts w:ascii="Arial" w:hAnsi="Arial" w:cs="Arial"/>
          <w:b w:val="0"/>
          <w:caps w:val="0"/>
          <w:sz w:val="20"/>
        </w:rPr>
      </w:pPr>
    </w:p>
    <w:p w14:paraId="561B0EA9" w14:textId="7C6B3719" w:rsidR="00F35314" w:rsidRPr="00CE08C9" w:rsidRDefault="006A0F34" w:rsidP="00CE08C9">
      <w:pPr>
        <w:pStyle w:val="Body"/>
        <w:rPr>
          <w:rFonts w:ascii="Arial" w:hAnsi="Arial" w:cs="Arial"/>
        </w:rPr>
      </w:pPr>
      <w:r>
        <w:rPr>
          <w:rFonts w:ascii="Arial" w:hAnsi="Arial" w:cs="Arial"/>
          <w:b/>
          <w:bCs/>
        </w:rPr>
        <w:t>6. RECOMMENDATIONS</w:t>
      </w:r>
    </w:p>
    <w:p w14:paraId="1F59F048"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Based on the findings and conclusions of this study, the following recommendations were proposed:</w:t>
      </w:r>
    </w:p>
    <w:p w14:paraId="5863B8CC"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Firstly, considering that the professional life quality of public elementary school teachers is at a very extensive level, it is recommended that school administrators sustain and further enhance initiatives that promote teachers' well-being. Providing wellness programs, mental health support, and workload management strategies may strengthen their ability to maintain job satisfaction and overall well-being. Schools may also conduct workshops, seminars, and training on stress management, work-life balance, and resilience-building to support teachers in handling the demands of their profession effectively. Teachers are encouraged to participate in these programs actively, seek peer support, and practice self-care strategies to maintain a healthy work-life balance.</w:t>
      </w:r>
    </w:p>
    <w:p w14:paraId="04B53E42"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Secondly, since career sustainability among public elementary school teachers is at a very extensive level, it is recommended that schools and education policymakers continue fostering an environment that supports long-term career development. Establishing mentorship initiatives, offering opportunities for further studies, and implementing performance-based incentives can further develop teachers’ motivation and commitment to the profession. Schools may also integrate leadership training and continuous professional development to prepare teachers for career advancement and administrative roles. Teachers are encouraged to take advantage of these opportunities by engaging in professional development, pursuing higher education, and exploring leadership roles within their schools to enhance their career growth.</w:t>
      </w:r>
    </w:p>
    <w:p w14:paraId="38221CC7"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Thirdly, given the significant relationship between professional life quality and career sustainability, it is recommended that school administrators implement policies that foster a supportive and motivating work environment. Providing fair compensation, ensuring reasonable workload distribution, and recognizing teachers’ contributions through awards and incentives may strengthen their commitment to teaching. Schools may also create platforms where teachers can voice their concerns and participate in decision-making processes to enhance their sense of belonging and job satisfaction. Teachers are encouraged to communicate their needs, engage in collaborative decision-making, and advocate for policies that support their professional and personal well-being.</w:t>
      </w:r>
    </w:p>
    <w:p w14:paraId="53E88C64" w14:textId="0D51E763" w:rsidR="009676BB" w:rsidRDefault="00CE08C9" w:rsidP="00CE08C9">
      <w:pPr>
        <w:pStyle w:val="ReferHead"/>
        <w:spacing w:after="0"/>
        <w:jc w:val="both"/>
        <w:rPr>
          <w:rFonts w:ascii="Arial" w:hAnsi="Arial" w:cs="Arial"/>
          <w:b w:val="0"/>
          <w:caps w:val="0"/>
          <w:sz w:val="20"/>
        </w:rPr>
      </w:pPr>
      <w:r w:rsidRPr="00CE08C9">
        <w:rPr>
          <w:rFonts w:ascii="Arial" w:hAnsi="Arial" w:cs="Arial"/>
          <w:b w:val="0"/>
          <w:caps w:val="0"/>
          <w:sz w:val="20"/>
        </w:rPr>
        <w:t xml:space="preserve">Finally, considering the impact of professional life quality on teachers’ long-term career sustainability, it is recommended that schools collaborate with government agencies and educational institutions to develop programs that address teachers' evolving needs. Partnering with organizations that offer teacher support programs, financial assistance, and professional growth opportunities may help sustain a motivated teaching workforce. Teachers are encouraged to seek external professional networks, participate in research initiatives, and engage with organizations that provide support for their continuous growth and development. </w:t>
      </w:r>
      <w:r w:rsidRPr="00CE08C9">
        <w:rPr>
          <w:rFonts w:ascii="Arial" w:hAnsi="Arial" w:cs="Arial"/>
          <w:b w:val="0"/>
          <w:caps w:val="0"/>
          <w:sz w:val="20"/>
        </w:rPr>
        <w:lastRenderedPageBreak/>
        <w:t>Future research may explore how specific interventions in improving teachers’ well-being and career growth impact their long-term retention and effectiveness in the education sector.</w:t>
      </w:r>
    </w:p>
    <w:p w14:paraId="1A267C89" w14:textId="77777777" w:rsidR="00CE08C9" w:rsidRDefault="00CE08C9" w:rsidP="00CE08C9">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36D7726B" w:rsidR="00717F2E" w:rsidRDefault="00F107D1">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w:t>
      </w:r>
    </w:p>
    <w:p w14:paraId="67F05F0C" w14:textId="77777777" w:rsidR="00717F2E" w:rsidRDefault="00717F2E">
      <w:pPr>
        <w:pStyle w:val="ReferHead"/>
        <w:spacing w:after="0"/>
        <w:jc w:val="both"/>
        <w:rPr>
          <w:rFonts w:ascii="Arial" w:hAnsi="Arial" w:cs="Arial"/>
          <w:bCs/>
          <w:sz w:val="20"/>
        </w:rPr>
      </w:pPr>
    </w:p>
    <w:p w14:paraId="2421F161" w14:textId="64E29C78" w:rsidR="00624A8B" w:rsidRDefault="00CE08C9" w:rsidP="00CD4D57">
      <w:pPr>
        <w:pStyle w:val="ReferHead"/>
        <w:spacing w:after="0"/>
        <w:jc w:val="both"/>
        <w:rPr>
          <w:rFonts w:ascii="Arial" w:hAnsi="Arial" w:cs="Arial"/>
          <w:b w:val="0"/>
          <w:caps w:val="0"/>
          <w:sz w:val="20"/>
        </w:rPr>
      </w:pPr>
      <w:r w:rsidRPr="00CE08C9">
        <w:rPr>
          <w:rFonts w:ascii="Arial" w:hAnsi="Arial" w:cs="Arial"/>
          <w:b w:val="0"/>
          <w:caps w:val="0"/>
          <w:sz w:val="20"/>
        </w:rPr>
        <w:t xml:space="preserve">This study was carried out in strict accordance with established ethical guidelines to safeguard the rights, dignity, and welfare of all participants. Prior to data collection, the researcher secured all necessary permissions, including an endorsement from the Dean of the Graduate School of Rizal Memorial Colleges and ethical clearance from the institution’s Ethics Review Committee. The ethical practices observed were based on the framework outlined by </w:t>
      </w:r>
      <w:proofErr w:type="spellStart"/>
      <w:r w:rsidRPr="00CE08C9">
        <w:rPr>
          <w:rFonts w:ascii="Arial" w:hAnsi="Arial" w:cs="Arial"/>
          <w:b w:val="0"/>
          <w:caps w:val="0"/>
          <w:sz w:val="20"/>
        </w:rPr>
        <w:t>Pregoner</w:t>
      </w:r>
      <w:proofErr w:type="spellEnd"/>
      <w:r w:rsidRPr="00CE08C9">
        <w:rPr>
          <w:rFonts w:ascii="Arial" w:hAnsi="Arial" w:cs="Arial"/>
          <w:b w:val="0"/>
          <w:caps w:val="0"/>
          <w:sz w:val="20"/>
        </w:rPr>
        <w:t xml:space="preserve"> et al. (2025), ensuring alignment with current standards for conducting research involving human subjects in educational contexts. Participation was completely voluntary, with participants fully informed about the study’s goals, scope, and their right to decline or withdraw at any time without facing any consequences. Informed consent was obtained to confirm each participant’s awareness and willingness to be involved. To ensure confidentiality, no personally identifying information was collected, and all responses were treated with strict privacy. The data were used exclusively for academic purposes. These measures ensured the research was conducted with transparency, ethical responsibility, and professional integrity.</w:t>
      </w:r>
    </w:p>
    <w:p w14:paraId="64998DA5" w14:textId="77777777" w:rsidR="00CE08C9" w:rsidRDefault="00CE08C9" w:rsidP="00CD4D57">
      <w:pPr>
        <w:pStyle w:val="ReferHead"/>
        <w:spacing w:after="0"/>
        <w:jc w:val="both"/>
        <w:rPr>
          <w:rFonts w:ascii="Arial" w:hAnsi="Arial" w:cs="Arial"/>
          <w:b w:val="0"/>
          <w:caps w:val="0"/>
          <w:sz w:val="20"/>
        </w:rPr>
      </w:pPr>
    </w:p>
    <w:p w14:paraId="2BC90047" w14:textId="7585ABEF" w:rsidR="00CD4D57" w:rsidRPr="00F107D1" w:rsidRDefault="00CD4D57" w:rsidP="00CD4D57">
      <w:pPr>
        <w:pStyle w:val="ReferHead"/>
        <w:spacing w:after="0"/>
        <w:jc w:val="both"/>
        <w:rPr>
          <w:rFonts w:ascii="Arial" w:hAnsi="Arial" w:cs="Arial"/>
          <w:caps w:val="0"/>
          <w:sz w:val="20"/>
          <w:highlight w:val="yellow"/>
        </w:rPr>
      </w:pPr>
      <w:bookmarkStart w:id="0" w:name="_GoBack"/>
      <w:r w:rsidRPr="00F107D1">
        <w:rPr>
          <w:rFonts w:ascii="Arial" w:hAnsi="Arial" w:cs="Arial"/>
          <w:caps w:val="0"/>
          <w:sz w:val="20"/>
          <w:highlight w:val="yellow"/>
        </w:rPr>
        <w:t>Disclaimer (Artificial Intelligence)</w:t>
      </w:r>
    </w:p>
    <w:bookmarkEnd w:id="0"/>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7F7F5273" w:rsidR="002B4E2B" w:rsidRDefault="002B4E2B" w:rsidP="002B4E2B">
      <w:pPr>
        <w:rPr>
          <w:rFonts w:ascii="Arial" w:hAnsi="Arial" w:cs="Arial"/>
          <w:color w:val="222222"/>
          <w:shd w:val="clear" w:color="auto" w:fill="FFFFFF"/>
        </w:rPr>
      </w:pPr>
    </w:p>
    <w:p w14:paraId="528B0DEC" w14:textId="1C8828EA" w:rsidR="001B28AE" w:rsidRDefault="001B28AE" w:rsidP="002B4E2B">
      <w:pPr>
        <w:rPr>
          <w:rFonts w:ascii="Arial" w:hAnsi="Arial" w:cs="Arial"/>
          <w:color w:val="222222"/>
          <w:shd w:val="clear" w:color="auto" w:fill="FFFFFF"/>
        </w:rPr>
      </w:pPr>
    </w:p>
    <w:p w14:paraId="54BECE9A"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Aarsman, S. R., Greenwood, C. J., </w:t>
      </w:r>
      <w:proofErr w:type="spellStart"/>
      <w:r w:rsidRPr="001B28AE">
        <w:rPr>
          <w:rFonts w:ascii="Arial" w:hAnsi="Arial" w:cs="Arial"/>
          <w:shd w:val="clear" w:color="auto" w:fill="FFFFFF"/>
        </w:rPr>
        <w:t>Linardon</w:t>
      </w:r>
      <w:proofErr w:type="spellEnd"/>
      <w:r w:rsidRPr="001B28AE">
        <w:rPr>
          <w:rFonts w:ascii="Arial" w:hAnsi="Arial" w:cs="Arial"/>
          <w:shd w:val="clear" w:color="auto" w:fill="FFFFFF"/>
        </w:rPr>
        <w:t>, J., Rodgers, R. F., Messer, M., Jarman, H. K., &amp; Fuller-Tyszkiewicz, M. (2024). Enhancing inferences and conclusions in body image focused non-experimental research via a causal modelling approach: A tutorial. </w:t>
      </w:r>
      <w:r w:rsidRPr="001B28AE">
        <w:rPr>
          <w:rFonts w:ascii="Arial" w:hAnsi="Arial" w:cs="Arial"/>
          <w:i/>
          <w:iCs/>
          <w:shd w:val="clear" w:color="auto" w:fill="FFFFFF"/>
        </w:rPr>
        <w:t>Body Image</w:t>
      </w:r>
      <w:r w:rsidRPr="001B28AE">
        <w:rPr>
          <w:rFonts w:ascii="Arial" w:hAnsi="Arial" w:cs="Arial"/>
          <w:shd w:val="clear" w:color="auto" w:fill="FFFFFF"/>
        </w:rPr>
        <w:t>, </w:t>
      </w:r>
      <w:r w:rsidRPr="001B28AE">
        <w:rPr>
          <w:rFonts w:ascii="Arial" w:hAnsi="Arial" w:cs="Arial"/>
          <w:i/>
          <w:iCs/>
          <w:shd w:val="clear" w:color="auto" w:fill="FFFFFF"/>
        </w:rPr>
        <w:t>49</w:t>
      </w:r>
      <w:r w:rsidRPr="001B28AE">
        <w:rPr>
          <w:rFonts w:ascii="Arial" w:hAnsi="Arial" w:cs="Arial"/>
          <w:shd w:val="clear" w:color="auto" w:fill="FFFFFF"/>
        </w:rPr>
        <w:t>, 101704.</w:t>
      </w:r>
      <w:r w:rsidRPr="001B28AE">
        <w:t xml:space="preserve"> </w:t>
      </w:r>
      <w:hyperlink r:id="rId15" w:history="1">
        <w:r w:rsidRPr="001B28AE">
          <w:rPr>
            <w:rStyle w:val="Hyperlink"/>
            <w:rFonts w:ascii="Arial" w:hAnsi="Arial" w:cs="Arial"/>
            <w:color w:val="auto"/>
            <w:shd w:val="clear" w:color="auto" w:fill="FFFFFF"/>
          </w:rPr>
          <w:t>https://www.sciencedirect.com/science/article/pii/S1740144524000263</w:t>
        </w:r>
      </w:hyperlink>
    </w:p>
    <w:p w14:paraId="3708BDCA" w14:textId="77777777" w:rsidR="001B28AE" w:rsidRPr="001B28AE" w:rsidRDefault="001B28AE" w:rsidP="001B28AE">
      <w:pPr>
        <w:ind w:left="900" w:hanging="720"/>
      </w:pPr>
      <w:r w:rsidRPr="001B28AE">
        <w:t xml:space="preserve">Amitai, A., &amp; Van </w:t>
      </w:r>
      <w:proofErr w:type="spellStart"/>
      <w:r w:rsidRPr="001B28AE">
        <w:t>Houtte</w:t>
      </w:r>
      <w:proofErr w:type="spellEnd"/>
      <w:r w:rsidRPr="001B28AE">
        <w:t xml:space="preserve">, M. (2022). Being pushed out of the career: Former teachers' reasons for leaving the profession. Teaching and teacher education, 110, 103540. </w:t>
      </w:r>
      <w:hyperlink r:id="rId16" w:history="1">
        <w:r w:rsidRPr="001B28AE">
          <w:rPr>
            <w:rStyle w:val="Hyperlink"/>
            <w:color w:val="auto"/>
          </w:rPr>
          <w:t>https://scholar.google.com/citations?user=0tOowAIAAAAJ&amp;hl=en&amp;oi=sra</w:t>
        </w:r>
      </w:hyperlink>
    </w:p>
    <w:p w14:paraId="6565D209" w14:textId="77777777" w:rsidR="001B28AE" w:rsidRPr="001B28AE" w:rsidRDefault="001B28AE" w:rsidP="001B28AE">
      <w:pPr>
        <w:ind w:left="900" w:hanging="720"/>
      </w:pPr>
      <w:r w:rsidRPr="001B28AE">
        <w:t xml:space="preserve">Bae, J., Jennings, P. F., Hardeman, C. P., Kim, E., Lee, M., Littleton, T., &amp; Saasa, S. (2020). Compassion satisfaction among social work practitioners: The role of work–life balance. Journal of Social Service Research, 46(3), 320-330. </w:t>
      </w:r>
      <w:hyperlink r:id="rId17" w:history="1">
        <w:r w:rsidRPr="001B28AE">
          <w:rPr>
            <w:rStyle w:val="Hyperlink"/>
            <w:color w:val="auto"/>
          </w:rPr>
          <w:t>https://txicfw.socialwork.utexas.edu/wp-content/uploads/2019/07/Compassion-Satisfaction-Among-Social-Work-Practitioners-The-Role-of-Work-Life-Balance.pdf</w:t>
        </w:r>
      </w:hyperlink>
    </w:p>
    <w:p w14:paraId="0E379371" w14:textId="77777777" w:rsidR="001B28AE" w:rsidRPr="001B28AE" w:rsidRDefault="001B28AE" w:rsidP="001B28AE">
      <w:pPr>
        <w:ind w:left="900" w:hanging="720"/>
      </w:pPr>
      <w:proofErr w:type="spellStart"/>
      <w:r w:rsidRPr="001B28AE">
        <w:rPr>
          <w:rFonts w:ascii="Arial" w:hAnsi="Arial" w:cs="Arial"/>
          <w:shd w:val="clear" w:color="auto" w:fill="FFFFFF"/>
        </w:rPr>
        <w:t>Bangao</w:t>
      </w:r>
      <w:proofErr w:type="spellEnd"/>
      <w:r w:rsidRPr="001B28AE">
        <w:rPr>
          <w:rFonts w:ascii="Arial" w:hAnsi="Arial" w:cs="Arial"/>
          <w:shd w:val="clear" w:color="auto" w:fill="FFFFFF"/>
        </w:rPr>
        <w:t>, B. J. D. (2020, December). Looking back to look ahead: The life trajectory among indigenous people retired teachers in the Philippines. In 1st International Conference on Information Technology and Education (ICITE 2020) (pp. 128-134). Atlantis Press.</w:t>
      </w:r>
      <w:r w:rsidRPr="001B28AE">
        <w:rPr>
          <w:rFonts w:ascii="Arial" w:hAnsi="Arial" w:cs="Arial"/>
        </w:rPr>
        <w:t xml:space="preserve"> </w:t>
      </w:r>
      <w:hyperlink r:id="rId18" w:history="1">
        <w:r w:rsidRPr="001B28AE">
          <w:rPr>
            <w:rStyle w:val="Hyperlink"/>
            <w:rFonts w:ascii="Arial" w:hAnsi="Arial" w:cs="Arial"/>
            <w:color w:val="auto"/>
          </w:rPr>
          <w:t>https://www.atlantis-press.com/article/125948761.pdf</w:t>
        </w:r>
      </w:hyperlink>
    </w:p>
    <w:p w14:paraId="0520064F" w14:textId="77777777" w:rsidR="001B28AE" w:rsidRPr="001B28AE" w:rsidRDefault="001B28AE" w:rsidP="001B28AE">
      <w:pPr>
        <w:ind w:left="900" w:hanging="720"/>
      </w:pPr>
      <w:proofErr w:type="spellStart"/>
      <w:r w:rsidRPr="001B28AE">
        <w:lastRenderedPageBreak/>
        <w:t>Benevene</w:t>
      </w:r>
      <w:proofErr w:type="spellEnd"/>
      <w:r w:rsidRPr="001B28AE">
        <w:t xml:space="preserve">, P., De Stasio, S., &amp; Fiorilli, C. (2020). Well-being of school teachers in their work environment. Frontiers in Psychology, 11, 1239. https://www.frontiersin.org/articles/10.3389/fpsyg.2020.01239/pdf </w:t>
      </w:r>
    </w:p>
    <w:p w14:paraId="389EB747" w14:textId="77777777" w:rsidR="001B28AE" w:rsidRPr="001B28AE" w:rsidRDefault="001B28AE" w:rsidP="001B28AE">
      <w:pPr>
        <w:ind w:left="900" w:hanging="720"/>
      </w:pPr>
      <w:r w:rsidRPr="001B28AE">
        <w:t xml:space="preserve">Borg, J., Borg, N., Scott-Young, C. M., &amp; </w:t>
      </w:r>
      <w:proofErr w:type="spellStart"/>
      <w:r w:rsidRPr="001B28AE">
        <w:t>Naderpajouh</w:t>
      </w:r>
      <w:proofErr w:type="spellEnd"/>
      <w:r w:rsidRPr="001B28AE">
        <w:t xml:space="preserve">, N. (2021). The work readiness–career resilience linkage: implications for project talent management. International journal of managing projects in business, 14(4), 917-935. </w:t>
      </w:r>
      <w:hyperlink r:id="rId19" w:history="1">
        <w:r w:rsidRPr="001B28AE">
          <w:rPr>
            <w:rStyle w:val="Hyperlink"/>
            <w:color w:val="auto"/>
          </w:rPr>
          <w:t>https://www.researchgate.net/profile/Jessica-Borg-5/publication/348017105_The_work_readiness-career_resilience_linkage_implications_for_project_talent_management/links/6004b440a6fdccdcb860837a/The-work-readiness-career-resilience-linkage-implications-for-project-talent-management.pdf</w:t>
        </w:r>
      </w:hyperlink>
    </w:p>
    <w:p w14:paraId="3BE9E992" w14:textId="77777777" w:rsidR="001B28AE" w:rsidRPr="001B28AE" w:rsidRDefault="001B28AE" w:rsidP="001B28AE">
      <w:pPr>
        <w:ind w:left="900" w:hanging="720"/>
      </w:pPr>
      <w:r w:rsidRPr="001B28AE">
        <w:rPr>
          <w:rFonts w:ascii="Arial" w:hAnsi="Arial" w:cs="Arial"/>
          <w:shd w:val="clear" w:color="auto" w:fill="FFFFFF"/>
        </w:rPr>
        <w:t xml:space="preserve">Chanana, N., &amp; Sangeeta. (2021). Employee engagement practices during C </w:t>
      </w:r>
      <w:hyperlink r:id="rId20" w:history="1">
        <w:r w:rsidRPr="001B28AE">
          <w:rPr>
            <w:rStyle w:val="Hyperlink"/>
            <w:rFonts w:ascii="Arial" w:hAnsi="Arial" w:cs="Arial"/>
            <w:color w:val="auto"/>
            <w:shd w:val="clear" w:color="auto" w:fill="FFFFFF"/>
          </w:rPr>
          <w:t>https://pmc.ncbi.nlm.nih.gov/articles/PMC7536939/pdf/PA-9999-e2508.pdf</w:t>
        </w:r>
      </w:hyperlink>
    </w:p>
    <w:p w14:paraId="17B26A85"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Chen, H., Fang, T., Liu, F., Pang, L., Wen, Y., Chen, S., &amp; Gu, X. (2020). Career adaptability research: A literature review with scientific knowledge mapping in web of science. </w:t>
      </w:r>
      <w:r w:rsidRPr="001B28AE">
        <w:rPr>
          <w:rFonts w:ascii="Arial" w:hAnsi="Arial" w:cs="Arial"/>
          <w:i/>
          <w:iCs/>
          <w:shd w:val="clear" w:color="auto" w:fill="FFFFFF"/>
        </w:rPr>
        <w:t>International Journal of Environmental Research and Public Health</w:t>
      </w:r>
      <w:r w:rsidRPr="001B28AE">
        <w:rPr>
          <w:rFonts w:ascii="Arial" w:hAnsi="Arial" w:cs="Arial"/>
          <w:shd w:val="clear" w:color="auto" w:fill="FFFFFF"/>
        </w:rPr>
        <w:t>, </w:t>
      </w:r>
      <w:r w:rsidRPr="001B28AE">
        <w:rPr>
          <w:rFonts w:ascii="Arial" w:hAnsi="Arial" w:cs="Arial"/>
          <w:i/>
          <w:iCs/>
          <w:shd w:val="clear" w:color="auto" w:fill="FFFFFF"/>
        </w:rPr>
        <w:t>17</w:t>
      </w:r>
      <w:r w:rsidRPr="001B28AE">
        <w:rPr>
          <w:rFonts w:ascii="Arial" w:hAnsi="Arial" w:cs="Arial"/>
          <w:shd w:val="clear" w:color="auto" w:fill="FFFFFF"/>
        </w:rPr>
        <w:t>(16), 5986.</w:t>
      </w:r>
      <w:r w:rsidRPr="001B28AE">
        <w:t xml:space="preserve"> </w:t>
      </w:r>
      <w:hyperlink r:id="rId21" w:history="1">
        <w:r w:rsidRPr="001B28AE">
          <w:rPr>
            <w:rStyle w:val="Hyperlink"/>
            <w:rFonts w:ascii="Arial" w:hAnsi="Arial" w:cs="Arial"/>
            <w:color w:val="auto"/>
            <w:shd w:val="clear" w:color="auto" w:fill="FFFFFF"/>
          </w:rPr>
          <w:t>https://www.mdpi.com/1660-4601/17/16/5986</w:t>
        </w:r>
      </w:hyperlink>
    </w:p>
    <w:p w14:paraId="32AD3A0C" w14:textId="77777777" w:rsidR="001B28AE" w:rsidRPr="001B28AE" w:rsidRDefault="001B28AE" w:rsidP="001B28AE">
      <w:pPr>
        <w:ind w:left="900" w:hanging="720"/>
        <w:rPr>
          <w:rFonts w:ascii="Arial" w:hAnsi="Arial" w:cs="Arial"/>
          <w:shd w:val="clear" w:color="auto" w:fill="FFFFFF"/>
        </w:rPr>
      </w:pPr>
      <w:proofErr w:type="spellStart"/>
      <w:r w:rsidRPr="001B28AE">
        <w:rPr>
          <w:rFonts w:ascii="Arial" w:hAnsi="Arial" w:cs="Arial"/>
          <w:shd w:val="clear" w:color="auto" w:fill="FFFFFF"/>
        </w:rPr>
        <w:t>Elshater</w:t>
      </w:r>
      <w:proofErr w:type="spellEnd"/>
      <w:r w:rsidRPr="001B28AE">
        <w:rPr>
          <w:rFonts w:ascii="Arial" w:hAnsi="Arial" w:cs="Arial"/>
          <w:shd w:val="clear" w:color="auto" w:fill="FFFFFF"/>
        </w:rPr>
        <w:t xml:space="preserve">, A., </w:t>
      </w:r>
      <w:proofErr w:type="spellStart"/>
      <w:r w:rsidRPr="001B28AE">
        <w:rPr>
          <w:rFonts w:ascii="Arial" w:hAnsi="Arial" w:cs="Arial"/>
          <w:shd w:val="clear" w:color="auto" w:fill="FFFFFF"/>
        </w:rPr>
        <w:t>Abusaada</w:t>
      </w:r>
      <w:proofErr w:type="spellEnd"/>
      <w:r w:rsidRPr="001B28AE">
        <w:rPr>
          <w:rFonts w:ascii="Arial" w:hAnsi="Arial" w:cs="Arial"/>
          <w:shd w:val="clear" w:color="auto" w:fill="FFFFFF"/>
        </w:rPr>
        <w:t xml:space="preserve">, H., </w:t>
      </w:r>
      <w:proofErr w:type="spellStart"/>
      <w:r w:rsidRPr="001B28AE">
        <w:rPr>
          <w:rFonts w:ascii="Arial" w:hAnsi="Arial" w:cs="Arial"/>
          <w:shd w:val="clear" w:color="auto" w:fill="FFFFFF"/>
        </w:rPr>
        <w:t>Alfiky</w:t>
      </w:r>
      <w:proofErr w:type="spellEnd"/>
      <w:r w:rsidRPr="001B28AE">
        <w:rPr>
          <w:rFonts w:ascii="Arial" w:hAnsi="Arial" w:cs="Arial"/>
          <w:shd w:val="clear" w:color="auto" w:fill="FFFFFF"/>
        </w:rPr>
        <w:t>, A., El-</w:t>
      </w:r>
      <w:proofErr w:type="spellStart"/>
      <w:r w:rsidRPr="001B28AE">
        <w:rPr>
          <w:rFonts w:ascii="Arial" w:hAnsi="Arial" w:cs="Arial"/>
          <w:shd w:val="clear" w:color="auto" w:fill="FFFFFF"/>
        </w:rPr>
        <w:t>Bardisy</w:t>
      </w:r>
      <w:proofErr w:type="spellEnd"/>
      <w:r w:rsidRPr="001B28AE">
        <w:rPr>
          <w:rFonts w:ascii="Arial" w:hAnsi="Arial" w:cs="Arial"/>
          <w:shd w:val="clear" w:color="auto" w:fill="FFFFFF"/>
        </w:rPr>
        <w:t xml:space="preserve">, N., </w:t>
      </w:r>
      <w:proofErr w:type="spellStart"/>
      <w:r w:rsidRPr="001B28AE">
        <w:rPr>
          <w:rFonts w:ascii="Arial" w:hAnsi="Arial" w:cs="Arial"/>
          <w:shd w:val="clear" w:color="auto" w:fill="FFFFFF"/>
        </w:rPr>
        <w:t>Elmarakby</w:t>
      </w:r>
      <w:proofErr w:type="spellEnd"/>
      <w:r w:rsidRPr="001B28AE">
        <w:rPr>
          <w:rFonts w:ascii="Arial" w:hAnsi="Arial" w:cs="Arial"/>
          <w:shd w:val="clear" w:color="auto" w:fill="FFFFFF"/>
        </w:rPr>
        <w:t>, E., &amp; Grant, S. (2022). Workers’ satisfaction vis-à-vis environmental and socio-morphological aspects for sustainability and decent work. </w:t>
      </w:r>
      <w:r w:rsidRPr="001B28AE">
        <w:rPr>
          <w:rFonts w:ascii="Arial" w:hAnsi="Arial" w:cs="Arial"/>
          <w:i/>
          <w:iCs/>
          <w:shd w:val="clear" w:color="auto" w:fill="FFFFFF"/>
        </w:rPr>
        <w:t>Sustainability</w:t>
      </w:r>
      <w:r w:rsidRPr="001B28AE">
        <w:rPr>
          <w:rFonts w:ascii="Arial" w:hAnsi="Arial" w:cs="Arial"/>
          <w:shd w:val="clear" w:color="auto" w:fill="FFFFFF"/>
        </w:rPr>
        <w:t>, </w:t>
      </w:r>
      <w:r w:rsidRPr="001B28AE">
        <w:rPr>
          <w:rFonts w:ascii="Arial" w:hAnsi="Arial" w:cs="Arial"/>
          <w:i/>
          <w:iCs/>
          <w:shd w:val="clear" w:color="auto" w:fill="FFFFFF"/>
        </w:rPr>
        <w:t>14</w:t>
      </w:r>
      <w:r w:rsidRPr="001B28AE">
        <w:rPr>
          <w:rFonts w:ascii="Arial" w:hAnsi="Arial" w:cs="Arial"/>
          <w:shd w:val="clear" w:color="auto" w:fill="FFFFFF"/>
        </w:rPr>
        <w:t>(3), 1699.</w:t>
      </w:r>
      <w:r w:rsidRPr="001B28AE">
        <w:t xml:space="preserve"> </w:t>
      </w:r>
      <w:hyperlink r:id="rId22" w:history="1">
        <w:r w:rsidRPr="001B28AE">
          <w:rPr>
            <w:rStyle w:val="Hyperlink"/>
            <w:rFonts w:ascii="Arial" w:hAnsi="Arial" w:cs="Arial"/>
            <w:color w:val="auto"/>
            <w:shd w:val="clear" w:color="auto" w:fill="FFFFFF"/>
          </w:rPr>
          <w:t>https://www.mdpi.com/2071-1050/14/3/1699</w:t>
        </w:r>
      </w:hyperlink>
    </w:p>
    <w:p w14:paraId="3A98AE02"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Galiana, L., Oliver, A., Arena, F., De Simone, G., Tomás, J. M., Vidal-Blanco, G., ... &amp; </w:t>
      </w:r>
      <w:proofErr w:type="spellStart"/>
      <w:r w:rsidRPr="001B28AE">
        <w:rPr>
          <w:rFonts w:ascii="Arial" w:hAnsi="Arial" w:cs="Arial"/>
          <w:shd w:val="clear" w:color="auto" w:fill="FFFFFF"/>
        </w:rPr>
        <w:t>Sansó</w:t>
      </w:r>
      <w:proofErr w:type="spellEnd"/>
      <w:r w:rsidRPr="001B28AE">
        <w:rPr>
          <w:rFonts w:ascii="Arial" w:hAnsi="Arial" w:cs="Arial"/>
          <w:shd w:val="clear" w:color="auto" w:fill="FFFFFF"/>
        </w:rPr>
        <w:t>, N. (2020). Development and validation of the Short Professional Quality of Life Scale based on versions IV and V of the Professional Quality of Life Scale. </w:t>
      </w:r>
      <w:r w:rsidRPr="001B28AE">
        <w:rPr>
          <w:rFonts w:ascii="Arial" w:hAnsi="Arial" w:cs="Arial"/>
          <w:i/>
          <w:iCs/>
          <w:shd w:val="clear" w:color="auto" w:fill="FFFFFF"/>
        </w:rPr>
        <w:t>Health and quality of life outcomes</w:t>
      </w:r>
      <w:r w:rsidRPr="001B28AE">
        <w:rPr>
          <w:rFonts w:ascii="Arial" w:hAnsi="Arial" w:cs="Arial"/>
          <w:shd w:val="clear" w:color="auto" w:fill="FFFFFF"/>
        </w:rPr>
        <w:t>, </w:t>
      </w:r>
      <w:r w:rsidRPr="001B28AE">
        <w:rPr>
          <w:rFonts w:ascii="Arial" w:hAnsi="Arial" w:cs="Arial"/>
          <w:i/>
          <w:iCs/>
          <w:shd w:val="clear" w:color="auto" w:fill="FFFFFF"/>
        </w:rPr>
        <w:t>18</w:t>
      </w:r>
      <w:r w:rsidRPr="001B28AE">
        <w:rPr>
          <w:rFonts w:ascii="Arial" w:hAnsi="Arial" w:cs="Arial"/>
          <w:shd w:val="clear" w:color="auto" w:fill="FFFFFF"/>
        </w:rPr>
        <w:t>, 1-12.</w:t>
      </w:r>
      <w:r w:rsidRPr="001B28AE">
        <w:t xml:space="preserve"> </w:t>
      </w:r>
      <w:hyperlink r:id="rId23" w:history="1">
        <w:r w:rsidRPr="001B28AE">
          <w:rPr>
            <w:rStyle w:val="Hyperlink"/>
            <w:rFonts w:ascii="Arial" w:hAnsi="Arial" w:cs="Arial"/>
            <w:color w:val="auto"/>
            <w:shd w:val="clear" w:color="auto" w:fill="FFFFFF"/>
          </w:rPr>
          <w:t>https://link.springer.com/content/pdf/10.1186/s12955-020-01618-3.pdf</w:t>
        </w:r>
      </w:hyperlink>
    </w:p>
    <w:p w14:paraId="0E585FCA" w14:textId="77777777" w:rsidR="001B28AE" w:rsidRPr="001B28AE" w:rsidRDefault="001B28AE" w:rsidP="001B28AE">
      <w:pPr>
        <w:ind w:left="900" w:hanging="720"/>
        <w:rPr>
          <w:rFonts w:ascii="Arial" w:hAnsi="Arial" w:cs="Arial"/>
          <w:shd w:val="clear" w:color="auto" w:fill="FFFFFF"/>
        </w:rPr>
      </w:pPr>
      <w:proofErr w:type="spellStart"/>
      <w:r w:rsidRPr="001B28AE">
        <w:rPr>
          <w:rFonts w:ascii="Arial" w:hAnsi="Arial" w:cs="Arial"/>
          <w:shd w:val="clear" w:color="auto" w:fill="FFFFFF"/>
        </w:rPr>
        <w:t>Ghanad</w:t>
      </w:r>
      <w:proofErr w:type="spellEnd"/>
      <w:r w:rsidRPr="001B28AE">
        <w:rPr>
          <w:rFonts w:ascii="Arial" w:hAnsi="Arial" w:cs="Arial"/>
          <w:shd w:val="clear" w:color="auto" w:fill="FFFFFF"/>
        </w:rPr>
        <w:t>, A. (2023). An overview of quantitative research methods. </w:t>
      </w:r>
      <w:r w:rsidRPr="001B28AE">
        <w:rPr>
          <w:rFonts w:ascii="Arial" w:hAnsi="Arial" w:cs="Arial"/>
          <w:i/>
          <w:iCs/>
          <w:shd w:val="clear" w:color="auto" w:fill="FFFFFF"/>
        </w:rPr>
        <w:t>International journal of multidisciplinary research and analysis</w:t>
      </w:r>
      <w:r w:rsidRPr="001B28AE">
        <w:rPr>
          <w:rFonts w:ascii="Arial" w:hAnsi="Arial" w:cs="Arial"/>
          <w:shd w:val="clear" w:color="auto" w:fill="FFFFFF"/>
        </w:rPr>
        <w:t>, </w:t>
      </w:r>
      <w:r w:rsidRPr="001B28AE">
        <w:rPr>
          <w:rFonts w:ascii="Arial" w:hAnsi="Arial" w:cs="Arial"/>
          <w:i/>
          <w:iCs/>
          <w:shd w:val="clear" w:color="auto" w:fill="FFFFFF"/>
        </w:rPr>
        <w:t>6</w:t>
      </w:r>
      <w:r w:rsidRPr="001B28AE">
        <w:rPr>
          <w:rFonts w:ascii="Arial" w:hAnsi="Arial" w:cs="Arial"/>
          <w:shd w:val="clear" w:color="auto" w:fill="FFFFFF"/>
        </w:rPr>
        <w:t>(08), 3794-3803.</w:t>
      </w:r>
      <w:r w:rsidRPr="001B28AE">
        <w:t xml:space="preserve"> </w:t>
      </w:r>
      <w:hyperlink r:id="rId24" w:history="1">
        <w:r w:rsidRPr="001B28AE">
          <w:rPr>
            <w:rStyle w:val="Hyperlink"/>
            <w:rFonts w:ascii="Arial" w:hAnsi="Arial" w:cs="Arial"/>
            <w:color w:val="auto"/>
            <w:shd w:val="clear" w:color="auto" w:fill="FFFFFF"/>
          </w:rPr>
          <w:t>https://www.researchgate.net/profile/Anahita-Ghanad/publication/373370007_An_Overview_of_Quantitative_Research_Methods/links/67b28ffc645ef274a48341a1/An-Overview-of-Quantitative-Research-Methods.pdf</w:t>
        </w:r>
      </w:hyperlink>
    </w:p>
    <w:p w14:paraId="6F5F92C9"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Gignac, M. A., Bowring, J., Jetha, A., Beaton, D. E., Breslin, F. C., Franche, R. L., ... &amp; Saunders, R. (2021). Disclosure, privacy and workplace accommodation of episodic disabilities: organizational perspectives on disability communication-support processes to sustain employment. </w:t>
      </w:r>
      <w:r w:rsidRPr="001B28AE">
        <w:rPr>
          <w:rFonts w:ascii="Arial" w:hAnsi="Arial" w:cs="Arial"/>
          <w:i/>
          <w:iCs/>
          <w:shd w:val="clear" w:color="auto" w:fill="FFFFFF"/>
        </w:rPr>
        <w:t>Journal of Occupational Rehabilitation</w:t>
      </w:r>
      <w:r w:rsidRPr="001B28AE">
        <w:rPr>
          <w:rFonts w:ascii="Arial" w:hAnsi="Arial" w:cs="Arial"/>
          <w:shd w:val="clear" w:color="auto" w:fill="FFFFFF"/>
        </w:rPr>
        <w:t>, </w:t>
      </w:r>
      <w:r w:rsidRPr="001B28AE">
        <w:rPr>
          <w:rFonts w:ascii="Arial" w:hAnsi="Arial" w:cs="Arial"/>
          <w:i/>
          <w:iCs/>
          <w:shd w:val="clear" w:color="auto" w:fill="FFFFFF"/>
        </w:rPr>
        <w:t>31</w:t>
      </w:r>
      <w:r w:rsidRPr="001B28AE">
        <w:rPr>
          <w:rFonts w:ascii="Arial" w:hAnsi="Arial" w:cs="Arial"/>
          <w:shd w:val="clear" w:color="auto" w:fill="FFFFFF"/>
        </w:rPr>
        <w:t>, 153-165.</w:t>
      </w:r>
      <w:r w:rsidRPr="001B28AE">
        <w:t xml:space="preserve"> </w:t>
      </w:r>
      <w:hyperlink r:id="rId25" w:history="1">
        <w:r w:rsidRPr="001B28AE">
          <w:rPr>
            <w:rStyle w:val="Hyperlink"/>
            <w:rFonts w:ascii="Arial" w:hAnsi="Arial" w:cs="Arial"/>
            <w:color w:val="auto"/>
            <w:shd w:val="clear" w:color="auto" w:fill="FFFFFF"/>
          </w:rPr>
          <w:t>https://link.springer.com/content/pdf/10.1007/s10926-020-09901-2.pdf</w:t>
        </w:r>
      </w:hyperlink>
    </w:p>
    <w:p w14:paraId="408F1105" w14:textId="77777777" w:rsidR="001B28AE" w:rsidRPr="001B28AE" w:rsidRDefault="001B28AE" w:rsidP="001B28AE">
      <w:pPr>
        <w:ind w:left="900" w:hanging="720"/>
      </w:pPr>
      <w:r w:rsidRPr="001B28AE">
        <w:t xml:space="preserve">Heffernan, A., Bright, D., Kim, M., Longmuir, F., &amp; Magyar, B. (2022). ‘I cannot sustain the workload and the emotional toll’: Reasons behind Australian teachers’ intentions to leave the profession. Australian Journal of Education, 66(2), 196-209. </w:t>
      </w:r>
      <w:hyperlink r:id="rId26" w:history="1">
        <w:r w:rsidRPr="001B28AE">
          <w:rPr>
            <w:rStyle w:val="Hyperlink"/>
            <w:color w:val="auto"/>
          </w:rPr>
          <w:t>https://research.manchester.ac.uk/files/223738471/AED_21_0197_teacher_turnover_Final_Accepted_Version.pdf</w:t>
        </w:r>
      </w:hyperlink>
      <w:r w:rsidRPr="001B28AE">
        <w:t xml:space="preserve"> </w:t>
      </w:r>
    </w:p>
    <w:p w14:paraId="4B8CCB27" w14:textId="77777777" w:rsidR="001B28AE" w:rsidRPr="001B28AE" w:rsidRDefault="001B28AE" w:rsidP="001B28AE">
      <w:pPr>
        <w:ind w:left="900" w:hanging="720"/>
      </w:pPr>
      <w:proofErr w:type="spellStart"/>
      <w:r w:rsidRPr="001B28AE">
        <w:t>Hlaďo</w:t>
      </w:r>
      <w:proofErr w:type="spellEnd"/>
      <w:r w:rsidRPr="001B28AE">
        <w:t xml:space="preserve">, P., </w:t>
      </w:r>
      <w:proofErr w:type="spellStart"/>
      <w:r w:rsidRPr="001B28AE">
        <w:t>Dosedlová</w:t>
      </w:r>
      <w:proofErr w:type="spellEnd"/>
      <w:r w:rsidRPr="001B28AE">
        <w:t xml:space="preserve">, J., </w:t>
      </w:r>
      <w:proofErr w:type="spellStart"/>
      <w:r w:rsidRPr="001B28AE">
        <w:t>Harvánková</w:t>
      </w:r>
      <w:proofErr w:type="spellEnd"/>
      <w:r w:rsidRPr="001B28AE">
        <w:t xml:space="preserve">, K., Novotný, P., Gottfried, J., </w:t>
      </w:r>
      <w:proofErr w:type="spellStart"/>
      <w:r w:rsidRPr="001B28AE">
        <w:t>Rečka</w:t>
      </w:r>
      <w:proofErr w:type="spellEnd"/>
      <w:r w:rsidRPr="001B28AE">
        <w:t xml:space="preserve">, K., ... &amp; </w:t>
      </w:r>
      <w:proofErr w:type="spellStart"/>
      <w:r w:rsidRPr="001B28AE">
        <w:t>Štorová</w:t>
      </w:r>
      <w:proofErr w:type="spellEnd"/>
      <w:r w:rsidRPr="001B28AE">
        <w:t xml:space="preserve">, I. (2020). Work ability among upper-secondary school teachers: Examining the role of burnout, sense of coherence, and work-related and lifestyle factors. International Journal of Environmental Research and Public Health, 17(24), 9185. </w:t>
      </w:r>
      <w:hyperlink r:id="rId27" w:history="1">
        <w:r w:rsidRPr="001B28AE">
          <w:rPr>
            <w:rStyle w:val="Hyperlink"/>
            <w:color w:val="auto"/>
          </w:rPr>
          <w:t>https://www.mdpi.com/1660-4601/17/24/9185</w:t>
        </w:r>
      </w:hyperlink>
    </w:p>
    <w:p w14:paraId="735A64F1" w14:textId="77777777" w:rsidR="001B28AE" w:rsidRPr="001B28AE" w:rsidRDefault="001B28AE" w:rsidP="001B28AE">
      <w:pPr>
        <w:ind w:left="900" w:hanging="720"/>
      </w:pPr>
      <w:r w:rsidRPr="001B28AE">
        <w:rPr>
          <w:rFonts w:ascii="Arial" w:hAnsi="Arial" w:cs="Arial"/>
          <w:shd w:val="clear" w:color="auto" w:fill="FFFFFF"/>
        </w:rPr>
        <w:t xml:space="preserve">King, R., Taylor, B., Talpur, A., Jackson, C., Manley, K., Ashby, N., ... &amp; Robertson, S. (2021). Factors that </w:t>
      </w:r>
      <w:proofErr w:type="spellStart"/>
      <w:r w:rsidRPr="001B28AE">
        <w:rPr>
          <w:rFonts w:ascii="Arial" w:hAnsi="Arial" w:cs="Arial"/>
          <w:shd w:val="clear" w:color="auto" w:fill="FFFFFF"/>
        </w:rPr>
        <w:t>optimise</w:t>
      </w:r>
      <w:proofErr w:type="spellEnd"/>
      <w:r w:rsidRPr="001B28AE">
        <w:rPr>
          <w:rFonts w:ascii="Arial" w:hAnsi="Arial" w:cs="Arial"/>
          <w:shd w:val="clear" w:color="auto" w:fill="FFFFFF"/>
        </w:rPr>
        <w:t xml:space="preserve"> the impact of continuing professional development in nursing: A rapid evidence review. </w:t>
      </w:r>
      <w:r w:rsidRPr="001B28AE">
        <w:rPr>
          <w:rFonts w:ascii="Arial" w:hAnsi="Arial" w:cs="Arial"/>
          <w:i/>
          <w:iCs/>
          <w:shd w:val="clear" w:color="auto" w:fill="FFFFFF"/>
        </w:rPr>
        <w:t>Nurse education today</w:t>
      </w:r>
      <w:r w:rsidRPr="001B28AE">
        <w:rPr>
          <w:rFonts w:ascii="Arial" w:hAnsi="Arial" w:cs="Arial"/>
          <w:shd w:val="clear" w:color="auto" w:fill="FFFFFF"/>
        </w:rPr>
        <w:t>, </w:t>
      </w:r>
      <w:r w:rsidRPr="001B28AE">
        <w:rPr>
          <w:rFonts w:ascii="Arial" w:hAnsi="Arial" w:cs="Arial"/>
          <w:i/>
          <w:iCs/>
          <w:shd w:val="clear" w:color="auto" w:fill="FFFFFF"/>
        </w:rPr>
        <w:t>98</w:t>
      </w:r>
      <w:r w:rsidRPr="001B28AE">
        <w:rPr>
          <w:rFonts w:ascii="Arial" w:hAnsi="Arial" w:cs="Arial"/>
          <w:shd w:val="clear" w:color="auto" w:fill="FFFFFF"/>
        </w:rPr>
        <w:t xml:space="preserve">, 104652. </w:t>
      </w:r>
      <w:hyperlink r:id="rId28" w:history="1">
        <w:r w:rsidRPr="001B28AE">
          <w:rPr>
            <w:rStyle w:val="Hyperlink"/>
            <w:rFonts w:ascii="Arial" w:hAnsi="Arial" w:cs="Arial"/>
            <w:color w:val="auto"/>
            <w:shd w:val="clear" w:color="auto" w:fill="FFFFFF"/>
          </w:rPr>
          <w:t>https://ueaeprints.uea.ac.uk/id/eprint/77655/1/Accepted_Manuscript.pdf</w:t>
        </w:r>
      </w:hyperlink>
    </w:p>
    <w:p w14:paraId="6DDF6038" w14:textId="77777777" w:rsidR="001B28AE" w:rsidRPr="001B28AE" w:rsidRDefault="001B28AE" w:rsidP="001B28AE">
      <w:pPr>
        <w:ind w:left="900" w:hanging="720"/>
      </w:pPr>
      <w:proofErr w:type="spellStart"/>
      <w:r w:rsidRPr="001B28AE">
        <w:lastRenderedPageBreak/>
        <w:t>Maarefvand</w:t>
      </w:r>
      <w:proofErr w:type="spellEnd"/>
      <w:r w:rsidRPr="001B28AE">
        <w:t xml:space="preserve">, A., &amp; </w:t>
      </w:r>
      <w:proofErr w:type="spellStart"/>
      <w:r w:rsidRPr="001B28AE">
        <w:t>Shafiabady</w:t>
      </w:r>
      <w:proofErr w:type="spellEnd"/>
      <w:r w:rsidRPr="001B28AE">
        <w:t xml:space="preserve">, A. (2024). Effectiveness of Shafie-Abadi's Multidimensional Model Training on Enhancing Occupational Well-being and Quality of Work Life among Teachers in Qom City. International Journal of Education and Cognitive Sciences, 4(4), 21-30. </w:t>
      </w:r>
      <w:hyperlink r:id="rId29" w:history="1">
        <w:r w:rsidRPr="001B28AE">
          <w:rPr>
            <w:rStyle w:val="Hyperlink"/>
            <w:color w:val="auto"/>
          </w:rPr>
          <w:t>https://scholar.archive.org/work/r6kcgmcd6nhr7mj34i6n5j35y4/access/wayback/https://iase-ijeas.com/article_190779_6dbc67e7560d7b3182d432fae1a2b9ba.pdf</w:t>
        </w:r>
      </w:hyperlink>
    </w:p>
    <w:p w14:paraId="2D7B2920" w14:textId="77777777" w:rsidR="001B28AE" w:rsidRPr="001B28AE" w:rsidRDefault="001B28AE" w:rsidP="001B28AE">
      <w:pPr>
        <w:ind w:left="900" w:hanging="720"/>
      </w:pPr>
      <w:r w:rsidRPr="001B28AE">
        <w:t xml:space="preserve">Mahand, T., &amp; Caldwell, C. (2023). Quiet quitting–causes and opportunities. Business and Management Research, 12(1), 9-19. </w:t>
      </w:r>
      <w:hyperlink r:id="rId30" w:history="1">
        <w:r w:rsidRPr="001B28AE">
          <w:rPr>
            <w:rStyle w:val="Hyperlink"/>
            <w:color w:val="auto"/>
          </w:rPr>
          <w:t>https://www.researchgate.net/profile/Cam-Caldwell/publication/366990489_Quiet_Quitting_-Causes_and_Opportunities/links/63bd727b097c7832caa6b182/Quiet-Quitting-Causes-and-Opportunities.pdf</w:t>
        </w:r>
      </w:hyperlink>
    </w:p>
    <w:p w14:paraId="68E56FF0" w14:textId="77777777" w:rsidR="001B28AE" w:rsidRPr="001B28AE" w:rsidRDefault="001B28AE" w:rsidP="001B28AE">
      <w:pPr>
        <w:ind w:left="900" w:hanging="720"/>
      </w:pPr>
      <w:proofErr w:type="spellStart"/>
      <w:r w:rsidRPr="001B28AE">
        <w:rPr>
          <w:rFonts w:ascii="Arial" w:hAnsi="Arial" w:cs="Arial"/>
          <w:shd w:val="clear" w:color="auto" w:fill="FFFFFF"/>
        </w:rPr>
        <w:t>Malquisto</w:t>
      </w:r>
      <w:proofErr w:type="spellEnd"/>
      <w:r w:rsidRPr="001B28AE">
        <w:rPr>
          <w:rFonts w:ascii="Arial" w:hAnsi="Arial" w:cs="Arial"/>
          <w:shd w:val="clear" w:color="auto" w:fill="FFFFFF"/>
        </w:rPr>
        <w:t xml:space="preserve">, I. R., </w:t>
      </w:r>
      <w:proofErr w:type="spellStart"/>
      <w:r w:rsidRPr="001B28AE">
        <w:rPr>
          <w:rFonts w:ascii="Arial" w:hAnsi="Arial" w:cs="Arial"/>
          <w:shd w:val="clear" w:color="auto" w:fill="FFFFFF"/>
        </w:rPr>
        <w:t>Casinillo</w:t>
      </w:r>
      <w:proofErr w:type="spellEnd"/>
      <w:r w:rsidRPr="001B28AE">
        <w:rPr>
          <w:rFonts w:ascii="Arial" w:hAnsi="Arial" w:cs="Arial"/>
          <w:shd w:val="clear" w:color="auto" w:fill="FFFFFF"/>
        </w:rPr>
        <w:t xml:space="preserve">, L. F., &amp; </w:t>
      </w:r>
      <w:proofErr w:type="spellStart"/>
      <w:r w:rsidRPr="001B28AE">
        <w:rPr>
          <w:rFonts w:ascii="Arial" w:hAnsi="Arial" w:cs="Arial"/>
          <w:shd w:val="clear" w:color="auto" w:fill="FFFFFF"/>
        </w:rPr>
        <w:t>Salabao</w:t>
      </w:r>
      <w:proofErr w:type="spellEnd"/>
      <w:r w:rsidRPr="001B28AE">
        <w:rPr>
          <w:rFonts w:ascii="Arial" w:hAnsi="Arial" w:cs="Arial"/>
          <w:shd w:val="clear" w:color="auto" w:fill="FFFFFF"/>
        </w:rPr>
        <w:t>, A. A. (2023). Burnout among secondary teachers amid the new normal: Case in Ormoc City, Philippines. Journal of Research, Policy &amp; Practice of Teachers and Teacher Education, 13(2), 28-39.</w:t>
      </w:r>
      <w:r w:rsidRPr="001B28AE">
        <w:rPr>
          <w:rFonts w:ascii="Arial" w:hAnsi="Arial" w:cs="Arial"/>
        </w:rPr>
        <w:t xml:space="preserve"> </w:t>
      </w:r>
      <w:hyperlink r:id="rId31" w:history="1">
        <w:r w:rsidRPr="001B28AE">
          <w:rPr>
            <w:rStyle w:val="Hyperlink"/>
            <w:rFonts w:ascii="Arial" w:hAnsi="Arial" w:cs="Arial"/>
            <w:color w:val="auto"/>
          </w:rPr>
          <w:t>https://ojs.upsi.edu.my/index.php/JRPPTTE/article/download/7898/4613</w:t>
        </w:r>
      </w:hyperlink>
    </w:p>
    <w:p w14:paraId="450436AF" w14:textId="77777777" w:rsidR="001B28AE" w:rsidRPr="001B28AE" w:rsidRDefault="001B28AE" w:rsidP="001B28AE">
      <w:pPr>
        <w:ind w:left="900" w:hanging="720"/>
      </w:pPr>
      <w:proofErr w:type="spellStart"/>
      <w:r w:rsidRPr="001B28AE">
        <w:rPr>
          <w:rFonts w:ascii="Arial" w:hAnsi="Arial" w:cs="Arial"/>
          <w:shd w:val="clear" w:color="auto" w:fill="FFFFFF"/>
        </w:rPr>
        <w:t>Meesuk</w:t>
      </w:r>
      <w:proofErr w:type="spellEnd"/>
      <w:r w:rsidRPr="001B28AE">
        <w:rPr>
          <w:rFonts w:ascii="Arial" w:hAnsi="Arial" w:cs="Arial"/>
          <w:shd w:val="clear" w:color="auto" w:fill="FFFFFF"/>
        </w:rPr>
        <w:t xml:space="preserve">, P., </w:t>
      </w:r>
      <w:proofErr w:type="spellStart"/>
      <w:r w:rsidRPr="001B28AE">
        <w:rPr>
          <w:rFonts w:ascii="Arial" w:hAnsi="Arial" w:cs="Arial"/>
          <w:shd w:val="clear" w:color="auto" w:fill="FFFFFF"/>
        </w:rPr>
        <w:t>Sramoon</w:t>
      </w:r>
      <w:proofErr w:type="spellEnd"/>
      <w:r w:rsidRPr="001B28AE">
        <w:rPr>
          <w:rFonts w:ascii="Arial" w:hAnsi="Arial" w:cs="Arial"/>
          <w:shd w:val="clear" w:color="auto" w:fill="FFFFFF"/>
        </w:rPr>
        <w:t xml:space="preserve">, B., &amp; </w:t>
      </w:r>
      <w:proofErr w:type="spellStart"/>
      <w:r w:rsidRPr="001B28AE">
        <w:rPr>
          <w:rFonts w:ascii="Arial" w:hAnsi="Arial" w:cs="Arial"/>
          <w:shd w:val="clear" w:color="auto" w:fill="FFFFFF"/>
        </w:rPr>
        <w:t>Wongrugsa</w:t>
      </w:r>
      <w:proofErr w:type="spellEnd"/>
      <w:r w:rsidRPr="001B28AE">
        <w:rPr>
          <w:rFonts w:ascii="Arial" w:hAnsi="Arial" w:cs="Arial"/>
          <w:shd w:val="clear" w:color="auto" w:fill="FFFFFF"/>
        </w:rPr>
        <w:t>, A. (2020). Classroom action research-based instruction: The sustainable teacher professional development strategy. Journal of teacher Education for Sustainability, 22(1), 98-110.</w:t>
      </w:r>
      <w:r w:rsidRPr="001B28AE">
        <w:rPr>
          <w:rFonts w:ascii="Arial" w:hAnsi="Arial" w:cs="Arial"/>
        </w:rPr>
        <w:t xml:space="preserve"> </w:t>
      </w:r>
      <w:hyperlink r:id="rId32" w:history="1">
        <w:r w:rsidRPr="001B28AE">
          <w:rPr>
            <w:rStyle w:val="Hyperlink"/>
            <w:rFonts w:ascii="Arial" w:hAnsi="Arial" w:cs="Arial"/>
            <w:color w:val="auto"/>
          </w:rPr>
          <w:t>https://intapi.sciendo.com/pdf/10.2478/jtes-2020-0008</w:t>
        </w:r>
      </w:hyperlink>
    </w:p>
    <w:p w14:paraId="4DB2B203" w14:textId="77777777" w:rsidR="001B28AE" w:rsidRPr="001B28AE" w:rsidRDefault="001B28AE" w:rsidP="001B28AE">
      <w:pPr>
        <w:ind w:left="900" w:hanging="720"/>
      </w:pPr>
      <w:r w:rsidRPr="001B28AE">
        <w:t xml:space="preserve">Melesse, T., &amp; Belay, S. (2022). Uplifting teachers’ professional capital through promoting engagement in professional learning: Mediating effect of teacher job satisfaction. Cogent Education, 9(1), 2057102. </w:t>
      </w:r>
      <w:hyperlink r:id="rId33" w:history="1">
        <w:r w:rsidRPr="001B28AE">
          <w:rPr>
            <w:rStyle w:val="Hyperlink"/>
            <w:color w:val="auto"/>
          </w:rPr>
          <w:t>https://www.tandfonline.com/doi/pdf/10.1080/2331186X.2022.2057102</w:t>
        </w:r>
      </w:hyperlink>
    </w:p>
    <w:p w14:paraId="5B640025" w14:textId="77777777" w:rsidR="001B28AE" w:rsidRPr="001B28AE" w:rsidRDefault="001B28AE" w:rsidP="001B28AE">
      <w:pPr>
        <w:ind w:left="900" w:hanging="720"/>
      </w:pPr>
      <w:proofErr w:type="spellStart"/>
      <w:r w:rsidRPr="001B28AE">
        <w:t>Onyekwelu</w:t>
      </w:r>
      <w:proofErr w:type="spellEnd"/>
      <w:r w:rsidRPr="001B28AE">
        <w:t xml:space="preserve">, N. P., </w:t>
      </w:r>
      <w:proofErr w:type="spellStart"/>
      <w:r w:rsidRPr="001B28AE">
        <w:t>Ezeafulukwe</w:t>
      </w:r>
      <w:proofErr w:type="spellEnd"/>
      <w:r w:rsidRPr="001B28AE">
        <w:t xml:space="preserve">, C., Owolabi, O. R., </w:t>
      </w:r>
      <w:proofErr w:type="spellStart"/>
      <w:r w:rsidRPr="001B28AE">
        <w:t>Asuzu</w:t>
      </w:r>
      <w:proofErr w:type="spellEnd"/>
      <w:r w:rsidRPr="001B28AE">
        <w:t xml:space="preserve">, O. F., Bello, B. G., &amp; </w:t>
      </w:r>
      <w:proofErr w:type="spellStart"/>
      <w:r w:rsidRPr="001B28AE">
        <w:t>Onyekwelu</w:t>
      </w:r>
      <w:proofErr w:type="spellEnd"/>
      <w:r w:rsidRPr="001B28AE">
        <w:t xml:space="preserve">, S. C. (2024). Ethics and corporate social responsibility in HR: A comprehensive review of policies and practices. International Journal of Science and Research Archive, 11(1), 1294-1303. </w:t>
      </w:r>
      <w:hyperlink r:id="rId34" w:history="1">
        <w:r w:rsidRPr="001B28AE">
          <w:rPr>
            <w:rStyle w:val="Hyperlink"/>
            <w:color w:val="auto"/>
          </w:rPr>
          <w:t>https://www.researchgate.net/profile/Njideka-Onyekwelu-2/publication/378125988_Ethics_and_corporate_social_responsibility_in_HR_A_comprehensive_review_of_policies_and_practices/links/65c7e6bf1e1ec12eff806bdd/Ethics-and-corporate-social-responsibility-in-HR-A-comprehensive-review-of-policies-and-practices.pdf</w:t>
        </w:r>
      </w:hyperlink>
    </w:p>
    <w:p w14:paraId="26666A3A" w14:textId="77777777" w:rsidR="001B28AE" w:rsidRPr="001B28AE" w:rsidRDefault="001B28AE" w:rsidP="001B28AE">
      <w:pPr>
        <w:ind w:left="900" w:hanging="720"/>
      </w:pPr>
      <w:proofErr w:type="spellStart"/>
      <w:r w:rsidRPr="001B28AE">
        <w:rPr>
          <w:rFonts w:ascii="Arial" w:hAnsi="Arial" w:cs="Arial"/>
        </w:rPr>
        <w:t>Ortan</w:t>
      </w:r>
      <w:proofErr w:type="spellEnd"/>
      <w:r w:rsidRPr="001B28AE">
        <w:rPr>
          <w:rFonts w:ascii="Arial" w:hAnsi="Arial" w:cs="Arial"/>
        </w:rPr>
        <w:t xml:space="preserve">, F., Simut, C., &amp; Simut, R. (2021). Self-efficacy, job satisfaction and teacher well-being in the K-12 educational system. International journal of environmental research and public health, 18(23), 12763. </w:t>
      </w:r>
      <w:hyperlink r:id="rId35" w:history="1">
        <w:r w:rsidRPr="001B28AE">
          <w:rPr>
            <w:rStyle w:val="Hyperlink"/>
            <w:rFonts w:ascii="Arial" w:hAnsi="Arial" w:cs="Arial"/>
            <w:color w:val="auto"/>
          </w:rPr>
          <w:t>https://www.mdpi.com/1660-4601/18/23/12763/pdf</w:t>
        </w:r>
      </w:hyperlink>
    </w:p>
    <w:p w14:paraId="4206044B" w14:textId="77777777" w:rsidR="001B28AE" w:rsidRPr="001B28AE" w:rsidRDefault="001B28AE" w:rsidP="001B28AE">
      <w:pPr>
        <w:ind w:left="900" w:hanging="720"/>
        <w:rPr>
          <w:rStyle w:val="Hyperlink"/>
          <w:rFonts w:ascii="Arial" w:hAnsi="Arial" w:cs="Arial"/>
          <w:color w:val="auto"/>
          <w:shd w:val="clear" w:color="auto" w:fill="FFFFFF"/>
        </w:rPr>
      </w:pPr>
      <w:proofErr w:type="spellStart"/>
      <w:r w:rsidRPr="001B28AE">
        <w:rPr>
          <w:rFonts w:ascii="Arial" w:hAnsi="Arial" w:cs="Arial"/>
          <w:shd w:val="clear" w:color="auto" w:fill="FFFFFF"/>
        </w:rPr>
        <w:t>Pregoner</w:t>
      </w:r>
      <w:proofErr w:type="spellEnd"/>
      <w:r w:rsidRPr="001B28AE">
        <w:rPr>
          <w:rFonts w:ascii="Arial" w:hAnsi="Arial" w:cs="Arial"/>
          <w:shd w:val="clear" w:color="auto" w:fill="FFFFFF"/>
        </w:rPr>
        <w:t xml:space="preserve">, J. D., </w:t>
      </w:r>
      <w:proofErr w:type="spellStart"/>
      <w:r w:rsidRPr="001B28AE">
        <w:rPr>
          <w:rFonts w:ascii="Arial" w:hAnsi="Arial" w:cs="Arial"/>
          <w:shd w:val="clear" w:color="auto" w:fill="FFFFFF"/>
        </w:rPr>
        <w:t>Leopardas</w:t>
      </w:r>
      <w:proofErr w:type="spellEnd"/>
      <w:r w:rsidRPr="001B28AE">
        <w:rPr>
          <w:rFonts w:ascii="Arial" w:hAnsi="Arial" w:cs="Arial"/>
          <w:shd w:val="clear" w:color="auto" w:fill="FFFFFF"/>
        </w:rPr>
        <w:t xml:space="preserve">, R., Ganancial, I. J., </w:t>
      </w:r>
      <w:proofErr w:type="spellStart"/>
      <w:r w:rsidRPr="001B28AE">
        <w:rPr>
          <w:rFonts w:ascii="Arial" w:hAnsi="Arial" w:cs="Arial"/>
          <w:shd w:val="clear" w:color="auto" w:fill="FFFFFF"/>
        </w:rPr>
        <w:t>Baguhin</w:t>
      </w:r>
      <w:proofErr w:type="spellEnd"/>
      <w:r w:rsidRPr="001B28AE">
        <w:rPr>
          <w:rFonts w:ascii="Arial" w:hAnsi="Arial" w:cs="Arial"/>
          <w:shd w:val="clear" w:color="auto" w:fill="FFFFFF"/>
        </w:rPr>
        <w:t>, M., &amp; Sedo, F. (2025). Ethical Issues in Conducting Research Using Human Participants in the Post-COVID Era. </w:t>
      </w:r>
      <w:r w:rsidRPr="001B28AE">
        <w:rPr>
          <w:rFonts w:ascii="Arial" w:hAnsi="Arial" w:cs="Arial"/>
          <w:i/>
          <w:iCs/>
          <w:shd w:val="clear" w:color="auto" w:fill="FFFFFF"/>
        </w:rPr>
        <w:t>IMCC Journal of Science</w:t>
      </w:r>
      <w:r w:rsidRPr="001B28AE">
        <w:rPr>
          <w:rFonts w:ascii="Arial" w:hAnsi="Arial" w:cs="Arial"/>
          <w:shd w:val="clear" w:color="auto" w:fill="FFFFFF"/>
        </w:rPr>
        <w:t>, </w:t>
      </w:r>
      <w:r w:rsidRPr="001B28AE">
        <w:rPr>
          <w:rFonts w:ascii="Arial" w:hAnsi="Arial" w:cs="Arial"/>
          <w:i/>
          <w:iCs/>
          <w:shd w:val="clear" w:color="auto" w:fill="FFFFFF"/>
        </w:rPr>
        <w:t>5</w:t>
      </w:r>
      <w:r w:rsidRPr="001B28AE">
        <w:rPr>
          <w:rFonts w:ascii="Arial" w:hAnsi="Arial" w:cs="Arial"/>
          <w:shd w:val="clear" w:color="auto" w:fill="FFFFFF"/>
        </w:rPr>
        <w:t xml:space="preserve">(1), 1-9. </w:t>
      </w:r>
      <w:hyperlink r:id="rId36" w:history="1">
        <w:r w:rsidRPr="001B28AE">
          <w:rPr>
            <w:rStyle w:val="Hyperlink"/>
            <w:rFonts w:ascii="Arial" w:hAnsi="Arial" w:cs="Arial"/>
            <w:color w:val="auto"/>
            <w:u w:val="none"/>
            <w:shd w:val="clear" w:color="auto" w:fill="FFFFFF"/>
          </w:rPr>
          <w:t>https://hal.science/hal-05073466/</w:t>
        </w:r>
      </w:hyperlink>
      <w:r w:rsidRPr="001B28AE">
        <w:rPr>
          <w:rStyle w:val="Hyperlink"/>
          <w:rFonts w:ascii="Arial" w:hAnsi="Arial" w:cs="Arial"/>
          <w:color w:val="auto"/>
          <w:shd w:val="clear" w:color="auto" w:fill="FFFFFF"/>
        </w:rPr>
        <w:t xml:space="preserve"> </w:t>
      </w:r>
    </w:p>
    <w:p w14:paraId="7BDF872F" w14:textId="77777777" w:rsidR="001B28AE" w:rsidRPr="001B28AE" w:rsidRDefault="001B28AE" w:rsidP="001B28AE">
      <w:pPr>
        <w:ind w:left="900" w:hanging="720"/>
      </w:pPr>
      <w:r w:rsidRPr="001B28AE">
        <w:t xml:space="preserve">Rajagopal, N. K., Ba </w:t>
      </w:r>
      <w:proofErr w:type="spellStart"/>
      <w:r w:rsidRPr="001B28AE">
        <w:t>Zanbour</w:t>
      </w:r>
      <w:proofErr w:type="spellEnd"/>
      <w:r w:rsidRPr="001B28AE">
        <w:t xml:space="preserve">, M. K. A., &amp; Al Kaaf, N. M. A. (2024). Exploring Work–Life Balance among Female Staff Members (Teaching and Non-Teaching) in Higher Educational Institutions of Oman: A Study. Economies, 12(9), 230. </w:t>
      </w:r>
      <w:hyperlink r:id="rId37" w:history="1">
        <w:r w:rsidRPr="001B28AE">
          <w:rPr>
            <w:rStyle w:val="Hyperlink"/>
            <w:color w:val="auto"/>
          </w:rPr>
          <w:t>https://www.mdpi.com/2227-7099/12/9/230</w:t>
        </w:r>
      </w:hyperlink>
    </w:p>
    <w:p w14:paraId="49522364" w14:textId="77777777" w:rsidR="001B28AE" w:rsidRPr="001B28AE" w:rsidRDefault="001B28AE" w:rsidP="001B28AE">
      <w:pPr>
        <w:ind w:left="900" w:hanging="720"/>
      </w:pPr>
      <w:r w:rsidRPr="001B28AE">
        <w:rPr>
          <w:rFonts w:ascii="Arial" w:hAnsi="Arial" w:cs="Arial"/>
          <w:shd w:val="clear" w:color="auto" w:fill="FFFFFF"/>
        </w:rPr>
        <w:t xml:space="preserve">Räsänen, K., Pietarinen, J., </w:t>
      </w:r>
      <w:proofErr w:type="spellStart"/>
      <w:r w:rsidRPr="001B28AE">
        <w:rPr>
          <w:rFonts w:ascii="Arial" w:hAnsi="Arial" w:cs="Arial"/>
          <w:shd w:val="clear" w:color="auto" w:fill="FFFFFF"/>
        </w:rPr>
        <w:t>Pyhältö</w:t>
      </w:r>
      <w:proofErr w:type="spellEnd"/>
      <w:r w:rsidRPr="001B28AE">
        <w:rPr>
          <w:rFonts w:ascii="Arial" w:hAnsi="Arial" w:cs="Arial"/>
          <w:shd w:val="clear" w:color="auto" w:fill="FFFFFF"/>
        </w:rPr>
        <w:t>, K., Soini, T., &amp; Väisänen, P. (2020). Why leave the teaching profession? A longitudinal approach to the prevalence and persistence of teacher turnover intentions. Social Psychology of Education, 23, 837-859.</w:t>
      </w:r>
      <w:r w:rsidRPr="001B28AE">
        <w:rPr>
          <w:rFonts w:ascii="Arial" w:hAnsi="Arial" w:cs="Arial"/>
        </w:rPr>
        <w:t xml:space="preserve"> </w:t>
      </w:r>
      <w:hyperlink r:id="rId38" w:history="1">
        <w:r w:rsidRPr="001B28AE">
          <w:rPr>
            <w:rStyle w:val="Hyperlink"/>
            <w:rFonts w:ascii="Arial" w:hAnsi="Arial" w:cs="Arial"/>
            <w:color w:val="auto"/>
          </w:rPr>
          <w:t>https://link.springer.com/content/pdf/10.1007/s11218-020-09567-x.pdf</w:t>
        </w:r>
      </w:hyperlink>
      <w:r w:rsidRPr="001B28AE">
        <w:t xml:space="preserve"> </w:t>
      </w:r>
    </w:p>
    <w:p w14:paraId="6F247CFB"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Roberts, D. R. (2021). </w:t>
      </w:r>
      <w:r w:rsidRPr="001B28AE">
        <w:rPr>
          <w:rFonts w:ascii="Arial" w:hAnsi="Arial" w:cs="Arial"/>
          <w:i/>
          <w:iCs/>
          <w:shd w:val="clear" w:color="auto" w:fill="FFFFFF"/>
        </w:rPr>
        <w:t>Quantitative Non-Experimental Correlational Study: Determining Any Existence Between the Predictors of Workplace Violence</w:t>
      </w:r>
      <w:r w:rsidRPr="001B28AE">
        <w:rPr>
          <w:rFonts w:ascii="Arial" w:hAnsi="Arial" w:cs="Arial"/>
          <w:shd w:val="clear" w:color="auto" w:fill="FFFFFF"/>
        </w:rPr>
        <w:t>. Northcentral University.</w:t>
      </w:r>
      <w:r w:rsidRPr="001B28AE">
        <w:t xml:space="preserve"> </w:t>
      </w:r>
      <w:hyperlink r:id="rId39" w:history="1">
        <w:r w:rsidRPr="001B28AE">
          <w:rPr>
            <w:rStyle w:val="Hyperlink"/>
            <w:rFonts w:ascii="Arial" w:hAnsi="Arial" w:cs="Arial"/>
            <w:color w:val="auto"/>
            <w:shd w:val="clear" w:color="auto" w:fill="FFFFFF"/>
          </w:rPr>
          <w:t>https://search.proquest.com/openview/676f34ca115e9293621a23ec71c9cbe9/1.pdf?pq-origsite=gscholar&amp;cbl=18750&amp;diss=y</w:t>
        </w:r>
      </w:hyperlink>
    </w:p>
    <w:p w14:paraId="65DB983A" w14:textId="77777777" w:rsidR="001B28AE" w:rsidRPr="001B28AE" w:rsidRDefault="001B28AE" w:rsidP="001B28AE">
      <w:pPr>
        <w:ind w:left="900" w:hanging="720"/>
      </w:pPr>
      <w:r w:rsidRPr="001B28AE">
        <w:lastRenderedPageBreak/>
        <w:t>Robinson, C. D. (2022). A framework for motivating teacher-student relationships. Educational Psychology Review, 34(4), 2061-2094. https://edworkingpapers.com/sites/default/files/ai22-656.pdf</w:t>
      </w:r>
    </w:p>
    <w:p w14:paraId="346BCA67" w14:textId="77777777" w:rsidR="001B28AE" w:rsidRPr="001B28AE" w:rsidRDefault="001B28AE" w:rsidP="001B28AE">
      <w:pPr>
        <w:ind w:left="900" w:hanging="720"/>
      </w:pPr>
      <w:proofErr w:type="spellStart"/>
      <w:r w:rsidRPr="001B28AE">
        <w:t>Roos</w:t>
      </w:r>
      <w:proofErr w:type="spellEnd"/>
      <w:r w:rsidRPr="001B28AE">
        <w:t xml:space="preserve">, B. H., &amp; Borkoski, C. C. (2021). Attending to the teacher in the teaching: Prioritizing faculty well-being. Perspectives of the ASHA Special Interest Groups, 6(4), 831-840. </w:t>
      </w:r>
      <w:hyperlink r:id="rId40" w:history="1">
        <w:r w:rsidRPr="001B28AE">
          <w:rPr>
            <w:rStyle w:val="Hyperlink"/>
            <w:color w:val="auto"/>
          </w:rPr>
          <w:t>https://www.academia.edu/download/76655979/2021_PERSP-21-00006.pdf</w:t>
        </w:r>
      </w:hyperlink>
    </w:p>
    <w:p w14:paraId="2640A963" w14:textId="77777777" w:rsidR="001B28AE" w:rsidRPr="001B28AE" w:rsidRDefault="001B28AE" w:rsidP="001B28AE">
      <w:pPr>
        <w:ind w:left="900" w:hanging="720"/>
      </w:pPr>
      <w:r w:rsidRPr="001B28AE">
        <w:rPr>
          <w:rFonts w:ascii="Arial" w:hAnsi="Arial" w:cs="Arial"/>
          <w:shd w:val="clear" w:color="auto" w:fill="FFFFFF"/>
        </w:rPr>
        <w:t>Şahin, A., Soylu, D., &amp; Jafari, M. (2024). Professional Development Needs of Teachers in Rural Schools. </w:t>
      </w:r>
      <w:r w:rsidRPr="001B28AE">
        <w:rPr>
          <w:rFonts w:ascii="Arial" w:hAnsi="Arial" w:cs="Arial"/>
          <w:i/>
          <w:iCs/>
          <w:shd w:val="clear" w:color="auto" w:fill="FFFFFF"/>
        </w:rPr>
        <w:t>Iranian journal of educational sociology</w:t>
      </w:r>
      <w:r w:rsidRPr="001B28AE">
        <w:rPr>
          <w:rFonts w:ascii="Arial" w:hAnsi="Arial" w:cs="Arial"/>
          <w:shd w:val="clear" w:color="auto" w:fill="FFFFFF"/>
        </w:rPr>
        <w:t>, </w:t>
      </w:r>
      <w:r w:rsidRPr="001B28AE">
        <w:rPr>
          <w:rFonts w:ascii="Arial" w:hAnsi="Arial" w:cs="Arial"/>
          <w:i/>
          <w:iCs/>
          <w:shd w:val="clear" w:color="auto" w:fill="FFFFFF"/>
        </w:rPr>
        <w:t>7</w:t>
      </w:r>
      <w:r w:rsidRPr="001B28AE">
        <w:rPr>
          <w:rFonts w:ascii="Arial" w:hAnsi="Arial" w:cs="Arial"/>
          <w:shd w:val="clear" w:color="auto" w:fill="FFFFFF"/>
        </w:rPr>
        <w:t xml:space="preserve">(1), 219-225. </w:t>
      </w:r>
      <w:hyperlink r:id="rId41" w:history="1">
        <w:r w:rsidRPr="001B28AE">
          <w:rPr>
            <w:rStyle w:val="Hyperlink"/>
            <w:rFonts w:ascii="Arial" w:hAnsi="Arial" w:cs="Arial"/>
            <w:color w:val="auto"/>
            <w:shd w:val="clear" w:color="auto" w:fill="FFFFFF"/>
          </w:rPr>
          <w:t>http://iase-idje.ir/files/site1/user_files_6d0946/ahghar2004-A-10-1155-5-aa0fe4f.pdf</w:t>
        </w:r>
      </w:hyperlink>
    </w:p>
    <w:p w14:paraId="19AEF7E2" w14:textId="77777777" w:rsidR="001B28AE" w:rsidRPr="001B28AE" w:rsidRDefault="001B28AE" w:rsidP="001B28AE">
      <w:pPr>
        <w:ind w:left="900" w:hanging="720"/>
      </w:pPr>
      <w:r w:rsidRPr="001B28AE">
        <w:t xml:space="preserve">Singh, A., Singh, H. P., Alam, F., &amp; Agrawal, V. (2022). Role of education, training, and E-learning in sustainable employment generation and social empowerment in Saudi Arabia. Sustainability, 14(14), 8822. </w:t>
      </w:r>
      <w:hyperlink r:id="rId42" w:history="1">
        <w:r w:rsidRPr="001B28AE">
          <w:rPr>
            <w:rStyle w:val="Hyperlink"/>
            <w:color w:val="auto"/>
          </w:rPr>
          <w:t>https://www.mdpi.com/2071-1050/14/14/8822</w:t>
        </w:r>
      </w:hyperlink>
    </w:p>
    <w:p w14:paraId="6868666D" w14:textId="77777777" w:rsidR="001B28AE" w:rsidRPr="001B28AE" w:rsidRDefault="001B28AE" w:rsidP="001B28AE">
      <w:pPr>
        <w:ind w:left="900" w:hanging="720"/>
      </w:pPr>
      <w:r w:rsidRPr="001B28AE">
        <w:rPr>
          <w:rFonts w:ascii="Arial" w:hAnsi="Arial" w:cs="Arial"/>
          <w:shd w:val="clear" w:color="auto" w:fill="FFFFFF"/>
        </w:rPr>
        <w:t xml:space="preserve">Sinsky, C. A., Biddison, L. D., Mallick, A., Dopp, A. L., </w:t>
      </w:r>
      <w:proofErr w:type="spellStart"/>
      <w:r w:rsidRPr="001B28AE">
        <w:rPr>
          <w:rFonts w:ascii="Arial" w:hAnsi="Arial" w:cs="Arial"/>
          <w:shd w:val="clear" w:color="auto" w:fill="FFFFFF"/>
        </w:rPr>
        <w:t>Perlo</w:t>
      </w:r>
      <w:proofErr w:type="spellEnd"/>
      <w:r w:rsidRPr="001B28AE">
        <w:rPr>
          <w:rFonts w:ascii="Arial" w:hAnsi="Arial" w:cs="Arial"/>
          <w:shd w:val="clear" w:color="auto" w:fill="FFFFFF"/>
        </w:rPr>
        <w:t>, J., Lynn, L., &amp; Smith, C. D. (2020). Organizational evidence-based and promising practices for improving clinician well-being. </w:t>
      </w:r>
      <w:r w:rsidRPr="001B28AE">
        <w:rPr>
          <w:rFonts w:ascii="Arial" w:hAnsi="Arial" w:cs="Arial"/>
          <w:i/>
          <w:iCs/>
          <w:shd w:val="clear" w:color="auto" w:fill="FFFFFF"/>
        </w:rPr>
        <w:t>NAM perspectives</w:t>
      </w:r>
      <w:r w:rsidRPr="001B28AE">
        <w:rPr>
          <w:rFonts w:ascii="Arial" w:hAnsi="Arial" w:cs="Arial"/>
          <w:shd w:val="clear" w:color="auto" w:fill="FFFFFF"/>
        </w:rPr>
        <w:t>, </w:t>
      </w:r>
      <w:r w:rsidRPr="001B28AE">
        <w:rPr>
          <w:rFonts w:ascii="Arial" w:hAnsi="Arial" w:cs="Arial"/>
          <w:i/>
          <w:iCs/>
          <w:shd w:val="clear" w:color="auto" w:fill="FFFFFF"/>
        </w:rPr>
        <w:t>2020</w:t>
      </w:r>
      <w:r w:rsidRPr="001B28AE">
        <w:rPr>
          <w:rFonts w:ascii="Arial" w:hAnsi="Arial" w:cs="Arial"/>
          <w:shd w:val="clear" w:color="auto" w:fill="FFFFFF"/>
        </w:rPr>
        <w:t xml:space="preserve">, 10-31478. </w:t>
      </w:r>
      <w:hyperlink r:id="rId43" w:history="1">
        <w:r w:rsidRPr="001B28AE">
          <w:rPr>
            <w:rStyle w:val="Hyperlink"/>
            <w:rFonts w:ascii="Arial" w:hAnsi="Arial" w:cs="Arial"/>
            <w:color w:val="auto"/>
            <w:shd w:val="clear" w:color="auto" w:fill="FFFFFF"/>
          </w:rPr>
          <w:t>https://pmc.ncbi.nlm.nih.gov/articles/PMC8916810/pdf/nampsp-2020-202011a.pdf</w:t>
        </w:r>
      </w:hyperlink>
    </w:p>
    <w:p w14:paraId="082E4ED3"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Stefana, E., Marciano, F., Rossi, D., Cocca, P., &amp; </w:t>
      </w:r>
      <w:proofErr w:type="spellStart"/>
      <w:r w:rsidRPr="001B28AE">
        <w:rPr>
          <w:rFonts w:ascii="Arial" w:hAnsi="Arial" w:cs="Arial"/>
          <w:shd w:val="clear" w:color="auto" w:fill="FFFFFF"/>
        </w:rPr>
        <w:t>Tomasoni</w:t>
      </w:r>
      <w:proofErr w:type="spellEnd"/>
      <w:r w:rsidRPr="001B28AE">
        <w:rPr>
          <w:rFonts w:ascii="Arial" w:hAnsi="Arial" w:cs="Arial"/>
          <w:shd w:val="clear" w:color="auto" w:fill="FFFFFF"/>
        </w:rPr>
        <w:t>, G. (2021). Composite indicators to measure quality of working life in Europe: a systematic review. </w:t>
      </w:r>
      <w:r w:rsidRPr="001B28AE">
        <w:rPr>
          <w:rFonts w:ascii="Arial" w:hAnsi="Arial" w:cs="Arial"/>
          <w:i/>
          <w:iCs/>
          <w:shd w:val="clear" w:color="auto" w:fill="FFFFFF"/>
        </w:rPr>
        <w:t>Social Indicators Research</w:t>
      </w:r>
      <w:r w:rsidRPr="001B28AE">
        <w:rPr>
          <w:rFonts w:ascii="Arial" w:hAnsi="Arial" w:cs="Arial"/>
          <w:shd w:val="clear" w:color="auto" w:fill="FFFFFF"/>
        </w:rPr>
        <w:t>, </w:t>
      </w:r>
      <w:r w:rsidRPr="001B28AE">
        <w:rPr>
          <w:rFonts w:ascii="Arial" w:hAnsi="Arial" w:cs="Arial"/>
          <w:i/>
          <w:iCs/>
          <w:shd w:val="clear" w:color="auto" w:fill="FFFFFF"/>
        </w:rPr>
        <w:t>157</w:t>
      </w:r>
      <w:r w:rsidRPr="001B28AE">
        <w:rPr>
          <w:rFonts w:ascii="Arial" w:hAnsi="Arial" w:cs="Arial"/>
          <w:shd w:val="clear" w:color="auto" w:fill="FFFFFF"/>
        </w:rPr>
        <w:t>(3), 1047-1078.</w:t>
      </w:r>
      <w:r w:rsidRPr="001B28AE">
        <w:t xml:space="preserve"> </w:t>
      </w:r>
      <w:hyperlink r:id="rId44" w:history="1">
        <w:r w:rsidRPr="001B28AE">
          <w:rPr>
            <w:rStyle w:val="Hyperlink"/>
            <w:rFonts w:ascii="Arial" w:hAnsi="Arial" w:cs="Arial"/>
            <w:color w:val="auto"/>
            <w:shd w:val="clear" w:color="auto" w:fill="FFFFFF"/>
          </w:rPr>
          <w:t>https://link.springer.com/content/pdf/10.1007/s11205-021-02688-6.pdf</w:t>
        </w:r>
      </w:hyperlink>
    </w:p>
    <w:p w14:paraId="7392A55A" w14:textId="77777777" w:rsidR="001B28AE" w:rsidRPr="001B28AE" w:rsidRDefault="001B28AE" w:rsidP="001B28AE">
      <w:pPr>
        <w:ind w:left="900" w:hanging="720"/>
      </w:pPr>
      <w:r w:rsidRPr="001B28AE">
        <w:rPr>
          <w:rFonts w:ascii="Arial" w:hAnsi="Arial" w:cs="Arial"/>
          <w:shd w:val="clear" w:color="auto" w:fill="FFFFFF"/>
        </w:rPr>
        <w:t>Sypniewska, B., Baran, M., &amp; Kłos, M. (2023). Work engagement and employee satisfaction in the practice of sustainable human resource management–based on the study of Polish employees. </w:t>
      </w:r>
      <w:r w:rsidRPr="001B28AE">
        <w:rPr>
          <w:rFonts w:ascii="Arial" w:hAnsi="Arial" w:cs="Arial"/>
          <w:i/>
          <w:iCs/>
          <w:shd w:val="clear" w:color="auto" w:fill="FFFFFF"/>
        </w:rPr>
        <w:t>International Entrepreneurship and Management Journal</w:t>
      </w:r>
      <w:r w:rsidRPr="001B28AE">
        <w:rPr>
          <w:rFonts w:ascii="Arial" w:hAnsi="Arial" w:cs="Arial"/>
          <w:shd w:val="clear" w:color="auto" w:fill="FFFFFF"/>
        </w:rPr>
        <w:t>, </w:t>
      </w:r>
      <w:r w:rsidRPr="001B28AE">
        <w:rPr>
          <w:rFonts w:ascii="Arial" w:hAnsi="Arial" w:cs="Arial"/>
          <w:i/>
          <w:iCs/>
          <w:shd w:val="clear" w:color="auto" w:fill="FFFFFF"/>
        </w:rPr>
        <w:t>19</w:t>
      </w:r>
      <w:r w:rsidRPr="001B28AE">
        <w:rPr>
          <w:rFonts w:ascii="Arial" w:hAnsi="Arial" w:cs="Arial"/>
          <w:shd w:val="clear" w:color="auto" w:fill="FFFFFF"/>
        </w:rPr>
        <w:t xml:space="preserve">(3), 1069-1100. </w:t>
      </w:r>
      <w:hyperlink r:id="rId45" w:history="1">
        <w:r w:rsidRPr="001B28AE">
          <w:rPr>
            <w:rStyle w:val="Hyperlink"/>
            <w:rFonts w:ascii="Arial" w:hAnsi="Arial" w:cs="Arial"/>
            <w:color w:val="auto"/>
            <w:shd w:val="clear" w:color="auto" w:fill="FFFFFF"/>
          </w:rPr>
          <w:t>https://link.springer.com/content/pdf/10.1007/s11365-023-00834-9.pdf</w:t>
        </w:r>
      </w:hyperlink>
    </w:p>
    <w:p w14:paraId="5BDE7072"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Talluri, S. B., Schreurs, B., &amp; Uppal, N. (2022). How do individual factors affect career sustainability? An investigation of cascading effects through the career construction model of adaptation. </w:t>
      </w:r>
      <w:r w:rsidRPr="001B28AE">
        <w:rPr>
          <w:rFonts w:ascii="Arial" w:hAnsi="Arial" w:cs="Arial"/>
          <w:i/>
          <w:iCs/>
          <w:shd w:val="clear" w:color="auto" w:fill="FFFFFF"/>
        </w:rPr>
        <w:t>Career Development International</w:t>
      </w:r>
      <w:r w:rsidRPr="001B28AE">
        <w:rPr>
          <w:rFonts w:ascii="Arial" w:hAnsi="Arial" w:cs="Arial"/>
          <w:shd w:val="clear" w:color="auto" w:fill="FFFFFF"/>
        </w:rPr>
        <w:t>, </w:t>
      </w:r>
      <w:r w:rsidRPr="001B28AE">
        <w:rPr>
          <w:rFonts w:ascii="Arial" w:hAnsi="Arial" w:cs="Arial"/>
          <w:i/>
          <w:iCs/>
          <w:shd w:val="clear" w:color="auto" w:fill="FFFFFF"/>
        </w:rPr>
        <w:t>27</w:t>
      </w:r>
      <w:r w:rsidRPr="001B28AE">
        <w:rPr>
          <w:rFonts w:ascii="Arial" w:hAnsi="Arial" w:cs="Arial"/>
          <w:shd w:val="clear" w:color="auto" w:fill="FFFFFF"/>
        </w:rPr>
        <w:t>(6/7), 584-600.</w:t>
      </w:r>
      <w:r w:rsidRPr="001B28AE">
        <w:t xml:space="preserve"> </w:t>
      </w:r>
      <w:hyperlink r:id="rId46" w:history="1">
        <w:r w:rsidRPr="001B28AE">
          <w:rPr>
            <w:rStyle w:val="Hyperlink"/>
            <w:rFonts w:ascii="Arial" w:hAnsi="Arial" w:cs="Arial"/>
            <w:color w:val="auto"/>
            <w:shd w:val="clear" w:color="auto" w:fill="FFFFFF"/>
          </w:rPr>
          <w:t>https://www.researchgate.net/profile/Bert-Schreurs-2/publication/364274049_How_do_individual_factors_affect_career_sustainability_An_investigation_of_cascading_effects_through_the_career_construction_model_of_adaptation/links/63ea1cb0dea6121757a69df5/How-do-individual-factors-affect-career-sustainability-An-investigation-of-cascading-effects-through-the-career-construction-model-of-adaptation.pdf</w:t>
        </w:r>
      </w:hyperlink>
      <w:r w:rsidRPr="001B28AE">
        <w:rPr>
          <w:rFonts w:ascii="Arial" w:hAnsi="Arial" w:cs="Arial"/>
          <w:shd w:val="clear" w:color="auto" w:fill="FFFFFF"/>
        </w:rPr>
        <w:t xml:space="preserve"> </w:t>
      </w:r>
    </w:p>
    <w:p w14:paraId="7F8C9DE7" w14:textId="77777777" w:rsidR="001B28AE" w:rsidRPr="001B28AE" w:rsidRDefault="001B28AE" w:rsidP="001B28AE">
      <w:pPr>
        <w:ind w:left="900" w:hanging="720"/>
      </w:pPr>
      <w:r w:rsidRPr="001B28AE">
        <w:t xml:space="preserve">Tan, L. D. C., &amp; </w:t>
      </w:r>
      <w:proofErr w:type="spellStart"/>
      <w:r w:rsidRPr="001B28AE">
        <w:t>Urdan</w:t>
      </w:r>
      <w:proofErr w:type="spellEnd"/>
      <w:r w:rsidRPr="001B28AE">
        <w:t xml:space="preserve">, T. (2025). Exploring the Responsibilities, Boundaries, and Well-Being of Teachers in the Philippines. Psychology International, 7(1), 14. </w:t>
      </w:r>
      <w:hyperlink r:id="rId47" w:history="1">
        <w:r w:rsidRPr="001B28AE">
          <w:rPr>
            <w:rStyle w:val="Hyperlink"/>
            <w:color w:val="auto"/>
          </w:rPr>
          <w:t>https://www.mdpi.com/2813-9844/7/1/14</w:t>
        </w:r>
      </w:hyperlink>
    </w:p>
    <w:p w14:paraId="2E966284" w14:textId="77777777" w:rsidR="001B28AE" w:rsidRPr="002C3567" w:rsidRDefault="001B28AE"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4175F4">
      <w:headerReference w:type="even" r:id="rId48"/>
      <w:headerReference w:type="default" r:id="rId49"/>
      <w:footerReference w:type="default" r:id="rId50"/>
      <w:headerReference w:type="first" r:id="rId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F6FC8" w14:textId="77777777" w:rsidR="00175171" w:rsidRDefault="00175171">
      <w:r>
        <w:separator/>
      </w:r>
    </w:p>
  </w:endnote>
  <w:endnote w:type="continuationSeparator" w:id="0">
    <w:p w14:paraId="34E5701D" w14:textId="77777777" w:rsidR="00175171" w:rsidRDefault="0017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2CEE" w14:textId="77777777" w:rsidR="004175F4" w:rsidRDefault="00417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7213" w14:textId="77777777" w:rsidR="004175F4" w:rsidRDefault="00417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772F702D" w:rsidR="00977342" w:rsidRPr="004175F4" w:rsidRDefault="00977342" w:rsidP="004175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977342" w:rsidRDefault="00977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4A716" w14:textId="77777777" w:rsidR="00175171" w:rsidRDefault="00175171">
      <w:r>
        <w:separator/>
      </w:r>
    </w:p>
  </w:footnote>
  <w:footnote w:type="continuationSeparator" w:id="0">
    <w:p w14:paraId="7C043C70" w14:textId="77777777" w:rsidR="00175171" w:rsidRDefault="0017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FD31" w14:textId="456AB84C" w:rsidR="004175F4" w:rsidRDefault="00175171">
    <w:pPr>
      <w:pStyle w:val="Header"/>
    </w:pPr>
    <w:r>
      <w:rPr>
        <w:noProof/>
      </w:rPr>
      <w:pict w14:anchorId="496F1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23EC" w14:textId="19A97DD5" w:rsidR="004175F4" w:rsidRDefault="00175171">
    <w:pPr>
      <w:pStyle w:val="Header"/>
    </w:pPr>
    <w:r>
      <w:rPr>
        <w:noProof/>
      </w:rPr>
      <w:pict w14:anchorId="0ADB4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673CBE7B" w:rsidR="00977342" w:rsidRDefault="00175171">
    <w:pPr>
      <w:ind w:left="2160"/>
      <w:jc w:val="center"/>
      <w:rPr>
        <w:rFonts w:ascii="Times New Roman" w:eastAsia="Calibri" w:hAnsi="Times New Roman"/>
        <w:i/>
        <w:sz w:val="18"/>
        <w:szCs w:val="22"/>
      </w:rPr>
    </w:pPr>
    <w:r>
      <w:rPr>
        <w:noProof/>
      </w:rPr>
      <w:pict w14:anchorId="1E601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977342" w:rsidRDefault="0097734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977342" w:rsidRDefault="00977342">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977342" w:rsidRDefault="0097734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977342" w:rsidRDefault="0097734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977342" w:rsidRDefault="0097734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977342" w:rsidRDefault="0097734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4DC8" w14:textId="04CF6675" w:rsidR="004175F4" w:rsidRDefault="00175171">
    <w:pPr>
      <w:pStyle w:val="Header"/>
    </w:pPr>
    <w:r>
      <w:rPr>
        <w:noProof/>
      </w:rPr>
      <w:pict w14:anchorId="25F00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C53D" w14:textId="3499466C" w:rsidR="004175F4" w:rsidRDefault="00175171">
    <w:pPr>
      <w:pStyle w:val="Header"/>
    </w:pPr>
    <w:r>
      <w:rPr>
        <w:noProof/>
      </w:rPr>
      <w:pict w14:anchorId="40DE8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6637" w14:textId="1E8E35F3" w:rsidR="004175F4" w:rsidRDefault="00175171">
    <w:pPr>
      <w:pStyle w:val="Header"/>
    </w:pPr>
    <w:r>
      <w:rPr>
        <w:noProof/>
      </w:rPr>
      <w:pict w14:anchorId="01EA8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3C8"/>
    <w:rsid w:val="00081ACB"/>
    <w:rsid w:val="000827FD"/>
    <w:rsid w:val="00084A16"/>
    <w:rsid w:val="00086702"/>
    <w:rsid w:val="00090DFA"/>
    <w:rsid w:val="00095BAE"/>
    <w:rsid w:val="00095F34"/>
    <w:rsid w:val="000960F6"/>
    <w:rsid w:val="00096483"/>
    <w:rsid w:val="00096CB5"/>
    <w:rsid w:val="000A2230"/>
    <w:rsid w:val="000A3474"/>
    <w:rsid w:val="000A3EDA"/>
    <w:rsid w:val="000A4361"/>
    <w:rsid w:val="000A47FA"/>
    <w:rsid w:val="000A61FE"/>
    <w:rsid w:val="000A65D3"/>
    <w:rsid w:val="000A77F6"/>
    <w:rsid w:val="000B03FC"/>
    <w:rsid w:val="000B1E33"/>
    <w:rsid w:val="000B6BC1"/>
    <w:rsid w:val="000C43E4"/>
    <w:rsid w:val="000C464B"/>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1BB0"/>
    <w:rsid w:val="00142F12"/>
    <w:rsid w:val="00143F8B"/>
    <w:rsid w:val="00146358"/>
    <w:rsid w:val="00147E94"/>
    <w:rsid w:val="00147F5C"/>
    <w:rsid w:val="00151F8F"/>
    <w:rsid w:val="00153D6B"/>
    <w:rsid w:val="001542F7"/>
    <w:rsid w:val="001550F4"/>
    <w:rsid w:val="001568A2"/>
    <w:rsid w:val="0016056F"/>
    <w:rsid w:val="00162528"/>
    <w:rsid w:val="001627B6"/>
    <w:rsid w:val="00163510"/>
    <w:rsid w:val="00163988"/>
    <w:rsid w:val="00163BC4"/>
    <w:rsid w:val="00171A32"/>
    <w:rsid w:val="001720E7"/>
    <w:rsid w:val="001746F8"/>
    <w:rsid w:val="00175171"/>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28AE"/>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53A5"/>
    <w:rsid w:val="001F6FBD"/>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695"/>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558E4"/>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4E74"/>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175F4"/>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95DCC"/>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44D41"/>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03D0"/>
    <w:rsid w:val="005811D6"/>
    <w:rsid w:val="00582069"/>
    <w:rsid w:val="00586B1C"/>
    <w:rsid w:val="00587F26"/>
    <w:rsid w:val="00590BF3"/>
    <w:rsid w:val="00591549"/>
    <w:rsid w:val="005923EA"/>
    <w:rsid w:val="005939DF"/>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0F26"/>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882"/>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68B"/>
    <w:rsid w:val="00746E59"/>
    <w:rsid w:val="0074780A"/>
    <w:rsid w:val="00754C9A"/>
    <w:rsid w:val="00754DDF"/>
    <w:rsid w:val="0075599A"/>
    <w:rsid w:val="00756316"/>
    <w:rsid w:val="00756864"/>
    <w:rsid w:val="0075735E"/>
    <w:rsid w:val="00757F7F"/>
    <w:rsid w:val="00761D52"/>
    <w:rsid w:val="00762AA5"/>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B5E44"/>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1C37"/>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1DF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2FB"/>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0FCD"/>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77342"/>
    <w:rsid w:val="00982C5E"/>
    <w:rsid w:val="00982CC1"/>
    <w:rsid w:val="00982E47"/>
    <w:rsid w:val="00983040"/>
    <w:rsid w:val="0098668C"/>
    <w:rsid w:val="009913C6"/>
    <w:rsid w:val="00991ABC"/>
    <w:rsid w:val="009928B2"/>
    <w:rsid w:val="00993933"/>
    <w:rsid w:val="00994FC5"/>
    <w:rsid w:val="009950D9"/>
    <w:rsid w:val="00995521"/>
    <w:rsid w:val="009A4B52"/>
    <w:rsid w:val="009A5463"/>
    <w:rsid w:val="009A5ABF"/>
    <w:rsid w:val="009B02B2"/>
    <w:rsid w:val="009B12B5"/>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695B"/>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474E3"/>
    <w:rsid w:val="00B527D2"/>
    <w:rsid w:val="00B52896"/>
    <w:rsid w:val="00B52A44"/>
    <w:rsid w:val="00B549CE"/>
    <w:rsid w:val="00B55B85"/>
    <w:rsid w:val="00B55D37"/>
    <w:rsid w:val="00B55FCC"/>
    <w:rsid w:val="00B60155"/>
    <w:rsid w:val="00B62947"/>
    <w:rsid w:val="00B630E2"/>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4C43"/>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4ED"/>
    <w:rsid w:val="00CD6755"/>
    <w:rsid w:val="00CD6856"/>
    <w:rsid w:val="00CD6F56"/>
    <w:rsid w:val="00CE0089"/>
    <w:rsid w:val="00CE08C9"/>
    <w:rsid w:val="00CE3176"/>
    <w:rsid w:val="00CE5E13"/>
    <w:rsid w:val="00CE793C"/>
    <w:rsid w:val="00CF1243"/>
    <w:rsid w:val="00CF1325"/>
    <w:rsid w:val="00CF2E29"/>
    <w:rsid w:val="00D003FA"/>
    <w:rsid w:val="00D00F3E"/>
    <w:rsid w:val="00D01782"/>
    <w:rsid w:val="00D0289A"/>
    <w:rsid w:val="00D03BEB"/>
    <w:rsid w:val="00D04A8F"/>
    <w:rsid w:val="00D065CB"/>
    <w:rsid w:val="00D13BF4"/>
    <w:rsid w:val="00D14936"/>
    <w:rsid w:val="00D16A04"/>
    <w:rsid w:val="00D17273"/>
    <w:rsid w:val="00D173F1"/>
    <w:rsid w:val="00D21E8D"/>
    <w:rsid w:val="00D227D5"/>
    <w:rsid w:val="00D23445"/>
    <w:rsid w:val="00D23B1F"/>
    <w:rsid w:val="00D24440"/>
    <w:rsid w:val="00D311B1"/>
    <w:rsid w:val="00D31407"/>
    <w:rsid w:val="00D32F12"/>
    <w:rsid w:val="00D33A31"/>
    <w:rsid w:val="00D341E9"/>
    <w:rsid w:val="00D342CA"/>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2FB2"/>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1786A"/>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6D6"/>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07D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28ED"/>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tab-span">
    <w:name w:val="apple-tab-span"/>
    <w:basedOn w:val="DefaultParagraphFont"/>
    <w:rsid w:val="00CE08C9"/>
  </w:style>
  <w:style w:type="character" w:customStyle="1" w:styleId="UnresolvedMention2">
    <w:name w:val="Unresolved Mention2"/>
    <w:basedOn w:val="DefaultParagraphFont"/>
    <w:uiPriority w:val="99"/>
    <w:semiHidden/>
    <w:unhideWhenUsed/>
    <w:rsid w:val="00D3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74513205">
      <w:bodyDiv w:val="1"/>
      <w:marLeft w:val="0"/>
      <w:marRight w:val="0"/>
      <w:marTop w:val="0"/>
      <w:marBottom w:val="0"/>
      <w:divBdr>
        <w:top w:val="none" w:sz="0" w:space="0" w:color="auto"/>
        <w:left w:val="none" w:sz="0" w:space="0" w:color="auto"/>
        <w:bottom w:val="none" w:sz="0" w:space="0" w:color="auto"/>
        <w:right w:val="none" w:sz="0" w:space="0" w:color="auto"/>
      </w:divBdr>
    </w:div>
    <w:div w:id="586231661">
      <w:bodyDiv w:val="1"/>
      <w:marLeft w:val="0"/>
      <w:marRight w:val="0"/>
      <w:marTop w:val="0"/>
      <w:marBottom w:val="0"/>
      <w:divBdr>
        <w:top w:val="none" w:sz="0" w:space="0" w:color="auto"/>
        <w:left w:val="none" w:sz="0" w:space="0" w:color="auto"/>
        <w:bottom w:val="none" w:sz="0" w:space="0" w:color="auto"/>
        <w:right w:val="none" w:sz="0" w:space="0" w:color="auto"/>
      </w:divBdr>
    </w:div>
    <w:div w:id="783841701">
      <w:bodyDiv w:val="1"/>
      <w:marLeft w:val="0"/>
      <w:marRight w:val="0"/>
      <w:marTop w:val="0"/>
      <w:marBottom w:val="0"/>
      <w:divBdr>
        <w:top w:val="none" w:sz="0" w:space="0" w:color="auto"/>
        <w:left w:val="none" w:sz="0" w:space="0" w:color="auto"/>
        <w:bottom w:val="none" w:sz="0" w:space="0" w:color="auto"/>
        <w:right w:val="none" w:sz="0" w:space="0" w:color="auto"/>
      </w:divBdr>
    </w:div>
    <w:div w:id="884489903">
      <w:bodyDiv w:val="1"/>
      <w:marLeft w:val="0"/>
      <w:marRight w:val="0"/>
      <w:marTop w:val="0"/>
      <w:marBottom w:val="0"/>
      <w:divBdr>
        <w:top w:val="none" w:sz="0" w:space="0" w:color="auto"/>
        <w:left w:val="none" w:sz="0" w:space="0" w:color="auto"/>
        <w:bottom w:val="none" w:sz="0" w:space="0" w:color="auto"/>
        <w:right w:val="none" w:sz="0" w:space="0" w:color="auto"/>
      </w:divBdr>
    </w:div>
    <w:div w:id="1141188988">
      <w:bodyDiv w:val="1"/>
      <w:marLeft w:val="0"/>
      <w:marRight w:val="0"/>
      <w:marTop w:val="0"/>
      <w:marBottom w:val="0"/>
      <w:divBdr>
        <w:top w:val="none" w:sz="0" w:space="0" w:color="auto"/>
        <w:left w:val="none" w:sz="0" w:space="0" w:color="auto"/>
        <w:bottom w:val="none" w:sz="0" w:space="0" w:color="auto"/>
        <w:right w:val="none" w:sz="0" w:space="0" w:color="auto"/>
      </w:divBdr>
    </w:div>
    <w:div w:id="1798178282">
      <w:bodyDiv w:val="1"/>
      <w:marLeft w:val="0"/>
      <w:marRight w:val="0"/>
      <w:marTop w:val="0"/>
      <w:marBottom w:val="0"/>
      <w:divBdr>
        <w:top w:val="none" w:sz="0" w:space="0" w:color="auto"/>
        <w:left w:val="none" w:sz="0" w:space="0" w:color="auto"/>
        <w:bottom w:val="none" w:sz="0" w:space="0" w:color="auto"/>
        <w:right w:val="none" w:sz="0" w:space="0" w:color="auto"/>
      </w:divBdr>
    </w:div>
    <w:div w:id="180881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tlantis-press.com/article/125948761.pdf" TargetMode="External"/><Relationship Id="rId26" Type="http://schemas.openxmlformats.org/officeDocument/2006/relationships/hyperlink" Target="https://research.manchester.ac.uk/files/223738471/AED_21_0197_teacher_turnover_Final_Accepted_Version.pdf" TargetMode="External"/><Relationship Id="rId39" Type="http://schemas.openxmlformats.org/officeDocument/2006/relationships/hyperlink" Target="https://search.proquest.com/openview/676f34ca115e9293621a23ec71c9cbe9/1.pdf?pq-origsite=gscholar&amp;cbl=18750&amp;diss=y" TargetMode="External"/><Relationship Id="rId21" Type="http://schemas.openxmlformats.org/officeDocument/2006/relationships/hyperlink" Target="https://www.mdpi.com/1660-4601/17/16/5986" TargetMode="External"/><Relationship Id="rId34" Type="http://schemas.openxmlformats.org/officeDocument/2006/relationships/hyperlink" Target="https://www.researchgate.net/profile/Njideka-Onyekwelu-2/publication/378125988_Ethics_and_corporate_social_responsibility_in_HR_A_comprehensive_review_of_policies_and_practices/links/65c7e6bf1e1ec12eff806bdd/Ethics-and-corporate-social-responsibility-in-HR-A-comprehensive-review-of-policies-and-practices.pdf" TargetMode="External"/><Relationship Id="rId42" Type="http://schemas.openxmlformats.org/officeDocument/2006/relationships/hyperlink" Target="https://www.mdpi.com/2071-1050/14/14/8822" TargetMode="External"/><Relationship Id="rId47" Type="http://schemas.openxmlformats.org/officeDocument/2006/relationships/hyperlink" Target="https://www.mdpi.com/2813-9844/7/1/14"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citations?user=0tOowAIAAAAJ&amp;hl=en&amp;oi=sra" TargetMode="External"/><Relationship Id="rId29" Type="http://schemas.openxmlformats.org/officeDocument/2006/relationships/hyperlink" Target="https://scholar.archive.org/work/r6kcgmcd6nhr7mj34i6n5j35y4/access/wayback/https://iase-ijeas.com/article_190779_6dbc67e7560d7b3182d432fae1a2b9ba.pdf" TargetMode="External"/><Relationship Id="rId11" Type="http://schemas.openxmlformats.org/officeDocument/2006/relationships/footer" Target="footer2.xml"/><Relationship Id="rId24" Type="http://schemas.openxmlformats.org/officeDocument/2006/relationships/hyperlink" Target="https://www.researchgate.net/profile/Anahita-Ghanad/publication/373370007_An_Overview_of_Quantitative_Research_Methods/links/67b28ffc645ef274a48341a1/An-Overview-of-Quantitative-Research-Methods.pdf" TargetMode="External"/><Relationship Id="rId32" Type="http://schemas.openxmlformats.org/officeDocument/2006/relationships/hyperlink" Target="https://intapi.sciendo.com/pdf/10.2478/jtes-2020-0008" TargetMode="External"/><Relationship Id="rId37" Type="http://schemas.openxmlformats.org/officeDocument/2006/relationships/hyperlink" Target="https://www.mdpi.com/2227-7099/12/9/230" TargetMode="External"/><Relationship Id="rId40" Type="http://schemas.openxmlformats.org/officeDocument/2006/relationships/hyperlink" Target="https://www.academia.edu/download/76655979/2021_PERSP-21-00006.pdf" TargetMode="External"/><Relationship Id="rId45" Type="http://schemas.openxmlformats.org/officeDocument/2006/relationships/hyperlink" Target="https://link.springer.com/content/pdf/10.1007/s11365-023-00834-9.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researchgate.net/profile/Jessica-Borg-5/publication/348017105_The_work_readiness-career_resilience_linkage_implications_for_project_talent_management/links/6004b440a6fdccdcb860837a/The-work-readiness-career-resilience-linkage-implications-for-project-talent-management.pdf" TargetMode="External"/><Relationship Id="rId31" Type="http://schemas.openxmlformats.org/officeDocument/2006/relationships/hyperlink" Target="https://ojs.upsi.edu.my/index.php/JRPPTTE/article/download/7898/4613" TargetMode="External"/><Relationship Id="rId44" Type="http://schemas.openxmlformats.org/officeDocument/2006/relationships/hyperlink" Target="https://link.springer.com/content/pdf/10.1007/s11205-021-02688-6.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dpi.com/2071-1050/14/3/1699" TargetMode="External"/><Relationship Id="rId27" Type="http://schemas.openxmlformats.org/officeDocument/2006/relationships/hyperlink" Target="https://www.mdpi.com/1660-4601/17/24/9185" TargetMode="External"/><Relationship Id="rId30" Type="http://schemas.openxmlformats.org/officeDocument/2006/relationships/hyperlink" Target="https://www.researchgate.net/profile/Cam-Caldwell/publication/366990489_Quiet_Quitting_-Causes_and_Opportunities/links/63bd727b097c7832caa6b182/Quiet-Quitting-Causes-and-Opportunities.pdf" TargetMode="External"/><Relationship Id="rId35" Type="http://schemas.openxmlformats.org/officeDocument/2006/relationships/hyperlink" Target="https://www.mdpi.com/1660-4601/18/23/12763/pdf" TargetMode="External"/><Relationship Id="rId43" Type="http://schemas.openxmlformats.org/officeDocument/2006/relationships/hyperlink" Target="https://pmc.ncbi.nlm.nih.gov/articles/PMC8916810/pdf/nampsp-2020-202011a.pdf"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txicfw.socialwork.utexas.edu/wp-content/uploads/2019/07/Compassion-Satisfaction-Among-Social-Work-Practitioners-The-Role-of-Work-Life-Balance.pdf" TargetMode="External"/><Relationship Id="rId25" Type="http://schemas.openxmlformats.org/officeDocument/2006/relationships/hyperlink" Target="https://link.springer.com/content/pdf/10.1007/s10926-020-09901-2.pdf" TargetMode="External"/><Relationship Id="rId33" Type="http://schemas.openxmlformats.org/officeDocument/2006/relationships/hyperlink" Target="https://www.tandfonline.com/doi/pdf/10.1080/2331186X.2022.2057102" TargetMode="External"/><Relationship Id="rId38" Type="http://schemas.openxmlformats.org/officeDocument/2006/relationships/hyperlink" Target="https://link.springer.com/content/pdf/10.1007/s11218-020-09567-x.pdf" TargetMode="External"/><Relationship Id="rId46" Type="http://schemas.openxmlformats.org/officeDocument/2006/relationships/hyperlink" Target="https://www.researchgate.net/profile/Bert-Schreurs-2/publication/364274049_How_do_individual_factors_affect_career_sustainability_An_investigation_of_cascading_effects_through_the_career_construction_model_of_adaptation/links/63ea1cb0dea6121757a69df5/How-do-individual-factors-affect-career-sustainability-An-investigation-of-cascading-effects-through-the-career-construction-model-of-adaptation.pdf" TargetMode="External"/><Relationship Id="rId20" Type="http://schemas.openxmlformats.org/officeDocument/2006/relationships/hyperlink" Target="https://pmc.ncbi.nlm.nih.gov/articles/PMC7536939/pdf/PA-9999-e2508.pdf" TargetMode="External"/><Relationship Id="rId41" Type="http://schemas.openxmlformats.org/officeDocument/2006/relationships/hyperlink" Target="http://iase-idje.ir/files/site1/user_files_6d0946/ahghar2004-A-10-1155-5-aa0fe4f.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science/article/pii/S1740144524000263" TargetMode="External"/><Relationship Id="rId23" Type="http://schemas.openxmlformats.org/officeDocument/2006/relationships/hyperlink" Target="https://link.springer.com/content/pdf/10.1186/s12955-020-01618-3.pdf" TargetMode="External"/><Relationship Id="rId28" Type="http://schemas.openxmlformats.org/officeDocument/2006/relationships/hyperlink" Target="https://ueaeprints.uea.ac.uk/id/eprint/77655/1/Accepted_Manuscript.pdf" TargetMode="External"/><Relationship Id="rId36" Type="http://schemas.openxmlformats.org/officeDocument/2006/relationships/hyperlink" Target="https://hal.science/hal-05073466/"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15</Pages>
  <Words>8567</Words>
  <Characters>42236</Characters>
  <Application>Microsoft Office Word</Application>
  <DocSecurity>0</DocSecurity>
  <Lines>10559</Lines>
  <Paragraphs>6350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24</cp:revision>
  <cp:lastPrinted>2024-10-20T02:52:00Z</cp:lastPrinted>
  <dcterms:created xsi:type="dcterms:W3CDTF">2025-06-16T05:03:00Z</dcterms:created>
  <dcterms:modified xsi:type="dcterms:W3CDTF">2025-06-23T11:02:00Z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9374b0f8-2176-47f0-b498-693101d84548</vt:lpwstr>
  </property>
</Properties>
</file>