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AD78A" w14:textId="77777777" w:rsidR="00961E34" w:rsidRPr="00961E34" w:rsidRDefault="00961E34" w:rsidP="00961E34">
      <w:pPr>
        <w:jc w:val="right"/>
        <w:rPr>
          <w:rFonts w:ascii="Arial" w:hAnsi="Arial" w:cs="Arial"/>
          <w:b/>
          <w:bCs/>
          <w:i/>
          <w:iCs/>
          <w:noProof/>
          <w:sz w:val="28"/>
          <w:szCs w:val="28"/>
          <w:u w:val="single"/>
          <w:lang w:eastAsia="en-PH"/>
        </w:rPr>
      </w:pPr>
    </w:p>
    <w:p w14:paraId="053A4770" w14:textId="6B06D35F" w:rsidR="0001232E" w:rsidRDefault="006F79C5" w:rsidP="0001232E">
      <w:pPr>
        <w:jc w:val="right"/>
        <w:rPr>
          <w:rFonts w:ascii="Arial" w:hAnsi="Arial" w:cs="Arial"/>
          <w:b/>
          <w:noProof/>
          <w:sz w:val="28"/>
          <w:szCs w:val="28"/>
          <w:lang w:val="en-PH" w:eastAsia="en-PH"/>
        </w:rPr>
      </w:pPr>
      <w:r w:rsidRPr="0001232E">
        <w:rPr>
          <w:rFonts w:ascii="Arial" w:hAnsi="Arial" w:cs="Arial"/>
          <w:b/>
          <w:noProof/>
          <w:sz w:val="28"/>
          <w:szCs w:val="28"/>
          <w:lang w:val="en-PH" w:eastAsia="en-PH"/>
        </w:rPr>
        <w:t xml:space="preserve">Participatory Equity Leadership </w:t>
      </w:r>
      <w:r>
        <w:rPr>
          <w:rFonts w:ascii="Arial" w:hAnsi="Arial" w:cs="Arial"/>
          <w:b/>
          <w:noProof/>
          <w:sz w:val="28"/>
          <w:szCs w:val="28"/>
          <w:lang w:val="en-PH" w:eastAsia="en-PH"/>
        </w:rPr>
        <w:t>a</w:t>
      </w:r>
      <w:r w:rsidRPr="0001232E">
        <w:rPr>
          <w:rFonts w:ascii="Arial" w:hAnsi="Arial" w:cs="Arial"/>
          <w:b/>
          <w:noProof/>
          <w:sz w:val="28"/>
          <w:szCs w:val="28"/>
          <w:lang w:val="en-PH" w:eastAsia="en-PH"/>
        </w:rPr>
        <w:t xml:space="preserve">nd Online Access </w:t>
      </w:r>
      <w:r>
        <w:rPr>
          <w:rFonts w:ascii="Arial" w:hAnsi="Arial" w:cs="Arial"/>
          <w:b/>
          <w:noProof/>
          <w:sz w:val="28"/>
          <w:szCs w:val="28"/>
          <w:lang w:val="en-PH" w:eastAsia="en-PH"/>
        </w:rPr>
        <w:t>o</w:t>
      </w:r>
      <w:r w:rsidRPr="0001232E">
        <w:rPr>
          <w:rFonts w:ascii="Arial" w:hAnsi="Arial" w:cs="Arial"/>
          <w:b/>
          <w:noProof/>
          <w:sz w:val="28"/>
          <w:szCs w:val="28"/>
          <w:lang w:val="en-PH" w:eastAsia="en-PH"/>
        </w:rPr>
        <w:t xml:space="preserve">f Teachers </w:t>
      </w:r>
      <w:r>
        <w:rPr>
          <w:rFonts w:ascii="Arial" w:hAnsi="Arial" w:cs="Arial"/>
          <w:b/>
          <w:noProof/>
          <w:sz w:val="28"/>
          <w:szCs w:val="28"/>
          <w:lang w:val="en-PH" w:eastAsia="en-PH"/>
        </w:rPr>
        <w:t>i</w:t>
      </w:r>
      <w:r w:rsidRPr="0001232E">
        <w:rPr>
          <w:rFonts w:ascii="Arial" w:hAnsi="Arial" w:cs="Arial"/>
          <w:b/>
          <w:noProof/>
          <w:sz w:val="28"/>
          <w:szCs w:val="28"/>
          <w:lang w:val="en-PH" w:eastAsia="en-PH"/>
        </w:rPr>
        <w:t>n Public Elementary Schools: A Post-Pandemic Education</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2F5BE4">
        <w:trPr>
          <w:trHeight w:val="4229"/>
        </w:trPr>
        <w:tc>
          <w:tcPr>
            <w:tcW w:w="9576" w:type="dxa"/>
            <w:shd w:val="clear" w:color="auto" w:fill="F2F2F2"/>
          </w:tcPr>
          <w:p w14:paraId="6817D66D" w14:textId="77777777" w:rsidR="002F5BE4" w:rsidRPr="002F5BE4" w:rsidRDefault="002F5BE4" w:rsidP="002F5BE4">
            <w:pPr>
              <w:jc w:val="both"/>
              <w:rPr>
                <w:rFonts w:ascii="Arial" w:hAnsi="Arial" w:cs="Arial"/>
                <w:iCs/>
              </w:rPr>
            </w:pPr>
            <w:r w:rsidRPr="002F5BE4">
              <w:rPr>
                <w:rFonts w:ascii="Arial" w:hAnsi="Arial" w:cs="Arial"/>
                <w:iCs/>
                <w:highlight w:val="yellow"/>
              </w:rPr>
              <w:t>This study aimed to examine the significant relationship between participatory equity leadership and online access among public elementary school teachers in post-pandemic education in the Tarragona District, Division of Davao Oriental. The research addresses a critical issue emerging from the COVID-19 pandemic: the persistent inequality in access to digital tools and inclusive leadership practices that affect teaching quality in the new normal. Using a descriptive-correlational research design, a total of 165 teachers were surveyed using standardized questionnaires. Data were analyzed using mean, standard deviation (SD), Pearson product-moment correlation, and multiple linear regression analyses. The findings revealed that teachers demonstrate a high level of participatory equity leadership and online access. Correlation analysis indicated a moderate significant positive relationship between participatory equity leadership and online access. Further analysis revealed that the domains of school leadership, community context, and policy context significantly influenced online access, with policy context having the strongest effect, while school context was not a significant predictor. Based on these findings, it is recommended that school administrators promote leadership practices that foster inclusive and equitable learning environments, ensure access to ICT resources, and strengthen policy implementation to enhance teachers’ use of technology in instruction. Capacity-building programs and equitable resource distribution may also help ensure all teachers can effectively integrate digital tools in post-pandemic education.</w:t>
            </w:r>
          </w:p>
          <w:p w14:paraId="10E1D353" w14:textId="2DA683B7" w:rsidR="00717F2E" w:rsidRPr="000763D2" w:rsidRDefault="00717F2E" w:rsidP="00896129">
            <w:pPr>
              <w:jc w:val="both"/>
              <w:rPr>
                <w:rFonts w:ascii="Arial" w:hAnsi="Arial" w:cs="Arial"/>
                <w:iCs/>
              </w:rPr>
            </w:pPr>
          </w:p>
        </w:tc>
      </w:tr>
    </w:tbl>
    <w:p w14:paraId="175A3F79" w14:textId="77777777" w:rsidR="00717F2E" w:rsidRDefault="00717F2E">
      <w:pPr>
        <w:pStyle w:val="Body"/>
        <w:spacing w:after="0"/>
        <w:rPr>
          <w:rFonts w:ascii="Arial" w:hAnsi="Arial" w:cs="Arial"/>
          <w:i/>
        </w:rPr>
      </w:pPr>
    </w:p>
    <w:p w14:paraId="63DA1D4D" w14:textId="5D5778AE"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E7370E" w:rsidRPr="00E7370E">
        <w:rPr>
          <w:rFonts w:ascii="Arial" w:hAnsi="Arial" w:cs="Arial"/>
          <w:iCs/>
        </w:rPr>
        <w:t>Participatory Equity Leadership, Online Access, Post-Pandemic Education, Public Elementary Schools, Descriptive-Correlational</w:t>
      </w:r>
      <w:r w:rsidR="00E7370E">
        <w:rPr>
          <w:rFonts w:ascii="Arial" w:hAnsi="Arial" w:cs="Arial"/>
          <w:iCs/>
        </w:rPr>
        <w:t xml:space="preserve">, </w:t>
      </w:r>
      <w:r w:rsidR="00BB0E63" w:rsidRPr="00BB0E63">
        <w:rPr>
          <w:rFonts w:ascii="Arial" w:hAnsi="Arial" w:cs="Arial"/>
          <w:iCs/>
        </w:rPr>
        <w:t>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1395C051" w14:textId="5DC0D48F" w:rsidR="00C761B3" w:rsidRPr="00C761B3" w:rsidRDefault="00C761B3" w:rsidP="00C761B3">
      <w:pPr>
        <w:jc w:val="both"/>
        <w:rPr>
          <w:rFonts w:ascii="Arial" w:hAnsi="Arial"/>
        </w:rPr>
      </w:pPr>
      <w:r w:rsidRPr="00C761B3">
        <w:rPr>
          <w:rFonts w:ascii="Arial" w:hAnsi="Arial"/>
        </w:rPr>
        <w:t>The COVID-19 pandemic accelerated the shift toward digital learning, exposing deep-rooted inequalities in online access among teache</w:t>
      </w:r>
      <w:r w:rsidR="003606AB">
        <w:rPr>
          <w:rFonts w:ascii="Arial" w:hAnsi="Arial"/>
        </w:rPr>
        <w:t xml:space="preserve">rs in public elementary schools (Parker et al., 2020). </w:t>
      </w:r>
      <w:r w:rsidRPr="00C761B3">
        <w:rPr>
          <w:rFonts w:ascii="Arial" w:hAnsi="Arial"/>
        </w:rPr>
        <w:t>Despite the growing dependence on technology for teaching and administrative tasks, many educators continue to face limited or unreliable access to internet connectivity, digital devices, and technical support. These challenges hinder their ability to prepare and deliver lessons, assess student learning, and eng</w:t>
      </w:r>
      <w:r w:rsidR="003606AB">
        <w:rPr>
          <w:rFonts w:ascii="Arial" w:hAnsi="Arial"/>
        </w:rPr>
        <w:t>age in professional development (</w:t>
      </w:r>
      <w:r w:rsidR="003606AB" w:rsidRPr="003606AB">
        <w:rPr>
          <w:rFonts w:ascii="Arial" w:hAnsi="Arial"/>
        </w:rPr>
        <w:t>Ferri</w:t>
      </w:r>
      <w:r w:rsidR="003606AB">
        <w:rPr>
          <w:rFonts w:ascii="Arial" w:hAnsi="Arial"/>
        </w:rPr>
        <w:t xml:space="preserve"> et al., 2020).</w:t>
      </w:r>
      <w:r w:rsidRPr="00C761B3">
        <w:rPr>
          <w:rFonts w:ascii="Arial" w:hAnsi="Arial"/>
        </w:rPr>
        <w:t xml:space="preserve"> The digital divide has created barriers not only to effective teaching but also to equitable education delivery, especially in underserved rural areas where infrastructure remains inadequate. The persistent gap in online access limits the overall quality of post-pandemic education and reinforces systemic disparities among public school </w:t>
      </w:r>
      <w:r w:rsidR="003606AB">
        <w:rPr>
          <w:rFonts w:ascii="Arial" w:hAnsi="Arial"/>
        </w:rPr>
        <w:t>teachers (</w:t>
      </w:r>
      <w:r w:rsidR="003606AB" w:rsidRPr="003606AB">
        <w:rPr>
          <w:rFonts w:ascii="Arial" w:hAnsi="Arial"/>
        </w:rPr>
        <w:t>Afzal</w:t>
      </w:r>
      <w:r w:rsidR="003606AB">
        <w:rPr>
          <w:rFonts w:ascii="Arial" w:hAnsi="Arial"/>
        </w:rPr>
        <w:t xml:space="preserve"> et al., 2023).</w:t>
      </w:r>
    </w:p>
    <w:p w14:paraId="72FFA9EE" w14:textId="77777777" w:rsidR="00C761B3" w:rsidRPr="00C761B3" w:rsidRDefault="00C761B3" w:rsidP="00C761B3">
      <w:pPr>
        <w:jc w:val="both"/>
        <w:rPr>
          <w:rFonts w:ascii="Arial" w:hAnsi="Arial"/>
        </w:rPr>
      </w:pPr>
    </w:p>
    <w:p w14:paraId="55270CBD" w14:textId="6C30C47D" w:rsidR="00C761B3" w:rsidRPr="00C761B3" w:rsidRDefault="00C761B3" w:rsidP="00C761B3">
      <w:pPr>
        <w:jc w:val="both"/>
        <w:rPr>
          <w:rFonts w:ascii="Arial" w:hAnsi="Arial"/>
        </w:rPr>
      </w:pPr>
      <w:r w:rsidRPr="00C761B3">
        <w:rPr>
          <w:rFonts w:ascii="Arial" w:hAnsi="Arial"/>
        </w:rPr>
        <w:t>Globally, countries have responded differently to the issue of online access for teachers in public education. In Finland, strong government investment in digital infrastructure ensured that nearly all teachers had access to high-speed internet and digital tools, enabling a smooth transition</w:t>
      </w:r>
      <w:r w:rsidR="00C52E3D">
        <w:rPr>
          <w:rFonts w:ascii="Arial" w:hAnsi="Arial"/>
        </w:rPr>
        <w:t xml:space="preserve"> to online and blended learning (</w:t>
      </w:r>
      <w:proofErr w:type="spellStart"/>
      <w:r w:rsidR="00C52E3D" w:rsidRPr="00C52E3D">
        <w:rPr>
          <w:rFonts w:ascii="Arial" w:hAnsi="Arial"/>
        </w:rPr>
        <w:t>Näykki</w:t>
      </w:r>
      <w:proofErr w:type="spellEnd"/>
      <w:r w:rsidR="00C52E3D">
        <w:rPr>
          <w:rFonts w:ascii="Arial" w:hAnsi="Arial"/>
        </w:rPr>
        <w:t xml:space="preserve"> </w:t>
      </w:r>
      <w:r w:rsidR="00C52E3D" w:rsidRPr="00C52E3D">
        <w:rPr>
          <w:rFonts w:ascii="Arial" w:hAnsi="Arial"/>
        </w:rPr>
        <w:t xml:space="preserve">&amp; </w:t>
      </w:r>
      <w:proofErr w:type="spellStart"/>
      <w:r w:rsidR="00C52E3D" w:rsidRPr="00C52E3D">
        <w:rPr>
          <w:rFonts w:ascii="Arial" w:hAnsi="Arial"/>
        </w:rPr>
        <w:t>Häkkinen</w:t>
      </w:r>
      <w:proofErr w:type="spellEnd"/>
      <w:r w:rsidR="00C52E3D">
        <w:rPr>
          <w:rFonts w:ascii="Arial" w:hAnsi="Arial"/>
        </w:rPr>
        <w:t>, 2023).</w:t>
      </w:r>
      <w:r w:rsidRPr="00C761B3">
        <w:rPr>
          <w:rFonts w:ascii="Arial" w:hAnsi="Arial"/>
        </w:rPr>
        <w:t xml:space="preserve"> In contrast, India faced widespread connectivity issues, particularly in rural regions, where many public school teachers struggled with poor internet service and lack of acces</w:t>
      </w:r>
      <w:r w:rsidR="00C52E3D">
        <w:rPr>
          <w:rFonts w:ascii="Arial" w:hAnsi="Arial"/>
        </w:rPr>
        <w:t>s to personal digital devices (</w:t>
      </w:r>
      <w:r w:rsidR="00C52E3D" w:rsidRPr="00C52E3D">
        <w:rPr>
          <w:rFonts w:ascii="Arial" w:hAnsi="Arial"/>
        </w:rPr>
        <w:t>Dayal</w:t>
      </w:r>
      <w:r w:rsidR="00C52E3D">
        <w:rPr>
          <w:rFonts w:ascii="Arial" w:hAnsi="Arial"/>
        </w:rPr>
        <w:t>, 2023).</w:t>
      </w:r>
      <w:r w:rsidRPr="00C761B3">
        <w:rPr>
          <w:rFonts w:ascii="Arial" w:hAnsi="Arial"/>
        </w:rPr>
        <w:t xml:space="preserve"> Meanwhile, South Africa reported significant disparities between urban and rural schools, with many public school teachers in disadvantaged communities lacki</w:t>
      </w:r>
      <w:r w:rsidR="00C52E3D">
        <w:rPr>
          <w:rFonts w:ascii="Arial" w:hAnsi="Arial"/>
        </w:rPr>
        <w:t xml:space="preserve">ng </w:t>
      </w:r>
      <w:r w:rsidR="00C52E3D">
        <w:rPr>
          <w:rFonts w:ascii="Arial" w:hAnsi="Arial"/>
        </w:rPr>
        <w:lastRenderedPageBreak/>
        <w:t>sufficient digital resources (</w:t>
      </w:r>
      <w:proofErr w:type="spellStart"/>
      <w:r w:rsidR="00C52E3D" w:rsidRPr="00C52E3D">
        <w:rPr>
          <w:rFonts w:ascii="Arial" w:hAnsi="Arial"/>
        </w:rPr>
        <w:t>Lembani</w:t>
      </w:r>
      <w:proofErr w:type="spellEnd"/>
      <w:r w:rsidR="00C52E3D">
        <w:rPr>
          <w:rFonts w:ascii="Arial" w:hAnsi="Arial"/>
        </w:rPr>
        <w:t xml:space="preserve"> et al., 2020).</w:t>
      </w:r>
      <w:r w:rsidRPr="00C761B3">
        <w:rPr>
          <w:rFonts w:ascii="Arial" w:hAnsi="Arial"/>
        </w:rPr>
        <w:t xml:space="preserve"> These international experiences highlight the importance of equitable leadership and policy interventions in closing digital access gaps among educators.</w:t>
      </w:r>
    </w:p>
    <w:p w14:paraId="5620A379" w14:textId="77777777" w:rsidR="00C761B3" w:rsidRPr="00C761B3" w:rsidRDefault="00C761B3" w:rsidP="00C761B3">
      <w:pPr>
        <w:jc w:val="both"/>
        <w:rPr>
          <w:rFonts w:ascii="Arial" w:hAnsi="Arial"/>
        </w:rPr>
      </w:pPr>
    </w:p>
    <w:p w14:paraId="3D2C399D" w14:textId="21B1F239" w:rsidR="00C761B3" w:rsidRPr="00C761B3" w:rsidRDefault="00C761B3" w:rsidP="00C761B3">
      <w:pPr>
        <w:jc w:val="both"/>
        <w:rPr>
          <w:rFonts w:ascii="Arial" w:hAnsi="Arial"/>
        </w:rPr>
      </w:pPr>
      <w:r w:rsidRPr="00C761B3">
        <w:rPr>
          <w:rFonts w:ascii="Arial" w:hAnsi="Arial"/>
        </w:rPr>
        <w:t>In the Philippines, the pandemic revealed the uneven landscape of digital access for public elementary school teachers. Many educators, particularly in geographically isolated and disadvantaged areas, experienced limited access to stable internet connections and essential devi</w:t>
      </w:r>
      <w:r w:rsidR="002D11B5">
        <w:rPr>
          <w:rFonts w:ascii="Arial" w:hAnsi="Arial"/>
        </w:rPr>
        <w:t>ces such as laptops or tablets (</w:t>
      </w:r>
      <w:r w:rsidR="002D11B5" w:rsidRPr="002D11B5">
        <w:rPr>
          <w:rFonts w:ascii="Arial" w:hAnsi="Arial"/>
        </w:rPr>
        <w:t>Esteron</w:t>
      </w:r>
      <w:r w:rsidR="002D11B5">
        <w:rPr>
          <w:rFonts w:ascii="Arial" w:hAnsi="Arial"/>
        </w:rPr>
        <w:t xml:space="preserve">, 2021). </w:t>
      </w:r>
      <w:r w:rsidRPr="00225C9D">
        <w:rPr>
          <w:rFonts w:ascii="Arial" w:hAnsi="Arial"/>
          <w:highlight w:val="yellow"/>
        </w:rPr>
        <w:t xml:space="preserve">According to various </w:t>
      </w:r>
      <w:r w:rsidR="00225C9D" w:rsidRPr="00225C9D">
        <w:rPr>
          <w:rFonts w:ascii="Arial" w:hAnsi="Arial"/>
          <w:highlight w:val="yellow"/>
        </w:rPr>
        <w:t xml:space="preserve">Department of Education reports by </w:t>
      </w:r>
      <w:proofErr w:type="spellStart"/>
      <w:r w:rsidR="00225C9D" w:rsidRPr="00225C9D">
        <w:rPr>
          <w:rFonts w:ascii="Arial" w:hAnsi="Arial"/>
          <w:highlight w:val="yellow"/>
        </w:rPr>
        <w:t>Robosa</w:t>
      </w:r>
      <w:proofErr w:type="spellEnd"/>
      <w:r w:rsidR="00225C9D" w:rsidRPr="00225C9D">
        <w:rPr>
          <w:rFonts w:ascii="Arial" w:hAnsi="Arial"/>
          <w:highlight w:val="yellow"/>
        </w:rPr>
        <w:t xml:space="preserve"> et al., (2021),</w:t>
      </w:r>
      <w:r w:rsidRPr="00225C9D">
        <w:rPr>
          <w:rFonts w:ascii="Arial" w:hAnsi="Arial"/>
          <w:highlight w:val="yellow"/>
        </w:rPr>
        <w:t xml:space="preserve"> teachers often relied on personal resources or borrowed equipment just to meet the demands of remote teaching. Government efforts such as the provision of SIM cards and tablets were helpful but not uniformly distributed,</w:t>
      </w:r>
      <w:r w:rsidR="002D11B5" w:rsidRPr="00225C9D">
        <w:rPr>
          <w:rFonts w:ascii="Arial" w:hAnsi="Arial"/>
          <w:highlight w:val="yellow"/>
        </w:rPr>
        <w:t xml:space="preserve"> </w:t>
      </w:r>
      <w:r w:rsidR="00225C9D" w:rsidRPr="00225C9D">
        <w:rPr>
          <w:rFonts w:ascii="Arial" w:hAnsi="Arial"/>
          <w:highlight w:val="yellow"/>
        </w:rPr>
        <w:t>leaving gaps in implementation.</w:t>
      </w:r>
      <w:r w:rsidR="00225C9D">
        <w:rPr>
          <w:rFonts w:ascii="Arial" w:hAnsi="Arial"/>
        </w:rPr>
        <w:t xml:space="preserve"> </w:t>
      </w:r>
      <w:r w:rsidRPr="00C761B3">
        <w:rPr>
          <w:rFonts w:ascii="Arial" w:hAnsi="Arial"/>
        </w:rPr>
        <w:t>These conditions have continued in the post-pandemic period, affecting the capacity of teachers to utilize technology effectively for instruction, communication, and continuous learning.</w:t>
      </w:r>
    </w:p>
    <w:p w14:paraId="64AB2203" w14:textId="77777777" w:rsidR="00C761B3" w:rsidRPr="00C761B3" w:rsidRDefault="00C761B3" w:rsidP="00C761B3">
      <w:pPr>
        <w:jc w:val="both"/>
        <w:rPr>
          <w:rFonts w:ascii="Arial" w:hAnsi="Arial"/>
        </w:rPr>
      </w:pPr>
    </w:p>
    <w:p w14:paraId="1444AF19" w14:textId="58DB4417" w:rsidR="00C761B3" w:rsidRPr="00C761B3" w:rsidRDefault="00C761B3" w:rsidP="00C761B3">
      <w:pPr>
        <w:jc w:val="both"/>
        <w:rPr>
          <w:rFonts w:ascii="Arial" w:hAnsi="Arial"/>
        </w:rPr>
      </w:pPr>
      <w:r w:rsidRPr="00C761B3">
        <w:rPr>
          <w:rFonts w:ascii="Arial" w:hAnsi="Arial"/>
        </w:rPr>
        <w:t xml:space="preserve">Participatory equity leadership plays a critical role in addressing disparities in online access among public elementary school teachers. This leadership approach emphasizes inclusive decision-making, equitable resource distribution, and active engagement of teachers in policy </w:t>
      </w:r>
      <w:r w:rsidR="008238E9">
        <w:rPr>
          <w:rFonts w:ascii="Arial" w:hAnsi="Arial"/>
        </w:rPr>
        <w:t>formulation and implementation (</w:t>
      </w:r>
      <w:proofErr w:type="spellStart"/>
      <w:r w:rsidR="008238E9" w:rsidRPr="008238E9">
        <w:rPr>
          <w:rFonts w:ascii="Arial" w:hAnsi="Arial"/>
        </w:rPr>
        <w:t>Mustoip</w:t>
      </w:r>
      <w:proofErr w:type="spellEnd"/>
      <w:r w:rsidR="008238E9">
        <w:rPr>
          <w:rFonts w:ascii="Arial" w:hAnsi="Arial"/>
        </w:rPr>
        <w:t xml:space="preserve"> et al., 2023). </w:t>
      </w:r>
      <w:r w:rsidR="008238E9" w:rsidRPr="00C761B3">
        <w:rPr>
          <w:rFonts w:ascii="Arial" w:hAnsi="Arial"/>
        </w:rPr>
        <w:t xml:space="preserve"> </w:t>
      </w:r>
      <w:r w:rsidRPr="00C761B3">
        <w:rPr>
          <w:rFonts w:ascii="Arial" w:hAnsi="Arial"/>
        </w:rPr>
        <w:t>Leaders who adopt participatory equity practices are more likely to listen to the needs of their staff, advocate for technological support, and ensure fair allocation of digital t</w:t>
      </w:r>
      <w:r w:rsidR="008238E9">
        <w:rPr>
          <w:rFonts w:ascii="Arial" w:hAnsi="Arial"/>
        </w:rPr>
        <w:t xml:space="preserve">ools and training opportunities. </w:t>
      </w:r>
      <w:r w:rsidRPr="00C761B3">
        <w:rPr>
          <w:rFonts w:ascii="Arial" w:hAnsi="Arial"/>
        </w:rPr>
        <w:t>When school administrators foster an environment where teachers feel heard and supported, it can lead to improved</w:t>
      </w:r>
      <w:r w:rsidR="008238E9">
        <w:rPr>
          <w:rFonts w:ascii="Arial" w:hAnsi="Arial"/>
        </w:rPr>
        <w:t xml:space="preserve"> digital access and empowerment (</w:t>
      </w:r>
      <w:r w:rsidR="008238E9" w:rsidRPr="008238E9">
        <w:rPr>
          <w:rFonts w:ascii="Arial" w:hAnsi="Arial"/>
        </w:rPr>
        <w:t>Rhinesmith</w:t>
      </w:r>
      <w:r w:rsidR="008238E9">
        <w:rPr>
          <w:rFonts w:ascii="Arial" w:hAnsi="Arial"/>
        </w:rPr>
        <w:t xml:space="preserve"> et al., 2022).</w:t>
      </w:r>
      <w:r w:rsidRPr="00C761B3">
        <w:rPr>
          <w:rFonts w:ascii="Arial" w:hAnsi="Arial"/>
        </w:rPr>
        <w:t xml:space="preserve"> Therefore, examining the relationship between participatory equity leadership and online access provides insight into how leadership practices can bridge the digital divide in public schools.</w:t>
      </w:r>
    </w:p>
    <w:p w14:paraId="29FE1C0A" w14:textId="77777777" w:rsidR="00C761B3" w:rsidRPr="00C761B3" w:rsidRDefault="00C761B3" w:rsidP="00C761B3">
      <w:pPr>
        <w:jc w:val="both"/>
        <w:rPr>
          <w:rFonts w:ascii="Arial" w:hAnsi="Arial"/>
        </w:rPr>
      </w:pPr>
    </w:p>
    <w:p w14:paraId="148669D4" w14:textId="77777777" w:rsidR="00C761B3" w:rsidRPr="00C761B3" w:rsidRDefault="00C761B3" w:rsidP="00C761B3">
      <w:pPr>
        <w:jc w:val="both"/>
        <w:rPr>
          <w:rFonts w:ascii="Arial" w:hAnsi="Arial"/>
        </w:rPr>
      </w:pPr>
      <w:r w:rsidRPr="00C761B3">
        <w:rPr>
          <w:rFonts w:ascii="Arial" w:hAnsi="Arial"/>
        </w:rPr>
        <w:t>While existing literature has examined the challenges of digital access in education and the role of leadership in school improvement, few studies have focused specifically on the intersection of participatory equity leadership and online access for teachers in the post-pandemic context. Moreover, most research tends to emphasize student access or instructional outcomes rather than the experiences and needs of teachers. There is limited empirical data that explores how equity-driven leadership models impact the digital accessibility of educators, especially in rural settings such as those in the Philippines. This gap highlights the need for context-specific research that investigates how leadership practices influence the online readiness and capabilities of public school teachers.</w:t>
      </w:r>
    </w:p>
    <w:p w14:paraId="0396945B" w14:textId="77777777" w:rsidR="00C761B3" w:rsidRPr="00C761B3" w:rsidRDefault="00C761B3" w:rsidP="00C761B3">
      <w:pPr>
        <w:jc w:val="both"/>
        <w:rPr>
          <w:rFonts w:ascii="Arial" w:hAnsi="Arial"/>
        </w:rPr>
      </w:pPr>
    </w:p>
    <w:p w14:paraId="7AEEE99D" w14:textId="3A7B75C2" w:rsidR="0074551A" w:rsidRDefault="00C761B3" w:rsidP="00C761B3">
      <w:pPr>
        <w:jc w:val="both"/>
        <w:rPr>
          <w:rFonts w:ascii="Arial" w:eastAsia="MS Mincho" w:hAnsi="Arial" w:cs="Arial"/>
          <w:b/>
          <w:bCs/>
          <w:lang w:eastAsia="ja-JP"/>
        </w:rPr>
      </w:pPr>
      <w:r>
        <w:rPr>
          <w:rFonts w:ascii="Arial" w:hAnsi="Arial"/>
        </w:rPr>
        <w:t>This study aimed</w:t>
      </w:r>
      <w:r w:rsidRPr="00C761B3">
        <w:rPr>
          <w:rFonts w:ascii="Arial" w:hAnsi="Arial"/>
        </w:rPr>
        <w:t xml:space="preserve"> to determine the relationship between participatory equity leadership and the online access of teachers in post-pandemic education in public elementary schools in Tarragona District, Division of Davao Oriental. By exploring this relationship, the study </w:t>
      </w:r>
      <w:r>
        <w:rPr>
          <w:rFonts w:ascii="Arial" w:hAnsi="Arial"/>
        </w:rPr>
        <w:t xml:space="preserve">sought </w:t>
      </w:r>
      <w:r w:rsidRPr="00C761B3">
        <w:rPr>
          <w:rFonts w:ascii="Arial" w:hAnsi="Arial"/>
        </w:rPr>
        <w:t>to provide evidence-based insights that can inform school leadership practices, support equitable digital transformation, and improve the professional experience of teachers in the evolving educational landscape.</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59893C49" w:rsidR="003227FA" w:rsidRDefault="00C07589" w:rsidP="003340B8">
      <w:pPr>
        <w:jc w:val="center"/>
        <w:rPr>
          <w:rFonts w:ascii="Arial" w:eastAsia="MS Mincho" w:hAnsi="Arial" w:cs="Arial"/>
          <w:b/>
          <w:bCs/>
          <w:lang w:eastAsia="ja-JP"/>
        </w:rPr>
      </w:pPr>
      <w:r>
        <w:rPr>
          <w:noProof/>
        </w:rPr>
        <w:lastRenderedPageBreak/>
        <w:drawing>
          <wp:inline distT="0" distB="0" distL="0" distR="0" wp14:anchorId="00DAA593" wp14:editId="338D44C5">
            <wp:extent cx="3920947" cy="248510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058" t="30149" r="18422" b="23067"/>
                    <a:stretch/>
                  </pic:blipFill>
                  <pic:spPr bwMode="auto">
                    <a:xfrm>
                      <a:off x="0" y="0"/>
                      <a:ext cx="3946129" cy="2501068"/>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28332A05"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DCC7237" w14:textId="63882E25" w:rsidR="009F4D2E" w:rsidRDefault="009F4D2E" w:rsidP="009F4D2E">
      <w:pPr>
        <w:rPr>
          <w:rFonts w:ascii="Arial" w:eastAsia="MS Mincho" w:hAnsi="Arial" w:cs="Arial"/>
          <w:lang w:eastAsia="ja-JP"/>
        </w:rPr>
      </w:pPr>
    </w:p>
    <w:p w14:paraId="7A5F2FF5" w14:textId="41EAD3A9" w:rsidR="009F4D2E" w:rsidRPr="000B5A07" w:rsidRDefault="009F4D2E" w:rsidP="009F4D2E">
      <w:pPr>
        <w:jc w:val="both"/>
        <w:rPr>
          <w:rFonts w:ascii="Arial" w:eastAsia="MS Mincho" w:hAnsi="Arial" w:cs="Arial"/>
          <w:highlight w:val="yellow"/>
          <w:lang w:eastAsia="ja-JP"/>
        </w:rPr>
      </w:pPr>
      <w:r w:rsidRPr="009F4D2E">
        <w:rPr>
          <w:rFonts w:ascii="Arial" w:eastAsia="MS Mincho" w:hAnsi="Arial" w:cs="Arial"/>
          <w:highlight w:val="yellow"/>
          <w:lang w:eastAsia="ja-JP"/>
        </w:rPr>
        <w:t>The conceptual framework of this study illustrates the hypothesized relationship between participatory equity leadership (independent variable) and the online access of teachers (dependent variable) in the context of post-pandemic education. Participatory equity leadership is examined through four domains: school leader (SL), school context (SC), community context (CC), and policy context (PC). These components represent leadership dimensions that promote inclusivity, collaboration, and equitable educational opportunities within and beyond the school environment.</w:t>
      </w:r>
      <w:r w:rsidR="000B5A07">
        <w:rPr>
          <w:rFonts w:ascii="Arial" w:eastAsia="MS Mincho" w:hAnsi="Arial" w:cs="Arial"/>
          <w:highlight w:val="yellow"/>
          <w:lang w:eastAsia="ja-JP"/>
        </w:rPr>
        <w:t xml:space="preserve"> </w:t>
      </w:r>
      <w:r w:rsidRPr="009F4D2E">
        <w:rPr>
          <w:rFonts w:ascii="Arial" w:eastAsia="MS Mincho" w:hAnsi="Arial" w:cs="Arial"/>
          <w:highlight w:val="yellow"/>
          <w:lang w:eastAsia="ja-JP"/>
        </w:rPr>
        <w:t>On the other hand, the online access of teachers is assessed based on three key indicators: access and use of information and communication technologies (ICTs), use of ICTs for teaching and learning, and using ICTs for research and scholarship. These indicators reflect the extent to which teachers are equipped and empowered to engage with digital tools for instructional and professional development purposes.</w:t>
      </w:r>
      <w:r w:rsidR="000B5A07">
        <w:rPr>
          <w:rFonts w:ascii="Arial" w:eastAsia="MS Mincho" w:hAnsi="Arial" w:cs="Arial"/>
          <w:highlight w:val="yellow"/>
          <w:lang w:eastAsia="ja-JP"/>
        </w:rPr>
        <w:t xml:space="preserve"> </w:t>
      </w:r>
      <w:r w:rsidRPr="009F4D2E">
        <w:rPr>
          <w:rFonts w:ascii="Arial" w:eastAsia="MS Mincho" w:hAnsi="Arial" w:cs="Arial"/>
          <w:highlight w:val="yellow"/>
          <w:lang w:eastAsia="ja-JP"/>
        </w:rPr>
        <w:t>The framework posits that participatory and equity-driven leadership practices create enabling conditions for enhancing teachers’ access to and effective use of online technologies. This is particularly relevant in the post-pandemic era, where digital competence and infrastructure are essential for quality education delivery. The model underscores the importance of leadership policies and practices in influencing the digital inclusion and readiness of educators.</w:t>
      </w:r>
    </w:p>
    <w:p w14:paraId="0ED0213D" w14:textId="60A60C46" w:rsidR="002F5C4B" w:rsidRDefault="002F5C4B" w:rsidP="002F5C4B">
      <w:pPr>
        <w:rPr>
          <w:rFonts w:ascii="Arial" w:eastAsia="MS Mincho" w:hAnsi="Arial" w:cs="Arial"/>
          <w:lang w:eastAsia="ja-JP"/>
        </w:rPr>
      </w:pPr>
    </w:p>
    <w:p w14:paraId="305CBFC1" w14:textId="44BCFD52" w:rsidR="000D23E6" w:rsidRPr="000D23E6" w:rsidRDefault="002F5C4B" w:rsidP="000D23E6">
      <w:pPr>
        <w:rPr>
          <w:rFonts w:ascii="Arial" w:eastAsia="MS Mincho" w:hAnsi="Arial" w:cs="Arial"/>
          <w:b/>
          <w:lang w:eastAsia="ja-JP"/>
        </w:rPr>
      </w:pPr>
      <w:r w:rsidRPr="000F16B2">
        <w:rPr>
          <w:rFonts w:ascii="Arial" w:eastAsia="MS Mincho" w:hAnsi="Arial" w:cs="Arial"/>
          <w:b/>
          <w:highlight w:val="yellow"/>
          <w:lang w:eastAsia="ja-JP"/>
        </w:rPr>
        <w:t xml:space="preserve">1.1 </w:t>
      </w:r>
      <w:r w:rsidR="000F16B2" w:rsidRPr="000F16B2">
        <w:rPr>
          <w:rFonts w:ascii="Arial" w:eastAsia="MS Mincho" w:hAnsi="Arial" w:cs="Arial"/>
          <w:b/>
          <w:highlight w:val="yellow"/>
          <w:lang w:eastAsia="ja-JP"/>
        </w:rPr>
        <w:t>Research Questions</w:t>
      </w:r>
    </w:p>
    <w:p w14:paraId="71350A61" w14:textId="77777777" w:rsidR="000D23E6" w:rsidRPr="000D23E6" w:rsidRDefault="000D23E6" w:rsidP="000D23E6">
      <w:pPr>
        <w:rPr>
          <w:rFonts w:ascii="Arial" w:eastAsia="MS Mincho" w:hAnsi="Arial" w:cs="Arial"/>
          <w:lang w:eastAsia="ja-JP"/>
        </w:rPr>
      </w:pPr>
    </w:p>
    <w:p w14:paraId="5234FCAB" w14:textId="185F6F8B" w:rsidR="00DA03F0" w:rsidRPr="00DA03F0" w:rsidRDefault="009164E1" w:rsidP="00DA03F0">
      <w:pPr>
        <w:jc w:val="both"/>
        <w:rPr>
          <w:rFonts w:ascii="Arial" w:eastAsia="MS Mincho" w:hAnsi="Arial" w:cs="Arial"/>
          <w:lang w:eastAsia="ja-JP"/>
        </w:rPr>
      </w:pPr>
      <w:r w:rsidRPr="009164E1">
        <w:rPr>
          <w:rFonts w:ascii="Arial" w:eastAsia="MS Mincho" w:hAnsi="Arial" w:cs="Arial"/>
          <w:highlight w:val="yellow"/>
          <w:lang w:eastAsia="ja-JP"/>
        </w:rPr>
        <w:t>T</w:t>
      </w:r>
      <w:r w:rsidR="00DA03F0" w:rsidRPr="009164E1">
        <w:rPr>
          <w:rFonts w:ascii="Arial" w:eastAsia="MS Mincho" w:hAnsi="Arial" w:cs="Arial"/>
          <w:highlight w:val="yellow"/>
          <w:lang w:eastAsia="ja-JP"/>
        </w:rPr>
        <w:t>his study sought to answer the following research questions:</w:t>
      </w:r>
    </w:p>
    <w:p w14:paraId="55CE01C3"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1. What is the level participatory equity leadership of teachers in public elementary schools in terms of:</w:t>
      </w:r>
    </w:p>
    <w:p w14:paraId="5B268748"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1.1 School Leader (SL),</w:t>
      </w:r>
    </w:p>
    <w:p w14:paraId="7020AF24"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1.2 School Context (SC),</w:t>
      </w:r>
    </w:p>
    <w:p w14:paraId="30EBFE0D"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 xml:space="preserve">1.3 Community Context (CC), and </w:t>
      </w:r>
    </w:p>
    <w:p w14:paraId="687E09DE" w14:textId="75B26302" w:rsidR="00DA03F0" w:rsidRDefault="00DA03F0" w:rsidP="00DA03F0">
      <w:pPr>
        <w:jc w:val="both"/>
        <w:rPr>
          <w:rFonts w:ascii="Arial" w:eastAsia="MS Mincho" w:hAnsi="Arial" w:cs="Arial"/>
          <w:lang w:eastAsia="ja-JP"/>
        </w:rPr>
      </w:pPr>
      <w:r w:rsidRPr="00DA03F0">
        <w:rPr>
          <w:rFonts w:ascii="Arial" w:eastAsia="MS Mincho" w:hAnsi="Arial" w:cs="Arial"/>
          <w:lang w:eastAsia="ja-JP"/>
        </w:rPr>
        <w:t xml:space="preserve">1.4 Policy Context (PC)? </w:t>
      </w:r>
    </w:p>
    <w:p w14:paraId="578D317F" w14:textId="77777777" w:rsidR="00DA03F0" w:rsidRPr="00DA03F0" w:rsidRDefault="00DA03F0" w:rsidP="00DA03F0">
      <w:pPr>
        <w:jc w:val="both"/>
        <w:rPr>
          <w:rFonts w:ascii="Arial" w:eastAsia="MS Mincho" w:hAnsi="Arial" w:cs="Arial"/>
          <w:lang w:eastAsia="ja-JP"/>
        </w:rPr>
      </w:pPr>
    </w:p>
    <w:p w14:paraId="464D7EFC"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2. What is the level of online access of teachers in Public Elementary Schools terms of:</w:t>
      </w:r>
    </w:p>
    <w:p w14:paraId="260D749F"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2.1 Access and use of information and communication technologies,</w:t>
      </w:r>
    </w:p>
    <w:p w14:paraId="6D3FC0E4"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2.2 Use of ICTs for teaching and learning, and</w:t>
      </w:r>
    </w:p>
    <w:p w14:paraId="41D7CF75" w14:textId="2125797B" w:rsidR="00DA03F0" w:rsidRDefault="00DA03F0" w:rsidP="00DA03F0">
      <w:pPr>
        <w:jc w:val="both"/>
        <w:rPr>
          <w:rFonts w:ascii="Arial" w:eastAsia="MS Mincho" w:hAnsi="Arial" w:cs="Arial"/>
          <w:lang w:eastAsia="ja-JP"/>
        </w:rPr>
      </w:pPr>
      <w:r w:rsidRPr="00DA03F0">
        <w:rPr>
          <w:rFonts w:ascii="Arial" w:eastAsia="MS Mincho" w:hAnsi="Arial" w:cs="Arial"/>
          <w:lang w:eastAsia="ja-JP"/>
        </w:rPr>
        <w:t>2.3 Using ICTs for research and scholarship?</w:t>
      </w:r>
    </w:p>
    <w:p w14:paraId="35B22F83" w14:textId="77777777" w:rsidR="00DA03F0" w:rsidRPr="00DA03F0" w:rsidRDefault="00DA03F0" w:rsidP="00DA03F0">
      <w:pPr>
        <w:jc w:val="both"/>
        <w:rPr>
          <w:rFonts w:ascii="Arial" w:eastAsia="MS Mincho" w:hAnsi="Arial" w:cs="Arial"/>
          <w:lang w:eastAsia="ja-JP"/>
        </w:rPr>
      </w:pPr>
    </w:p>
    <w:p w14:paraId="0F3E9340" w14:textId="73AA8F49" w:rsidR="00DA03F0" w:rsidRDefault="00DA03F0" w:rsidP="00DA03F0">
      <w:pPr>
        <w:jc w:val="both"/>
        <w:rPr>
          <w:rFonts w:ascii="Arial" w:eastAsia="MS Mincho" w:hAnsi="Arial" w:cs="Arial"/>
          <w:lang w:eastAsia="ja-JP"/>
        </w:rPr>
      </w:pPr>
      <w:r w:rsidRPr="00DA03F0">
        <w:rPr>
          <w:rFonts w:ascii="Arial" w:eastAsia="MS Mincho" w:hAnsi="Arial" w:cs="Arial"/>
          <w:lang w:eastAsia="ja-JP"/>
        </w:rPr>
        <w:lastRenderedPageBreak/>
        <w:t>3. Is there a significant relationship between the level of participatory equity leadership and post-pandemic education of teachers in public elementary schools?</w:t>
      </w:r>
    </w:p>
    <w:p w14:paraId="7147D51C" w14:textId="77777777" w:rsidR="00DA03F0" w:rsidRPr="00DA03F0" w:rsidRDefault="00DA03F0" w:rsidP="00DA03F0">
      <w:pPr>
        <w:jc w:val="both"/>
        <w:rPr>
          <w:rFonts w:ascii="Arial" w:eastAsia="MS Mincho" w:hAnsi="Arial" w:cs="Arial"/>
          <w:lang w:eastAsia="ja-JP"/>
        </w:rPr>
      </w:pPr>
    </w:p>
    <w:p w14:paraId="5A8C5127" w14:textId="6EA3A642" w:rsidR="000D23E6"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4. What domains in participatory equity leadership influence online access significantly in a post-pandemic education of teachers in public elementary schools?</w:t>
      </w:r>
    </w:p>
    <w:p w14:paraId="6BEF6E29" w14:textId="77777777" w:rsidR="00DA03F0" w:rsidRDefault="00DA03F0" w:rsidP="002F5C4B">
      <w:pPr>
        <w:rPr>
          <w:rFonts w:ascii="Arial" w:eastAsia="MS Mincho" w:hAnsi="Arial" w:cs="Arial"/>
          <w:b/>
          <w:lang w:eastAsia="ja-JP"/>
        </w:rPr>
      </w:pPr>
    </w:p>
    <w:p w14:paraId="4110F409" w14:textId="059623FE"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3F0AB38A" w14:textId="77777777" w:rsidR="00DA03F0" w:rsidRDefault="00DA03F0" w:rsidP="00DA03F0">
      <w:pPr>
        <w:rPr>
          <w:rFonts w:ascii="Arial" w:eastAsia="MS Mincho" w:hAnsi="Arial" w:cs="Arial"/>
          <w:lang w:eastAsia="ja-JP"/>
        </w:rPr>
      </w:pPr>
      <w:r>
        <w:rPr>
          <w:rFonts w:ascii="Arial" w:eastAsia="MS Mincho" w:hAnsi="Arial" w:cs="Arial"/>
          <w:lang w:eastAsia="ja-JP"/>
        </w:rPr>
        <w:t xml:space="preserve">Ho1. </w:t>
      </w:r>
      <w:r w:rsidRPr="00DA03F0">
        <w:rPr>
          <w:rFonts w:ascii="Arial" w:eastAsia="MS Mincho" w:hAnsi="Arial" w:cs="Arial"/>
          <w:lang w:eastAsia="ja-JP"/>
        </w:rPr>
        <w:t>There is no significant relationship between the level of participatory equity leadership and post-pandemic education of teachers in public elementary schools.</w:t>
      </w:r>
    </w:p>
    <w:p w14:paraId="2761BBBA" w14:textId="6185B2B4" w:rsidR="000D23E6" w:rsidRDefault="00DA03F0" w:rsidP="00DA03F0">
      <w:pPr>
        <w:rPr>
          <w:rFonts w:ascii="Arial" w:eastAsia="MS Mincho" w:hAnsi="Arial" w:cs="Arial"/>
          <w:lang w:eastAsia="ja-JP"/>
        </w:rPr>
      </w:pPr>
      <w:r>
        <w:rPr>
          <w:rFonts w:ascii="Arial" w:eastAsia="MS Mincho" w:hAnsi="Arial" w:cs="Arial"/>
          <w:lang w:eastAsia="ja-JP"/>
        </w:rPr>
        <w:t xml:space="preserve">Ho2. </w:t>
      </w:r>
      <w:r w:rsidRPr="00DA03F0">
        <w:rPr>
          <w:rFonts w:ascii="Arial" w:eastAsia="MS Mincho" w:hAnsi="Arial" w:cs="Arial"/>
          <w:lang w:eastAsia="ja-JP"/>
        </w:rPr>
        <w:t>None of the domains in participatory equity leadership significantly influence the online access of teachers in public elementary schools in a post-pandemic education setting.</w:t>
      </w:r>
    </w:p>
    <w:p w14:paraId="6125A0D2" w14:textId="77777777" w:rsidR="00DA03F0" w:rsidRPr="00DA03F0" w:rsidRDefault="00DA03F0" w:rsidP="00DA03F0">
      <w:pPr>
        <w:rPr>
          <w:rFonts w:ascii="Arial" w:eastAsia="MS Mincho" w:hAnsi="Arial" w:cs="Arial"/>
          <w:lang w:eastAsia="ja-JP"/>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0D88826" w14:textId="66D394C1" w:rsidR="000D23E6" w:rsidRDefault="00C07589" w:rsidP="003340B8">
      <w:pPr>
        <w:jc w:val="both"/>
        <w:rPr>
          <w:rFonts w:ascii="Arial" w:hAnsi="Arial" w:cs="Arial"/>
        </w:rPr>
      </w:pPr>
      <w:r w:rsidRPr="00C07589">
        <w:rPr>
          <w:rFonts w:ascii="Arial" w:hAnsi="Arial" w:cs="Arial"/>
        </w:rPr>
        <w:t>This study employed a non-experimental quantitative research design utilizing the correlational method. This approach was deemed appropriate for examining the degree of association between participatory equity leadership and the online access of teachers in public elementary schools in the context of post-pandemic education. As Baguio and Baguio (2025) emphasized, variables may be related either through shared patterns of variation or due to a common influencing factor. In this context, the correlational method enabled the researcher to determine whether the level of participatory equity leadership is significantly related to the online access experienced by teachers. By exploring the relationship between these two variables, the study aimed to uncover relevant insights that can inform leadership practices, policy decisions, and strategies to enhance equitable digital access for educators within the Tarragona District, Division of Davao Oriental.</w:t>
      </w:r>
    </w:p>
    <w:p w14:paraId="5DFEAB12" w14:textId="77777777" w:rsidR="00C07589" w:rsidRDefault="00C07589"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3FACA4E2" w14:textId="3E48252C" w:rsidR="000D23E6" w:rsidRPr="00C07589" w:rsidRDefault="00C07589" w:rsidP="00C07589">
      <w:pPr>
        <w:jc w:val="both"/>
        <w:rPr>
          <w:rFonts w:ascii="Arial" w:hAnsi="Arial" w:cs="Arial"/>
        </w:rPr>
      </w:pPr>
      <w:r w:rsidRPr="000764CC">
        <w:rPr>
          <w:rFonts w:ascii="Arial" w:hAnsi="Arial" w:cs="Arial"/>
          <w:highlight w:val="yellow"/>
        </w:rPr>
        <w:t xml:space="preserve">The participants of this study were randomly selected from four 4 schools with one hundred sixty-five 165 out of 250 from Tarragona District, Division of Davao Oriental teacher respondents used the Slovin’s Formula with .05 margin of error. Each of them had experienced participatory equity leadership and has online access of during post-pandemic education in Public Elementary Schools. The schools were selected regardless of entity, size of </w:t>
      </w:r>
      <w:proofErr w:type="gramStart"/>
      <w:r w:rsidRPr="000764CC">
        <w:rPr>
          <w:rFonts w:ascii="Arial" w:hAnsi="Arial" w:cs="Arial"/>
          <w:highlight w:val="yellow"/>
        </w:rPr>
        <w:t>teachers</w:t>
      </w:r>
      <w:proofErr w:type="gramEnd"/>
      <w:r w:rsidRPr="000764CC">
        <w:rPr>
          <w:rFonts w:ascii="Arial" w:hAnsi="Arial" w:cs="Arial"/>
          <w:highlight w:val="yellow"/>
        </w:rPr>
        <w:t xml:space="preserve"> population, and distance.</w:t>
      </w:r>
      <w:r w:rsidRPr="00C07589">
        <w:rPr>
          <w:rFonts w:ascii="Arial" w:hAnsi="Arial" w:cs="Arial"/>
        </w:rPr>
        <w:t xml:space="preserve"> </w:t>
      </w:r>
    </w:p>
    <w:p w14:paraId="36A7D8AD" w14:textId="77777777" w:rsidR="00C07589" w:rsidRDefault="00C07589">
      <w:pPr>
        <w:rPr>
          <w:rFonts w:ascii="Arial" w:hAnsi="Arial" w:cs="Arial"/>
          <w:b/>
          <w:bCs/>
        </w:rPr>
      </w:pPr>
    </w:p>
    <w:p w14:paraId="6BE2C45C" w14:textId="140FA133"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8C5CA7E" w14:textId="13EDBB45" w:rsidR="00FD76F8" w:rsidRPr="00FD76F8" w:rsidRDefault="00FD76F8" w:rsidP="00FD76F8">
      <w:pPr>
        <w:jc w:val="both"/>
        <w:rPr>
          <w:rFonts w:ascii="Arial" w:hAnsi="Arial" w:cs="Arial"/>
        </w:rPr>
      </w:pPr>
      <w:r w:rsidRPr="00FD76F8">
        <w:rPr>
          <w:rFonts w:ascii="Arial" w:hAnsi="Arial" w:cs="Arial"/>
        </w:rPr>
        <w:t xml:space="preserve">The instruments used in this study were self-made survey questionnaires designed to assess the level of participatory equity leadership and the online access of public elementary school teachers in the Tarragona District, Division of Davao Oriental. </w:t>
      </w:r>
      <w:r w:rsidRPr="00804F79">
        <w:rPr>
          <w:rFonts w:ascii="Arial" w:hAnsi="Arial" w:cs="Arial"/>
          <w:highlight w:val="yellow"/>
        </w:rPr>
        <w:t>These instruments w</w:t>
      </w:r>
      <w:r w:rsidR="00804F79" w:rsidRPr="00804F79">
        <w:rPr>
          <w:rFonts w:ascii="Arial" w:hAnsi="Arial" w:cs="Arial"/>
          <w:highlight w:val="yellow"/>
        </w:rPr>
        <w:t>ere developed by the researcher.</w:t>
      </w:r>
      <w:r w:rsidR="00804F79">
        <w:rPr>
          <w:rFonts w:ascii="Arial" w:hAnsi="Arial" w:cs="Arial"/>
        </w:rPr>
        <w:t xml:space="preserve"> </w:t>
      </w:r>
      <w:r w:rsidRPr="00FD76F8">
        <w:rPr>
          <w:rFonts w:ascii="Arial" w:hAnsi="Arial" w:cs="Arial"/>
        </w:rPr>
        <w:t>Before the actual data collection, the draft questionnaires underwent face and content validation by a panel of experts in the fields of Educational Leadership, Information and Communications Technology in Education, and Curriculum and Instruction. Based on the feedback and recommendations provided by the panel, necessary revisions were implemented to enhance clarity, ensure content validity, and align the instruments with the study’s research objectives.</w:t>
      </w:r>
    </w:p>
    <w:p w14:paraId="56F6378A" w14:textId="77777777" w:rsidR="00FD76F8" w:rsidRPr="00FD76F8" w:rsidRDefault="00FD76F8" w:rsidP="00FD76F8">
      <w:pPr>
        <w:jc w:val="both"/>
        <w:rPr>
          <w:rFonts w:ascii="Arial" w:hAnsi="Arial" w:cs="Arial"/>
        </w:rPr>
      </w:pPr>
    </w:p>
    <w:p w14:paraId="3EBD8093" w14:textId="3ED83CF8" w:rsidR="00FD76F8" w:rsidRPr="00FD76F8" w:rsidRDefault="00FD76F8" w:rsidP="00FD76F8">
      <w:pPr>
        <w:jc w:val="both"/>
        <w:rPr>
          <w:rFonts w:ascii="Arial" w:hAnsi="Arial" w:cs="Arial"/>
        </w:rPr>
      </w:pPr>
      <w:r w:rsidRPr="00FD76F8">
        <w:rPr>
          <w:rFonts w:ascii="Arial" w:hAnsi="Arial" w:cs="Arial"/>
        </w:rPr>
        <w:lastRenderedPageBreak/>
        <w:t xml:space="preserve">To ensure the reliability and validity of the instruments, a pilot test was conducted with 30 public elementary school teachers from a neighboring district within the same division who were not included in the main study. The results of the pilot test demonstrated high reliability, </w:t>
      </w:r>
      <w:r>
        <w:rPr>
          <w:rFonts w:ascii="Arial" w:hAnsi="Arial" w:cs="Arial"/>
        </w:rPr>
        <w:t>with a Cronbach’s Alpha of 0.928</w:t>
      </w:r>
      <w:r w:rsidRPr="00FD76F8">
        <w:rPr>
          <w:rFonts w:ascii="Arial" w:hAnsi="Arial" w:cs="Arial"/>
        </w:rPr>
        <w:t xml:space="preserve"> for the Participatory Equi</w:t>
      </w:r>
      <w:r>
        <w:rPr>
          <w:rFonts w:ascii="Arial" w:hAnsi="Arial" w:cs="Arial"/>
        </w:rPr>
        <w:t>ty Leadership subscale and 0.903</w:t>
      </w:r>
      <w:r w:rsidRPr="00FD76F8">
        <w:rPr>
          <w:rFonts w:ascii="Arial" w:hAnsi="Arial" w:cs="Arial"/>
        </w:rPr>
        <w:t xml:space="preserve"> for the Online Access subscale.</w:t>
      </w:r>
    </w:p>
    <w:p w14:paraId="04BEB936" w14:textId="77777777" w:rsidR="000D23E6" w:rsidRDefault="000D23E6" w:rsidP="000D23E6">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CD4E81B" w14:textId="4B8C422E" w:rsidR="00FD76F8" w:rsidRPr="00FD76F8" w:rsidRDefault="00FD76F8" w:rsidP="00FD76F8">
      <w:pPr>
        <w:pStyle w:val="Heading1"/>
        <w:jc w:val="both"/>
        <w:rPr>
          <w:rFonts w:cs="Arial"/>
          <w:b w:val="0"/>
          <w:kern w:val="0"/>
          <w:sz w:val="20"/>
        </w:rPr>
      </w:pPr>
      <w:r w:rsidRPr="00FD76F8">
        <w:rPr>
          <w:rFonts w:cs="Arial"/>
          <w:b w:val="0"/>
          <w:kern w:val="0"/>
          <w:sz w:val="20"/>
        </w:rPr>
        <w:t>The data for this study were gathered through a series of systematic and ethically guided procedures. The researcher first obtained an endorsement from the Dean of the Graduate School of Rizal Memorial Colleges and secured ethical clearance from the institution’s Ethics Review Committee to ensure the protection of participants' rights and adherence to established research ethics. Following this, a formal request letter was submitted to the Office of the Schools Division Superintendent of Davao Oriental. Upon approval, the Division Office issued an endorsement letter addressed to the School Heads of public elementary schools within the Tarragona District, authorizing the conduct of the study in their respective institutions.</w:t>
      </w:r>
    </w:p>
    <w:p w14:paraId="6ED94ACB" w14:textId="77777777" w:rsidR="00FD76F8" w:rsidRPr="00FD76F8" w:rsidRDefault="00FD76F8" w:rsidP="00FD76F8">
      <w:pPr>
        <w:pStyle w:val="Heading1"/>
        <w:jc w:val="both"/>
        <w:rPr>
          <w:rFonts w:cs="Arial"/>
          <w:b w:val="0"/>
          <w:kern w:val="0"/>
          <w:sz w:val="20"/>
        </w:rPr>
      </w:pPr>
      <w:r w:rsidRPr="00FD76F8">
        <w:rPr>
          <w:rFonts w:cs="Arial"/>
          <w:b w:val="0"/>
          <w:kern w:val="0"/>
          <w:sz w:val="20"/>
        </w:rPr>
        <w:t>With all necessary permissions obtained, the researcher conducted a pilot test of the survey instruments to assess their reliability and validity. During this phase, participating teachers were thoroughly briefed on the study’s purpose and provided with detailed instructions to complete the questionnaire accurately. Based on the responses and feedback gathered, the instruments were refined to enhance clarity and ensure alignment with the study’s objectives. The finalized questionnaires were then distributed to the 165 public elementary school teachers selected through the universal sampling method. Upon completion, the researcher personally collected all accomplished questionnaires. The data were then submitted to a professional statistician for tallying, tabulation, and statistical analysis in accordance with the research questions and objectives of the study.</w:t>
      </w:r>
    </w:p>
    <w:p w14:paraId="3C6A5BA3" w14:textId="77777777" w:rsidR="00FD76F8" w:rsidRDefault="00FD76F8" w:rsidP="000D23E6">
      <w:pPr>
        <w:pStyle w:val="Heading1"/>
        <w:rPr>
          <w:rFonts w:cs="Arial"/>
          <w:sz w:val="20"/>
        </w:rPr>
      </w:pPr>
    </w:p>
    <w:p w14:paraId="1C13872C" w14:textId="08B254C2"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3AB11CF6" w14:textId="77777777" w:rsidR="00FD76F8" w:rsidRPr="00FD76F8" w:rsidRDefault="00FD76F8" w:rsidP="00FD76F8">
      <w:pPr>
        <w:pStyle w:val="Head1"/>
        <w:jc w:val="both"/>
        <w:rPr>
          <w:rFonts w:ascii="Arial" w:hAnsi="Arial" w:cs="Arial"/>
          <w:b w:val="0"/>
          <w:caps w:val="0"/>
          <w:sz w:val="20"/>
        </w:rPr>
      </w:pPr>
      <w:r w:rsidRPr="00FD76F8">
        <w:rPr>
          <w:rFonts w:ascii="Arial" w:hAnsi="Arial" w:cs="Arial"/>
          <w:b w:val="0"/>
          <w:caps w:val="0"/>
          <w:sz w:val="20"/>
        </w:rPr>
        <w:t>To analyze the data collected and effectively address the research questions of this study, the following statistical tools were utilized:</w:t>
      </w:r>
    </w:p>
    <w:p w14:paraId="37B0ED53" w14:textId="77777777" w:rsidR="00FD76F8" w:rsidRPr="00FD76F8" w:rsidRDefault="00FD76F8" w:rsidP="00FD76F8">
      <w:pPr>
        <w:pStyle w:val="Head1"/>
        <w:jc w:val="both"/>
        <w:rPr>
          <w:rFonts w:ascii="Arial" w:hAnsi="Arial" w:cs="Arial"/>
          <w:b w:val="0"/>
          <w:caps w:val="0"/>
          <w:sz w:val="20"/>
        </w:rPr>
      </w:pPr>
      <w:r w:rsidRPr="00FD76F8">
        <w:rPr>
          <w:rFonts w:ascii="Arial" w:hAnsi="Arial" w:cs="Arial"/>
          <w:b w:val="0"/>
          <w:caps w:val="0"/>
          <w:sz w:val="20"/>
        </w:rPr>
        <w:t>Mean. This was used to determine the levels of participatory equity leadership and online access among public elementary school teachers. It provided a general summary of the respondents’ ratings across individual items and subscales, highlighting overall patterns in leadership practices and digital accessibility experienced by teachers.</w:t>
      </w:r>
    </w:p>
    <w:p w14:paraId="198D4878" w14:textId="77777777" w:rsidR="00FD76F8" w:rsidRPr="00FD76F8" w:rsidRDefault="00FD76F8" w:rsidP="00FD76F8">
      <w:pPr>
        <w:pStyle w:val="Head1"/>
        <w:jc w:val="both"/>
        <w:rPr>
          <w:rFonts w:ascii="Arial" w:hAnsi="Arial" w:cs="Arial"/>
          <w:b w:val="0"/>
          <w:caps w:val="0"/>
          <w:sz w:val="20"/>
        </w:rPr>
      </w:pPr>
      <w:r w:rsidRPr="00FD76F8">
        <w:rPr>
          <w:rFonts w:ascii="Arial" w:hAnsi="Arial" w:cs="Arial"/>
          <w:b w:val="0"/>
          <w:caps w:val="0"/>
          <w:sz w:val="20"/>
        </w:rPr>
        <w:t>Pearson Product-Moment Correlation Coefficient (Pearson r). This tool was employed to examine the degree of relationship between participatory equity leadership and online access. It enabled the researcher to assess whether a statistically significant linear correlation existed between the two variables within the context of post-pandemic education.</w:t>
      </w:r>
    </w:p>
    <w:p w14:paraId="54E1E55E" w14:textId="06CB8A98" w:rsidR="005923EA" w:rsidRDefault="00FD76F8" w:rsidP="00FD76F8">
      <w:pPr>
        <w:pStyle w:val="Head1"/>
        <w:spacing w:after="0"/>
        <w:jc w:val="both"/>
        <w:rPr>
          <w:rFonts w:ascii="Arial" w:hAnsi="Arial" w:cs="Arial"/>
          <w:b w:val="0"/>
          <w:caps w:val="0"/>
          <w:sz w:val="20"/>
        </w:rPr>
      </w:pPr>
      <w:r w:rsidRPr="00FD76F8">
        <w:rPr>
          <w:rFonts w:ascii="Arial" w:hAnsi="Arial" w:cs="Arial"/>
          <w:b w:val="0"/>
          <w:caps w:val="0"/>
          <w:sz w:val="20"/>
        </w:rPr>
        <w:t xml:space="preserve">Multiple Regression Analysis. This analysis was conducted to determine the extent to which specific domains of participatory equity leadership significantly predicted teachers’ online </w:t>
      </w:r>
      <w:r w:rsidRPr="00FD76F8">
        <w:rPr>
          <w:rFonts w:ascii="Arial" w:hAnsi="Arial" w:cs="Arial"/>
          <w:b w:val="0"/>
          <w:caps w:val="0"/>
          <w:sz w:val="20"/>
        </w:rPr>
        <w:lastRenderedPageBreak/>
        <w:t>access. It helped identify which dimensions of leadership practices most strongly influenced digital accessibility and technology integration in teaching.</w:t>
      </w:r>
    </w:p>
    <w:p w14:paraId="49909D72" w14:textId="77777777" w:rsidR="00FD76F8" w:rsidRDefault="00FD76F8" w:rsidP="00FD76F8">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11FDFF63" w:rsidR="005D71AE" w:rsidRDefault="00180859">
      <w:pPr>
        <w:suppressAutoHyphens/>
        <w:jc w:val="both"/>
        <w:rPr>
          <w:rFonts w:ascii="Arial" w:hAnsi="Arial" w:cs="Arial"/>
          <w:b/>
        </w:rPr>
      </w:pPr>
      <w:r>
        <w:rPr>
          <w:rFonts w:ascii="Arial" w:hAnsi="Arial" w:cs="Arial"/>
          <w:b/>
        </w:rPr>
        <w:t xml:space="preserve">3.1 </w:t>
      </w:r>
      <w:r w:rsidR="00E754E9" w:rsidRPr="00E754E9">
        <w:rPr>
          <w:rFonts w:ascii="Arial" w:hAnsi="Arial" w:cs="Arial"/>
          <w:b/>
        </w:rPr>
        <w:t>Level of Participatory Equity Leadership among Public Elementary School Teachers in Post-Pandemic Education</w:t>
      </w:r>
    </w:p>
    <w:p w14:paraId="1B38FF68" w14:textId="77777777" w:rsidR="00EF4B2D" w:rsidRDefault="00EF4B2D">
      <w:pPr>
        <w:suppressAutoHyphens/>
        <w:jc w:val="both"/>
        <w:rPr>
          <w:rFonts w:ascii="Arial" w:hAnsi="Arial" w:cs="Arial"/>
          <w:b/>
        </w:rPr>
      </w:pPr>
    </w:p>
    <w:p w14:paraId="69D23EB0" w14:textId="781F53C8"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E754E9" w:rsidRPr="00E754E9">
        <w:rPr>
          <w:rFonts w:ascii="Arial" w:hAnsi="Arial" w:cs="Arial"/>
          <w:i/>
          <w:iCs/>
        </w:rPr>
        <w:t>Level of Participatory Equity Leadership among Public Elementary School Teachers in Post-Pandemic Education</w:t>
      </w:r>
    </w:p>
    <w:tbl>
      <w:tblPr>
        <w:tblW w:w="8306" w:type="dxa"/>
        <w:tblInd w:w="108" w:type="dxa"/>
        <w:tblBorders>
          <w:top w:val="single" w:sz="4" w:space="0" w:color="auto"/>
          <w:bottom w:val="single" w:sz="4" w:space="0" w:color="auto"/>
        </w:tblBorders>
        <w:tblLayout w:type="fixed"/>
        <w:tblLook w:val="04A0" w:firstRow="1" w:lastRow="0" w:firstColumn="1" w:lastColumn="0" w:noHBand="0" w:noVBand="1"/>
      </w:tblPr>
      <w:tblGrid>
        <w:gridCol w:w="4200"/>
        <w:gridCol w:w="41"/>
        <w:gridCol w:w="847"/>
        <w:gridCol w:w="982"/>
        <w:gridCol w:w="18"/>
        <w:gridCol w:w="2205"/>
        <w:gridCol w:w="13"/>
      </w:tblGrid>
      <w:tr w:rsidR="00E754E9" w:rsidRPr="00E754E9" w14:paraId="6F81924D" w14:textId="77777777" w:rsidTr="00E30704">
        <w:trPr>
          <w:gridAfter w:val="1"/>
          <w:wAfter w:w="12" w:type="dxa"/>
          <w:trHeight w:val="427"/>
        </w:trPr>
        <w:tc>
          <w:tcPr>
            <w:tcW w:w="4242" w:type="dxa"/>
            <w:gridSpan w:val="2"/>
            <w:tcBorders>
              <w:bottom w:val="single" w:sz="4" w:space="0" w:color="auto"/>
            </w:tcBorders>
          </w:tcPr>
          <w:p w14:paraId="1D2483F6" w14:textId="77777777" w:rsidR="00E754E9" w:rsidRPr="00E754E9" w:rsidRDefault="00E754E9" w:rsidP="00E30704">
            <w:pPr>
              <w:jc w:val="center"/>
              <w:rPr>
                <w:rFonts w:ascii="Arial" w:eastAsia="Arial" w:hAnsi="Arial" w:cs="Arial"/>
                <w:b/>
              </w:rPr>
            </w:pPr>
            <w:r w:rsidRPr="00E754E9">
              <w:rPr>
                <w:rFonts w:ascii="Arial" w:eastAsia="Arial" w:hAnsi="Arial" w:cs="Arial"/>
                <w:b/>
              </w:rPr>
              <w:t>Domains</w:t>
            </w:r>
          </w:p>
        </w:tc>
        <w:tc>
          <w:tcPr>
            <w:tcW w:w="847" w:type="dxa"/>
            <w:tcBorders>
              <w:bottom w:val="single" w:sz="4" w:space="0" w:color="auto"/>
            </w:tcBorders>
          </w:tcPr>
          <w:p w14:paraId="1CE72D8A" w14:textId="77777777" w:rsidR="00E754E9" w:rsidRPr="00E754E9" w:rsidRDefault="00E754E9" w:rsidP="00E30704">
            <w:pPr>
              <w:jc w:val="center"/>
              <w:rPr>
                <w:rFonts w:ascii="Arial" w:eastAsia="Arial" w:hAnsi="Arial" w:cs="Arial"/>
                <w:b/>
              </w:rPr>
            </w:pPr>
            <w:r w:rsidRPr="00E754E9">
              <w:rPr>
                <w:rFonts w:ascii="Arial" w:eastAsia="Arial" w:hAnsi="Arial" w:cs="Arial"/>
                <w:b/>
              </w:rPr>
              <w:t>SD</w:t>
            </w:r>
          </w:p>
        </w:tc>
        <w:tc>
          <w:tcPr>
            <w:tcW w:w="1000" w:type="dxa"/>
            <w:gridSpan w:val="2"/>
            <w:tcBorders>
              <w:bottom w:val="single" w:sz="4" w:space="0" w:color="auto"/>
            </w:tcBorders>
          </w:tcPr>
          <w:p w14:paraId="6BCAD14F" w14:textId="77777777" w:rsidR="00E754E9" w:rsidRPr="00E754E9" w:rsidRDefault="00E754E9" w:rsidP="00E30704">
            <w:pPr>
              <w:jc w:val="center"/>
              <w:rPr>
                <w:rFonts w:ascii="Arial" w:eastAsia="Arial" w:hAnsi="Arial" w:cs="Arial"/>
                <w:b/>
              </w:rPr>
            </w:pPr>
            <w:r w:rsidRPr="00E754E9">
              <w:rPr>
                <w:rFonts w:ascii="Arial" w:eastAsia="Arial" w:hAnsi="Arial" w:cs="Arial"/>
                <w:b/>
              </w:rPr>
              <w:t>Mean</w:t>
            </w:r>
          </w:p>
        </w:tc>
        <w:tc>
          <w:tcPr>
            <w:tcW w:w="2205" w:type="dxa"/>
            <w:tcBorders>
              <w:bottom w:val="single" w:sz="4" w:space="0" w:color="auto"/>
            </w:tcBorders>
          </w:tcPr>
          <w:p w14:paraId="5ECCBD28" w14:textId="77777777" w:rsidR="00E754E9" w:rsidRPr="00E754E9" w:rsidRDefault="00E754E9" w:rsidP="00E30704">
            <w:pPr>
              <w:jc w:val="center"/>
              <w:rPr>
                <w:rFonts w:ascii="Arial" w:eastAsia="Arial" w:hAnsi="Arial" w:cs="Arial"/>
                <w:b/>
              </w:rPr>
            </w:pPr>
            <w:r w:rsidRPr="00E754E9">
              <w:rPr>
                <w:rFonts w:ascii="Arial" w:eastAsia="Arial" w:hAnsi="Arial" w:cs="Arial"/>
                <w:b/>
              </w:rPr>
              <w:t>Descriptive Level</w:t>
            </w:r>
          </w:p>
        </w:tc>
      </w:tr>
      <w:tr w:rsidR="00E754E9" w:rsidRPr="00E754E9" w14:paraId="2B1B8ED0" w14:textId="77777777" w:rsidTr="00E754E9">
        <w:trPr>
          <w:gridAfter w:val="1"/>
          <w:wAfter w:w="12" w:type="dxa"/>
          <w:trHeight w:val="107"/>
        </w:trPr>
        <w:tc>
          <w:tcPr>
            <w:tcW w:w="4242" w:type="dxa"/>
            <w:gridSpan w:val="2"/>
            <w:tcBorders>
              <w:top w:val="single" w:sz="4" w:space="0" w:color="auto"/>
            </w:tcBorders>
          </w:tcPr>
          <w:p w14:paraId="58D68DF4"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School Leader</w:t>
            </w:r>
          </w:p>
        </w:tc>
        <w:tc>
          <w:tcPr>
            <w:tcW w:w="847" w:type="dxa"/>
            <w:tcBorders>
              <w:top w:val="single" w:sz="4" w:space="0" w:color="auto"/>
            </w:tcBorders>
          </w:tcPr>
          <w:p w14:paraId="3A10BEC1" w14:textId="77777777" w:rsidR="00E754E9" w:rsidRPr="00E754E9" w:rsidRDefault="00E754E9" w:rsidP="00E754E9">
            <w:pPr>
              <w:jc w:val="center"/>
              <w:rPr>
                <w:rFonts w:ascii="Arial" w:eastAsia="Arial" w:hAnsi="Arial" w:cs="Arial"/>
              </w:rPr>
            </w:pPr>
            <w:r w:rsidRPr="00E754E9">
              <w:rPr>
                <w:rFonts w:ascii="Arial" w:eastAsia="Arial" w:hAnsi="Arial" w:cs="Arial"/>
              </w:rPr>
              <w:t>0.64</w:t>
            </w:r>
          </w:p>
        </w:tc>
        <w:tc>
          <w:tcPr>
            <w:tcW w:w="1000" w:type="dxa"/>
            <w:gridSpan w:val="2"/>
            <w:tcBorders>
              <w:top w:val="single" w:sz="4" w:space="0" w:color="auto"/>
            </w:tcBorders>
          </w:tcPr>
          <w:p w14:paraId="2F72C848" w14:textId="77777777" w:rsidR="00E754E9" w:rsidRPr="00E754E9" w:rsidRDefault="00E754E9" w:rsidP="00E754E9">
            <w:pPr>
              <w:jc w:val="center"/>
              <w:rPr>
                <w:rFonts w:ascii="Arial" w:eastAsia="Arial" w:hAnsi="Arial" w:cs="Arial"/>
              </w:rPr>
            </w:pPr>
            <w:r w:rsidRPr="00E754E9">
              <w:rPr>
                <w:rFonts w:ascii="Arial" w:eastAsia="Arial" w:hAnsi="Arial" w:cs="Arial"/>
              </w:rPr>
              <w:t>3.84</w:t>
            </w:r>
          </w:p>
        </w:tc>
        <w:tc>
          <w:tcPr>
            <w:tcW w:w="2205" w:type="dxa"/>
            <w:tcBorders>
              <w:top w:val="single" w:sz="4" w:space="0" w:color="auto"/>
            </w:tcBorders>
          </w:tcPr>
          <w:p w14:paraId="617A47A6" w14:textId="77777777" w:rsidR="00E754E9" w:rsidRPr="00E754E9" w:rsidRDefault="00E754E9" w:rsidP="00E30704">
            <w:pPr>
              <w:jc w:val="center"/>
              <w:rPr>
                <w:rFonts w:ascii="Arial" w:eastAsia="Arial" w:hAnsi="Arial" w:cs="Arial"/>
              </w:rPr>
            </w:pPr>
            <w:r w:rsidRPr="00E754E9">
              <w:rPr>
                <w:rFonts w:ascii="Arial" w:eastAsia="Arial" w:hAnsi="Arial" w:cs="Arial"/>
              </w:rPr>
              <w:t>High</w:t>
            </w:r>
          </w:p>
        </w:tc>
      </w:tr>
      <w:tr w:rsidR="00E754E9" w:rsidRPr="00E754E9" w14:paraId="5B4B1B30" w14:textId="77777777" w:rsidTr="00E754E9">
        <w:trPr>
          <w:gridAfter w:val="1"/>
          <w:wAfter w:w="12" w:type="dxa"/>
          <w:trHeight w:val="68"/>
        </w:trPr>
        <w:tc>
          <w:tcPr>
            <w:tcW w:w="4242" w:type="dxa"/>
            <w:gridSpan w:val="2"/>
          </w:tcPr>
          <w:p w14:paraId="5B427D6E"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School Context</w:t>
            </w:r>
          </w:p>
        </w:tc>
        <w:tc>
          <w:tcPr>
            <w:tcW w:w="847" w:type="dxa"/>
          </w:tcPr>
          <w:p w14:paraId="20D2C3D3" w14:textId="77777777" w:rsidR="00E754E9" w:rsidRPr="00E754E9" w:rsidRDefault="00E754E9" w:rsidP="00E754E9">
            <w:pPr>
              <w:jc w:val="center"/>
              <w:rPr>
                <w:rFonts w:ascii="Arial" w:eastAsia="Arial" w:hAnsi="Arial" w:cs="Arial"/>
              </w:rPr>
            </w:pPr>
            <w:r w:rsidRPr="00E754E9">
              <w:rPr>
                <w:rFonts w:ascii="Arial" w:eastAsia="Arial" w:hAnsi="Arial" w:cs="Arial"/>
              </w:rPr>
              <w:t>0.54</w:t>
            </w:r>
          </w:p>
        </w:tc>
        <w:tc>
          <w:tcPr>
            <w:tcW w:w="1000" w:type="dxa"/>
            <w:gridSpan w:val="2"/>
          </w:tcPr>
          <w:p w14:paraId="50AF277B" w14:textId="77777777" w:rsidR="00E754E9" w:rsidRPr="00E754E9" w:rsidRDefault="00E754E9" w:rsidP="00E754E9">
            <w:pPr>
              <w:jc w:val="center"/>
              <w:rPr>
                <w:rFonts w:ascii="Arial" w:eastAsia="Arial" w:hAnsi="Arial" w:cs="Arial"/>
              </w:rPr>
            </w:pPr>
            <w:r w:rsidRPr="00E754E9">
              <w:rPr>
                <w:rFonts w:ascii="Arial" w:eastAsia="Arial" w:hAnsi="Arial" w:cs="Arial"/>
              </w:rPr>
              <w:t>4.19</w:t>
            </w:r>
          </w:p>
        </w:tc>
        <w:tc>
          <w:tcPr>
            <w:tcW w:w="2205" w:type="dxa"/>
          </w:tcPr>
          <w:p w14:paraId="6A8A6B81" w14:textId="77777777" w:rsidR="00E754E9" w:rsidRPr="00E754E9" w:rsidRDefault="00E754E9" w:rsidP="00E30704">
            <w:pPr>
              <w:jc w:val="center"/>
              <w:rPr>
                <w:rFonts w:ascii="Arial" w:eastAsia="Arial" w:hAnsi="Arial" w:cs="Arial"/>
              </w:rPr>
            </w:pPr>
            <w:r w:rsidRPr="00E754E9">
              <w:rPr>
                <w:rFonts w:ascii="Arial" w:eastAsia="Arial" w:hAnsi="Arial" w:cs="Arial"/>
              </w:rPr>
              <w:t>High</w:t>
            </w:r>
          </w:p>
        </w:tc>
      </w:tr>
      <w:tr w:rsidR="00E754E9" w:rsidRPr="00E754E9" w14:paraId="5A6D49B2" w14:textId="77777777" w:rsidTr="00E754E9">
        <w:trPr>
          <w:gridAfter w:val="1"/>
          <w:wAfter w:w="12" w:type="dxa"/>
          <w:trHeight w:val="68"/>
        </w:trPr>
        <w:tc>
          <w:tcPr>
            <w:tcW w:w="4242" w:type="dxa"/>
            <w:gridSpan w:val="2"/>
          </w:tcPr>
          <w:p w14:paraId="6B5EECC8"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Community Context</w:t>
            </w:r>
          </w:p>
        </w:tc>
        <w:tc>
          <w:tcPr>
            <w:tcW w:w="847" w:type="dxa"/>
          </w:tcPr>
          <w:p w14:paraId="33AEA786" w14:textId="77777777" w:rsidR="00E754E9" w:rsidRPr="00E754E9" w:rsidRDefault="00E754E9" w:rsidP="00E754E9">
            <w:pPr>
              <w:jc w:val="center"/>
              <w:rPr>
                <w:rFonts w:ascii="Arial" w:eastAsia="Arial" w:hAnsi="Arial" w:cs="Arial"/>
              </w:rPr>
            </w:pPr>
            <w:r w:rsidRPr="00E754E9">
              <w:rPr>
                <w:rFonts w:ascii="Arial" w:eastAsia="Arial" w:hAnsi="Arial" w:cs="Arial"/>
              </w:rPr>
              <w:t>0.63</w:t>
            </w:r>
          </w:p>
        </w:tc>
        <w:tc>
          <w:tcPr>
            <w:tcW w:w="1000" w:type="dxa"/>
            <w:gridSpan w:val="2"/>
          </w:tcPr>
          <w:p w14:paraId="4E5D84B0" w14:textId="77777777" w:rsidR="00E754E9" w:rsidRPr="00E754E9" w:rsidRDefault="00E754E9" w:rsidP="00E754E9">
            <w:pPr>
              <w:jc w:val="center"/>
              <w:rPr>
                <w:rFonts w:ascii="Arial" w:eastAsia="Arial" w:hAnsi="Arial" w:cs="Arial"/>
              </w:rPr>
            </w:pPr>
            <w:r w:rsidRPr="00E754E9">
              <w:rPr>
                <w:rFonts w:ascii="Arial" w:eastAsia="Arial" w:hAnsi="Arial" w:cs="Arial"/>
              </w:rPr>
              <w:t>4.43</w:t>
            </w:r>
          </w:p>
        </w:tc>
        <w:tc>
          <w:tcPr>
            <w:tcW w:w="2205" w:type="dxa"/>
          </w:tcPr>
          <w:p w14:paraId="74B838F0" w14:textId="77777777" w:rsidR="00E754E9" w:rsidRPr="00E754E9" w:rsidRDefault="00E754E9" w:rsidP="00E30704">
            <w:pPr>
              <w:jc w:val="center"/>
              <w:rPr>
                <w:rFonts w:ascii="Arial" w:eastAsia="Arial" w:hAnsi="Arial" w:cs="Arial"/>
              </w:rPr>
            </w:pPr>
            <w:r w:rsidRPr="00E754E9">
              <w:rPr>
                <w:rFonts w:ascii="Arial" w:eastAsia="Arial" w:hAnsi="Arial" w:cs="Arial"/>
              </w:rPr>
              <w:t>Very High</w:t>
            </w:r>
          </w:p>
        </w:tc>
      </w:tr>
      <w:tr w:rsidR="00E754E9" w:rsidRPr="00E754E9" w14:paraId="3D1BBEEF" w14:textId="77777777" w:rsidTr="00E754E9">
        <w:trPr>
          <w:gridAfter w:val="1"/>
          <w:wAfter w:w="12" w:type="dxa"/>
          <w:trHeight w:val="68"/>
        </w:trPr>
        <w:tc>
          <w:tcPr>
            <w:tcW w:w="4242" w:type="dxa"/>
            <w:gridSpan w:val="2"/>
          </w:tcPr>
          <w:p w14:paraId="2DB10AE8"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Policy Context</w:t>
            </w:r>
          </w:p>
        </w:tc>
        <w:tc>
          <w:tcPr>
            <w:tcW w:w="847" w:type="dxa"/>
          </w:tcPr>
          <w:p w14:paraId="7BFC2691" w14:textId="77777777" w:rsidR="00E754E9" w:rsidRPr="00E754E9" w:rsidRDefault="00E754E9" w:rsidP="00E754E9">
            <w:pPr>
              <w:jc w:val="center"/>
              <w:rPr>
                <w:rFonts w:ascii="Arial" w:eastAsia="Arial" w:hAnsi="Arial" w:cs="Arial"/>
              </w:rPr>
            </w:pPr>
            <w:r w:rsidRPr="00E754E9">
              <w:rPr>
                <w:rFonts w:ascii="Arial" w:eastAsia="Arial" w:hAnsi="Arial" w:cs="Arial"/>
              </w:rPr>
              <w:t>0.59</w:t>
            </w:r>
          </w:p>
        </w:tc>
        <w:tc>
          <w:tcPr>
            <w:tcW w:w="1000" w:type="dxa"/>
            <w:gridSpan w:val="2"/>
          </w:tcPr>
          <w:p w14:paraId="13608309" w14:textId="77777777" w:rsidR="00E754E9" w:rsidRPr="00E754E9" w:rsidRDefault="00E754E9" w:rsidP="00E754E9">
            <w:pPr>
              <w:jc w:val="center"/>
              <w:rPr>
                <w:rFonts w:ascii="Arial" w:eastAsia="Arial" w:hAnsi="Arial" w:cs="Arial"/>
              </w:rPr>
            </w:pPr>
            <w:r w:rsidRPr="00E754E9">
              <w:rPr>
                <w:rFonts w:ascii="Arial" w:eastAsia="Arial" w:hAnsi="Arial" w:cs="Arial"/>
              </w:rPr>
              <w:t>3.92</w:t>
            </w:r>
          </w:p>
        </w:tc>
        <w:tc>
          <w:tcPr>
            <w:tcW w:w="2205" w:type="dxa"/>
          </w:tcPr>
          <w:p w14:paraId="788FBB92" w14:textId="77777777" w:rsidR="00E754E9" w:rsidRPr="00E754E9" w:rsidRDefault="00E754E9" w:rsidP="00E30704">
            <w:pPr>
              <w:jc w:val="center"/>
              <w:rPr>
                <w:rFonts w:ascii="Arial" w:eastAsia="Arial" w:hAnsi="Arial" w:cs="Arial"/>
              </w:rPr>
            </w:pPr>
            <w:r w:rsidRPr="00E754E9">
              <w:rPr>
                <w:rFonts w:ascii="Arial" w:eastAsia="Arial" w:hAnsi="Arial" w:cs="Arial"/>
              </w:rPr>
              <w:t>High</w:t>
            </w:r>
          </w:p>
        </w:tc>
      </w:tr>
      <w:tr w:rsidR="00E754E9" w:rsidRPr="00E754E9" w14:paraId="2D769AAB" w14:textId="77777777" w:rsidTr="00E30704">
        <w:trPr>
          <w:trHeight w:val="445"/>
        </w:trPr>
        <w:tc>
          <w:tcPr>
            <w:tcW w:w="4201" w:type="dxa"/>
          </w:tcPr>
          <w:p w14:paraId="6C78AA11" w14:textId="77777777" w:rsidR="00E754E9" w:rsidRPr="00E754E9" w:rsidRDefault="00E754E9" w:rsidP="00E30704">
            <w:pPr>
              <w:rPr>
                <w:rFonts w:ascii="Arial" w:eastAsia="Arial" w:hAnsi="Arial" w:cs="Arial"/>
                <w:b/>
                <w:color w:val="000000"/>
              </w:rPr>
            </w:pPr>
            <w:r w:rsidRPr="00E754E9">
              <w:rPr>
                <w:rFonts w:ascii="Arial" w:eastAsia="Arial" w:hAnsi="Arial" w:cs="Arial"/>
                <w:b/>
                <w:color w:val="000000"/>
              </w:rPr>
              <w:t>Overall</w:t>
            </w:r>
          </w:p>
        </w:tc>
        <w:tc>
          <w:tcPr>
            <w:tcW w:w="887" w:type="dxa"/>
            <w:gridSpan w:val="2"/>
          </w:tcPr>
          <w:p w14:paraId="6C2146CF" w14:textId="77777777" w:rsidR="00E754E9" w:rsidRPr="00E754E9" w:rsidRDefault="00E754E9" w:rsidP="00E754E9">
            <w:pPr>
              <w:jc w:val="center"/>
              <w:rPr>
                <w:rFonts w:ascii="Arial" w:eastAsia="Arial" w:hAnsi="Arial" w:cs="Arial"/>
                <w:b/>
              </w:rPr>
            </w:pPr>
            <w:r w:rsidRPr="00E754E9">
              <w:rPr>
                <w:rFonts w:ascii="Arial" w:eastAsia="Arial" w:hAnsi="Arial" w:cs="Arial"/>
                <w:b/>
              </w:rPr>
              <w:t>0.51</w:t>
            </w:r>
          </w:p>
        </w:tc>
        <w:tc>
          <w:tcPr>
            <w:tcW w:w="982" w:type="dxa"/>
          </w:tcPr>
          <w:p w14:paraId="53A65E1F" w14:textId="77777777" w:rsidR="00E754E9" w:rsidRPr="00E754E9" w:rsidRDefault="00E754E9" w:rsidP="00E754E9">
            <w:pPr>
              <w:jc w:val="center"/>
              <w:rPr>
                <w:rFonts w:ascii="Arial" w:eastAsia="Arial" w:hAnsi="Arial" w:cs="Arial"/>
                <w:b/>
              </w:rPr>
            </w:pPr>
            <w:r w:rsidRPr="00E754E9">
              <w:rPr>
                <w:rFonts w:ascii="Arial" w:eastAsia="Arial" w:hAnsi="Arial" w:cs="Arial"/>
                <w:b/>
              </w:rPr>
              <w:t>4.10</w:t>
            </w:r>
          </w:p>
        </w:tc>
        <w:tc>
          <w:tcPr>
            <w:tcW w:w="2236" w:type="dxa"/>
            <w:gridSpan w:val="3"/>
          </w:tcPr>
          <w:p w14:paraId="3075ACE5" w14:textId="77777777" w:rsidR="00E754E9" w:rsidRPr="00E754E9" w:rsidRDefault="00E754E9" w:rsidP="00E30704">
            <w:pPr>
              <w:jc w:val="center"/>
              <w:rPr>
                <w:rFonts w:ascii="Arial" w:eastAsia="Arial" w:hAnsi="Arial" w:cs="Arial"/>
                <w:b/>
              </w:rPr>
            </w:pPr>
            <w:r w:rsidRPr="00E754E9">
              <w:rPr>
                <w:rFonts w:ascii="Arial" w:eastAsia="Arial" w:hAnsi="Arial" w:cs="Arial"/>
                <w:b/>
              </w:rPr>
              <w:t>High</w:t>
            </w:r>
          </w:p>
        </w:tc>
      </w:tr>
    </w:tbl>
    <w:p w14:paraId="496DE70A" w14:textId="77777777" w:rsidR="002F5C4B" w:rsidRDefault="002F5C4B">
      <w:pPr>
        <w:suppressAutoHyphens/>
        <w:jc w:val="both"/>
        <w:rPr>
          <w:rFonts w:ascii="Arial" w:hAnsi="Arial" w:cs="Arial"/>
          <w:i/>
        </w:rPr>
      </w:pPr>
    </w:p>
    <w:p w14:paraId="20CF6BE0" w14:textId="77777777" w:rsidR="00D453B9" w:rsidRDefault="00D453B9" w:rsidP="003248E3">
      <w:pPr>
        <w:jc w:val="both"/>
        <w:rPr>
          <w:rFonts w:ascii="Arial" w:hAnsi="Arial" w:cs="Arial"/>
        </w:rPr>
      </w:pPr>
    </w:p>
    <w:p w14:paraId="608D9C2A" w14:textId="0B14D3EA" w:rsidR="00E754E9" w:rsidRDefault="00E754E9" w:rsidP="00E754E9">
      <w:pPr>
        <w:jc w:val="both"/>
        <w:rPr>
          <w:rFonts w:ascii="Arial" w:hAnsi="Arial" w:cs="Arial"/>
        </w:rPr>
      </w:pPr>
      <w:r>
        <w:rPr>
          <w:rFonts w:ascii="Arial" w:hAnsi="Arial" w:cs="Arial"/>
        </w:rPr>
        <w:t>Presented in Table 1</w:t>
      </w:r>
      <w:r w:rsidRPr="00E754E9">
        <w:rPr>
          <w:rFonts w:ascii="Arial" w:hAnsi="Arial" w:cs="Arial"/>
        </w:rPr>
        <w:t xml:space="preserve"> is the </w:t>
      </w:r>
      <w:proofErr w:type="spellStart"/>
      <w:r>
        <w:rPr>
          <w:rFonts w:ascii="Arial" w:hAnsi="Arial" w:cs="Arial"/>
        </w:rPr>
        <w:t>the</w:t>
      </w:r>
      <w:proofErr w:type="spellEnd"/>
      <w:r>
        <w:rPr>
          <w:rFonts w:ascii="Arial" w:hAnsi="Arial" w:cs="Arial"/>
        </w:rPr>
        <w:t xml:space="preserve"> domains of</w:t>
      </w:r>
      <w:r w:rsidRPr="00E754E9">
        <w:rPr>
          <w:rFonts w:ascii="Arial" w:hAnsi="Arial" w:cs="Arial"/>
        </w:rPr>
        <w:t xml:space="preserve"> the level of participatory equity leadership among public elementary school teachers in post-pandemic education. The table includes the domains of school leader, school context, community context, and policy context, based on the computed mean scores and standard deviations. The domain community context recorded the highest mean of 4.43, categorized as "very high.” This was followed by the school context, which had a mean of 4.19, categorized as high. Moreover, the policy context, which had 3.92, was categorized as "high." The domain school leader had a mean of 3.84, also categorized as "high." The overall mean score of 4.10, described as "high," reflects a generally strong perception of participatory equity leadership across all domains. The overall standard deviation of 0.51 suggests that responses were relatively consistent, with most ratings closely clustered around the mean.</w:t>
      </w:r>
    </w:p>
    <w:p w14:paraId="7B9611AB" w14:textId="77777777" w:rsidR="00E754E9" w:rsidRPr="00E754E9" w:rsidRDefault="00E754E9" w:rsidP="00E754E9">
      <w:pPr>
        <w:jc w:val="both"/>
        <w:rPr>
          <w:rFonts w:ascii="Arial" w:hAnsi="Arial" w:cs="Arial"/>
        </w:rPr>
      </w:pPr>
    </w:p>
    <w:p w14:paraId="33ACF3F1" w14:textId="5787BAF7" w:rsidR="00E754E9" w:rsidRDefault="00E754E9" w:rsidP="00E754E9">
      <w:pPr>
        <w:jc w:val="both"/>
        <w:rPr>
          <w:rFonts w:ascii="Arial" w:hAnsi="Arial" w:cs="Arial"/>
        </w:rPr>
      </w:pPr>
      <w:r w:rsidRPr="00E754E9">
        <w:rPr>
          <w:rFonts w:ascii="Arial" w:hAnsi="Arial" w:cs="Arial"/>
        </w:rPr>
        <w:t>This finding implies that teachers in public elementary schools perceive participatory equity leadership as highly evident in their professional environments, especially in terms of community involvement. The results suggest that strong collaboration with school leaders, supportive policy frameworks, and shared school values contribute to an equitable and inclusive educational culture. These perceptions highlight the effectiveness of leadership practices that prioritize fairness, shared decision-making, and responsiveness to community and school needs in the post-pandemic era.</w:t>
      </w:r>
    </w:p>
    <w:p w14:paraId="0D1C85E7" w14:textId="77777777" w:rsidR="00E754E9" w:rsidRPr="00E754E9" w:rsidRDefault="00E754E9" w:rsidP="00E754E9">
      <w:pPr>
        <w:jc w:val="both"/>
        <w:rPr>
          <w:rFonts w:ascii="Arial" w:hAnsi="Arial" w:cs="Arial"/>
        </w:rPr>
      </w:pPr>
    </w:p>
    <w:p w14:paraId="6351CFB7" w14:textId="61AAE944" w:rsidR="00E754E9" w:rsidRDefault="00E754E9" w:rsidP="00E754E9">
      <w:pPr>
        <w:jc w:val="both"/>
        <w:rPr>
          <w:rFonts w:ascii="Arial" w:hAnsi="Arial" w:cs="Arial"/>
        </w:rPr>
      </w:pPr>
      <w:r w:rsidRPr="00E754E9">
        <w:rPr>
          <w:rFonts w:ascii="Arial" w:hAnsi="Arial" w:cs="Arial"/>
        </w:rPr>
        <w:t xml:space="preserve">This finding is consistent with the research of </w:t>
      </w:r>
      <w:r w:rsidR="00DC3D1E">
        <w:rPr>
          <w:rFonts w:ascii="Arial" w:hAnsi="Arial" w:cs="Arial"/>
        </w:rPr>
        <w:t>McGinnis (2024</w:t>
      </w:r>
      <w:r w:rsidRPr="00E754E9">
        <w:rPr>
          <w:rFonts w:ascii="Arial" w:hAnsi="Arial" w:cs="Arial"/>
        </w:rPr>
        <w:t xml:space="preserve">), who emphasized that strong participatory equity leadership is essential in fostering inclusive, collaborative, and student-centered school environments, particularly in post-pandemic education. When school leaders, teachers, and stakeholders work together through shared decision-making and equitable practices, it promotes a sense of belonging and collective responsibility within the school community. Similarly, </w:t>
      </w:r>
      <w:proofErr w:type="spellStart"/>
      <w:r w:rsidR="00DC3D1E" w:rsidRPr="00DC3D1E">
        <w:rPr>
          <w:rFonts w:ascii="Arial" w:hAnsi="Arial" w:cs="Arial"/>
        </w:rPr>
        <w:t>Prasetyo</w:t>
      </w:r>
      <w:proofErr w:type="spellEnd"/>
      <w:r w:rsidR="00DC3D1E">
        <w:rPr>
          <w:rFonts w:ascii="Arial" w:hAnsi="Arial" w:cs="Arial"/>
        </w:rPr>
        <w:t xml:space="preserve"> and </w:t>
      </w:r>
      <w:proofErr w:type="spellStart"/>
      <w:r w:rsidR="00DC3D1E" w:rsidRPr="00DC3D1E">
        <w:rPr>
          <w:rFonts w:ascii="Arial" w:hAnsi="Arial" w:cs="Arial"/>
        </w:rPr>
        <w:t>Kifla</w:t>
      </w:r>
      <w:proofErr w:type="spellEnd"/>
      <w:r w:rsidR="00DC3D1E" w:rsidRPr="00DC3D1E">
        <w:rPr>
          <w:rFonts w:ascii="Arial" w:hAnsi="Arial" w:cs="Arial"/>
        </w:rPr>
        <w:t xml:space="preserve"> </w:t>
      </w:r>
      <w:r w:rsidR="00DC3D1E">
        <w:rPr>
          <w:rFonts w:ascii="Arial" w:hAnsi="Arial" w:cs="Arial"/>
        </w:rPr>
        <w:t>(2023</w:t>
      </w:r>
      <w:r w:rsidRPr="00E754E9">
        <w:rPr>
          <w:rFonts w:ascii="Arial" w:hAnsi="Arial" w:cs="Arial"/>
        </w:rPr>
        <w:t>) highlighted that participatory leadership enhances trust and transparency, leading to higher teacher engagement and improved school performance. Additionally, Arnold-Whitaker (2022) argued that in the aftermath of the pandemic, equity-driven leadership is critical to addressing learning gaps, supporting teacher well-being, and ensuring that no student is left behind.</w:t>
      </w:r>
    </w:p>
    <w:p w14:paraId="0A308ABC" w14:textId="77777777" w:rsidR="00E754E9" w:rsidRDefault="00E754E9">
      <w:pPr>
        <w:jc w:val="both"/>
        <w:rPr>
          <w:rFonts w:ascii="Arial" w:hAnsi="Arial" w:cs="Arial"/>
        </w:rPr>
      </w:pPr>
    </w:p>
    <w:p w14:paraId="11AFAE4F" w14:textId="77777777" w:rsidR="00E754E9" w:rsidRDefault="00E754E9">
      <w:pPr>
        <w:jc w:val="both"/>
        <w:rPr>
          <w:rFonts w:ascii="Arial" w:hAnsi="Arial" w:cs="Arial"/>
        </w:rPr>
      </w:pPr>
    </w:p>
    <w:p w14:paraId="0335C637" w14:textId="77777777" w:rsidR="00E754E9" w:rsidRDefault="00E754E9">
      <w:pPr>
        <w:jc w:val="both"/>
        <w:rPr>
          <w:rFonts w:ascii="Arial" w:hAnsi="Arial" w:cs="Arial"/>
        </w:rPr>
      </w:pPr>
    </w:p>
    <w:p w14:paraId="6D6E809B" w14:textId="77777777" w:rsidR="00803BA6" w:rsidRDefault="00180859">
      <w:pPr>
        <w:jc w:val="both"/>
        <w:rPr>
          <w:rFonts w:ascii="Arial" w:hAnsi="Arial" w:cs="Arial"/>
          <w:b/>
        </w:rPr>
      </w:pPr>
      <w:r>
        <w:rPr>
          <w:rFonts w:ascii="Arial" w:hAnsi="Arial" w:cs="Arial"/>
          <w:b/>
        </w:rPr>
        <w:lastRenderedPageBreak/>
        <w:t xml:space="preserve">3.2 </w:t>
      </w:r>
      <w:r w:rsidR="00D815DA" w:rsidRPr="00D815DA">
        <w:rPr>
          <w:rFonts w:ascii="Arial" w:hAnsi="Arial" w:cs="Arial"/>
          <w:b/>
        </w:rPr>
        <w:t xml:space="preserve">Level of </w:t>
      </w:r>
      <w:r w:rsidR="00803BA6" w:rsidRPr="00803BA6">
        <w:rPr>
          <w:rFonts w:ascii="Arial" w:hAnsi="Arial" w:cs="Arial"/>
          <w:b/>
        </w:rPr>
        <w:t xml:space="preserve">Level of Online Access among Public Elementary School Teachers in Post-Pandemic Education </w:t>
      </w:r>
    </w:p>
    <w:p w14:paraId="405BEB26" w14:textId="77777777" w:rsidR="00803BA6" w:rsidRDefault="00803BA6">
      <w:pPr>
        <w:jc w:val="both"/>
        <w:rPr>
          <w:rFonts w:ascii="Arial" w:hAnsi="Arial" w:cs="Arial"/>
          <w:b/>
        </w:rPr>
      </w:pPr>
    </w:p>
    <w:p w14:paraId="2745F126" w14:textId="7BAEF95C"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803BA6" w:rsidRPr="00803BA6">
        <w:rPr>
          <w:rFonts w:ascii="Arial" w:hAnsi="Arial" w:cs="Arial"/>
          <w:i/>
        </w:rPr>
        <w:t>Level of Online Access among Public Elementary School Teachers in Post-Pandemic Education</w:t>
      </w:r>
    </w:p>
    <w:p w14:paraId="58C71F5A" w14:textId="4C7965E3" w:rsidR="00A574C3" w:rsidRDefault="00A574C3">
      <w:pPr>
        <w:jc w:val="both"/>
        <w:rPr>
          <w:rFonts w:ascii="Arial" w:hAnsi="Arial" w:cs="Arial"/>
          <w:i/>
        </w:rPr>
      </w:pPr>
    </w:p>
    <w:tbl>
      <w:tblPr>
        <w:tblW w:w="8433" w:type="dxa"/>
        <w:tblInd w:w="108" w:type="dxa"/>
        <w:tblBorders>
          <w:top w:val="single" w:sz="4" w:space="0" w:color="auto"/>
          <w:bottom w:val="single" w:sz="4" w:space="0" w:color="auto"/>
        </w:tblBorders>
        <w:tblLayout w:type="fixed"/>
        <w:tblLook w:val="04A0" w:firstRow="1" w:lastRow="0" w:firstColumn="1" w:lastColumn="0" w:noHBand="0" w:noVBand="1"/>
      </w:tblPr>
      <w:tblGrid>
        <w:gridCol w:w="4266"/>
        <w:gridCol w:w="39"/>
        <w:gridCol w:w="860"/>
        <w:gridCol w:w="996"/>
        <w:gridCol w:w="19"/>
        <w:gridCol w:w="2239"/>
        <w:gridCol w:w="14"/>
      </w:tblGrid>
      <w:tr w:rsidR="00803BA6" w:rsidRPr="00803BA6" w14:paraId="4907F919" w14:textId="77777777" w:rsidTr="00E30704">
        <w:trPr>
          <w:gridAfter w:val="1"/>
          <w:wAfter w:w="14" w:type="dxa"/>
          <w:trHeight w:val="58"/>
        </w:trPr>
        <w:tc>
          <w:tcPr>
            <w:tcW w:w="4305" w:type="dxa"/>
            <w:gridSpan w:val="2"/>
            <w:tcBorders>
              <w:bottom w:val="single" w:sz="4" w:space="0" w:color="auto"/>
            </w:tcBorders>
          </w:tcPr>
          <w:p w14:paraId="31F0A2AA" w14:textId="77777777" w:rsidR="00803BA6" w:rsidRPr="00803BA6" w:rsidRDefault="00803BA6" w:rsidP="00E30704">
            <w:pPr>
              <w:jc w:val="center"/>
              <w:rPr>
                <w:rFonts w:ascii="Arial" w:eastAsia="Arial" w:hAnsi="Arial" w:cs="Arial"/>
                <w:b/>
              </w:rPr>
            </w:pPr>
            <w:r w:rsidRPr="00803BA6">
              <w:rPr>
                <w:rFonts w:ascii="Arial" w:eastAsia="Arial" w:hAnsi="Arial" w:cs="Arial"/>
                <w:b/>
              </w:rPr>
              <w:t>Domains</w:t>
            </w:r>
          </w:p>
        </w:tc>
        <w:tc>
          <w:tcPr>
            <w:tcW w:w="860" w:type="dxa"/>
            <w:tcBorders>
              <w:bottom w:val="single" w:sz="4" w:space="0" w:color="auto"/>
            </w:tcBorders>
          </w:tcPr>
          <w:p w14:paraId="779D1C83" w14:textId="77777777" w:rsidR="00803BA6" w:rsidRPr="00803BA6" w:rsidRDefault="00803BA6" w:rsidP="00E30704">
            <w:pPr>
              <w:jc w:val="center"/>
              <w:rPr>
                <w:rFonts w:ascii="Arial" w:eastAsia="Arial" w:hAnsi="Arial" w:cs="Arial"/>
                <w:b/>
              </w:rPr>
            </w:pPr>
            <w:r w:rsidRPr="00803BA6">
              <w:rPr>
                <w:rFonts w:ascii="Arial" w:eastAsia="Arial" w:hAnsi="Arial" w:cs="Arial"/>
                <w:b/>
              </w:rPr>
              <w:t>SD</w:t>
            </w:r>
          </w:p>
        </w:tc>
        <w:tc>
          <w:tcPr>
            <w:tcW w:w="1015" w:type="dxa"/>
            <w:gridSpan w:val="2"/>
            <w:tcBorders>
              <w:bottom w:val="single" w:sz="4" w:space="0" w:color="auto"/>
            </w:tcBorders>
          </w:tcPr>
          <w:p w14:paraId="615BB5BD" w14:textId="77777777" w:rsidR="00803BA6" w:rsidRPr="00803BA6" w:rsidRDefault="00803BA6" w:rsidP="00E30704">
            <w:pPr>
              <w:jc w:val="center"/>
              <w:rPr>
                <w:rFonts w:ascii="Arial" w:eastAsia="Arial" w:hAnsi="Arial" w:cs="Arial"/>
                <w:b/>
              </w:rPr>
            </w:pPr>
            <w:r w:rsidRPr="00803BA6">
              <w:rPr>
                <w:rFonts w:ascii="Arial" w:eastAsia="Arial" w:hAnsi="Arial" w:cs="Arial"/>
                <w:b/>
              </w:rPr>
              <w:t>Mean</w:t>
            </w:r>
          </w:p>
        </w:tc>
        <w:tc>
          <w:tcPr>
            <w:tcW w:w="2239" w:type="dxa"/>
            <w:tcBorders>
              <w:bottom w:val="single" w:sz="4" w:space="0" w:color="auto"/>
            </w:tcBorders>
          </w:tcPr>
          <w:p w14:paraId="16580016" w14:textId="77777777" w:rsidR="00803BA6" w:rsidRPr="00803BA6" w:rsidRDefault="00803BA6" w:rsidP="00E30704">
            <w:pPr>
              <w:jc w:val="center"/>
              <w:rPr>
                <w:rFonts w:ascii="Arial" w:eastAsia="Arial" w:hAnsi="Arial" w:cs="Arial"/>
                <w:b/>
              </w:rPr>
            </w:pPr>
            <w:r w:rsidRPr="00803BA6">
              <w:rPr>
                <w:rFonts w:ascii="Arial" w:eastAsia="Arial" w:hAnsi="Arial" w:cs="Arial"/>
                <w:b/>
              </w:rPr>
              <w:t>Descriptive Level</w:t>
            </w:r>
          </w:p>
        </w:tc>
      </w:tr>
      <w:tr w:rsidR="00803BA6" w:rsidRPr="00803BA6" w14:paraId="6AFB600C" w14:textId="77777777" w:rsidTr="00E30704">
        <w:trPr>
          <w:gridAfter w:val="1"/>
          <w:wAfter w:w="14" w:type="dxa"/>
          <w:trHeight w:val="482"/>
        </w:trPr>
        <w:tc>
          <w:tcPr>
            <w:tcW w:w="4305" w:type="dxa"/>
            <w:gridSpan w:val="2"/>
            <w:tcBorders>
              <w:top w:val="single" w:sz="4" w:space="0" w:color="auto"/>
            </w:tcBorders>
          </w:tcPr>
          <w:p w14:paraId="51EC1B42" w14:textId="77777777" w:rsidR="00803BA6" w:rsidRPr="00803BA6" w:rsidRDefault="00803BA6" w:rsidP="00E30704">
            <w:pPr>
              <w:widowControl w:val="0"/>
              <w:ind w:left="330"/>
              <w:rPr>
                <w:rFonts w:ascii="Arial" w:eastAsia="Arial" w:hAnsi="Arial" w:cs="Arial"/>
              </w:rPr>
            </w:pPr>
            <w:r w:rsidRPr="00803BA6">
              <w:rPr>
                <w:rFonts w:ascii="Arial" w:eastAsia="Arial" w:hAnsi="Arial" w:cs="Arial"/>
              </w:rPr>
              <w:t>Access and Use of Information and Communication Technologies</w:t>
            </w:r>
          </w:p>
        </w:tc>
        <w:tc>
          <w:tcPr>
            <w:tcW w:w="860" w:type="dxa"/>
            <w:tcBorders>
              <w:top w:val="single" w:sz="4" w:space="0" w:color="auto"/>
            </w:tcBorders>
          </w:tcPr>
          <w:p w14:paraId="69DE9162" w14:textId="77777777" w:rsidR="00803BA6" w:rsidRPr="00803BA6" w:rsidRDefault="00803BA6" w:rsidP="00E30704">
            <w:pPr>
              <w:jc w:val="center"/>
              <w:rPr>
                <w:rFonts w:ascii="Arial" w:eastAsia="Arial" w:hAnsi="Arial" w:cs="Arial"/>
              </w:rPr>
            </w:pPr>
            <w:r w:rsidRPr="00803BA6">
              <w:rPr>
                <w:rFonts w:ascii="Arial" w:eastAsia="Arial" w:hAnsi="Arial" w:cs="Arial"/>
              </w:rPr>
              <w:t>0.66</w:t>
            </w:r>
          </w:p>
        </w:tc>
        <w:tc>
          <w:tcPr>
            <w:tcW w:w="1015" w:type="dxa"/>
            <w:gridSpan w:val="2"/>
            <w:tcBorders>
              <w:top w:val="single" w:sz="4" w:space="0" w:color="auto"/>
            </w:tcBorders>
          </w:tcPr>
          <w:p w14:paraId="1A7C57B6" w14:textId="77777777" w:rsidR="00803BA6" w:rsidRPr="00803BA6" w:rsidRDefault="00803BA6" w:rsidP="00E30704">
            <w:pPr>
              <w:jc w:val="center"/>
              <w:rPr>
                <w:rFonts w:ascii="Arial" w:eastAsia="Arial" w:hAnsi="Arial" w:cs="Arial"/>
              </w:rPr>
            </w:pPr>
            <w:r w:rsidRPr="00803BA6">
              <w:rPr>
                <w:rFonts w:ascii="Arial" w:eastAsia="Arial" w:hAnsi="Arial" w:cs="Arial"/>
              </w:rPr>
              <w:t>3.72</w:t>
            </w:r>
          </w:p>
        </w:tc>
        <w:tc>
          <w:tcPr>
            <w:tcW w:w="2239" w:type="dxa"/>
            <w:tcBorders>
              <w:top w:val="single" w:sz="4" w:space="0" w:color="auto"/>
            </w:tcBorders>
          </w:tcPr>
          <w:p w14:paraId="2F3DA54E" w14:textId="77777777" w:rsidR="00803BA6" w:rsidRPr="00803BA6" w:rsidRDefault="00803BA6" w:rsidP="00E30704">
            <w:pPr>
              <w:jc w:val="center"/>
              <w:rPr>
                <w:rFonts w:ascii="Arial" w:eastAsia="Arial" w:hAnsi="Arial" w:cs="Arial"/>
              </w:rPr>
            </w:pPr>
            <w:r w:rsidRPr="00803BA6">
              <w:rPr>
                <w:rFonts w:ascii="Arial" w:eastAsia="Arial" w:hAnsi="Arial" w:cs="Arial"/>
              </w:rPr>
              <w:t>High</w:t>
            </w:r>
          </w:p>
        </w:tc>
      </w:tr>
      <w:tr w:rsidR="00803BA6" w:rsidRPr="00803BA6" w14:paraId="5B9D6D88" w14:textId="77777777" w:rsidTr="00803BA6">
        <w:trPr>
          <w:gridAfter w:val="1"/>
          <w:wAfter w:w="14" w:type="dxa"/>
          <w:trHeight w:val="68"/>
        </w:trPr>
        <w:tc>
          <w:tcPr>
            <w:tcW w:w="4305" w:type="dxa"/>
            <w:gridSpan w:val="2"/>
          </w:tcPr>
          <w:p w14:paraId="48A0ADD6" w14:textId="77777777" w:rsidR="00803BA6" w:rsidRPr="00803BA6" w:rsidRDefault="00803BA6" w:rsidP="00E30704">
            <w:pPr>
              <w:widowControl w:val="0"/>
              <w:ind w:left="330"/>
              <w:rPr>
                <w:rFonts w:ascii="Arial" w:eastAsia="Arial" w:hAnsi="Arial" w:cs="Arial"/>
              </w:rPr>
            </w:pPr>
            <w:r w:rsidRPr="00803BA6">
              <w:rPr>
                <w:rFonts w:ascii="Arial" w:eastAsia="Arial" w:hAnsi="Arial" w:cs="Arial"/>
              </w:rPr>
              <w:t>Use of ICTs for Teaching and Learning</w:t>
            </w:r>
          </w:p>
        </w:tc>
        <w:tc>
          <w:tcPr>
            <w:tcW w:w="860" w:type="dxa"/>
          </w:tcPr>
          <w:p w14:paraId="5739BFC9" w14:textId="77777777" w:rsidR="00803BA6" w:rsidRPr="00803BA6" w:rsidRDefault="00803BA6" w:rsidP="00E30704">
            <w:pPr>
              <w:jc w:val="center"/>
              <w:rPr>
                <w:rFonts w:ascii="Arial" w:eastAsia="Arial" w:hAnsi="Arial" w:cs="Arial"/>
              </w:rPr>
            </w:pPr>
            <w:r w:rsidRPr="00803BA6">
              <w:rPr>
                <w:rFonts w:ascii="Arial" w:eastAsia="Arial" w:hAnsi="Arial" w:cs="Arial"/>
              </w:rPr>
              <w:t>0.56</w:t>
            </w:r>
          </w:p>
        </w:tc>
        <w:tc>
          <w:tcPr>
            <w:tcW w:w="1015" w:type="dxa"/>
            <w:gridSpan w:val="2"/>
          </w:tcPr>
          <w:p w14:paraId="5D7F6213" w14:textId="77777777" w:rsidR="00803BA6" w:rsidRPr="00803BA6" w:rsidRDefault="00803BA6" w:rsidP="00E30704">
            <w:pPr>
              <w:jc w:val="center"/>
              <w:rPr>
                <w:rFonts w:ascii="Arial" w:eastAsia="Arial" w:hAnsi="Arial" w:cs="Arial"/>
              </w:rPr>
            </w:pPr>
            <w:r w:rsidRPr="00803BA6">
              <w:rPr>
                <w:rFonts w:ascii="Arial" w:eastAsia="Arial" w:hAnsi="Arial" w:cs="Arial"/>
              </w:rPr>
              <w:t>3.44</w:t>
            </w:r>
          </w:p>
        </w:tc>
        <w:tc>
          <w:tcPr>
            <w:tcW w:w="2239" w:type="dxa"/>
          </w:tcPr>
          <w:p w14:paraId="7AE26DDB" w14:textId="77777777" w:rsidR="00803BA6" w:rsidRPr="00803BA6" w:rsidRDefault="00803BA6" w:rsidP="00E30704">
            <w:pPr>
              <w:jc w:val="center"/>
              <w:rPr>
                <w:rFonts w:ascii="Arial" w:eastAsia="Arial" w:hAnsi="Arial" w:cs="Arial"/>
              </w:rPr>
            </w:pPr>
            <w:r w:rsidRPr="00803BA6">
              <w:rPr>
                <w:rFonts w:ascii="Arial" w:eastAsia="Arial" w:hAnsi="Arial" w:cs="Arial"/>
              </w:rPr>
              <w:t>High</w:t>
            </w:r>
          </w:p>
        </w:tc>
      </w:tr>
      <w:tr w:rsidR="00803BA6" w:rsidRPr="00803BA6" w14:paraId="52D0AB12" w14:textId="77777777" w:rsidTr="00803BA6">
        <w:trPr>
          <w:gridAfter w:val="1"/>
          <w:wAfter w:w="14" w:type="dxa"/>
          <w:trHeight w:val="68"/>
        </w:trPr>
        <w:tc>
          <w:tcPr>
            <w:tcW w:w="4305" w:type="dxa"/>
            <w:gridSpan w:val="2"/>
          </w:tcPr>
          <w:p w14:paraId="417FE7BA" w14:textId="77777777" w:rsidR="00803BA6" w:rsidRPr="00803BA6" w:rsidRDefault="00803BA6" w:rsidP="00E30704">
            <w:pPr>
              <w:widowControl w:val="0"/>
              <w:ind w:left="330"/>
              <w:rPr>
                <w:rFonts w:ascii="Arial" w:eastAsia="Arial" w:hAnsi="Arial" w:cs="Arial"/>
              </w:rPr>
            </w:pPr>
            <w:r w:rsidRPr="00803BA6">
              <w:rPr>
                <w:rFonts w:ascii="Arial" w:eastAsia="Arial" w:hAnsi="Arial" w:cs="Arial"/>
              </w:rPr>
              <w:t>Using ICTs for Research and Scholarship</w:t>
            </w:r>
          </w:p>
        </w:tc>
        <w:tc>
          <w:tcPr>
            <w:tcW w:w="860" w:type="dxa"/>
          </w:tcPr>
          <w:p w14:paraId="62E9A4EF" w14:textId="77777777" w:rsidR="00803BA6" w:rsidRPr="00803BA6" w:rsidRDefault="00803BA6" w:rsidP="00E30704">
            <w:pPr>
              <w:jc w:val="center"/>
              <w:rPr>
                <w:rFonts w:ascii="Arial" w:eastAsia="Arial" w:hAnsi="Arial" w:cs="Arial"/>
              </w:rPr>
            </w:pPr>
            <w:r w:rsidRPr="00803BA6">
              <w:rPr>
                <w:rFonts w:ascii="Arial" w:eastAsia="Arial" w:hAnsi="Arial" w:cs="Arial"/>
              </w:rPr>
              <w:t>0.51</w:t>
            </w:r>
          </w:p>
        </w:tc>
        <w:tc>
          <w:tcPr>
            <w:tcW w:w="1015" w:type="dxa"/>
            <w:gridSpan w:val="2"/>
          </w:tcPr>
          <w:p w14:paraId="386940E9" w14:textId="77777777" w:rsidR="00803BA6" w:rsidRPr="00803BA6" w:rsidRDefault="00803BA6" w:rsidP="00E30704">
            <w:pPr>
              <w:jc w:val="center"/>
              <w:rPr>
                <w:rFonts w:ascii="Arial" w:eastAsia="Arial" w:hAnsi="Arial" w:cs="Arial"/>
              </w:rPr>
            </w:pPr>
            <w:r w:rsidRPr="00803BA6">
              <w:rPr>
                <w:rFonts w:ascii="Arial" w:eastAsia="Arial" w:hAnsi="Arial" w:cs="Arial"/>
              </w:rPr>
              <w:t>3.66</w:t>
            </w:r>
          </w:p>
        </w:tc>
        <w:tc>
          <w:tcPr>
            <w:tcW w:w="2239" w:type="dxa"/>
          </w:tcPr>
          <w:p w14:paraId="38EC0D8D" w14:textId="77777777" w:rsidR="00803BA6" w:rsidRPr="00803BA6" w:rsidRDefault="00803BA6" w:rsidP="00E30704">
            <w:pPr>
              <w:jc w:val="center"/>
              <w:rPr>
                <w:rFonts w:ascii="Arial" w:eastAsia="Arial" w:hAnsi="Arial" w:cs="Arial"/>
              </w:rPr>
            </w:pPr>
            <w:r w:rsidRPr="00803BA6">
              <w:rPr>
                <w:rFonts w:ascii="Arial" w:eastAsia="Arial" w:hAnsi="Arial" w:cs="Arial"/>
              </w:rPr>
              <w:t>High</w:t>
            </w:r>
          </w:p>
        </w:tc>
      </w:tr>
      <w:tr w:rsidR="00803BA6" w:rsidRPr="00803BA6" w14:paraId="4FBF0B0B" w14:textId="77777777" w:rsidTr="00803BA6">
        <w:trPr>
          <w:trHeight w:val="81"/>
        </w:trPr>
        <w:tc>
          <w:tcPr>
            <w:tcW w:w="4266" w:type="dxa"/>
          </w:tcPr>
          <w:p w14:paraId="2A3FAB01" w14:textId="77777777" w:rsidR="00803BA6" w:rsidRPr="00803BA6" w:rsidRDefault="00803BA6" w:rsidP="00E30704">
            <w:pPr>
              <w:jc w:val="center"/>
              <w:rPr>
                <w:rFonts w:ascii="Arial" w:eastAsia="Arial" w:hAnsi="Arial" w:cs="Arial"/>
                <w:b/>
                <w:color w:val="000000"/>
              </w:rPr>
            </w:pPr>
            <w:r w:rsidRPr="00803BA6">
              <w:rPr>
                <w:rFonts w:ascii="Arial" w:eastAsia="Arial" w:hAnsi="Arial" w:cs="Arial"/>
                <w:b/>
                <w:color w:val="000000"/>
              </w:rPr>
              <w:t>Overall</w:t>
            </w:r>
          </w:p>
        </w:tc>
        <w:tc>
          <w:tcPr>
            <w:tcW w:w="899" w:type="dxa"/>
            <w:gridSpan w:val="2"/>
          </w:tcPr>
          <w:p w14:paraId="67901A8E" w14:textId="77777777" w:rsidR="00803BA6" w:rsidRPr="00803BA6" w:rsidRDefault="00803BA6" w:rsidP="00E30704">
            <w:pPr>
              <w:jc w:val="center"/>
              <w:rPr>
                <w:rFonts w:ascii="Arial" w:eastAsia="Arial" w:hAnsi="Arial" w:cs="Arial"/>
                <w:b/>
              </w:rPr>
            </w:pPr>
            <w:r w:rsidRPr="00803BA6">
              <w:rPr>
                <w:rFonts w:ascii="Arial" w:eastAsia="Arial" w:hAnsi="Arial" w:cs="Arial"/>
                <w:b/>
              </w:rPr>
              <w:t>0.48</w:t>
            </w:r>
          </w:p>
        </w:tc>
        <w:tc>
          <w:tcPr>
            <w:tcW w:w="996" w:type="dxa"/>
          </w:tcPr>
          <w:p w14:paraId="1E57A795" w14:textId="77777777" w:rsidR="00803BA6" w:rsidRPr="00803BA6" w:rsidRDefault="00803BA6" w:rsidP="00E30704">
            <w:pPr>
              <w:jc w:val="center"/>
              <w:rPr>
                <w:rFonts w:ascii="Arial" w:eastAsia="Arial" w:hAnsi="Arial" w:cs="Arial"/>
                <w:b/>
              </w:rPr>
            </w:pPr>
            <w:r w:rsidRPr="00803BA6">
              <w:rPr>
                <w:rFonts w:ascii="Arial" w:eastAsia="Arial" w:hAnsi="Arial" w:cs="Arial"/>
                <w:b/>
              </w:rPr>
              <w:t>3.61</w:t>
            </w:r>
          </w:p>
        </w:tc>
        <w:tc>
          <w:tcPr>
            <w:tcW w:w="2272" w:type="dxa"/>
            <w:gridSpan w:val="3"/>
          </w:tcPr>
          <w:p w14:paraId="23C4CB7C" w14:textId="77777777" w:rsidR="00803BA6" w:rsidRPr="00803BA6" w:rsidRDefault="00803BA6" w:rsidP="00E30704">
            <w:pPr>
              <w:jc w:val="center"/>
              <w:rPr>
                <w:rFonts w:ascii="Arial" w:eastAsia="Arial" w:hAnsi="Arial" w:cs="Arial"/>
                <w:b/>
              </w:rPr>
            </w:pPr>
            <w:r w:rsidRPr="00803BA6">
              <w:rPr>
                <w:rFonts w:ascii="Arial" w:eastAsia="Arial" w:hAnsi="Arial" w:cs="Arial"/>
                <w:b/>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55569F80" w14:textId="46E6C156" w:rsidR="00803BA6" w:rsidRDefault="00803BA6" w:rsidP="00803BA6">
      <w:pPr>
        <w:jc w:val="both"/>
        <w:rPr>
          <w:rFonts w:ascii="Arial" w:hAnsi="Arial" w:cs="Arial"/>
        </w:rPr>
      </w:pPr>
      <w:r>
        <w:rPr>
          <w:rFonts w:ascii="Arial" w:hAnsi="Arial" w:cs="Arial"/>
        </w:rPr>
        <w:t>Presented in Table 2</w:t>
      </w:r>
      <w:r w:rsidRPr="00803BA6">
        <w:rPr>
          <w:rFonts w:ascii="Arial" w:hAnsi="Arial" w:cs="Arial"/>
        </w:rPr>
        <w:t xml:space="preserve"> is the </w:t>
      </w:r>
      <w:r>
        <w:rPr>
          <w:rFonts w:ascii="Arial" w:hAnsi="Arial" w:cs="Arial"/>
        </w:rPr>
        <w:t>domains of</w:t>
      </w:r>
      <w:r w:rsidRPr="00803BA6">
        <w:rPr>
          <w:rFonts w:ascii="Arial" w:hAnsi="Arial" w:cs="Arial"/>
        </w:rPr>
        <w:t xml:space="preserve"> the level of online access among public elementary school teachers in post-pandemic education, including access and use of information and communication technologies, use of ICTs for teaching and learning, and using ICTs for research and scholarship, based on the mean scores and standard deviations. The domain access and use of information and communication technologies received the highest mean of 3.72, categorized as "high," followed by using ICTs for research and scholarship with a mean of 3.66, also categorized as "high." The domain use of ICTs for teaching and learning recorded the lowest mean of 3.44 but still categorized as "high." The overall mean of 3.61, described as "high," suggests that teachers perceive their level of online access as generally strong and supportive of their professional responsibilities. The overall standard deviation of 0.48 indicates that responses were highly consistent, with most ratings closely clustered around the mean.</w:t>
      </w:r>
    </w:p>
    <w:p w14:paraId="1D93D91C" w14:textId="77777777" w:rsidR="002B67BB" w:rsidRPr="00803BA6" w:rsidRDefault="002B67BB" w:rsidP="00803BA6">
      <w:pPr>
        <w:jc w:val="both"/>
        <w:rPr>
          <w:rFonts w:ascii="Arial" w:hAnsi="Arial" w:cs="Arial"/>
        </w:rPr>
      </w:pPr>
    </w:p>
    <w:p w14:paraId="1F13EE89" w14:textId="2EC3397E" w:rsidR="00D815DA" w:rsidRDefault="00803BA6" w:rsidP="00803BA6">
      <w:pPr>
        <w:jc w:val="both"/>
        <w:rPr>
          <w:rFonts w:ascii="Arial" w:hAnsi="Arial" w:cs="Arial"/>
        </w:rPr>
      </w:pPr>
      <w:r w:rsidRPr="00803BA6">
        <w:rPr>
          <w:rFonts w:ascii="Arial" w:hAnsi="Arial" w:cs="Arial"/>
        </w:rPr>
        <w:t>This finding implies that teachers in public elementary schools are well-equipped with online access capabilities across various domains, contributing to their ability to engage in digital teaching, research, and communication. The consistent use of ICTs across instructional, professional development, and scholarly tasks reflects a strong integration of technology in the post-pandemic educational landscape. These results underscore the value of continued support for ICT resources and training, enabling educators to adapt to evolving digital demands and enhance their overall teaching effectiveness.</w:t>
      </w:r>
    </w:p>
    <w:p w14:paraId="12815903" w14:textId="0C6CD5A2" w:rsidR="002B67BB" w:rsidRDefault="002B67BB" w:rsidP="00803BA6">
      <w:pPr>
        <w:jc w:val="both"/>
        <w:rPr>
          <w:rFonts w:ascii="Arial" w:hAnsi="Arial" w:cs="Arial"/>
        </w:rPr>
      </w:pPr>
    </w:p>
    <w:p w14:paraId="464C619F" w14:textId="6AF5E571" w:rsidR="002B67BB" w:rsidRDefault="002B67BB" w:rsidP="00803BA6">
      <w:pPr>
        <w:jc w:val="both"/>
        <w:rPr>
          <w:rFonts w:ascii="Arial" w:hAnsi="Arial" w:cs="Arial"/>
        </w:rPr>
      </w:pPr>
      <w:r w:rsidRPr="002B67BB">
        <w:rPr>
          <w:rFonts w:ascii="Arial" w:hAnsi="Arial" w:cs="Arial"/>
        </w:rPr>
        <w:t>This finding is in line with the research of Boltz et al. (2021), who emphasized that strong online access in post-pandemic education plays a crucial role in enhancing teaching and learning opportunities for teachers and students alike. Their findings revealed that teachers with robust online access are better able to incorporate digital resources into their lessons, engage in remote professional development, and communicate effectively with students and parents. Similarly, Ulanday et al. (2021) pointed out that easy access to online platforms allows teachers to adapt to the evolving demands of education, offering greater flexibility in how they plan, deliver, and assess learning. Additionally, Gottschalk and Weise (2023) argued that strengthening online access contributes to greater equity in education, as it provides teachers with the tools necessary to support diverse learning needs and reach all students, regardless of their location or background.</w:t>
      </w:r>
    </w:p>
    <w:p w14:paraId="67BA2DD6" w14:textId="53C6AF12" w:rsidR="00803BA6" w:rsidRDefault="00803BA6" w:rsidP="00803BA6">
      <w:pPr>
        <w:jc w:val="both"/>
        <w:rPr>
          <w:rFonts w:ascii="Arial" w:hAnsi="Arial" w:cs="Arial"/>
        </w:rPr>
      </w:pPr>
    </w:p>
    <w:p w14:paraId="08372BF8" w14:textId="77777777" w:rsidR="00803BA6" w:rsidRDefault="00803BA6" w:rsidP="00803BA6">
      <w:pPr>
        <w:jc w:val="both"/>
        <w:rPr>
          <w:rFonts w:ascii="Arial" w:hAnsi="Arial" w:cs="Arial"/>
        </w:rPr>
      </w:pPr>
    </w:p>
    <w:p w14:paraId="308FAF8A" w14:textId="386D82F4" w:rsidR="00D82866" w:rsidRDefault="00781D5E" w:rsidP="00F600DB">
      <w:pPr>
        <w:jc w:val="both"/>
        <w:rPr>
          <w:rFonts w:ascii="Arial" w:hAnsi="Arial" w:cs="Arial"/>
          <w:b/>
          <w:bCs/>
          <w:iCs/>
        </w:rPr>
      </w:pPr>
      <w:r>
        <w:rPr>
          <w:rFonts w:ascii="Arial" w:hAnsi="Arial" w:cs="Arial"/>
          <w:b/>
          <w:bCs/>
          <w:iCs/>
        </w:rPr>
        <w:t xml:space="preserve">3.3 </w:t>
      </w:r>
      <w:r w:rsidR="002B67BB" w:rsidRPr="002B67BB">
        <w:rPr>
          <w:rFonts w:ascii="Arial" w:hAnsi="Arial" w:cs="Arial"/>
          <w:b/>
          <w:bCs/>
          <w:iCs/>
        </w:rPr>
        <w:t>Significant Relationship Between Participatory Equity Leadership and Online Access among Public Elementary School Teachers in Post-Pandemic Education</w:t>
      </w:r>
    </w:p>
    <w:p w14:paraId="30567870" w14:textId="77777777" w:rsidR="00D815DA" w:rsidRDefault="00D815DA" w:rsidP="00F600DB">
      <w:pPr>
        <w:jc w:val="both"/>
        <w:rPr>
          <w:rFonts w:ascii="Arial" w:hAnsi="Arial" w:cs="Arial"/>
          <w:iCs/>
        </w:rPr>
      </w:pPr>
    </w:p>
    <w:p w14:paraId="3580D37C" w14:textId="31CE521F" w:rsidR="00017E5D"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B67BB" w:rsidRPr="002B67BB">
        <w:rPr>
          <w:rFonts w:ascii="Arial" w:hAnsi="Arial" w:cs="Arial"/>
          <w:i/>
        </w:rPr>
        <w:t>Significant Relationship Between Participatory Equity Leadership and Online Access among Public Elementary School Teachers in Post-Pandemic Education</w:t>
      </w:r>
    </w:p>
    <w:p w14:paraId="53313F6F" w14:textId="77777777" w:rsidR="002B67BB" w:rsidRDefault="002B67BB" w:rsidP="00F927B2">
      <w:pPr>
        <w:jc w:val="both"/>
        <w:rPr>
          <w:rFonts w:ascii="Arial" w:hAnsi="Arial" w:cs="Arial"/>
          <w:iCs/>
        </w:rPr>
      </w:pPr>
    </w:p>
    <w:tbl>
      <w:tblPr>
        <w:tblW w:w="8579"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598"/>
        <w:gridCol w:w="902"/>
        <w:gridCol w:w="808"/>
        <w:gridCol w:w="706"/>
        <w:gridCol w:w="711"/>
        <w:gridCol w:w="1706"/>
        <w:gridCol w:w="868"/>
        <w:gridCol w:w="1280"/>
      </w:tblGrid>
      <w:tr w:rsidR="002B67BB" w:rsidRPr="002B67BB" w14:paraId="3A49C5CF" w14:textId="77777777" w:rsidTr="00E30704">
        <w:trPr>
          <w:trHeight w:val="711"/>
        </w:trPr>
        <w:tc>
          <w:tcPr>
            <w:tcW w:w="1598" w:type="dxa"/>
            <w:tcBorders>
              <w:top w:val="single" w:sz="4" w:space="0" w:color="000000"/>
              <w:bottom w:val="single" w:sz="4" w:space="0" w:color="000000"/>
            </w:tcBorders>
          </w:tcPr>
          <w:p w14:paraId="78D0189F"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Variables</w:t>
            </w:r>
          </w:p>
        </w:tc>
        <w:tc>
          <w:tcPr>
            <w:tcW w:w="902" w:type="dxa"/>
            <w:tcBorders>
              <w:top w:val="single" w:sz="4" w:space="0" w:color="000000"/>
              <w:bottom w:val="single" w:sz="4" w:space="0" w:color="000000"/>
            </w:tcBorders>
          </w:tcPr>
          <w:p w14:paraId="624D958E"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Mean</w:t>
            </w:r>
          </w:p>
        </w:tc>
        <w:tc>
          <w:tcPr>
            <w:tcW w:w="808" w:type="dxa"/>
            <w:tcBorders>
              <w:top w:val="single" w:sz="4" w:space="0" w:color="000000"/>
              <w:bottom w:val="single" w:sz="4" w:space="0" w:color="000000"/>
            </w:tcBorders>
          </w:tcPr>
          <w:p w14:paraId="556F43EC"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SD</w:t>
            </w:r>
          </w:p>
        </w:tc>
        <w:tc>
          <w:tcPr>
            <w:tcW w:w="706" w:type="dxa"/>
            <w:tcBorders>
              <w:top w:val="single" w:sz="4" w:space="0" w:color="000000"/>
              <w:bottom w:val="single" w:sz="4" w:space="0" w:color="000000"/>
            </w:tcBorders>
          </w:tcPr>
          <w:p w14:paraId="288D9EAF"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R</w:t>
            </w:r>
          </w:p>
        </w:tc>
        <w:tc>
          <w:tcPr>
            <w:tcW w:w="711" w:type="dxa"/>
            <w:tcBorders>
              <w:top w:val="single" w:sz="4" w:space="0" w:color="000000"/>
              <w:bottom w:val="single" w:sz="4" w:space="0" w:color="000000"/>
            </w:tcBorders>
          </w:tcPr>
          <w:p w14:paraId="5C0D7345" w14:textId="77777777" w:rsidR="002B67BB" w:rsidRPr="002B67BB" w:rsidRDefault="002B67BB" w:rsidP="00E30704">
            <w:pPr>
              <w:shd w:val="clear" w:color="auto" w:fill="FFFFFF"/>
              <w:jc w:val="center"/>
              <w:rPr>
                <w:rFonts w:ascii="Arial" w:eastAsia="Arial" w:hAnsi="Arial" w:cs="Arial"/>
                <w:b/>
              </w:rPr>
            </w:pPr>
            <w:r w:rsidRPr="002B67BB">
              <w:rPr>
                <w:rFonts w:ascii="Arial" w:eastAsia="Arial" w:hAnsi="Arial" w:cs="Arial"/>
                <w:b/>
              </w:rPr>
              <w:t>R²</w:t>
            </w:r>
          </w:p>
          <w:p w14:paraId="0B0BF3CA" w14:textId="77777777" w:rsidR="002B67BB" w:rsidRPr="002B67BB" w:rsidRDefault="002B67BB" w:rsidP="00E30704">
            <w:pPr>
              <w:widowControl w:val="0"/>
              <w:jc w:val="center"/>
              <w:rPr>
                <w:rFonts w:ascii="Arial" w:eastAsia="Arial" w:hAnsi="Arial" w:cs="Arial"/>
                <w:b/>
              </w:rPr>
            </w:pPr>
          </w:p>
        </w:tc>
        <w:tc>
          <w:tcPr>
            <w:tcW w:w="1706" w:type="dxa"/>
            <w:tcBorders>
              <w:top w:val="single" w:sz="4" w:space="0" w:color="000000"/>
              <w:bottom w:val="single" w:sz="4" w:space="0" w:color="000000"/>
            </w:tcBorders>
          </w:tcPr>
          <w:p w14:paraId="64943810"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Degree of Relationship</w:t>
            </w:r>
          </w:p>
        </w:tc>
        <w:tc>
          <w:tcPr>
            <w:tcW w:w="868" w:type="dxa"/>
            <w:tcBorders>
              <w:top w:val="single" w:sz="4" w:space="0" w:color="000000"/>
              <w:bottom w:val="single" w:sz="4" w:space="0" w:color="000000"/>
            </w:tcBorders>
          </w:tcPr>
          <w:p w14:paraId="2537BA0C"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p-value</w:t>
            </w:r>
          </w:p>
        </w:tc>
        <w:tc>
          <w:tcPr>
            <w:tcW w:w="1280" w:type="dxa"/>
            <w:tcBorders>
              <w:top w:val="single" w:sz="4" w:space="0" w:color="000000"/>
              <w:bottom w:val="single" w:sz="4" w:space="0" w:color="000000"/>
            </w:tcBorders>
          </w:tcPr>
          <w:p w14:paraId="65E917FA"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Decision</w:t>
            </w:r>
          </w:p>
        </w:tc>
      </w:tr>
      <w:tr w:rsidR="002B67BB" w:rsidRPr="002B67BB" w14:paraId="04AC401E" w14:textId="77777777" w:rsidTr="00E30704">
        <w:trPr>
          <w:trHeight w:val="881"/>
        </w:trPr>
        <w:tc>
          <w:tcPr>
            <w:tcW w:w="1598" w:type="dxa"/>
            <w:tcBorders>
              <w:top w:val="single" w:sz="4" w:space="0" w:color="000000"/>
            </w:tcBorders>
          </w:tcPr>
          <w:p w14:paraId="3B3676EF"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Participatory Equity Leadership</w:t>
            </w:r>
          </w:p>
        </w:tc>
        <w:tc>
          <w:tcPr>
            <w:tcW w:w="902" w:type="dxa"/>
            <w:tcBorders>
              <w:top w:val="single" w:sz="4" w:space="0" w:color="000000"/>
            </w:tcBorders>
          </w:tcPr>
          <w:p w14:paraId="337D7568"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4.10</w:t>
            </w:r>
          </w:p>
        </w:tc>
        <w:tc>
          <w:tcPr>
            <w:tcW w:w="808" w:type="dxa"/>
            <w:tcBorders>
              <w:top w:val="single" w:sz="4" w:space="0" w:color="000000"/>
            </w:tcBorders>
          </w:tcPr>
          <w:p w14:paraId="6F0DF4AA"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0.51</w:t>
            </w:r>
          </w:p>
        </w:tc>
        <w:tc>
          <w:tcPr>
            <w:tcW w:w="706" w:type="dxa"/>
            <w:tcBorders>
              <w:top w:val="single" w:sz="4" w:space="0" w:color="000000"/>
            </w:tcBorders>
          </w:tcPr>
          <w:p w14:paraId="05700E74" w14:textId="77777777" w:rsidR="002B67BB" w:rsidRPr="002B67BB" w:rsidRDefault="002B67BB" w:rsidP="00E30704">
            <w:pPr>
              <w:widowControl w:val="0"/>
              <w:jc w:val="center"/>
              <w:rPr>
                <w:rFonts w:ascii="Arial" w:eastAsia="Arial" w:hAnsi="Arial" w:cs="Arial"/>
              </w:rPr>
            </w:pPr>
          </w:p>
        </w:tc>
        <w:tc>
          <w:tcPr>
            <w:tcW w:w="711" w:type="dxa"/>
            <w:tcBorders>
              <w:top w:val="single" w:sz="4" w:space="0" w:color="000000"/>
            </w:tcBorders>
          </w:tcPr>
          <w:p w14:paraId="36E732CF" w14:textId="77777777" w:rsidR="002B67BB" w:rsidRPr="002B67BB" w:rsidRDefault="002B67BB" w:rsidP="00E30704">
            <w:pPr>
              <w:widowControl w:val="0"/>
              <w:jc w:val="center"/>
              <w:rPr>
                <w:rFonts w:ascii="Arial" w:eastAsia="Arial" w:hAnsi="Arial" w:cs="Arial"/>
              </w:rPr>
            </w:pPr>
          </w:p>
        </w:tc>
        <w:tc>
          <w:tcPr>
            <w:tcW w:w="1706" w:type="dxa"/>
            <w:tcBorders>
              <w:top w:val="single" w:sz="4" w:space="0" w:color="000000"/>
            </w:tcBorders>
          </w:tcPr>
          <w:p w14:paraId="5E9511A7" w14:textId="77777777" w:rsidR="002B67BB" w:rsidRPr="002B67BB" w:rsidRDefault="002B67BB" w:rsidP="00E30704">
            <w:pPr>
              <w:widowControl w:val="0"/>
              <w:jc w:val="center"/>
              <w:rPr>
                <w:rFonts w:ascii="Arial" w:eastAsia="Arial" w:hAnsi="Arial" w:cs="Arial"/>
              </w:rPr>
            </w:pPr>
          </w:p>
        </w:tc>
        <w:tc>
          <w:tcPr>
            <w:tcW w:w="868" w:type="dxa"/>
            <w:tcBorders>
              <w:top w:val="single" w:sz="4" w:space="0" w:color="000000"/>
            </w:tcBorders>
          </w:tcPr>
          <w:p w14:paraId="17D3276F" w14:textId="77777777" w:rsidR="002B67BB" w:rsidRPr="002B67BB" w:rsidRDefault="002B67BB" w:rsidP="00E30704">
            <w:pPr>
              <w:widowControl w:val="0"/>
              <w:jc w:val="center"/>
              <w:rPr>
                <w:rFonts w:ascii="Arial" w:eastAsia="Arial" w:hAnsi="Arial" w:cs="Arial"/>
              </w:rPr>
            </w:pPr>
          </w:p>
        </w:tc>
        <w:tc>
          <w:tcPr>
            <w:tcW w:w="1280" w:type="dxa"/>
            <w:tcBorders>
              <w:top w:val="single" w:sz="4" w:space="0" w:color="000000"/>
            </w:tcBorders>
          </w:tcPr>
          <w:p w14:paraId="1A9C9927" w14:textId="77777777" w:rsidR="002B67BB" w:rsidRPr="002B67BB" w:rsidRDefault="002B67BB" w:rsidP="00E30704">
            <w:pPr>
              <w:widowControl w:val="0"/>
              <w:jc w:val="center"/>
              <w:rPr>
                <w:rFonts w:ascii="Arial" w:eastAsia="Arial" w:hAnsi="Arial" w:cs="Arial"/>
              </w:rPr>
            </w:pPr>
          </w:p>
        </w:tc>
      </w:tr>
      <w:tr w:rsidR="002B67BB" w:rsidRPr="002B67BB" w14:paraId="16324661" w14:textId="77777777" w:rsidTr="00E30704">
        <w:trPr>
          <w:trHeight w:val="695"/>
        </w:trPr>
        <w:tc>
          <w:tcPr>
            <w:tcW w:w="1598" w:type="dxa"/>
          </w:tcPr>
          <w:p w14:paraId="5F24754B" w14:textId="77777777" w:rsidR="002B67BB" w:rsidRPr="002B67BB" w:rsidRDefault="002B67BB" w:rsidP="00E30704">
            <w:pPr>
              <w:widowControl w:val="0"/>
              <w:jc w:val="center"/>
              <w:rPr>
                <w:rFonts w:ascii="Arial" w:eastAsia="Arial" w:hAnsi="Arial" w:cs="Arial"/>
              </w:rPr>
            </w:pPr>
          </w:p>
        </w:tc>
        <w:tc>
          <w:tcPr>
            <w:tcW w:w="902" w:type="dxa"/>
          </w:tcPr>
          <w:p w14:paraId="14B4B982" w14:textId="77777777" w:rsidR="002B67BB" w:rsidRPr="002B67BB" w:rsidRDefault="002B67BB" w:rsidP="00E30704">
            <w:pPr>
              <w:widowControl w:val="0"/>
              <w:jc w:val="center"/>
              <w:rPr>
                <w:rFonts w:ascii="Arial" w:eastAsia="Arial" w:hAnsi="Arial" w:cs="Arial"/>
              </w:rPr>
            </w:pPr>
          </w:p>
        </w:tc>
        <w:tc>
          <w:tcPr>
            <w:tcW w:w="808" w:type="dxa"/>
          </w:tcPr>
          <w:p w14:paraId="743D5BFB" w14:textId="77777777" w:rsidR="002B67BB" w:rsidRPr="002B67BB" w:rsidRDefault="002B67BB" w:rsidP="00E30704">
            <w:pPr>
              <w:widowControl w:val="0"/>
              <w:jc w:val="center"/>
              <w:rPr>
                <w:rFonts w:ascii="Arial" w:eastAsia="Arial" w:hAnsi="Arial" w:cs="Arial"/>
              </w:rPr>
            </w:pPr>
          </w:p>
        </w:tc>
        <w:tc>
          <w:tcPr>
            <w:tcW w:w="706" w:type="dxa"/>
          </w:tcPr>
          <w:p w14:paraId="70FEAF61"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0.57</w:t>
            </w:r>
          </w:p>
        </w:tc>
        <w:tc>
          <w:tcPr>
            <w:tcW w:w="711" w:type="dxa"/>
          </w:tcPr>
          <w:p w14:paraId="759B1E89"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0.41</w:t>
            </w:r>
          </w:p>
        </w:tc>
        <w:tc>
          <w:tcPr>
            <w:tcW w:w="1706" w:type="dxa"/>
          </w:tcPr>
          <w:p w14:paraId="5AEF692D"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Low Correlation</w:t>
            </w:r>
          </w:p>
        </w:tc>
        <w:tc>
          <w:tcPr>
            <w:tcW w:w="868" w:type="dxa"/>
          </w:tcPr>
          <w:p w14:paraId="2DA2C37B"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0.000</w:t>
            </w:r>
          </w:p>
        </w:tc>
        <w:tc>
          <w:tcPr>
            <w:tcW w:w="1280" w:type="dxa"/>
          </w:tcPr>
          <w:p w14:paraId="5832213F"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Reject Ho1</w:t>
            </w:r>
          </w:p>
        </w:tc>
      </w:tr>
      <w:tr w:rsidR="002B67BB" w:rsidRPr="002B67BB" w14:paraId="244B69F1" w14:textId="77777777" w:rsidTr="00E30704">
        <w:trPr>
          <w:trHeight w:val="590"/>
        </w:trPr>
        <w:tc>
          <w:tcPr>
            <w:tcW w:w="1598" w:type="dxa"/>
          </w:tcPr>
          <w:p w14:paraId="21C2BE92"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Online Access</w:t>
            </w:r>
          </w:p>
        </w:tc>
        <w:tc>
          <w:tcPr>
            <w:tcW w:w="902" w:type="dxa"/>
          </w:tcPr>
          <w:p w14:paraId="4715BDE1"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3.61</w:t>
            </w:r>
          </w:p>
        </w:tc>
        <w:tc>
          <w:tcPr>
            <w:tcW w:w="808" w:type="dxa"/>
          </w:tcPr>
          <w:p w14:paraId="28224E96"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0.48</w:t>
            </w:r>
          </w:p>
        </w:tc>
        <w:tc>
          <w:tcPr>
            <w:tcW w:w="706" w:type="dxa"/>
          </w:tcPr>
          <w:p w14:paraId="472D8EE8" w14:textId="77777777" w:rsidR="002B67BB" w:rsidRPr="002B67BB" w:rsidRDefault="002B67BB" w:rsidP="00E30704">
            <w:pPr>
              <w:widowControl w:val="0"/>
              <w:jc w:val="center"/>
              <w:rPr>
                <w:rFonts w:ascii="Arial" w:eastAsia="Arial" w:hAnsi="Arial" w:cs="Arial"/>
              </w:rPr>
            </w:pPr>
          </w:p>
        </w:tc>
        <w:tc>
          <w:tcPr>
            <w:tcW w:w="711" w:type="dxa"/>
          </w:tcPr>
          <w:p w14:paraId="39D03FE2" w14:textId="77777777" w:rsidR="002B67BB" w:rsidRPr="002B67BB" w:rsidRDefault="002B67BB" w:rsidP="00E30704">
            <w:pPr>
              <w:widowControl w:val="0"/>
              <w:jc w:val="center"/>
              <w:rPr>
                <w:rFonts w:ascii="Arial" w:eastAsia="Arial" w:hAnsi="Arial" w:cs="Arial"/>
              </w:rPr>
            </w:pPr>
          </w:p>
        </w:tc>
        <w:tc>
          <w:tcPr>
            <w:tcW w:w="1706" w:type="dxa"/>
          </w:tcPr>
          <w:p w14:paraId="052FA6A2" w14:textId="77777777" w:rsidR="002B67BB" w:rsidRPr="002B67BB" w:rsidRDefault="002B67BB" w:rsidP="00E30704">
            <w:pPr>
              <w:widowControl w:val="0"/>
              <w:jc w:val="center"/>
              <w:rPr>
                <w:rFonts w:ascii="Arial" w:eastAsia="Arial" w:hAnsi="Arial" w:cs="Arial"/>
              </w:rPr>
            </w:pPr>
          </w:p>
        </w:tc>
        <w:tc>
          <w:tcPr>
            <w:tcW w:w="868" w:type="dxa"/>
          </w:tcPr>
          <w:p w14:paraId="10184D0D" w14:textId="77777777" w:rsidR="002B67BB" w:rsidRPr="002B67BB" w:rsidRDefault="002B67BB" w:rsidP="00E30704">
            <w:pPr>
              <w:widowControl w:val="0"/>
              <w:jc w:val="center"/>
              <w:rPr>
                <w:rFonts w:ascii="Arial" w:eastAsia="Arial" w:hAnsi="Arial" w:cs="Arial"/>
              </w:rPr>
            </w:pPr>
          </w:p>
        </w:tc>
        <w:tc>
          <w:tcPr>
            <w:tcW w:w="1280" w:type="dxa"/>
          </w:tcPr>
          <w:p w14:paraId="0F50A80B" w14:textId="77777777" w:rsidR="002B67BB" w:rsidRPr="002B67BB" w:rsidRDefault="002B67BB" w:rsidP="00E30704">
            <w:pPr>
              <w:widowControl w:val="0"/>
              <w:jc w:val="center"/>
              <w:rPr>
                <w:rFonts w:ascii="Arial" w:eastAsia="Arial" w:hAnsi="Arial" w:cs="Arial"/>
              </w:rPr>
            </w:pPr>
          </w:p>
        </w:tc>
      </w:tr>
    </w:tbl>
    <w:p w14:paraId="1BDBE2B2" w14:textId="77777777" w:rsidR="00717F2E" w:rsidRDefault="00717F2E">
      <w:pPr>
        <w:jc w:val="both"/>
        <w:rPr>
          <w:rFonts w:ascii="Arial" w:hAnsi="Arial" w:cs="Arial"/>
        </w:rPr>
      </w:pPr>
    </w:p>
    <w:p w14:paraId="4A4ABEF4" w14:textId="21A0AF93" w:rsidR="002B67BB" w:rsidRPr="002B67BB" w:rsidRDefault="002B67BB" w:rsidP="002B67BB">
      <w:pPr>
        <w:jc w:val="both"/>
        <w:rPr>
          <w:rFonts w:ascii="Arial" w:hAnsi="Arial" w:cs="Arial"/>
        </w:rPr>
      </w:pPr>
      <w:r w:rsidRPr="002B67BB">
        <w:rPr>
          <w:rFonts w:ascii="Arial" w:hAnsi="Arial" w:cs="Arial"/>
        </w:rPr>
        <w:t xml:space="preserve">Presented in Table </w:t>
      </w:r>
      <w:r w:rsidR="00AC7255">
        <w:rPr>
          <w:rFonts w:ascii="Arial" w:hAnsi="Arial" w:cs="Arial"/>
        </w:rPr>
        <w:t>4</w:t>
      </w:r>
      <w:r w:rsidRPr="002B67BB">
        <w:rPr>
          <w:rFonts w:ascii="Arial" w:hAnsi="Arial" w:cs="Arial"/>
        </w:rPr>
        <w:t xml:space="preserve"> is the correlation analysis between participatory equity leadership and online access among public elementary school teachers in post-pandemic education.</w:t>
      </w:r>
      <w:r w:rsidRPr="002B67BB">
        <w:t xml:space="preserve"> </w:t>
      </w:r>
      <w:r w:rsidRPr="002B67BB">
        <w:rPr>
          <w:rFonts w:ascii="Arial" w:hAnsi="Arial" w:cs="Arial"/>
        </w:rPr>
        <w:t>The relationship between these two variables has a correlation coefficient (R) of 0.57 with a p-value of 0.000, which is less than the 0.05 significance level. This indicates a low but statistically significant positive relationship between participatory equity leadership and online access. The R² value of 0.41 suggests that approximately 41% of the variation in online access can be explained by participatory equity leadership. Since the p-value is less than 0.05, the null hypothesis (Ho1) is rejected, supporting the claim that there is a significant relationship between participatory equity leadership and online access.</w:t>
      </w:r>
    </w:p>
    <w:p w14:paraId="5A81044A" w14:textId="77777777" w:rsidR="002B67BB" w:rsidRDefault="002B67BB" w:rsidP="002B67BB">
      <w:pPr>
        <w:jc w:val="both"/>
        <w:rPr>
          <w:rFonts w:ascii="Arial" w:hAnsi="Arial" w:cs="Arial"/>
        </w:rPr>
      </w:pPr>
    </w:p>
    <w:p w14:paraId="308C670A" w14:textId="4E818967" w:rsidR="002B67BB" w:rsidRPr="002B67BB" w:rsidRDefault="002B67BB" w:rsidP="002B67BB">
      <w:pPr>
        <w:jc w:val="both"/>
        <w:rPr>
          <w:rFonts w:ascii="Arial" w:hAnsi="Arial" w:cs="Arial"/>
        </w:rPr>
      </w:pPr>
      <w:r w:rsidRPr="002B67BB">
        <w:rPr>
          <w:rFonts w:ascii="Arial" w:hAnsi="Arial" w:cs="Arial"/>
        </w:rPr>
        <w:t>This finding implies that the level of participatory equity leadership in schools influences the availability and use of online resources by teachers. A low positive relationship suggests that as participatory equity leadership practices improve, teachers' online access and use of technology for teaching and learning also increase. This highlights the importance of strong leadership in fostering an environment that supports the effective integration of digital tools and resources, which is crucial for adapting to the challenges of post-pandemic education.</w:t>
      </w:r>
    </w:p>
    <w:p w14:paraId="72873DA7" w14:textId="77777777" w:rsidR="002B67BB" w:rsidRDefault="002B67BB" w:rsidP="002B67BB">
      <w:pPr>
        <w:jc w:val="both"/>
        <w:rPr>
          <w:rFonts w:ascii="Arial" w:hAnsi="Arial" w:cs="Arial"/>
        </w:rPr>
      </w:pPr>
    </w:p>
    <w:p w14:paraId="1FB8CBC1" w14:textId="71CA2200" w:rsidR="00017E5D" w:rsidRPr="002B67BB" w:rsidRDefault="002B67BB" w:rsidP="002B67BB">
      <w:pPr>
        <w:jc w:val="both"/>
        <w:rPr>
          <w:rFonts w:ascii="Arial" w:hAnsi="Arial" w:cs="Arial"/>
        </w:rPr>
      </w:pPr>
      <w:r w:rsidRPr="002B67BB">
        <w:rPr>
          <w:rFonts w:ascii="Arial" w:hAnsi="Arial" w:cs="Arial"/>
        </w:rPr>
        <w:t xml:space="preserve">This finding aligns with the research of Jackson et al. (2022), who emphasized that participatory equity leadership plays a crucial role in improving online access for teachers, especially in post-pandemic education. Their study highlighted that when school leaders adopt a collaborative approach in decision-making, ensuring that all teachers have equitable access to digital tools and resources, it leads to enhanced online teaching experiences. Similarly, </w:t>
      </w:r>
      <w:proofErr w:type="spellStart"/>
      <w:r w:rsidRPr="002B67BB">
        <w:rPr>
          <w:rFonts w:ascii="Arial" w:hAnsi="Arial" w:cs="Arial"/>
        </w:rPr>
        <w:t>Yokuş</w:t>
      </w:r>
      <w:proofErr w:type="spellEnd"/>
      <w:r w:rsidRPr="002B67BB">
        <w:rPr>
          <w:rFonts w:ascii="Arial" w:hAnsi="Arial" w:cs="Arial"/>
        </w:rPr>
        <w:t xml:space="preserve"> (2022) argued that participatory leadership fosters an environment where teachers feel supported in their use of technology, which is essential for effectively navigating online education. Additionally, Hennessy et al. (2022) found that schools with strong participatory equity leadership are more likely to provide the infrastructure and training necessary for teachers to successfully integrate technology into their teaching practices, thus promoting greater online access and engagement.</w:t>
      </w:r>
    </w:p>
    <w:p w14:paraId="06204793" w14:textId="77777777" w:rsidR="002B67BB" w:rsidRDefault="002B67BB" w:rsidP="00151F8F">
      <w:pPr>
        <w:jc w:val="both"/>
        <w:rPr>
          <w:rFonts w:ascii="Arial" w:hAnsi="Arial" w:cs="Arial"/>
          <w:b/>
          <w:bCs/>
          <w:iCs/>
        </w:rPr>
      </w:pPr>
    </w:p>
    <w:p w14:paraId="0D8ABDEF" w14:textId="1AAAE6EA"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0A666D" w:rsidRPr="000A666D">
        <w:rPr>
          <w:rFonts w:ascii="Arial" w:hAnsi="Arial" w:cs="Arial"/>
          <w:b/>
          <w:bCs/>
          <w:iCs/>
        </w:rPr>
        <w:t>Domains of the Participatory Equity Leadership that Significantly Influence Online Access among Public Elementary School Teachers in Post-Pandemic Education</w:t>
      </w:r>
    </w:p>
    <w:p w14:paraId="7568132A" w14:textId="77777777" w:rsidR="00914755" w:rsidRDefault="00914755" w:rsidP="00665D1C">
      <w:pPr>
        <w:rPr>
          <w:rFonts w:ascii="Arial" w:hAnsi="Arial" w:cs="Arial"/>
          <w:b/>
          <w:bCs/>
          <w:iCs/>
        </w:rPr>
      </w:pPr>
    </w:p>
    <w:p w14:paraId="461FD1E7" w14:textId="496AB0E5" w:rsidR="00DE3EAB" w:rsidRPr="00D82866" w:rsidRDefault="00B364F1" w:rsidP="00D82866">
      <w:pPr>
        <w:jc w:val="both"/>
        <w:rPr>
          <w:rFonts w:ascii="Arial" w:eastAsia="Arial" w:hAnsi="Arial"/>
          <w:i/>
        </w:rPr>
      </w:pPr>
      <w:r w:rsidRPr="00B364F1">
        <w:rPr>
          <w:rFonts w:ascii="Arial" w:eastAsia="Arial" w:hAnsi="Arial"/>
          <w:b/>
        </w:rPr>
        <w:t xml:space="preserve">Table 4. </w:t>
      </w:r>
      <w:r w:rsidR="000A666D" w:rsidRPr="000A666D">
        <w:rPr>
          <w:rFonts w:ascii="Arial" w:eastAsia="Arial" w:hAnsi="Arial"/>
          <w:i/>
        </w:rPr>
        <w:t>Domains of the Participatory Equity Leadership that Significantly Influence Online Access among Public Elementary School Teachers in Post-Pandemic Education</w:t>
      </w:r>
    </w:p>
    <w:p w14:paraId="42F31227" w14:textId="708EB413" w:rsidR="00187916" w:rsidRPr="00B364F1" w:rsidRDefault="00187916" w:rsidP="00B364F1">
      <w:pPr>
        <w:jc w:val="both"/>
        <w:rPr>
          <w:rFonts w:ascii="Arial" w:eastAsia="Arial" w:hAnsi="Arial"/>
          <w:i/>
        </w:rPr>
      </w:pPr>
    </w:p>
    <w:tbl>
      <w:tblPr>
        <w:tblW w:w="8123"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748"/>
        <w:gridCol w:w="925"/>
        <w:gridCol w:w="974"/>
        <w:gridCol w:w="1024"/>
        <w:gridCol w:w="994"/>
        <w:gridCol w:w="1048"/>
        <w:gridCol w:w="1410"/>
      </w:tblGrid>
      <w:tr w:rsidR="000A666D" w:rsidRPr="000A666D" w14:paraId="1A3F988A" w14:textId="77777777" w:rsidTr="000A666D">
        <w:trPr>
          <w:trHeight w:val="329"/>
        </w:trPr>
        <w:tc>
          <w:tcPr>
            <w:tcW w:w="1748" w:type="dxa"/>
            <w:tcBorders>
              <w:top w:val="single" w:sz="4" w:space="0" w:color="000000"/>
              <w:bottom w:val="single" w:sz="4" w:space="0" w:color="000000"/>
            </w:tcBorders>
          </w:tcPr>
          <w:p w14:paraId="58C0EF2B"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Domains</w:t>
            </w:r>
          </w:p>
        </w:tc>
        <w:tc>
          <w:tcPr>
            <w:tcW w:w="925" w:type="dxa"/>
            <w:tcBorders>
              <w:top w:val="single" w:sz="4" w:space="0" w:color="000000"/>
              <w:bottom w:val="single" w:sz="4" w:space="0" w:color="000000"/>
            </w:tcBorders>
          </w:tcPr>
          <w:p w14:paraId="7CA431F0"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B</w:t>
            </w:r>
          </w:p>
        </w:tc>
        <w:tc>
          <w:tcPr>
            <w:tcW w:w="974" w:type="dxa"/>
            <w:tcBorders>
              <w:top w:val="single" w:sz="4" w:space="0" w:color="000000"/>
              <w:bottom w:val="single" w:sz="4" w:space="0" w:color="000000"/>
            </w:tcBorders>
          </w:tcPr>
          <w:p w14:paraId="421CC4EA"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BE</w:t>
            </w:r>
          </w:p>
        </w:tc>
        <w:tc>
          <w:tcPr>
            <w:tcW w:w="1024" w:type="dxa"/>
            <w:tcBorders>
              <w:top w:val="single" w:sz="4" w:space="0" w:color="000000"/>
              <w:bottom w:val="single" w:sz="4" w:space="0" w:color="000000"/>
            </w:tcBorders>
          </w:tcPr>
          <w:p w14:paraId="64BB213E"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Beta</w:t>
            </w:r>
          </w:p>
        </w:tc>
        <w:tc>
          <w:tcPr>
            <w:tcW w:w="994" w:type="dxa"/>
            <w:tcBorders>
              <w:top w:val="single" w:sz="4" w:space="0" w:color="000000"/>
              <w:bottom w:val="single" w:sz="4" w:space="0" w:color="000000"/>
            </w:tcBorders>
          </w:tcPr>
          <w:p w14:paraId="79F7385D"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t-stat</w:t>
            </w:r>
          </w:p>
        </w:tc>
        <w:tc>
          <w:tcPr>
            <w:tcW w:w="1048" w:type="dxa"/>
            <w:tcBorders>
              <w:top w:val="single" w:sz="4" w:space="0" w:color="000000"/>
              <w:bottom w:val="single" w:sz="4" w:space="0" w:color="000000"/>
            </w:tcBorders>
          </w:tcPr>
          <w:p w14:paraId="1C3A36C2"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p-value</w:t>
            </w:r>
          </w:p>
        </w:tc>
        <w:tc>
          <w:tcPr>
            <w:tcW w:w="1408" w:type="dxa"/>
            <w:tcBorders>
              <w:top w:val="single" w:sz="4" w:space="0" w:color="000000"/>
              <w:bottom w:val="single" w:sz="4" w:space="0" w:color="000000"/>
            </w:tcBorders>
          </w:tcPr>
          <w:p w14:paraId="00536468"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Decision</w:t>
            </w:r>
          </w:p>
        </w:tc>
      </w:tr>
      <w:tr w:rsidR="000A666D" w:rsidRPr="000A666D" w14:paraId="40DD9189" w14:textId="77777777" w:rsidTr="000A666D">
        <w:trPr>
          <w:trHeight w:val="546"/>
        </w:trPr>
        <w:tc>
          <w:tcPr>
            <w:tcW w:w="1748" w:type="dxa"/>
            <w:tcBorders>
              <w:top w:val="single" w:sz="4" w:space="0" w:color="000000"/>
            </w:tcBorders>
          </w:tcPr>
          <w:p w14:paraId="14CBA6C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Constant</w:t>
            </w:r>
          </w:p>
        </w:tc>
        <w:tc>
          <w:tcPr>
            <w:tcW w:w="925" w:type="dxa"/>
            <w:tcBorders>
              <w:top w:val="single" w:sz="4" w:space="0" w:color="000000"/>
            </w:tcBorders>
          </w:tcPr>
          <w:p w14:paraId="63CABEF3"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1.34</w:t>
            </w:r>
          </w:p>
        </w:tc>
        <w:tc>
          <w:tcPr>
            <w:tcW w:w="974" w:type="dxa"/>
            <w:tcBorders>
              <w:top w:val="single" w:sz="4" w:space="0" w:color="000000"/>
            </w:tcBorders>
          </w:tcPr>
          <w:p w14:paraId="740C5050" w14:textId="43D40F7B"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.23</w:t>
            </w:r>
          </w:p>
        </w:tc>
        <w:tc>
          <w:tcPr>
            <w:tcW w:w="1024" w:type="dxa"/>
            <w:tcBorders>
              <w:top w:val="single" w:sz="4" w:space="0" w:color="000000"/>
            </w:tcBorders>
          </w:tcPr>
          <w:p w14:paraId="17720FE4" w14:textId="77777777" w:rsidR="000A666D" w:rsidRPr="000A666D" w:rsidRDefault="000A666D" w:rsidP="00E30704">
            <w:pPr>
              <w:widowControl w:val="0"/>
              <w:jc w:val="center"/>
              <w:rPr>
                <w:rFonts w:ascii="Arial" w:eastAsia="Arial" w:hAnsi="Arial" w:cs="Arial"/>
              </w:rPr>
            </w:pPr>
          </w:p>
        </w:tc>
        <w:tc>
          <w:tcPr>
            <w:tcW w:w="994" w:type="dxa"/>
            <w:tcBorders>
              <w:top w:val="single" w:sz="4" w:space="0" w:color="000000"/>
            </w:tcBorders>
          </w:tcPr>
          <w:p w14:paraId="0DD85700"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5.82</w:t>
            </w:r>
          </w:p>
        </w:tc>
        <w:tc>
          <w:tcPr>
            <w:tcW w:w="1048" w:type="dxa"/>
            <w:tcBorders>
              <w:top w:val="single" w:sz="4" w:space="0" w:color="000000"/>
            </w:tcBorders>
          </w:tcPr>
          <w:p w14:paraId="3F8E652E"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0.000</w:t>
            </w:r>
          </w:p>
        </w:tc>
        <w:tc>
          <w:tcPr>
            <w:tcW w:w="1408" w:type="dxa"/>
            <w:tcBorders>
              <w:top w:val="single" w:sz="4" w:space="0" w:color="000000"/>
            </w:tcBorders>
          </w:tcPr>
          <w:p w14:paraId="54CC68CE"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36B5A1BD" w14:textId="77777777" w:rsidTr="000A666D">
        <w:trPr>
          <w:trHeight w:val="531"/>
        </w:trPr>
        <w:tc>
          <w:tcPr>
            <w:tcW w:w="1748" w:type="dxa"/>
          </w:tcPr>
          <w:p w14:paraId="0F25016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lastRenderedPageBreak/>
              <w:t>School Leader</w:t>
            </w:r>
          </w:p>
        </w:tc>
        <w:tc>
          <w:tcPr>
            <w:tcW w:w="925" w:type="dxa"/>
          </w:tcPr>
          <w:p w14:paraId="19B45F1C"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0.24</w:t>
            </w:r>
          </w:p>
        </w:tc>
        <w:tc>
          <w:tcPr>
            <w:tcW w:w="974" w:type="dxa"/>
          </w:tcPr>
          <w:p w14:paraId="37B1649A" w14:textId="3962C377"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.05</w:t>
            </w:r>
          </w:p>
        </w:tc>
        <w:tc>
          <w:tcPr>
            <w:tcW w:w="1024" w:type="dxa"/>
          </w:tcPr>
          <w:p w14:paraId="2B6D40F6"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0.33</w:t>
            </w:r>
          </w:p>
        </w:tc>
        <w:tc>
          <w:tcPr>
            <w:tcW w:w="994" w:type="dxa"/>
          </w:tcPr>
          <w:p w14:paraId="1961EF1E"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4.60</w:t>
            </w:r>
          </w:p>
        </w:tc>
        <w:tc>
          <w:tcPr>
            <w:tcW w:w="1048" w:type="dxa"/>
          </w:tcPr>
          <w:p w14:paraId="5D1F0BE4"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0.000</w:t>
            </w:r>
          </w:p>
        </w:tc>
        <w:tc>
          <w:tcPr>
            <w:tcW w:w="1408" w:type="dxa"/>
          </w:tcPr>
          <w:p w14:paraId="0B181A4D"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3B54C4C8" w14:textId="77777777" w:rsidTr="000A666D">
        <w:trPr>
          <w:trHeight w:val="531"/>
        </w:trPr>
        <w:tc>
          <w:tcPr>
            <w:tcW w:w="1748" w:type="dxa"/>
          </w:tcPr>
          <w:p w14:paraId="710A981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School Context</w:t>
            </w:r>
          </w:p>
        </w:tc>
        <w:tc>
          <w:tcPr>
            <w:tcW w:w="925" w:type="dxa"/>
          </w:tcPr>
          <w:p w14:paraId="3E7A832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0.13</w:t>
            </w:r>
          </w:p>
        </w:tc>
        <w:tc>
          <w:tcPr>
            <w:tcW w:w="974" w:type="dxa"/>
          </w:tcPr>
          <w:p w14:paraId="7D072BE3" w14:textId="1CF187A5"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.09</w:t>
            </w:r>
          </w:p>
        </w:tc>
        <w:tc>
          <w:tcPr>
            <w:tcW w:w="1024" w:type="dxa"/>
          </w:tcPr>
          <w:p w14:paraId="172B9BC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0.15</w:t>
            </w:r>
          </w:p>
        </w:tc>
        <w:tc>
          <w:tcPr>
            <w:tcW w:w="994" w:type="dxa"/>
          </w:tcPr>
          <w:p w14:paraId="7F04D685"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1.38</w:t>
            </w:r>
          </w:p>
        </w:tc>
        <w:tc>
          <w:tcPr>
            <w:tcW w:w="1048" w:type="dxa"/>
          </w:tcPr>
          <w:p w14:paraId="77A69E5B"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0.171</w:t>
            </w:r>
          </w:p>
        </w:tc>
        <w:tc>
          <w:tcPr>
            <w:tcW w:w="1408" w:type="dxa"/>
          </w:tcPr>
          <w:p w14:paraId="4E15F495"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Not Significant</w:t>
            </w:r>
          </w:p>
        </w:tc>
      </w:tr>
      <w:tr w:rsidR="000A666D" w:rsidRPr="000A666D" w14:paraId="16E8F4EC" w14:textId="77777777" w:rsidTr="000A666D">
        <w:trPr>
          <w:trHeight w:val="531"/>
        </w:trPr>
        <w:tc>
          <w:tcPr>
            <w:tcW w:w="1748" w:type="dxa"/>
          </w:tcPr>
          <w:p w14:paraId="3E0DFF87"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Community Context</w:t>
            </w:r>
          </w:p>
        </w:tc>
        <w:tc>
          <w:tcPr>
            <w:tcW w:w="925" w:type="dxa"/>
          </w:tcPr>
          <w:p w14:paraId="3A10B3D6"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-0.13</w:t>
            </w:r>
          </w:p>
        </w:tc>
        <w:tc>
          <w:tcPr>
            <w:tcW w:w="974" w:type="dxa"/>
          </w:tcPr>
          <w:p w14:paraId="2DCFF1C2" w14:textId="78ED8F7E"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.06</w:t>
            </w:r>
          </w:p>
        </w:tc>
        <w:tc>
          <w:tcPr>
            <w:tcW w:w="1024" w:type="dxa"/>
          </w:tcPr>
          <w:p w14:paraId="1D7A713A"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-0.17</w:t>
            </w:r>
          </w:p>
        </w:tc>
        <w:tc>
          <w:tcPr>
            <w:tcW w:w="994" w:type="dxa"/>
          </w:tcPr>
          <w:p w14:paraId="7D567810"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-2.10</w:t>
            </w:r>
          </w:p>
        </w:tc>
        <w:tc>
          <w:tcPr>
            <w:tcW w:w="1048" w:type="dxa"/>
          </w:tcPr>
          <w:p w14:paraId="7948EE47"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0.037</w:t>
            </w:r>
          </w:p>
        </w:tc>
        <w:tc>
          <w:tcPr>
            <w:tcW w:w="1408" w:type="dxa"/>
          </w:tcPr>
          <w:p w14:paraId="7DEA0C5B"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686938DE" w14:textId="77777777" w:rsidTr="000A666D">
        <w:trPr>
          <w:trHeight w:val="531"/>
        </w:trPr>
        <w:tc>
          <w:tcPr>
            <w:tcW w:w="1748" w:type="dxa"/>
          </w:tcPr>
          <w:p w14:paraId="0208D0F0"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Policy Context</w:t>
            </w:r>
          </w:p>
        </w:tc>
        <w:tc>
          <w:tcPr>
            <w:tcW w:w="925" w:type="dxa"/>
          </w:tcPr>
          <w:p w14:paraId="27443A71"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0.35</w:t>
            </w:r>
          </w:p>
        </w:tc>
        <w:tc>
          <w:tcPr>
            <w:tcW w:w="974" w:type="dxa"/>
          </w:tcPr>
          <w:p w14:paraId="7F82BDD1"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0.06</w:t>
            </w:r>
          </w:p>
        </w:tc>
        <w:tc>
          <w:tcPr>
            <w:tcW w:w="1024" w:type="dxa"/>
          </w:tcPr>
          <w:p w14:paraId="55B8F7AE"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0.44</w:t>
            </w:r>
          </w:p>
        </w:tc>
        <w:tc>
          <w:tcPr>
            <w:tcW w:w="994" w:type="dxa"/>
          </w:tcPr>
          <w:p w14:paraId="3402B8AF"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5.86</w:t>
            </w:r>
          </w:p>
        </w:tc>
        <w:tc>
          <w:tcPr>
            <w:tcW w:w="1048" w:type="dxa"/>
          </w:tcPr>
          <w:p w14:paraId="6773EFAF"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0.000</w:t>
            </w:r>
          </w:p>
        </w:tc>
        <w:tc>
          <w:tcPr>
            <w:tcW w:w="1408" w:type="dxa"/>
          </w:tcPr>
          <w:p w14:paraId="65BEEBCE"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1B035421" w14:textId="77777777" w:rsidTr="000A666D">
        <w:trPr>
          <w:trHeight w:val="546"/>
        </w:trPr>
        <w:tc>
          <w:tcPr>
            <w:tcW w:w="1748" w:type="dxa"/>
          </w:tcPr>
          <w:p w14:paraId="27B7803B" w14:textId="77777777" w:rsidR="000A666D" w:rsidRPr="000A666D" w:rsidRDefault="000A666D" w:rsidP="00E30704">
            <w:pPr>
              <w:widowControl w:val="0"/>
              <w:jc w:val="both"/>
              <w:rPr>
                <w:rFonts w:ascii="Arial" w:eastAsia="Arial" w:hAnsi="Arial" w:cs="Arial"/>
              </w:rPr>
            </w:pPr>
          </w:p>
        </w:tc>
        <w:tc>
          <w:tcPr>
            <w:tcW w:w="925" w:type="dxa"/>
          </w:tcPr>
          <w:p w14:paraId="45BF1A45" w14:textId="77777777" w:rsidR="000A666D" w:rsidRPr="000A666D" w:rsidRDefault="000A666D" w:rsidP="00E30704">
            <w:pPr>
              <w:widowControl w:val="0"/>
              <w:jc w:val="both"/>
              <w:rPr>
                <w:rFonts w:ascii="Arial" w:eastAsia="Arial" w:hAnsi="Arial" w:cs="Arial"/>
              </w:rPr>
            </w:pPr>
          </w:p>
        </w:tc>
        <w:tc>
          <w:tcPr>
            <w:tcW w:w="974" w:type="dxa"/>
          </w:tcPr>
          <w:p w14:paraId="4F5FA3CE" w14:textId="77777777" w:rsidR="000A666D" w:rsidRPr="000A666D" w:rsidRDefault="000A666D" w:rsidP="00E30704">
            <w:pPr>
              <w:widowControl w:val="0"/>
              <w:jc w:val="both"/>
              <w:rPr>
                <w:rFonts w:ascii="Arial" w:eastAsia="Arial" w:hAnsi="Arial" w:cs="Arial"/>
              </w:rPr>
            </w:pPr>
          </w:p>
        </w:tc>
        <w:tc>
          <w:tcPr>
            <w:tcW w:w="1024" w:type="dxa"/>
          </w:tcPr>
          <w:p w14:paraId="231BEE67" w14:textId="77777777" w:rsidR="000A666D" w:rsidRPr="000A666D" w:rsidRDefault="000A666D" w:rsidP="00E30704">
            <w:pPr>
              <w:widowControl w:val="0"/>
              <w:jc w:val="both"/>
              <w:rPr>
                <w:rFonts w:ascii="Arial" w:eastAsia="Arial" w:hAnsi="Arial" w:cs="Arial"/>
              </w:rPr>
            </w:pPr>
          </w:p>
        </w:tc>
        <w:tc>
          <w:tcPr>
            <w:tcW w:w="994" w:type="dxa"/>
          </w:tcPr>
          <w:p w14:paraId="0195B3B9" w14:textId="77777777" w:rsidR="000A666D" w:rsidRPr="000A666D" w:rsidRDefault="000A666D" w:rsidP="00E30704">
            <w:pPr>
              <w:widowControl w:val="0"/>
              <w:jc w:val="both"/>
              <w:rPr>
                <w:rFonts w:ascii="Arial" w:eastAsia="Arial" w:hAnsi="Arial" w:cs="Arial"/>
              </w:rPr>
            </w:pPr>
          </w:p>
        </w:tc>
        <w:tc>
          <w:tcPr>
            <w:tcW w:w="1048" w:type="dxa"/>
          </w:tcPr>
          <w:p w14:paraId="671C6C90" w14:textId="77777777" w:rsidR="000A666D" w:rsidRPr="000A666D" w:rsidRDefault="000A666D" w:rsidP="00E30704">
            <w:pPr>
              <w:widowControl w:val="0"/>
              <w:jc w:val="both"/>
              <w:rPr>
                <w:rFonts w:ascii="Arial" w:eastAsia="Arial" w:hAnsi="Arial" w:cs="Arial"/>
              </w:rPr>
            </w:pPr>
          </w:p>
        </w:tc>
        <w:tc>
          <w:tcPr>
            <w:tcW w:w="1408" w:type="dxa"/>
          </w:tcPr>
          <w:p w14:paraId="487DBE88" w14:textId="77777777" w:rsidR="000A666D" w:rsidRPr="000A666D" w:rsidRDefault="000A666D" w:rsidP="00E30704">
            <w:pPr>
              <w:widowControl w:val="0"/>
              <w:jc w:val="both"/>
              <w:rPr>
                <w:rFonts w:ascii="Arial" w:eastAsia="Arial" w:hAnsi="Arial" w:cs="Arial"/>
              </w:rPr>
            </w:pPr>
          </w:p>
        </w:tc>
      </w:tr>
      <w:tr w:rsidR="000A666D" w:rsidRPr="000A666D" w14:paraId="68DF86C9" w14:textId="77777777" w:rsidTr="000A666D">
        <w:trPr>
          <w:trHeight w:val="531"/>
        </w:trPr>
        <w:tc>
          <w:tcPr>
            <w:tcW w:w="8123" w:type="dxa"/>
            <w:gridSpan w:val="7"/>
          </w:tcPr>
          <w:p w14:paraId="69BF3EF7" w14:textId="77777777" w:rsidR="000A666D" w:rsidRPr="000A666D" w:rsidRDefault="000A666D" w:rsidP="00E30704">
            <w:pPr>
              <w:widowControl w:val="0"/>
              <w:jc w:val="both"/>
              <w:rPr>
                <w:rFonts w:ascii="Arial" w:eastAsia="Arial" w:hAnsi="Arial" w:cs="Arial"/>
                <w:b/>
                <w:u w:val="single"/>
              </w:rPr>
            </w:pPr>
            <w:r w:rsidRPr="000A666D">
              <w:rPr>
                <w:rFonts w:ascii="Arial" w:eastAsia="Arial" w:hAnsi="Arial" w:cs="Arial"/>
                <w:b/>
                <w:u w:val="single"/>
              </w:rPr>
              <w:t>Regression Model</w:t>
            </w:r>
          </w:p>
        </w:tc>
      </w:tr>
      <w:tr w:rsidR="000A666D" w:rsidRPr="000A666D" w14:paraId="5FC57CC0" w14:textId="77777777" w:rsidTr="000A666D">
        <w:trPr>
          <w:trHeight w:val="531"/>
        </w:trPr>
        <w:tc>
          <w:tcPr>
            <w:tcW w:w="8123" w:type="dxa"/>
            <w:gridSpan w:val="7"/>
          </w:tcPr>
          <w:p w14:paraId="32F0ED1F" w14:textId="2E957FC1" w:rsidR="000A666D" w:rsidRPr="000A666D" w:rsidRDefault="000A666D" w:rsidP="00E30704">
            <w:pPr>
              <w:widowControl w:val="0"/>
              <w:jc w:val="both"/>
              <w:rPr>
                <w:rFonts w:ascii="Arial" w:eastAsia="Arial" w:hAnsi="Arial" w:cs="Arial"/>
              </w:rPr>
            </w:pPr>
            <w:r w:rsidRPr="000A666D">
              <w:rPr>
                <w:rFonts w:ascii="Arial" w:eastAsia="Arial" w:hAnsi="Arial" w:cs="Arial"/>
              </w:rPr>
              <w:t>Online Access=1.34 + 0.24 (School Leader) + -0.13 (Community Context ) + 0.35 (Policy Context)</w:t>
            </w:r>
          </w:p>
        </w:tc>
      </w:tr>
      <w:tr w:rsidR="000A666D" w:rsidRPr="000A666D" w14:paraId="2C453133" w14:textId="77777777" w:rsidTr="000A666D">
        <w:trPr>
          <w:trHeight w:val="81"/>
        </w:trPr>
        <w:tc>
          <w:tcPr>
            <w:tcW w:w="8123" w:type="dxa"/>
            <w:gridSpan w:val="7"/>
          </w:tcPr>
          <w:p w14:paraId="364FBE52"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R=0.714; R²=0.509; F=41.48;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39AD97C3" w14:textId="77777777" w:rsidR="000A666D" w:rsidRPr="000A666D" w:rsidRDefault="000A666D" w:rsidP="000A666D">
      <w:pPr>
        <w:pStyle w:val="Body"/>
        <w:rPr>
          <w:rFonts w:ascii="Arial" w:hAnsi="Arial" w:cs="Arial"/>
        </w:rPr>
      </w:pPr>
      <w:r>
        <w:rPr>
          <w:rFonts w:ascii="Arial" w:hAnsi="Arial" w:cs="Arial"/>
        </w:rPr>
        <w:t>Presented in Table 4</w:t>
      </w:r>
      <w:r w:rsidRPr="000A666D">
        <w:rPr>
          <w:rFonts w:ascii="Arial" w:hAnsi="Arial" w:cs="Arial"/>
        </w:rPr>
        <w:t xml:space="preserve"> is the regression analysis examining how different domains of participatory equity leadership significantly influence online access among public elementary school teachers in post-pandemic education. The regression model reveals that the domains of school leader, community context, and policy context significantly influence online access, with policy context (B = 0.35) having the strongest positive influence, followed by school leader (B = 0.24), while community context (B = -0.13) has a negative influence. The domain of school context (B = 0.13) was found to be not statistically significant (p = 0.171), suggesting that it does not have a meaningful impact on online access in this context. The t-statistics for each significant factor (ranging from 4.60 to 5.86) and their corresponding p-values (all below 0.05) confirm the statistical significance of the school leader and policy context, while the non-significant result for school context indicates that it does not significantly affect online access. The regression equation is as follows: Online Access = 1.34 + 0.24 (School Leader) + -0.13 (Community Context) + 0.35 (Policy Context). The model explains 50.9% of the variance in online access (R² = 0.509). Furthermore, the model’s F-value of 41.48 and its p-value of 0.000 indicate that the model is statistically significant.</w:t>
      </w:r>
    </w:p>
    <w:p w14:paraId="53A3F2B3" w14:textId="77777777" w:rsidR="000A666D" w:rsidRPr="000A666D" w:rsidRDefault="000A666D" w:rsidP="000A666D">
      <w:pPr>
        <w:pStyle w:val="Body"/>
        <w:rPr>
          <w:rFonts w:ascii="Arial" w:hAnsi="Arial" w:cs="Arial"/>
        </w:rPr>
      </w:pPr>
      <w:r w:rsidRPr="000A666D">
        <w:rPr>
          <w:rFonts w:ascii="Arial" w:hAnsi="Arial" w:cs="Arial"/>
        </w:rPr>
        <w:t>This finding implies that strong school leadership and supportive educational policies positively influence teachers' access to and use of online resources, which are crucial for post-pandemic education. In contrast, the negative influence of community context suggests that factors within the community may present challenges to online access, potentially limiting its effectiveness in some schools. The lack of significance for school context suggests that this domain does not have a significant impact on online access. These results highlight the importance of robust leadership and policy frameworks to enhance online access, and underscore the need to address external community-related factors that might hinder teachers’ use of digital tools in their teaching practices.</w:t>
      </w:r>
    </w:p>
    <w:p w14:paraId="37529965" w14:textId="3D332652" w:rsidR="000A666D" w:rsidRDefault="000A666D" w:rsidP="00850E61">
      <w:pPr>
        <w:pStyle w:val="Body"/>
        <w:rPr>
          <w:rFonts w:ascii="Arial" w:hAnsi="Arial" w:cs="Arial"/>
        </w:rPr>
      </w:pPr>
      <w:r w:rsidRPr="000A666D">
        <w:rPr>
          <w:rFonts w:ascii="Arial" w:hAnsi="Arial" w:cs="Arial"/>
        </w:rPr>
        <w:t xml:space="preserve">This finding aligns with the research of Wharton-Beck et al. (2024), who emphasized the significant role that participatory equity leadership plays in enhancing online access for teachers in post-pandemic education. Their study revealed that school leaders who engage in collaborative decision-making and help equitable access to resources ensure that teachers have the tools and support needed to navigate online teaching effectively. Similarly, </w:t>
      </w:r>
      <w:proofErr w:type="spellStart"/>
      <w:r w:rsidR="00BF0904" w:rsidRPr="00BF0904">
        <w:rPr>
          <w:rFonts w:ascii="Arial" w:hAnsi="Arial" w:cs="Arial"/>
        </w:rPr>
        <w:t>Thangeni</w:t>
      </w:r>
      <w:proofErr w:type="spellEnd"/>
      <w:r w:rsidR="00BF0904" w:rsidRPr="00BF0904">
        <w:rPr>
          <w:rFonts w:ascii="Arial" w:hAnsi="Arial" w:cs="Arial"/>
        </w:rPr>
        <w:t xml:space="preserve"> </w:t>
      </w:r>
      <w:r w:rsidR="00BF0904">
        <w:rPr>
          <w:rFonts w:ascii="Arial" w:hAnsi="Arial" w:cs="Arial"/>
        </w:rPr>
        <w:t>(2022</w:t>
      </w:r>
      <w:r w:rsidRPr="000A666D">
        <w:rPr>
          <w:rFonts w:ascii="Arial" w:hAnsi="Arial" w:cs="Arial"/>
        </w:rPr>
        <w:t xml:space="preserve">) found that participatory leadership models promote a culture of shared responsibility, where teachers are encouraged to develop and implement digital learning strategies, which significantly improves their access to technology. Furthermore, Raman and </w:t>
      </w:r>
      <w:proofErr w:type="spellStart"/>
      <w:r w:rsidRPr="000A666D">
        <w:rPr>
          <w:rFonts w:ascii="Arial" w:hAnsi="Arial" w:cs="Arial"/>
        </w:rPr>
        <w:t>Thannimalai</w:t>
      </w:r>
      <w:proofErr w:type="spellEnd"/>
      <w:r w:rsidRPr="000A666D">
        <w:rPr>
          <w:rFonts w:ascii="Arial" w:hAnsi="Arial" w:cs="Arial"/>
        </w:rPr>
        <w:t xml:space="preserve"> </w:t>
      </w:r>
      <w:r w:rsidRPr="000A666D">
        <w:rPr>
          <w:rFonts w:ascii="Arial" w:hAnsi="Arial" w:cs="Arial"/>
        </w:rPr>
        <w:lastRenderedPageBreak/>
        <w:t>(2019) highlighted that when school leaders prioritize community context and policy support, teachers experience increased opportunities for professional development in ICT, thereby enhancing their ability to integrate technology into their teaching and improve overall online access.</w:t>
      </w:r>
    </w:p>
    <w:p w14:paraId="08FEB9C6" w14:textId="594B42E8"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7ACB5486"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Based on the findings of the study, the following conclusions were formulated:</w:t>
      </w:r>
    </w:p>
    <w:p w14:paraId="65769848"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Firstly, the level of participatory equity leadership among public elementary school teachers in post-pandemic education is often manifested. This suggests that teachers are actively involved in promoting inclusive, equitable, and collaborative leadership practices within their schools, particularly in adapting to the challenges posed by the post-pandemic educational landscape.</w:t>
      </w:r>
    </w:p>
    <w:p w14:paraId="11BCE8E3"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Secondly, the level of online access among public elementary school teachers in post-pandemic education is often manifested. This indicates that teachers frequently utilize online tools and resources to support their teaching practices, highlighting the integration of technology in their educational activities and their adaptation to new teaching methodologies post-pandemic.</w:t>
      </w:r>
    </w:p>
    <w:p w14:paraId="173F0111" w14:textId="77777777" w:rsidR="000A666D" w:rsidRPr="004B608D" w:rsidRDefault="000A666D" w:rsidP="000A666D">
      <w:pPr>
        <w:pStyle w:val="ReferHead"/>
        <w:jc w:val="both"/>
        <w:rPr>
          <w:rFonts w:ascii="Arial" w:hAnsi="Arial" w:cs="Arial"/>
          <w:b w:val="0"/>
          <w:caps w:val="0"/>
          <w:sz w:val="20"/>
          <w:highlight w:val="yellow"/>
        </w:rPr>
      </w:pPr>
      <w:r w:rsidRPr="004B608D">
        <w:rPr>
          <w:rFonts w:ascii="Arial" w:hAnsi="Arial" w:cs="Arial"/>
          <w:b w:val="0"/>
          <w:caps w:val="0"/>
          <w:sz w:val="20"/>
          <w:highlight w:val="yellow"/>
        </w:rPr>
        <w:t>Thirdly, a significant relationship exists between participatory equity leadership and online access, indicating a low positive correlation between the two variables. This suggests that as teachers engage more with participatory equity leadership practices, there is a slight increase in their access to and use of online resources. While the correlation is positive, it is not particularly strong, implying that while leadership practices may contribute to online access, other factors may also play a role.</w:t>
      </w:r>
    </w:p>
    <w:p w14:paraId="31EFD7C0" w14:textId="2FEEBE3B" w:rsidR="009676BB" w:rsidRDefault="000A666D" w:rsidP="000A666D">
      <w:pPr>
        <w:pStyle w:val="ReferHead"/>
        <w:spacing w:after="0"/>
        <w:jc w:val="both"/>
        <w:rPr>
          <w:rFonts w:ascii="Arial" w:hAnsi="Arial" w:cs="Arial"/>
          <w:b w:val="0"/>
          <w:caps w:val="0"/>
          <w:sz w:val="20"/>
        </w:rPr>
      </w:pPr>
      <w:r w:rsidRPr="004B608D">
        <w:rPr>
          <w:rFonts w:ascii="Arial" w:hAnsi="Arial" w:cs="Arial"/>
          <w:b w:val="0"/>
          <w:caps w:val="0"/>
          <w:sz w:val="20"/>
          <w:highlight w:val="yellow"/>
        </w:rPr>
        <w:t>Finally, when examining the influence of different domains of participatory equity leadership on online access, school leader involvement, community context, and policy context emerged as significant predictors, with policy context having the strongest influence. However, school context was found to be not significant in predicting online access. This emphasizes the importance of leadership and external factors, such as policy and community engagement, in supporting teachers' access to online resources, while the specific school context did not show a significant influence.</w:t>
      </w:r>
    </w:p>
    <w:p w14:paraId="75049806" w14:textId="77777777" w:rsidR="000A666D" w:rsidRDefault="000A666D" w:rsidP="000A666D">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24F7FA7B"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Based on the findings and conclusions of this study, the following recommendations were formulated:</w:t>
      </w:r>
    </w:p>
    <w:p w14:paraId="58510EE8"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 xml:space="preserve">Firstly, considering that teachers exhibit a high level of participatory equity leadership in post-pandemic education, school administrators may continue to promote and support leadership practices that encourage inclusivity, collaboration, and shared responsibility. Schools could implement professional development programs focused on enhancing participatory leadership skills, fostering a school culture where teachers and administrators collaborate more effectively in decision-making processes. Encouraging teachers to take on leadership roles in areas such as curriculum development, school policy formation, and professional learning communities can further enhance school equity. Teachers, in turn, may continue to model </w:t>
      </w:r>
      <w:r w:rsidRPr="000A666D">
        <w:rPr>
          <w:rFonts w:ascii="Arial" w:hAnsi="Arial" w:cs="Arial"/>
          <w:b w:val="0"/>
          <w:caps w:val="0"/>
          <w:sz w:val="20"/>
        </w:rPr>
        <w:lastRenderedPageBreak/>
        <w:t>fairness, inclusivity, and accountability in their leadership practices, ensuring that every student’s voice is heard and valued.</w:t>
      </w:r>
    </w:p>
    <w:p w14:paraId="38B5CC66"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Secondly, given that teachers demonstrate a high level of online access, schools may focus on strengthening teachers' digital literacy and access to technological tools. Providing teachers with professional development in using technology for teaching, learning, and assessment will help further integrate online resources into everyday teaching practices. School leaders may ensure that teachers have continuous access to digital platforms, online tools, and educational resources to enhance their instructional strategies. Schools may also invest in robust IT infrastructure, ensuring that all teachers are equipped with the necessary devices and internet connectivity to engage fully in post-pandemic education. Teachers can continue to embrace online resources in ways that support a diverse and engaging learning environment for their students.</w:t>
      </w:r>
    </w:p>
    <w:p w14:paraId="316F3108"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Thirdly, given the significant relationship between participatory equity leadership and online access, school leaders may focus on fostering a supportive and inclusive leadership environment that facilitates greater access to technology. School leaders may prioritize policies and practices that promote digital equity, ensuring that all teachers and students have the tools and resources needed to succeed in the online education environment. Additionally, they may engage with the broader community, including local authorities and tech companies, to secure resources and support for improving online access. Teachers, in turn, may continue to engage in leadership roles that advocate for equal access to technology and support the integration of digital tools in the curriculum.</w:t>
      </w:r>
    </w:p>
    <w:p w14:paraId="11B8E0CB"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Finally, considering the influence of school leader involvement, community context, and policy context on online access, schools may focus on enhancing these areas to improve access to technology for teachers and students. School leaders may be proactive in involving the community in discussions about digital inclusion, ensuring that all stakeholders, including parents and local organizations, are engaged in supporting online access. Policy initiatives may focus on ensuring that equitable access to technology is a priority, with provisions for funding and support for under-resourced schools. Teachers, in turn, may continue to collaborate with school leaders and community members to ensure that all students have equal opportunities to access online learning resources.</w:t>
      </w:r>
    </w:p>
    <w:p w14:paraId="53E88C64" w14:textId="3F3BD60D" w:rsidR="009676BB" w:rsidRDefault="000A666D" w:rsidP="000A666D">
      <w:pPr>
        <w:pStyle w:val="ReferHead"/>
        <w:spacing w:after="0"/>
        <w:jc w:val="both"/>
        <w:rPr>
          <w:rFonts w:ascii="Arial" w:hAnsi="Arial" w:cs="Arial"/>
          <w:b w:val="0"/>
          <w:caps w:val="0"/>
          <w:sz w:val="20"/>
        </w:rPr>
      </w:pPr>
      <w:r w:rsidRPr="000A666D">
        <w:rPr>
          <w:rFonts w:ascii="Arial" w:hAnsi="Arial" w:cs="Arial"/>
          <w:b w:val="0"/>
          <w:caps w:val="0"/>
          <w:sz w:val="20"/>
        </w:rPr>
        <w:t>Future research could explore the long-term impact of participatory equity leadership on online access in various school contexts. Investigating how leadership practices influence the sustainability of online learning tools and the equitable distribution of resources could provide valuable insights. Additionally, future studies could examine the relationship between policy context and online access, exploring how educational policies may further support equitable access to digital tools and technology for teachers and students in post-pandemic education.</w:t>
      </w:r>
    </w:p>
    <w:p w14:paraId="758F932D" w14:textId="77777777" w:rsidR="000A666D" w:rsidRDefault="000A666D" w:rsidP="000A666D">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353DA745" w:rsidR="00717F2E" w:rsidRDefault="006F79C5">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Consent</w:t>
      </w:r>
    </w:p>
    <w:p w14:paraId="67F05F0C" w14:textId="77777777" w:rsidR="00717F2E" w:rsidRDefault="00717F2E">
      <w:pPr>
        <w:pStyle w:val="ReferHead"/>
        <w:spacing w:after="0"/>
        <w:jc w:val="both"/>
        <w:rPr>
          <w:rFonts w:ascii="Arial" w:hAnsi="Arial" w:cs="Arial"/>
          <w:bCs/>
          <w:sz w:val="20"/>
        </w:rPr>
      </w:pPr>
    </w:p>
    <w:p w14:paraId="7891B505" w14:textId="5AA0FA1E" w:rsidR="00A50958" w:rsidRDefault="003B637F" w:rsidP="00505231">
      <w:pPr>
        <w:pStyle w:val="ReferHead"/>
        <w:spacing w:after="0"/>
        <w:jc w:val="both"/>
        <w:rPr>
          <w:rFonts w:ascii="Arial" w:hAnsi="Arial" w:cs="Arial"/>
          <w:b w:val="0"/>
          <w:caps w:val="0"/>
          <w:sz w:val="20"/>
        </w:rPr>
      </w:pPr>
      <w:r w:rsidRPr="003B637F">
        <w:rPr>
          <w:rFonts w:ascii="Arial" w:hAnsi="Arial" w:cs="Arial"/>
          <w:b w:val="0"/>
          <w:caps w:val="0"/>
          <w:sz w:val="20"/>
        </w:rPr>
        <w:t xml:space="preserve">This study was conducted in full compliance with established ethical guidelines to protect the rights, dignity, and welfare of all participants. Before collecting any data, the researcher obtained the necessary approvals from relevant institutional authorities, including an endorsement from the Dean of the Graduate School and ethical clearance from the appropriate Ethics Review Committee. The research process adhered to the ethical standards set by </w:t>
      </w:r>
      <w:proofErr w:type="spellStart"/>
      <w:r w:rsidRPr="003B637F">
        <w:rPr>
          <w:rFonts w:ascii="Arial" w:hAnsi="Arial" w:cs="Arial"/>
          <w:b w:val="0"/>
          <w:caps w:val="0"/>
          <w:sz w:val="20"/>
        </w:rPr>
        <w:t>Pregoner</w:t>
      </w:r>
      <w:proofErr w:type="spellEnd"/>
      <w:r w:rsidRPr="003B637F">
        <w:rPr>
          <w:rFonts w:ascii="Arial" w:hAnsi="Arial" w:cs="Arial"/>
          <w:b w:val="0"/>
          <w:caps w:val="0"/>
          <w:sz w:val="20"/>
        </w:rPr>
        <w:t xml:space="preserve"> et al. (2025), ensuring consistency with current protocols for studies involving human participants in educational contexts. Participation was completely voluntary, with all respondents being clearly informed about the study’s goals, procedures, and their right to refuse or withdraw at any tim</w:t>
      </w:r>
      <w:bookmarkStart w:id="0" w:name="_GoBack"/>
      <w:bookmarkEnd w:id="0"/>
      <w:r w:rsidRPr="003B637F">
        <w:rPr>
          <w:rFonts w:ascii="Arial" w:hAnsi="Arial" w:cs="Arial"/>
          <w:b w:val="0"/>
          <w:caps w:val="0"/>
          <w:sz w:val="20"/>
        </w:rPr>
        <w:t xml:space="preserve">e without penalty. Informed consent was obtained to confirm their </w:t>
      </w:r>
      <w:r w:rsidRPr="003B637F">
        <w:rPr>
          <w:rFonts w:ascii="Arial" w:hAnsi="Arial" w:cs="Arial"/>
          <w:b w:val="0"/>
          <w:caps w:val="0"/>
          <w:sz w:val="20"/>
        </w:rPr>
        <w:lastRenderedPageBreak/>
        <w:t>voluntary involvement and understanding of the study. To maintain confidentiality and ensure anonymity, no personally identifiable information was collected, and all responses were kept strictly private. The data were used solely for academic purposes, reflecting the researcher’s commitment to ethical integrity, transparency, and professionalism throughout the study.</w:t>
      </w:r>
    </w:p>
    <w:p w14:paraId="6CA824BE" w14:textId="57C9F49C" w:rsidR="003B637F" w:rsidRDefault="003B637F" w:rsidP="00505231">
      <w:pPr>
        <w:pStyle w:val="ReferHead"/>
        <w:spacing w:after="0"/>
        <w:jc w:val="both"/>
        <w:rPr>
          <w:rFonts w:ascii="Arial" w:hAnsi="Arial" w:cs="Arial"/>
          <w:b w:val="0"/>
          <w:caps w:val="0"/>
          <w:sz w:val="20"/>
        </w:rPr>
      </w:pPr>
    </w:p>
    <w:p w14:paraId="2BC90047" w14:textId="77777777" w:rsidR="00CD4D57" w:rsidRPr="006F79C5" w:rsidRDefault="00CD4D57" w:rsidP="00CD4D57">
      <w:pPr>
        <w:pStyle w:val="ReferHead"/>
        <w:spacing w:after="0"/>
        <w:jc w:val="both"/>
        <w:rPr>
          <w:rFonts w:ascii="Arial" w:hAnsi="Arial" w:cs="Arial"/>
          <w:caps w:val="0"/>
          <w:sz w:val="20"/>
          <w:highlight w:val="yellow"/>
        </w:rPr>
      </w:pPr>
      <w:r w:rsidRPr="006F79C5">
        <w:rPr>
          <w:rFonts w:ascii="Arial" w:hAnsi="Arial" w:cs="Arial"/>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345BCCE6" w14:textId="77777777" w:rsidR="00BF0904" w:rsidRDefault="00BF0904" w:rsidP="00BF0904">
      <w:pPr>
        <w:ind w:left="720" w:hanging="720"/>
      </w:pPr>
    </w:p>
    <w:p w14:paraId="40D065C0"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Afzal, A., Khan, S., Daud, S., Ahmad, Z., &amp; Butt, A. (2023). Addressing the digital divide: Access and use of technology in education. </w:t>
      </w:r>
      <w:r>
        <w:rPr>
          <w:rFonts w:ascii="Arial" w:hAnsi="Arial" w:cs="Arial"/>
          <w:i/>
          <w:iCs/>
          <w:color w:val="222222"/>
          <w:shd w:val="clear" w:color="auto" w:fill="FFFFFF"/>
        </w:rPr>
        <w:t>Journal of Social Sciences Review</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(2), 883-895. </w:t>
      </w:r>
      <w:hyperlink r:id="rId9" w:history="1">
        <w:r w:rsidRPr="00D007BA">
          <w:rPr>
            <w:rStyle w:val="Hyperlink"/>
            <w:rFonts w:ascii="Arial" w:hAnsi="Arial" w:cs="Arial"/>
            <w:shd w:val="clear" w:color="auto" w:fill="FFFFFF"/>
          </w:rPr>
          <w:t>http://ojs.jssr.org.pk/index.php/jssr/article/view/326</w:t>
        </w:r>
      </w:hyperlink>
    </w:p>
    <w:p w14:paraId="15DC5A8F"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Arnold-Whitaker, C. (2022). </w:t>
      </w:r>
      <w:r>
        <w:rPr>
          <w:rFonts w:ascii="Arial" w:hAnsi="Arial" w:cs="Arial"/>
          <w:i/>
          <w:iCs/>
          <w:color w:val="222222"/>
          <w:shd w:val="clear" w:color="auto" w:fill="FFFFFF"/>
        </w:rPr>
        <w:t>Investigating Distance Learning, Culturally and Racially Equitable Pedagogies, and Leadership in Relation to Underserved Student Populations</w:t>
      </w:r>
      <w:r>
        <w:rPr>
          <w:rFonts w:ascii="Arial" w:hAnsi="Arial" w:cs="Arial"/>
          <w:color w:val="222222"/>
          <w:shd w:val="clear" w:color="auto" w:fill="FFFFFF"/>
        </w:rPr>
        <w:t xml:space="preserve"> (Doctoral dissertation, Alliant International University). </w:t>
      </w:r>
      <w:hyperlink r:id="rId10" w:history="1">
        <w:r w:rsidRPr="00D007BA">
          <w:rPr>
            <w:rStyle w:val="Hyperlink"/>
            <w:rFonts w:ascii="Arial" w:hAnsi="Arial" w:cs="Arial"/>
            <w:shd w:val="clear" w:color="auto" w:fill="FFFFFF"/>
          </w:rPr>
          <w:t>https://search.proquest.com/openview/6ef0800a9754453e178f054d93acaa14/1?pq-origsite=gscholar&amp;cbl=18750&amp;diss=y</w:t>
        </w:r>
      </w:hyperlink>
    </w:p>
    <w:p w14:paraId="418AD154"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1" w:history="1">
        <w:r w:rsidRPr="00D007BA">
          <w:rPr>
            <w:rStyle w:val="Hyperlink"/>
            <w:rFonts w:ascii="Arial" w:hAnsi="Arial" w:cs="Arial"/>
            <w:shd w:val="clear" w:color="auto" w:fill="FFFFFF"/>
          </w:rPr>
          <w:t>https://hal.science/hal-04894432/</w:t>
        </w:r>
      </w:hyperlink>
    </w:p>
    <w:p w14:paraId="058D51E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Boltz, L. O., Yadav, A., Dillman, B., &amp; Robertson, C. (2021). Transitioning to remote learning: Lessons from supporting K</w:t>
      </w:r>
      <w:r>
        <w:rPr>
          <w:rFonts w:ascii="Cambria Math" w:hAnsi="Cambria Math" w:cs="Cambria Math"/>
          <w:color w:val="222222"/>
          <w:shd w:val="clear" w:color="auto" w:fill="FFFFFF"/>
        </w:rPr>
        <w:t>‐</w:t>
      </w:r>
      <w:r>
        <w:rPr>
          <w:rFonts w:ascii="Arial" w:hAnsi="Arial" w:cs="Arial"/>
          <w:color w:val="222222"/>
          <w:shd w:val="clear" w:color="auto" w:fill="FFFFFF"/>
        </w:rPr>
        <w:t>12 teachers through a MOOC. </w:t>
      </w:r>
      <w:r>
        <w:rPr>
          <w:rFonts w:ascii="Arial" w:hAnsi="Arial" w:cs="Arial"/>
          <w:i/>
          <w:iCs/>
          <w:color w:val="222222"/>
          <w:shd w:val="clear" w:color="auto" w:fill="FFFFFF"/>
        </w:rPr>
        <w:t>British journal of educational technology</w:t>
      </w:r>
      <w:r>
        <w:rPr>
          <w:rFonts w:ascii="Arial" w:hAnsi="Arial" w:cs="Arial"/>
          <w:color w:val="222222"/>
          <w:shd w:val="clear" w:color="auto" w:fill="FFFFFF"/>
        </w:rPr>
        <w:t>, </w:t>
      </w:r>
      <w:r>
        <w:rPr>
          <w:rFonts w:ascii="Arial" w:hAnsi="Arial" w:cs="Arial"/>
          <w:i/>
          <w:iCs/>
          <w:color w:val="222222"/>
          <w:shd w:val="clear" w:color="auto" w:fill="FFFFFF"/>
        </w:rPr>
        <w:t>52</w:t>
      </w:r>
      <w:r>
        <w:rPr>
          <w:rFonts w:ascii="Arial" w:hAnsi="Arial" w:cs="Arial"/>
          <w:color w:val="222222"/>
          <w:shd w:val="clear" w:color="auto" w:fill="FFFFFF"/>
        </w:rPr>
        <w:t xml:space="preserve">(4), 1377-1393. </w:t>
      </w:r>
      <w:hyperlink r:id="rId12" w:history="1">
        <w:r w:rsidRPr="00D007BA">
          <w:rPr>
            <w:rStyle w:val="Hyperlink"/>
            <w:rFonts w:ascii="Arial" w:hAnsi="Arial" w:cs="Arial"/>
            <w:shd w:val="clear" w:color="auto" w:fill="FFFFFF"/>
          </w:rPr>
          <w:t>https://bera-journals.onlinelibrary.wiley.com/doi/abs/10.1111/bjet.13075</w:t>
        </w:r>
      </w:hyperlink>
    </w:p>
    <w:p w14:paraId="198B718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Dayal, S. (2023). Online education and its effect on teachers during COVID-19—A case study from India.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(3), e0282287. </w:t>
      </w:r>
      <w:hyperlink r:id="rId13" w:history="1">
        <w:r w:rsidRPr="00D007BA">
          <w:rPr>
            <w:rStyle w:val="Hyperlink"/>
            <w:rFonts w:ascii="Arial" w:hAnsi="Arial" w:cs="Arial"/>
            <w:shd w:val="clear" w:color="auto" w:fill="FFFFFF"/>
          </w:rPr>
          <w:t>https://journals.plos.org/plosone/article?id=10.1371/journal.pone.0282287</w:t>
        </w:r>
      </w:hyperlink>
    </w:p>
    <w:p w14:paraId="158EBF0E"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Esteron, M. A. S. (2021). Equity in online learning amidst pandemic in the Philippines. </w:t>
      </w:r>
      <w:r>
        <w:rPr>
          <w:rFonts w:ascii="Arial" w:hAnsi="Arial" w:cs="Arial"/>
          <w:i/>
          <w:iCs/>
          <w:color w:val="222222"/>
          <w:shd w:val="clear" w:color="auto" w:fill="FFFFFF"/>
        </w:rPr>
        <w:t>International Journal of English Literature and Social Sciences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(5), 139-151. </w:t>
      </w:r>
      <w:hyperlink r:id="rId14" w:history="1">
        <w:r w:rsidRPr="00D007BA">
          <w:rPr>
            <w:rStyle w:val="Hyperlink"/>
            <w:rFonts w:ascii="Arial" w:hAnsi="Arial" w:cs="Arial"/>
            <w:shd w:val="clear" w:color="auto" w:fill="FFFFFF"/>
          </w:rPr>
          <w:t>https://ijels.com/upload_document/issue_files/23IJELS-109202148-Equityin.pdf</w:t>
        </w:r>
      </w:hyperlink>
    </w:p>
    <w:p w14:paraId="2044375B"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Ferri, F., </w:t>
      </w:r>
      <w:proofErr w:type="spellStart"/>
      <w:r>
        <w:rPr>
          <w:rFonts w:ascii="Arial" w:hAnsi="Arial" w:cs="Arial"/>
          <w:color w:val="222222"/>
          <w:shd w:val="clear" w:color="auto" w:fill="FFFFFF"/>
        </w:rPr>
        <w:t>Grifoni</w:t>
      </w:r>
      <w:proofErr w:type="spellEnd"/>
      <w:r>
        <w:rPr>
          <w:rFonts w:ascii="Arial" w:hAnsi="Arial" w:cs="Arial"/>
          <w:color w:val="222222"/>
          <w:shd w:val="clear" w:color="auto" w:fill="FFFFFF"/>
        </w:rPr>
        <w:t>, P., &amp; Guzzo, T. (2020). Online learning and emergency remote teaching: Opportunities and challenges in emergency situations. </w:t>
      </w:r>
      <w:r>
        <w:rPr>
          <w:rFonts w:ascii="Arial" w:hAnsi="Arial" w:cs="Arial"/>
          <w:i/>
          <w:iCs/>
          <w:color w:val="222222"/>
          <w:shd w:val="clear" w:color="auto" w:fill="FFFFFF"/>
        </w:rPr>
        <w:t>Societies</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(4), 86. </w:t>
      </w:r>
      <w:hyperlink r:id="rId15" w:history="1">
        <w:r w:rsidRPr="00D007BA">
          <w:rPr>
            <w:rStyle w:val="Hyperlink"/>
            <w:rFonts w:ascii="Arial" w:hAnsi="Arial" w:cs="Arial"/>
            <w:shd w:val="clear" w:color="auto" w:fill="FFFFFF"/>
          </w:rPr>
          <w:t>https://www.mdpi.com/2075-4698/10/4/86</w:t>
        </w:r>
      </w:hyperlink>
    </w:p>
    <w:p w14:paraId="740C6B88"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Gottschalk, F., &amp; Weise, C. (2023). Digital equity and inclusion in education: An overview of practice and policy in OECD countries. </w:t>
      </w:r>
      <w:r>
        <w:rPr>
          <w:rFonts w:ascii="Arial" w:hAnsi="Arial" w:cs="Arial"/>
          <w:i/>
          <w:iCs/>
          <w:color w:val="222222"/>
          <w:shd w:val="clear" w:color="auto" w:fill="FFFFFF"/>
        </w:rPr>
        <w:t>OECD Education Working Papers</w:t>
      </w:r>
      <w:r>
        <w:rPr>
          <w:rFonts w:ascii="Arial" w:hAnsi="Arial" w:cs="Arial"/>
          <w:color w:val="222222"/>
          <w:shd w:val="clear" w:color="auto" w:fill="FFFFFF"/>
        </w:rPr>
        <w:t xml:space="preserve">, (299), 0_1-75. </w:t>
      </w:r>
      <w:hyperlink r:id="rId16" w:history="1">
        <w:r w:rsidRPr="00D007BA">
          <w:rPr>
            <w:rStyle w:val="Hyperlink"/>
            <w:rFonts w:ascii="Arial" w:hAnsi="Arial" w:cs="Arial"/>
            <w:shd w:val="clear" w:color="auto" w:fill="FFFFFF"/>
          </w:rPr>
          <w:t>https://search.proquest.com/openview/3a460df92919c3f3a59de42c98a6c5ab/1?pq-origsite=gscholar&amp;cbl=54479</w:t>
        </w:r>
      </w:hyperlink>
    </w:p>
    <w:p w14:paraId="1B863991"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Hennessy, S., D'Angelo, S., McIntyre, N., </w:t>
      </w:r>
      <w:proofErr w:type="spellStart"/>
      <w:r>
        <w:rPr>
          <w:rFonts w:ascii="Arial" w:hAnsi="Arial" w:cs="Arial"/>
          <w:color w:val="222222"/>
          <w:shd w:val="clear" w:color="auto" w:fill="FFFFFF"/>
        </w:rPr>
        <w:t>Koomar</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Kreimeia</w:t>
      </w:r>
      <w:proofErr w:type="spellEnd"/>
      <w:r>
        <w:rPr>
          <w:rFonts w:ascii="Arial" w:hAnsi="Arial" w:cs="Arial"/>
          <w:color w:val="222222"/>
          <w:shd w:val="clear" w:color="auto" w:fill="FFFFFF"/>
        </w:rPr>
        <w:t>, A., Cao, L., ... &amp; Zubairi, A. (2022). Technology use for teacher professional development in low-and middle-</w:t>
      </w:r>
      <w:r>
        <w:rPr>
          <w:rFonts w:ascii="Arial" w:hAnsi="Arial" w:cs="Arial"/>
          <w:color w:val="222222"/>
          <w:shd w:val="clear" w:color="auto" w:fill="FFFFFF"/>
        </w:rPr>
        <w:lastRenderedPageBreak/>
        <w:t>income countries: A systematic review. </w:t>
      </w:r>
      <w:r>
        <w:rPr>
          <w:rFonts w:ascii="Arial" w:hAnsi="Arial" w:cs="Arial"/>
          <w:i/>
          <w:iCs/>
          <w:color w:val="222222"/>
          <w:shd w:val="clear" w:color="auto" w:fill="FFFFFF"/>
        </w:rPr>
        <w:t>Computers and Education Open</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 100080. </w:t>
      </w:r>
      <w:hyperlink r:id="rId17" w:history="1">
        <w:r w:rsidRPr="00D007BA">
          <w:rPr>
            <w:rStyle w:val="Hyperlink"/>
            <w:rFonts w:ascii="Arial" w:hAnsi="Arial" w:cs="Arial"/>
            <w:shd w:val="clear" w:color="auto" w:fill="FFFFFF"/>
          </w:rPr>
          <w:t>https://www.sciencedirect.com/science/article/pii/S2666557322000088</w:t>
        </w:r>
      </w:hyperlink>
    </w:p>
    <w:p w14:paraId="075B3E94"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Jackson, I., Gonzales, M. M., &amp; Mensah, A. (2022). It is not equitable if it is not culturally sustaining: teaching and learning in 1: 1 laptop schools. </w:t>
      </w:r>
      <w:r>
        <w:rPr>
          <w:rFonts w:ascii="Arial" w:hAnsi="Arial" w:cs="Arial"/>
          <w:i/>
          <w:iCs/>
          <w:color w:val="222222"/>
          <w:shd w:val="clear" w:color="auto" w:fill="FFFFFF"/>
        </w:rPr>
        <w:t>Journal for Multicultural Education</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xml:space="preserve">(4), 323-336. </w:t>
      </w:r>
      <w:hyperlink r:id="rId18" w:history="1">
        <w:r w:rsidRPr="00D007BA">
          <w:rPr>
            <w:rStyle w:val="Hyperlink"/>
            <w:rFonts w:ascii="Arial" w:hAnsi="Arial" w:cs="Arial"/>
            <w:shd w:val="clear" w:color="auto" w:fill="FFFFFF"/>
          </w:rPr>
          <w:t>https://www.emerald.com/insight/content/doi/10.1108/jme-09-2021-0180/full/html</w:t>
        </w:r>
      </w:hyperlink>
    </w:p>
    <w:p w14:paraId="527C7181"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Lembani</w:t>
      </w:r>
      <w:proofErr w:type="spellEnd"/>
      <w:r>
        <w:rPr>
          <w:rFonts w:ascii="Arial" w:hAnsi="Arial" w:cs="Arial"/>
          <w:color w:val="222222"/>
          <w:shd w:val="clear" w:color="auto" w:fill="FFFFFF"/>
        </w:rPr>
        <w:t>, R., Gunter, A., Breines, M., &amp; Dalu, M. T. B. (2020). The same course, different access: the digital divide between urban and rural distance education students in South Africa. </w:t>
      </w:r>
      <w:r>
        <w:rPr>
          <w:rFonts w:ascii="Arial" w:hAnsi="Arial" w:cs="Arial"/>
          <w:i/>
          <w:iCs/>
          <w:color w:val="222222"/>
          <w:shd w:val="clear" w:color="auto" w:fill="FFFFFF"/>
        </w:rPr>
        <w:t>Journal of geography in higher education</w:t>
      </w:r>
      <w:r>
        <w:rPr>
          <w:rFonts w:ascii="Arial" w:hAnsi="Arial" w:cs="Arial"/>
          <w:color w:val="222222"/>
          <w:shd w:val="clear" w:color="auto" w:fill="FFFFFF"/>
        </w:rPr>
        <w:t>, </w:t>
      </w:r>
      <w:r>
        <w:rPr>
          <w:rFonts w:ascii="Arial" w:hAnsi="Arial" w:cs="Arial"/>
          <w:i/>
          <w:iCs/>
          <w:color w:val="222222"/>
          <w:shd w:val="clear" w:color="auto" w:fill="FFFFFF"/>
        </w:rPr>
        <w:t>44</w:t>
      </w:r>
      <w:r>
        <w:rPr>
          <w:rFonts w:ascii="Arial" w:hAnsi="Arial" w:cs="Arial"/>
          <w:color w:val="222222"/>
          <w:shd w:val="clear" w:color="auto" w:fill="FFFFFF"/>
        </w:rPr>
        <w:t xml:space="preserve">(1), 70-84. </w:t>
      </w:r>
      <w:hyperlink r:id="rId19" w:history="1">
        <w:r w:rsidRPr="00D007BA">
          <w:rPr>
            <w:rStyle w:val="Hyperlink"/>
            <w:rFonts w:ascii="Arial" w:hAnsi="Arial" w:cs="Arial"/>
            <w:shd w:val="clear" w:color="auto" w:fill="FFFFFF"/>
          </w:rPr>
          <w:t>https://www.tandfonline.com/doi/abs/10.1080/03098265.2019.1694876</w:t>
        </w:r>
      </w:hyperlink>
    </w:p>
    <w:p w14:paraId="0B1B557B"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McGinnis, A. S. (2024). </w:t>
      </w:r>
      <w:r>
        <w:rPr>
          <w:rFonts w:ascii="Arial" w:hAnsi="Arial" w:cs="Arial"/>
          <w:i/>
          <w:iCs/>
          <w:color w:val="222222"/>
          <w:shd w:val="clear" w:color="auto" w:fill="FFFFFF"/>
        </w:rPr>
        <w:t>Examining Restorative Justice in Education as a Framework for Increasing Equity and Inclusion on Secondary School Campuses Post-Pandemic</w:t>
      </w:r>
      <w:r>
        <w:rPr>
          <w:rFonts w:ascii="Arial" w:hAnsi="Arial" w:cs="Arial"/>
          <w:color w:val="222222"/>
          <w:shd w:val="clear" w:color="auto" w:fill="FFFFFF"/>
        </w:rPr>
        <w:t xml:space="preserve"> (Doctoral dissertation, California State Polytechnic University, Pomona). </w:t>
      </w:r>
      <w:hyperlink r:id="rId20" w:history="1">
        <w:r w:rsidRPr="00D007BA">
          <w:rPr>
            <w:rStyle w:val="Hyperlink"/>
            <w:rFonts w:ascii="Arial" w:hAnsi="Arial" w:cs="Arial"/>
            <w:shd w:val="clear" w:color="auto" w:fill="FFFFFF"/>
          </w:rPr>
          <w:t>https://search.proquest.com/openview/60cea3e7ac61fb1a7f3f51f3704aca8e/1?pq-origsite=gscholar&amp;cbl=18750&amp;diss=y</w:t>
        </w:r>
      </w:hyperlink>
    </w:p>
    <w:p w14:paraId="32AB0D93"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Mustoip</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Tabroni</w:t>
      </w:r>
      <w:proofErr w:type="spellEnd"/>
      <w:r>
        <w:rPr>
          <w:rFonts w:ascii="Arial" w:hAnsi="Arial" w:cs="Arial"/>
          <w:color w:val="222222"/>
          <w:shd w:val="clear" w:color="auto" w:fill="FFFFFF"/>
        </w:rPr>
        <w:t xml:space="preserve">, I., Sulaiman, S., &amp; </w:t>
      </w:r>
      <w:proofErr w:type="spellStart"/>
      <w:r>
        <w:rPr>
          <w:rFonts w:ascii="Arial" w:hAnsi="Arial" w:cs="Arial"/>
          <w:color w:val="222222"/>
          <w:shd w:val="clear" w:color="auto" w:fill="FFFFFF"/>
        </w:rPr>
        <w:t>Marliani</w:t>
      </w:r>
      <w:proofErr w:type="spellEnd"/>
      <w:r>
        <w:rPr>
          <w:rFonts w:ascii="Arial" w:hAnsi="Arial" w:cs="Arial"/>
          <w:color w:val="222222"/>
          <w:shd w:val="clear" w:color="auto" w:fill="FFFFFF"/>
        </w:rPr>
        <w:t>, L. (2023). Promoting equity and excellence in elementary education: A global approach to school management and leadership. </w:t>
      </w:r>
      <w:r>
        <w:rPr>
          <w:rFonts w:ascii="Arial" w:hAnsi="Arial" w:cs="Arial"/>
          <w:i/>
          <w:iCs/>
          <w:color w:val="222222"/>
          <w:shd w:val="clear" w:color="auto" w:fill="FFFFFF"/>
        </w:rPr>
        <w:t xml:space="preserve">IJOBBA: International Journal of </w:t>
      </w:r>
      <w:proofErr w:type="spellStart"/>
      <w:r>
        <w:rPr>
          <w:rFonts w:ascii="Arial" w:hAnsi="Arial" w:cs="Arial"/>
          <w:i/>
          <w:iCs/>
          <w:color w:val="222222"/>
          <w:shd w:val="clear" w:color="auto" w:fill="FFFFFF"/>
        </w:rPr>
        <w:t>Bunga</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Bangsa</w:t>
      </w:r>
      <w:proofErr w:type="spellEnd"/>
      <w:r>
        <w:rPr>
          <w:rFonts w:ascii="Arial" w:hAnsi="Arial" w:cs="Arial"/>
          <w:i/>
          <w:iCs/>
          <w:color w:val="222222"/>
          <w:shd w:val="clear" w:color="auto" w:fill="FFFFFF"/>
        </w:rPr>
        <w:t xml:space="preserve"> Cirebon</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(2), 210-217. </w:t>
      </w:r>
      <w:hyperlink r:id="rId21" w:history="1">
        <w:r w:rsidRPr="00D007BA">
          <w:rPr>
            <w:rStyle w:val="Hyperlink"/>
            <w:rFonts w:ascii="Arial" w:hAnsi="Arial" w:cs="Arial"/>
            <w:shd w:val="clear" w:color="auto" w:fill="FFFFFF"/>
          </w:rPr>
          <w:t>http://jurnal.uibbc.ac.id/index.php/ijobba/article/view/2574</w:t>
        </w:r>
      </w:hyperlink>
    </w:p>
    <w:p w14:paraId="67349B97"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Näykki</w:t>
      </w:r>
      <w:proofErr w:type="spellEnd"/>
      <w:r>
        <w:rPr>
          <w:rFonts w:ascii="Arial" w:hAnsi="Arial" w:cs="Arial"/>
          <w:color w:val="222222"/>
          <w:shd w:val="clear" w:color="auto" w:fill="FFFFFF"/>
        </w:rPr>
        <w:t>, P., &amp; Häkkinen, P. (2023). Trends and Issues of Digital Learning in Finland. </w:t>
      </w:r>
      <w:r>
        <w:rPr>
          <w:rFonts w:ascii="Arial" w:hAnsi="Arial" w:cs="Arial"/>
          <w:i/>
          <w:iCs/>
          <w:color w:val="222222"/>
          <w:shd w:val="clear" w:color="auto" w:fill="FFFFFF"/>
        </w:rPr>
        <w:t>Trends and Issues of Promoting Digital Learning in High-Digital-Competitiveness Countries: Country Reports and International Comparison</w:t>
      </w:r>
      <w:r>
        <w:rPr>
          <w:rFonts w:ascii="Arial" w:hAnsi="Arial" w:cs="Arial"/>
          <w:color w:val="222222"/>
          <w:shd w:val="clear" w:color="auto" w:fill="FFFFFF"/>
        </w:rPr>
        <w:t xml:space="preserve">. </w:t>
      </w:r>
      <w:hyperlink r:id="rId22" w:anchor="page=103" w:history="1">
        <w:r w:rsidRPr="00D007BA">
          <w:rPr>
            <w:rStyle w:val="Hyperlink"/>
            <w:rFonts w:ascii="Arial" w:hAnsi="Arial" w:cs="Arial"/>
            <w:shd w:val="clear" w:color="auto" w:fill="FFFFFF"/>
          </w:rPr>
          <w:t>https://www.researchgate.net/profile/Lung-Sheng-Lee/publication/376513474_Trends_and_Issues_of_Promoting_Digital_Learning_in_High-Digital-Competitiveness_Countries_Country_Reports_and_International_Comparison/links/657b18906610947889cc415b/Trends-and-Issues-of-Promoting-Digital-Learning-in-High-Digital-Competitiveness-Countries-Country-Reports-and-International-Comparison.pdf#page=103</w:t>
        </w:r>
      </w:hyperlink>
    </w:p>
    <w:p w14:paraId="6841CBDE"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Parker, R., Morris, K., &amp; Hofmeyr, J. (2020). Education, inequality and innovation in the time of COVID-19. </w:t>
      </w:r>
      <w:r>
        <w:rPr>
          <w:rFonts w:ascii="Arial" w:hAnsi="Arial" w:cs="Arial"/>
          <w:i/>
          <w:iCs/>
          <w:color w:val="222222"/>
          <w:shd w:val="clear" w:color="auto" w:fill="FFFFFF"/>
        </w:rPr>
        <w:t>JET Education Services</w:t>
      </w:r>
      <w:r>
        <w:rPr>
          <w:rFonts w:ascii="Arial" w:hAnsi="Arial" w:cs="Arial"/>
          <w:color w:val="222222"/>
          <w:shd w:val="clear" w:color="auto" w:fill="FFFFFF"/>
        </w:rPr>
        <w:t xml:space="preserve">, 1-49. </w:t>
      </w:r>
      <w:hyperlink r:id="rId23" w:history="1">
        <w:r w:rsidRPr="00D007BA">
          <w:rPr>
            <w:rStyle w:val="Hyperlink"/>
            <w:rFonts w:ascii="Arial" w:hAnsi="Arial" w:cs="Arial"/>
            <w:shd w:val="clear" w:color="auto" w:fill="FFFFFF"/>
          </w:rPr>
          <w:t>https://www.jet.org.za/resources/theme-9-final-july-2020-parker-et-al.pdf/@@download/file/Theme%209%20Final%20report%20Parker%20et%20al.pdf</w:t>
        </w:r>
      </w:hyperlink>
    </w:p>
    <w:p w14:paraId="3F36DF96"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Prasetyo</w:t>
      </w:r>
      <w:proofErr w:type="spellEnd"/>
      <w:r>
        <w:rPr>
          <w:rFonts w:ascii="Arial" w:hAnsi="Arial" w:cs="Arial"/>
          <w:color w:val="222222"/>
          <w:shd w:val="clear" w:color="auto" w:fill="FFFFFF"/>
        </w:rPr>
        <w:t xml:space="preserve">, M. A. M., &amp; </w:t>
      </w:r>
      <w:proofErr w:type="spellStart"/>
      <w:r>
        <w:rPr>
          <w:rFonts w:ascii="Arial" w:hAnsi="Arial" w:cs="Arial"/>
          <w:color w:val="222222"/>
          <w:shd w:val="clear" w:color="auto" w:fill="FFFFFF"/>
        </w:rPr>
        <w:t>Kifla</w:t>
      </w:r>
      <w:proofErr w:type="spellEnd"/>
      <w:r>
        <w:rPr>
          <w:rFonts w:ascii="Arial" w:hAnsi="Arial" w:cs="Arial"/>
          <w:color w:val="222222"/>
          <w:shd w:val="clear" w:color="auto" w:fill="FFFFFF"/>
        </w:rPr>
        <w:t>, W. (2023). Participatory Leadership and Teacher Motivation in Improving School Quality. </w:t>
      </w:r>
      <w:r>
        <w:rPr>
          <w:rFonts w:ascii="Arial" w:hAnsi="Arial" w:cs="Arial"/>
          <w:i/>
          <w:iCs/>
          <w:color w:val="222222"/>
          <w:shd w:val="clear" w:color="auto" w:fill="FFFFFF"/>
        </w:rPr>
        <w:t xml:space="preserve">EDUKASI: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Pendidikan Islam</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(2), 214-229. </w:t>
      </w:r>
      <w:hyperlink r:id="rId24" w:history="1">
        <w:r w:rsidRPr="00D007BA">
          <w:rPr>
            <w:rStyle w:val="Hyperlink"/>
            <w:rFonts w:ascii="Arial" w:hAnsi="Arial" w:cs="Arial"/>
            <w:shd w:val="clear" w:color="auto" w:fill="FFFFFF"/>
          </w:rPr>
          <w:t>https://ejournal.staimta.ac.id/index.php/edukasi/article/view/387</w:t>
        </w:r>
      </w:hyperlink>
    </w:p>
    <w:p w14:paraId="372C5276"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25" w:history="1">
        <w:r w:rsidRPr="00D007BA">
          <w:rPr>
            <w:rStyle w:val="Hyperlink"/>
            <w:rFonts w:ascii="Arial" w:hAnsi="Arial" w:cs="Arial"/>
            <w:shd w:val="clear" w:color="auto" w:fill="FFFFFF"/>
          </w:rPr>
          <w:t>https://hal.science/hal-05073466/</w:t>
        </w:r>
      </w:hyperlink>
    </w:p>
    <w:p w14:paraId="3A6451F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Raman, A., </w:t>
      </w:r>
      <w:proofErr w:type="spellStart"/>
      <w:r>
        <w:rPr>
          <w:rFonts w:ascii="Arial" w:hAnsi="Arial" w:cs="Arial"/>
          <w:color w:val="222222"/>
          <w:shd w:val="clear" w:color="auto" w:fill="FFFFFF"/>
        </w:rPr>
        <w:t>Thannimalai</w:t>
      </w:r>
      <w:proofErr w:type="spellEnd"/>
      <w:r>
        <w:rPr>
          <w:rFonts w:ascii="Arial" w:hAnsi="Arial" w:cs="Arial"/>
          <w:color w:val="222222"/>
          <w:shd w:val="clear" w:color="auto" w:fill="FFFFFF"/>
        </w:rPr>
        <w:t xml:space="preserve">, R., &amp; </w:t>
      </w:r>
      <w:proofErr w:type="spellStart"/>
      <w:r>
        <w:rPr>
          <w:rFonts w:ascii="Arial" w:hAnsi="Arial" w:cs="Arial"/>
          <w:color w:val="222222"/>
          <w:shd w:val="clear" w:color="auto" w:fill="FFFFFF"/>
        </w:rPr>
        <w:t>Jalapang</w:t>
      </w:r>
      <w:proofErr w:type="spellEnd"/>
      <w:r>
        <w:rPr>
          <w:rFonts w:ascii="Arial" w:hAnsi="Arial" w:cs="Arial"/>
          <w:color w:val="222222"/>
          <w:shd w:val="clear" w:color="auto" w:fill="FFFFFF"/>
        </w:rPr>
        <w:t>, I. A. (2022). An empirical study on instructional leadership, school climate and teacher efficacy. </w:t>
      </w:r>
      <w:r>
        <w:rPr>
          <w:rFonts w:ascii="Arial" w:hAnsi="Arial" w:cs="Arial"/>
          <w:i/>
          <w:iCs/>
          <w:color w:val="222222"/>
          <w:shd w:val="clear" w:color="auto" w:fill="FFFFFF"/>
        </w:rPr>
        <w:t>Journal of Pedagogy and Education Science</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(02), 47-62. </w:t>
      </w:r>
      <w:hyperlink r:id="rId26" w:history="1">
        <w:r w:rsidRPr="00D007BA">
          <w:rPr>
            <w:rStyle w:val="Hyperlink"/>
            <w:rFonts w:ascii="Arial" w:hAnsi="Arial" w:cs="Arial"/>
            <w:shd w:val="clear" w:color="auto" w:fill="FFFFFF"/>
          </w:rPr>
          <w:t>http://journal.iistr.org/index.php/JPES/article/view/76</w:t>
        </w:r>
      </w:hyperlink>
    </w:p>
    <w:p w14:paraId="35A8FCB8"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Rhinesmith, C., </w:t>
      </w:r>
      <w:proofErr w:type="spellStart"/>
      <w:r>
        <w:rPr>
          <w:rFonts w:ascii="Arial" w:hAnsi="Arial" w:cs="Arial"/>
          <w:color w:val="222222"/>
          <w:shd w:val="clear" w:color="auto" w:fill="FFFFFF"/>
        </w:rPr>
        <w:t>Krongelb</w:t>
      </w:r>
      <w:proofErr w:type="spellEnd"/>
      <w:r>
        <w:rPr>
          <w:rFonts w:ascii="Arial" w:hAnsi="Arial" w:cs="Arial"/>
          <w:color w:val="222222"/>
          <w:shd w:val="clear" w:color="auto" w:fill="FFFFFF"/>
        </w:rPr>
        <w:t>, M., &amp; Jiang, J. (2022). The Digital Equity Leadership Lab (DELL): A case study of community leadership development to promote digital equity and justice. </w:t>
      </w:r>
      <w:r>
        <w:rPr>
          <w:rFonts w:ascii="Arial" w:hAnsi="Arial" w:cs="Arial"/>
          <w:i/>
          <w:iCs/>
          <w:color w:val="222222"/>
          <w:shd w:val="clear" w:color="auto" w:fill="FFFFFF"/>
        </w:rPr>
        <w:t>The Journal of Community Informatics</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(1), 104-131. </w:t>
      </w:r>
      <w:hyperlink r:id="rId27" w:history="1">
        <w:r w:rsidRPr="00D007BA">
          <w:rPr>
            <w:rStyle w:val="Hyperlink"/>
            <w:rFonts w:ascii="Arial" w:hAnsi="Arial" w:cs="Arial"/>
            <w:shd w:val="clear" w:color="auto" w:fill="FFFFFF"/>
          </w:rPr>
          <w:t>https://openjournals.uwaterloo.ca/index.php/JoCI/article/view/4875</w:t>
        </w:r>
      </w:hyperlink>
    </w:p>
    <w:p w14:paraId="2EF3FB1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Robosa, J., Paras, N., </w:t>
      </w:r>
      <w:proofErr w:type="spellStart"/>
      <w:r>
        <w:rPr>
          <w:rFonts w:ascii="Arial" w:hAnsi="Arial" w:cs="Arial"/>
          <w:color w:val="222222"/>
          <w:shd w:val="clear" w:color="auto" w:fill="FFFFFF"/>
        </w:rPr>
        <w:t>Perante</w:t>
      </w:r>
      <w:proofErr w:type="spellEnd"/>
      <w:r>
        <w:rPr>
          <w:rFonts w:ascii="Arial" w:hAnsi="Arial" w:cs="Arial"/>
          <w:color w:val="222222"/>
          <w:shd w:val="clear" w:color="auto" w:fill="FFFFFF"/>
        </w:rPr>
        <w:t>, L., Alvez, T., &amp; Tus, J. (2021). The experiences and challenges faced of the public school teachers amidst the COVID-19 pandemic: A phenomenological study in the Philippines. </w:t>
      </w:r>
      <w:r>
        <w:rPr>
          <w:rFonts w:ascii="Arial" w:hAnsi="Arial" w:cs="Arial"/>
          <w:i/>
          <w:iCs/>
          <w:color w:val="222222"/>
          <w:shd w:val="clear" w:color="auto" w:fill="FFFFFF"/>
        </w:rPr>
        <w:t>International Journal of Advance Research and Innovative Ideas in Education</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(1), 1342-1361. </w:t>
      </w:r>
      <w:hyperlink r:id="rId28" w:history="1">
        <w:r w:rsidRPr="00D007BA">
          <w:rPr>
            <w:rStyle w:val="Hyperlink"/>
            <w:rFonts w:ascii="Arial" w:hAnsi="Arial" w:cs="Arial"/>
            <w:shd w:val="clear" w:color="auto" w:fill="FFFFFF"/>
          </w:rPr>
          <w:t>https://www.academia.edu/download/65754931/Public_School_Teachers.pdf</w:t>
        </w:r>
      </w:hyperlink>
    </w:p>
    <w:p w14:paraId="60F41F1B"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lastRenderedPageBreak/>
        <w:t>Thangeni</w:t>
      </w:r>
      <w:proofErr w:type="spellEnd"/>
      <w:r>
        <w:rPr>
          <w:rFonts w:ascii="Arial" w:hAnsi="Arial" w:cs="Arial"/>
          <w:color w:val="222222"/>
          <w:shd w:val="clear" w:color="auto" w:fill="FFFFFF"/>
        </w:rPr>
        <w:t>, F. (2022). </w:t>
      </w:r>
      <w:r>
        <w:rPr>
          <w:rFonts w:ascii="Arial" w:hAnsi="Arial" w:cs="Arial"/>
          <w:i/>
          <w:iCs/>
          <w:color w:val="222222"/>
          <w:shd w:val="clear" w:color="auto" w:fill="FFFFFF"/>
        </w:rPr>
        <w:t>Digital Leadership: Towards Developing an Innovative Technology-Led Culture of Learning in Rural Limpopo Schools</w:t>
      </w:r>
      <w:r>
        <w:rPr>
          <w:rFonts w:ascii="Arial" w:hAnsi="Arial" w:cs="Arial"/>
          <w:color w:val="222222"/>
          <w:shd w:val="clear" w:color="auto" w:fill="FFFFFF"/>
        </w:rPr>
        <w:t xml:space="preserve">. University of Johannesburg (South Africa). </w:t>
      </w:r>
      <w:hyperlink r:id="rId29" w:history="1">
        <w:r w:rsidRPr="00D007BA">
          <w:rPr>
            <w:rStyle w:val="Hyperlink"/>
            <w:rFonts w:ascii="Arial" w:hAnsi="Arial" w:cs="Arial"/>
            <w:shd w:val="clear" w:color="auto" w:fill="FFFFFF"/>
          </w:rPr>
          <w:t>https://search.proquest.com/openview/4b1e5cee00dfc336a81dc03d7c149911/1?pq-origsite=gscholar&amp;cbl=2026366&amp;diss=y</w:t>
        </w:r>
      </w:hyperlink>
    </w:p>
    <w:p w14:paraId="105A3DC8"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Ulanday, M. L., Centeno, Z. J., Bayla, M. C., &amp; Callanta, J. (2021). Flexible learning adaptabilities in the new normal: E-learning resources, digital meeting platforms, online learning systems and learning engagement. </w:t>
      </w:r>
      <w:r>
        <w:rPr>
          <w:rFonts w:ascii="Arial" w:hAnsi="Arial" w:cs="Arial"/>
          <w:i/>
          <w:iCs/>
          <w:color w:val="222222"/>
          <w:shd w:val="clear" w:color="auto" w:fill="FFFFFF"/>
        </w:rPr>
        <w:t>Asian Journal of Distance Education</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xml:space="preserve">(2). </w:t>
      </w:r>
      <w:hyperlink r:id="rId30" w:history="1">
        <w:r w:rsidRPr="00D007BA">
          <w:rPr>
            <w:rStyle w:val="Hyperlink"/>
            <w:rFonts w:ascii="Arial" w:hAnsi="Arial" w:cs="Arial"/>
            <w:shd w:val="clear" w:color="auto" w:fill="FFFFFF"/>
          </w:rPr>
          <w:t>http://asianjde.com/ojs/index.php/AsianJDE/article/view/580</w:t>
        </w:r>
      </w:hyperlink>
    </w:p>
    <w:p w14:paraId="7100D581"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Wharton-Beck, A., Chou, C. C., Gilbert, C., Johnson, B., &amp; Beck, M. A. (2024). K-12 school leadership perspectives from the COVID-19 pandemic. </w:t>
      </w:r>
      <w:r>
        <w:rPr>
          <w:rFonts w:ascii="Arial" w:hAnsi="Arial" w:cs="Arial"/>
          <w:i/>
          <w:iCs/>
          <w:color w:val="222222"/>
          <w:shd w:val="clear" w:color="auto" w:fill="FFFFFF"/>
        </w:rPr>
        <w:t>Policy Futures in Education</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 xml:space="preserve">(1), 21-42. </w:t>
      </w:r>
      <w:hyperlink r:id="rId31" w:history="1">
        <w:r w:rsidRPr="00D007BA">
          <w:rPr>
            <w:rStyle w:val="Hyperlink"/>
            <w:rFonts w:ascii="Arial" w:hAnsi="Arial" w:cs="Arial"/>
            <w:shd w:val="clear" w:color="auto" w:fill="FFFFFF"/>
          </w:rPr>
          <w:t>https://journals.sagepub.com/doi/abs/10.1177/14782103221135620</w:t>
        </w:r>
      </w:hyperlink>
    </w:p>
    <w:p w14:paraId="480BAA60"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Yokuş</w:t>
      </w:r>
      <w:proofErr w:type="spellEnd"/>
      <w:r>
        <w:rPr>
          <w:rFonts w:ascii="Arial" w:hAnsi="Arial" w:cs="Arial"/>
          <w:color w:val="222222"/>
          <w:shd w:val="clear" w:color="auto" w:fill="FFFFFF"/>
        </w:rPr>
        <w:t>, G. (2022). Developing a guiding model of educational leadership in higher education during the COVID-19 pandemic: A grounded theory study. </w:t>
      </w:r>
      <w:r>
        <w:rPr>
          <w:rFonts w:ascii="Arial" w:hAnsi="Arial" w:cs="Arial"/>
          <w:i/>
          <w:iCs/>
          <w:color w:val="222222"/>
          <w:shd w:val="clear" w:color="auto" w:fill="FFFFFF"/>
        </w:rPr>
        <w:t>Participatory Educational Research</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(1), 362-387. </w:t>
      </w:r>
      <w:hyperlink r:id="rId32" w:history="1">
        <w:r w:rsidRPr="00D007BA">
          <w:rPr>
            <w:rStyle w:val="Hyperlink"/>
            <w:rFonts w:ascii="Arial" w:hAnsi="Arial" w:cs="Arial"/>
            <w:shd w:val="clear" w:color="auto" w:fill="FFFFFF"/>
          </w:rPr>
          <w:t>https://dergipark.org.tr/en/doi/10.17275/per.22.20.9.1</w:t>
        </w:r>
      </w:hyperlink>
    </w:p>
    <w:p w14:paraId="5B6B9734" w14:textId="5C8D05E1" w:rsidR="00CD4D57" w:rsidRDefault="00CD4D57" w:rsidP="00505231">
      <w:pPr>
        <w:tabs>
          <w:tab w:val="left" w:pos="270"/>
        </w:tabs>
        <w:rPr>
          <w:rFonts w:ascii="Arial" w:hAnsi="Arial" w:cs="Arial"/>
          <w:b/>
        </w:rPr>
      </w:pPr>
    </w:p>
    <w:sectPr w:rsidR="00CD4D57" w:rsidSect="008F7C6C">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AB448" w14:textId="77777777" w:rsidR="005C45B0" w:rsidRDefault="005C45B0">
      <w:r>
        <w:separator/>
      </w:r>
    </w:p>
  </w:endnote>
  <w:endnote w:type="continuationSeparator" w:id="0">
    <w:p w14:paraId="61057531" w14:textId="77777777" w:rsidR="005C45B0" w:rsidRDefault="005C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DA06" w14:textId="77777777" w:rsidR="009F21BD" w:rsidRDefault="009F2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BD42" w14:textId="77777777" w:rsidR="009F21BD" w:rsidRDefault="009F2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596CF" w14:textId="77777777" w:rsidR="005C45B0" w:rsidRDefault="005C45B0">
      <w:r>
        <w:separator/>
      </w:r>
    </w:p>
  </w:footnote>
  <w:footnote w:type="continuationSeparator" w:id="0">
    <w:p w14:paraId="1B905FBD" w14:textId="77777777" w:rsidR="005C45B0" w:rsidRDefault="005C4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1791C" w14:textId="69FE2C02" w:rsidR="009F21BD" w:rsidRDefault="005C45B0">
    <w:pPr>
      <w:pStyle w:val="Header"/>
    </w:pPr>
    <w:r>
      <w:rPr>
        <w:noProof/>
      </w:rPr>
      <w:pict w14:anchorId="5C4BF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7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A0BB" w14:textId="13600F3C" w:rsidR="009F21BD" w:rsidRDefault="005C45B0">
    <w:pPr>
      <w:pStyle w:val="Header"/>
    </w:pPr>
    <w:r>
      <w:rPr>
        <w:noProof/>
      </w:rPr>
      <w:pict w14:anchorId="325C2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7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902E" w14:textId="4678CA0D" w:rsidR="009F21BD" w:rsidRDefault="005C45B0">
    <w:pPr>
      <w:pStyle w:val="Header"/>
    </w:pPr>
    <w:r>
      <w:rPr>
        <w:noProof/>
      </w:rPr>
      <w:pict w14:anchorId="25A1A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739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232E"/>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764CC"/>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666D"/>
    <w:rsid w:val="000A77F6"/>
    <w:rsid w:val="000B03FC"/>
    <w:rsid w:val="000B1E33"/>
    <w:rsid w:val="000B5A07"/>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16B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5B6"/>
    <w:rsid w:val="00176FD0"/>
    <w:rsid w:val="00177A80"/>
    <w:rsid w:val="00180859"/>
    <w:rsid w:val="00180B05"/>
    <w:rsid w:val="00180F6F"/>
    <w:rsid w:val="00182742"/>
    <w:rsid w:val="00185183"/>
    <w:rsid w:val="001858C3"/>
    <w:rsid w:val="00185B38"/>
    <w:rsid w:val="00187916"/>
    <w:rsid w:val="0019106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5C9D"/>
    <w:rsid w:val="002274C1"/>
    <w:rsid w:val="002309B8"/>
    <w:rsid w:val="00231920"/>
    <w:rsid w:val="0023195C"/>
    <w:rsid w:val="00237589"/>
    <w:rsid w:val="00240CE3"/>
    <w:rsid w:val="00241741"/>
    <w:rsid w:val="0024282C"/>
    <w:rsid w:val="00245ABB"/>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7BB"/>
    <w:rsid w:val="002B685A"/>
    <w:rsid w:val="002C0715"/>
    <w:rsid w:val="002C2BD6"/>
    <w:rsid w:val="002C3741"/>
    <w:rsid w:val="002C424B"/>
    <w:rsid w:val="002C4E16"/>
    <w:rsid w:val="002C57D2"/>
    <w:rsid w:val="002C6217"/>
    <w:rsid w:val="002D11B5"/>
    <w:rsid w:val="002D194A"/>
    <w:rsid w:val="002D2A9F"/>
    <w:rsid w:val="002D3AE7"/>
    <w:rsid w:val="002D53D9"/>
    <w:rsid w:val="002D7B25"/>
    <w:rsid w:val="002E0D56"/>
    <w:rsid w:val="002E3D6C"/>
    <w:rsid w:val="002E4205"/>
    <w:rsid w:val="002F2031"/>
    <w:rsid w:val="002F2D06"/>
    <w:rsid w:val="002F42EB"/>
    <w:rsid w:val="002F5BE4"/>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06AB"/>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37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608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45B0"/>
    <w:rsid w:val="005C540B"/>
    <w:rsid w:val="005C6F1A"/>
    <w:rsid w:val="005C784C"/>
    <w:rsid w:val="005D17F6"/>
    <w:rsid w:val="005D1CBB"/>
    <w:rsid w:val="005D28C5"/>
    <w:rsid w:val="005D2C58"/>
    <w:rsid w:val="005D4AE9"/>
    <w:rsid w:val="005D5C0A"/>
    <w:rsid w:val="005D5F0B"/>
    <w:rsid w:val="005D71AE"/>
    <w:rsid w:val="005E2A7F"/>
    <w:rsid w:val="005E3BE2"/>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9C5"/>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05EC"/>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3BA6"/>
    <w:rsid w:val="00804067"/>
    <w:rsid w:val="00804BC2"/>
    <w:rsid w:val="00804F79"/>
    <w:rsid w:val="00810B02"/>
    <w:rsid w:val="0081431A"/>
    <w:rsid w:val="00814943"/>
    <w:rsid w:val="008157DD"/>
    <w:rsid w:val="008204D0"/>
    <w:rsid w:val="00821486"/>
    <w:rsid w:val="008216D2"/>
    <w:rsid w:val="008238E9"/>
    <w:rsid w:val="008244F8"/>
    <w:rsid w:val="00826162"/>
    <w:rsid w:val="00830F00"/>
    <w:rsid w:val="00831639"/>
    <w:rsid w:val="00831C82"/>
    <w:rsid w:val="0083216F"/>
    <w:rsid w:val="00834274"/>
    <w:rsid w:val="00836887"/>
    <w:rsid w:val="00843866"/>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1ED7"/>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8F7C6C"/>
    <w:rsid w:val="00902823"/>
    <w:rsid w:val="00907A49"/>
    <w:rsid w:val="00912783"/>
    <w:rsid w:val="00914755"/>
    <w:rsid w:val="00914956"/>
    <w:rsid w:val="00915CA6"/>
    <w:rsid w:val="00915CD7"/>
    <w:rsid w:val="009164E1"/>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1E34"/>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21BD"/>
    <w:rsid w:val="009F4D2E"/>
    <w:rsid w:val="009F5D06"/>
    <w:rsid w:val="009F743A"/>
    <w:rsid w:val="00A03B96"/>
    <w:rsid w:val="00A03BA8"/>
    <w:rsid w:val="00A04439"/>
    <w:rsid w:val="00A04985"/>
    <w:rsid w:val="00A05387"/>
    <w:rsid w:val="00A05B19"/>
    <w:rsid w:val="00A05E26"/>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747"/>
    <w:rsid w:val="00AC6BB8"/>
    <w:rsid w:val="00AC7255"/>
    <w:rsid w:val="00AD3432"/>
    <w:rsid w:val="00AD41CE"/>
    <w:rsid w:val="00AD47EC"/>
    <w:rsid w:val="00AD6E79"/>
    <w:rsid w:val="00AD766B"/>
    <w:rsid w:val="00AD7C27"/>
    <w:rsid w:val="00AE008F"/>
    <w:rsid w:val="00AE2CF7"/>
    <w:rsid w:val="00AE3293"/>
    <w:rsid w:val="00AE3FEB"/>
    <w:rsid w:val="00AE3FFB"/>
    <w:rsid w:val="00AE4F46"/>
    <w:rsid w:val="00AE7422"/>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17DE0"/>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62AD"/>
    <w:rsid w:val="00BF0904"/>
    <w:rsid w:val="00BF121F"/>
    <w:rsid w:val="00BF1D4D"/>
    <w:rsid w:val="00BF1F80"/>
    <w:rsid w:val="00BF2939"/>
    <w:rsid w:val="00BF7728"/>
    <w:rsid w:val="00C01D17"/>
    <w:rsid w:val="00C05B06"/>
    <w:rsid w:val="00C05F9F"/>
    <w:rsid w:val="00C06F68"/>
    <w:rsid w:val="00C07589"/>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E3D"/>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61B3"/>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03F0"/>
    <w:rsid w:val="00DA28B7"/>
    <w:rsid w:val="00DA3A1E"/>
    <w:rsid w:val="00DA3D24"/>
    <w:rsid w:val="00DB03BF"/>
    <w:rsid w:val="00DB0B12"/>
    <w:rsid w:val="00DB0B8E"/>
    <w:rsid w:val="00DB27EE"/>
    <w:rsid w:val="00DB46B2"/>
    <w:rsid w:val="00DC09E0"/>
    <w:rsid w:val="00DC0BFC"/>
    <w:rsid w:val="00DC2754"/>
    <w:rsid w:val="00DC2A65"/>
    <w:rsid w:val="00DC3D1E"/>
    <w:rsid w:val="00DD0B2B"/>
    <w:rsid w:val="00DD1370"/>
    <w:rsid w:val="00DD1EA9"/>
    <w:rsid w:val="00DD5EA2"/>
    <w:rsid w:val="00DD6431"/>
    <w:rsid w:val="00DD68C1"/>
    <w:rsid w:val="00DD733B"/>
    <w:rsid w:val="00DD7E9A"/>
    <w:rsid w:val="00DE15F0"/>
    <w:rsid w:val="00DE32FA"/>
    <w:rsid w:val="00DE3EAB"/>
    <w:rsid w:val="00DE5663"/>
    <w:rsid w:val="00DE633F"/>
    <w:rsid w:val="00DE7644"/>
    <w:rsid w:val="00DE78AA"/>
    <w:rsid w:val="00DF4C95"/>
    <w:rsid w:val="00E009EA"/>
    <w:rsid w:val="00E053D0"/>
    <w:rsid w:val="00E05D72"/>
    <w:rsid w:val="00E100D0"/>
    <w:rsid w:val="00E103CF"/>
    <w:rsid w:val="00E112E6"/>
    <w:rsid w:val="00E1142D"/>
    <w:rsid w:val="00E12CED"/>
    <w:rsid w:val="00E146D8"/>
    <w:rsid w:val="00E15994"/>
    <w:rsid w:val="00E161AE"/>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370E"/>
    <w:rsid w:val="00E744D3"/>
    <w:rsid w:val="00E75068"/>
    <w:rsid w:val="00E754E9"/>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41CF"/>
    <w:rsid w:val="00F4685B"/>
    <w:rsid w:val="00F469F0"/>
    <w:rsid w:val="00F51246"/>
    <w:rsid w:val="00F53273"/>
    <w:rsid w:val="00F53CF3"/>
    <w:rsid w:val="00F576D3"/>
    <w:rsid w:val="00F57736"/>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D76F8"/>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journals.plos.org/plosone/article?id=10.1371/journal.pone.0282287" TargetMode="External"/><Relationship Id="rId18" Type="http://schemas.openxmlformats.org/officeDocument/2006/relationships/hyperlink" Target="https://www.emerald.com/insight/content/doi/10.1108/jme-09-2021-0180/full/html" TargetMode="External"/><Relationship Id="rId26" Type="http://schemas.openxmlformats.org/officeDocument/2006/relationships/hyperlink" Target="http://journal.iistr.org/index.php/JPES/article/view/76" TargetMode="External"/><Relationship Id="rId39" Type="http://schemas.openxmlformats.org/officeDocument/2006/relationships/fontTable" Target="fontTable.xml"/><Relationship Id="rId21" Type="http://schemas.openxmlformats.org/officeDocument/2006/relationships/hyperlink" Target="http://jurnal.uibbc.ac.id/index.php/ijobba/article/view/257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era-journals.onlinelibrary.wiley.com/doi/abs/10.1111/bjet.13075" TargetMode="External"/><Relationship Id="rId17" Type="http://schemas.openxmlformats.org/officeDocument/2006/relationships/hyperlink" Target="https://www.sciencedirect.com/science/article/pii/S2666557322000088" TargetMode="External"/><Relationship Id="rId25" Type="http://schemas.openxmlformats.org/officeDocument/2006/relationships/hyperlink" Target="https://hal.science/hal-0507346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earch.proquest.com/openview/3a460df92919c3f3a59de42c98a6c5ab/1?pq-origsite=gscholar&amp;cbl=54479" TargetMode="External"/><Relationship Id="rId20" Type="http://schemas.openxmlformats.org/officeDocument/2006/relationships/hyperlink" Target="https://search.proquest.com/openview/60cea3e7ac61fb1a7f3f51f3704aca8e/1?pq-origsite=gscholar&amp;cbl=18750&amp;diss=y" TargetMode="External"/><Relationship Id="rId29" Type="http://schemas.openxmlformats.org/officeDocument/2006/relationships/hyperlink" Target="https://search.proquest.com/openview/4b1e5cee00dfc336a81dc03d7c149911/1?pq-origsite=gscholar&amp;cbl=2026366&amp;diss=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science/hal-04894432/" TargetMode="External"/><Relationship Id="rId24" Type="http://schemas.openxmlformats.org/officeDocument/2006/relationships/hyperlink" Target="https://ejournal.staimta.ac.id/index.php/edukasi/article/view/387" TargetMode="External"/><Relationship Id="rId32" Type="http://schemas.openxmlformats.org/officeDocument/2006/relationships/hyperlink" Target="https://dergipark.org.tr/en/doi/10.17275/per.22.20.9.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dpi.com/2075-4698/10/4/86" TargetMode="External"/><Relationship Id="rId23" Type="http://schemas.openxmlformats.org/officeDocument/2006/relationships/hyperlink" Target="https://www.jet.org.za/resources/theme-9-final-july-2020-parker-et-al.pdf/@@download/file/Theme%209%20Final%20report%20Parker%20et%20al.pdf" TargetMode="External"/><Relationship Id="rId28" Type="http://schemas.openxmlformats.org/officeDocument/2006/relationships/hyperlink" Target="https://www.academia.edu/download/65754931/Public_School_Teachers.pdf" TargetMode="External"/><Relationship Id="rId36" Type="http://schemas.openxmlformats.org/officeDocument/2006/relationships/footer" Target="footer2.xml"/><Relationship Id="rId10" Type="http://schemas.openxmlformats.org/officeDocument/2006/relationships/hyperlink" Target="https://search.proquest.com/openview/6ef0800a9754453e178f054d93acaa14/1?pq-origsite=gscholar&amp;cbl=18750&amp;diss=y" TargetMode="External"/><Relationship Id="rId19" Type="http://schemas.openxmlformats.org/officeDocument/2006/relationships/hyperlink" Target="https://www.tandfonline.com/doi/abs/10.1080/03098265.2019.1694876" TargetMode="External"/><Relationship Id="rId31" Type="http://schemas.openxmlformats.org/officeDocument/2006/relationships/hyperlink" Target="https://journals.sagepub.com/doi/abs/10.1177/14782103221135620" TargetMode="External"/><Relationship Id="rId4" Type="http://schemas.openxmlformats.org/officeDocument/2006/relationships/settings" Target="settings.xml"/><Relationship Id="rId9" Type="http://schemas.openxmlformats.org/officeDocument/2006/relationships/hyperlink" Target="http://ojs.jssr.org.pk/index.php/jssr/article/view/326" TargetMode="External"/><Relationship Id="rId14" Type="http://schemas.openxmlformats.org/officeDocument/2006/relationships/hyperlink" Target="https://ijels.com/upload_document/issue_files/23IJELS-109202148-Equityin.pdf" TargetMode="External"/><Relationship Id="rId22" Type="http://schemas.openxmlformats.org/officeDocument/2006/relationships/hyperlink" Target="https://www.researchgate.net/profile/Lung-Sheng-Lee/publication/376513474_Trends_and_Issues_of_Promoting_Digital_Learning_in_High-Digital-Competitiveness_Countries_Country_Reports_and_International_Comparison/links/657b18906610947889cc415b/Trends-and-Issues-of-Promoting-Digital-Learning-in-High-Digital-Competitiveness-Countries-Country-Reports-and-International-Comparison.pdf" TargetMode="External"/><Relationship Id="rId27" Type="http://schemas.openxmlformats.org/officeDocument/2006/relationships/hyperlink" Target="https://openjournals.uwaterloo.ca/index.php/JoCI/article/view/4875" TargetMode="External"/><Relationship Id="rId30" Type="http://schemas.openxmlformats.org/officeDocument/2006/relationships/hyperlink" Target="http://asianjde.com/ojs/index.php/AsianJDE/article/view/580"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14</Pages>
  <Words>6699</Words>
  <Characters>38188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89</cp:revision>
  <cp:lastPrinted>2024-10-20T02:52:00Z</cp:lastPrinted>
  <dcterms:created xsi:type="dcterms:W3CDTF">2025-06-14T02:18:00Z</dcterms:created>
  <dcterms:modified xsi:type="dcterms:W3CDTF">2025-06-19T06:27:00Z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