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E599" w14:textId="77777777" w:rsidR="00860F2B" w:rsidRPr="002C4B68" w:rsidRDefault="00860F2B" w:rsidP="00860F2B">
      <w:pPr>
        <w:jc w:val="center"/>
        <w:rPr>
          <w:color w:val="000000" w:themeColor="text1"/>
        </w:rPr>
      </w:pPr>
      <w:r w:rsidRPr="002C4B68">
        <w:rPr>
          <w:color w:val="000000" w:themeColor="text1"/>
        </w:rPr>
        <w:t>Original Research Article</w:t>
      </w:r>
    </w:p>
    <w:p w14:paraId="62E0B6E2" w14:textId="3F791532" w:rsidR="00860F2B" w:rsidRDefault="00860F2B" w:rsidP="00483663">
      <w:pPr>
        <w:jc w:val="center"/>
        <w:rPr>
          <w:b/>
          <w:noProof/>
          <w:color w:val="000000" w:themeColor="text1"/>
          <w:lang w:eastAsia="en-PH"/>
        </w:rPr>
      </w:pPr>
    </w:p>
    <w:p w14:paraId="232EE73F" w14:textId="77777777" w:rsidR="00860F2B" w:rsidRDefault="00860F2B" w:rsidP="00483663">
      <w:pPr>
        <w:jc w:val="center"/>
        <w:rPr>
          <w:b/>
          <w:noProof/>
          <w:color w:val="000000" w:themeColor="text1"/>
          <w:lang w:eastAsia="en-PH"/>
        </w:rPr>
      </w:pPr>
      <w:bookmarkStart w:id="0" w:name="_GoBack"/>
      <w:bookmarkEnd w:id="0"/>
    </w:p>
    <w:p w14:paraId="5E0C65D2" w14:textId="29595363" w:rsidR="00483663" w:rsidRPr="002C4B68" w:rsidRDefault="00483663" w:rsidP="00483663">
      <w:pPr>
        <w:jc w:val="center"/>
        <w:rPr>
          <w:b/>
          <w:color w:val="000000" w:themeColor="text1"/>
        </w:rPr>
      </w:pPr>
      <w:r w:rsidRPr="002C4B68">
        <w:rPr>
          <w:b/>
          <w:noProof/>
          <w:color w:val="000000" w:themeColor="text1"/>
          <w:lang w:eastAsia="en-PH"/>
        </w:rPr>
        <w:t>ACADEMIC DEANS’</w:t>
      </w:r>
      <w:r w:rsidRPr="002C4B68">
        <w:rPr>
          <w:b/>
          <w:color w:val="000000" w:themeColor="text1"/>
        </w:rPr>
        <w:t xml:space="preserve"> DIGITAL LEADERSHIP AND FACULTY MEMBERS’ DIGITAL LITERACY IN A STATE UNIVERSITY IN THE PHILIPPINES</w:t>
      </w:r>
    </w:p>
    <w:p w14:paraId="1CAB05C1" w14:textId="77777777" w:rsidR="00483663" w:rsidRPr="002C4B68" w:rsidRDefault="00483663" w:rsidP="00483663">
      <w:pPr>
        <w:jc w:val="center"/>
        <w:rPr>
          <w:b/>
          <w:color w:val="000000" w:themeColor="text1"/>
        </w:rPr>
      </w:pPr>
    </w:p>
    <w:p w14:paraId="1693426D" w14:textId="77777777" w:rsidR="00483663" w:rsidRPr="002C4B68" w:rsidRDefault="00483663" w:rsidP="00483663">
      <w:pPr>
        <w:rPr>
          <w:color w:val="000000" w:themeColor="text1"/>
        </w:rPr>
      </w:pPr>
    </w:p>
    <w:p w14:paraId="2A67FF1B" w14:textId="77777777" w:rsidR="00483663" w:rsidRPr="002C4B68" w:rsidRDefault="00627422" w:rsidP="00483663">
      <w:pPr>
        <w:rPr>
          <w:b/>
          <w:color w:val="000000" w:themeColor="text1"/>
        </w:rPr>
      </w:pPr>
      <w:r w:rsidRPr="002C4B68">
        <w:rPr>
          <w:b/>
          <w:color w:val="000000" w:themeColor="text1"/>
        </w:rPr>
        <w:t>ABSTRACT</w:t>
      </w:r>
    </w:p>
    <w:p w14:paraId="72B2686D" w14:textId="77777777" w:rsidR="00483663" w:rsidRPr="002C4B68" w:rsidRDefault="00483663" w:rsidP="00483663">
      <w:pPr>
        <w:rPr>
          <w:color w:val="000000" w:themeColor="text1"/>
        </w:rPr>
      </w:pPr>
    </w:p>
    <w:p w14:paraId="415D1196"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This study explored the digital leadership of academic deans within the University of Eastern Philippines (UEP) System and its relationship to the digital literacy of faculty members. Recognizing the increasing integration of digital technologies in higher education, the research aimed to assess whether the digital competencies and leadership practices of academic deans influenced the digital capabilities of their faculty. A descriptive-correlational research design was employed to systematically evaluate both digital leadership among deans and digital literacy among faculty members.</w:t>
      </w:r>
    </w:p>
    <w:p w14:paraId="2A78883A"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6D0EDFA6"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The study population included 10 academic deans from the UEP Main Campus and 9 academic deans from the Laoang and Catubig external campuses, for a total of 19 deans. Additionally, 214 regular faculty members across the UEP System participated in the study. Data collection instruments were used to measure digital leadership attributes—such as vision-setting, resource allocation, and support for digital innovation—and faculty digital literacy, which encompassed technical skills, information literacy, and digital pedagogical practices.</w:t>
      </w:r>
    </w:p>
    <w:p w14:paraId="6EA6E78D"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40DFCFE" w14:textId="73A8AFC1"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r w:rsidRPr="002C4B68">
        <w:rPr>
          <w:rFonts w:ascii="Arial" w:hAnsi="Arial" w:cs="Arial"/>
          <w:color w:val="000000" w:themeColor="text1"/>
        </w:rPr>
        <w:t xml:space="preserve">Pearson correlation analysis was conducted to examine the relationship between the digital leadership of academic deans and the digital literacy of faculty members. The findings indicated </w:t>
      </w:r>
      <w:r w:rsidR="006812FE" w:rsidRPr="002C4B68">
        <w:rPr>
          <w:rFonts w:ascii="Arial" w:hAnsi="Arial" w:cs="Arial"/>
          <w:color w:val="000000" w:themeColor="text1"/>
        </w:rPr>
        <w:t xml:space="preserve">0.612 significance level, this means that there is </w:t>
      </w:r>
      <w:r w:rsidRPr="002C4B68">
        <w:rPr>
          <w:rFonts w:ascii="Arial" w:hAnsi="Arial" w:cs="Arial"/>
          <w:color w:val="000000" w:themeColor="text1"/>
        </w:rPr>
        <w:t>no statistically significant relationship between these variables. This suggests that faculty members’ digital literacy may be influenced more by personal motivation, professional development opportunities, and peer networks rather than by top-down leadership from academic deans. The study highlights the need for more collaborative and systemic approaches to enhancing digital literacy in higher education settings, beyond relying solely on formal leadership structures.</w:t>
      </w:r>
    </w:p>
    <w:p w14:paraId="77AF5DFC" w14:textId="77777777" w:rsidR="00483663" w:rsidRPr="002C4B68" w:rsidRDefault="00483663" w:rsidP="00483663">
      <w:pPr>
        <w:pStyle w:val="NormalWeb"/>
        <w:spacing w:before="0" w:beforeAutospacing="0" w:after="0" w:afterAutospacing="0"/>
        <w:ind w:firstLine="720"/>
        <w:jc w:val="both"/>
        <w:rPr>
          <w:rFonts w:ascii="Arial" w:hAnsi="Arial" w:cs="Arial"/>
          <w:color w:val="000000" w:themeColor="text1"/>
        </w:rPr>
      </w:pPr>
    </w:p>
    <w:p w14:paraId="1DB571DA"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r w:rsidRPr="002C4B68">
        <w:rPr>
          <w:rFonts w:ascii="Arial" w:hAnsi="Arial" w:cs="Arial"/>
          <w:color w:val="000000" w:themeColor="text1"/>
        </w:rPr>
        <w:t>Keywords: digital leadership, digital literacy</w:t>
      </w:r>
    </w:p>
    <w:p w14:paraId="54DD81D9"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50CB50E0"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2EA828F"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99F71FB"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4E46F58"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1A904F8C"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D4879C3"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ECE2936"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13BAF0B2"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6131EB46"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6D793534" w14:textId="77777777" w:rsidR="00A261B3" w:rsidRPr="002C4B68" w:rsidRDefault="00A261B3" w:rsidP="00483663">
      <w:pPr>
        <w:pStyle w:val="NormalWeb"/>
        <w:spacing w:before="0" w:beforeAutospacing="0" w:after="0" w:afterAutospacing="0"/>
        <w:jc w:val="both"/>
        <w:rPr>
          <w:rFonts w:ascii="Arial" w:hAnsi="Arial" w:cs="Arial"/>
          <w:color w:val="000000" w:themeColor="text1"/>
        </w:rPr>
      </w:pPr>
    </w:p>
    <w:p w14:paraId="507407C1"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0E5A4FC2"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39B27462"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0E27A234"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21866D20"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3D151BFF" w14:textId="77777777" w:rsidR="00483663" w:rsidRPr="002C4B68" w:rsidRDefault="00483663" w:rsidP="00483663">
      <w:pPr>
        <w:pStyle w:val="NormalWeb"/>
        <w:spacing w:before="0" w:beforeAutospacing="0" w:after="0" w:afterAutospacing="0"/>
        <w:jc w:val="both"/>
        <w:rPr>
          <w:rFonts w:ascii="Arial" w:hAnsi="Arial" w:cs="Arial"/>
          <w:b/>
          <w:color w:val="000000" w:themeColor="text1"/>
        </w:rPr>
      </w:pPr>
      <w:r w:rsidRPr="002C4B68">
        <w:rPr>
          <w:rFonts w:ascii="Arial" w:hAnsi="Arial" w:cs="Arial"/>
          <w:b/>
          <w:color w:val="000000" w:themeColor="text1"/>
        </w:rPr>
        <w:t>INTRODUCTION</w:t>
      </w:r>
    </w:p>
    <w:p w14:paraId="6DDFE864" w14:textId="77777777" w:rsidR="00483663" w:rsidRPr="002C4B68" w:rsidRDefault="00483663" w:rsidP="00483663">
      <w:pPr>
        <w:pStyle w:val="NormalWeb"/>
        <w:spacing w:before="0" w:beforeAutospacing="0" w:after="0" w:afterAutospacing="0"/>
        <w:jc w:val="both"/>
        <w:rPr>
          <w:rFonts w:ascii="Arial" w:hAnsi="Arial" w:cs="Arial"/>
          <w:color w:val="000000" w:themeColor="text1"/>
        </w:rPr>
      </w:pPr>
    </w:p>
    <w:p w14:paraId="41E32D9A"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Technology has permeated every aspect of modern society, fundamentally transforming the way people think, communicate, and act. Its profound influence is evident across various domains such as discoveries and innovations, everyday lifestyles, and most significantly, the educational system. The onset of the COVID-19 pandemic in early 2020 accelerated this transformation within education, forcing institutions worldwide to adopt new methods of delivering instruction. Confronted with unprecedented challenges, educational systems urgently sought to leverage technology to maintain continuity of learning while ensuring the safety of teachers and students. The pandemic thus underscored the centrality of digital education, especially within higher education institutions (</w:t>
      </w:r>
      <w:proofErr w:type="spellStart"/>
      <w:r w:rsidRPr="002C4B68">
        <w:rPr>
          <w:rFonts w:eastAsia="Times New Roman"/>
          <w:color w:val="000000" w:themeColor="text1"/>
        </w:rPr>
        <w:t>Bejinaru</w:t>
      </w:r>
      <w:proofErr w:type="spellEnd"/>
      <w:r w:rsidRPr="002C4B68">
        <w:rPr>
          <w:rFonts w:eastAsia="Times New Roman"/>
          <w:color w:val="000000" w:themeColor="text1"/>
        </w:rPr>
        <w:t>, 2019).</w:t>
      </w:r>
    </w:p>
    <w:p w14:paraId="43594EBA" w14:textId="77777777" w:rsidR="008A481A" w:rsidRPr="002C4B68" w:rsidRDefault="008A481A" w:rsidP="008A481A">
      <w:pPr>
        <w:jc w:val="both"/>
        <w:rPr>
          <w:rFonts w:eastAsia="Times New Roman"/>
          <w:color w:val="000000" w:themeColor="text1"/>
        </w:rPr>
      </w:pPr>
    </w:p>
    <w:p w14:paraId="542E10FB" w14:textId="4001871E"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 xml:space="preserve">Initially, many governments and educational institutions anticipated that pandemic-related disruptions would be short-lived. However, as the crisis persisted, stringent public health measures such as lockdowns and social distancing prolonged the shift to online learning </w:t>
      </w:r>
      <w:r w:rsidR="006D068C" w:rsidRPr="002C4B68">
        <w:rPr>
          <w:rFonts w:eastAsia="Times New Roman"/>
          <w:color w:val="000000" w:themeColor="text1"/>
        </w:rPr>
        <w:t>(</w:t>
      </w:r>
      <w:proofErr w:type="spellStart"/>
      <w:r w:rsidR="006D068C" w:rsidRPr="002C4B68">
        <w:rPr>
          <w:color w:val="000000" w:themeColor="text1"/>
        </w:rPr>
        <w:t>Mahmadov</w:t>
      </w:r>
      <w:proofErr w:type="spellEnd"/>
      <w:r w:rsidR="006D068C" w:rsidRPr="002C4B68">
        <w:rPr>
          <w:color w:val="000000" w:themeColor="text1"/>
        </w:rPr>
        <w:t>, 2025)</w:t>
      </w:r>
      <w:r w:rsidRPr="002C4B68">
        <w:rPr>
          <w:rFonts w:eastAsia="Times New Roman"/>
          <w:color w:val="000000" w:themeColor="text1"/>
        </w:rPr>
        <w:t>. Educators rapidly transformed their pedagogical approaches, assuming dual roles as both learners and facilitators of digital instruction. This experience highlighted a critical need for strong and adaptive leadership capable of guiding institutions through digital transformation. Indeed, the COVID-19 crisis illuminated the indispensable role of educational leaders—from academic deans to university administrators—in fostering resilience and innovation amid disruption.</w:t>
      </w:r>
    </w:p>
    <w:p w14:paraId="064E5E1B" w14:textId="77777777" w:rsidR="008A481A" w:rsidRPr="002C4B68" w:rsidRDefault="008A481A" w:rsidP="008A481A">
      <w:pPr>
        <w:jc w:val="both"/>
        <w:rPr>
          <w:rFonts w:eastAsia="Times New Roman"/>
          <w:color w:val="000000" w:themeColor="text1"/>
        </w:rPr>
      </w:pPr>
    </w:p>
    <w:p w14:paraId="077CDB06" w14:textId="54BF9AAB"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The process of digitization is now recognized as a pivotal trend reshaping higher education (</w:t>
      </w:r>
      <w:proofErr w:type="spellStart"/>
      <w:r w:rsidRPr="002C4B68">
        <w:rPr>
          <w:rFonts w:eastAsia="Times New Roman"/>
          <w:color w:val="000000" w:themeColor="text1"/>
        </w:rPr>
        <w:t>Bejinaru</w:t>
      </w:r>
      <w:proofErr w:type="spellEnd"/>
      <w:r w:rsidRPr="002C4B68">
        <w:rPr>
          <w:rFonts w:eastAsia="Times New Roman"/>
          <w:color w:val="000000" w:themeColor="text1"/>
        </w:rPr>
        <w:t>, 2019). Beyond teaching and learning, digitization extends to administration, assessment, research, and institutional management. In this context, the role of leadership becomes paramount. Effective digital leadership can cultivate an institutional culture that supports continuous technological advancement and fosters digital literacy among faculty (Antonopoulou et al.</w:t>
      </w:r>
      <w:r w:rsidR="006D068C" w:rsidRPr="002C4B68">
        <w:rPr>
          <w:rFonts w:eastAsia="Times New Roman"/>
          <w:color w:val="000000" w:themeColor="text1"/>
        </w:rPr>
        <w:t>, 2021</w:t>
      </w:r>
      <w:r w:rsidRPr="002C4B68">
        <w:rPr>
          <w:rFonts w:eastAsia="Times New Roman"/>
          <w:color w:val="000000" w:themeColor="text1"/>
        </w:rPr>
        <w:t>). Conversely, the absence of visionary leadership can hinder the successful integration of technology, regardless of individual faculty members’ willingness or training. Faculty members’ capacity to leverage technology in their classrooms is largely contingent upon institutional support and leadership commitment.</w:t>
      </w:r>
    </w:p>
    <w:p w14:paraId="5BEB24E8" w14:textId="77777777" w:rsidR="008A481A" w:rsidRPr="002C4B68" w:rsidRDefault="008A481A" w:rsidP="008A481A">
      <w:pPr>
        <w:jc w:val="both"/>
        <w:rPr>
          <w:rFonts w:eastAsia="Times New Roman"/>
          <w:color w:val="000000" w:themeColor="text1"/>
        </w:rPr>
      </w:pPr>
    </w:p>
    <w:p w14:paraId="66F3CD2B"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t>Despite the evident importance of digital leadership, several challenges persist in its implementation within higher education. Many college educators face a digital divide, marked by unequal access to devices and reliable internet connectivity, as well as limited institutional support. Moreover, skill gaps in using advanced digital tools and platforms further complicate effective technology integration. Administrative leaders, too, encounter difficulties due to insufficient training in digital management tools and the complexity of institutional systems. As the Commission on Higher Education (CHED) promotes policies encouraging digital integration across teaching and management (CHED, 2020), it becomes imperative to examine how these efforts translate at the institutional level.</w:t>
      </w:r>
    </w:p>
    <w:p w14:paraId="3212D240" w14:textId="77777777" w:rsidR="008A481A" w:rsidRPr="002C4B68" w:rsidRDefault="008A481A" w:rsidP="008A481A">
      <w:pPr>
        <w:jc w:val="both"/>
        <w:rPr>
          <w:rFonts w:eastAsia="Times New Roman"/>
          <w:color w:val="000000" w:themeColor="text1"/>
        </w:rPr>
      </w:pPr>
    </w:p>
    <w:p w14:paraId="17189CBF" w14:textId="77777777" w:rsidR="008A481A" w:rsidRPr="002C4B68" w:rsidRDefault="008A481A" w:rsidP="008A481A">
      <w:pPr>
        <w:ind w:firstLine="720"/>
        <w:jc w:val="both"/>
        <w:rPr>
          <w:rFonts w:eastAsia="Times New Roman"/>
          <w:color w:val="000000" w:themeColor="text1"/>
        </w:rPr>
      </w:pPr>
      <w:r w:rsidRPr="002C4B68">
        <w:rPr>
          <w:rFonts w:eastAsia="Times New Roman"/>
          <w:color w:val="000000" w:themeColor="text1"/>
        </w:rPr>
        <w:lastRenderedPageBreak/>
        <w:t xml:space="preserve">Notably, there remains a dearth of research focusing on the specific dynamics of digital leadership among academic deans and the digital literacy of college faculty in Region VIII and Northern Samar. Existing studies often emphasize broader national or global trends, leaving a gap in understanding the localized experiences and challenges faced by institutions such as the University of Eastern Philippines (UEP) System. This study </w:t>
      </w:r>
      <w:r w:rsidR="000A46E8" w:rsidRPr="002C4B68">
        <w:rPr>
          <w:rFonts w:eastAsia="Times New Roman"/>
          <w:color w:val="000000" w:themeColor="text1"/>
        </w:rPr>
        <w:t>sought</w:t>
      </w:r>
      <w:r w:rsidRPr="002C4B68">
        <w:rPr>
          <w:rFonts w:eastAsia="Times New Roman"/>
          <w:color w:val="000000" w:themeColor="text1"/>
        </w:rPr>
        <w:t xml:space="preserve"> to address this gap by examining the current state of digital leadership and faculty digital literacy within UEP. By exploring the relationship between digital leadership practices and faculty digital competencies</w:t>
      </w:r>
      <w:r w:rsidR="000A46E8" w:rsidRPr="002C4B68">
        <w:rPr>
          <w:rFonts w:eastAsia="Times New Roman"/>
          <w:color w:val="000000" w:themeColor="text1"/>
        </w:rPr>
        <w:t>. Hence, this study.</w:t>
      </w:r>
    </w:p>
    <w:p w14:paraId="26420768" w14:textId="77777777" w:rsidR="0062202E" w:rsidRPr="002C4B68" w:rsidRDefault="0062202E" w:rsidP="0062202E">
      <w:pPr>
        <w:pStyle w:val="NormalWeb"/>
        <w:spacing w:before="0" w:beforeAutospacing="0" w:after="0" w:afterAutospacing="0"/>
        <w:ind w:firstLine="720"/>
        <w:jc w:val="both"/>
        <w:rPr>
          <w:rFonts w:ascii="Arial" w:hAnsi="Arial" w:cs="Arial"/>
          <w:color w:val="000000" w:themeColor="text1"/>
        </w:rPr>
      </w:pPr>
    </w:p>
    <w:p w14:paraId="4E22E737" w14:textId="77777777" w:rsidR="0062202E" w:rsidRPr="002C4B68" w:rsidRDefault="0062202E" w:rsidP="0062202E">
      <w:pPr>
        <w:pStyle w:val="NormalWeb"/>
        <w:spacing w:before="0" w:beforeAutospacing="0" w:after="0" w:afterAutospacing="0"/>
        <w:jc w:val="both"/>
        <w:rPr>
          <w:rFonts w:ascii="Arial" w:hAnsi="Arial" w:cs="Arial"/>
          <w:b/>
          <w:color w:val="000000" w:themeColor="text1"/>
        </w:rPr>
      </w:pPr>
      <w:r w:rsidRPr="002C4B68">
        <w:rPr>
          <w:rFonts w:ascii="Arial" w:hAnsi="Arial" w:cs="Arial"/>
          <w:b/>
          <w:color w:val="000000" w:themeColor="text1"/>
        </w:rPr>
        <w:t>OBJECTIVES OF THE STUDY</w:t>
      </w:r>
    </w:p>
    <w:p w14:paraId="2C0CF8EE" w14:textId="77777777" w:rsidR="0062202E" w:rsidRPr="002C4B68" w:rsidRDefault="0062202E" w:rsidP="0062202E">
      <w:pPr>
        <w:pStyle w:val="NormalWeb"/>
        <w:spacing w:before="0" w:beforeAutospacing="0" w:after="0" w:afterAutospacing="0"/>
        <w:jc w:val="both"/>
        <w:rPr>
          <w:rFonts w:ascii="Arial" w:hAnsi="Arial" w:cs="Arial"/>
          <w:color w:val="000000" w:themeColor="text1"/>
        </w:rPr>
      </w:pPr>
    </w:p>
    <w:p w14:paraId="08B69509" w14:textId="77777777"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This study aimed to examine the relationship between academic deans' digital leadership and faculty members' digital literacy in a state university in the Philippines. Specifically, it sought to determine the level of digital leadership demonstrated by academic deans and assess the level of digital literacy among faculty members. Furthermore, the study aimed to explore whether a significant relationship exists between the digital leadership of academic deans and the digital literacy of faculty members, thereby providing insights into how leadership practices may influence the digital competencies of teaching personnel.</w:t>
      </w:r>
    </w:p>
    <w:p w14:paraId="5F803430" w14:textId="77777777" w:rsidR="0062202E" w:rsidRPr="002C4B68" w:rsidRDefault="0062202E" w:rsidP="0062202E">
      <w:pPr>
        <w:ind w:firstLine="720"/>
        <w:jc w:val="both"/>
        <w:rPr>
          <w:rFonts w:eastAsia="Times New Roman"/>
          <w:color w:val="000000" w:themeColor="text1"/>
        </w:rPr>
      </w:pPr>
    </w:p>
    <w:p w14:paraId="545EFEF0" w14:textId="77777777" w:rsidR="0062202E" w:rsidRPr="002C4B68" w:rsidRDefault="0062202E" w:rsidP="0062202E">
      <w:pPr>
        <w:jc w:val="both"/>
        <w:rPr>
          <w:rFonts w:eastAsia="Times New Roman"/>
          <w:b/>
          <w:color w:val="000000" w:themeColor="text1"/>
        </w:rPr>
      </w:pPr>
      <w:r w:rsidRPr="002C4B68">
        <w:rPr>
          <w:rFonts w:eastAsia="Times New Roman"/>
          <w:b/>
          <w:color w:val="000000" w:themeColor="text1"/>
        </w:rPr>
        <w:t>METHODOLOGY</w:t>
      </w:r>
    </w:p>
    <w:p w14:paraId="5B670D6F" w14:textId="77777777" w:rsidR="0062202E" w:rsidRPr="002C4B68" w:rsidRDefault="0062202E" w:rsidP="0062202E">
      <w:pPr>
        <w:jc w:val="both"/>
        <w:rPr>
          <w:rFonts w:eastAsia="Times New Roman"/>
          <w:color w:val="000000" w:themeColor="text1"/>
        </w:rPr>
      </w:pPr>
    </w:p>
    <w:p w14:paraId="1B7B49C5" w14:textId="0CA067CD"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The study was conducted within the University of Eastern Philippines (UEP) System, encompassing its three campuses: the UEP Main Campus in Catarman, Northern Samar; UEP Laoang Campus in Laoang, Northern Samar; and UEP PRM Campus in Catubig, Northern Samar. A descriptive-correlational research design was employed. The descriptive component aimed to provide a comprehensive digital leadership levels</w:t>
      </w:r>
      <w:r w:rsidR="00E1254C" w:rsidRPr="002C4B68">
        <w:rPr>
          <w:rFonts w:eastAsia="Times New Roman"/>
          <w:color w:val="000000" w:themeColor="text1"/>
        </w:rPr>
        <w:t xml:space="preserve"> of the academic deans</w:t>
      </w:r>
      <w:r w:rsidRPr="002C4B68">
        <w:rPr>
          <w:rFonts w:eastAsia="Times New Roman"/>
          <w:color w:val="000000" w:themeColor="text1"/>
        </w:rPr>
        <w:t xml:space="preserve"> and the faculty members’ digital literacy, thereby establishing a foundational understanding of digital competencies across the university. The correlational aspect sought to examine the relationship between the digital leadership of </w:t>
      </w:r>
      <w:r w:rsidR="00E1254C" w:rsidRPr="002C4B68">
        <w:rPr>
          <w:rFonts w:eastAsia="Times New Roman"/>
          <w:color w:val="000000" w:themeColor="text1"/>
        </w:rPr>
        <w:t>academic deans</w:t>
      </w:r>
      <w:r w:rsidRPr="002C4B68">
        <w:rPr>
          <w:rFonts w:eastAsia="Times New Roman"/>
          <w:color w:val="000000" w:themeColor="text1"/>
        </w:rPr>
        <w:t xml:space="preserve"> and the digital literacy of faculty members. The study population included both </w:t>
      </w:r>
      <w:r w:rsidR="00E1254C" w:rsidRPr="002C4B68">
        <w:rPr>
          <w:rFonts w:eastAsia="Times New Roman"/>
          <w:color w:val="000000" w:themeColor="text1"/>
        </w:rPr>
        <w:t>academic deans</w:t>
      </w:r>
      <w:r w:rsidRPr="002C4B68">
        <w:rPr>
          <w:rFonts w:eastAsia="Times New Roman"/>
          <w:color w:val="000000" w:themeColor="text1"/>
        </w:rPr>
        <w:t xml:space="preserve"> and faculty members across all campuses. Complete enumeration was used for the </w:t>
      </w:r>
      <w:r w:rsidR="004B6DBD" w:rsidRPr="002C4B68">
        <w:rPr>
          <w:rFonts w:eastAsia="Times New Roman"/>
          <w:color w:val="000000" w:themeColor="text1"/>
        </w:rPr>
        <w:t>academic deans</w:t>
      </w:r>
      <w:r w:rsidRPr="002C4B68">
        <w:rPr>
          <w:rFonts w:eastAsia="Times New Roman"/>
          <w:color w:val="000000" w:themeColor="text1"/>
        </w:rPr>
        <w:t>, while proportional sampling—calculated using Slovin’s formula—was applied to select</w:t>
      </w:r>
      <w:r w:rsidR="00E1254C" w:rsidRPr="002C4B68">
        <w:rPr>
          <w:rFonts w:eastAsia="Times New Roman"/>
          <w:color w:val="000000" w:themeColor="text1"/>
        </w:rPr>
        <w:t>ed</w:t>
      </w:r>
      <w:r w:rsidRPr="002C4B68">
        <w:rPr>
          <w:rFonts w:eastAsia="Times New Roman"/>
          <w:color w:val="000000" w:themeColor="text1"/>
        </w:rPr>
        <w:t xml:space="preserve"> faculty respondents.</w:t>
      </w:r>
    </w:p>
    <w:p w14:paraId="63C9DA5D" w14:textId="77777777" w:rsidR="0062202E" w:rsidRPr="002C4B68" w:rsidRDefault="0062202E" w:rsidP="0062202E">
      <w:pPr>
        <w:ind w:firstLine="720"/>
        <w:jc w:val="both"/>
        <w:rPr>
          <w:rFonts w:eastAsia="Times New Roman"/>
          <w:color w:val="000000" w:themeColor="text1"/>
        </w:rPr>
      </w:pPr>
    </w:p>
    <w:p w14:paraId="51CB0CC8" w14:textId="05A26BD7"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 xml:space="preserve">The respondents of the study included 10 academic deans from the UEP Main Campus, 4 from UEP Laoang Campus, and 5 from UEP PRM Campus. For the faculty members, a total of 214 respondents participated: 176 regular faculty members from the UEP Main Campus, 23 from UEP Laoang Campus, and 15 from UEP PRM Campus. Two sets of research instruments were utilized—one for academic deans and one for faculty members. The academic deans’ instrument </w:t>
      </w:r>
      <w:r w:rsidR="004B6DBD" w:rsidRPr="002C4B68">
        <w:rPr>
          <w:rFonts w:eastAsia="Times New Roman"/>
          <w:color w:val="000000" w:themeColor="text1"/>
        </w:rPr>
        <w:t>was</w:t>
      </w:r>
      <w:r w:rsidRPr="002C4B68">
        <w:rPr>
          <w:rFonts w:eastAsia="Times New Roman"/>
          <w:color w:val="000000" w:themeColor="text1"/>
        </w:rPr>
        <w:t xml:space="preserve"> a quantitative survey based on the International Society for Technology in Education (ISTE) Standards for Education Leaders</w:t>
      </w:r>
      <w:r w:rsidR="00E1254C" w:rsidRPr="002C4B68">
        <w:rPr>
          <w:rFonts w:eastAsia="Times New Roman"/>
          <w:color w:val="000000" w:themeColor="text1"/>
        </w:rPr>
        <w:t xml:space="preserve"> to</w:t>
      </w:r>
      <w:r w:rsidRPr="002C4B68">
        <w:rPr>
          <w:rFonts w:eastAsia="Times New Roman"/>
          <w:color w:val="000000" w:themeColor="text1"/>
        </w:rPr>
        <w:t xml:space="preserve"> document digital leadership practices. </w:t>
      </w:r>
    </w:p>
    <w:p w14:paraId="75B63D2E" w14:textId="77777777" w:rsidR="0062202E" w:rsidRPr="002C4B68" w:rsidRDefault="0062202E" w:rsidP="0062202E">
      <w:pPr>
        <w:ind w:firstLine="720"/>
        <w:jc w:val="both"/>
        <w:rPr>
          <w:rFonts w:eastAsia="Times New Roman"/>
          <w:color w:val="000000" w:themeColor="text1"/>
        </w:rPr>
      </w:pPr>
    </w:p>
    <w:p w14:paraId="6B55F675" w14:textId="4EFE31C2" w:rsidR="0062202E" w:rsidRPr="002C4B68" w:rsidRDefault="0062202E" w:rsidP="0062202E">
      <w:pPr>
        <w:ind w:firstLine="720"/>
        <w:jc w:val="both"/>
        <w:rPr>
          <w:rFonts w:eastAsia="Times New Roman"/>
          <w:color w:val="000000" w:themeColor="text1"/>
        </w:rPr>
      </w:pPr>
      <w:r w:rsidRPr="002C4B68">
        <w:rPr>
          <w:rFonts w:eastAsia="Times New Roman"/>
          <w:color w:val="000000" w:themeColor="text1"/>
        </w:rPr>
        <w:t xml:space="preserve">Similarly, the faculty members’ instrument included a quantitative assessment of digital literacy based on the ISTE Standards for Educators. The quantitative data were analyzed using descriptive statistics, such as, means, to summarize the results. For inferential analysis, Pearson's correlation coefficient (r) was utilized to assess the </w:t>
      </w:r>
      <w:r w:rsidRPr="002C4B68">
        <w:rPr>
          <w:rFonts w:eastAsia="Times New Roman"/>
          <w:color w:val="000000" w:themeColor="text1"/>
        </w:rPr>
        <w:lastRenderedPageBreak/>
        <w:t>relationships between the levels of digital leadership of academic deans and the digital literacy of faculty members. This methodological approach enabled the study to capture both the breadth and depth of digital competencies across the UEP System.</w:t>
      </w:r>
    </w:p>
    <w:p w14:paraId="05AE21B5" w14:textId="77777777" w:rsidR="006D068C" w:rsidRPr="002C4B68" w:rsidRDefault="006D068C" w:rsidP="00E1254C">
      <w:pPr>
        <w:rPr>
          <w:rFonts w:eastAsia="Times New Roman"/>
          <w:b/>
          <w:color w:val="000000" w:themeColor="text1"/>
        </w:rPr>
      </w:pPr>
    </w:p>
    <w:p w14:paraId="5BDCE44F" w14:textId="77777777" w:rsidR="00E1254C" w:rsidRPr="002C4B68" w:rsidRDefault="00E1254C" w:rsidP="00E1254C">
      <w:pPr>
        <w:rPr>
          <w:rFonts w:eastAsia="Times New Roman"/>
          <w:b/>
          <w:color w:val="000000" w:themeColor="text1"/>
        </w:rPr>
      </w:pPr>
      <w:r w:rsidRPr="002C4B68">
        <w:rPr>
          <w:rFonts w:eastAsia="Times New Roman"/>
          <w:b/>
          <w:color w:val="000000" w:themeColor="text1"/>
        </w:rPr>
        <w:t>RESULTS AND DISCUSSION</w:t>
      </w:r>
    </w:p>
    <w:p w14:paraId="442F83A4" w14:textId="77777777" w:rsidR="00E1254C" w:rsidRPr="002C4B68" w:rsidRDefault="00E1254C" w:rsidP="00E1254C">
      <w:pPr>
        <w:rPr>
          <w:rFonts w:eastAsia="Times New Roman"/>
          <w:color w:val="000000" w:themeColor="text1"/>
        </w:rPr>
      </w:pPr>
    </w:p>
    <w:p w14:paraId="6DD9F55B" w14:textId="7AED0CDB"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 xml:space="preserve">Table 1 presented the digital leadership practices of academic deans in the University of Eastern Philippines System, as measured by the International Society for Technology in Education (ISTE) Standards. The results indicated an overall </w:t>
      </w:r>
      <w:r w:rsidRPr="002C4B68">
        <w:rPr>
          <w:rFonts w:eastAsia="Times New Roman"/>
          <w:bCs/>
          <w:color w:val="000000" w:themeColor="text1"/>
        </w:rPr>
        <w:t>Grand Mean of 4.18</w:t>
      </w:r>
      <w:r w:rsidRPr="002C4B68">
        <w:rPr>
          <w:rFonts w:eastAsia="Times New Roman"/>
          <w:color w:val="000000" w:themeColor="text1"/>
        </w:rPr>
        <w:t xml:space="preserve">, interpreted as </w:t>
      </w:r>
      <w:r w:rsidRPr="002C4B68">
        <w:rPr>
          <w:rFonts w:eastAsia="Times New Roman"/>
          <w:bCs/>
          <w:color w:val="000000" w:themeColor="text1"/>
        </w:rPr>
        <w:t>Good</w:t>
      </w:r>
      <w:r w:rsidRPr="002C4B68">
        <w:rPr>
          <w:rFonts w:eastAsia="Times New Roman"/>
          <w:color w:val="000000" w:themeColor="text1"/>
        </w:rPr>
        <w:t xml:space="preserve">, suggesting that while the academic deans demonstrate generally effective digital leadership, there remains room for growth, especially in strategic planning, assessment, and scaling of digital innovations. The highest-rated leadership practices, with </w:t>
      </w:r>
      <w:r w:rsidRPr="002C4B68">
        <w:rPr>
          <w:rFonts w:eastAsia="Times New Roman"/>
          <w:bCs/>
          <w:color w:val="000000" w:themeColor="text1"/>
        </w:rPr>
        <w:t>Very Good</w:t>
      </w:r>
      <w:r w:rsidRPr="002C4B68">
        <w:rPr>
          <w:rFonts w:eastAsia="Times New Roman"/>
          <w:color w:val="000000" w:themeColor="text1"/>
        </w:rPr>
        <w:t xml:space="preserve"> interpretations, include supporting educators in using technology to address diverse student needs (4.63), ensuring access to inclusive digital resources (4.58), and using technology for reflective personal and professional growth (4.58). These find</w:t>
      </w:r>
      <w:r w:rsidR="00445A30">
        <w:rPr>
          <w:rFonts w:eastAsia="Times New Roman"/>
          <w:color w:val="000000" w:themeColor="text1"/>
        </w:rPr>
        <w:t>ings align with Sheninger (2014)</w:t>
      </w:r>
      <w:r w:rsidRPr="002C4B68">
        <w:rPr>
          <w:rFonts w:eastAsia="Times New Roman"/>
          <w:color w:val="000000" w:themeColor="text1"/>
        </w:rPr>
        <w:t>, who emphasized that strong digital leaders foster inclusive and adaptive learning environments and model continuous professional development.</w:t>
      </w:r>
    </w:p>
    <w:p w14:paraId="5DA68889" w14:textId="77777777" w:rsidR="008D1467" w:rsidRPr="002C4B68" w:rsidRDefault="008D1467" w:rsidP="008D1467">
      <w:pPr>
        <w:jc w:val="both"/>
        <w:rPr>
          <w:rFonts w:eastAsia="Times New Roman"/>
          <w:color w:val="000000" w:themeColor="text1"/>
        </w:rPr>
      </w:pPr>
    </w:p>
    <w:p w14:paraId="58D0DFF0" w14:textId="77777777"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Conversely, lower mean scores were observed in areas related to strategic planning and scalability, such as measuring the impact of technology initiatives (3.79), evaluating strategic plans (3.63), and scaling effective approaches (3.84). This reflects a common challenge in higher education leadership, where the focus often remains on immediate instructional needs rather than long-term strategic integration (Trust &amp; Whalen, 2020). Additionally, while academic deans show competence in inspiring innovation (4.32) and empowering educators (4.42), engagement in broader professional learning networks (4.00) and establishing digital partnerships (3.95) are areas that require further development. Howard et al. (2021) assert that expanding leadership networks and fostering collaboration are essential for sustaining institutional digital transformation.</w:t>
      </w:r>
    </w:p>
    <w:p w14:paraId="602BD0CE" w14:textId="77777777" w:rsidR="008D1467" w:rsidRPr="002C4B68" w:rsidRDefault="008D1467" w:rsidP="008D1467">
      <w:pPr>
        <w:jc w:val="both"/>
        <w:rPr>
          <w:rFonts w:eastAsia="Times New Roman"/>
          <w:color w:val="000000" w:themeColor="text1"/>
        </w:rPr>
      </w:pPr>
    </w:p>
    <w:p w14:paraId="0BF647C8" w14:textId="064B946B" w:rsidR="008D1467" w:rsidRPr="002C4B68" w:rsidRDefault="008D1467" w:rsidP="008D1467">
      <w:pPr>
        <w:ind w:firstLine="720"/>
        <w:jc w:val="both"/>
        <w:rPr>
          <w:rFonts w:eastAsia="Times New Roman"/>
          <w:color w:val="000000" w:themeColor="text1"/>
        </w:rPr>
      </w:pPr>
      <w:r w:rsidRPr="002C4B68">
        <w:rPr>
          <w:rFonts w:eastAsia="Times New Roman"/>
          <w:color w:val="000000" w:themeColor="text1"/>
        </w:rPr>
        <w:t xml:space="preserve">Moreover, the relatively moderate scores in areas such as </w:t>
      </w:r>
      <w:r w:rsidRPr="002C4B68">
        <w:rPr>
          <w:rFonts w:eastAsia="Times New Roman"/>
          <w:bCs/>
          <w:color w:val="000000" w:themeColor="text1"/>
        </w:rPr>
        <w:t>building a strategic vision (4.00)</w:t>
      </w:r>
      <w:r w:rsidRPr="002C4B68">
        <w:rPr>
          <w:rFonts w:eastAsia="Times New Roman"/>
          <w:color w:val="000000" w:themeColor="text1"/>
        </w:rPr>
        <w:t xml:space="preserve"> and </w:t>
      </w:r>
      <w:r w:rsidRPr="002C4B68">
        <w:rPr>
          <w:rFonts w:eastAsia="Times New Roman"/>
          <w:bCs/>
          <w:color w:val="000000" w:themeColor="text1"/>
        </w:rPr>
        <w:t>guiding equitable policies (3.95)</w:t>
      </w:r>
      <w:r w:rsidRPr="002C4B68">
        <w:rPr>
          <w:rFonts w:eastAsia="Times New Roman"/>
          <w:color w:val="000000" w:themeColor="text1"/>
        </w:rPr>
        <w:t xml:space="preserve"> suggest that academic deans may benefit from targeted training in systems leadership and digital equity. Tondeur e</w:t>
      </w:r>
      <w:r w:rsidR="00445A30">
        <w:rPr>
          <w:rFonts w:eastAsia="Times New Roman"/>
          <w:color w:val="000000" w:themeColor="text1"/>
        </w:rPr>
        <w:t>t al. (2016</w:t>
      </w:r>
      <w:r w:rsidRPr="002C4B68">
        <w:rPr>
          <w:rFonts w:eastAsia="Times New Roman"/>
          <w:color w:val="000000" w:themeColor="text1"/>
        </w:rPr>
        <w:t>) stress that sustainable digital leadership requires not only technical competence but also a strong commitment to inclusive policy-making and stakeholder engagement. The observed pattern in this study indicates that UEP’s academic deans excel in personal and instructional leadership aspects but must strengthen their capacity for strategic, systemic change. Moving forward, professional development initiatives aligned with recent ISTE leadership frameworks (ISTE, 2024) and leadership mentoring could enhance the university’s digital leadership maturity, ensuring that technology integration translates into long-term institutional impact.</w:t>
      </w:r>
    </w:p>
    <w:p w14:paraId="022C6813" w14:textId="77777777" w:rsidR="0062202E" w:rsidRPr="002C4B68" w:rsidRDefault="0062202E" w:rsidP="0062202E">
      <w:pPr>
        <w:jc w:val="both"/>
        <w:rPr>
          <w:rFonts w:eastAsia="Times New Roman"/>
          <w:color w:val="000000" w:themeColor="text1"/>
        </w:rPr>
      </w:pPr>
    </w:p>
    <w:p w14:paraId="7CA15F04" w14:textId="77777777" w:rsidR="0062202E" w:rsidRPr="002C4B68" w:rsidRDefault="00351A9C" w:rsidP="00351A9C">
      <w:pPr>
        <w:pStyle w:val="NormalWeb"/>
        <w:spacing w:before="0" w:beforeAutospacing="0" w:after="0" w:afterAutospacing="0"/>
        <w:jc w:val="center"/>
        <w:rPr>
          <w:rFonts w:ascii="Arial" w:hAnsi="Arial" w:cs="Arial"/>
          <w:color w:val="000000" w:themeColor="text1"/>
        </w:rPr>
      </w:pPr>
      <w:r w:rsidRPr="002C4B68">
        <w:rPr>
          <w:rFonts w:ascii="Arial" w:hAnsi="Arial" w:cs="Arial"/>
          <w:color w:val="000000" w:themeColor="text1"/>
        </w:rPr>
        <w:t>Table 1. Digital Leadership of Academic Deans</w:t>
      </w:r>
    </w:p>
    <w:p w14:paraId="55C70C8C" w14:textId="77777777" w:rsidR="00351A9C" w:rsidRPr="002C4B68" w:rsidRDefault="00351A9C" w:rsidP="0062202E">
      <w:pPr>
        <w:pStyle w:val="NormalWeb"/>
        <w:spacing w:before="0" w:beforeAutospacing="0" w:after="0" w:afterAutospacing="0"/>
        <w:jc w:val="both"/>
        <w:rPr>
          <w:rFonts w:ascii="Arial" w:hAnsi="Arial" w:cs="Arial"/>
          <w:color w:val="000000" w:themeColor="text1"/>
        </w:rPr>
      </w:pPr>
    </w:p>
    <w:tbl>
      <w:tblPr>
        <w:tblW w:w="5006" w:type="pct"/>
        <w:tblInd w:w="-5" w:type="dxa"/>
        <w:tblLook w:val="04A0" w:firstRow="1" w:lastRow="0" w:firstColumn="1" w:lastColumn="0" w:noHBand="0" w:noVBand="1"/>
      </w:tblPr>
      <w:tblGrid>
        <w:gridCol w:w="5700"/>
        <w:gridCol w:w="1265"/>
        <w:gridCol w:w="2073"/>
      </w:tblGrid>
      <w:tr w:rsidR="002C4B68" w:rsidRPr="002C4B68" w14:paraId="5425E9F9" w14:textId="77777777" w:rsidTr="00CB3FB3">
        <w:trPr>
          <w:trHeight w:val="188"/>
        </w:trPr>
        <w:tc>
          <w:tcPr>
            <w:tcW w:w="3153" w:type="pct"/>
            <w:tcBorders>
              <w:top w:val="single" w:sz="4" w:space="0" w:color="auto"/>
              <w:bottom w:val="single" w:sz="4" w:space="0" w:color="auto"/>
            </w:tcBorders>
            <w:shd w:val="clear" w:color="auto" w:fill="D9D9D9" w:themeFill="background1" w:themeFillShade="D9"/>
            <w:vAlign w:val="center"/>
            <w:hideMark/>
          </w:tcPr>
          <w:p w14:paraId="50393D96" w14:textId="77777777" w:rsidR="000D6E36" w:rsidRPr="002C4B68" w:rsidRDefault="000D6E36"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Digital Leadership</w:t>
            </w:r>
          </w:p>
        </w:tc>
        <w:tc>
          <w:tcPr>
            <w:tcW w:w="700" w:type="pct"/>
            <w:tcBorders>
              <w:top w:val="single" w:sz="4" w:space="0" w:color="auto"/>
              <w:bottom w:val="single" w:sz="4" w:space="0" w:color="auto"/>
            </w:tcBorders>
            <w:shd w:val="clear" w:color="auto" w:fill="D9D9D9" w:themeFill="background1" w:themeFillShade="D9"/>
            <w:vAlign w:val="center"/>
            <w:hideMark/>
          </w:tcPr>
          <w:p w14:paraId="3EFC7E75" w14:textId="77777777" w:rsidR="000D6E36" w:rsidRPr="002C4B68" w:rsidRDefault="000D6E36"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Weighted Mean</w:t>
            </w:r>
          </w:p>
        </w:tc>
        <w:tc>
          <w:tcPr>
            <w:tcW w:w="1147" w:type="pct"/>
            <w:tcBorders>
              <w:top w:val="single" w:sz="4" w:space="0" w:color="auto"/>
              <w:bottom w:val="single" w:sz="4" w:space="0" w:color="auto"/>
            </w:tcBorders>
            <w:shd w:val="clear" w:color="auto" w:fill="D9D9D9" w:themeFill="background1" w:themeFillShade="D9"/>
            <w:vAlign w:val="center"/>
            <w:hideMark/>
          </w:tcPr>
          <w:p w14:paraId="778C159C" w14:textId="77777777" w:rsidR="000D6E36" w:rsidRPr="002C4B68" w:rsidRDefault="000D6E36" w:rsidP="000D6E36">
            <w:pPr>
              <w:jc w:val="center"/>
              <w:rPr>
                <w:rFonts w:eastAsia="Times New Roman"/>
                <w:b/>
                <w:bCs/>
                <w:color w:val="000000" w:themeColor="text1"/>
                <w:sz w:val="22"/>
                <w:szCs w:val="22"/>
              </w:rPr>
            </w:pPr>
            <w:r w:rsidRPr="002C4B68">
              <w:rPr>
                <w:rFonts w:eastAsia="Times New Roman"/>
                <w:b/>
                <w:bCs/>
                <w:color w:val="000000" w:themeColor="text1"/>
                <w:sz w:val="22"/>
                <w:szCs w:val="22"/>
              </w:rPr>
              <w:t>Interpretation</w:t>
            </w:r>
          </w:p>
        </w:tc>
      </w:tr>
      <w:tr w:rsidR="002C4B68" w:rsidRPr="002C4B68" w14:paraId="07B097DE" w14:textId="77777777" w:rsidTr="00351A9C">
        <w:trPr>
          <w:trHeight w:val="870"/>
        </w:trPr>
        <w:tc>
          <w:tcPr>
            <w:tcW w:w="3153" w:type="pct"/>
            <w:tcBorders>
              <w:top w:val="single" w:sz="4" w:space="0" w:color="auto"/>
            </w:tcBorders>
            <w:shd w:val="clear" w:color="auto" w:fill="auto"/>
            <w:vAlign w:val="center"/>
            <w:hideMark/>
          </w:tcPr>
          <w:p w14:paraId="4D8DC94D"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support educators in using technology to advance learning that meets the diverse learning, cultural, and social emotional needs of individual students.</w:t>
            </w:r>
          </w:p>
        </w:tc>
        <w:tc>
          <w:tcPr>
            <w:tcW w:w="700" w:type="pct"/>
            <w:tcBorders>
              <w:top w:val="single" w:sz="4" w:space="0" w:color="auto"/>
            </w:tcBorders>
            <w:shd w:val="clear" w:color="auto" w:fill="auto"/>
            <w:vAlign w:val="center"/>
            <w:hideMark/>
          </w:tcPr>
          <w:p w14:paraId="537072A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4.63</w:t>
            </w:r>
          </w:p>
        </w:tc>
        <w:tc>
          <w:tcPr>
            <w:tcW w:w="1147" w:type="pct"/>
            <w:tcBorders>
              <w:top w:val="single" w:sz="4" w:space="0" w:color="auto"/>
            </w:tcBorders>
            <w:shd w:val="clear" w:color="auto" w:fill="auto"/>
            <w:vAlign w:val="center"/>
            <w:hideMark/>
          </w:tcPr>
          <w:p w14:paraId="1BEA544C"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56A498CA" w14:textId="77777777" w:rsidTr="00351A9C">
        <w:trPr>
          <w:trHeight w:val="870"/>
        </w:trPr>
        <w:tc>
          <w:tcPr>
            <w:tcW w:w="3153" w:type="pct"/>
            <w:shd w:val="clear" w:color="auto" w:fill="auto"/>
            <w:vAlign w:val="center"/>
            <w:hideMark/>
          </w:tcPr>
          <w:p w14:paraId="1CBED23A"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lastRenderedPageBreak/>
              <w:t>I ensure access to technology, connectivity, inclusive digital content and learning materials that meet the needs of all students.</w:t>
            </w:r>
          </w:p>
        </w:tc>
        <w:tc>
          <w:tcPr>
            <w:tcW w:w="700" w:type="pct"/>
            <w:shd w:val="clear" w:color="auto" w:fill="auto"/>
            <w:vAlign w:val="center"/>
            <w:hideMark/>
          </w:tcPr>
          <w:p w14:paraId="5F93C5D9"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4.58</w:t>
            </w:r>
          </w:p>
        </w:tc>
        <w:tc>
          <w:tcPr>
            <w:tcW w:w="1147" w:type="pct"/>
            <w:shd w:val="clear" w:color="auto" w:fill="auto"/>
            <w:vAlign w:val="center"/>
            <w:hideMark/>
          </w:tcPr>
          <w:p w14:paraId="4319FA5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440243F4" w14:textId="77777777" w:rsidTr="00351A9C">
        <w:trPr>
          <w:trHeight w:val="870"/>
        </w:trPr>
        <w:tc>
          <w:tcPr>
            <w:tcW w:w="3153" w:type="pct"/>
            <w:shd w:val="clear" w:color="auto" w:fill="auto"/>
            <w:vAlign w:val="center"/>
            <w:hideMark/>
          </w:tcPr>
          <w:p w14:paraId="03867366"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use technology to regularly engage in reflective practices that support personal and professional growth.</w:t>
            </w:r>
          </w:p>
        </w:tc>
        <w:tc>
          <w:tcPr>
            <w:tcW w:w="700" w:type="pct"/>
            <w:shd w:val="clear" w:color="auto" w:fill="auto"/>
            <w:vAlign w:val="center"/>
            <w:hideMark/>
          </w:tcPr>
          <w:p w14:paraId="5805C6C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4.58</w:t>
            </w:r>
          </w:p>
        </w:tc>
        <w:tc>
          <w:tcPr>
            <w:tcW w:w="1147" w:type="pct"/>
            <w:shd w:val="clear" w:color="auto" w:fill="auto"/>
            <w:vAlign w:val="center"/>
            <w:hideMark/>
          </w:tcPr>
          <w:p w14:paraId="70A6A484"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1565E72C" w14:textId="77777777" w:rsidTr="00351A9C">
        <w:trPr>
          <w:trHeight w:val="870"/>
        </w:trPr>
        <w:tc>
          <w:tcPr>
            <w:tcW w:w="3153" w:type="pct"/>
            <w:shd w:val="clear" w:color="auto" w:fill="auto"/>
            <w:vAlign w:val="center"/>
            <w:hideMark/>
          </w:tcPr>
          <w:p w14:paraId="25F5C5FA"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ensure all students learn from educators who are skilled in using technology to create authentic and engaging learning experiences.</w:t>
            </w:r>
          </w:p>
        </w:tc>
        <w:tc>
          <w:tcPr>
            <w:tcW w:w="700" w:type="pct"/>
            <w:shd w:val="clear" w:color="auto" w:fill="auto"/>
            <w:vAlign w:val="center"/>
            <w:hideMark/>
          </w:tcPr>
          <w:p w14:paraId="60B8D598"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4.53</w:t>
            </w:r>
          </w:p>
        </w:tc>
        <w:tc>
          <w:tcPr>
            <w:tcW w:w="1147" w:type="pct"/>
            <w:shd w:val="clear" w:color="auto" w:fill="auto"/>
            <w:vAlign w:val="center"/>
            <w:hideMark/>
          </w:tcPr>
          <w:p w14:paraId="2DE716E4"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55FA9462" w14:textId="77777777" w:rsidTr="00351A9C">
        <w:trPr>
          <w:trHeight w:val="870"/>
        </w:trPr>
        <w:tc>
          <w:tcPr>
            <w:tcW w:w="3153" w:type="pct"/>
            <w:shd w:val="clear" w:color="auto" w:fill="auto"/>
            <w:vAlign w:val="center"/>
            <w:hideMark/>
          </w:tcPr>
          <w:p w14:paraId="01623B42"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protect privacy protection and security by ensuring that students and staff observe effective privacy and data management policies in the digital world.</w:t>
            </w:r>
          </w:p>
        </w:tc>
        <w:tc>
          <w:tcPr>
            <w:tcW w:w="700" w:type="pct"/>
            <w:shd w:val="clear" w:color="auto" w:fill="auto"/>
            <w:vAlign w:val="center"/>
            <w:hideMark/>
          </w:tcPr>
          <w:p w14:paraId="30881643"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4.47</w:t>
            </w:r>
          </w:p>
        </w:tc>
        <w:tc>
          <w:tcPr>
            <w:tcW w:w="1147" w:type="pct"/>
            <w:shd w:val="clear" w:color="auto" w:fill="auto"/>
            <w:vAlign w:val="center"/>
            <w:hideMark/>
          </w:tcPr>
          <w:p w14:paraId="6FCAE68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65CF957B" w14:textId="77777777" w:rsidTr="00351A9C">
        <w:trPr>
          <w:trHeight w:val="67"/>
        </w:trPr>
        <w:tc>
          <w:tcPr>
            <w:tcW w:w="3153" w:type="pct"/>
            <w:shd w:val="clear" w:color="auto" w:fill="auto"/>
            <w:vAlign w:val="center"/>
            <w:hideMark/>
          </w:tcPr>
          <w:p w14:paraId="091B52D7"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empower educators to exercise professional agency, build teacher leadership skills and pursue personalized professional learning in the field of technology.</w:t>
            </w:r>
          </w:p>
        </w:tc>
        <w:tc>
          <w:tcPr>
            <w:tcW w:w="700" w:type="pct"/>
            <w:shd w:val="clear" w:color="auto" w:fill="auto"/>
            <w:vAlign w:val="center"/>
            <w:hideMark/>
          </w:tcPr>
          <w:p w14:paraId="7845B068"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4.42</w:t>
            </w:r>
          </w:p>
        </w:tc>
        <w:tc>
          <w:tcPr>
            <w:tcW w:w="1147" w:type="pct"/>
            <w:shd w:val="clear" w:color="auto" w:fill="auto"/>
            <w:vAlign w:val="center"/>
            <w:hideMark/>
          </w:tcPr>
          <w:p w14:paraId="248D8FB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7A9CE0A8" w14:textId="77777777" w:rsidTr="00351A9C">
        <w:trPr>
          <w:trHeight w:val="67"/>
        </w:trPr>
        <w:tc>
          <w:tcPr>
            <w:tcW w:w="3153" w:type="pct"/>
            <w:shd w:val="clear" w:color="auto" w:fill="auto"/>
            <w:vAlign w:val="center"/>
            <w:hideMark/>
          </w:tcPr>
          <w:p w14:paraId="67A67163"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build the confidence and competency of educators to put the International Society for Technology Education (ISTE) Standards for Students and Educators into practice.</w:t>
            </w:r>
          </w:p>
        </w:tc>
        <w:tc>
          <w:tcPr>
            <w:tcW w:w="700" w:type="pct"/>
            <w:shd w:val="clear" w:color="auto" w:fill="auto"/>
            <w:vAlign w:val="center"/>
            <w:hideMark/>
          </w:tcPr>
          <w:p w14:paraId="7758DDC5"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4.32</w:t>
            </w:r>
          </w:p>
        </w:tc>
        <w:tc>
          <w:tcPr>
            <w:tcW w:w="1147" w:type="pct"/>
            <w:shd w:val="clear" w:color="auto" w:fill="auto"/>
            <w:vAlign w:val="center"/>
            <w:hideMark/>
          </w:tcPr>
          <w:p w14:paraId="2740C39B"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21667EB7" w14:textId="77777777" w:rsidTr="00351A9C">
        <w:trPr>
          <w:trHeight w:val="67"/>
        </w:trPr>
        <w:tc>
          <w:tcPr>
            <w:tcW w:w="3153" w:type="pct"/>
            <w:shd w:val="clear" w:color="auto" w:fill="auto"/>
            <w:vAlign w:val="center"/>
            <w:hideMark/>
          </w:tcPr>
          <w:p w14:paraId="6F637494"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inspire a culture of innovation, creative problem-solving, and collaboration that allows the time to explore and develop teaching practices using digital tools.</w:t>
            </w:r>
          </w:p>
        </w:tc>
        <w:tc>
          <w:tcPr>
            <w:tcW w:w="700" w:type="pct"/>
            <w:shd w:val="clear" w:color="auto" w:fill="auto"/>
            <w:vAlign w:val="center"/>
            <w:hideMark/>
          </w:tcPr>
          <w:p w14:paraId="557C532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4.32</w:t>
            </w:r>
          </w:p>
        </w:tc>
        <w:tc>
          <w:tcPr>
            <w:tcW w:w="1147" w:type="pct"/>
            <w:shd w:val="clear" w:color="auto" w:fill="auto"/>
            <w:vAlign w:val="center"/>
            <w:hideMark/>
          </w:tcPr>
          <w:p w14:paraId="1D8F66C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371ACED8" w14:textId="77777777" w:rsidTr="00351A9C">
        <w:trPr>
          <w:trHeight w:val="67"/>
        </w:trPr>
        <w:tc>
          <w:tcPr>
            <w:tcW w:w="3153" w:type="pct"/>
            <w:shd w:val="clear" w:color="auto" w:fill="auto"/>
            <w:vAlign w:val="center"/>
            <w:hideMark/>
          </w:tcPr>
          <w:p w14:paraId="74180293"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actively share my experiences, including lessons learned, best practices, challenges, and the impact of using technology, with fellow education leaders who are eager to grow and learn.</w:t>
            </w:r>
          </w:p>
        </w:tc>
        <w:tc>
          <w:tcPr>
            <w:tcW w:w="700" w:type="pct"/>
            <w:shd w:val="clear" w:color="auto" w:fill="auto"/>
            <w:vAlign w:val="center"/>
            <w:hideMark/>
          </w:tcPr>
          <w:p w14:paraId="5827C84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4.26</w:t>
            </w:r>
          </w:p>
        </w:tc>
        <w:tc>
          <w:tcPr>
            <w:tcW w:w="1147" w:type="pct"/>
            <w:shd w:val="clear" w:color="auto" w:fill="auto"/>
            <w:vAlign w:val="center"/>
            <w:hideMark/>
          </w:tcPr>
          <w:p w14:paraId="093AFD79"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78C0AE33" w14:textId="77777777" w:rsidTr="00351A9C">
        <w:trPr>
          <w:trHeight w:val="187"/>
        </w:trPr>
        <w:tc>
          <w:tcPr>
            <w:tcW w:w="3153" w:type="pct"/>
            <w:shd w:val="clear" w:color="auto" w:fill="auto"/>
            <w:vAlign w:val="center"/>
            <w:hideMark/>
          </w:tcPr>
          <w:p w14:paraId="1A7DFDAD"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develop the skills needed to lead and navigate change, advance systems and promote a mindset of continuous improvement for how technology can improve learning.</w:t>
            </w:r>
          </w:p>
        </w:tc>
        <w:tc>
          <w:tcPr>
            <w:tcW w:w="700" w:type="pct"/>
            <w:shd w:val="clear" w:color="auto" w:fill="auto"/>
            <w:vAlign w:val="center"/>
            <w:hideMark/>
          </w:tcPr>
          <w:p w14:paraId="6E799B14"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4.26</w:t>
            </w:r>
          </w:p>
        </w:tc>
        <w:tc>
          <w:tcPr>
            <w:tcW w:w="1147" w:type="pct"/>
            <w:shd w:val="clear" w:color="auto" w:fill="auto"/>
            <w:vAlign w:val="center"/>
            <w:hideMark/>
          </w:tcPr>
          <w:p w14:paraId="4A3F482C"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Very Good</w:t>
            </w:r>
          </w:p>
        </w:tc>
      </w:tr>
      <w:tr w:rsidR="002C4B68" w:rsidRPr="002C4B68" w14:paraId="06C7711D" w14:textId="77777777" w:rsidTr="00351A9C">
        <w:trPr>
          <w:trHeight w:val="585"/>
        </w:trPr>
        <w:tc>
          <w:tcPr>
            <w:tcW w:w="3153" w:type="pct"/>
            <w:shd w:val="clear" w:color="auto" w:fill="auto"/>
            <w:vAlign w:val="center"/>
            <w:hideMark/>
          </w:tcPr>
          <w:p w14:paraId="12E7E227"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model the safe, ethical, and legal use of technology and the critical examination of digital content.</w:t>
            </w:r>
          </w:p>
        </w:tc>
        <w:tc>
          <w:tcPr>
            <w:tcW w:w="700" w:type="pct"/>
            <w:shd w:val="clear" w:color="auto" w:fill="auto"/>
            <w:vAlign w:val="center"/>
            <w:hideMark/>
          </w:tcPr>
          <w:p w14:paraId="64DB9CF3"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4.16</w:t>
            </w:r>
          </w:p>
        </w:tc>
        <w:tc>
          <w:tcPr>
            <w:tcW w:w="1147" w:type="pct"/>
            <w:shd w:val="clear" w:color="auto" w:fill="auto"/>
            <w:vAlign w:val="center"/>
            <w:hideMark/>
          </w:tcPr>
          <w:p w14:paraId="58210B9D"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412E3371" w14:textId="77777777" w:rsidTr="00351A9C">
        <w:trPr>
          <w:trHeight w:val="67"/>
        </w:trPr>
        <w:tc>
          <w:tcPr>
            <w:tcW w:w="3153" w:type="pct"/>
            <w:shd w:val="clear" w:color="auto" w:fill="auto"/>
            <w:vAlign w:val="center"/>
            <w:hideMark/>
          </w:tcPr>
          <w:p w14:paraId="2C4B084E"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communicate effectively using technology tools with stakeholders to gather input on the plan, celebrate successes and engage in a continuous improvement cycle.</w:t>
            </w:r>
          </w:p>
        </w:tc>
        <w:tc>
          <w:tcPr>
            <w:tcW w:w="700" w:type="pct"/>
            <w:shd w:val="clear" w:color="auto" w:fill="auto"/>
            <w:vAlign w:val="center"/>
            <w:hideMark/>
          </w:tcPr>
          <w:p w14:paraId="558A569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1147" w:type="pct"/>
            <w:shd w:val="clear" w:color="auto" w:fill="auto"/>
            <w:vAlign w:val="center"/>
            <w:hideMark/>
          </w:tcPr>
          <w:p w14:paraId="3729299D"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42A985CD" w14:textId="77777777" w:rsidTr="00351A9C">
        <w:trPr>
          <w:trHeight w:val="67"/>
        </w:trPr>
        <w:tc>
          <w:tcPr>
            <w:tcW w:w="3153" w:type="pct"/>
            <w:shd w:val="clear" w:color="auto" w:fill="auto"/>
            <w:vAlign w:val="center"/>
            <w:hideMark/>
          </w:tcPr>
          <w:p w14:paraId="247853DD"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develop technological learning assessments that provide a personalized, actionable view of student progress in real time.</w:t>
            </w:r>
          </w:p>
        </w:tc>
        <w:tc>
          <w:tcPr>
            <w:tcW w:w="700" w:type="pct"/>
            <w:shd w:val="clear" w:color="auto" w:fill="auto"/>
            <w:vAlign w:val="center"/>
            <w:hideMark/>
          </w:tcPr>
          <w:p w14:paraId="373608A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1147" w:type="pct"/>
            <w:shd w:val="clear" w:color="auto" w:fill="auto"/>
            <w:vAlign w:val="center"/>
            <w:hideMark/>
          </w:tcPr>
          <w:p w14:paraId="2EF68719"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78B7C3E7" w14:textId="77777777" w:rsidTr="00351A9C">
        <w:trPr>
          <w:trHeight w:val="870"/>
        </w:trPr>
        <w:tc>
          <w:tcPr>
            <w:tcW w:w="3153" w:type="pct"/>
            <w:shd w:val="clear" w:color="auto" w:fill="auto"/>
            <w:vAlign w:val="center"/>
            <w:hideMark/>
          </w:tcPr>
          <w:p w14:paraId="7C7EDA64"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set goals to remain current on emerging technologies for learning, innovations in pedagogy and advancements in the learning sciences.</w:t>
            </w:r>
          </w:p>
        </w:tc>
        <w:tc>
          <w:tcPr>
            <w:tcW w:w="700" w:type="pct"/>
            <w:shd w:val="clear" w:color="auto" w:fill="auto"/>
            <w:vAlign w:val="center"/>
            <w:hideMark/>
          </w:tcPr>
          <w:p w14:paraId="298D352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4.11</w:t>
            </w:r>
          </w:p>
        </w:tc>
        <w:tc>
          <w:tcPr>
            <w:tcW w:w="1147" w:type="pct"/>
            <w:shd w:val="clear" w:color="auto" w:fill="auto"/>
            <w:vAlign w:val="center"/>
            <w:hideMark/>
          </w:tcPr>
          <w:p w14:paraId="293BDDC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02E1CDEC" w14:textId="77777777" w:rsidTr="00351A9C">
        <w:trPr>
          <w:trHeight w:val="67"/>
        </w:trPr>
        <w:tc>
          <w:tcPr>
            <w:tcW w:w="3153" w:type="pct"/>
            <w:shd w:val="clear" w:color="auto" w:fill="auto"/>
            <w:vAlign w:val="center"/>
            <w:hideMark/>
          </w:tcPr>
          <w:p w14:paraId="3CE35FFE"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ensure that resources and infrastructure for supporting effective use of technology for learning are sufficient and scalable to meet future demand.</w:t>
            </w:r>
          </w:p>
        </w:tc>
        <w:tc>
          <w:tcPr>
            <w:tcW w:w="700" w:type="pct"/>
            <w:shd w:val="clear" w:color="auto" w:fill="auto"/>
            <w:vAlign w:val="center"/>
            <w:hideMark/>
          </w:tcPr>
          <w:p w14:paraId="79E65C7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4.05</w:t>
            </w:r>
          </w:p>
        </w:tc>
        <w:tc>
          <w:tcPr>
            <w:tcW w:w="1147" w:type="pct"/>
            <w:shd w:val="clear" w:color="auto" w:fill="auto"/>
            <w:vAlign w:val="center"/>
            <w:hideMark/>
          </w:tcPr>
          <w:p w14:paraId="15769FEC"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5F801615" w14:textId="77777777" w:rsidTr="00351A9C">
        <w:trPr>
          <w:trHeight w:val="67"/>
        </w:trPr>
        <w:tc>
          <w:tcPr>
            <w:tcW w:w="3153" w:type="pct"/>
            <w:shd w:val="clear" w:color="auto" w:fill="auto"/>
            <w:vAlign w:val="center"/>
            <w:hideMark/>
          </w:tcPr>
          <w:p w14:paraId="2BA57827"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include a wide range of perspectives from the community to develop and sustain a vision for using technology to advance student learning and success.</w:t>
            </w:r>
          </w:p>
        </w:tc>
        <w:tc>
          <w:tcPr>
            <w:tcW w:w="700" w:type="pct"/>
            <w:shd w:val="clear" w:color="auto" w:fill="auto"/>
            <w:vAlign w:val="center"/>
            <w:hideMark/>
          </w:tcPr>
          <w:p w14:paraId="05FF4A7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1147" w:type="pct"/>
            <w:shd w:val="clear" w:color="auto" w:fill="auto"/>
            <w:vAlign w:val="center"/>
            <w:hideMark/>
          </w:tcPr>
          <w:p w14:paraId="2DD856A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6E0B9FA4" w14:textId="77777777" w:rsidTr="00351A9C">
        <w:trPr>
          <w:trHeight w:val="67"/>
        </w:trPr>
        <w:tc>
          <w:tcPr>
            <w:tcW w:w="3153" w:type="pct"/>
            <w:shd w:val="clear" w:color="auto" w:fill="auto"/>
            <w:vAlign w:val="center"/>
            <w:hideMark/>
          </w:tcPr>
          <w:p w14:paraId="4FDC1B4A"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build on the shared vision by collaboratively creating a strategic plan that articulates how technology will be used to enhance learning.</w:t>
            </w:r>
          </w:p>
        </w:tc>
        <w:tc>
          <w:tcPr>
            <w:tcW w:w="700" w:type="pct"/>
            <w:shd w:val="clear" w:color="auto" w:fill="auto"/>
            <w:vAlign w:val="center"/>
            <w:hideMark/>
          </w:tcPr>
          <w:p w14:paraId="4A0FC2CB"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1147" w:type="pct"/>
            <w:shd w:val="clear" w:color="auto" w:fill="auto"/>
            <w:vAlign w:val="center"/>
            <w:hideMark/>
          </w:tcPr>
          <w:p w14:paraId="59B0C893"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5ED94189" w14:textId="77777777" w:rsidTr="00351A9C">
        <w:trPr>
          <w:trHeight w:val="67"/>
        </w:trPr>
        <w:tc>
          <w:tcPr>
            <w:tcW w:w="3153" w:type="pct"/>
            <w:shd w:val="clear" w:color="auto" w:fill="auto"/>
            <w:vAlign w:val="center"/>
            <w:hideMark/>
          </w:tcPr>
          <w:p w14:paraId="4EF85A87"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lastRenderedPageBreak/>
              <w:t>I participate regularly in online professional learning networks to collaboratively learn with and mentor other professionals.</w:t>
            </w:r>
          </w:p>
        </w:tc>
        <w:tc>
          <w:tcPr>
            <w:tcW w:w="700" w:type="pct"/>
            <w:shd w:val="clear" w:color="auto" w:fill="auto"/>
            <w:vAlign w:val="center"/>
            <w:hideMark/>
          </w:tcPr>
          <w:p w14:paraId="28B5C1F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4.00</w:t>
            </w:r>
          </w:p>
        </w:tc>
        <w:tc>
          <w:tcPr>
            <w:tcW w:w="1147" w:type="pct"/>
            <w:shd w:val="clear" w:color="auto" w:fill="auto"/>
            <w:vAlign w:val="center"/>
            <w:hideMark/>
          </w:tcPr>
          <w:p w14:paraId="5FDDE64F"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073B8A20" w14:textId="77777777" w:rsidTr="00351A9C">
        <w:trPr>
          <w:trHeight w:val="585"/>
        </w:trPr>
        <w:tc>
          <w:tcPr>
            <w:tcW w:w="3153" w:type="pct"/>
            <w:shd w:val="clear" w:color="auto" w:fill="auto"/>
            <w:vAlign w:val="center"/>
            <w:hideMark/>
          </w:tcPr>
          <w:p w14:paraId="4FB400A2"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guide teams in an equitable policies to support technology for effective learning.</w:t>
            </w:r>
          </w:p>
        </w:tc>
        <w:tc>
          <w:tcPr>
            <w:tcW w:w="700" w:type="pct"/>
            <w:shd w:val="clear" w:color="auto" w:fill="auto"/>
            <w:vAlign w:val="center"/>
            <w:hideMark/>
          </w:tcPr>
          <w:p w14:paraId="478914D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3.95</w:t>
            </w:r>
          </w:p>
        </w:tc>
        <w:tc>
          <w:tcPr>
            <w:tcW w:w="1147" w:type="pct"/>
            <w:shd w:val="clear" w:color="auto" w:fill="auto"/>
            <w:vAlign w:val="center"/>
            <w:hideMark/>
          </w:tcPr>
          <w:p w14:paraId="70F1CC67"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2739C155" w14:textId="77777777" w:rsidTr="00351A9C">
        <w:trPr>
          <w:trHeight w:val="67"/>
        </w:trPr>
        <w:tc>
          <w:tcPr>
            <w:tcW w:w="3153" w:type="pct"/>
            <w:shd w:val="clear" w:color="auto" w:fill="auto"/>
            <w:vAlign w:val="center"/>
            <w:hideMark/>
          </w:tcPr>
          <w:p w14:paraId="122EA719" w14:textId="77777777" w:rsidR="000D6E36" w:rsidRPr="002C4B68" w:rsidRDefault="000D6E36" w:rsidP="000D6E36">
            <w:pPr>
              <w:rPr>
                <w:rFonts w:eastAsia="Times New Roman"/>
                <w:color w:val="000000" w:themeColor="text1"/>
                <w:sz w:val="22"/>
                <w:szCs w:val="22"/>
              </w:rPr>
            </w:pPr>
            <w:r w:rsidRPr="002C4B68">
              <w:rPr>
                <w:rFonts w:eastAsia="Times New Roman"/>
                <w:color w:val="000000" w:themeColor="text1"/>
                <w:sz w:val="22"/>
                <w:szCs w:val="22"/>
              </w:rPr>
              <w:t>I establish digital partnerships that support the strategic vision, achieve learning priorities and improve operations.</w:t>
            </w:r>
          </w:p>
        </w:tc>
        <w:tc>
          <w:tcPr>
            <w:tcW w:w="700" w:type="pct"/>
            <w:shd w:val="clear" w:color="auto" w:fill="auto"/>
            <w:vAlign w:val="center"/>
            <w:hideMark/>
          </w:tcPr>
          <w:p w14:paraId="22CD29C6"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3.95</w:t>
            </w:r>
          </w:p>
        </w:tc>
        <w:tc>
          <w:tcPr>
            <w:tcW w:w="1147" w:type="pct"/>
            <w:shd w:val="clear" w:color="auto" w:fill="auto"/>
            <w:vAlign w:val="center"/>
            <w:hideMark/>
          </w:tcPr>
          <w:p w14:paraId="33C8538B"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67663420" w14:textId="77777777" w:rsidTr="00351A9C">
        <w:trPr>
          <w:trHeight w:val="585"/>
        </w:trPr>
        <w:tc>
          <w:tcPr>
            <w:tcW w:w="3153" w:type="pct"/>
            <w:shd w:val="clear" w:color="auto" w:fill="auto"/>
            <w:vAlign w:val="center"/>
            <w:hideMark/>
          </w:tcPr>
          <w:p w14:paraId="6DBA9871"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scale effective approaches that successfully integrate technology into the learning process.</w:t>
            </w:r>
          </w:p>
        </w:tc>
        <w:tc>
          <w:tcPr>
            <w:tcW w:w="700" w:type="pct"/>
            <w:shd w:val="clear" w:color="auto" w:fill="auto"/>
            <w:vAlign w:val="center"/>
            <w:hideMark/>
          </w:tcPr>
          <w:p w14:paraId="2A771A98"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3.84</w:t>
            </w:r>
          </w:p>
        </w:tc>
        <w:tc>
          <w:tcPr>
            <w:tcW w:w="1147" w:type="pct"/>
            <w:shd w:val="clear" w:color="auto" w:fill="auto"/>
            <w:vAlign w:val="center"/>
            <w:hideMark/>
          </w:tcPr>
          <w:p w14:paraId="3643F04B"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2239594E" w14:textId="77777777" w:rsidTr="00351A9C">
        <w:trPr>
          <w:trHeight w:val="585"/>
        </w:trPr>
        <w:tc>
          <w:tcPr>
            <w:tcW w:w="3153" w:type="pct"/>
            <w:shd w:val="clear" w:color="auto" w:fill="auto"/>
            <w:vAlign w:val="center"/>
            <w:hideMark/>
          </w:tcPr>
          <w:p w14:paraId="56EAA962"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measure the impact of our initiatives in using technology to transform learning.</w:t>
            </w:r>
          </w:p>
        </w:tc>
        <w:tc>
          <w:tcPr>
            <w:tcW w:w="700" w:type="pct"/>
            <w:shd w:val="clear" w:color="auto" w:fill="auto"/>
            <w:vAlign w:val="center"/>
            <w:hideMark/>
          </w:tcPr>
          <w:p w14:paraId="0370F4D0"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3.79</w:t>
            </w:r>
          </w:p>
        </w:tc>
        <w:tc>
          <w:tcPr>
            <w:tcW w:w="1147" w:type="pct"/>
            <w:shd w:val="clear" w:color="auto" w:fill="auto"/>
            <w:vAlign w:val="center"/>
            <w:hideMark/>
          </w:tcPr>
          <w:p w14:paraId="1F6C8BBB"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0E2EEE6A" w14:textId="77777777" w:rsidTr="00351A9C">
        <w:trPr>
          <w:trHeight w:val="585"/>
        </w:trPr>
        <w:tc>
          <w:tcPr>
            <w:tcW w:w="3153" w:type="pct"/>
            <w:tcBorders>
              <w:bottom w:val="single" w:sz="4" w:space="0" w:color="auto"/>
            </w:tcBorders>
            <w:shd w:val="clear" w:color="auto" w:fill="auto"/>
            <w:vAlign w:val="center"/>
            <w:hideMark/>
          </w:tcPr>
          <w:p w14:paraId="0D23CD0C" w14:textId="77777777" w:rsidR="000D6E36" w:rsidRPr="002C4B68" w:rsidRDefault="000D6E36" w:rsidP="000D6E36">
            <w:pPr>
              <w:jc w:val="both"/>
              <w:rPr>
                <w:rFonts w:eastAsia="Times New Roman"/>
                <w:color w:val="000000" w:themeColor="text1"/>
                <w:sz w:val="22"/>
                <w:szCs w:val="22"/>
              </w:rPr>
            </w:pPr>
            <w:r w:rsidRPr="002C4B68">
              <w:rPr>
                <w:rFonts w:eastAsia="Times New Roman"/>
                <w:color w:val="000000" w:themeColor="text1"/>
                <w:sz w:val="22"/>
                <w:szCs w:val="22"/>
              </w:rPr>
              <w:t>I evaluate progress on the strategic plan and make necessary course corrections.</w:t>
            </w:r>
          </w:p>
        </w:tc>
        <w:tc>
          <w:tcPr>
            <w:tcW w:w="700" w:type="pct"/>
            <w:tcBorders>
              <w:bottom w:val="single" w:sz="4" w:space="0" w:color="auto"/>
            </w:tcBorders>
            <w:shd w:val="clear" w:color="auto" w:fill="auto"/>
            <w:vAlign w:val="center"/>
            <w:hideMark/>
          </w:tcPr>
          <w:p w14:paraId="317DF251"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3.63</w:t>
            </w:r>
          </w:p>
        </w:tc>
        <w:tc>
          <w:tcPr>
            <w:tcW w:w="1147" w:type="pct"/>
            <w:tcBorders>
              <w:bottom w:val="single" w:sz="4" w:space="0" w:color="auto"/>
            </w:tcBorders>
            <w:shd w:val="clear" w:color="auto" w:fill="auto"/>
            <w:vAlign w:val="center"/>
            <w:hideMark/>
          </w:tcPr>
          <w:p w14:paraId="47C5E6AA" w14:textId="77777777" w:rsidR="000D6E36" w:rsidRPr="002C4B68" w:rsidRDefault="000D6E36" w:rsidP="000D6E36">
            <w:pPr>
              <w:jc w:val="center"/>
              <w:rPr>
                <w:rFonts w:eastAsia="Times New Roman"/>
                <w:color w:val="000000" w:themeColor="text1"/>
                <w:sz w:val="22"/>
                <w:szCs w:val="22"/>
              </w:rPr>
            </w:pPr>
            <w:r w:rsidRPr="002C4B68">
              <w:rPr>
                <w:rFonts w:eastAsia="Times New Roman"/>
                <w:color w:val="000000" w:themeColor="text1"/>
                <w:sz w:val="22"/>
                <w:szCs w:val="22"/>
              </w:rPr>
              <w:t>Good</w:t>
            </w:r>
          </w:p>
        </w:tc>
      </w:tr>
      <w:tr w:rsidR="002C4B68" w:rsidRPr="002C4B68" w14:paraId="566EE7B5" w14:textId="77777777" w:rsidTr="00C26FCE">
        <w:trPr>
          <w:trHeight w:val="377"/>
        </w:trPr>
        <w:tc>
          <w:tcPr>
            <w:tcW w:w="3153" w:type="pct"/>
            <w:tcBorders>
              <w:top w:val="single" w:sz="4" w:space="0" w:color="auto"/>
              <w:bottom w:val="single" w:sz="4" w:space="0" w:color="auto"/>
            </w:tcBorders>
            <w:shd w:val="clear" w:color="auto" w:fill="D9D9D9" w:themeFill="background1" w:themeFillShade="D9"/>
            <w:vAlign w:val="center"/>
          </w:tcPr>
          <w:p w14:paraId="397D0624" w14:textId="77777777" w:rsidR="000D6E36" w:rsidRPr="002C4B68" w:rsidRDefault="000D6E36" w:rsidP="000D6E36">
            <w:pPr>
              <w:jc w:val="right"/>
              <w:rPr>
                <w:rFonts w:eastAsia="Times New Roman"/>
                <w:b/>
                <w:bCs/>
                <w:color w:val="000000" w:themeColor="text1"/>
              </w:rPr>
            </w:pPr>
            <w:r w:rsidRPr="002C4B68">
              <w:rPr>
                <w:rFonts w:eastAsia="Times New Roman"/>
                <w:b/>
                <w:bCs/>
                <w:color w:val="000000" w:themeColor="text1"/>
              </w:rPr>
              <w:t>Grand Mean</w:t>
            </w:r>
          </w:p>
        </w:tc>
        <w:tc>
          <w:tcPr>
            <w:tcW w:w="700" w:type="pct"/>
            <w:tcBorders>
              <w:top w:val="single" w:sz="4" w:space="0" w:color="auto"/>
              <w:bottom w:val="single" w:sz="4" w:space="0" w:color="auto"/>
            </w:tcBorders>
            <w:shd w:val="clear" w:color="auto" w:fill="D9D9D9" w:themeFill="background1" w:themeFillShade="D9"/>
            <w:vAlign w:val="center"/>
          </w:tcPr>
          <w:p w14:paraId="0C615E4F" w14:textId="77777777" w:rsidR="000D6E36" w:rsidRPr="002C4B68" w:rsidRDefault="000D6E36" w:rsidP="000D6E36">
            <w:pPr>
              <w:jc w:val="center"/>
              <w:rPr>
                <w:rFonts w:eastAsia="Times New Roman"/>
                <w:b/>
                <w:bCs/>
                <w:color w:val="000000" w:themeColor="text1"/>
              </w:rPr>
            </w:pPr>
            <w:r w:rsidRPr="002C4B68">
              <w:rPr>
                <w:rFonts w:eastAsia="Times New Roman"/>
                <w:b/>
                <w:bCs/>
                <w:color w:val="000000" w:themeColor="text1"/>
              </w:rPr>
              <w:t>4.18</w:t>
            </w:r>
          </w:p>
        </w:tc>
        <w:tc>
          <w:tcPr>
            <w:tcW w:w="1147" w:type="pct"/>
            <w:tcBorders>
              <w:top w:val="single" w:sz="4" w:space="0" w:color="auto"/>
              <w:bottom w:val="single" w:sz="4" w:space="0" w:color="auto"/>
            </w:tcBorders>
            <w:shd w:val="clear" w:color="auto" w:fill="D9D9D9" w:themeFill="background1" w:themeFillShade="D9"/>
            <w:vAlign w:val="center"/>
          </w:tcPr>
          <w:p w14:paraId="0E6BBE44" w14:textId="77777777" w:rsidR="000D6E36" w:rsidRPr="002C4B68" w:rsidRDefault="000D6E36" w:rsidP="000D6E36">
            <w:pPr>
              <w:jc w:val="center"/>
              <w:rPr>
                <w:rFonts w:eastAsia="Times New Roman"/>
                <w:b/>
                <w:bCs/>
                <w:color w:val="000000" w:themeColor="text1"/>
              </w:rPr>
            </w:pPr>
            <w:r w:rsidRPr="002C4B68">
              <w:rPr>
                <w:rFonts w:eastAsia="Times New Roman"/>
                <w:b/>
                <w:bCs/>
                <w:color w:val="000000" w:themeColor="text1"/>
              </w:rPr>
              <w:t>Good</w:t>
            </w:r>
          </w:p>
        </w:tc>
      </w:tr>
    </w:tbl>
    <w:p w14:paraId="77BBDCA6" w14:textId="77777777" w:rsidR="00483663" w:rsidRPr="002C4B68" w:rsidRDefault="00483663" w:rsidP="00483663">
      <w:pPr>
        <w:rPr>
          <w:color w:val="000000" w:themeColor="text1"/>
        </w:rPr>
      </w:pPr>
    </w:p>
    <w:p w14:paraId="7D0CBA99" w14:textId="77777777" w:rsidR="00C26FCE" w:rsidRPr="002C4B68" w:rsidRDefault="00C26FCE" w:rsidP="005E4427">
      <w:pPr>
        <w:jc w:val="both"/>
        <w:rPr>
          <w:color w:val="000000" w:themeColor="text1"/>
        </w:rPr>
      </w:pPr>
    </w:p>
    <w:p w14:paraId="6C5F67CE" w14:textId="43ACA3C0" w:rsidR="005E4427" w:rsidRPr="002C4B68" w:rsidRDefault="00A52A3D" w:rsidP="005E4427">
      <w:pPr>
        <w:ind w:firstLine="720"/>
        <w:jc w:val="both"/>
        <w:rPr>
          <w:rFonts w:eastAsia="Times New Roman"/>
          <w:color w:val="000000" w:themeColor="text1"/>
        </w:rPr>
      </w:pPr>
      <w:r w:rsidRPr="002C4B68">
        <w:rPr>
          <w:rFonts w:eastAsia="Times New Roman"/>
          <w:color w:val="000000" w:themeColor="text1"/>
        </w:rPr>
        <w:t>Table 2 presented</w:t>
      </w:r>
      <w:r w:rsidR="005E4427" w:rsidRPr="002C4B68">
        <w:rPr>
          <w:rFonts w:eastAsia="Times New Roman"/>
          <w:color w:val="000000" w:themeColor="text1"/>
        </w:rPr>
        <w:t xml:space="preserve"> the digital literacy of faculty members in the University of Eastern Philippines (UEP) System, measured through indicators aligned with the ISTE Standards for Educators. The results show</w:t>
      </w:r>
      <w:r w:rsidR="00DD7148" w:rsidRPr="002C4B68">
        <w:rPr>
          <w:rFonts w:eastAsia="Times New Roman"/>
          <w:color w:val="000000" w:themeColor="text1"/>
        </w:rPr>
        <w:t>n</w:t>
      </w:r>
      <w:r w:rsidR="005E4427" w:rsidRPr="002C4B68">
        <w:rPr>
          <w:rFonts w:eastAsia="Times New Roman"/>
          <w:color w:val="000000" w:themeColor="text1"/>
        </w:rPr>
        <w:t xml:space="preserve"> an overall </w:t>
      </w:r>
      <w:r w:rsidR="005E4427" w:rsidRPr="002C4B68">
        <w:rPr>
          <w:rFonts w:eastAsia="Times New Roman"/>
          <w:bCs/>
          <w:color w:val="000000" w:themeColor="text1"/>
        </w:rPr>
        <w:t>Grand Mean of 3.90</w:t>
      </w:r>
      <w:r w:rsidR="005E4427" w:rsidRPr="002C4B68">
        <w:rPr>
          <w:rFonts w:eastAsia="Times New Roman"/>
          <w:color w:val="000000" w:themeColor="text1"/>
        </w:rPr>
        <w:t xml:space="preserve">, interpreted as </w:t>
      </w:r>
      <w:r w:rsidR="005E4427" w:rsidRPr="002C4B68">
        <w:rPr>
          <w:rFonts w:eastAsia="Times New Roman"/>
          <w:bCs/>
          <w:color w:val="000000" w:themeColor="text1"/>
        </w:rPr>
        <w:t>Proficient</w:t>
      </w:r>
      <w:r w:rsidR="005E4427" w:rsidRPr="002C4B68">
        <w:rPr>
          <w:rFonts w:eastAsia="Times New Roman"/>
          <w:color w:val="000000" w:themeColor="text1"/>
        </w:rPr>
        <w:t xml:space="preserve">, indicating that faculty members generally demonstrate competence in integrating technology into their teaching practices. Notably, the highest-rated competencies include </w:t>
      </w:r>
      <w:r w:rsidR="005E4427" w:rsidRPr="002C4B68">
        <w:rPr>
          <w:rFonts w:eastAsia="Times New Roman"/>
          <w:bCs/>
          <w:color w:val="000000" w:themeColor="text1"/>
        </w:rPr>
        <w:t>collaborating and co-learning with students to use digital resources (4.14)</w:t>
      </w:r>
      <w:r w:rsidR="005E4427" w:rsidRPr="002C4B68">
        <w:rPr>
          <w:rFonts w:eastAsia="Times New Roman"/>
          <w:color w:val="000000" w:themeColor="text1"/>
        </w:rPr>
        <w:t xml:space="preserve">, </w:t>
      </w:r>
      <w:r w:rsidR="005E4427" w:rsidRPr="002C4B68">
        <w:rPr>
          <w:rFonts w:eastAsia="Times New Roman"/>
          <w:bCs/>
          <w:color w:val="000000" w:themeColor="text1"/>
        </w:rPr>
        <w:t>providing timely feedback (4.12)</w:t>
      </w:r>
      <w:r w:rsidR="005E4427" w:rsidRPr="002C4B68">
        <w:rPr>
          <w:rFonts w:eastAsia="Times New Roman"/>
          <w:color w:val="000000" w:themeColor="text1"/>
        </w:rPr>
        <w:t xml:space="preserve">, and </w:t>
      </w:r>
      <w:r w:rsidR="005E4427" w:rsidRPr="002C4B68">
        <w:rPr>
          <w:rFonts w:eastAsia="Times New Roman"/>
          <w:bCs/>
          <w:color w:val="000000" w:themeColor="text1"/>
        </w:rPr>
        <w:t>fostering digital literacy through critical evaluation of digital resources (4.09)</w:t>
      </w:r>
      <w:r w:rsidR="005E4427" w:rsidRPr="002C4B68">
        <w:rPr>
          <w:rFonts w:eastAsia="Times New Roman"/>
          <w:color w:val="000000" w:themeColor="text1"/>
        </w:rPr>
        <w:t>. These results reflect</w:t>
      </w:r>
      <w:r w:rsidR="00DD7148" w:rsidRPr="002C4B68">
        <w:rPr>
          <w:rFonts w:eastAsia="Times New Roman"/>
          <w:color w:val="000000" w:themeColor="text1"/>
        </w:rPr>
        <w:t>ed</w:t>
      </w:r>
      <w:r w:rsidR="005E4427" w:rsidRPr="002C4B68">
        <w:rPr>
          <w:rFonts w:eastAsia="Times New Roman"/>
          <w:color w:val="000000" w:themeColor="text1"/>
        </w:rPr>
        <w:t xml:space="preserve"> current global trends where collaborative learning and formative assessment are emphasized as key components of digital pedagogy</w:t>
      </w:r>
      <w:r w:rsidR="00445A30">
        <w:rPr>
          <w:rFonts w:eastAsia="Times New Roman"/>
          <w:color w:val="000000" w:themeColor="text1"/>
        </w:rPr>
        <w:t xml:space="preserve"> (Tondeur et al., 2016</w:t>
      </w:r>
      <w:r w:rsidR="005E4427" w:rsidRPr="002C4B68">
        <w:rPr>
          <w:rFonts w:eastAsia="Times New Roman"/>
          <w:color w:val="000000" w:themeColor="text1"/>
        </w:rPr>
        <w:t>). Faculty members’ proficiency in these areas suggests an active commitment to promoting meaningful and student-centered learning experiences through technology.</w:t>
      </w:r>
    </w:p>
    <w:p w14:paraId="231E3D27" w14:textId="77777777" w:rsidR="005E4427" w:rsidRPr="002C4B68" w:rsidRDefault="005E4427" w:rsidP="005E4427">
      <w:pPr>
        <w:ind w:firstLine="720"/>
        <w:jc w:val="both"/>
        <w:rPr>
          <w:rFonts w:eastAsia="Times New Roman"/>
          <w:color w:val="000000" w:themeColor="text1"/>
        </w:rPr>
      </w:pPr>
    </w:p>
    <w:p w14:paraId="5A1CC99F" w14:textId="0D7E7D57" w:rsidR="005E4427" w:rsidRPr="002C4B68" w:rsidRDefault="005E4427" w:rsidP="005E4427">
      <w:pPr>
        <w:ind w:firstLine="720"/>
        <w:jc w:val="both"/>
        <w:rPr>
          <w:rFonts w:eastAsia="Times New Roman"/>
          <w:color w:val="000000" w:themeColor="text1"/>
        </w:rPr>
      </w:pPr>
      <w:r w:rsidRPr="002C4B68">
        <w:rPr>
          <w:rFonts w:eastAsia="Times New Roman"/>
          <w:color w:val="000000" w:themeColor="text1"/>
        </w:rPr>
        <w:t>However, certain areas reveal</w:t>
      </w:r>
      <w:r w:rsidR="00DD7148" w:rsidRPr="002C4B68">
        <w:rPr>
          <w:rFonts w:eastAsia="Times New Roman"/>
          <w:color w:val="000000" w:themeColor="text1"/>
        </w:rPr>
        <w:t>ed</w:t>
      </w:r>
      <w:r w:rsidRPr="002C4B68">
        <w:rPr>
          <w:rFonts w:eastAsia="Times New Roman"/>
          <w:color w:val="000000" w:themeColor="text1"/>
        </w:rPr>
        <w:t xml:space="preserve"> opportunities fo</w:t>
      </w:r>
      <w:r w:rsidR="00DD7148" w:rsidRPr="002C4B68">
        <w:rPr>
          <w:rFonts w:eastAsia="Times New Roman"/>
          <w:color w:val="000000" w:themeColor="text1"/>
        </w:rPr>
        <w:t xml:space="preserve">r growth. The lowest-rated item, </w:t>
      </w:r>
      <w:r w:rsidRPr="002C4B68">
        <w:rPr>
          <w:rFonts w:eastAsia="Times New Roman"/>
          <w:bCs/>
          <w:color w:val="000000" w:themeColor="text1"/>
        </w:rPr>
        <w:t>diagnosing and troubleshooting technology issues (3.22, Developing)</w:t>
      </w:r>
      <w:r w:rsidR="00DD7148" w:rsidRPr="002C4B68">
        <w:rPr>
          <w:rFonts w:eastAsia="Times New Roman"/>
          <w:color w:val="000000" w:themeColor="text1"/>
        </w:rPr>
        <w:t xml:space="preserve">, </w:t>
      </w:r>
      <w:r w:rsidRPr="002C4B68">
        <w:rPr>
          <w:rFonts w:eastAsia="Times New Roman"/>
          <w:color w:val="000000" w:themeColor="text1"/>
        </w:rPr>
        <w:t>indicates a persistent gap in technical self-efficacy, a challenge echoed in the literature (Howard et al., 2021). Teachers often face difficulties in independently resolving technical problems, which can hinder the smooth integration of digi</w:t>
      </w:r>
      <w:r w:rsidR="00445A30">
        <w:rPr>
          <w:rFonts w:eastAsia="Times New Roman"/>
          <w:color w:val="000000" w:themeColor="text1"/>
        </w:rPr>
        <w:t>tal tools (Olofsson et al., 2019</w:t>
      </w:r>
      <w:r w:rsidRPr="002C4B68">
        <w:rPr>
          <w:rFonts w:eastAsia="Times New Roman"/>
          <w:color w:val="000000" w:themeColor="text1"/>
        </w:rPr>
        <w:t>). Similarly, competencies related to designing innovative learning activities, fostering computational thinking, and leveraging global collaboration tools received relatively lower ratings (3.66–3.75), consistent with findings from Moradi (2025), who reported that many educators still struggle with applying advanced pedagogical uses of technology. This pattern suggests that while basic and intermediate digital competencies are well established, more complex and innovative uses of technology require further professional development.</w:t>
      </w:r>
    </w:p>
    <w:p w14:paraId="1D6FCB68" w14:textId="77777777" w:rsidR="005E4427" w:rsidRPr="002C4B68" w:rsidRDefault="005E4427" w:rsidP="005E4427">
      <w:pPr>
        <w:jc w:val="both"/>
        <w:rPr>
          <w:rFonts w:eastAsia="Times New Roman"/>
          <w:color w:val="000000" w:themeColor="text1"/>
        </w:rPr>
      </w:pPr>
    </w:p>
    <w:p w14:paraId="64DB04CF" w14:textId="0B35E753" w:rsidR="005E4427" w:rsidRPr="002C4B68" w:rsidRDefault="005E4427" w:rsidP="005E4427">
      <w:pPr>
        <w:ind w:firstLine="720"/>
        <w:jc w:val="both"/>
        <w:rPr>
          <w:rFonts w:eastAsia="Times New Roman"/>
          <w:color w:val="000000" w:themeColor="text1"/>
        </w:rPr>
      </w:pPr>
      <w:r w:rsidRPr="002C4B68">
        <w:rPr>
          <w:rFonts w:eastAsia="Times New Roman"/>
          <w:color w:val="000000" w:themeColor="text1"/>
        </w:rPr>
        <w:t xml:space="preserve">The overall findings align with broader research indicating that </w:t>
      </w:r>
      <w:r w:rsidRPr="002C4B68">
        <w:rPr>
          <w:rFonts w:eastAsia="Times New Roman"/>
          <w:bCs/>
          <w:color w:val="000000" w:themeColor="text1"/>
        </w:rPr>
        <w:t>faculty digital literacy is dynamic and evolving</w:t>
      </w:r>
      <w:r w:rsidRPr="002C4B68">
        <w:rPr>
          <w:rFonts w:eastAsia="Times New Roman"/>
          <w:color w:val="000000" w:themeColor="text1"/>
        </w:rPr>
        <w:t>, driven by individual motivation, institutional support, and leadership practices (Trust &amp; Wh</w:t>
      </w:r>
      <w:r w:rsidR="00445A30">
        <w:rPr>
          <w:rFonts w:eastAsia="Times New Roman"/>
          <w:color w:val="000000" w:themeColor="text1"/>
        </w:rPr>
        <w:t>alen, 2020; Tondeur et al., 2016</w:t>
      </w:r>
      <w:r w:rsidRPr="002C4B68">
        <w:rPr>
          <w:rFonts w:eastAsia="Times New Roman"/>
          <w:color w:val="000000" w:themeColor="text1"/>
        </w:rPr>
        <w:t xml:space="preserve">). The </w:t>
      </w:r>
      <w:r w:rsidRPr="002C4B68">
        <w:rPr>
          <w:rFonts w:eastAsia="Times New Roman"/>
          <w:bCs/>
          <w:color w:val="000000" w:themeColor="text1"/>
        </w:rPr>
        <w:t>Proficient</w:t>
      </w:r>
      <w:r w:rsidRPr="002C4B68">
        <w:rPr>
          <w:rFonts w:eastAsia="Times New Roman"/>
          <w:color w:val="000000" w:themeColor="text1"/>
        </w:rPr>
        <w:t xml:space="preserve"> level achieved by UEP faculty suggests a solid foundation upon which more advanced competencies can be built. To sustain and deepen this progress, the literature emphasizes the importance of continuous professional development, collaborative learning networks, and supportive leadership structures (Ho</w:t>
      </w:r>
      <w:r w:rsidR="00445A30">
        <w:rPr>
          <w:rFonts w:eastAsia="Times New Roman"/>
          <w:color w:val="000000" w:themeColor="text1"/>
        </w:rPr>
        <w:t xml:space="preserve">ward et al., 2021; Starkey, </w:t>
      </w:r>
      <w:r w:rsidR="00445A30">
        <w:rPr>
          <w:rFonts w:eastAsia="Times New Roman"/>
          <w:color w:val="000000" w:themeColor="text1"/>
        </w:rPr>
        <w:lastRenderedPageBreak/>
        <w:t>2019</w:t>
      </w:r>
      <w:r w:rsidRPr="002C4B68">
        <w:rPr>
          <w:rFonts w:eastAsia="Times New Roman"/>
          <w:color w:val="000000" w:themeColor="text1"/>
        </w:rPr>
        <w:t>). In particular, targeted training in areas such as troubleshooting, computational thinking, and global collaboration can help bridge existing gaps. As Khan et al. (2022) highlight, fostering advanced digital literacy is essential for preparing students for the 21st-century workforce, making it imperative for institutions like UEP to strategically enhance faculty digital competencies in alignment with emerging educational demands.</w:t>
      </w:r>
    </w:p>
    <w:p w14:paraId="41546399" w14:textId="77777777" w:rsidR="00EC387C" w:rsidRPr="002C4B68" w:rsidRDefault="00EC387C" w:rsidP="00C26FCE">
      <w:pPr>
        <w:pStyle w:val="NormalWeb"/>
        <w:spacing w:before="0" w:beforeAutospacing="0" w:after="0" w:afterAutospacing="0"/>
        <w:jc w:val="center"/>
        <w:rPr>
          <w:rFonts w:ascii="Arial" w:hAnsi="Arial" w:cs="Arial"/>
          <w:b/>
          <w:color w:val="000000" w:themeColor="text1"/>
        </w:rPr>
      </w:pPr>
    </w:p>
    <w:p w14:paraId="5D7DBBB9" w14:textId="77777777" w:rsidR="00C26FCE" w:rsidRPr="002C4B68" w:rsidRDefault="00C26FCE" w:rsidP="00C26FCE">
      <w:pPr>
        <w:pStyle w:val="NormalWeb"/>
        <w:spacing w:before="0" w:beforeAutospacing="0" w:after="0" w:afterAutospacing="0"/>
        <w:jc w:val="center"/>
        <w:rPr>
          <w:rFonts w:ascii="Arial" w:hAnsi="Arial" w:cs="Arial"/>
          <w:color w:val="000000" w:themeColor="text1"/>
        </w:rPr>
      </w:pPr>
      <w:r w:rsidRPr="002C4B68">
        <w:rPr>
          <w:rFonts w:ascii="Arial" w:hAnsi="Arial" w:cs="Arial"/>
          <w:color w:val="000000" w:themeColor="text1"/>
        </w:rPr>
        <w:t>Table 2. Digital Literacy of Faculty Members</w:t>
      </w:r>
    </w:p>
    <w:p w14:paraId="3B978B90" w14:textId="77777777" w:rsidR="00C26FCE" w:rsidRPr="002C4B68" w:rsidRDefault="00C26FCE" w:rsidP="00483663">
      <w:pPr>
        <w:rPr>
          <w:color w:val="000000" w:themeColor="text1"/>
        </w:rPr>
      </w:pPr>
    </w:p>
    <w:tbl>
      <w:tblPr>
        <w:tblW w:w="5000" w:type="pct"/>
        <w:tblLayout w:type="fixed"/>
        <w:tblLook w:val="04A0" w:firstRow="1" w:lastRow="0" w:firstColumn="1" w:lastColumn="0" w:noHBand="0" w:noVBand="1"/>
      </w:tblPr>
      <w:tblGrid>
        <w:gridCol w:w="5671"/>
        <w:gridCol w:w="1350"/>
        <w:gridCol w:w="2006"/>
      </w:tblGrid>
      <w:tr w:rsidR="002C4B68" w:rsidRPr="002C4B68" w14:paraId="6DA3266E" w14:textId="77777777" w:rsidTr="0051534E">
        <w:trPr>
          <w:trHeight w:val="53"/>
        </w:trPr>
        <w:tc>
          <w:tcPr>
            <w:tcW w:w="3141" w:type="pct"/>
            <w:tcBorders>
              <w:top w:val="single" w:sz="4" w:space="0" w:color="auto"/>
              <w:left w:val="nil"/>
              <w:bottom w:val="single" w:sz="4" w:space="0" w:color="auto"/>
              <w:right w:val="nil"/>
            </w:tcBorders>
            <w:shd w:val="clear" w:color="000000" w:fill="D9D9D9"/>
            <w:noWrap/>
            <w:vAlign w:val="center"/>
            <w:hideMark/>
          </w:tcPr>
          <w:p w14:paraId="3FD1E79B" w14:textId="77777777" w:rsidR="00C26FCE" w:rsidRPr="002C4B68" w:rsidRDefault="00C26FCE"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Digital Literacy</w:t>
            </w:r>
          </w:p>
        </w:tc>
        <w:tc>
          <w:tcPr>
            <w:tcW w:w="748" w:type="pct"/>
            <w:tcBorders>
              <w:top w:val="single" w:sz="4" w:space="0" w:color="auto"/>
              <w:left w:val="nil"/>
              <w:bottom w:val="single" w:sz="4" w:space="0" w:color="auto"/>
              <w:right w:val="nil"/>
            </w:tcBorders>
            <w:shd w:val="clear" w:color="000000" w:fill="D9D9D9"/>
            <w:noWrap/>
            <w:vAlign w:val="center"/>
            <w:hideMark/>
          </w:tcPr>
          <w:p w14:paraId="72AF0C68" w14:textId="77777777" w:rsidR="00C26FCE" w:rsidRPr="002C4B68" w:rsidRDefault="00C26FCE"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Weighted Mean</w:t>
            </w:r>
          </w:p>
        </w:tc>
        <w:tc>
          <w:tcPr>
            <w:tcW w:w="1112" w:type="pct"/>
            <w:tcBorders>
              <w:top w:val="single" w:sz="4" w:space="0" w:color="auto"/>
              <w:left w:val="nil"/>
              <w:bottom w:val="single" w:sz="4" w:space="0" w:color="auto"/>
              <w:right w:val="nil"/>
            </w:tcBorders>
            <w:shd w:val="clear" w:color="000000" w:fill="D9D9D9"/>
            <w:noWrap/>
            <w:vAlign w:val="center"/>
            <w:hideMark/>
          </w:tcPr>
          <w:p w14:paraId="407BEF96" w14:textId="77777777" w:rsidR="00C26FCE" w:rsidRPr="002C4B68" w:rsidRDefault="00C26FCE"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Interpretation</w:t>
            </w:r>
          </w:p>
        </w:tc>
      </w:tr>
      <w:tr w:rsidR="002C4B68" w:rsidRPr="002C4B68" w14:paraId="617D5972" w14:textId="77777777" w:rsidTr="00C26FCE">
        <w:trPr>
          <w:trHeight w:val="341"/>
        </w:trPr>
        <w:tc>
          <w:tcPr>
            <w:tcW w:w="3141" w:type="pct"/>
            <w:tcBorders>
              <w:top w:val="nil"/>
              <w:left w:val="nil"/>
              <w:bottom w:val="nil"/>
              <w:right w:val="nil"/>
            </w:tcBorders>
            <w:shd w:val="clear" w:color="auto" w:fill="auto"/>
            <w:vAlign w:val="center"/>
            <w:hideMark/>
          </w:tcPr>
          <w:p w14:paraId="27063B1B"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collaborate and co-learn with students to discover and use new digital resources.</w:t>
            </w:r>
          </w:p>
        </w:tc>
        <w:tc>
          <w:tcPr>
            <w:tcW w:w="748" w:type="pct"/>
            <w:tcBorders>
              <w:top w:val="nil"/>
              <w:left w:val="nil"/>
              <w:bottom w:val="nil"/>
              <w:right w:val="nil"/>
            </w:tcBorders>
            <w:shd w:val="clear" w:color="auto" w:fill="auto"/>
            <w:noWrap/>
            <w:vAlign w:val="center"/>
            <w:hideMark/>
          </w:tcPr>
          <w:p w14:paraId="35163913"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4.14</w:t>
            </w:r>
          </w:p>
        </w:tc>
        <w:tc>
          <w:tcPr>
            <w:tcW w:w="1112" w:type="pct"/>
            <w:tcBorders>
              <w:top w:val="nil"/>
              <w:left w:val="nil"/>
              <w:bottom w:val="nil"/>
              <w:right w:val="nil"/>
            </w:tcBorders>
            <w:shd w:val="clear" w:color="auto" w:fill="auto"/>
            <w:vAlign w:val="center"/>
            <w:hideMark/>
          </w:tcPr>
          <w:p w14:paraId="30986592"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5431F39E" w14:textId="77777777" w:rsidTr="00C26FCE">
        <w:trPr>
          <w:trHeight w:val="660"/>
        </w:trPr>
        <w:tc>
          <w:tcPr>
            <w:tcW w:w="3141" w:type="pct"/>
            <w:tcBorders>
              <w:top w:val="nil"/>
              <w:left w:val="nil"/>
              <w:bottom w:val="nil"/>
              <w:right w:val="nil"/>
            </w:tcBorders>
            <w:shd w:val="clear" w:color="auto" w:fill="auto"/>
            <w:vAlign w:val="center"/>
            <w:hideMark/>
          </w:tcPr>
          <w:p w14:paraId="20DD483A"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provide timely feedback to students and inform instruction.</w:t>
            </w:r>
          </w:p>
        </w:tc>
        <w:tc>
          <w:tcPr>
            <w:tcW w:w="748" w:type="pct"/>
            <w:tcBorders>
              <w:top w:val="nil"/>
              <w:left w:val="nil"/>
              <w:bottom w:val="nil"/>
              <w:right w:val="nil"/>
            </w:tcBorders>
            <w:shd w:val="clear" w:color="auto" w:fill="auto"/>
            <w:noWrap/>
            <w:vAlign w:val="center"/>
            <w:hideMark/>
          </w:tcPr>
          <w:p w14:paraId="64289C6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4.12</w:t>
            </w:r>
          </w:p>
        </w:tc>
        <w:tc>
          <w:tcPr>
            <w:tcW w:w="1112" w:type="pct"/>
            <w:tcBorders>
              <w:top w:val="nil"/>
              <w:left w:val="nil"/>
              <w:bottom w:val="nil"/>
              <w:right w:val="nil"/>
            </w:tcBorders>
            <w:shd w:val="clear" w:color="auto" w:fill="auto"/>
            <w:vAlign w:val="center"/>
            <w:hideMark/>
          </w:tcPr>
          <w:p w14:paraId="05060D1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67E5A2A9" w14:textId="77777777" w:rsidTr="00C26FCE">
        <w:trPr>
          <w:trHeight w:val="70"/>
        </w:trPr>
        <w:tc>
          <w:tcPr>
            <w:tcW w:w="3141" w:type="pct"/>
            <w:tcBorders>
              <w:top w:val="nil"/>
              <w:left w:val="nil"/>
              <w:bottom w:val="nil"/>
              <w:right w:val="nil"/>
            </w:tcBorders>
            <w:shd w:val="clear" w:color="auto" w:fill="auto"/>
            <w:vAlign w:val="center"/>
            <w:hideMark/>
          </w:tcPr>
          <w:p w14:paraId="1B5BC553"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foster digital literacy by encouraging curiosity, reflection, and the critical evaluation of digital resources.</w:t>
            </w:r>
          </w:p>
        </w:tc>
        <w:tc>
          <w:tcPr>
            <w:tcW w:w="748" w:type="pct"/>
            <w:tcBorders>
              <w:top w:val="nil"/>
              <w:left w:val="nil"/>
              <w:bottom w:val="nil"/>
              <w:right w:val="nil"/>
            </w:tcBorders>
            <w:shd w:val="clear" w:color="auto" w:fill="auto"/>
            <w:noWrap/>
            <w:vAlign w:val="center"/>
            <w:hideMark/>
          </w:tcPr>
          <w:p w14:paraId="2AADBB39"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4.09</w:t>
            </w:r>
          </w:p>
        </w:tc>
        <w:tc>
          <w:tcPr>
            <w:tcW w:w="1112" w:type="pct"/>
            <w:tcBorders>
              <w:top w:val="nil"/>
              <w:left w:val="nil"/>
              <w:bottom w:val="nil"/>
              <w:right w:val="nil"/>
            </w:tcBorders>
            <w:shd w:val="clear" w:color="auto" w:fill="auto"/>
            <w:vAlign w:val="center"/>
            <w:hideMark/>
          </w:tcPr>
          <w:p w14:paraId="65F44AC7"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6C56696E" w14:textId="77777777" w:rsidTr="00C26FCE">
        <w:trPr>
          <w:trHeight w:val="70"/>
        </w:trPr>
        <w:tc>
          <w:tcPr>
            <w:tcW w:w="3141" w:type="pct"/>
            <w:tcBorders>
              <w:top w:val="nil"/>
              <w:left w:val="nil"/>
              <w:bottom w:val="nil"/>
              <w:right w:val="nil"/>
            </w:tcBorders>
            <w:shd w:val="clear" w:color="auto" w:fill="auto"/>
            <w:vAlign w:val="center"/>
            <w:hideMark/>
          </w:tcPr>
          <w:p w14:paraId="6F9E1C96"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set professional learning goals to apply teaching practices made possible by technology.</w:t>
            </w:r>
          </w:p>
        </w:tc>
        <w:tc>
          <w:tcPr>
            <w:tcW w:w="748" w:type="pct"/>
            <w:tcBorders>
              <w:top w:val="nil"/>
              <w:left w:val="nil"/>
              <w:bottom w:val="nil"/>
              <w:right w:val="nil"/>
            </w:tcBorders>
            <w:shd w:val="clear" w:color="auto" w:fill="auto"/>
            <w:noWrap/>
            <w:vAlign w:val="center"/>
            <w:hideMark/>
          </w:tcPr>
          <w:p w14:paraId="1FBB959D"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1112" w:type="pct"/>
            <w:tcBorders>
              <w:top w:val="nil"/>
              <w:left w:val="nil"/>
              <w:bottom w:val="nil"/>
              <w:right w:val="nil"/>
            </w:tcBorders>
            <w:shd w:val="clear" w:color="auto" w:fill="auto"/>
            <w:vAlign w:val="center"/>
            <w:hideMark/>
          </w:tcPr>
          <w:p w14:paraId="7A6769E5"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4DDB199D" w14:textId="77777777" w:rsidTr="00C26FCE">
        <w:trPr>
          <w:trHeight w:val="855"/>
        </w:trPr>
        <w:tc>
          <w:tcPr>
            <w:tcW w:w="3141" w:type="pct"/>
            <w:tcBorders>
              <w:top w:val="nil"/>
              <w:left w:val="nil"/>
              <w:bottom w:val="nil"/>
              <w:right w:val="nil"/>
            </w:tcBorders>
            <w:shd w:val="clear" w:color="auto" w:fill="auto"/>
            <w:vAlign w:val="center"/>
            <w:hideMark/>
          </w:tcPr>
          <w:p w14:paraId="4A1788E3"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create experiences for learners to make positive, socially responsible contributions and build inclusive communities online.</w:t>
            </w:r>
          </w:p>
        </w:tc>
        <w:tc>
          <w:tcPr>
            <w:tcW w:w="748" w:type="pct"/>
            <w:tcBorders>
              <w:top w:val="nil"/>
              <w:left w:val="nil"/>
              <w:bottom w:val="nil"/>
              <w:right w:val="nil"/>
            </w:tcBorders>
            <w:shd w:val="clear" w:color="auto" w:fill="auto"/>
            <w:noWrap/>
            <w:vAlign w:val="center"/>
            <w:hideMark/>
          </w:tcPr>
          <w:p w14:paraId="03EB43E9"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1112" w:type="pct"/>
            <w:tcBorders>
              <w:top w:val="nil"/>
              <w:left w:val="nil"/>
              <w:bottom w:val="nil"/>
              <w:right w:val="nil"/>
            </w:tcBorders>
            <w:shd w:val="clear" w:color="auto" w:fill="auto"/>
            <w:vAlign w:val="center"/>
            <w:hideMark/>
          </w:tcPr>
          <w:p w14:paraId="7398F425"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6269120" w14:textId="77777777" w:rsidTr="00C26FCE">
        <w:trPr>
          <w:trHeight w:val="855"/>
        </w:trPr>
        <w:tc>
          <w:tcPr>
            <w:tcW w:w="3141" w:type="pct"/>
            <w:tcBorders>
              <w:top w:val="nil"/>
              <w:left w:val="nil"/>
              <w:bottom w:val="nil"/>
              <w:right w:val="nil"/>
            </w:tcBorders>
            <w:shd w:val="clear" w:color="auto" w:fill="auto"/>
            <w:noWrap/>
            <w:vAlign w:val="center"/>
            <w:hideMark/>
          </w:tcPr>
          <w:p w14:paraId="697284B5"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advocate for equitable access to technology, high-quality digital content, and learning opportunities to meet the diverse needs of all students.</w:t>
            </w:r>
          </w:p>
        </w:tc>
        <w:tc>
          <w:tcPr>
            <w:tcW w:w="748" w:type="pct"/>
            <w:tcBorders>
              <w:top w:val="nil"/>
              <w:left w:val="nil"/>
              <w:bottom w:val="nil"/>
              <w:right w:val="nil"/>
            </w:tcBorders>
            <w:shd w:val="clear" w:color="auto" w:fill="auto"/>
            <w:noWrap/>
            <w:vAlign w:val="center"/>
            <w:hideMark/>
          </w:tcPr>
          <w:p w14:paraId="695A0A70"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4.06</w:t>
            </w:r>
          </w:p>
        </w:tc>
        <w:tc>
          <w:tcPr>
            <w:tcW w:w="1112" w:type="pct"/>
            <w:tcBorders>
              <w:top w:val="nil"/>
              <w:left w:val="nil"/>
              <w:bottom w:val="nil"/>
              <w:right w:val="nil"/>
            </w:tcBorders>
            <w:shd w:val="clear" w:color="auto" w:fill="auto"/>
            <w:vAlign w:val="center"/>
            <w:hideMark/>
          </w:tcPr>
          <w:p w14:paraId="3E4F601A"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30D3B78E" w14:textId="77777777" w:rsidTr="00C26FCE">
        <w:trPr>
          <w:trHeight w:val="570"/>
        </w:trPr>
        <w:tc>
          <w:tcPr>
            <w:tcW w:w="3141" w:type="pct"/>
            <w:tcBorders>
              <w:top w:val="nil"/>
              <w:left w:val="nil"/>
              <w:bottom w:val="nil"/>
              <w:right w:val="nil"/>
            </w:tcBorders>
            <w:shd w:val="clear" w:color="auto" w:fill="auto"/>
            <w:vAlign w:val="center"/>
            <w:hideMark/>
          </w:tcPr>
          <w:p w14:paraId="109A3DA3"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mentor students in safe, legal, and ethical practices with digital tools and content.</w:t>
            </w:r>
          </w:p>
        </w:tc>
        <w:tc>
          <w:tcPr>
            <w:tcW w:w="748" w:type="pct"/>
            <w:tcBorders>
              <w:top w:val="nil"/>
              <w:left w:val="nil"/>
              <w:bottom w:val="nil"/>
              <w:right w:val="nil"/>
            </w:tcBorders>
            <w:shd w:val="clear" w:color="auto" w:fill="auto"/>
            <w:noWrap/>
            <w:vAlign w:val="center"/>
            <w:hideMark/>
          </w:tcPr>
          <w:p w14:paraId="083B54DC"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4.03</w:t>
            </w:r>
          </w:p>
        </w:tc>
        <w:tc>
          <w:tcPr>
            <w:tcW w:w="1112" w:type="pct"/>
            <w:tcBorders>
              <w:top w:val="nil"/>
              <w:left w:val="nil"/>
              <w:bottom w:val="nil"/>
              <w:right w:val="nil"/>
            </w:tcBorders>
            <w:shd w:val="clear" w:color="auto" w:fill="auto"/>
            <w:vAlign w:val="center"/>
            <w:hideMark/>
          </w:tcPr>
          <w:p w14:paraId="673329B3"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1D85E18C" w14:textId="77777777" w:rsidTr="00C26FCE">
        <w:trPr>
          <w:trHeight w:val="570"/>
        </w:trPr>
        <w:tc>
          <w:tcPr>
            <w:tcW w:w="3141" w:type="pct"/>
            <w:tcBorders>
              <w:top w:val="nil"/>
              <w:left w:val="nil"/>
              <w:bottom w:val="nil"/>
              <w:right w:val="nil"/>
            </w:tcBorders>
            <w:shd w:val="clear" w:color="auto" w:fill="auto"/>
            <w:vAlign w:val="center"/>
            <w:hideMark/>
          </w:tcPr>
          <w:p w14:paraId="4535A245"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manage the use of technology and student learning strategies in digital platforms and virtual environments.</w:t>
            </w:r>
          </w:p>
        </w:tc>
        <w:tc>
          <w:tcPr>
            <w:tcW w:w="748" w:type="pct"/>
            <w:tcBorders>
              <w:top w:val="nil"/>
              <w:left w:val="nil"/>
              <w:bottom w:val="nil"/>
              <w:right w:val="nil"/>
            </w:tcBorders>
            <w:shd w:val="clear" w:color="auto" w:fill="auto"/>
            <w:noWrap/>
            <w:vAlign w:val="center"/>
            <w:hideMark/>
          </w:tcPr>
          <w:p w14:paraId="359F092F"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4.01</w:t>
            </w:r>
          </w:p>
        </w:tc>
        <w:tc>
          <w:tcPr>
            <w:tcW w:w="1112" w:type="pct"/>
            <w:tcBorders>
              <w:top w:val="nil"/>
              <w:left w:val="nil"/>
              <w:bottom w:val="nil"/>
              <w:right w:val="nil"/>
            </w:tcBorders>
            <w:shd w:val="clear" w:color="auto" w:fill="auto"/>
            <w:vAlign w:val="center"/>
            <w:hideMark/>
          </w:tcPr>
          <w:p w14:paraId="31301AE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1CE2555A" w14:textId="77777777" w:rsidTr="00C26FCE">
        <w:trPr>
          <w:trHeight w:val="855"/>
        </w:trPr>
        <w:tc>
          <w:tcPr>
            <w:tcW w:w="3141" w:type="pct"/>
            <w:tcBorders>
              <w:top w:val="nil"/>
              <w:left w:val="nil"/>
              <w:bottom w:val="nil"/>
              <w:right w:val="nil"/>
            </w:tcBorders>
            <w:shd w:val="clear" w:color="auto" w:fill="auto"/>
            <w:vAlign w:val="center"/>
            <w:hideMark/>
          </w:tcPr>
          <w:p w14:paraId="342A7D78"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stay current with researches that support improved student learning outcomes, including findings from the learning sciences.</w:t>
            </w:r>
          </w:p>
        </w:tc>
        <w:tc>
          <w:tcPr>
            <w:tcW w:w="748" w:type="pct"/>
            <w:tcBorders>
              <w:top w:val="nil"/>
              <w:left w:val="nil"/>
              <w:bottom w:val="nil"/>
              <w:right w:val="nil"/>
            </w:tcBorders>
            <w:shd w:val="clear" w:color="auto" w:fill="auto"/>
            <w:noWrap/>
            <w:vAlign w:val="center"/>
            <w:hideMark/>
          </w:tcPr>
          <w:p w14:paraId="5D1C349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3.98</w:t>
            </w:r>
          </w:p>
        </w:tc>
        <w:tc>
          <w:tcPr>
            <w:tcW w:w="1112" w:type="pct"/>
            <w:tcBorders>
              <w:top w:val="nil"/>
              <w:left w:val="nil"/>
              <w:bottom w:val="nil"/>
              <w:right w:val="nil"/>
            </w:tcBorders>
            <w:shd w:val="clear" w:color="auto" w:fill="auto"/>
            <w:vAlign w:val="center"/>
            <w:hideMark/>
          </w:tcPr>
          <w:p w14:paraId="1E1B6AF1"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1E5BFCDB" w14:textId="77777777" w:rsidTr="00C26FCE">
        <w:trPr>
          <w:trHeight w:val="855"/>
        </w:trPr>
        <w:tc>
          <w:tcPr>
            <w:tcW w:w="3141" w:type="pct"/>
            <w:tcBorders>
              <w:top w:val="nil"/>
              <w:left w:val="nil"/>
              <w:bottom w:val="nil"/>
              <w:right w:val="nil"/>
            </w:tcBorders>
            <w:shd w:val="clear" w:color="auto" w:fill="auto"/>
            <w:vAlign w:val="center"/>
            <w:hideMark/>
          </w:tcPr>
          <w:p w14:paraId="31F12135"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dedicate planning time to collaborate with colleagues to create authentic learning experiences that leverage technology.</w:t>
            </w:r>
          </w:p>
        </w:tc>
        <w:tc>
          <w:tcPr>
            <w:tcW w:w="748" w:type="pct"/>
            <w:tcBorders>
              <w:top w:val="nil"/>
              <w:left w:val="nil"/>
              <w:bottom w:val="nil"/>
              <w:right w:val="nil"/>
            </w:tcBorders>
            <w:shd w:val="clear" w:color="auto" w:fill="auto"/>
            <w:noWrap/>
            <w:vAlign w:val="center"/>
            <w:hideMark/>
          </w:tcPr>
          <w:p w14:paraId="0A93BAFC"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3.98</w:t>
            </w:r>
          </w:p>
        </w:tc>
        <w:tc>
          <w:tcPr>
            <w:tcW w:w="1112" w:type="pct"/>
            <w:tcBorders>
              <w:top w:val="nil"/>
              <w:left w:val="nil"/>
              <w:bottom w:val="nil"/>
              <w:right w:val="nil"/>
            </w:tcBorders>
            <w:shd w:val="clear" w:color="auto" w:fill="auto"/>
            <w:vAlign w:val="center"/>
            <w:hideMark/>
          </w:tcPr>
          <w:p w14:paraId="60790905"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381DB7A3" w14:textId="77777777" w:rsidTr="00C26FCE">
        <w:trPr>
          <w:trHeight w:val="570"/>
        </w:trPr>
        <w:tc>
          <w:tcPr>
            <w:tcW w:w="3141" w:type="pct"/>
            <w:tcBorders>
              <w:top w:val="nil"/>
              <w:left w:val="nil"/>
              <w:bottom w:val="nil"/>
              <w:right w:val="nil"/>
            </w:tcBorders>
            <w:shd w:val="clear" w:color="auto" w:fill="auto"/>
            <w:vAlign w:val="center"/>
            <w:hideMark/>
          </w:tcPr>
          <w:p w14:paraId="4A001096"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model and promote management of personal data, digital identity, and protection of student data.</w:t>
            </w:r>
          </w:p>
        </w:tc>
        <w:tc>
          <w:tcPr>
            <w:tcW w:w="748" w:type="pct"/>
            <w:tcBorders>
              <w:top w:val="nil"/>
              <w:left w:val="nil"/>
              <w:bottom w:val="nil"/>
              <w:right w:val="nil"/>
            </w:tcBorders>
            <w:shd w:val="clear" w:color="auto" w:fill="auto"/>
            <w:noWrap/>
            <w:vAlign w:val="center"/>
            <w:hideMark/>
          </w:tcPr>
          <w:p w14:paraId="7F8918B7"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3.96</w:t>
            </w:r>
          </w:p>
        </w:tc>
        <w:tc>
          <w:tcPr>
            <w:tcW w:w="1112" w:type="pct"/>
            <w:tcBorders>
              <w:top w:val="nil"/>
              <w:left w:val="nil"/>
              <w:bottom w:val="nil"/>
              <w:right w:val="nil"/>
            </w:tcBorders>
            <w:shd w:val="clear" w:color="auto" w:fill="auto"/>
            <w:vAlign w:val="center"/>
            <w:hideMark/>
          </w:tcPr>
          <w:p w14:paraId="49861699"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2AF623FA" w14:textId="77777777" w:rsidTr="00C26FCE">
        <w:trPr>
          <w:trHeight w:val="855"/>
        </w:trPr>
        <w:tc>
          <w:tcPr>
            <w:tcW w:w="3141" w:type="pct"/>
            <w:tcBorders>
              <w:top w:val="nil"/>
              <w:left w:val="nil"/>
              <w:bottom w:val="nil"/>
              <w:right w:val="nil"/>
            </w:tcBorders>
            <w:shd w:val="clear" w:color="auto" w:fill="auto"/>
            <w:vAlign w:val="center"/>
            <w:hideMark/>
          </w:tcPr>
          <w:p w14:paraId="671AA9B3"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use technology to create, adapt and personalize learning experiences that foster independent learning and accommodate learner differences and needs.</w:t>
            </w:r>
          </w:p>
        </w:tc>
        <w:tc>
          <w:tcPr>
            <w:tcW w:w="748" w:type="pct"/>
            <w:tcBorders>
              <w:top w:val="nil"/>
              <w:left w:val="nil"/>
              <w:bottom w:val="nil"/>
              <w:right w:val="nil"/>
            </w:tcBorders>
            <w:shd w:val="clear" w:color="auto" w:fill="auto"/>
            <w:noWrap/>
            <w:vAlign w:val="center"/>
            <w:hideMark/>
          </w:tcPr>
          <w:p w14:paraId="04ED2ECB"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1112" w:type="pct"/>
            <w:tcBorders>
              <w:top w:val="nil"/>
              <w:left w:val="nil"/>
              <w:bottom w:val="nil"/>
              <w:right w:val="nil"/>
            </w:tcBorders>
            <w:shd w:val="clear" w:color="auto" w:fill="auto"/>
            <w:vAlign w:val="center"/>
            <w:hideMark/>
          </w:tcPr>
          <w:p w14:paraId="1A28D167"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B1DE28D" w14:textId="77777777" w:rsidTr="00C26FCE">
        <w:trPr>
          <w:trHeight w:val="855"/>
        </w:trPr>
        <w:tc>
          <w:tcPr>
            <w:tcW w:w="3141" w:type="pct"/>
            <w:tcBorders>
              <w:top w:val="nil"/>
              <w:left w:val="nil"/>
              <w:bottom w:val="nil"/>
              <w:right w:val="nil"/>
            </w:tcBorders>
            <w:shd w:val="clear" w:color="auto" w:fill="auto"/>
            <w:vAlign w:val="center"/>
            <w:hideMark/>
          </w:tcPr>
          <w:p w14:paraId="3FCEF334"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shape, advance and accelerate a shared vision for empowered learning with technology by engaging with education stakeholders.</w:t>
            </w:r>
          </w:p>
        </w:tc>
        <w:tc>
          <w:tcPr>
            <w:tcW w:w="748" w:type="pct"/>
            <w:tcBorders>
              <w:top w:val="nil"/>
              <w:left w:val="nil"/>
              <w:bottom w:val="nil"/>
              <w:right w:val="nil"/>
            </w:tcBorders>
            <w:shd w:val="clear" w:color="auto" w:fill="auto"/>
            <w:noWrap/>
            <w:vAlign w:val="center"/>
            <w:hideMark/>
          </w:tcPr>
          <w:p w14:paraId="0154F360"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1112" w:type="pct"/>
            <w:tcBorders>
              <w:top w:val="nil"/>
              <w:left w:val="nil"/>
              <w:bottom w:val="nil"/>
              <w:right w:val="nil"/>
            </w:tcBorders>
            <w:shd w:val="clear" w:color="auto" w:fill="auto"/>
            <w:vAlign w:val="center"/>
            <w:hideMark/>
          </w:tcPr>
          <w:p w14:paraId="3309696A"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D53A45A" w14:textId="77777777" w:rsidTr="00C26FCE">
        <w:trPr>
          <w:trHeight w:val="570"/>
        </w:trPr>
        <w:tc>
          <w:tcPr>
            <w:tcW w:w="3141" w:type="pct"/>
            <w:tcBorders>
              <w:top w:val="nil"/>
              <w:left w:val="nil"/>
              <w:bottom w:val="nil"/>
              <w:right w:val="nil"/>
            </w:tcBorders>
            <w:shd w:val="clear" w:color="auto" w:fill="auto"/>
            <w:vAlign w:val="center"/>
            <w:hideMark/>
          </w:tcPr>
          <w:p w14:paraId="1488EE70"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pursue professional interests by creating and actively participating in local and global learning networks.</w:t>
            </w:r>
          </w:p>
        </w:tc>
        <w:tc>
          <w:tcPr>
            <w:tcW w:w="748" w:type="pct"/>
            <w:tcBorders>
              <w:top w:val="nil"/>
              <w:left w:val="nil"/>
              <w:bottom w:val="nil"/>
              <w:right w:val="nil"/>
            </w:tcBorders>
            <w:shd w:val="clear" w:color="auto" w:fill="auto"/>
            <w:noWrap/>
            <w:vAlign w:val="center"/>
            <w:hideMark/>
          </w:tcPr>
          <w:p w14:paraId="64300B26"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3.93</w:t>
            </w:r>
          </w:p>
        </w:tc>
        <w:tc>
          <w:tcPr>
            <w:tcW w:w="1112" w:type="pct"/>
            <w:tcBorders>
              <w:top w:val="nil"/>
              <w:left w:val="nil"/>
              <w:bottom w:val="nil"/>
              <w:right w:val="nil"/>
            </w:tcBorders>
            <w:shd w:val="clear" w:color="auto" w:fill="auto"/>
            <w:vAlign w:val="center"/>
            <w:hideMark/>
          </w:tcPr>
          <w:p w14:paraId="2228ABCD"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54DB641" w14:textId="77777777" w:rsidTr="00C26FCE">
        <w:trPr>
          <w:trHeight w:val="570"/>
        </w:trPr>
        <w:tc>
          <w:tcPr>
            <w:tcW w:w="3141" w:type="pct"/>
            <w:tcBorders>
              <w:top w:val="nil"/>
              <w:left w:val="nil"/>
              <w:bottom w:val="nil"/>
              <w:right w:val="nil"/>
            </w:tcBorders>
            <w:shd w:val="clear" w:color="auto" w:fill="auto"/>
            <w:vAlign w:val="center"/>
            <w:hideMark/>
          </w:tcPr>
          <w:p w14:paraId="5CD4D21B"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explore promising innovations, and reflect on their effectiveness.</w:t>
            </w:r>
          </w:p>
        </w:tc>
        <w:tc>
          <w:tcPr>
            <w:tcW w:w="748" w:type="pct"/>
            <w:tcBorders>
              <w:top w:val="nil"/>
              <w:left w:val="nil"/>
              <w:bottom w:val="nil"/>
              <w:right w:val="nil"/>
            </w:tcBorders>
            <w:shd w:val="clear" w:color="auto" w:fill="auto"/>
            <w:noWrap/>
            <w:vAlign w:val="center"/>
            <w:hideMark/>
          </w:tcPr>
          <w:p w14:paraId="6B8D4599"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3.92</w:t>
            </w:r>
          </w:p>
        </w:tc>
        <w:tc>
          <w:tcPr>
            <w:tcW w:w="1112" w:type="pct"/>
            <w:tcBorders>
              <w:top w:val="nil"/>
              <w:left w:val="nil"/>
              <w:bottom w:val="nil"/>
              <w:right w:val="nil"/>
            </w:tcBorders>
            <w:shd w:val="clear" w:color="auto" w:fill="auto"/>
            <w:vAlign w:val="center"/>
            <w:hideMark/>
          </w:tcPr>
          <w:p w14:paraId="25B3FF16"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51F25415" w14:textId="77777777" w:rsidTr="00C26FCE">
        <w:trPr>
          <w:trHeight w:val="1140"/>
        </w:trPr>
        <w:tc>
          <w:tcPr>
            <w:tcW w:w="3141" w:type="pct"/>
            <w:tcBorders>
              <w:top w:val="nil"/>
              <w:left w:val="nil"/>
              <w:bottom w:val="nil"/>
              <w:right w:val="nil"/>
            </w:tcBorders>
            <w:shd w:val="clear" w:color="auto" w:fill="auto"/>
            <w:vAlign w:val="center"/>
            <w:hideMark/>
          </w:tcPr>
          <w:p w14:paraId="11558520"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lastRenderedPageBreak/>
              <w:t>I can use technology to analyze assessment data, guide progress, personalize learning, and communicate feedback to education stakeholders, supporting students in reaching their learning goals.</w:t>
            </w:r>
          </w:p>
        </w:tc>
        <w:tc>
          <w:tcPr>
            <w:tcW w:w="748" w:type="pct"/>
            <w:tcBorders>
              <w:top w:val="nil"/>
              <w:left w:val="nil"/>
              <w:bottom w:val="nil"/>
              <w:right w:val="nil"/>
            </w:tcBorders>
            <w:shd w:val="clear" w:color="auto" w:fill="auto"/>
            <w:noWrap/>
            <w:vAlign w:val="center"/>
            <w:hideMark/>
          </w:tcPr>
          <w:p w14:paraId="18E0E83B"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3.91</w:t>
            </w:r>
          </w:p>
        </w:tc>
        <w:tc>
          <w:tcPr>
            <w:tcW w:w="1112" w:type="pct"/>
            <w:tcBorders>
              <w:top w:val="nil"/>
              <w:left w:val="nil"/>
              <w:bottom w:val="nil"/>
              <w:right w:val="nil"/>
            </w:tcBorders>
            <w:shd w:val="clear" w:color="auto" w:fill="auto"/>
            <w:vAlign w:val="center"/>
            <w:hideMark/>
          </w:tcPr>
          <w:p w14:paraId="0739DD7A"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68782C85" w14:textId="77777777" w:rsidTr="00C26FCE">
        <w:trPr>
          <w:trHeight w:val="570"/>
        </w:trPr>
        <w:tc>
          <w:tcPr>
            <w:tcW w:w="3141" w:type="pct"/>
            <w:tcBorders>
              <w:top w:val="nil"/>
              <w:left w:val="nil"/>
              <w:bottom w:val="nil"/>
              <w:right w:val="nil"/>
            </w:tcBorders>
            <w:shd w:val="clear" w:color="auto" w:fill="auto"/>
            <w:vAlign w:val="center"/>
            <w:hideMark/>
          </w:tcPr>
          <w:p w14:paraId="58907D66"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provide alternative ways for students to demonstrate competency and reflect on their learning using technology.</w:t>
            </w:r>
          </w:p>
        </w:tc>
        <w:tc>
          <w:tcPr>
            <w:tcW w:w="748" w:type="pct"/>
            <w:tcBorders>
              <w:top w:val="nil"/>
              <w:left w:val="nil"/>
              <w:bottom w:val="nil"/>
              <w:right w:val="nil"/>
            </w:tcBorders>
            <w:shd w:val="clear" w:color="auto" w:fill="auto"/>
            <w:noWrap/>
            <w:vAlign w:val="center"/>
            <w:hideMark/>
          </w:tcPr>
          <w:p w14:paraId="3A278EB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3.90</w:t>
            </w:r>
          </w:p>
        </w:tc>
        <w:tc>
          <w:tcPr>
            <w:tcW w:w="1112" w:type="pct"/>
            <w:tcBorders>
              <w:top w:val="nil"/>
              <w:left w:val="nil"/>
              <w:bottom w:val="nil"/>
              <w:right w:val="nil"/>
            </w:tcBorders>
            <w:shd w:val="clear" w:color="auto" w:fill="auto"/>
            <w:vAlign w:val="center"/>
            <w:hideMark/>
          </w:tcPr>
          <w:p w14:paraId="1A9BDCF4"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6A67477A" w14:textId="77777777" w:rsidTr="00C26FCE">
        <w:trPr>
          <w:trHeight w:val="855"/>
        </w:trPr>
        <w:tc>
          <w:tcPr>
            <w:tcW w:w="3141" w:type="pct"/>
            <w:tcBorders>
              <w:top w:val="nil"/>
              <w:left w:val="nil"/>
              <w:bottom w:val="nil"/>
              <w:right w:val="nil"/>
            </w:tcBorders>
            <w:shd w:val="clear" w:color="auto" w:fill="auto"/>
            <w:vAlign w:val="center"/>
            <w:hideMark/>
          </w:tcPr>
          <w:p w14:paraId="6550C6C7"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foster a technology-rich culture where students take ownership of their learning goals and outcomes in both independent and group settings.</w:t>
            </w:r>
          </w:p>
        </w:tc>
        <w:tc>
          <w:tcPr>
            <w:tcW w:w="748" w:type="pct"/>
            <w:tcBorders>
              <w:top w:val="nil"/>
              <w:left w:val="nil"/>
              <w:bottom w:val="nil"/>
              <w:right w:val="nil"/>
            </w:tcBorders>
            <w:shd w:val="clear" w:color="auto" w:fill="auto"/>
            <w:noWrap/>
            <w:vAlign w:val="center"/>
            <w:hideMark/>
          </w:tcPr>
          <w:p w14:paraId="66E69FAD"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3.89</w:t>
            </w:r>
          </w:p>
        </w:tc>
        <w:tc>
          <w:tcPr>
            <w:tcW w:w="1112" w:type="pct"/>
            <w:tcBorders>
              <w:top w:val="nil"/>
              <w:left w:val="nil"/>
              <w:bottom w:val="nil"/>
              <w:right w:val="nil"/>
            </w:tcBorders>
            <w:shd w:val="clear" w:color="auto" w:fill="auto"/>
            <w:vAlign w:val="center"/>
            <w:hideMark/>
          </w:tcPr>
          <w:p w14:paraId="38889274"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553D40FF" w14:textId="77777777" w:rsidTr="00C26FCE">
        <w:trPr>
          <w:trHeight w:val="855"/>
        </w:trPr>
        <w:tc>
          <w:tcPr>
            <w:tcW w:w="3141" w:type="pct"/>
            <w:tcBorders>
              <w:top w:val="nil"/>
              <w:left w:val="nil"/>
              <w:bottom w:val="nil"/>
              <w:right w:val="nil"/>
            </w:tcBorders>
            <w:shd w:val="clear" w:color="auto" w:fill="auto"/>
            <w:vAlign w:val="center"/>
            <w:hideMark/>
          </w:tcPr>
          <w:p w14:paraId="172DFD46"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use technology to design and implement a variety of formative and summative assessments that accommodate learner needs.</w:t>
            </w:r>
          </w:p>
        </w:tc>
        <w:tc>
          <w:tcPr>
            <w:tcW w:w="748" w:type="pct"/>
            <w:tcBorders>
              <w:top w:val="nil"/>
              <w:left w:val="nil"/>
              <w:bottom w:val="nil"/>
              <w:right w:val="nil"/>
            </w:tcBorders>
            <w:shd w:val="clear" w:color="auto" w:fill="auto"/>
            <w:noWrap/>
            <w:vAlign w:val="center"/>
            <w:hideMark/>
          </w:tcPr>
          <w:p w14:paraId="5A5A13C3"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3.88</w:t>
            </w:r>
          </w:p>
        </w:tc>
        <w:tc>
          <w:tcPr>
            <w:tcW w:w="1112" w:type="pct"/>
            <w:tcBorders>
              <w:top w:val="nil"/>
              <w:left w:val="nil"/>
              <w:bottom w:val="nil"/>
              <w:right w:val="nil"/>
            </w:tcBorders>
            <w:shd w:val="clear" w:color="auto" w:fill="auto"/>
            <w:vAlign w:val="center"/>
            <w:hideMark/>
          </w:tcPr>
          <w:p w14:paraId="4CB4F58F"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1C8E833D" w14:textId="77777777" w:rsidTr="00C26FCE">
        <w:trPr>
          <w:trHeight w:val="855"/>
        </w:trPr>
        <w:tc>
          <w:tcPr>
            <w:tcW w:w="3141" w:type="pct"/>
            <w:tcBorders>
              <w:top w:val="nil"/>
              <w:left w:val="nil"/>
              <w:bottom w:val="nil"/>
              <w:right w:val="nil"/>
            </w:tcBorders>
            <w:shd w:val="clear" w:color="auto" w:fill="auto"/>
            <w:vAlign w:val="center"/>
            <w:hideMark/>
          </w:tcPr>
          <w:p w14:paraId="29F34C82"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demonstrate technological competency when communicating with students, parents and colleagues and interact with them as co-collaborators in student learning.</w:t>
            </w:r>
          </w:p>
        </w:tc>
        <w:tc>
          <w:tcPr>
            <w:tcW w:w="748" w:type="pct"/>
            <w:tcBorders>
              <w:top w:val="nil"/>
              <w:left w:val="nil"/>
              <w:bottom w:val="nil"/>
              <w:right w:val="nil"/>
            </w:tcBorders>
            <w:shd w:val="clear" w:color="auto" w:fill="auto"/>
            <w:noWrap/>
            <w:vAlign w:val="center"/>
            <w:hideMark/>
          </w:tcPr>
          <w:p w14:paraId="75CAD0D8"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3.85</w:t>
            </w:r>
          </w:p>
        </w:tc>
        <w:tc>
          <w:tcPr>
            <w:tcW w:w="1112" w:type="pct"/>
            <w:tcBorders>
              <w:top w:val="nil"/>
              <w:left w:val="nil"/>
              <w:bottom w:val="nil"/>
              <w:right w:val="nil"/>
            </w:tcBorders>
            <w:shd w:val="clear" w:color="auto" w:fill="auto"/>
            <w:vAlign w:val="center"/>
            <w:hideMark/>
          </w:tcPr>
          <w:p w14:paraId="00BAE276"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3CB51EB5" w14:textId="77777777" w:rsidTr="00C26FCE">
        <w:trPr>
          <w:trHeight w:val="855"/>
        </w:trPr>
        <w:tc>
          <w:tcPr>
            <w:tcW w:w="3141" w:type="pct"/>
            <w:tcBorders>
              <w:top w:val="nil"/>
              <w:left w:val="nil"/>
              <w:bottom w:val="nil"/>
              <w:right w:val="nil"/>
            </w:tcBorders>
            <w:shd w:val="clear" w:color="auto" w:fill="auto"/>
            <w:vAlign w:val="center"/>
            <w:hideMark/>
          </w:tcPr>
          <w:p w14:paraId="224D81BF"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model and nurture creativity and creative expression through the use of technology to communicate ideas, knowledge, or connections.</w:t>
            </w:r>
          </w:p>
        </w:tc>
        <w:tc>
          <w:tcPr>
            <w:tcW w:w="748" w:type="pct"/>
            <w:tcBorders>
              <w:top w:val="nil"/>
              <w:left w:val="nil"/>
              <w:bottom w:val="nil"/>
              <w:right w:val="nil"/>
            </w:tcBorders>
            <w:shd w:val="clear" w:color="auto" w:fill="auto"/>
            <w:noWrap/>
            <w:vAlign w:val="center"/>
            <w:hideMark/>
          </w:tcPr>
          <w:p w14:paraId="12773F6A"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3.81</w:t>
            </w:r>
          </w:p>
        </w:tc>
        <w:tc>
          <w:tcPr>
            <w:tcW w:w="1112" w:type="pct"/>
            <w:tcBorders>
              <w:top w:val="nil"/>
              <w:left w:val="nil"/>
              <w:bottom w:val="nil"/>
              <w:right w:val="nil"/>
            </w:tcBorders>
            <w:shd w:val="clear" w:color="auto" w:fill="auto"/>
            <w:vAlign w:val="center"/>
            <w:hideMark/>
          </w:tcPr>
          <w:p w14:paraId="03C87820"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5659CFEE" w14:textId="77777777" w:rsidTr="00C26FCE">
        <w:trPr>
          <w:trHeight w:val="855"/>
        </w:trPr>
        <w:tc>
          <w:tcPr>
            <w:tcW w:w="3141" w:type="pct"/>
            <w:tcBorders>
              <w:top w:val="nil"/>
              <w:left w:val="nil"/>
              <w:bottom w:val="nil"/>
              <w:right w:val="nil"/>
            </w:tcBorders>
            <w:shd w:val="clear" w:color="auto" w:fill="auto"/>
            <w:vAlign w:val="center"/>
            <w:hideMark/>
          </w:tcPr>
          <w:p w14:paraId="0B67D4FE"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design authentic learning activities that align with educational standards and use digital tools and resources to maximize learning.</w:t>
            </w:r>
          </w:p>
        </w:tc>
        <w:tc>
          <w:tcPr>
            <w:tcW w:w="748" w:type="pct"/>
            <w:tcBorders>
              <w:top w:val="nil"/>
              <w:left w:val="nil"/>
              <w:bottom w:val="nil"/>
              <w:right w:val="nil"/>
            </w:tcBorders>
            <w:shd w:val="clear" w:color="auto" w:fill="auto"/>
            <w:noWrap/>
            <w:vAlign w:val="center"/>
            <w:hideMark/>
          </w:tcPr>
          <w:p w14:paraId="2962DE28"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3.78</w:t>
            </w:r>
          </w:p>
        </w:tc>
        <w:tc>
          <w:tcPr>
            <w:tcW w:w="1112" w:type="pct"/>
            <w:tcBorders>
              <w:top w:val="nil"/>
              <w:left w:val="nil"/>
              <w:bottom w:val="nil"/>
              <w:right w:val="nil"/>
            </w:tcBorders>
            <w:shd w:val="clear" w:color="auto" w:fill="auto"/>
            <w:vAlign w:val="center"/>
            <w:hideMark/>
          </w:tcPr>
          <w:p w14:paraId="50F15BC1"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0C0F82F" w14:textId="77777777" w:rsidTr="00C26FCE">
        <w:trPr>
          <w:trHeight w:val="855"/>
        </w:trPr>
        <w:tc>
          <w:tcPr>
            <w:tcW w:w="3141" w:type="pct"/>
            <w:tcBorders>
              <w:top w:val="nil"/>
              <w:left w:val="nil"/>
              <w:bottom w:val="nil"/>
              <w:right w:val="nil"/>
            </w:tcBorders>
            <w:shd w:val="clear" w:color="auto" w:fill="auto"/>
            <w:vAlign w:val="center"/>
            <w:hideMark/>
          </w:tcPr>
          <w:p w14:paraId="4E8ACEFA"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apply evidence-based instructional design principles to create innovative and equitable digital learning environments that support learning.</w:t>
            </w:r>
          </w:p>
        </w:tc>
        <w:tc>
          <w:tcPr>
            <w:tcW w:w="748" w:type="pct"/>
            <w:tcBorders>
              <w:top w:val="nil"/>
              <w:left w:val="nil"/>
              <w:bottom w:val="nil"/>
              <w:right w:val="nil"/>
            </w:tcBorders>
            <w:shd w:val="clear" w:color="auto" w:fill="auto"/>
            <w:noWrap/>
            <w:vAlign w:val="center"/>
            <w:hideMark/>
          </w:tcPr>
          <w:p w14:paraId="3E332DC7"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3.75</w:t>
            </w:r>
          </w:p>
        </w:tc>
        <w:tc>
          <w:tcPr>
            <w:tcW w:w="1112" w:type="pct"/>
            <w:tcBorders>
              <w:top w:val="nil"/>
              <w:left w:val="nil"/>
              <w:bottom w:val="nil"/>
              <w:right w:val="nil"/>
            </w:tcBorders>
            <w:shd w:val="clear" w:color="auto" w:fill="auto"/>
            <w:vAlign w:val="center"/>
            <w:hideMark/>
          </w:tcPr>
          <w:p w14:paraId="4C7006C8"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3E747BAE" w14:textId="77777777" w:rsidTr="00C26FCE">
        <w:trPr>
          <w:trHeight w:val="855"/>
        </w:trPr>
        <w:tc>
          <w:tcPr>
            <w:tcW w:w="3141" w:type="pct"/>
            <w:tcBorders>
              <w:top w:val="nil"/>
              <w:left w:val="nil"/>
              <w:bottom w:val="nil"/>
              <w:right w:val="nil"/>
            </w:tcBorders>
            <w:shd w:val="clear" w:color="auto" w:fill="auto"/>
            <w:vAlign w:val="center"/>
            <w:hideMark/>
          </w:tcPr>
          <w:p w14:paraId="05FDC82B"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use collaborative tools to expand students’ authentic, real-world learning experiences by engaging virtually with experts, teams and students, locally and globally.</w:t>
            </w:r>
          </w:p>
        </w:tc>
        <w:tc>
          <w:tcPr>
            <w:tcW w:w="748" w:type="pct"/>
            <w:tcBorders>
              <w:top w:val="nil"/>
              <w:left w:val="nil"/>
              <w:bottom w:val="nil"/>
              <w:right w:val="nil"/>
            </w:tcBorders>
            <w:shd w:val="clear" w:color="auto" w:fill="auto"/>
            <w:noWrap/>
            <w:vAlign w:val="center"/>
            <w:hideMark/>
          </w:tcPr>
          <w:p w14:paraId="73F4C9B9"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3.69</w:t>
            </w:r>
          </w:p>
        </w:tc>
        <w:tc>
          <w:tcPr>
            <w:tcW w:w="1112" w:type="pct"/>
            <w:tcBorders>
              <w:top w:val="nil"/>
              <w:left w:val="nil"/>
              <w:bottom w:val="nil"/>
              <w:right w:val="nil"/>
            </w:tcBorders>
            <w:shd w:val="clear" w:color="auto" w:fill="auto"/>
            <w:vAlign w:val="center"/>
            <w:hideMark/>
          </w:tcPr>
          <w:p w14:paraId="10EBBB13"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4A346D5D" w14:textId="77777777" w:rsidTr="00C26FCE">
        <w:trPr>
          <w:trHeight w:val="855"/>
        </w:trPr>
        <w:tc>
          <w:tcPr>
            <w:tcW w:w="3141" w:type="pct"/>
            <w:tcBorders>
              <w:top w:val="nil"/>
              <w:left w:val="nil"/>
              <w:bottom w:val="nil"/>
              <w:right w:val="nil"/>
            </w:tcBorders>
            <w:shd w:val="clear" w:color="auto" w:fill="auto"/>
            <w:vAlign w:val="center"/>
            <w:hideMark/>
          </w:tcPr>
          <w:p w14:paraId="15B98965"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create technology-enhanced learning opportunities that challenge students to use a design process and/or computational thinking to innovate and solve problems.</w:t>
            </w:r>
          </w:p>
        </w:tc>
        <w:tc>
          <w:tcPr>
            <w:tcW w:w="748" w:type="pct"/>
            <w:tcBorders>
              <w:top w:val="nil"/>
              <w:left w:val="nil"/>
              <w:bottom w:val="nil"/>
              <w:right w:val="nil"/>
            </w:tcBorders>
            <w:shd w:val="clear" w:color="auto" w:fill="auto"/>
            <w:noWrap/>
            <w:vAlign w:val="center"/>
            <w:hideMark/>
          </w:tcPr>
          <w:p w14:paraId="09D8B09A"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3.67</w:t>
            </w:r>
          </w:p>
        </w:tc>
        <w:tc>
          <w:tcPr>
            <w:tcW w:w="1112" w:type="pct"/>
            <w:tcBorders>
              <w:top w:val="nil"/>
              <w:left w:val="nil"/>
              <w:bottom w:val="nil"/>
              <w:right w:val="nil"/>
            </w:tcBorders>
            <w:shd w:val="clear" w:color="auto" w:fill="auto"/>
            <w:vAlign w:val="center"/>
            <w:hideMark/>
          </w:tcPr>
          <w:p w14:paraId="58FBAD4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0292CBA0" w14:textId="77777777" w:rsidTr="00C26FCE">
        <w:trPr>
          <w:trHeight w:val="855"/>
        </w:trPr>
        <w:tc>
          <w:tcPr>
            <w:tcW w:w="3141" w:type="pct"/>
            <w:tcBorders>
              <w:top w:val="nil"/>
              <w:left w:val="nil"/>
              <w:bottom w:val="nil"/>
              <w:right w:val="nil"/>
            </w:tcBorders>
            <w:shd w:val="clear" w:color="auto" w:fill="auto"/>
            <w:vAlign w:val="center"/>
            <w:hideMark/>
          </w:tcPr>
          <w:p w14:paraId="5854756E"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model for colleagues the identification, experimentation, evaluation, curation and adoption of new digital resources and tools for learning.</w:t>
            </w:r>
          </w:p>
        </w:tc>
        <w:tc>
          <w:tcPr>
            <w:tcW w:w="748" w:type="pct"/>
            <w:tcBorders>
              <w:top w:val="nil"/>
              <w:left w:val="nil"/>
              <w:bottom w:val="nil"/>
              <w:right w:val="nil"/>
            </w:tcBorders>
            <w:shd w:val="clear" w:color="auto" w:fill="auto"/>
            <w:noWrap/>
            <w:vAlign w:val="center"/>
            <w:hideMark/>
          </w:tcPr>
          <w:p w14:paraId="3B29E556"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3.66</w:t>
            </w:r>
          </w:p>
        </w:tc>
        <w:tc>
          <w:tcPr>
            <w:tcW w:w="1112" w:type="pct"/>
            <w:tcBorders>
              <w:top w:val="nil"/>
              <w:left w:val="nil"/>
              <w:bottom w:val="nil"/>
              <w:right w:val="nil"/>
            </w:tcBorders>
            <w:shd w:val="clear" w:color="auto" w:fill="auto"/>
            <w:vAlign w:val="center"/>
            <w:hideMark/>
          </w:tcPr>
          <w:p w14:paraId="514FEF0E"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Proficient</w:t>
            </w:r>
          </w:p>
        </w:tc>
      </w:tr>
      <w:tr w:rsidR="002C4B68" w:rsidRPr="002C4B68" w14:paraId="2F1CA887" w14:textId="77777777" w:rsidTr="00C26FCE">
        <w:trPr>
          <w:trHeight w:val="285"/>
        </w:trPr>
        <w:tc>
          <w:tcPr>
            <w:tcW w:w="3141" w:type="pct"/>
            <w:tcBorders>
              <w:top w:val="nil"/>
              <w:left w:val="nil"/>
              <w:bottom w:val="nil"/>
              <w:right w:val="nil"/>
            </w:tcBorders>
            <w:shd w:val="clear" w:color="auto" w:fill="auto"/>
            <w:vAlign w:val="center"/>
            <w:hideMark/>
          </w:tcPr>
          <w:p w14:paraId="549A5CF1" w14:textId="77777777" w:rsidR="00C26FCE" w:rsidRPr="002C4B68" w:rsidRDefault="00C26FCE" w:rsidP="00C26FCE">
            <w:pPr>
              <w:jc w:val="both"/>
              <w:rPr>
                <w:rFonts w:eastAsia="Times New Roman"/>
                <w:color w:val="000000" w:themeColor="text1"/>
                <w:sz w:val="22"/>
                <w:szCs w:val="22"/>
              </w:rPr>
            </w:pPr>
            <w:r w:rsidRPr="002C4B68">
              <w:rPr>
                <w:rFonts w:eastAsia="Times New Roman"/>
                <w:color w:val="000000" w:themeColor="text1"/>
                <w:sz w:val="22"/>
                <w:szCs w:val="22"/>
                <w:lang w:val="en-PH"/>
              </w:rPr>
              <w:t>I can diagnose and troubleshoot technology issues.</w:t>
            </w:r>
          </w:p>
        </w:tc>
        <w:tc>
          <w:tcPr>
            <w:tcW w:w="748" w:type="pct"/>
            <w:tcBorders>
              <w:top w:val="nil"/>
              <w:left w:val="nil"/>
              <w:bottom w:val="nil"/>
              <w:right w:val="nil"/>
            </w:tcBorders>
            <w:shd w:val="clear" w:color="auto" w:fill="auto"/>
            <w:noWrap/>
            <w:vAlign w:val="center"/>
            <w:hideMark/>
          </w:tcPr>
          <w:p w14:paraId="40EC5CA6"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3.22</w:t>
            </w:r>
          </w:p>
        </w:tc>
        <w:tc>
          <w:tcPr>
            <w:tcW w:w="1112" w:type="pct"/>
            <w:tcBorders>
              <w:top w:val="nil"/>
              <w:left w:val="nil"/>
              <w:bottom w:val="nil"/>
              <w:right w:val="nil"/>
            </w:tcBorders>
            <w:shd w:val="clear" w:color="auto" w:fill="auto"/>
            <w:vAlign w:val="center"/>
            <w:hideMark/>
          </w:tcPr>
          <w:p w14:paraId="46AB27A4" w14:textId="77777777" w:rsidR="00C26FCE" w:rsidRPr="002C4B68" w:rsidRDefault="00C26FCE" w:rsidP="00C26FCE">
            <w:pPr>
              <w:jc w:val="center"/>
              <w:rPr>
                <w:rFonts w:eastAsia="Times New Roman"/>
                <w:color w:val="000000" w:themeColor="text1"/>
                <w:sz w:val="22"/>
                <w:szCs w:val="22"/>
              </w:rPr>
            </w:pPr>
            <w:r w:rsidRPr="002C4B68">
              <w:rPr>
                <w:rFonts w:eastAsia="Times New Roman"/>
                <w:color w:val="000000" w:themeColor="text1"/>
                <w:sz w:val="22"/>
                <w:szCs w:val="22"/>
                <w:lang w:val="en-PH"/>
              </w:rPr>
              <w:t>Developing</w:t>
            </w:r>
          </w:p>
        </w:tc>
      </w:tr>
      <w:tr w:rsidR="002C4B68" w:rsidRPr="002C4B68" w14:paraId="73F4AB62" w14:textId="77777777" w:rsidTr="00C26FCE">
        <w:trPr>
          <w:trHeight w:val="485"/>
        </w:trPr>
        <w:tc>
          <w:tcPr>
            <w:tcW w:w="3141" w:type="pct"/>
            <w:tcBorders>
              <w:top w:val="single" w:sz="4" w:space="0" w:color="auto"/>
              <w:left w:val="nil"/>
              <w:bottom w:val="single" w:sz="4" w:space="0" w:color="auto"/>
              <w:right w:val="nil"/>
            </w:tcBorders>
            <w:shd w:val="clear" w:color="000000" w:fill="D9D9D9"/>
            <w:noWrap/>
            <w:vAlign w:val="center"/>
            <w:hideMark/>
          </w:tcPr>
          <w:p w14:paraId="797A16BC" w14:textId="77777777" w:rsidR="00C26FCE" w:rsidRPr="002C4B68" w:rsidRDefault="00C26FCE" w:rsidP="00C26FCE">
            <w:pPr>
              <w:jc w:val="right"/>
              <w:rPr>
                <w:rFonts w:eastAsia="Times New Roman"/>
                <w:b/>
                <w:bCs/>
                <w:color w:val="000000" w:themeColor="text1"/>
                <w:sz w:val="22"/>
                <w:szCs w:val="22"/>
              </w:rPr>
            </w:pPr>
            <w:r w:rsidRPr="002C4B68">
              <w:rPr>
                <w:rFonts w:eastAsia="Times New Roman"/>
                <w:b/>
                <w:bCs/>
                <w:color w:val="000000" w:themeColor="text1"/>
                <w:sz w:val="22"/>
                <w:szCs w:val="22"/>
                <w:lang w:val="en-PH"/>
              </w:rPr>
              <w:t>Grand Mean</w:t>
            </w:r>
          </w:p>
        </w:tc>
        <w:tc>
          <w:tcPr>
            <w:tcW w:w="748" w:type="pct"/>
            <w:tcBorders>
              <w:top w:val="single" w:sz="4" w:space="0" w:color="auto"/>
              <w:left w:val="nil"/>
              <w:bottom w:val="single" w:sz="4" w:space="0" w:color="auto"/>
              <w:right w:val="nil"/>
            </w:tcBorders>
            <w:shd w:val="clear" w:color="000000" w:fill="D9D9D9"/>
            <w:noWrap/>
            <w:vAlign w:val="center"/>
            <w:hideMark/>
          </w:tcPr>
          <w:p w14:paraId="5BC72660" w14:textId="77777777" w:rsidR="00C26FCE" w:rsidRPr="002C4B68" w:rsidRDefault="00C26FCE" w:rsidP="00C26FCE">
            <w:pPr>
              <w:jc w:val="center"/>
              <w:rPr>
                <w:rFonts w:eastAsia="Times New Roman"/>
                <w:b/>
                <w:bCs/>
                <w:color w:val="000000" w:themeColor="text1"/>
                <w:sz w:val="22"/>
                <w:szCs w:val="22"/>
              </w:rPr>
            </w:pPr>
            <w:r w:rsidRPr="002C4B68">
              <w:rPr>
                <w:rFonts w:eastAsia="Times New Roman"/>
                <w:b/>
                <w:bCs/>
                <w:color w:val="000000" w:themeColor="text1"/>
                <w:sz w:val="22"/>
                <w:szCs w:val="22"/>
                <w:lang w:val="en-PH"/>
              </w:rPr>
              <w:t>3.90</w:t>
            </w:r>
          </w:p>
        </w:tc>
        <w:tc>
          <w:tcPr>
            <w:tcW w:w="1112" w:type="pct"/>
            <w:tcBorders>
              <w:top w:val="single" w:sz="4" w:space="0" w:color="auto"/>
              <w:left w:val="nil"/>
              <w:bottom w:val="single" w:sz="4" w:space="0" w:color="auto"/>
              <w:right w:val="nil"/>
            </w:tcBorders>
            <w:shd w:val="clear" w:color="000000" w:fill="D9D9D9"/>
            <w:vAlign w:val="center"/>
            <w:hideMark/>
          </w:tcPr>
          <w:p w14:paraId="0218294A" w14:textId="77777777" w:rsidR="00C26FCE" w:rsidRPr="002C4B68" w:rsidRDefault="00C26FCE" w:rsidP="00C26FCE">
            <w:pPr>
              <w:jc w:val="center"/>
              <w:rPr>
                <w:rFonts w:eastAsia="Times New Roman"/>
                <w:b/>
                <w:bCs/>
                <w:color w:val="000000" w:themeColor="text1"/>
                <w:sz w:val="22"/>
                <w:szCs w:val="22"/>
              </w:rPr>
            </w:pPr>
            <w:r w:rsidRPr="002C4B68">
              <w:rPr>
                <w:rFonts w:eastAsia="Times New Roman"/>
                <w:b/>
                <w:bCs/>
                <w:color w:val="000000" w:themeColor="text1"/>
                <w:sz w:val="22"/>
                <w:szCs w:val="22"/>
              </w:rPr>
              <w:t>Proficient</w:t>
            </w:r>
          </w:p>
        </w:tc>
      </w:tr>
    </w:tbl>
    <w:p w14:paraId="0C5FD4F4" w14:textId="77777777" w:rsidR="00C26FCE" w:rsidRPr="002C4B68" w:rsidRDefault="00C26FCE" w:rsidP="00483663">
      <w:pPr>
        <w:rPr>
          <w:color w:val="000000" w:themeColor="text1"/>
        </w:rPr>
      </w:pPr>
    </w:p>
    <w:p w14:paraId="537952E8" w14:textId="77777777" w:rsidR="00C851F6" w:rsidRPr="002C4B68" w:rsidRDefault="00C851F6" w:rsidP="00483663">
      <w:pPr>
        <w:rPr>
          <w:color w:val="000000" w:themeColor="text1"/>
        </w:rPr>
      </w:pPr>
    </w:p>
    <w:p w14:paraId="706E65F2" w14:textId="7D3AB8E2" w:rsidR="00C851F6" w:rsidRPr="002C4B68" w:rsidRDefault="00C851F6" w:rsidP="00C851F6">
      <w:pPr>
        <w:ind w:firstLine="720"/>
        <w:jc w:val="both"/>
        <w:rPr>
          <w:rFonts w:eastAsia="Times New Roman"/>
          <w:color w:val="000000" w:themeColor="text1"/>
        </w:rPr>
      </w:pPr>
      <w:r w:rsidRPr="002C4B68">
        <w:rPr>
          <w:rFonts w:eastAsia="Times New Roman"/>
          <w:color w:val="000000" w:themeColor="text1"/>
        </w:rPr>
        <w:t xml:space="preserve">Table 3 presented the relationship between the level of digital leadership of academic deans and the level of digital literacy among faculty members. The analysis revealed a Pearson correlation coefficient of 0.035 and a p-value of 0.612, indicating a very weak and statistically non-significant relationship. This suggested that the digital leadership exhibited by academic deans does not significantly influence faculty members' digital literacy. This result aligns with the findings of </w:t>
      </w:r>
      <w:proofErr w:type="spellStart"/>
      <w:r w:rsidRPr="002C4B68">
        <w:rPr>
          <w:rFonts w:eastAsia="Times New Roman"/>
          <w:color w:val="000000" w:themeColor="text1"/>
        </w:rPr>
        <w:t>Ertm</w:t>
      </w:r>
      <w:r w:rsidR="00D64C42">
        <w:rPr>
          <w:rFonts w:eastAsia="Times New Roman"/>
          <w:color w:val="000000" w:themeColor="text1"/>
        </w:rPr>
        <w:t>er</w:t>
      </w:r>
      <w:proofErr w:type="spellEnd"/>
      <w:r w:rsidR="00D64C42">
        <w:rPr>
          <w:rFonts w:eastAsia="Times New Roman"/>
          <w:color w:val="000000" w:themeColor="text1"/>
        </w:rPr>
        <w:t xml:space="preserve"> and </w:t>
      </w:r>
      <w:proofErr w:type="spellStart"/>
      <w:r w:rsidR="00D64C42">
        <w:rPr>
          <w:rFonts w:eastAsia="Times New Roman"/>
          <w:color w:val="000000" w:themeColor="text1"/>
        </w:rPr>
        <w:t>Ottenbreit</w:t>
      </w:r>
      <w:proofErr w:type="spellEnd"/>
      <w:r w:rsidR="00D64C42">
        <w:rPr>
          <w:rFonts w:eastAsia="Times New Roman"/>
          <w:color w:val="000000" w:themeColor="text1"/>
        </w:rPr>
        <w:t>-Leftwich (2015</w:t>
      </w:r>
      <w:r w:rsidRPr="002C4B68">
        <w:rPr>
          <w:rFonts w:eastAsia="Times New Roman"/>
          <w:color w:val="000000" w:themeColor="text1"/>
        </w:rPr>
        <w:t xml:space="preserve">) emphasized that digital literacy development among educators is shaped largely by personal beliefs, technological confidence, and access to contextual support, rather than solely by leadership behavior. As such, while academic deans </w:t>
      </w:r>
      <w:r w:rsidRPr="002C4B68">
        <w:rPr>
          <w:rFonts w:eastAsia="Times New Roman"/>
          <w:color w:val="000000" w:themeColor="text1"/>
        </w:rPr>
        <w:lastRenderedPageBreak/>
        <w:t>may serve as institutional figures of influence, their impact on digital literacy may be indirect or mediated by other variables such as institutional culture or faculty development programs.</w:t>
      </w:r>
    </w:p>
    <w:p w14:paraId="5649E2AF" w14:textId="77777777" w:rsidR="00C851F6" w:rsidRPr="002C4B68" w:rsidRDefault="00C851F6" w:rsidP="00483663">
      <w:pPr>
        <w:rPr>
          <w:color w:val="000000" w:themeColor="text1"/>
        </w:rPr>
      </w:pPr>
    </w:p>
    <w:p w14:paraId="6B8A3175" w14:textId="77777777" w:rsidR="00C851F6" w:rsidRPr="002C4B68" w:rsidRDefault="00C851F6" w:rsidP="00C851F6">
      <w:pPr>
        <w:jc w:val="center"/>
        <w:rPr>
          <w:b/>
          <w:bCs/>
          <w:color w:val="000000" w:themeColor="text1"/>
          <w:sz w:val="22"/>
          <w:szCs w:val="22"/>
        </w:rPr>
      </w:pPr>
      <w:r w:rsidRPr="002C4B68">
        <w:rPr>
          <w:b/>
          <w:bCs/>
          <w:color w:val="000000" w:themeColor="text1"/>
          <w:sz w:val="22"/>
          <w:szCs w:val="22"/>
        </w:rPr>
        <w:t>Table 3. Relationship between the Level of Digital Leadership of Academic Deans and the Level of Digital Literacy of Faculty Members</w:t>
      </w:r>
    </w:p>
    <w:p w14:paraId="2F984633" w14:textId="77777777" w:rsidR="00C851F6" w:rsidRPr="002C4B68" w:rsidRDefault="00C851F6" w:rsidP="00C851F6">
      <w:pPr>
        <w:jc w:val="center"/>
        <w:rPr>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1801"/>
        <w:gridCol w:w="1239"/>
        <w:gridCol w:w="2247"/>
      </w:tblGrid>
      <w:tr w:rsidR="002C4B68" w:rsidRPr="002C4B68" w14:paraId="5439D397" w14:textId="77777777" w:rsidTr="008E7FE0">
        <w:tc>
          <w:tcPr>
            <w:tcW w:w="3729" w:type="dxa"/>
            <w:tcBorders>
              <w:top w:val="single" w:sz="4" w:space="0" w:color="auto"/>
              <w:bottom w:val="single" w:sz="4" w:space="0" w:color="auto"/>
            </w:tcBorders>
            <w:vAlign w:val="center"/>
          </w:tcPr>
          <w:p w14:paraId="7FC9CD31"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Variable</w:t>
            </w:r>
          </w:p>
        </w:tc>
        <w:tc>
          <w:tcPr>
            <w:tcW w:w="1801" w:type="dxa"/>
            <w:tcBorders>
              <w:top w:val="single" w:sz="4" w:space="0" w:color="auto"/>
              <w:bottom w:val="single" w:sz="4" w:space="0" w:color="auto"/>
            </w:tcBorders>
            <w:vAlign w:val="center"/>
          </w:tcPr>
          <w:p w14:paraId="7BD1D99E"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Pearson Correlation</w:t>
            </w:r>
          </w:p>
        </w:tc>
        <w:tc>
          <w:tcPr>
            <w:tcW w:w="1239" w:type="dxa"/>
            <w:tcBorders>
              <w:top w:val="single" w:sz="4" w:space="0" w:color="auto"/>
              <w:bottom w:val="single" w:sz="4" w:space="0" w:color="auto"/>
            </w:tcBorders>
            <w:vAlign w:val="center"/>
          </w:tcPr>
          <w:p w14:paraId="3C967650"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Sig. (2-tailed)</w:t>
            </w:r>
          </w:p>
        </w:tc>
        <w:tc>
          <w:tcPr>
            <w:tcW w:w="2247" w:type="dxa"/>
            <w:tcBorders>
              <w:top w:val="single" w:sz="4" w:space="0" w:color="auto"/>
              <w:bottom w:val="single" w:sz="4" w:space="0" w:color="auto"/>
            </w:tcBorders>
            <w:vAlign w:val="center"/>
          </w:tcPr>
          <w:p w14:paraId="7345B4E6" w14:textId="77777777" w:rsidR="00C851F6" w:rsidRPr="002C4B68" w:rsidRDefault="00C851F6" w:rsidP="00C851F6">
            <w:pPr>
              <w:jc w:val="center"/>
              <w:rPr>
                <w:rFonts w:ascii="Arial" w:hAnsi="Arial" w:cs="Arial"/>
                <w:b/>
                <w:bCs/>
                <w:color w:val="000000" w:themeColor="text1"/>
                <w:sz w:val="22"/>
                <w:szCs w:val="22"/>
              </w:rPr>
            </w:pPr>
            <w:r w:rsidRPr="002C4B68">
              <w:rPr>
                <w:rFonts w:ascii="Arial" w:hAnsi="Arial" w:cs="Arial"/>
                <w:b/>
                <w:bCs/>
                <w:color w:val="000000" w:themeColor="text1"/>
                <w:sz w:val="22"/>
                <w:szCs w:val="22"/>
              </w:rPr>
              <w:t>Interpretation</w:t>
            </w:r>
          </w:p>
        </w:tc>
      </w:tr>
      <w:tr w:rsidR="002C4B68" w:rsidRPr="002C4B68" w14:paraId="2DE4F16A" w14:textId="77777777" w:rsidTr="00C851F6">
        <w:tc>
          <w:tcPr>
            <w:tcW w:w="3729" w:type="dxa"/>
            <w:tcBorders>
              <w:top w:val="single" w:sz="4" w:space="0" w:color="auto"/>
              <w:bottom w:val="single" w:sz="4" w:space="0" w:color="auto"/>
            </w:tcBorders>
          </w:tcPr>
          <w:p w14:paraId="49772165"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Digital Leadership</w:t>
            </w:r>
          </w:p>
        </w:tc>
        <w:tc>
          <w:tcPr>
            <w:tcW w:w="1801" w:type="dxa"/>
            <w:tcBorders>
              <w:top w:val="single" w:sz="4" w:space="0" w:color="auto"/>
              <w:bottom w:val="single" w:sz="4" w:space="0" w:color="auto"/>
            </w:tcBorders>
            <w:vAlign w:val="center"/>
          </w:tcPr>
          <w:p w14:paraId="7A48FBDA"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.035</w:t>
            </w:r>
          </w:p>
        </w:tc>
        <w:tc>
          <w:tcPr>
            <w:tcW w:w="1239" w:type="dxa"/>
            <w:tcBorders>
              <w:top w:val="single" w:sz="4" w:space="0" w:color="auto"/>
              <w:bottom w:val="single" w:sz="4" w:space="0" w:color="auto"/>
            </w:tcBorders>
            <w:vAlign w:val="center"/>
          </w:tcPr>
          <w:p w14:paraId="5CF2C411"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.612</w:t>
            </w:r>
          </w:p>
        </w:tc>
        <w:tc>
          <w:tcPr>
            <w:tcW w:w="2247" w:type="dxa"/>
            <w:tcBorders>
              <w:top w:val="single" w:sz="4" w:space="0" w:color="auto"/>
              <w:bottom w:val="single" w:sz="4" w:space="0" w:color="auto"/>
            </w:tcBorders>
          </w:tcPr>
          <w:p w14:paraId="6858B357" w14:textId="77777777" w:rsidR="00C851F6" w:rsidRPr="002C4B68" w:rsidRDefault="00C851F6" w:rsidP="00C851F6">
            <w:pPr>
              <w:jc w:val="center"/>
              <w:rPr>
                <w:rFonts w:ascii="Arial" w:hAnsi="Arial" w:cs="Arial"/>
                <w:color w:val="000000" w:themeColor="text1"/>
                <w:sz w:val="22"/>
                <w:szCs w:val="22"/>
              </w:rPr>
            </w:pPr>
            <w:r w:rsidRPr="002C4B68">
              <w:rPr>
                <w:rFonts w:ascii="Arial" w:hAnsi="Arial" w:cs="Arial"/>
                <w:color w:val="000000" w:themeColor="text1"/>
                <w:sz w:val="22"/>
                <w:szCs w:val="22"/>
              </w:rPr>
              <w:t>Not Significant</w:t>
            </w:r>
          </w:p>
        </w:tc>
      </w:tr>
    </w:tbl>
    <w:p w14:paraId="430E3D0F" w14:textId="77777777" w:rsidR="00C851F6" w:rsidRPr="002C4B68" w:rsidRDefault="00C851F6" w:rsidP="00C851F6">
      <w:pPr>
        <w:rPr>
          <w:i/>
          <w:iCs/>
          <w:color w:val="000000" w:themeColor="text1"/>
          <w:sz w:val="22"/>
          <w:szCs w:val="22"/>
        </w:rPr>
      </w:pPr>
      <w:r w:rsidRPr="002C4B68">
        <w:rPr>
          <w:i/>
          <w:iCs/>
          <w:color w:val="000000" w:themeColor="text1"/>
          <w:sz w:val="22"/>
          <w:szCs w:val="22"/>
        </w:rPr>
        <w:t>Dependent variable: digital literacy</w:t>
      </w:r>
    </w:p>
    <w:p w14:paraId="14494237" w14:textId="77777777" w:rsidR="00C851F6" w:rsidRPr="002C4B68" w:rsidRDefault="00C851F6" w:rsidP="00483663">
      <w:pPr>
        <w:rPr>
          <w:color w:val="000000" w:themeColor="text1"/>
        </w:rPr>
      </w:pPr>
    </w:p>
    <w:p w14:paraId="597E02AF" w14:textId="77777777" w:rsidR="008D1467" w:rsidRPr="002C4B68" w:rsidRDefault="008D1467" w:rsidP="00483663">
      <w:pPr>
        <w:rPr>
          <w:color w:val="000000" w:themeColor="text1"/>
        </w:rPr>
      </w:pPr>
    </w:p>
    <w:p w14:paraId="5239D115" w14:textId="77777777" w:rsidR="008D1467" w:rsidRPr="002C4B68" w:rsidRDefault="008D1467" w:rsidP="00483663">
      <w:pPr>
        <w:rPr>
          <w:b/>
          <w:color w:val="000000" w:themeColor="text1"/>
        </w:rPr>
      </w:pPr>
      <w:r w:rsidRPr="002C4B68">
        <w:rPr>
          <w:b/>
          <w:color w:val="000000" w:themeColor="text1"/>
        </w:rPr>
        <w:t>CONCLUSIONS</w:t>
      </w:r>
    </w:p>
    <w:p w14:paraId="0F1706D9" w14:textId="77777777" w:rsidR="008D1467" w:rsidRPr="002C4B68" w:rsidRDefault="008D1467" w:rsidP="00483663">
      <w:pPr>
        <w:rPr>
          <w:color w:val="000000" w:themeColor="text1"/>
        </w:rPr>
      </w:pPr>
    </w:p>
    <w:p w14:paraId="016E5BBF" w14:textId="77777777" w:rsidR="00DD7148" w:rsidRPr="002C4B68" w:rsidRDefault="00DD7148" w:rsidP="00DD7148">
      <w:pPr>
        <w:ind w:firstLine="720"/>
        <w:jc w:val="both"/>
        <w:rPr>
          <w:color w:val="000000" w:themeColor="text1"/>
        </w:rPr>
      </w:pPr>
      <w:r w:rsidRPr="002C4B68">
        <w:rPr>
          <w:color w:val="000000" w:themeColor="text1"/>
        </w:rPr>
        <w:t xml:space="preserve">Academic deans demonstrated </w:t>
      </w:r>
      <w:r w:rsidRPr="002C4B68">
        <w:rPr>
          <w:rStyle w:val="Emphasis"/>
          <w:i w:val="0"/>
          <w:color w:val="000000" w:themeColor="text1"/>
        </w:rPr>
        <w:t>very good</w:t>
      </w:r>
      <w:r w:rsidRPr="002C4B68">
        <w:rPr>
          <w:color w:val="000000" w:themeColor="text1"/>
        </w:rPr>
        <w:t xml:space="preserve"> digital leadership in areas related to supporting educators in addressing diverse student needs, ensuring access to inclusive digital resources, and using technology for reflective personal and professional growth. These strengths suggest that the academic deans are fostering a positive, adaptive, and inclusive digital culture within their respective campuses. </w:t>
      </w:r>
    </w:p>
    <w:p w14:paraId="01C2689C" w14:textId="77777777" w:rsidR="00DD7148" w:rsidRPr="002C4B68" w:rsidRDefault="00DD7148" w:rsidP="00DD7148">
      <w:pPr>
        <w:jc w:val="both"/>
        <w:rPr>
          <w:color w:val="000000" w:themeColor="text1"/>
        </w:rPr>
      </w:pPr>
    </w:p>
    <w:p w14:paraId="1A33E152" w14:textId="77777777" w:rsidR="00DD7148" w:rsidRPr="002C4B68" w:rsidRDefault="00DD7148" w:rsidP="00DD7148">
      <w:pPr>
        <w:ind w:firstLine="720"/>
        <w:jc w:val="both"/>
        <w:rPr>
          <w:color w:val="000000" w:themeColor="text1"/>
        </w:rPr>
      </w:pPr>
      <w:r w:rsidRPr="002C4B68">
        <w:rPr>
          <w:color w:val="000000" w:themeColor="text1"/>
        </w:rPr>
        <w:t>Faculty members demonstrated a</w:t>
      </w:r>
      <w:r w:rsidRPr="002C4B68">
        <w:rPr>
          <w:b/>
          <w:color w:val="000000" w:themeColor="text1"/>
        </w:rPr>
        <w:t xml:space="preserve"> </w:t>
      </w:r>
      <w:r w:rsidRPr="002C4B68">
        <w:rPr>
          <w:rStyle w:val="Strong"/>
          <w:b w:val="0"/>
          <w:color w:val="000000" w:themeColor="text1"/>
        </w:rPr>
        <w:t>Proficient</w:t>
      </w:r>
      <w:r w:rsidRPr="002C4B68">
        <w:rPr>
          <w:color w:val="000000" w:themeColor="text1"/>
        </w:rPr>
        <w:t xml:space="preserve"> level of digital literacy with strengths in collaborating and co-learning with students, providing timely feedback and fostering digital literacy through critical evaluation of resources. This suggests that UEP faculty are effectively using technology to create interactive, student-centered learning environments, consistent with global trends </w:t>
      </w:r>
      <w:r w:rsidR="0081457E" w:rsidRPr="002C4B68">
        <w:rPr>
          <w:color w:val="000000" w:themeColor="text1"/>
        </w:rPr>
        <w:t>in digital pedagogy.</w:t>
      </w:r>
    </w:p>
    <w:p w14:paraId="5357D20D" w14:textId="77777777" w:rsidR="00DD7148" w:rsidRPr="002C4B68" w:rsidRDefault="00DD7148" w:rsidP="00DD7148">
      <w:pPr>
        <w:jc w:val="both"/>
        <w:rPr>
          <w:color w:val="000000" w:themeColor="text1"/>
        </w:rPr>
      </w:pPr>
    </w:p>
    <w:p w14:paraId="6B22244F" w14:textId="77777777" w:rsidR="00DD7148" w:rsidRPr="002C4B68" w:rsidRDefault="00DD7148" w:rsidP="00DD7148">
      <w:pPr>
        <w:ind w:firstLine="720"/>
        <w:jc w:val="both"/>
        <w:rPr>
          <w:color w:val="000000" w:themeColor="text1"/>
        </w:rPr>
      </w:pPr>
      <w:r w:rsidRPr="002C4B68">
        <w:rPr>
          <w:color w:val="000000" w:themeColor="text1"/>
        </w:rPr>
        <w:t>The lowest-rated competency</w:t>
      </w:r>
      <w:r w:rsidR="0081457E" w:rsidRPr="002C4B68">
        <w:rPr>
          <w:color w:val="000000" w:themeColor="text1"/>
        </w:rPr>
        <w:t xml:space="preserve">, </w:t>
      </w:r>
      <w:r w:rsidRPr="002C4B68">
        <w:rPr>
          <w:rStyle w:val="Strong"/>
          <w:b w:val="0"/>
          <w:color w:val="000000" w:themeColor="text1"/>
        </w:rPr>
        <w:t xml:space="preserve">diagnosing and troubleshooting technology </w:t>
      </w:r>
      <w:r w:rsidR="0081457E" w:rsidRPr="002C4B68">
        <w:rPr>
          <w:rStyle w:val="Strong"/>
          <w:b w:val="0"/>
          <w:color w:val="000000" w:themeColor="text1"/>
        </w:rPr>
        <w:t xml:space="preserve">issues, </w:t>
      </w:r>
      <w:r w:rsidR="0081457E" w:rsidRPr="002C4B68">
        <w:rPr>
          <w:color w:val="000000" w:themeColor="text1"/>
        </w:rPr>
        <w:t>revealed</w:t>
      </w:r>
      <w:r w:rsidRPr="002C4B68">
        <w:rPr>
          <w:color w:val="000000" w:themeColor="text1"/>
        </w:rPr>
        <w:t xml:space="preserve"> a significant skills gap. Faculty members face challenges in independ</w:t>
      </w:r>
      <w:r w:rsidR="0081457E" w:rsidRPr="002C4B68">
        <w:rPr>
          <w:color w:val="000000" w:themeColor="text1"/>
        </w:rPr>
        <w:t>ently resolving technical issues</w:t>
      </w:r>
      <w:r w:rsidRPr="002C4B68">
        <w:rPr>
          <w:color w:val="000000" w:themeColor="text1"/>
        </w:rPr>
        <w:t>. Additionally, lower scores in designing innovative learning activities and fostering computational thinking suggest that advanced digital peda</w:t>
      </w:r>
      <w:r w:rsidR="0081457E" w:rsidRPr="002C4B68">
        <w:rPr>
          <w:color w:val="000000" w:themeColor="text1"/>
        </w:rPr>
        <w:t>gogy is an area needing growth.</w:t>
      </w:r>
    </w:p>
    <w:p w14:paraId="17D7DC4B" w14:textId="77777777" w:rsidR="008D1467" w:rsidRPr="002C4B68" w:rsidRDefault="008D1467" w:rsidP="00DD7148">
      <w:pPr>
        <w:jc w:val="both"/>
        <w:rPr>
          <w:color w:val="000000" w:themeColor="text1"/>
        </w:rPr>
      </w:pPr>
    </w:p>
    <w:p w14:paraId="4F2AEACF" w14:textId="77777777" w:rsidR="008D1467" w:rsidRPr="002C4B68" w:rsidRDefault="0081457E" w:rsidP="00DD7148">
      <w:pPr>
        <w:ind w:firstLine="720"/>
        <w:jc w:val="both"/>
        <w:rPr>
          <w:color w:val="000000" w:themeColor="text1"/>
        </w:rPr>
      </w:pPr>
      <w:r w:rsidRPr="002C4B68">
        <w:rPr>
          <w:color w:val="000000" w:themeColor="text1"/>
        </w:rPr>
        <w:t>The test of relationship of academic deans’ digital leadership and faculty members’ digital literacy</w:t>
      </w:r>
      <w:r w:rsidR="00DD7148" w:rsidRPr="002C4B68">
        <w:rPr>
          <w:color w:val="000000" w:themeColor="text1"/>
        </w:rPr>
        <w:t xml:space="preserve"> indicate</w:t>
      </w:r>
      <w:r w:rsidRPr="002C4B68">
        <w:rPr>
          <w:color w:val="000000" w:themeColor="text1"/>
        </w:rPr>
        <w:t>d</w:t>
      </w:r>
      <w:r w:rsidR="00DD7148" w:rsidRPr="002C4B68">
        <w:rPr>
          <w:color w:val="000000" w:themeColor="text1"/>
        </w:rPr>
        <w:t xml:space="preserve"> a</w:t>
      </w:r>
      <w:r w:rsidR="00DD7148" w:rsidRPr="002C4B68">
        <w:rPr>
          <w:b/>
          <w:color w:val="000000" w:themeColor="text1"/>
        </w:rPr>
        <w:t xml:space="preserve"> </w:t>
      </w:r>
      <w:r w:rsidR="00DD7148" w:rsidRPr="002C4B68">
        <w:rPr>
          <w:rStyle w:val="Strong"/>
          <w:b w:val="0"/>
          <w:color w:val="000000" w:themeColor="text1"/>
        </w:rPr>
        <w:t>very weak and statistically non-significant relationship</w:t>
      </w:r>
      <w:r w:rsidR="00DD7148" w:rsidRPr="002C4B68">
        <w:rPr>
          <w:color w:val="000000" w:themeColor="text1"/>
        </w:rPr>
        <w:t xml:space="preserve">. This suggests that digital leadership alone does not have a direct, measurable influence on faculty members’ digital literacy within the UEP System. </w:t>
      </w:r>
      <w:r w:rsidRPr="002C4B68">
        <w:rPr>
          <w:color w:val="000000" w:themeColor="text1"/>
        </w:rPr>
        <w:t>F</w:t>
      </w:r>
      <w:r w:rsidR="00DD7148" w:rsidRPr="002C4B68">
        <w:rPr>
          <w:color w:val="000000" w:themeColor="text1"/>
        </w:rPr>
        <w:t>aculty</w:t>
      </w:r>
      <w:r w:rsidRPr="002C4B68">
        <w:rPr>
          <w:color w:val="000000" w:themeColor="text1"/>
        </w:rPr>
        <w:t xml:space="preserve"> members’</w:t>
      </w:r>
      <w:r w:rsidR="00DD7148" w:rsidRPr="002C4B68">
        <w:rPr>
          <w:color w:val="000000" w:themeColor="text1"/>
        </w:rPr>
        <w:t xml:space="preserve"> digital literacy is often shaped more by </w:t>
      </w:r>
      <w:r w:rsidR="00DD7148" w:rsidRPr="002C4B68">
        <w:rPr>
          <w:rStyle w:val="Strong"/>
          <w:b w:val="0"/>
          <w:color w:val="000000" w:themeColor="text1"/>
        </w:rPr>
        <w:t>individual initiative and peer collaboration</w:t>
      </w:r>
      <w:r w:rsidR="00DD7148" w:rsidRPr="002C4B68">
        <w:rPr>
          <w:color w:val="000000" w:themeColor="text1"/>
        </w:rPr>
        <w:t xml:space="preserve"> t</w:t>
      </w:r>
      <w:r w:rsidRPr="002C4B68">
        <w:rPr>
          <w:color w:val="000000" w:themeColor="text1"/>
        </w:rPr>
        <w:t>han by hierarchical leadership.</w:t>
      </w:r>
    </w:p>
    <w:p w14:paraId="3C7EDE91" w14:textId="77777777" w:rsidR="00DD7148" w:rsidRPr="002C4B68" w:rsidRDefault="00DD7148" w:rsidP="00483663">
      <w:pPr>
        <w:rPr>
          <w:color w:val="000000" w:themeColor="text1"/>
        </w:rPr>
      </w:pPr>
    </w:p>
    <w:p w14:paraId="6A2D3292" w14:textId="77777777" w:rsidR="008D1467" w:rsidRPr="002C4B68" w:rsidRDefault="008D1467" w:rsidP="00483663">
      <w:pPr>
        <w:rPr>
          <w:b/>
          <w:color w:val="000000" w:themeColor="text1"/>
        </w:rPr>
      </w:pPr>
      <w:r w:rsidRPr="002C4B68">
        <w:rPr>
          <w:b/>
          <w:color w:val="000000" w:themeColor="text1"/>
        </w:rPr>
        <w:t>RECOMMENDATIONS</w:t>
      </w:r>
    </w:p>
    <w:p w14:paraId="62F9F955" w14:textId="77777777" w:rsidR="008D1467" w:rsidRPr="002C4B68" w:rsidRDefault="008D1467" w:rsidP="00DD7148">
      <w:pPr>
        <w:jc w:val="both"/>
        <w:rPr>
          <w:color w:val="000000" w:themeColor="text1"/>
        </w:rPr>
      </w:pPr>
    </w:p>
    <w:p w14:paraId="2ADF1A1B" w14:textId="77777777" w:rsidR="00DD7148" w:rsidRPr="002C4B68" w:rsidRDefault="00DD7148" w:rsidP="00DD7148">
      <w:pPr>
        <w:ind w:firstLine="720"/>
        <w:jc w:val="both"/>
        <w:rPr>
          <w:rFonts w:eastAsia="Times New Roman"/>
          <w:color w:val="000000" w:themeColor="text1"/>
        </w:rPr>
      </w:pPr>
      <w:r w:rsidRPr="002C4B68">
        <w:rPr>
          <w:rFonts w:eastAsia="Times New Roman"/>
          <w:color w:val="000000" w:themeColor="text1"/>
        </w:rPr>
        <w:t xml:space="preserve">Academic deans should continue leveraging their strengths in promoting inclusive digital learning and modeling reflective practices. It is recommended that these leadership behaviors be systematically shared through </w:t>
      </w:r>
      <w:r w:rsidRPr="002C4B68">
        <w:rPr>
          <w:rFonts w:eastAsia="Times New Roman"/>
          <w:iCs/>
          <w:color w:val="000000" w:themeColor="text1"/>
        </w:rPr>
        <w:t>peer mentoring</w:t>
      </w:r>
      <w:r w:rsidRPr="002C4B68">
        <w:rPr>
          <w:rFonts w:eastAsia="Times New Roman"/>
          <w:color w:val="000000" w:themeColor="text1"/>
        </w:rPr>
        <w:t>, both within UEP and across external academic networks, to promote a university-wide culture of digital excellence.</w:t>
      </w:r>
    </w:p>
    <w:p w14:paraId="4BF94AAF" w14:textId="77777777" w:rsidR="00DD7148" w:rsidRPr="002C4B68" w:rsidRDefault="00DD7148" w:rsidP="00DD7148">
      <w:pPr>
        <w:jc w:val="both"/>
        <w:rPr>
          <w:color w:val="000000" w:themeColor="text1"/>
        </w:rPr>
      </w:pPr>
    </w:p>
    <w:p w14:paraId="35B3035A" w14:textId="77777777" w:rsidR="00DD7148" w:rsidRPr="002C4B68" w:rsidRDefault="00DD7148" w:rsidP="00DD7148">
      <w:pPr>
        <w:ind w:firstLine="720"/>
        <w:jc w:val="both"/>
        <w:rPr>
          <w:rFonts w:eastAsia="Times New Roman"/>
          <w:color w:val="000000" w:themeColor="text1"/>
        </w:rPr>
      </w:pPr>
      <w:r w:rsidRPr="002C4B68">
        <w:rPr>
          <w:color w:val="000000" w:themeColor="text1"/>
        </w:rPr>
        <w:t xml:space="preserve">The university should continue to nurture these strengths by promoting </w:t>
      </w:r>
      <w:r w:rsidRPr="002C4B68">
        <w:rPr>
          <w:rStyle w:val="Strong"/>
          <w:b w:val="0"/>
          <w:color w:val="000000" w:themeColor="text1"/>
        </w:rPr>
        <w:t>peer-sharing of best practices</w:t>
      </w:r>
      <w:r w:rsidRPr="002C4B68">
        <w:rPr>
          <w:color w:val="000000" w:themeColor="text1"/>
        </w:rPr>
        <w:t xml:space="preserve"> in collaborative learning and digital pedagogy. It is recommended that UEP formalize </w:t>
      </w:r>
      <w:r w:rsidRPr="002C4B68">
        <w:rPr>
          <w:rStyle w:val="Strong"/>
          <w:b w:val="0"/>
          <w:color w:val="000000" w:themeColor="text1"/>
        </w:rPr>
        <w:t>professional learning communities</w:t>
      </w:r>
      <w:r w:rsidRPr="002C4B68">
        <w:rPr>
          <w:color w:val="000000" w:themeColor="text1"/>
        </w:rPr>
        <w:t xml:space="preserve"> where faculty </w:t>
      </w:r>
      <w:r w:rsidRPr="002C4B68">
        <w:rPr>
          <w:color w:val="000000" w:themeColor="text1"/>
        </w:rPr>
        <w:lastRenderedPageBreak/>
        <w:t>members can exchange successful strategies and mentor colleagues in applying these practices across different disciplines.</w:t>
      </w:r>
    </w:p>
    <w:p w14:paraId="2F945D20" w14:textId="77777777" w:rsidR="00DD7148" w:rsidRPr="002C4B68" w:rsidRDefault="00DD7148" w:rsidP="00DD7148">
      <w:pPr>
        <w:jc w:val="both"/>
        <w:rPr>
          <w:color w:val="000000" w:themeColor="text1"/>
        </w:rPr>
      </w:pPr>
    </w:p>
    <w:p w14:paraId="69C56EC3" w14:textId="77777777" w:rsidR="008D1467" w:rsidRPr="002C4B68" w:rsidRDefault="00DD7148" w:rsidP="00DD7148">
      <w:pPr>
        <w:ind w:firstLine="720"/>
        <w:jc w:val="both"/>
        <w:rPr>
          <w:color w:val="000000" w:themeColor="text1"/>
        </w:rPr>
      </w:pPr>
      <w:r w:rsidRPr="002C4B68">
        <w:rPr>
          <w:color w:val="000000" w:themeColor="text1"/>
        </w:rPr>
        <w:t xml:space="preserve">The university should provide </w:t>
      </w:r>
      <w:r w:rsidRPr="002C4B68">
        <w:rPr>
          <w:rStyle w:val="Strong"/>
          <w:b w:val="0"/>
          <w:color w:val="000000" w:themeColor="text1"/>
        </w:rPr>
        <w:t>targeted capacity-building workshops</w:t>
      </w:r>
      <w:r w:rsidRPr="002C4B68">
        <w:rPr>
          <w:b/>
          <w:color w:val="000000" w:themeColor="text1"/>
        </w:rPr>
        <w:t xml:space="preserve"> </w:t>
      </w:r>
      <w:r w:rsidRPr="002C4B68">
        <w:rPr>
          <w:color w:val="000000" w:themeColor="text1"/>
        </w:rPr>
        <w:t>focused on</w:t>
      </w:r>
      <w:r w:rsidRPr="002C4B68">
        <w:rPr>
          <w:b/>
          <w:color w:val="000000" w:themeColor="text1"/>
        </w:rPr>
        <w:t xml:space="preserve"> </w:t>
      </w:r>
      <w:r w:rsidRPr="002C4B68">
        <w:rPr>
          <w:rStyle w:val="Strong"/>
          <w:b w:val="0"/>
          <w:color w:val="000000" w:themeColor="text1"/>
        </w:rPr>
        <w:t>basic troubleshooting skills</w:t>
      </w:r>
      <w:r w:rsidRPr="002C4B68">
        <w:rPr>
          <w:b/>
          <w:color w:val="000000" w:themeColor="text1"/>
        </w:rPr>
        <w:t xml:space="preserve">, </w:t>
      </w:r>
      <w:r w:rsidRPr="002C4B68">
        <w:rPr>
          <w:rStyle w:val="Strong"/>
          <w:b w:val="0"/>
          <w:color w:val="000000" w:themeColor="text1"/>
        </w:rPr>
        <w:t>computational thinking</w:t>
      </w:r>
      <w:r w:rsidRPr="002C4B68">
        <w:rPr>
          <w:color w:val="000000" w:themeColor="text1"/>
        </w:rPr>
        <w:t xml:space="preserve">, and </w:t>
      </w:r>
      <w:r w:rsidRPr="002C4B68">
        <w:rPr>
          <w:rStyle w:val="Strong"/>
          <w:b w:val="0"/>
          <w:color w:val="000000" w:themeColor="text1"/>
        </w:rPr>
        <w:t>innovative lesson design</w:t>
      </w:r>
      <w:r w:rsidRPr="002C4B68">
        <w:rPr>
          <w:color w:val="000000" w:themeColor="text1"/>
        </w:rPr>
        <w:t xml:space="preserve">. Incorporating </w:t>
      </w:r>
      <w:r w:rsidRPr="002C4B68">
        <w:rPr>
          <w:rStyle w:val="Strong"/>
          <w:b w:val="0"/>
          <w:color w:val="000000" w:themeColor="text1"/>
        </w:rPr>
        <w:t>hands-on, scenario-based training</w:t>
      </w:r>
      <w:r w:rsidRPr="002C4B68">
        <w:rPr>
          <w:color w:val="000000" w:themeColor="text1"/>
        </w:rPr>
        <w:t xml:space="preserve"> will help improve faculty confidence and capability in managing technology challenges and designing advanced digital learning experiences. Establishing an </w:t>
      </w:r>
      <w:r w:rsidRPr="002C4B68">
        <w:rPr>
          <w:rStyle w:val="Strong"/>
          <w:b w:val="0"/>
          <w:color w:val="000000" w:themeColor="text1"/>
        </w:rPr>
        <w:t>on-demand tech support system</w:t>
      </w:r>
      <w:r w:rsidRPr="002C4B68">
        <w:rPr>
          <w:color w:val="000000" w:themeColor="text1"/>
        </w:rPr>
        <w:t xml:space="preserve"> for faculty could also mitigate this gap.</w:t>
      </w:r>
    </w:p>
    <w:p w14:paraId="56371C62" w14:textId="77777777" w:rsidR="008D1467" w:rsidRPr="002C4B68" w:rsidRDefault="008D1467" w:rsidP="00DD7148">
      <w:pPr>
        <w:jc w:val="both"/>
        <w:rPr>
          <w:color w:val="000000" w:themeColor="text1"/>
        </w:rPr>
      </w:pPr>
    </w:p>
    <w:p w14:paraId="1B48CADF" w14:textId="77777777" w:rsidR="00DD7148" w:rsidRPr="002C4B68" w:rsidRDefault="00DD7148" w:rsidP="00DD7148">
      <w:pPr>
        <w:ind w:firstLine="720"/>
        <w:jc w:val="both"/>
        <w:rPr>
          <w:color w:val="000000" w:themeColor="text1"/>
        </w:rPr>
      </w:pPr>
      <w:r w:rsidRPr="002C4B68">
        <w:rPr>
          <w:color w:val="000000" w:themeColor="text1"/>
        </w:rPr>
        <w:t xml:space="preserve">While academic deans should continue to promote a supportive digital environment, UEP should </w:t>
      </w:r>
      <w:r w:rsidRPr="002C4B68">
        <w:rPr>
          <w:rStyle w:val="Strong"/>
          <w:b w:val="0"/>
          <w:color w:val="000000" w:themeColor="text1"/>
        </w:rPr>
        <w:t>broaden its strategy for enhancing faculty digital literacy</w:t>
      </w:r>
      <w:r w:rsidRPr="002C4B68">
        <w:rPr>
          <w:color w:val="000000" w:themeColor="text1"/>
        </w:rPr>
        <w:t xml:space="preserve"> by investing more in </w:t>
      </w:r>
      <w:r w:rsidRPr="002C4B68">
        <w:rPr>
          <w:rStyle w:val="Strong"/>
          <w:b w:val="0"/>
          <w:color w:val="000000" w:themeColor="text1"/>
        </w:rPr>
        <w:t>peer mentoring</w:t>
      </w:r>
      <w:r w:rsidRPr="002C4B68">
        <w:rPr>
          <w:b/>
          <w:color w:val="000000" w:themeColor="text1"/>
        </w:rPr>
        <w:t xml:space="preserve">, </w:t>
      </w:r>
      <w:r w:rsidRPr="002C4B68">
        <w:rPr>
          <w:rStyle w:val="Strong"/>
          <w:b w:val="0"/>
          <w:color w:val="000000" w:themeColor="text1"/>
        </w:rPr>
        <w:t>collaborative learning networks</w:t>
      </w:r>
      <w:r w:rsidRPr="002C4B68">
        <w:rPr>
          <w:b/>
          <w:color w:val="000000" w:themeColor="text1"/>
        </w:rPr>
        <w:t xml:space="preserve">, </w:t>
      </w:r>
      <w:r w:rsidRPr="002C4B68">
        <w:rPr>
          <w:color w:val="000000" w:themeColor="text1"/>
        </w:rPr>
        <w:t>and</w:t>
      </w:r>
      <w:r w:rsidRPr="002C4B68">
        <w:rPr>
          <w:b/>
          <w:color w:val="000000" w:themeColor="text1"/>
        </w:rPr>
        <w:t xml:space="preserve"> </w:t>
      </w:r>
      <w:r w:rsidRPr="002C4B68">
        <w:rPr>
          <w:rStyle w:val="Strong"/>
          <w:b w:val="0"/>
          <w:color w:val="000000" w:themeColor="text1"/>
        </w:rPr>
        <w:t>individualized professional development</w:t>
      </w:r>
      <w:r w:rsidRPr="002C4B68">
        <w:rPr>
          <w:color w:val="000000" w:themeColor="text1"/>
        </w:rPr>
        <w:t xml:space="preserve">. Faculty development programs should prioritize </w:t>
      </w:r>
      <w:r w:rsidRPr="002C4B68">
        <w:rPr>
          <w:rStyle w:val="Strong"/>
          <w:b w:val="0"/>
          <w:color w:val="000000" w:themeColor="text1"/>
        </w:rPr>
        <w:t>building personal confidence</w:t>
      </w:r>
      <w:r w:rsidRPr="002C4B68">
        <w:rPr>
          <w:color w:val="000000" w:themeColor="text1"/>
        </w:rPr>
        <w:t xml:space="preserve">, facilitating </w:t>
      </w:r>
      <w:r w:rsidRPr="002C4B68">
        <w:rPr>
          <w:rStyle w:val="Strong"/>
          <w:b w:val="0"/>
          <w:color w:val="000000" w:themeColor="text1"/>
        </w:rPr>
        <w:t>peer exchange</w:t>
      </w:r>
      <w:r w:rsidRPr="002C4B68">
        <w:rPr>
          <w:color w:val="000000" w:themeColor="text1"/>
        </w:rPr>
        <w:t xml:space="preserve">, and fostering an </w:t>
      </w:r>
      <w:r w:rsidRPr="002C4B68">
        <w:rPr>
          <w:rStyle w:val="Strong"/>
          <w:b w:val="0"/>
          <w:color w:val="000000" w:themeColor="text1"/>
        </w:rPr>
        <w:t>institutional culture</w:t>
      </w:r>
      <w:r w:rsidRPr="002C4B68">
        <w:rPr>
          <w:color w:val="000000" w:themeColor="text1"/>
        </w:rPr>
        <w:t xml:space="preserve"> where digital competence is encouraged organically. Leadership training for </w:t>
      </w:r>
      <w:r w:rsidR="00981B29" w:rsidRPr="002C4B68">
        <w:rPr>
          <w:color w:val="000000" w:themeColor="text1"/>
        </w:rPr>
        <w:t xml:space="preserve">academic </w:t>
      </w:r>
      <w:r w:rsidRPr="002C4B68">
        <w:rPr>
          <w:color w:val="000000" w:themeColor="text1"/>
        </w:rPr>
        <w:t xml:space="preserve">deans should also focus on </w:t>
      </w:r>
      <w:r w:rsidRPr="002C4B68">
        <w:rPr>
          <w:rStyle w:val="Strong"/>
          <w:b w:val="0"/>
          <w:color w:val="000000" w:themeColor="text1"/>
        </w:rPr>
        <w:t>indirect support strategies</w:t>
      </w:r>
      <w:r w:rsidRPr="002C4B68">
        <w:rPr>
          <w:color w:val="000000" w:themeColor="text1"/>
        </w:rPr>
        <w:t xml:space="preserve">, such as </w:t>
      </w:r>
      <w:r w:rsidRPr="002C4B68">
        <w:rPr>
          <w:rStyle w:val="Strong"/>
          <w:b w:val="0"/>
          <w:color w:val="000000" w:themeColor="text1"/>
        </w:rPr>
        <w:t>creating enabling environments</w:t>
      </w:r>
      <w:r w:rsidRPr="002C4B68">
        <w:rPr>
          <w:color w:val="000000" w:themeColor="text1"/>
        </w:rPr>
        <w:t xml:space="preserve">, providing resources, and </w:t>
      </w:r>
      <w:r w:rsidRPr="002C4B68">
        <w:rPr>
          <w:rStyle w:val="Strong"/>
          <w:b w:val="0"/>
          <w:color w:val="000000" w:themeColor="text1"/>
        </w:rPr>
        <w:t>recognizing faculty innovation</w:t>
      </w:r>
      <w:r w:rsidRPr="002C4B68">
        <w:rPr>
          <w:color w:val="000000" w:themeColor="text1"/>
        </w:rPr>
        <w:t xml:space="preserve"> in digital teaching.</w:t>
      </w:r>
    </w:p>
    <w:p w14:paraId="529B9CBC" w14:textId="77777777" w:rsidR="0051534E" w:rsidRPr="002C4B68" w:rsidRDefault="0051534E" w:rsidP="00DD7148">
      <w:pPr>
        <w:ind w:firstLine="720"/>
        <w:jc w:val="both"/>
        <w:rPr>
          <w:color w:val="000000" w:themeColor="text1"/>
        </w:rPr>
      </w:pPr>
    </w:p>
    <w:p w14:paraId="36D8BC54" w14:textId="77777777" w:rsidR="005C5DFB" w:rsidRPr="002C4B68" w:rsidRDefault="005C5DFB" w:rsidP="005C5DFB">
      <w:pPr>
        <w:jc w:val="both"/>
        <w:rPr>
          <w:rFonts w:eastAsia="Calibri"/>
          <w:b/>
          <w:color w:val="000000" w:themeColor="text1"/>
          <w:kern w:val="2"/>
        </w:rPr>
      </w:pPr>
      <w:bookmarkStart w:id="1" w:name="_Hlk180402183"/>
      <w:bookmarkStart w:id="2" w:name="_Hlk183680988"/>
      <w:r w:rsidRPr="002C4B68">
        <w:rPr>
          <w:rFonts w:eastAsia="Calibri"/>
          <w:b/>
          <w:color w:val="000000" w:themeColor="text1"/>
          <w:kern w:val="2"/>
        </w:rPr>
        <w:t>Disclaimer (Artificial intelligence)</w:t>
      </w:r>
    </w:p>
    <w:p w14:paraId="33BDA8CD" w14:textId="77777777" w:rsidR="005C5DFB" w:rsidRPr="002C4B68" w:rsidRDefault="005C5DFB" w:rsidP="005C5DFB">
      <w:pPr>
        <w:jc w:val="both"/>
        <w:rPr>
          <w:rFonts w:eastAsia="Calibri"/>
          <w:color w:val="000000" w:themeColor="text1"/>
          <w:kern w:val="2"/>
        </w:rPr>
      </w:pPr>
    </w:p>
    <w:p w14:paraId="0E01827D" w14:textId="77777777" w:rsidR="005C5DFB" w:rsidRPr="002C4B68" w:rsidRDefault="005C5DFB" w:rsidP="005C5DFB">
      <w:pPr>
        <w:ind w:firstLine="720"/>
        <w:jc w:val="both"/>
        <w:rPr>
          <w:color w:val="000000" w:themeColor="text1"/>
        </w:rPr>
      </w:pPr>
      <w:r w:rsidRPr="002C4B68">
        <w:rPr>
          <w:color w:val="000000" w:themeColor="text1"/>
        </w:rPr>
        <w:t>This research utilized ChatGPT, a language model developed by OpenAI, for paraphrasing paragraphs and checking grammatical errors. The Free ChatGPT App was employed as a tool to enhance the clarity and readability of the text, ensuring that ideas were effectively communicated while maintaining the original meaning. The use of ChatGPT contributed to refining the language and structure of the manuscript.</w:t>
      </w:r>
    </w:p>
    <w:p w14:paraId="6AF7A9DC" w14:textId="77777777" w:rsidR="005C5DFB" w:rsidRPr="002C4B68" w:rsidRDefault="005C5DFB" w:rsidP="005C5DFB">
      <w:pPr>
        <w:jc w:val="both"/>
        <w:rPr>
          <w:color w:val="000000" w:themeColor="text1"/>
        </w:rPr>
      </w:pPr>
    </w:p>
    <w:p w14:paraId="3A3C3C75" w14:textId="77777777" w:rsidR="005C5DFB" w:rsidRPr="002C4B68" w:rsidRDefault="005C5DFB" w:rsidP="005C5DFB">
      <w:pPr>
        <w:jc w:val="both"/>
        <w:rPr>
          <w:rFonts w:eastAsia="Calibri"/>
          <w:color w:val="000000" w:themeColor="text1"/>
          <w:kern w:val="2"/>
        </w:rPr>
      </w:pPr>
      <w:r w:rsidRPr="002C4B68">
        <w:rPr>
          <w:rFonts w:eastAsia="Calibri"/>
          <w:color w:val="000000" w:themeColor="text1"/>
          <w:kern w:val="2"/>
        </w:rPr>
        <w:t>Details of the AI usage are given below:</w:t>
      </w:r>
    </w:p>
    <w:p w14:paraId="33E81EC2" w14:textId="77777777" w:rsidR="005C5DFB" w:rsidRPr="002C4B68" w:rsidRDefault="005C5DFB" w:rsidP="005C5DFB">
      <w:pPr>
        <w:jc w:val="both"/>
        <w:rPr>
          <w:rFonts w:eastAsia="Calibri"/>
          <w:color w:val="000000" w:themeColor="text1"/>
          <w:kern w:val="2"/>
        </w:rPr>
      </w:pPr>
    </w:p>
    <w:p w14:paraId="6AF0D28A" w14:textId="77777777" w:rsidR="005C5DFB" w:rsidRPr="002C4B68"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2C4B68">
        <w:rPr>
          <w:rFonts w:ascii="Arial" w:eastAsia="Calibri" w:hAnsi="Arial" w:cs="Arial"/>
          <w:color w:val="000000" w:themeColor="text1"/>
          <w:kern w:val="2"/>
          <w:lang w:val="en-US"/>
        </w:rPr>
        <w:t xml:space="preserve">Used the </w:t>
      </w:r>
      <w:proofErr w:type="spellStart"/>
      <w:r w:rsidRPr="002C4B68">
        <w:rPr>
          <w:rFonts w:ascii="Arial" w:eastAsia="Calibri" w:hAnsi="Arial" w:cs="Arial"/>
          <w:color w:val="000000" w:themeColor="text1"/>
          <w:kern w:val="2"/>
          <w:lang w:val="en-US"/>
        </w:rPr>
        <w:t>ChatGPTA</w:t>
      </w:r>
      <w:proofErr w:type="spellEnd"/>
      <w:r w:rsidRPr="002C4B68">
        <w:rPr>
          <w:rFonts w:ascii="Arial" w:eastAsia="Calibri" w:hAnsi="Arial" w:cs="Arial"/>
          <w:color w:val="000000" w:themeColor="text1"/>
          <w:kern w:val="2"/>
          <w:lang w:val="en-US"/>
        </w:rPr>
        <w:t xml:space="preserve"> for paraphrasing the paragraphs for clarity and readability of text.</w:t>
      </w:r>
    </w:p>
    <w:p w14:paraId="33C9DEB6" w14:textId="77777777" w:rsidR="005C5DFB" w:rsidRPr="002C4B68"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2C4B68">
        <w:rPr>
          <w:rFonts w:ascii="Arial" w:eastAsia="Calibri" w:hAnsi="Arial" w:cs="Arial"/>
          <w:color w:val="000000" w:themeColor="text1"/>
          <w:kern w:val="2"/>
          <w:lang w:val="en-US"/>
        </w:rPr>
        <w:t>Used the ChatGPT for checking the language/grammar.</w:t>
      </w:r>
    </w:p>
    <w:bookmarkEnd w:id="1"/>
    <w:bookmarkEnd w:id="2"/>
    <w:p w14:paraId="6271B937" w14:textId="77777777" w:rsidR="00DD7148" w:rsidRPr="002C4B68" w:rsidRDefault="00DD7148" w:rsidP="00483663">
      <w:pPr>
        <w:rPr>
          <w:b/>
          <w:color w:val="000000" w:themeColor="text1"/>
        </w:rPr>
      </w:pPr>
    </w:p>
    <w:p w14:paraId="605789D3" w14:textId="27783D9E" w:rsidR="008D1467" w:rsidRPr="002C4B68" w:rsidRDefault="00570CE9" w:rsidP="00483663">
      <w:pPr>
        <w:rPr>
          <w:b/>
          <w:color w:val="000000" w:themeColor="text1"/>
        </w:rPr>
      </w:pPr>
      <w:r w:rsidRPr="002C4B68">
        <w:rPr>
          <w:b/>
          <w:color w:val="000000" w:themeColor="text1"/>
        </w:rPr>
        <w:t>REFERENCES</w:t>
      </w:r>
    </w:p>
    <w:p w14:paraId="194F3EEB" w14:textId="77777777" w:rsidR="008D1467" w:rsidRPr="002C4B68" w:rsidRDefault="008D1467" w:rsidP="00483663">
      <w:pPr>
        <w:rPr>
          <w:color w:val="000000" w:themeColor="text1"/>
        </w:rPr>
      </w:pPr>
    </w:p>
    <w:p w14:paraId="57F64228" w14:textId="552EF65D" w:rsidR="006D068C" w:rsidRPr="002C4B68" w:rsidRDefault="006D068C" w:rsidP="008A481A">
      <w:pPr>
        <w:jc w:val="both"/>
        <w:rPr>
          <w:rFonts w:eastAsia="Times New Roman"/>
          <w:color w:val="000000" w:themeColor="text1"/>
        </w:rPr>
      </w:pPr>
      <w:r w:rsidRPr="002C4B68">
        <w:rPr>
          <w:rFonts w:eastAsia="Times New Roman"/>
          <w:color w:val="000000" w:themeColor="text1"/>
        </w:rPr>
        <w:t>Antonopoulou, H, et.al. (2021). Digital leader and transformational leadership in higher education. 9616-9624. 10.21125/inted.2021.2005.</w:t>
      </w:r>
    </w:p>
    <w:p w14:paraId="3BADB6BA" w14:textId="77777777" w:rsidR="008A481A" w:rsidRPr="002C4B68" w:rsidRDefault="008A481A" w:rsidP="008A481A">
      <w:pPr>
        <w:jc w:val="both"/>
        <w:rPr>
          <w:rFonts w:eastAsia="Times New Roman"/>
          <w:color w:val="000000" w:themeColor="text1"/>
        </w:rPr>
      </w:pPr>
    </w:p>
    <w:p w14:paraId="726951FC" w14:textId="5A2283E2" w:rsidR="00BD0D0E" w:rsidRPr="006F11A6" w:rsidRDefault="00BD0D0E" w:rsidP="00BD0D0E">
      <w:pPr>
        <w:shd w:val="clear" w:color="auto" w:fill="FFFFFF"/>
        <w:jc w:val="both"/>
        <w:rPr>
          <w:rFonts w:eastAsia="Times New Roman"/>
          <w:color w:val="000000" w:themeColor="text1"/>
        </w:rPr>
      </w:pPr>
      <w:proofErr w:type="spellStart"/>
      <w:r w:rsidRPr="002C4B68">
        <w:rPr>
          <w:rFonts w:eastAsia="Times New Roman"/>
          <w:color w:val="000000" w:themeColor="text1"/>
        </w:rPr>
        <w:t>Bejinaru</w:t>
      </w:r>
      <w:proofErr w:type="spellEnd"/>
      <w:r w:rsidRPr="002C4B68">
        <w:rPr>
          <w:rFonts w:eastAsia="Times New Roman"/>
          <w:color w:val="000000" w:themeColor="text1"/>
        </w:rPr>
        <w:t>,</w:t>
      </w:r>
      <w:r w:rsidRPr="006F11A6">
        <w:rPr>
          <w:rFonts w:eastAsia="Times New Roman"/>
          <w:color w:val="000000" w:themeColor="text1"/>
        </w:rPr>
        <w:t xml:space="preserve"> R. (2019). Impact of Digitalization on Education in the Knowledge Economy. </w:t>
      </w:r>
      <w:r w:rsidRPr="006F11A6">
        <w:rPr>
          <w:rFonts w:eastAsia="Times New Roman"/>
          <w:i/>
          <w:iCs/>
          <w:color w:val="000000" w:themeColor="text1"/>
        </w:rPr>
        <w:t>Management Dynamics in the Knowledge Economy</w:t>
      </w:r>
      <w:r w:rsidRPr="006F11A6">
        <w:rPr>
          <w:rFonts w:eastAsia="Times New Roman"/>
          <w:color w:val="000000" w:themeColor="text1"/>
        </w:rPr>
        <w:t>, </w:t>
      </w:r>
      <w:r w:rsidRPr="006F11A6">
        <w:rPr>
          <w:rFonts w:eastAsia="Times New Roman"/>
          <w:i/>
          <w:iCs/>
          <w:color w:val="000000" w:themeColor="text1"/>
        </w:rPr>
        <w:t>7</w:t>
      </w:r>
      <w:r w:rsidRPr="002C4B68">
        <w:rPr>
          <w:rFonts w:eastAsia="Times New Roman"/>
          <w:color w:val="000000" w:themeColor="text1"/>
        </w:rPr>
        <w:t xml:space="preserve">(3), 367–380. Retrieved from </w:t>
      </w:r>
      <w:r w:rsidRPr="006F11A6">
        <w:rPr>
          <w:rFonts w:eastAsia="Times New Roman"/>
          <w:color w:val="000000" w:themeColor="text1"/>
        </w:rPr>
        <w:t>https://www.managementdynamics.ro/index.php/journal/article/view/327</w:t>
      </w:r>
    </w:p>
    <w:p w14:paraId="0386AC7D" w14:textId="77777777" w:rsidR="008A481A" w:rsidRPr="002C4B68" w:rsidRDefault="008A481A" w:rsidP="008A481A">
      <w:pPr>
        <w:jc w:val="both"/>
        <w:rPr>
          <w:rFonts w:eastAsia="Times New Roman"/>
          <w:color w:val="000000" w:themeColor="text1"/>
        </w:rPr>
      </w:pPr>
    </w:p>
    <w:p w14:paraId="1239CC73" w14:textId="77777777" w:rsidR="00BD0D0E" w:rsidRPr="002C4B68" w:rsidRDefault="00BD0D0E" w:rsidP="00BD0D0E">
      <w:pPr>
        <w:jc w:val="both"/>
        <w:rPr>
          <w:color w:val="000000" w:themeColor="text1"/>
        </w:rPr>
      </w:pPr>
      <w:r w:rsidRPr="002C4B68">
        <w:rPr>
          <w:color w:val="000000" w:themeColor="text1"/>
        </w:rPr>
        <w:t xml:space="preserve">Commission on Higher Education. (2020). </w:t>
      </w:r>
      <w:r w:rsidRPr="002C4B68">
        <w:rPr>
          <w:rStyle w:val="Emphasis"/>
          <w:color w:val="000000" w:themeColor="text1"/>
        </w:rPr>
        <w:t>CMO No. 4, s. 2020: Guidelines on the implementation of flexible learning</w:t>
      </w:r>
      <w:r w:rsidRPr="002C4B68">
        <w:rPr>
          <w:color w:val="000000" w:themeColor="text1"/>
        </w:rPr>
        <w:t xml:space="preserve"> [Memorandum]. CHED Regional Office III. Retrieved from </w:t>
      </w:r>
      <w:hyperlink r:id="rId7" w:history="1">
        <w:r w:rsidRPr="002C4B68">
          <w:rPr>
            <w:rStyle w:val="Hyperlink"/>
            <w:color w:val="000000" w:themeColor="text1"/>
          </w:rPr>
          <w:t>https://chedro3.ched.gov.ph/wp-content/uploads/2020/10/CMO</w:t>
        </w:r>
        <w:r w:rsidRPr="002C4B68">
          <w:rPr>
            <w:rStyle w:val="Hyperlink"/>
            <w:color w:val="000000" w:themeColor="text1"/>
          </w:rPr>
          <w:noBreakHyphen/>
          <w:t>No.</w:t>
        </w:r>
        <w:r w:rsidRPr="002C4B68">
          <w:rPr>
            <w:rStyle w:val="Hyperlink"/>
            <w:color w:val="000000" w:themeColor="text1"/>
          </w:rPr>
          <w:noBreakHyphen/>
          <w:t>4</w:t>
        </w:r>
        <w:r w:rsidRPr="002C4B68">
          <w:rPr>
            <w:rStyle w:val="Hyperlink"/>
            <w:color w:val="000000" w:themeColor="text1"/>
          </w:rPr>
          <w:noBreakHyphen/>
          <w:t>s.</w:t>
        </w:r>
        <w:r w:rsidRPr="002C4B68">
          <w:rPr>
            <w:rStyle w:val="Hyperlink"/>
            <w:color w:val="000000" w:themeColor="text1"/>
          </w:rPr>
          <w:noBreakHyphen/>
          <w:t>2020</w:t>
        </w:r>
        <w:r w:rsidRPr="002C4B68">
          <w:rPr>
            <w:rStyle w:val="Hyperlink"/>
            <w:color w:val="000000" w:themeColor="text1"/>
          </w:rPr>
          <w:noBreakHyphen/>
          <w:t>Guidelines</w:t>
        </w:r>
        <w:r w:rsidRPr="002C4B68">
          <w:rPr>
            <w:rStyle w:val="Hyperlink"/>
            <w:color w:val="000000" w:themeColor="text1"/>
          </w:rPr>
          <w:noBreakHyphen/>
          <w:t>on</w:t>
        </w:r>
        <w:r w:rsidRPr="002C4B68">
          <w:rPr>
            <w:rStyle w:val="Hyperlink"/>
            <w:color w:val="000000" w:themeColor="text1"/>
          </w:rPr>
          <w:noBreakHyphen/>
          <w:t>the</w:t>
        </w:r>
        <w:r w:rsidRPr="002C4B68">
          <w:rPr>
            <w:rStyle w:val="Hyperlink"/>
            <w:color w:val="000000" w:themeColor="text1"/>
          </w:rPr>
          <w:noBreakHyphen/>
          <w:t>Implementation</w:t>
        </w:r>
        <w:r w:rsidRPr="002C4B68">
          <w:rPr>
            <w:rStyle w:val="Hyperlink"/>
            <w:color w:val="000000" w:themeColor="text1"/>
          </w:rPr>
          <w:noBreakHyphen/>
          <w:t>of</w:t>
        </w:r>
        <w:r w:rsidRPr="002C4B68">
          <w:rPr>
            <w:rStyle w:val="Hyperlink"/>
            <w:color w:val="000000" w:themeColor="text1"/>
          </w:rPr>
          <w:noBreakHyphen/>
          <w:t>Flexible</w:t>
        </w:r>
        <w:r w:rsidRPr="002C4B68">
          <w:rPr>
            <w:rStyle w:val="Hyperlink"/>
            <w:color w:val="000000" w:themeColor="text1"/>
          </w:rPr>
          <w:noBreakHyphen/>
          <w:t>Learning.pdf</w:t>
        </w:r>
      </w:hyperlink>
    </w:p>
    <w:p w14:paraId="6093F047" w14:textId="6BE97BFA" w:rsidR="008A481A" w:rsidRPr="002C4B68" w:rsidRDefault="008A481A" w:rsidP="008A481A">
      <w:pPr>
        <w:jc w:val="both"/>
        <w:rPr>
          <w:rFonts w:eastAsia="Times New Roman"/>
          <w:color w:val="000000" w:themeColor="text1"/>
        </w:rPr>
      </w:pPr>
    </w:p>
    <w:p w14:paraId="7746165C" w14:textId="56D4C108" w:rsidR="00BD0D0E" w:rsidRPr="002C4B68" w:rsidRDefault="00BD0D0E" w:rsidP="008A481A">
      <w:pPr>
        <w:jc w:val="both"/>
        <w:rPr>
          <w:color w:val="000000" w:themeColor="text1"/>
        </w:rPr>
      </w:pPr>
      <w:proofErr w:type="spellStart"/>
      <w:r w:rsidRPr="002C4B68">
        <w:rPr>
          <w:color w:val="000000" w:themeColor="text1"/>
        </w:rPr>
        <w:lastRenderedPageBreak/>
        <w:t>Erdin</w:t>
      </w:r>
      <w:proofErr w:type="spellEnd"/>
      <w:r w:rsidRPr="002C4B68">
        <w:rPr>
          <w:color w:val="000000" w:themeColor="text1"/>
        </w:rPr>
        <w:t xml:space="preserve">, </w:t>
      </w:r>
      <w:proofErr w:type="spellStart"/>
      <w:r w:rsidRPr="002C4B68">
        <w:rPr>
          <w:color w:val="000000" w:themeColor="text1"/>
        </w:rPr>
        <w:t>Yaşar</w:t>
      </w:r>
      <w:proofErr w:type="spellEnd"/>
      <w:r w:rsidRPr="002C4B68">
        <w:rPr>
          <w:color w:val="000000" w:themeColor="text1"/>
        </w:rPr>
        <w:t>. (2020). New Digital Technology in Education: Conceptualizing Professional Learning for Educators. 5. 186.</w:t>
      </w:r>
    </w:p>
    <w:p w14:paraId="3AFE2241" w14:textId="77777777" w:rsidR="00BD0D0E" w:rsidRPr="002C4B68" w:rsidRDefault="00BD0D0E" w:rsidP="008A481A">
      <w:pPr>
        <w:jc w:val="both"/>
        <w:rPr>
          <w:rFonts w:eastAsia="Times New Roman"/>
          <w:color w:val="000000" w:themeColor="text1"/>
        </w:rPr>
      </w:pPr>
    </w:p>
    <w:p w14:paraId="7321B8A1" w14:textId="101001A0" w:rsidR="00FB39F9" w:rsidRPr="002C4B68" w:rsidRDefault="00BD0D0E" w:rsidP="008A481A">
      <w:pPr>
        <w:jc w:val="both"/>
        <w:rPr>
          <w:color w:val="000000" w:themeColor="text1"/>
          <w:shd w:val="clear" w:color="auto" w:fill="FFFFFF"/>
        </w:rPr>
      </w:pPr>
      <w:proofErr w:type="spellStart"/>
      <w:r w:rsidRPr="002C4B68">
        <w:rPr>
          <w:color w:val="000000" w:themeColor="text1"/>
          <w:shd w:val="clear" w:color="auto" w:fill="FFFFFF"/>
        </w:rPr>
        <w:t>Ertmer</w:t>
      </w:r>
      <w:proofErr w:type="spellEnd"/>
      <w:r w:rsidRPr="002C4B68">
        <w:rPr>
          <w:color w:val="000000" w:themeColor="text1"/>
          <w:shd w:val="clear" w:color="auto" w:fill="FFFFFF"/>
        </w:rPr>
        <w:t xml:space="preserve">, P., &amp; </w:t>
      </w:r>
      <w:proofErr w:type="spellStart"/>
      <w:r w:rsidRPr="002C4B68">
        <w:rPr>
          <w:color w:val="000000" w:themeColor="text1"/>
          <w:shd w:val="clear" w:color="auto" w:fill="FFFFFF"/>
        </w:rPr>
        <w:t>Ottenbreit</w:t>
      </w:r>
      <w:proofErr w:type="spellEnd"/>
      <w:r w:rsidRPr="002C4B68">
        <w:rPr>
          <w:color w:val="000000" w:themeColor="text1"/>
          <w:shd w:val="clear" w:color="auto" w:fill="FFFFFF"/>
        </w:rPr>
        <w:t>-Leftwich, A. T. (2010). Teacher Technology Change: How Knowledge, Confidence, Beliefs and Culture Intersect. Journal of Research on Technology in Education, 42, 255-284.</w:t>
      </w:r>
      <w:r w:rsidRPr="002C4B68">
        <w:rPr>
          <w:color w:val="000000" w:themeColor="text1"/>
        </w:rPr>
        <w:br/>
      </w:r>
      <w:hyperlink r:id="rId8" w:history="1">
        <w:r w:rsidRPr="002C4B68">
          <w:rPr>
            <w:rStyle w:val="Hyperlink"/>
            <w:color w:val="000000" w:themeColor="text1"/>
            <w:shd w:val="clear" w:color="auto" w:fill="FFFFFF"/>
          </w:rPr>
          <w:t>http://dx.doi.org/10.1080/15391523.2010.10782551</w:t>
        </w:r>
      </w:hyperlink>
      <w:r w:rsidRPr="002C4B68">
        <w:rPr>
          <w:color w:val="000000" w:themeColor="text1"/>
          <w:shd w:val="clear" w:color="auto" w:fill="FFFFFF"/>
        </w:rPr>
        <w:t xml:space="preserve"> </w:t>
      </w:r>
    </w:p>
    <w:p w14:paraId="511B0CB3" w14:textId="77777777" w:rsidR="00BD0D0E" w:rsidRPr="002C4B68" w:rsidRDefault="00BD0D0E" w:rsidP="008A481A">
      <w:pPr>
        <w:jc w:val="both"/>
        <w:rPr>
          <w:rFonts w:eastAsia="Times New Roman"/>
          <w:color w:val="000000" w:themeColor="text1"/>
        </w:rPr>
      </w:pPr>
    </w:p>
    <w:p w14:paraId="0F59CCA0" w14:textId="030BD751" w:rsidR="00BD0D0E" w:rsidRPr="002C4B68" w:rsidRDefault="00BD0D0E" w:rsidP="008A481A">
      <w:pPr>
        <w:jc w:val="both"/>
        <w:rPr>
          <w:color w:val="000000" w:themeColor="text1"/>
        </w:rPr>
      </w:pPr>
      <w:r w:rsidRPr="002C4B68">
        <w:rPr>
          <w:color w:val="000000" w:themeColor="text1"/>
        </w:rPr>
        <w:t xml:space="preserve">Gallardo, </w:t>
      </w:r>
      <w:proofErr w:type="spellStart"/>
      <w:r w:rsidRPr="002C4B68">
        <w:rPr>
          <w:color w:val="000000" w:themeColor="text1"/>
        </w:rPr>
        <w:t>Mayca</w:t>
      </w:r>
      <w:proofErr w:type="spellEnd"/>
      <w:r w:rsidRPr="002C4B68">
        <w:rPr>
          <w:color w:val="000000" w:themeColor="text1"/>
        </w:rPr>
        <w:t xml:space="preserve"> &amp; Guevara, Santa. (2024). The Role of Technology Integration in Facilitating Literature Education: Insights and Challenges. International Education Forum. 2. 122-138. 10.26689/ief.v2i11.9226.</w:t>
      </w:r>
    </w:p>
    <w:p w14:paraId="784FF2F3" w14:textId="77777777" w:rsidR="00BD0D0E" w:rsidRPr="002C4B68" w:rsidRDefault="00BD0D0E" w:rsidP="008A481A">
      <w:pPr>
        <w:jc w:val="both"/>
        <w:rPr>
          <w:rFonts w:eastAsia="Times New Roman"/>
          <w:color w:val="000000" w:themeColor="text1"/>
        </w:rPr>
      </w:pPr>
    </w:p>
    <w:p w14:paraId="168E7752" w14:textId="44239DE6" w:rsidR="008A481A" w:rsidRPr="002C4B68" w:rsidRDefault="00BD0D0E" w:rsidP="008A481A">
      <w:pPr>
        <w:jc w:val="both"/>
        <w:rPr>
          <w:color w:val="000000" w:themeColor="text1"/>
        </w:rPr>
      </w:pPr>
      <w:r w:rsidRPr="002C4B68">
        <w:rPr>
          <w:color w:val="000000" w:themeColor="text1"/>
        </w:rPr>
        <w:t xml:space="preserve">Howard, S. K., Tondeur, J., Ma, J., &amp; Yang, J. (2021). What to teach? Strategies for developing digital competency in preservice teacher training. </w:t>
      </w:r>
      <w:r w:rsidRPr="002C4B68">
        <w:rPr>
          <w:rStyle w:val="Emphasis"/>
          <w:color w:val="000000" w:themeColor="text1"/>
        </w:rPr>
        <w:t>Computers &amp; Education, 165</w:t>
      </w:r>
      <w:r w:rsidRPr="002C4B68">
        <w:rPr>
          <w:color w:val="000000" w:themeColor="text1"/>
        </w:rPr>
        <w:t xml:space="preserve">, 104149. </w:t>
      </w:r>
      <w:hyperlink r:id="rId9" w:tgtFrame="_new" w:history="1">
        <w:r w:rsidRPr="002C4B68">
          <w:rPr>
            <w:rStyle w:val="Hyperlink"/>
            <w:color w:val="000000" w:themeColor="text1"/>
          </w:rPr>
          <w:t>https://doi.org/10.1016/j.compedu.2021.104149</w:t>
        </w:r>
      </w:hyperlink>
    </w:p>
    <w:p w14:paraId="256D6A6E" w14:textId="77777777" w:rsidR="00BD0D0E" w:rsidRPr="002C4B68" w:rsidRDefault="00BD0D0E" w:rsidP="008A481A">
      <w:pPr>
        <w:jc w:val="both"/>
        <w:rPr>
          <w:rFonts w:eastAsia="Times New Roman"/>
          <w:color w:val="000000" w:themeColor="text1"/>
        </w:rPr>
      </w:pPr>
    </w:p>
    <w:p w14:paraId="2FB8B68B" w14:textId="77777777" w:rsidR="008A481A" w:rsidRPr="002C4B68" w:rsidRDefault="008A481A" w:rsidP="008A481A">
      <w:pPr>
        <w:jc w:val="both"/>
        <w:rPr>
          <w:rFonts w:eastAsia="Times New Roman"/>
          <w:color w:val="000000" w:themeColor="text1"/>
        </w:rPr>
      </w:pPr>
      <w:r w:rsidRPr="002C4B68">
        <w:rPr>
          <w:rFonts w:eastAsia="Times New Roman"/>
          <w:color w:val="000000" w:themeColor="text1"/>
        </w:rPr>
        <w:t xml:space="preserve">International Society for Technology in Education (ISTE). (2024). </w:t>
      </w:r>
      <w:r w:rsidRPr="002C4B68">
        <w:rPr>
          <w:rFonts w:eastAsia="Times New Roman"/>
          <w:i/>
          <w:iCs/>
          <w:color w:val="000000" w:themeColor="text1"/>
        </w:rPr>
        <w:t>ISTE Standards for Education Leaders and Educators</w:t>
      </w:r>
      <w:r w:rsidRPr="002C4B68">
        <w:rPr>
          <w:rFonts w:eastAsia="Times New Roman"/>
          <w:color w:val="000000" w:themeColor="text1"/>
        </w:rPr>
        <w:t xml:space="preserve">. </w:t>
      </w:r>
      <w:hyperlink r:id="rId10" w:tgtFrame="_new" w:history="1">
        <w:r w:rsidRPr="002C4B68">
          <w:rPr>
            <w:rFonts w:eastAsia="Times New Roman"/>
            <w:color w:val="000000" w:themeColor="text1"/>
            <w:u w:val="single"/>
          </w:rPr>
          <w:t>https://www.iste.org</w:t>
        </w:r>
      </w:hyperlink>
    </w:p>
    <w:p w14:paraId="0BC0281F" w14:textId="77777777" w:rsidR="00BD0D0E" w:rsidRPr="002C4B68" w:rsidRDefault="00BD0D0E" w:rsidP="00BD0D0E">
      <w:pPr>
        <w:pStyle w:val="NormalWeb"/>
        <w:rPr>
          <w:rFonts w:ascii="Arial" w:hAnsi="Arial" w:cs="Arial"/>
          <w:color w:val="000000" w:themeColor="text1"/>
        </w:rPr>
      </w:pPr>
      <w:r w:rsidRPr="002C4B68">
        <w:rPr>
          <w:rFonts w:ascii="Arial" w:hAnsi="Arial" w:cs="Arial"/>
          <w:color w:val="000000" w:themeColor="text1"/>
        </w:rPr>
        <w:t xml:space="preserve">Khan, N., Sarwar, A., Chen, T. B., &amp; Khan, S. (2022). Connecting digital literacy in higher education to the 21st century workforce. </w:t>
      </w:r>
      <w:r w:rsidRPr="002C4B68">
        <w:rPr>
          <w:rStyle w:val="Emphasis"/>
          <w:rFonts w:ascii="Arial" w:hAnsi="Arial" w:cs="Arial"/>
          <w:color w:val="000000" w:themeColor="text1"/>
        </w:rPr>
        <w:t>Knowledge Management &amp; E-Learning, 14</w:t>
      </w:r>
      <w:r w:rsidRPr="002C4B68">
        <w:rPr>
          <w:rFonts w:ascii="Arial" w:hAnsi="Arial" w:cs="Arial"/>
          <w:color w:val="000000" w:themeColor="text1"/>
        </w:rPr>
        <w:t xml:space="preserve">(1), 46–61. </w:t>
      </w:r>
      <w:hyperlink r:id="rId11" w:tgtFrame="_new" w:history="1">
        <w:r w:rsidRPr="002C4B68">
          <w:rPr>
            <w:rStyle w:val="Hyperlink"/>
            <w:rFonts w:ascii="Arial" w:hAnsi="Arial" w:cs="Arial"/>
            <w:color w:val="000000" w:themeColor="text1"/>
          </w:rPr>
          <w:t>https://doi.org/10.34105/j.kmel.2022.14.004</w:t>
        </w:r>
      </w:hyperlink>
    </w:p>
    <w:p w14:paraId="3F5AEF43" w14:textId="746EB300" w:rsidR="008A481A" w:rsidRPr="002C4B68" w:rsidRDefault="00BD0D0E" w:rsidP="008A481A">
      <w:pPr>
        <w:jc w:val="both"/>
        <w:rPr>
          <w:color w:val="000000" w:themeColor="text1"/>
        </w:rPr>
      </w:pPr>
      <w:proofErr w:type="spellStart"/>
      <w:r w:rsidRPr="002C4B68">
        <w:rPr>
          <w:color w:val="000000" w:themeColor="text1"/>
        </w:rPr>
        <w:t>Leithwood</w:t>
      </w:r>
      <w:proofErr w:type="spellEnd"/>
      <w:r w:rsidRPr="002C4B68">
        <w:rPr>
          <w:color w:val="000000" w:themeColor="text1"/>
        </w:rPr>
        <w:t xml:space="preserve">, Kenneth &amp; </w:t>
      </w:r>
      <w:proofErr w:type="spellStart"/>
      <w:r w:rsidRPr="002C4B68">
        <w:rPr>
          <w:color w:val="000000" w:themeColor="text1"/>
        </w:rPr>
        <w:t>Azah</w:t>
      </w:r>
      <w:proofErr w:type="spellEnd"/>
      <w:r w:rsidRPr="002C4B68">
        <w:rPr>
          <w:color w:val="000000" w:themeColor="text1"/>
        </w:rPr>
        <w:t>, Vera. (2016). Characteristics of effective leadership networks. Journal of Educational Administration. 54. 409-433. 10.1108/JEA-08-2015-0068.</w:t>
      </w:r>
    </w:p>
    <w:p w14:paraId="55D5F79E" w14:textId="77777777" w:rsidR="00BD0D0E" w:rsidRPr="002C4B68" w:rsidRDefault="00BD0D0E" w:rsidP="008A481A">
      <w:pPr>
        <w:jc w:val="both"/>
        <w:rPr>
          <w:rFonts w:eastAsia="Times New Roman"/>
          <w:color w:val="000000" w:themeColor="text1"/>
        </w:rPr>
      </w:pPr>
    </w:p>
    <w:p w14:paraId="591D3F54" w14:textId="77777777" w:rsidR="00BD0D0E" w:rsidRPr="002C4B68" w:rsidRDefault="00BD0D0E" w:rsidP="00BD0D0E">
      <w:pPr>
        <w:rPr>
          <w:color w:val="000000" w:themeColor="text1"/>
        </w:rPr>
      </w:pPr>
      <w:proofErr w:type="spellStart"/>
      <w:r w:rsidRPr="002C4B68">
        <w:rPr>
          <w:color w:val="000000" w:themeColor="text1"/>
        </w:rPr>
        <w:t>Leithwood</w:t>
      </w:r>
      <w:proofErr w:type="spellEnd"/>
      <w:r w:rsidRPr="002C4B68">
        <w:rPr>
          <w:color w:val="000000" w:themeColor="text1"/>
        </w:rPr>
        <w:t xml:space="preserve">, K., Sun, J., &amp; </w:t>
      </w:r>
      <w:proofErr w:type="spellStart"/>
      <w:r w:rsidRPr="002C4B68">
        <w:rPr>
          <w:color w:val="000000" w:themeColor="text1"/>
        </w:rPr>
        <w:t>Schumacker</w:t>
      </w:r>
      <w:proofErr w:type="spellEnd"/>
      <w:r w:rsidRPr="002C4B68">
        <w:rPr>
          <w:color w:val="000000" w:themeColor="text1"/>
        </w:rPr>
        <w:t xml:space="preserve">, R. (2019). How School Leadership Influences Student Learning: A Test of “The Four Paths Model”. </w:t>
      </w:r>
      <w:r w:rsidRPr="002C4B68">
        <w:rPr>
          <w:i/>
          <w:iCs/>
          <w:color w:val="000000" w:themeColor="text1"/>
        </w:rPr>
        <w:t>Educational Administration Quarterly</w:t>
      </w:r>
      <w:r w:rsidRPr="002C4B68">
        <w:rPr>
          <w:color w:val="000000" w:themeColor="text1"/>
        </w:rPr>
        <w:t xml:space="preserve">, </w:t>
      </w:r>
      <w:r w:rsidRPr="002C4B68">
        <w:rPr>
          <w:i/>
          <w:iCs/>
          <w:color w:val="000000" w:themeColor="text1"/>
        </w:rPr>
        <w:t>56</w:t>
      </w:r>
      <w:r w:rsidRPr="002C4B68">
        <w:rPr>
          <w:color w:val="000000" w:themeColor="text1"/>
        </w:rPr>
        <w:t xml:space="preserve">(4), 570-599. </w:t>
      </w:r>
      <w:hyperlink r:id="rId12" w:history="1">
        <w:r w:rsidRPr="002C4B68">
          <w:rPr>
            <w:rStyle w:val="Hyperlink"/>
            <w:color w:val="000000" w:themeColor="text1"/>
          </w:rPr>
          <w:t>https://doi.org/10.1177/0013161X19878772</w:t>
        </w:r>
      </w:hyperlink>
      <w:r w:rsidRPr="002C4B68">
        <w:rPr>
          <w:color w:val="000000" w:themeColor="text1"/>
        </w:rPr>
        <w:t xml:space="preserve"> (Original work published 2020)</w:t>
      </w:r>
    </w:p>
    <w:p w14:paraId="07F309F5" w14:textId="77777777" w:rsidR="008A481A" w:rsidRPr="002C4B68" w:rsidRDefault="008A481A" w:rsidP="008A481A">
      <w:pPr>
        <w:jc w:val="both"/>
        <w:rPr>
          <w:rFonts w:eastAsia="Times New Roman"/>
          <w:color w:val="000000" w:themeColor="text1"/>
        </w:rPr>
      </w:pPr>
    </w:p>
    <w:p w14:paraId="6ABB1BD6" w14:textId="577F6DF2" w:rsidR="00BD0D0E" w:rsidRPr="002C4B68" w:rsidRDefault="00BD0D0E" w:rsidP="008A481A">
      <w:pPr>
        <w:jc w:val="both"/>
        <w:rPr>
          <w:rFonts w:eastAsia="Times New Roman"/>
          <w:color w:val="000000" w:themeColor="text1"/>
        </w:rPr>
      </w:pPr>
      <w:proofErr w:type="spellStart"/>
      <w:r w:rsidRPr="002C4B68">
        <w:rPr>
          <w:color w:val="000000" w:themeColor="text1"/>
        </w:rPr>
        <w:t>Mahmadov</w:t>
      </w:r>
      <w:proofErr w:type="spellEnd"/>
      <w:r w:rsidRPr="002C4B68">
        <w:rPr>
          <w:color w:val="000000" w:themeColor="text1"/>
        </w:rPr>
        <w:t>, Yousif. (2025). Transforming Education Through Digital Learning: Embracing the New Era of Learning. International Journal of Education and Digital Learning (IJEDL). 3. 157-166. 10.47353/ijedl.v3i4.258.</w:t>
      </w:r>
    </w:p>
    <w:p w14:paraId="2727D243" w14:textId="77777777" w:rsidR="00BD0D0E" w:rsidRPr="002C4B68" w:rsidRDefault="00BD0D0E" w:rsidP="008A481A">
      <w:pPr>
        <w:jc w:val="both"/>
        <w:rPr>
          <w:rFonts w:eastAsia="Times New Roman"/>
          <w:color w:val="000000" w:themeColor="text1"/>
        </w:rPr>
      </w:pPr>
    </w:p>
    <w:p w14:paraId="369038F9" w14:textId="4EAD4AF9" w:rsidR="008A481A" w:rsidRPr="002C4B68" w:rsidRDefault="00BD0D0E" w:rsidP="008A481A">
      <w:pPr>
        <w:jc w:val="both"/>
        <w:rPr>
          <w:color w:val="000000" w:themeColor="text1"/>
        </w:rPr>
      </w:pPr>
      <w:r w:rsidRPr="002C4B68">
        <w:rPr>
          <w:color w:val="000000" w:themeColor="text1"/>
        </w:rPr>
        <w:t xml:space="preserve">Moradi, </w:t>
      </w:r>
      <w:proofErr w:type="spellStart"/>
      <w:r w:rsidRPr="002C4B68">
        <w:rPr>
          <w:color w:val="000000" w:themeColor="text1"/>
        </w:rPr>
        <w:t>Hamzeh</w:t>
      </w:r>
      <w:proofErr w:type="spellEnd"/>
      <w:r w:rsidRPr="002C4B68">
        <w:rPr>
          <w:color w:val="000000" w:themeColor="text1"/>
        </w:rPr>
        <w:t>. (2025). The role of language teachers’ perceptions and attitudes in ICT integration in higher education EFL classes in China. Humanities and Social Sciences Communications. 12. 10.1057/s41599-025-04524-5.</w:t>
      </w:r>
    </w:p>
    <w:p w14:paraId="69221F1A" w14:textId="77777777" w:rsidR="00BD0D0E" w:rsidRPr="002C4B68" w:rsidRDefault="00BD0D0E" w:rsidP="008A481A">
      <w:pPr>
        <w:jc w:val="both"/>
        <w:rPr>
          <w:rFonts w:eastAsia="Times New Roman"/>
          <w:color w:val="000000" w:themeColor="text1"/>
        </w:rPr>
      </w:pPr>
    </w:p>
    <w:p w14:paraId="0B710ECB" w14:textId="390E989D" w:rsidR="008A481A" w:rsidRPr="002C4B68" w:rsidRDefault="002C4B68" w:rsidP="008A481A">
      <w:pPr>
        <w:jc w:val="both"/>
        <w:rPr>
          <w:color w:val="000000" w:themeColor="text1"/>
        </w:rPr>
      </w:pPr>
      <w:proofErr w:type="spellStart"/>
      <w:r w:rsidRPr="002C4B68">
        <w:rPr>
          <w:color w:val="000000" w:themeColor="text1"/>
        </w:rPr>
        <w:t>Olofsson</w:t>
      </w:r>
      <w:proofErr w:type="spellEnd"/>
      <w:r w:rsidRPr="002C4B68">
        <w:rPr>
          <w:color w:val="000000" w:themeColor="text1"/>
        </w:rPr>
        <w:t xml:space="preserve">, Anders D. &amp; </w:t>
      </w:r>
      <w:proofErr w:type="spellStart"/>
      <w:r w:rsidRPr="002C4B68">
        <w:rPr>
          <w:color w:val="000000" w:themeColor="text1"/>
        </w:rPr>
        <w:t>Fransson</w:t>
      </w:r>
      <w:proofErr w:type="spellEnd"/>
      <w:r w:rsidRPr="002C4B68">
        <w:rPr>
          <w:color w:val="000000" w:themeColor="text1"/>
        </w:rPr>
        <w:t xml:space="preserve">, </w:t>
      </w:r>
      <w:proofErr w:type="spellStart"/>
      <w:r w:rsidRPr="002C4B68">
        <w:rPr>
          <w:color w:val="000000" w:themeColor="text1"/>
        </w:rPr>
        <w:t>Göran</w:t>
      </w:r>
      <w:proofErr w:type="spellEnd"/>
      <w:r w:rsidRPr="002C4B68">
        <w:rPr>
          <w:color w:val="000000" w:themeColor="text1"/>
        </w:rPr>
        <w:t xml:space="preserve"> &amp; Lindberg, </w:t>
      </w:r>
      <w:proofErr w:type="gramStart"/>
      <w:r w:rsidRPr="002C4B68">
        <w:rPr>
          <w:color w:val="000000" w:themeColor="text1"/>
        </w:rPr>
        <w:t>J..</w:t>
      </w:r>
      <w:proofErr w:type="gramEnd"/>
      <w:r w:rsidRPr="002C4B68">
        <w:rPr>
          <w:color w:val="000000" w:themeColor="text1"/>
        </w:rPr>
        <w:t xml:space="preserve"> (2019). A study of the use of digital technology and its conditions with a view to understanding what ‘adequate digital competence’ may mean in a national policy initiative. Educational Studies. 46. 1-17. 10.1080/03055698.2019.1651694.</w:t>
      </w:r>
    </w:p>
    <w:p w14:paraId="000199DA" w14:textId="77777777" w:rsidR="002C4B68" w:rsidRPr="002C4B68" w:rsidRDefault="002C4B68" w:rsidP="008A481A">
      <w:pPr>
        <w:jc w:val="both"/>
        <w:rPr>
          <w:rFonts w:eastAsia="Times New Roman"/>
          <w:color w:val="000000" w:themeColor="text1"/>
        </w:rPr>
      </w:pPr>
    </w:p>
    <w:p w14:paraId="0B513AC5" w14:textId="2A62F572" w:rsidR="008A481A" w:rsidRPr="002C4B68" w:rsidRDefault="002C4B68" w:rsidP="008A481A">
      <w:pPr>
        <w:jc w:val="both"/>
        <w:rPr>
          <w:rFonts w:eastAsia="Times New Roman"/>
          <w:color w:val="000000" w:themeColor="text1"/>
        </w:rPr>
      </w:pPr>
      <w:r w:rsidRPr="002C4B68">
        <w:rPr>
          <w:color w:val="000000" w:themeColor="text1"/>
        </w:rPr>
        <w:t xml:space="preserve">Seufert, S., </w:t>
      </w:r>
      <w:proofErr w:type="spellStart"/>
      <w:r w:rsidRPr="002C4B68">
        <w:rPr>
          <w:color w:val="000000" w:themeColor="text1"/>
        </w:rPr>
        <w:t>Guggemos</w:t>
      </w:r>
      <w:proofErr w:type="spellEnd"/>
      <w:r w:rsidRPr="002C4B68">
        <w:rPr>
          <w:color w:val="000000" w:themeColor="text1"/>
        </w:rPr>
        <w:t xml:space="preserve">, J., &amp; </w:t>
      </w:r>
      <w:proofErr w:type="spellStart"/>
      <w:r w:rsidRPr="002C4B68">
        <w:rPr>
          <w:color w:val="000000" w:themeColor="text1"/>
        </w:rPr>
        <w:t>Sailer</w:t>
      </w:r>
      <w:proofErr w:type="spellEnd"/>
      <w:r w:rsidRPr="002C4B68">
        <w:rPr>
          <w:color w:val="000000" w:themeColor="text1"/>
        </w:rPr>
        <w:t xml:space="preserve">, M. (2021). Technology-related knowledge, skills, and attitudes of pre- and in-service teachers: The current situation and emerging trends. </w:t>
      </w:r>
      <w:r w:rsidRPr="002C4B68">
        <w:rPr>
          <w:rStyle w:val="Emphasis"/>
          <w:color w:val="000000" w:themeColor="text1"/>
        </w:rPr>
        <w:t>Computers in Human Behavior, 115</w:t>
      </w:r>
      <w:r w:rsidRPr="002C4B68">
        <w:rPr>
          <w:color w:val="000000" w:themeColor="text1"/>
        </w:rPr>
        <w:t xml:space="preserve">, 106552. </w:t>
      </w:r>
      <w:hyperlink r:id="rId13" w:tgtFrame="_new" w:history="1">
        <w:r w:rsidRPr="002C4B68">
          <w:rPr>
            <w:rStyle w:val="Hyperlink"/>
            <w:color w:val="000000" w:themeColor="text1"/>
          </w:rPr>
          <w:t>https://doi.org/10.1016/j.chb.2020.106552</w:t>
        </w:r>
      </w:hyperlink>
      <w:r w:rsidRPr="002C4B68">
        <w:rPr>
          <w:color w:val="000000" w:themeColor="text1"/>
        </w:rPr>
        <w:t xml:space="preserve">  </w:t>
      </w:r>
    </w:p>
    <w:p w14:paraId="464853CF" w14:textId="77777777" w:rsidR="008A481A" w:rsidRPr="002C4B68" w:rsidRDefault="008A481A" w:rsidP="008A481A">
      <w:pPr>
        <w:jc w:val="both"/>
        <w:rPr>
          <w:rFonts w:eastAsia="Times New Roman"/>
          <w:color w:val="000000" w:themeColor="text1"/>
        </w:rPr>
      </w:pPr>
    </w:p>
    <w:p w14:paraId="1C86EE5D" w14:textId="4FD7B593" w:rsidR="002C4B68" w:rsidRPr="002C4B68" w:rsidRDefault="002C4B68" w:rsidP="002C4B68">
      <w:pPr>
        <w:rPr>
          <w:color w:val="000000" w:themeColor="text1"/>
        </w:rPr>
      </w:pPr>
      <w:r w:rsidRPr="002C4B68">
        <w:rPr>
          <w:color w:val="000000" w:themeColor="text1"/>
        </w:rPr>
        <w:lastRenderedPageBreak/>
        <w:t xml:space="preserve">Sheninger, E. (2014). </w:t>
      </w:r>
      <w:r w:rsidRPr="002C4B68">
        <w:rPr>
          <w:rStyle w:val="Emphasis"/>
          <w:color w:val="000000" w:themeColor="text1"/>
        </w:rPr>
        <w:t>Digital Leadership: Changing Paradigms for Changing Times</w:t>
      </w:r>
      <w:r w:rsidRPr="002C4B68">
        <w:rPr>
          <w:color w:val="000000" w:themeColor="text1"/>
        </w:rPr>
        <w:t>. SAGE Publications. Retrieved from</w:t>
      </w:r>
    </w:p>
    <w:p w14:paraId="7E61FCB7" w14:textId="42A3482E" w:rsidR="008A481A" w:rsidRPr="002C4B68" w:rsidRDefault="00B67D0E" w:rsidP="002C4B68">
      <w:pPr>
        <w:jc w:val="both"/>
        <w:rPr>
          <w:color w:val="000000" w:themeColor="text1"/>
        </w:rPr>
      </w:pPr>
      <w:hyperlink r:id="rId14" w:history="1">
        <w:r w:rsidR="002C4B68" w:rsidRPr="002C4B68">
          <w:rPr>
            <w:rStyle w:val="Hyperlink"/>
            <w:color w:val="000000" w:themeColor="text1"/>
          </w:rPr>
          <w:t>https://books.google.com.ph/books/about/Digital_Leadership.html?hl=th&amp;id=YUIbnwEACAAJ&amp;redir_esc=y</w:t>
        </w:r>
      </w:hyperlink>
    </w:p>
    <w:p w14:paraId="02571A92" w14:textId="77777777" w:rsidR="002C4B68" w:rsidRPr="002C4B68" w:rsidRDefault="002C4B68" w:rsidP="002C4B68">
      <w:pPr>
        <w:jc w:val="both"/>
        <w:rPr>
          <w:rFonts w:eastAsia="Times New Roman"/>
          <w:color w:val="000000" w:themeColor="text1"/>
        </w:rPr>
      </w:pPr>
    </w:p>
    <w:p w14:paraId="0DED6DEE" w14:textId="32874835" w:rsidR="008A481A" w:rsidRPr="002C4B68" w:rsidRDefault="002C4B68" w:rsidP="008A481A">
      <w:pPr>
        <w:jc w:val="both"/>
        <w:rPr>
          <w:color w:val="000000" w:themeColor="text1"/>
          <w:shd w:val="clear" w:color="auto" w:fill="FFFFFF"/>
        </w:rPr>
      </w:pPr>
      <w:r w:rsidRPr="002C4B68">
        <w:rPr>
          <w:color w:val="000000" w:themeColor="text1"/>
          <w:shd w:val="clear" w:color="auto" w:fill="FFFFFF"/>
        </w:rPr>
        <w:t>Starkey, L. (2019). A review of research exploring teacher preparation for the digital age. </w:t>
      </w:r>
      <w:r w:rsidRPr="002C4B68">
        <w:rPr>
          <w:i/>
          <w:iCs/>
          <w:color w:val="000000" w:themeColor="text1"/>
          <w:shd w:val="clear" w:color="auto" w:fill="FFFFFF"/>
        </w:rPr>
        <w:t>Cambridge Journal of Education</w:t>
      </w:r>
      <w:r w:rsidRPr="002C4B68">
        <w:rPr>
          <w:color w:val="000000" w:themeColor="text1"/>
          <w:shd w:val="clear" w:color="auto" w:fill="FFFFFF"/>
        </w:rPr>
        <w:t>, </w:t>
      </w:r>
      <w:r w:rsidRPr="002C4B68">
        <w:rPr>
          <w:i/>
          <w:iCs/>
          <w:color w:val="000000" w:themeColor="text1"/>
          <w:shd w:val="clear" w:color="auto" w:fill="FFFFFF"/>
        </w:rPr>
        <w:t>50</w:t>
      </w:r>
      <w:r w:rsidRPr="002C4B68">
        <w:rPr>
          <w:color w:val="000000" w:themeColor="text1"/>
          <w:shd w:val="clear" w:color="auto" w:fill="FFFFFF"/>
        </w:rPr>
        <w:t xml:space="preserve">(1), 37–56. </w:t>
      </w:r>
      <w:hyperlink r:id="rId15" w:history="1">
        <w:r w:rsidRPr="002C4B68">
          <w:rPr>
            <w:rStyle w:val="Hyperlink"/>
            <w:color w:val="000000" w:themeColor="text1"/>
            <w:shd w:val="clear" w:color="auto" w:fill="FFFFFF"/>
          </w:rPr>
          <w:t>https://doi.org/10.1080/0305764X.2019.1625867</w:t>
        </w:r>
      </w:hyperlink>
    </w:p>
    <w:p w14:paraId="0AE9DBA5" w14:textId="77777777" w:rsidR="002C4B68" w:rsidRPr="002C4B68" w:rsidRDefault="002C4B68" w:rsidP="008A481A">
      <w:pPr>
        <w:jc w:val="both"/>
        <w:rPr>
          <w:rFonts w:eastAsia="Times New Roman"/>
          <w:color w:val="000000" w:themeColor="text1"/>
        </w:rPr>
      </w:pPr>
    </w:p>
    <w:p w14:paraId="4723AB9A" w14:textId="77777777" w:rsidR="002C4B68" w:rsidRPr="002C4B68" w:rsidRDefault="002C4B68" w:rsidP="002C4B68">
      <w:pPr>
        <w:rPr>
          <w:color w:val="000000" w:themeColor="text1"/>
        </w:rPr>
      </w:pPr>
      <w:proofErr w:type="spellStart"/>
      <w:r w:rsidRPr="002C4B68">
        <w:rPr>
          <w:color w:val="000000" w:themeColor="text1"/>
        </w:rPr>
        <w:t>Tondeur</w:t>
      </w:r>
      <w:proofErr w:type="spellEnd"/>
      <w:r w:rsidRPr="002C4B68">
        <w:rPr>
          <w:color w:val="000000" w:themeColor="text1"/>
        </w:rPr>
        <w:t xml:space="preserve">, Jo &amp; Pareja Roblin, Natalie &amp; van </w:t>
      </w:r>
      <w:proofErr w:type="spellStart"/>
      <w:r w:rsidRPr="002C4B68">
        <w:rPr>
          <w:color w:val="000000" w:themeColor="text1"/>
        </w:rPr>
        <w:t>Braak</w:t>
      </w:r>
      <w:proofErr w:type="spellEnd"/>
      <w:r w:rsidRPr="002C4B68">
        <w:rPr>
          <w:color w:val="000000" w:themeColor="text1"/>
        </w:rPr>
        <w:t xml:space="preserve">, Johan &amp; </w:t>
      </w:r>
      <w:proofErr w:type="spellStart"/>
      <w:r w:rsidRPr="002C4B68">
        <w:rPr>
          <w:color w:val="000000" w:themeColor="text1"/>
        </w:rPr>
        <w:t>Voogt</w:t>
      </w:r>
      <w:proofErr w:type="spellEnd"/>
      <w:r w:rsidRPr="002C4B68">
        <w:rPr>
          <w:color w:val="000000" w:themeColor="text1"/>
        </w:rPr>
        <w:t xml:space="preserve">, Joke &amp; </w:t>
      </w:r>
      <w:proofErr w:type="spellStart"/>
      <w:r w:rsidRPr="002C4B68">
        <w:rPr>
          <w:color w:val="000000" w:themeColor="text1"/>
        </w:rPr>
        <w:t>Prestridge</w:t>
      </w:r>
      <w:proofErr w:type="spellEnd"/>
      <w:r w:rsidRPr="002C4B68">
        <w:rPr>
          <w:color w:val="000000" w:themeColor="text1"/>
        </w:rPr>
        <w:t>, Sarah. (2016). Preparing beginning teachers for technology integration in education: Ready for take-</w:t>
      </w:r>
      <w:proofErr w:type="gramStart"/>
      <w:r w:rsidRPr="002C4B68">
        <w:rPr>
          <w:color w:val="000000" w:themeColor="text1"/>
        </w:rPr>
        <w:t>off?.</w:t>
      </w:r>
      <w:proofErr w:type="gramEnd"/>
      <w:r w:rsidRPr="002C4B68">
        <w:rPr>
          <w:color w:val="000000" w:themeColor="text1"/>
        </w:rPr>
        <w:t xml:space="preserve"> Technology Pedagogy and Education. 26. 10.1080/1475939X.2016.1193556.  </w:t>
      </w:r>
    </w:p>
    <w:p w14:paraId="35BC1C0F" w14:textId="3E7B1ACC" w:rsidR="008A481A" w:rsidRPr="002C4B68" w:rsidRDefault="002C4B68" w:rsidP="008A481A">
      <w:pPr>
        <w:jc w:val="both"/>
        <w:rPr>
          <w:rFonts w:eastAsia="Times New Roman"/>
          <w:color w:val="000000" w:themeColor="text1"/>
        </w:rPr>
      </w:pPr>
      <w:r w:rsidRPr="002C4B68">
        <w:rPr>
          <w:rFonts w:eastAsia="Times New Roman"/>
          <w:color w:val="000000" w:themeColor="text1"/>
        </w:rPr>
        <w:t xml:space="preserve"> </w:t>
      </w:r>
    </w:p>
    <w:p w14:paraId="2099F139" w14:textId="4148553F" w:rsidR="00DB6A70" w:rsidRPr="002C4B68" w:rsidRDefault="002C4B68" w:rsidP="00483663">
      <w:pPr>
        <w:rPr>
          <w:color w:val="000000" w:themeColor="text1"/>
        </w:rPr>
      </w:pPr>
      <w:r w:rsidRPr="002C4B68">
        <w:rPr>
          <w:color w:val="000000" w:themeColor="text1"/>
        </w:rPr>
        <w:t xml:space="preserve">Trust, T., &amp; Whalen, J. (2020). </w:t>
      </w:r>
      <w:r w:rsidRPr="002C4B68">
        <w:rPr>
          <w:rStyle w:val="Emphasis"/>
          <w:color w:val="000000" w:themeColor="text1"/>
        </w:rPr>
        <w:t>Should teachers be trained in emergency remote teaching? Lessons learned from the COVID</w:t>
      </w:r>
      <w:r w:rsidRPr="002C4B68">
        <w:rPr>
          <w:rStyle w:val="Emphasis"/>
          <w:color w:val="000000" w:themeColor="text1"/>
        </w:rPr>
        <w:noBreakHyphen/>
        <w:t>19 pandemic</w:t>
      </w:r>
      <w:r w:rsidRPr="002C4B68">
        <w:rPr>
          <w:color w:val="000000" w:themeColor="text1"/>
        </w:rPr>
        <w:t xml:space="preserve">. </w:t>
      </w:r>
      <w:r w:rsidRPr="002C4B68">
        <w:rPr>
          <w:rStyle w:val="Emphasis"/>
          <w:color w:val="000000" w:themeColor="text1"/>
        </w:rPr>
        <w:t>Journal of Technology and Teacher Education</w:t>
      </w:r>
      <w:r w:rsidRPr="002C4B68">
        <w:rPr>
          <w:color w:val="000000" w:themeColor="text1"/>
        </w:rPr>
        <w:t xml:space="preserve">, </w:t>
      </w:r>
      <w:r w:rsidRPr="002C4B68">
        <w:rPr>
          <w:rStyle w:val="Emphasis"/>
          <w:color w:val="000000" w:themeColor="text1"/>
        </w:rPr>
        <w:t>28</w:t>
      </w:r>
      <w:r w:rsidRPr="002C4B68">
        <w:rPr>
          <w:color w:val="000000" w:themeColor="text1"/>
        </w:rPr>
        <w:t xml:space="preserve">(2), 189–199. </w:t>
      </w:r>
      <w:hyperlink r:id="rId16" w:tgtFrame="_new" w:history="1">
        <w:r w:rsidRPr="002C4B68">
          <w:rPr>
            <w:rStyle w:val="Hyperlink"/>
            <w:color w:val="000000" w:themeColor="text1"/>
          </w:rPr>
          <w:t>https://eric.ed.gov/?id=EJ1257153</w:t>
        </w:r>
      </w:hyperlink>
    </w:p>
    <w:p w14:paraId="0EFB1972" w14:textId="77777777" w:rsidR="002C4B68" w:rsidRPr="002C4B68" w:rsidRDefault="002C4B68" w:rsidP="00483663">
      <w:pPr>
        <w:rPr>
          <w:color w:val="000000" w:themeColor="text1"/>
        </w:rPr>
      </w:pPr>
    </w:p>
    <w:p w14:paraId="5D438649" w14:textId="45BCD85C" w:rsidR="002C4B68" w:rsidRDefault="00BD0D0E" w:rsidP="00483663">
      <w:pPr>
        <w:rPr>
          <w:color w:val="000000" w:themeColor="text1"/>
        </w:rPr>
      </w:pPr>
      <w:r w:rsidRPr="002C4B68">
        <w:rPr>
          <w:color w:val="000000" w:themeColor="text1"/>
        </w:rPr>
        <w:t xml:space="preserve">Vásquez, M., et.al. (2021). Teacher's Digital Competencies. A Systematic Review in the Latin-American Context. International Journal on Advanced Science, Engineering and Information Technology. 11. 2495. 10.18517/ijaseit.11.6.12542. </w:t>
      </w:r>
    </w:p>
    <w:p w14:paraId="592ADD75" w14:textId="77777777" w:rsidR="002C4B68" w:rsidRPr="002C4B68" w:rsidRDefault="002C4B68" w:rsidP="002C4B68"/>
    <w:p w14:paraId="029FBF39" w14:textId="77777777" w:rsidR="002C4B68" w:rsidRPr="002C4B68" w:rsidRDefault="002C4B68" w:rsidP="002C4B68"/>
    <w:p w14:paraId="78C52D17" w14:textId="457799C4" w:rsidR="002C4B68" w:rsidRDefault="002C4B68" w:rsidP="002C4B68"/>
    <w:p w14:paraId="1852C68E" w14:textId="3A97F19B" w:rsidR="00BD0D0E" w:rsidRPr="002C4B68" w:rsidRDefault="002C4B68" w:rsidP="002C4B68">
      <w:pPr>
        <w:tabs>
          <w:tab w:val="left" w:pos="6025"/>
        </w:tabs>
      </w:pPr>
      <w:r>
        <w:tab/>
      </w:r>
    </w:p>
    <w:sectPr w:rsidR="00BD0D0E" w:rsidRPr="002C4B68" w:rsidSect="009B2317">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1BD1" w14:textId="77777777" w:rsidR="00B67D0E" w:rsidRDefault="00B67D0E" w:rsidP="00A261B3">
      <w:r>
        <w:separator/>
      </w:r>
    </w:p>
  </w:endnote>
  <w:endnote w:type="continuationSeparator" w:id="0">
    <w:p w14:paraId="0574E6D5" w14:textId="77777777" w:rsidR="00B67D0E" w:rsidRDefault="00B67D0E" w:rsidP="00A2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79E2" w14:textId="77777777" w:rsidR="00A261B3" w:rsidRDefault="00A2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058D" w14:textId="77777777" w:rsidR="00A261B3" w:rsidRDefault="00A2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2D51" w14:textId="77777777" w:rsidR="00A261B3" w:rsidRDefault="00A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A67E" w14:textId="77777777" w:rsidR="00B67D0E" w:rsidRDefault="00B67D0E" w:rsidP="00A261B3">
      <w:r>
        <w:separator/>
      </w:r>
    </w:p>
  </w:footnote>
  <w:footnote w:type="continuationSeparator" w:id="0">
    <w:p w14:paraId="4779C41A" w14:textId="77777777" w:rsidR="00B67D0E" w:rsidRDefault="00B67D0E" w:rsidP="00A2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69D1" w14:textId="361F94AB" w:rsidR="00A261B3" w:rsidRDefault="00B67D0E">
    <w:pPr>
      <w:pStyle w:val="Header"/>
    </w:pPr>
    <w:r>
      <w:rPr>
        <w:noProof/>
      </w:rPr>
      <w:pict w14:anchorId="642D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4D3C" w14:textId="4E62BCFD" w:rsidR="00A261B3" w:rsidRDefault="00B67D0E">
    <w:pPr>
      <w:pStyle w:val="Header"/>
    </w:pPr>
    <w:r>
      <w:rPr>
        <w:noProof/>
      </w:rPr>
      <w:pict w14:anchorId="3F66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98DD" w14:textId="6D9533B7" w:rsidR="00A261B3" w:rsidRDefault="00B67D0E">
    <w:pPr>
      <w:pStyle w:val="Header"/>
    </w:pPr>
    <w:r>
      <w:rPr>
        <w:noProof/>
      </w:rPr>
      <w:pict w14:anchorId="44042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4749D"/>
    <w:multiLevelType w:val="multilevel"/>
    <w:tmpl w:val="EE304968"/>
    <w:lvl w:ilvl="0">
      <w:start w:val="3"/>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1" w15:restartNumberingAfterBreak="0">
    <w:nsid w:val="48FD66B9"/>
    <w:multiLevelType w:val="multilevel"/>
    <w:tmpl w:val="48FD66B9"/>
    <w:lvl w:ilvl="0">
      <w:start w:val="1"/>
      <w:numFmt w:val="decimal"/>
      <w:lvlText w:val="%1."/>
      <w:lvlJc w:val="left"/>
      <w:pPr>
        <w:ind w:left="720" w:hanging="360"/>
      </w:pPr>
      <w:rPr>
        <w:rFonts w:ascii="Courier New" w:eastAsiaTheme="minorHAnsi" w:hAnsi="Courier New" w:cs="Courier New" w:hint="default"/>
      </w:rPr>
    </w:lvl>
    <w:lvl w:ilvl="1">
      <w:start w:val="1"/>
      <w:numFmt w:val="lowerLetter"/>
      <w:lvlText w:val="%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BD6252D"/>
    <w:multiLevelType w:val="hybridMultilevel"/>
    <w:tmpl w:val="6026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45FC6"/>
    <w:multiLevelType w:val="multilevel"/>
    <w:tmpl w:val="D3D888FC"/>
    <w:lvl w:ilvl="0">
      <w:start w:val="4"/>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4" w15:restartNumberingAfterBreak="0">
    <w:nsid w:val="5F767FCF"/>
    <w:multiLevelType w:val="multilevel"/>
    <w:tmpl w:val="AF9ECF70"/>
    <w:lvl w:ilvl="0">
      <w:start w:val="1"/>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5" w15:restartNumberingAfterBreak="0">
    <w:nsid w:val="7ED867BA"/>
    <w:multiLevelType w:val="multilevel"/>
    <w:tmpl w:val="1FA8F63E"/>
    <w:lvl w:ilvl="0">
      <w:start w:val="2"/>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63"/>
    <w:rsid w:val="00047E70"/>
    <w:rsid w:val="000A46E8"/>
    <w:rsid w:val="000D6E36"/>
    <w:rsid w:val="001E34F2"/>
    <w:rsid w:val="00281D07"/>
    <w:rsid w:val="002C4B68"/>
    <w:rsid w:val="00351A9C"/>
    <w:rsid w:val="00396EFB"/>
    <w:rsid w:val="00433760"/>
    <w:rsid w:val="00445A30"/>
    <w:rsid w:val="00483663"/>
    <w:rsid w:val="004B6DBD"/>
    <w:rsid w:val="005109B3"/>
    <w:rsid w:val="0051534E"/>
    <w:rsid w:val="00570CE9"/>
    <w:rsid w:val="005C5DFB"/>
    <w:rsid w:val="005E4427"/>
    <w:rsid w:val="0062202E"/>
    <w:rsid w:val="00627422"/>
    <w:rsid w:val="006812FE"/>
    <w:rsid w:val="00686429"/>
    <w:rsid w:val="0068700E"/>
    <w:rsid w:val="006D068C"/>
    <w:rsid w:val="00746542"/>
    <w:rsid w:val="007A0FB7"/>
    <w:rsid w:val="0081457E"/>
    <w:rsid w:val="00860F2B"/>
    <w:rsid w:val="00897FE9"/>
    <w:rsid w:val="008A481A"/>
    <w:rsid w:val="008D1467"/>
    <w:rsid w:val="008E013F"/>
    <w:rsid w:val="00911D67"/>
    <w:rsid w:val="009274E5"/>
    <w:rsid w:val="00981B29"/>
    <w:rsid w:val="009B2317"/>
    <w:rsid w:val="00A261B3"/>
    <w:rsid w:val="00A52A3D"/>
    <w:rsid w:val="00B01653"/>
    <w:rsid w:val="00B67D0E"/>
    <w:rsid w:val="00BC061B"/>
    <w:rsid w:val="00BC2417"/>
    <w:rsid w:val="00BD0D0E"/>
    <w:rsid w:val="00C26FCE"/>
    <w:rsid w:val="00C851F6"/>
    <w:rsid w:val="00CB3FB3"/>
    <w:rsid w:val="00CD7330"/>
    <w:rsid w:val="00D003CF"/>
    <w:rsid w:val="00D64C42"/>
    <w:rsid w:val="00DB6A70"/>
    <w:rsid w:val="00DD7148"/>
    <w:rsid w:val="00E1254C"/>
    <w:rsid w:val="00E74344"/>
    <w:rsid w:val="00EC1D05"/>
    <w:rsid w:val="00EC387C"/>
    <w:rsid w:val="00F006B3"/>
    <w:rsid w:val="00FB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0B196"/>
  <w15:chartTrackingRefBased/>
  <w15:docId w15:val="{8B85EC7D-11D7-4B6F-9788-DADBE96A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3663"/>
    <w:rPr>
      <w:b/>
      <w:bCs/>
    </w:rPr>
  </w:style>
  <w:style w:type="paragraph" w:styleId="NormalWeb">
    <w:name w:val="Normal (Web)"/>
    <w:basedOn w:val="Normal"/>
    <w:uiPriority w:val="99"/>
    <w:semiHidden/>
    <w:unhideWhenUsed/>
    <w:rsid w:val="0048366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2202E"/>
    <w:rPr>
      <w:i/>
      <w:iCs/>
    </w:rPr>
  </w:style>
  <w:style w:type="paragraph" w:styleId="ListParagraph">
    <w:name w:val="List Paragraph"/>
    <w:basedOn w:val="Normal"/>
    <w:link w:val="ListParagraphChar"/>
    <w:uiPriority w:val="34"/>
    <w:qFormat/>
    <w:rsid w:val="0062202E"/>
    <w:pPr>
      <w:spacing w:after="160" w:line="259" w:lineRule="auto"/>
      <w:ind w:left="720"/>
      <w:contextualSpacing/>
    </w:pPr>
    <w:rPr>
      <w:rFonts w:asciiTheme="minorHAnsi" w:hAnsiTheme="minorHAnsi" w:cstheme="minorBidi"/>
      <w:sz w:val="22"/>
      <w:szCs w:val="22"/>
      <w:lang w:val="en-PH"/>
    </w:rPr>
  </w:style>
  <w:style w:type="character" w:customStyle="1" w:styleId="ListParagraphChar">
    <w:name w:val="List Paragraph Char"/>
    <w:basedOn w:val="DefaultParagraphFont"/>
    <w:link w:val="ListParagraph"/>
    <w:uiPriority w:val="34"/>
    <w:qFormat/>
    <w:rsid w:val="0062202E"/>
    <w:rPr>
      <w:rFonts w:asciiTheme="minorHAnsi" w:hAnsiTheme="minorHAnsi" w:cstheme="minorBidi"/>
      <w:sz w:val="22"/>
      <w:szCs w:val="22"/>
      <w:lang w:val="en-PH"/>
    </w:rPr>
  </w:style>
  <w:style w:type="table" w:styleId="TableGrid">
    <w:name w:val="Table Grid"/>
    <w:basedOn w:val="TableNormal"/>
    <w:uiPriority w:val="39"/>
    <w:rsid w:val="00C851F6"/>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467"/>
    <w:rPr>
      <w:color w:val="0000FF"/>
      <w:u w:val="single"/>
    </w:rPr>
  </w:style>
  <w:style w:type="paragraph" w:styleId="BalloonText">
    <w:name w:val="Balloon Text"/>
    <w:basedOn w:val="Normal"/>
    <w:link w:val="BalloonTextChar"/>
    <w:uiPriority w:val="99"/>
    <w:semiHidden/>
    <w:unhideWhenUsed/>
    <w:rsid w:val="007A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B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96EFB"/>
    <w:rPr>
      <w:color w:val="605E5C"/>
      <w:shd w:val="clear" w:color="auto" w:fill="E1DFDD"/>
    </w:rPr>
  </w:style>
  <w:style w:type="paragraph" w:styleId="Header">
    <w:name w:val="header"/>
    <w:basedOn w:val="Normal"/>
    <w:link w:val="HeaderChar"/>
    <w:uiPriority w:val="99"/>
    <w:unhideWhenUsed/>
    <w:rsid w:val="00A261B3"/>
    <w:pPr>
      <w:tabs>
        <w:tab w:val="center" w:pos="4680"/>
        <w:tab w:val="right" w:pos="9360"/>
      </w:tabs>
    </w:pPr>
  </w:style>
  <w:style w:type="character" w:customStyle="1" w:styleId="HeaderChar">
    <w:name w:val="Header Char"/>
    <w:basedOn w:val="DefaultParagraphFont"/>
    <w:link w:val="Header"/>
    <w:uiPriority w:val="99"/>
    <w:rsid w:val="00A261B3"/>
  </w:style>
  <w:style w:type="paragraph" w:styleId="Footer">
    <w:name w:val="footer"/>
    <w:basedOn w:val="Normal"/>
    <w:link w:val="FooterChar"/>
    <w:uiPriority w:val="99"/>
    <w:unhideWhenUsed/>
    <w:rsid w:val="00A261B3"/>
    <w:pPr>
      <w:tabs>
        <w:tab w:val="center" w:pos="4680"/>
        <w:tab w:val="right" w:pos="9360"/>
      </w:tabs>
    </w:pPr>
  </w:style>
  <w:style w:type="character" w:customStyle="1" w:styleId="FooterChar">
    <w:name w:val="Footer Char"/>
    <w:basedOn w:val="DefaultParagraphFont"/>
    <w:link w:val="Footer"/>
    <w:uiPriority w:val="99"/>
    <w:rsid w:val="00A2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2900">
      <w:bodyDiv w:val="1"/>
      <w:marLeft w:val="0"/>
      <w:marRight w:val="0"/>
      <w:marTop w:val="0"/>
      <w:marBottom w:val="0"/>
      <w:divBdr>
        <w:top w:val="none" w:sz="0" w:space="0" w:color="auto"/>
        <w:left w:val="none" w:sz="0" w:space="0" w:color="auto"/>
        <w:bottom w:val="none" w:sz="0" w:space="0" w:color="auto"/>
        <w:right w:val="none" w:sz="0" w:space="0" w:color="auto"/>
      </w:divBdr>
    </w:div>
    <w:div w:id="342325432">
      <w:bodyDiv w:val="1"/>
      <w:marLeft w:val="0"/>
      <w:marRight w:val="0"/>
      <w:marTop w:val="0"/>
      <w:marBottom w:val="0"/>
      <w:divBdr>
        <w:top w:val="none" w:sz="0" w:space="0" w:color="auto"/>
        <w:left w:val="none" w:sz="0" w:space="0" w:color="auto"/>
        <w:bottom w:val="none" w:sz="0" w:space="0" w:color="auto"/>
        <w:right w:val="none" w:sz="0" w:space="0" w:color="auto"/>
      </w:divBdr>
    </w:div>
    <w:div w:id="369765118">
      <w:bodyDiv w:val="1"/>
      <w:marLeft w:val="0"/>
      <w:marRight w:val="0"/>
      <w:marTop w:val="0"/>
      <w:marBottom w:val="0"/>
      <w:divBdr>
        <w:top w:val="none" w:sz="0" w:space="0" w:color="auto"/>
        <w:left w:val="none" w:sz="0" w:space="0" w:color="auto"/>
        <w:bottom w:val="none" w:sz="0" w:space="0" w:color="auto"/>
        <w:right w:val="none" w:sz="0" w:space="0" w:color="auto"/>
      </w:divBdr>
    </w:div>
    <w:div w:id="406852190">
      <w:bodyDiv w:val="1"/>
      <w:marLeft w:val="0"/>
      <w:marRight w:val="0"/>
      <w:marTop w:val="0"/>
      <w:marBottom w:val="0"/>
      <w:divBdr>
        <w:top w:val="none" w:sz="0" w:space="0" w:color="auto"/>
        <w:left w:val="none" w:sz="0" w:space="0" w:color="auto"/>
        <w:bottom w:val="none" w:sz="0" w:space="0" w:color="auto"/>
        <w:right w:val="none" w:sz="0" w:space="0" w:color="auto"/>
      </w:divBdr>
    </w:div>
    <w:div w:id="424811865">
      <w:bodyDiv w:val="1"/>
      <w:marLeft w:val="0"/>
      <w:marRight w:val="0"/>
      <w:marTop w:val="0"/>
      <w:marBottom w:val="0"/>
      <w:divBdr>
        <w:top w:val="none" w:sz="0" w:space="0" w:color="auto"/>
        <w:left w:val="none" w:sz="0" w:space="0" w:color="auto"/>
        <w:bottom w:val="none" w:sz="0" w:space="0" w:color="auto"/>
        <w:right w:val="none" w:sz="0" w:space="0" w:color="auto"/>
      </w:divBdr>
    </w:div>
    <w:div w:id="447698597">
      <w:bodyDiv w:val="1"/>
      <w:marLeft w:val="0"/>
      <w:marRight w:val="0"/>
      <w:marTop w:val="0"/>
      <w:marBottom w:val="0"/>
      <w:divBdr>
        <w:top w:val="none" w:sz="0" w:space="0" w:color="auto"/>
        <w:left w:val="none" w:sz="0" w:space="0" w:color="auto"/>
        <w:bottom w:val="none" w:sz="0" w:space="0" w:color="auto"/>
        <w:right w:val="none" w:sz="0" w:space="0" w:color="auto"/>
      </w:divBdr>
    </w:div>
    <w:div w:id="564341525">
      <w:bodyDiv w:val="1"/>
      <w:marLeft w:val="0"/>
      <w:marRight w:val="0"/>
      <w:marTop w:val="0"/>
      <w:marBottom w:val="0"/>
      <w:divBdr>
        <w:top w:val="none" w:sz="0" w:space="0" w:color="auto"/>
        <w:left w:val="none" w:sz="0" w:space="0" w:color="auto"/>
        <w:bottom w:val="none" w:sz="0" w:space="0" w:color="auto"/>
        <w:right w:val="none" w:sz="0" w:space="0" w:color="auto"/>
      </w:divBdr>
    </w:div>
    <w:div w:id="637497277">
      <w:bodyDiv w:val="1"/>
      <w:marLeft w:val="0"/>
      <w:marRight w:val="0"/>
      <w:marTop w:val="0"/>
      <w:marBottom w:val="0"/>
      <w:divBdr>
        <w:top w:val="none" w:sz="0" w:space="0" w:color="auto"/>
        <w:left w:val="none" w:sz="0" w:space="0" w:color="auto"/>
        <w:bottom w:val="none" w:sz="0" w:space="0" w:color="auto"/>
        <w:right w:val="none" w:sz="0" w:space="0" w:color="auto"/>
      </w:divBdr>
    </w:div>
    <w:div w:id="796871070">
      <w:bodyDiv w:val="1"/>
      <w:marLeft w:val="0"/>
      <w:marRight w:val="0"/>
      <w:marTop w:val="0"/>
      <w:marBottom w:val="0"/>
      <w:divBdr>
        <w:top w:val="none" w:sz="0" w:space="0" w:color="auto"/>
        <w:left w:val="none" w:sz="0" w:space="0" w:color="auto"/>
        <w:bottom w:val="none" w:sz="0" w:space="0" w:color="auto"/>
        <w:right w:val="none" w:sz="0" w:space="0" w:color="auto"/>
      </w:divBdr>
    </w:div>
    <w:div w:id="806051494">
      <w:bodyDiv w:val="1"/>
      <w:marLeft w:val="0"/>
      <w:marRight w:val="0"/>
      <w:marTop w:val="0"/>
      <w:marBottom w:val="0"/>
      <w:divBdr>
        <w:top w:val="none" w:sz="0" w:space="0" w:color="auto"/>
        <w:left w:val="none" w:sz="0" w:space="0" w:color="auto"/>
        <w:bottom w:val="none" w:sz="0" w:space="0" w:color="auto"/>
        <w:right w:val="none" w:sz="0" w:space="0" w:color="auto"/>
      </w:divBdr>
    </w:div>
    <w:div w:id="1164082736">
      <w:bodyDiv w:val="1"/>
      <w:marLeft w:val="0"/>
      <w:marRight w:val="0"/>
      <w:marTop w:val="0"/>
      <w:marBottom w:val="0"/>
      <w:divBdr>
        <w:top w:val="none" w:sz="0" w:space="0" w:color="auto"/>
        <w:left w:val="none" w:sz="0" w:space="0" w:color="auto"/>
        <w:bottom w:val="none" w:sz="0" w:space="0" w:color="auto"/>
        <w:right w:val="none" w:sz="0" w:space="0" w:color="auto"/>
      </w:divBdr>
    </w:div>
    <w:div w:id="1184904531">
      <w:bodyDiv w:val="1"/>
      <w:marLeft w:val="0"/>
      <w:marRight w:val="0"/>
      <w:marTop w:val="0"/>
      <w:marBottom w:val="0"/>
      <w:divBdr>
        <w:top w:val="none" w:sz="0" w:space="0" w:color="auto"/>
        <w:left w:val="none" w:sz="0" w:space="0" w:color="auto"/>
        <w:bottom w:val="none" w:sz="0" w:space="0" w:color="auto"/>
        <w:right w:val="none" w:sz="0" w:space="0" w:color="auto"/>
      </w:divBdr>
    </w:div>
    <w:div w:id="1362784150">
      <w:bodyDiv w:val="1"/>
      <w:marLeft w:val="0"/>
      <w:marRight w:val="0"/>
      <w:marTop w:val="0"/>
      <w:marBottom w:val="0"/>
      <w:divBdr>
        <w:top w:val="none" w:sz="0" w:space="0" w:color="auto"/>
        <w:left w:val="none" w:sz="0" w:space="0" w:color="auto"/>
        <w:bottom w:val="none" w:sz="0" w:space="0" w:color="auto"/>
        <w:right w:val="none" w:sz="0" w:space="0" w:color="auto"/>
      </w:divBdr>
    </w:div>
    <w:div w:id="1388142677">
      <w:bodyDiv w:val="1"/>
      <w:marLeft w:val="0"/>
      <w:marRight w:val="0"/>
      <w:marTop w:val="0"/>
      <w:marBottom w:val="0"/>
      <w:divBdr>
        <w:top w:val="none" w:sz="0" w:space="0" w:color="auto"/>
        <w:left w:val="none" w:sz="0" w:space="0" w:color="auto"/>
        <w:bottom w:val="none" w:sz="0" w:space="0" w:color="auto"/>
        <w:right w:val="none" w:sz="0" w:space="0" w:color="auto"/>
      </w:divBdr>
    </w:div>
    <w:div w:id="1461999951">
      <w:bodyDiv w:val="1"/>
      <w:marLeft w:val="0"/>
      <w:marRight w:val="0"/>
      <w:marTop w:val="0"/>
      <w:marBottom w:val="0"/>
      <w:divBdr>
        <w:top w:val="none" w:sz="0" w:space="0" w:color="auto"/>
        <w:left w:val="none" w:sz="0" w:space="0" w:color="auto"/>
        <w:bottom w:val="none" w:sz="0" w:space="0" w:color="auto"/>
        <w:right w:val="none" w:sz="0" w:space="0" w:color="auto"/>
      </w:divBdr>
    </w:div>
    <w:div w:id="1463226859">
      <w:bodyDiv w:val="1"/>
      <w:marLeft w:val="0"/>
      <w:marRight w:val="0"/>
      <w:marTop w:val="0"/>
      <w:marBottom w:val="0"/>
      <w:divBdr>
        <w:top w:val="none" w:sz="0" w:space="0" w:color="auto"/>
        <w:left w:val="none" w:sz="0" w:space="0" w:color="auto"/>
        <w:bottom w:val="none" w:sz="0" w:space="0" w:color="auto"/>
        <w:right w:val="none" w:sz="0" w:space="0" w:color="auto"/>
      </w:divBdr>
    </w:div>
    <w:div w:id="1700816825">
      <w:bodyDiv w:val="1"/>
      <w:marLeft w:val="0"/>
      <w:marRight w:val="0"/>
      <w:marTop w:val="0"/>
      <w:marBottom w:val="0"/>
      <w:divBdr>
        <w:top w:val="none" w:sz="0" w:space="0" w:color="auto"/>
        <w:left w:val="none" w:sz="0" w:space="0" w:color="auto"/>
        <w:bottom w:val="none" w:sz="0" w:space="0" w:color="auto"/>
        <w:right w:val="none" w:sz="0" w:space="0" w:color="auto"/>
      </w:divBdr>
    </w:div>
    <w:div w:id="1989435591">
      <w:bodyDiv w:val="1"/>
      <w:marLeft w:val="0"/>
      <w:marRight w:val="0"/>
      <w:marTop w:val="0"/>
      <w:marBottom w:val="0"/>
      <w:divBdr>
        <w:top w:val="none" w:sz="0" w:space="0" w:color="auto"/>
        <w:left w:val="none" w:sz="0" w:space="0" w:color="auto"/>
        <w:bottom w:val="none" w:sz="0" w:space="0" w:color="auto"/>
        <w:right w:val="none" w:sz="0" w:space="0" w:color="auto"/>
      </w:divBdr>
    </w:div>
    <w:div w:id="2044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5391523.2010.10782551" TargetMode="External"/><Relationship Id="rId13" Type="http://schemas.openxmlformats.org/officeDocument/2006/relationships/hyperlink" Target="https://doi.org/10.1016/j.chb.2020.10655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hedro3.ched.gov.ph/wp-content/uploads/2020/10/CMONo.4s.2020GuidelinesontheImplementationofFlexibleLearning.pdf" TargetMode="External"/><Relationship Id="rId12" Type="http://schemas.openxmlformats.org/officeDocument/2006/relationships/hyperlink" Target="https://doi.org/10.1177/0013161X1987877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ric.ed.gov/?id=EJ12571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105/j.kmel.2022.14.0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305764X.2019.1625867" TargetMode="External"/><Relationship Id="rId23" Type="http://schemas.openxmlformats.org/officeDocument/2006/relationships/fontTable" Target="fontTable.xml"/><Relationship Id="rId10" Type="http://schemas.openxmlformats.org/officeDocument/2006/relationships/hyperlink" Target="https://www.iste.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compedu.2021.104149" TargetMode="External"/><Relationship Id="rId14" Type="http://schemas.openxmlformats.org/officeDocument/2006/relationships/hyperlink" Target="https://books.google.com.ph/books/about/Digital_Leadership.html?hl=th&amp;id=YUIbnwEACAAJ&amp;redir_es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UEPLLHS</dc:creator>
  <cp:keywords/>
  <dc:description/>
  <cp:lastModifiedBy>SDI 1137</cp:lastModifiedBy>
  <cp:revision>92</cp:revision>
  <cp:lastPrinted>2025-06-10T10:22:00Z</cp:lastPrinted>
  <dcterms:created xsi:type="dcterms:W3CDTF">2025-06-10T08:25:00Z</dcterms:created>
  <dcterms:modified xsi:type="dcterms:W3CDTF">2025-06-17T08:33:00Z</dcterms:modified>
</cp:coreProperties>
</file>