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E2B2F" w14:textId="28CCF218" w:rsidR="00D53F4D" w:rsidRDefault="009372A7">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Unpacking the Disconnection: A</w:t>
      </w:r>
      <w:r w:rsidR="0051266F">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 xml:space="preserve"> Exploration of Barriers to Practical Work Integration in A-Level Chemistry</w:t>
      </w:r>
      <w:r w:rsidR="0051266F">
        <w:rPr>
          <w:rFonts w:ascii="Times New Roman" w:eastAsia="Times New Roman" w:hAnsi="Times New Roman" w:cs="Times New Roman"/>
          <w:b/>
          <w:sz w:val="24"/>
          <w:szCs w:val="24"/>
        </w:rPr>
        <w:t xml:space="preserve"> Teaching</w:t>
      </w:r>
      <w:r w:rsidR="0068353F">
        <w:rPr>
          <w:rFonts w:ascii="Times New Roman" w:eastAsia="Times New Roman" w:hAnsi="Times New Roman" w:cs="Times New Roman"/>
          <w:b/>
          <w:sz w:val="24"/>
          <w:szCs w:val="24"/>
        </w:rPr>
        <w:t xml:space="preserve"> in</w:t>
      </w:r>
      <w:r>
        <w:rPr>
          <w:rFonts w:ascii="Times New Roman" w:eastAsia="Times New Roman" w:hAnsi="Times New Roman" w:cs="Times New Roman"/>
          <w:b/>
          <w:sz w:val="24"/>
          <w:szCs w:val="24"/>
        </w:rPr>
        <w:t xml:space="preserve"> Gweru District Publi</w:t>
      </w:r>
      <w:r w:rsidR="0051266F">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Schools</w:t>
      </w:r>
    </w:p>
    <w:p w14:paraId="18BB6F76" w14:textId="77777777" w:rsidR="00D53F4D" w:rsidRDefault="009372A7">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69AFBCFC"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of integrating theoretical knowledge with practical activities in secondary </w:t>
      </w:r>
    </w:p>
    <w:p w14:paraId="15F1F574" w14:textId="4258CCB3"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chemistry classrooms present a series of challenges that warrant a thorough examination of the factors contributing to these difficulties. These myriads of challenges have prompted researchers to investigate the reasons why certain educators prefer to separate the teaching of theoretical concepts from practical applications in the field of chemistry instruction. This qualitative study employed interviews and classroom observations involving 15 Advanced Level Chemistry teachers in the district of Gweru in Zimbabwe. The findings revealed that significant factors such as a congested curriculum, inadequate resources, limited experience among educators, and insufficient support staff for the preparation of chemistry practical</w:t>
      </w:r>
      <w:r w:rsidR="0051266F">
        <w:rPr>
          <w:rFonts w:ascii="Times New Roman" w:eastAsia="Times New Roman" w:hAnsi="Times New Roman" w:cs="Times New Roman"/>
          <w:sz w:val="24"/>
          <w:szCs w:val="24"/>
        </w:rPr>
        <w:t xml:space="preserve"> activities contribute</w:t>
      </w:r>
      <w:r>
        <w:rPr>
          <w:rFonts w:ascii="Times New Roman" w:eastAsia="Times New Roman" w:hAnsi="Times New Roman" w:cs="Times New Roman"/>
          <w:sz w:val="24"/>
          <w:szCs w:val="24"/>
        </w:rPr>
        <w:t xml:space="preserve"> to the limited incorporation of practical work in Advanced Level chemistry classes in Zimbabwe. Considering these results, the study suggests the need for professional development opportunities of chemistry teachers to enhance their competencies in delivering practical lessons, increased financial support from relevant authorities to spruce-up laboratory facilities, and a comprehensive review and redesign of the Advanced Level chemistry curriculum to incorporate hands-on activities within </w:t>
      </w:r>
      <w:r w:rsidR="0051266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theory lessons.</w:t>
      </w:r>
    </w:p>
    <w:p w14:paraId="3C8A5378" w14:textId="77777777" w:rsidR="0068353F" w:rsidRDefault="0068353F">
      <w:pPr>
        <w:spacing w:after="0" w:line="360" w:lineRule="auto"/>
        <w:jc w:val="both"/>
        <w:rPr>
          <w:rFonts w:ascii="Times New Roman" w:eastAsia="Times New Roman" w:hAnsi="Times New Roman" w:cs="Times New Roman"/>
          <w:sz w:val="24"/>
          <w:szCs w:val="24"/>
        </w:rPr>
      </w:pPr>
    </w:p>
    <w:p w14:paraId="7F6158DA" w14:textId="4CF90135" w:rsidR="0068353F" w:rsidRDefault="0068353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I</w:t>
      </w:r>
      <w:r w:rsidRPr="0068353F">
        <w:rPr>
          <w:rFonts w:ascii="Times New Roman" w:eastAsia="Times New Roman" w:hAnsi="Times New Roman" w:cs="Times New Roman"/>
          <w:sz w:val="24"/>
          <w:szCs w:val="24"/>
        </w:rPr>
        <w:t>ntegrating theoretical knowledge</w:t>
      </w:r>
      <w:r>
        <w:rPr>
          <w:rFonts w:ascii="Times New Roman" w:eastAsia="Times New Roman" w:hAnsi="Times New Roman" w:cs="Times New Roman"/>
          <w:sz w:val="24"/>
          <w:szCs w:val="24"/>
        </w:rPr>
        <w:t>, P</w:t>
      </w:r>
      <w:r w:rsidRPr="0068353F">
        <w:rPr>
          <w:rFonts w:ascii="Times New Roman" w:eastAsia="Times New Roman" w:hAnsi="Times New Roman" w:cs="Times New Roman"/>
          <w:sz w:val="24"/>
          <w:szCs w:val="24"/>
        </w:rPr>
        <w:t>ractical activities</w:t>
      </w:r>
      <w:r>
        <w:rPr>
          <w:rFonts w:ascii="Times New Roman" w:eastAsia="Times New Roman" w:hAnsi="Times New Roman" w:cs="Times New Roman"/>
          <w:sz w:val="24"/>
          <w:szCs w:val="24"/>
        </w:rPr>
        <w:t xml:space="preserve">, </w:t>
      </w:r>
      <w:r w:rsidRPr="0068353F">
        <w:rPr>
          <w:rFonts w:ascii="Times New Roman" w:eastAsia="Times New Roman" w:hAnsi="Times New Roman" w:cs="Times New Roman"/>
          <w:sz w:val="24"/>
          <w:szCs w:val="24"/>
        </w:rPr>
        <w:t>Exploration of Barriers</w:t>
      </w:r>
      <w:r>
        <w:rPr>
          <w:rFonts w:ascii="Times New Roman" w:eastAsia="Times New Roman" w:hAnsi="Times New Roman" w:cs="Times New Roman"/>
          <w:sz w:val="24"/>
          <w:szCs w:val="24"/>
        </w:rPr>
        <w:t xml:space="preserve">, </w:t>
      </w:r>
      <w:r w:rsidRPr="0068353F">
        <w:rPr>
          <w:rFonts w:ascii="Times New Roman" w:eastAsia="Times New Roman" w:hAnsi="Times New Roman" w:cs="Times New Roman"/>
          <w:sz w:val="24"/>
          <w:szCs w:val="24"/>
        </w:rPr>
        <w:t>Chemistry Teaching</w:t>
      </w:r>
    </w:p>
    <w:p w14:paraId="06C38F02" w14:textId="77777777" w:rsidR="0068353F" w:rsidRDefault="0068353F">
      <w:pPr>
        <w:spacing w:after="0" w:line="360" w:lineRule="auto"/>
        <w:jc w:val="both"/>
        <w:rPr>
          <w:rFonts w:ascii="Times New Roman" w:eastAsia="Times New Roman" w:hAnsi="Times New Roman" w:cs="Times New Roman"/>
          <w:sz w:val="24"/>
          <w:szCs w:val="24"/>
        </w:rPr>
      </w:pPr>
    </w:p>
    <w:p w14:paraId="7E6217D0" w14:textId="07B03EBA" w:rsidR="00D53F4D" w:rsidRDefault="009372A7">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4387B01"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beginning of the 18th century, researchers in the field of science education </w:t>
      </w:r>
    </w:p>
    <w:p w14:paraId="55D39354"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extensively studied the benefits of practical work and its crucial role in scientific fields such as chemistry (Shana &amp; Abulibdeh, 2020). Several studies have demonstrated that practical work confers a plethora of advantages, including the development of essential laboratory skills and scientific knowledge, as well as a deeper understanding of science concepts and theories (Fadzil &amp; Saat, 2013; Schwichow, Zimmerman, Croker &amp; </w:t>
      </w:r>
      <w:proofErr w:type="spellStart"/>
      <w:r>
        <w:rPr>
          <w:rFonts w:ascii="Times New Roman" w:eastAsia="Times New Roman" w:hAnsi="Times New Roman" w:cs="Times New Roman"/>
          <w:sz w:val="24"/>
          <w:szCs w:val="24"/>
        </w:rPr>
        <w:t>Härtig</w:t>
      </w:r>
      <w:proofErr w:type="spellEnd"/>
      <w:r>
        <w:rPr>
          <w:rFonts w:ascii="Times New Roman" w:eastAsia="Times New Roman" w:hAnsi="Times New Roman" w:cs="Times New Roman"/>
          <w:sz w:val="24"/>
          <w:szCs w:val="24"/>
        </w:rPr>
        <w:t xml:space="preserve">, 2016). According to an assertion by Petticrew and Roberts (2006), in their guide to high-quality science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learners gain a deeper understanding by engaging directly in scientific inquiry, experimenting with techniques and uncovering natural phenomena themselves. Beyond knowledge </w:t>
      </w:r>
      <w:r>
        <w:rPr>
          <w:rFonts w:ascii="Times New Roman" w:eastAsia="Times New Roman" w:hAnsi="Times New Roman" w:cs="Times New Roman"/>
          <w:sz w:val="24"/>
          <w:szCs w:val="24"/>
        </w:rPr>
        <w:lastRenderedPageBreak/>
        <w:t>acquisition, practical work has been associated with the development of positive students’ attitude and increased motivation towards learning science which can significantly influence students’ performance in science subjects (</w:t>
      </w:r>
      <w:proofErr w:type="spellStart"/>
      <w:r>
        <w:rPr>
          <w:rFonts w:ascii="Times New Roman" w:eastAsia="Times New Roman" w:hAnsi="Times New Roman" w:cs="Times New Roman"/>
          <w:sz w:val="24"/>
          <w:szCs w:val="24"/>
        </w:rPr>
        <w:t>Hinneh</w:t>
      </w:r>
      <w:proofErr w:type="spellEnd"/>
      <w:r>
        <w:rPr>
          <w:rFonts w:ascii="Times New Roman" w:eastAsia="Times New Roman" w:hAnsi="Times New Roman" w:cs="Times New Roman"/>
          <w:sz w:val="24"/>
          <w:szCs w:val="24"/>
        </w:rPr>
        <w:t>, 2017). Furthermore, Woolnough (1994) highlighted that practical work enhances communication skills and problem-solving abilities, both of which are essential in scientific inquiry. This implies that engaging students in hands-on activities, such as those involving chemical reactions like stoichiometry, makes science more tangible and relevant, reinforcing the idea that chemistry is an applied science, not just an abstract collection of facts and formulas. Laboratory-based learning also supports development of scientific thinking through hypothesis testing, data interpretation, and model construction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2007). </w:t>
      </w:r>
    </w:p>
    <w:p w14:paraId="30C7DFAC"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educational reform, Zimbabwe has made significant progress in modernizing its education system, exemplified by the implementation of the Heritage-Based curriculum. This initiative aims to elevate the country to middle-income status by the year 2030 by fostering a connection between students and their surrounding environment. In practical terms, this means that when theoretical concepts in subjects such as chemistry are integrated with experiential learning that involves the learners’ environment, the educational experience becomes significantly more meaningful and impactful. However, not all perspectives advocate unreservedly for practical work. Critics such as Abrahams and Millar (2008) question the efficiency of laboratory-based instruction, suggesting it may not always accurately reflect authentic scientific inquiry. Similarly, Hodson (1990) argued that overly prescriptive practical tasks may limit students’ creativity and cognitive engagement, reducing such activities to rote procedures that fail to stimulate deeper understanding. In Zimbabwe, scholars in the field of chemistry such as Mandina (2012) have expressed concerns regarding this disconnect between theoretical concepts and practical application in the classroom. Mandina identified that the integration of practical work into teaching chemistry within the Zimbabwean educational setting is significantly constrained by various contextual factors. These include a reluctance by teachers to shift from the traditional transmissive teaching paradigm to a more learner-centered approach. Moreover, these limitations are exacerbated by a deficiency in both knowledge and skills pertinent to the effective execution of inquiry-based instruction in practical settings.</w:t>
      </w:r>
      <w:r>
        <w:rPr>
          <w:rFonts w:ascii="Times New Roman" w:eastAsia="Times New Roman" w:hAnsi="Times New Roman" w:cs="Times New Roman"/>
          <w:color w:val="1C1C1C"/>
          <w:sz w:val="24"/>
          <w:szCs w:val="24"/>
          <w:highlight w:val="white"/>
        </w:rPr>
        <w:t xml:space="preserve"> </w:t>
      </w:r>
      <w:r>
        <w:rPr>
          <w:rFonts w:ascii="Times New Roman" w:eastAsia="Times New Roman" w:hAnsi="Times New Roman" w:cs="Times New Roman"/>
          <w:sz w:val="24"/>
          <w:szCs w:val="24"/>
        </w:rPr>
        <w:t>The insights from this study, therefore, aim to identify challenges and suggest ways of optimizing instructional strategies in the teaching and learning of chemistry through integrating practical work with theoretical knowledge.</w:t>
      </w:r>
    </w:p>
    <w:p w14:paraId="7EDCA15F"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 of the Problem</w:t>
      </w:r>
    </w:p>
    <w:p w14:paraId="7127BC2F"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Despite the importance of practical work in enhancing the ability of learners to grasp abstract scientific concepts, its effective integration into teaching chemistry theory lessons remains a major challenge in many public high schools in Zimbabwe.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While the national curriculum emphasizes the need for a balanced approach that combines theory with practical activities, numerous teachers continue to separate practical activities and theory when delivering instruction due to various systemic and contextual barriers. This study seeks to investigate specific factors that hinder the integration of practical work with theory into teaching chemistry, in Zimbabwean public high schools, with the purpose of informing policy and practice for improved outcomes in science education. The main purpose of this study therefore, is to identify the challenges encountered by teachers in their efforts to integrate practical activities into chemistry theory lessons in public high schools in Zimbabwe.</w:t>
      </w:r>
    </w:p>
    <w:p w14:paraId="1C6B4EE3"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Framework</w:t>
      </w:r>
    </w:p>
    <w:p w14:paraId="5BBE1F06" w14:textId="77777777" w:rsidR="00D53F4D" w:rsidRDefault="009372A7">
      <w:pPr>
        <w:shd w:val="clear" w:color="auto" w:fill="FFFFFF"/>
        <w:spacing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Pedagogical Content Knowledge (PCK) is a theoretical framework introduced by Shulman (1986) to describe the unique integration of subject matter knowledge and pedagogical strategies required for effective teaching. Unlike general pedagogical knowledge or subject expertise alone, PCK </w:t>
      </w:r>
      <w:proofErr w:type="spellStart"/>
      <w:r>
        <w:rPr>
          <w:rFonts w:ascii="Times New Roman" w:eastAsia="Times New Roman" w:hAnsi="Times New Roman" w:cs="Times New Roman"/>
          <w:color w:val="222222"/>
          <w:sz w:val="24"/>
          <w:szCs w:val="24"/>
          <w:highlight w:val="white"/>
        </w:rPr>
        <w:t>emphasises</w:t>
      </w:r>
      <w:proofErr w:type="spellEnd"/>
      <w:r>
        <w:rPr>
          <w:rFonts w:ascii="Times New Roman" w:eastAsia="Times New Roman" w:hAnsi="Times New Roman" w:cs="Times New Roman"/>
          <w:color w:val="222222"/>
          <w:sz w:val="24"/>
          <w:szCs w:val="24"/>
          <w:highlight w:val="white"/>
        </w:rPr>
        <w:t xml:space="preserve"> the importance of knowing how to represent specific content in ways that make it understandable to learners (Shulman, 1986). According to Magnusson, Krajcik, and Borko (1999), the main components of PCK include knowledge of students’ understanding and misconceptions, knowledge of curriculum, knowledge of instructional strategies, and knowledge of assessment. In the teaching and learning of chemistry, these principles are particularly significant due to the abstract nature of many chemical concepts and the complexity of linking theoretical knowledge with practical experimentation. For instance, a chemistry teacher with strong PCK can predict student difficulties in understanding the particle nature of matter and address them through targeted experiments like diffusion demonstrations or molecular modeling activities (Kind, 2009). PCK also supports teachers in selecting and sequencing experiments that align with theoretical instruction, ensuring students not only perform procedures but also grasp the underlying scientific principles (Kind, 2009). In this study, which investigates the challenges teachers face in integrating practical work with theory, PCK provides a valuable analytical framework by helping to identify whether the challenges stem from limited content knowledge, insufficient pedagogical strategies, or both. Moreover, the framework guides data collection and interpretation by focusing on how teachers plan, implement, and reflect on the use of practical work in their chemistry lessons. Ultimately, applying the PCK framework enriches our study </w:t>
      </w:r>
      <w:r>
        <w:rPr>
          <w:rFonts w:ascii="Times New Roman" w:eastAsia="Times New Roman" w:hAnsi="Times New Roman" w:cs="Times New Roman"/>
          <w:color w:val="222222"/>
          <w:sz w:val="24"/>
          <w:szCs w:val="24"/>
          <w:highlight w:val="white"/>
        </w:rPr>
        <w:lastRenderedPageBreak/>
        <w:t>by offering a deep understanding of the knowledge gaps and instructional barriers that affect effective integration of practical and theoretical chemistry teaching.</w:t>
      </w:r>
      <w:r>
        <w:rPr>
          <w:rFonts w:ascii="Times New Roman" w:eastAsia="Times New Roman" w:hAnsi="Times New Roman" w:cs="Times New Roman"/>
          <w:sz w:val="24"/>
          <w:szCs w:val="24"/>
        </w:rPr>
        <w:t xml:space="preserve">  </w:t>
      </w:r>
    </w:p>
    <w:p w14:paraId="27B90ABD"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Integrating Practical Activities in Chemistry Learning</w:t>
      </w:r>
    </w:p>
    <w:p w14:paraId="00DDBB2C"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Integrating practical work into the teaching of Advanced Level chemistry significantly enhances student engagement, understanding, and academic performance. Studies by Tan and Chen (2020), Abrahams and Reiss (2012), and Freeman, Eddy, McDonough, Smith, Okoroafor, Jordt and Wenderoth (2014) demonstrate that experiential learning deepens conceptual understanding and reduces failure rates. In the UAE, Shana and Abulibdeh (2020) found that practical experiences improved science achievement, while </w:t>
      </w:r>
      <w:proofErr w:type="spellStart"/>
      <w:r>
        <w:rPr>
          <w:rFonts w:ascii="Times New Roman" w:eastAsia="Times New Roman" w:hAnsi="Times New Roman" w:cs="Times New Roman"/>
          <w:sz w:val="24"/>
          <w:szCs w:val="24"/>
        </w:rPr>
        <w:t>Wisudawan</w:t>
      </w:r>
      <w:proofErr w:type="spellEnd"/>
      <w:r>
        <w:rPr>
          <w:rFonts w:ascii="Times New Roman" w:eastAsia="Times New Roman" w:hAnsi="Times New Roman" w:cs="Times New Roman"/>
          <w:sz w:val="24"/>
          <w:szCs w:val="24"/>
        </w:rPr>
        <w:t xml:space="preserve"> (2022) reported higher chemistry scores through integrated practicum approaches in Indonesia. African research echoes these findings: Ngwenya (2025) highlights improved comprehension and performance through integration of practical work in teaching of Chemistry in Zimbabwean public high schools. A Nigerian study by Abidoye (2021) and a Zimbabwean investigation by Kazembe and </w:t>
      </w:r>
      <w:proofErr w:type="spellStart"/>
      <w:r>
        <w:rPr>
          <w:rFonts w:ascii="Times New Roman" w:eastAsia="Times New Roman" w:hAnsi="Times New Roman" w:cs="Times New Roman"/>
          <w:sz w:val="24"/>
          <w:szCs w:val="24"/>
        </w:rPr>
        <w:t>Musarandega</w:t>
      </w:r>
      <w:proofErr w:type="spellEnd"/>
      <w:r>
        <w:rPr>
          <w:rFonts w:ascii="Times New Roman" w:eastAsia="Times New Roman" w:hAnsi="Times New Roman" w:cs="Times New Roman"/>
          <w:sz w:val="24"/>
          <w:szCs w:val="24"/>
        </w:rPr>
        <w:t xml:space="preserve"> (2012) both highlight the benefits of hands-on activities and the negative impact of the lack of practical work in schools. </w:t>
      </w:r>
      <w:proofErr w:type="spellStart"/>
      <w:r>
        <w:rPr>
          <w:rFonts w:ascii="Times New Roman" w:eastAsia="Times New Roman" w:hAnsi="Times New Roman" w:cs="Times New Roman"/>
          <w:sz w:val="24"/>
          <w:szCs w:val="24"/>
        </w:rPr>
        <w:t>Abideoye</w:t>
      </w:r>
      <w:proofErr w:type="spellEnd"/>
      <w:r>
        <w:rPr>
          <w:rFonts w:ascii="Times New Roman" w:eastAsia="Times New Roman" w:hAnsi="Times New Roman" w:cs="Times New Roman"/>
          <w:sz w:val="24"/>
          <w:szCs w:val="24"/>
        </w:rPr>
        <w:t xml:space="preserve"> (2021) underscores how minimal practical exposure leaves students disengaged. Building on the impact of practical activities, the current study focuses on factors that may prevent teachers from integrating practical work in their classes and possible solutions to the challenges in public high schools.</w:t>
      </w:r>
    </w:p>
    <w:p w14:paraId="55623789"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teacher-centered approaches relying heavily on rote learning and textbook </w:t>
      </w:r>
    </w:p>
    <w:p w14:paraId="33F97796"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 is linked to negative attitudes and low academic achievement (</w:t>
      </w:r>
      <w:proofErr w:type="spellStart"/>
      <w:r>
        <w:rPr>
          <w:rFonts w:ascii="Times New Roman" w:eastAsia="Times New Roman" w:hAnsi="Times New Roman" w:cs="Times New Roman"/>
          <w:sz w:val="24"/>
          <w:szCs w:val="24"/>
        </w:rPr>
        <w:t>Hacieminoglu</w:t>
      </w:r>
      <w:proofErr w:type="spellEnd"/>
      <w:r>
        <w:rPr>
          <w:rFonts w:ascii="Times New Roman" w:eastAsia="Times New Roman" w:hAnsi="Times New Roman" w:cs="Times New Roman"/>
          <w:sz w:val="24"/>
          <w:szCs w:val="24"/>
        </w:rPr>
        <w:t>, 2016). Conversely, constructivist classrooms that incorporate practical activities foster more positive attitudes and improved performance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2007; </w:t>
      </w:r>
      <w:proofErr w:type="spellStart"/>
      <w:r>
        <w:rPr>
          <w:rFonts w:ascii="Times New Roman" w:eastAsia="Times New Roman" w:hAnsi="Times New Roman" w:cs="Times New Roman"/>
          <w:sz w:val="24"/>
          <w:szCs w:val="24"/>
        </w:rPr>
        <w:t>Pontigon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Talanquer</w:t>
      </w:r>
      <w:proofErr w:type="spellEnd"/>
      <w:r>
        <w:rPr>
          <w:rFonts w:ascii="Times New Roman" w:eastAsia="Times New Roman" w:hAnsi="Times New Roman" w:cs="Times New Roman"/>
          <w:sz w:val="24"/>
          <w:szCs w:val="24"/>
        </w:rPr>
        <w:t xml:space="preserve">, 2025). Studies from England, Turkey, and African countries like Kenya, Rwanda, Ghana, and Zimbabwe consistently highlight the benefits of integrating practical work with theory, showing enhanced student interest, science process skills, and academic success (Sharpe &amp; Abrahams, 2019; </w:t>
      </w:r>
      <w:proofErr w:type="spellStart"/>
      <w:r>
        <w:rPr>
          <w:rFonts w:ascii="Times New Roman" w:eastAsia="Times New Roman" w:hAnsi="Times New Roman" w:cs="Times New Roman"/>
          <w:sz w:val="24"/>
          <w:szCs w:val="24"/>
        </w:rPr>
        <w:t>Uwizeyimana</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Hacieminoglu</w:t>
      </w:r>
      <w:proofErr w:type="spellEnd"/>
      <w:r>
        <w:rPr>
          <w:rFonts w:ascii="Times New Roman" w:eastAsia="Times New Roman" w:hAnsi="Times New Roman" w:cs="Times New Roman"/>
          <w:sz w:val="24"/>
          <w:szCs w:val="24"/>
        </w:rPr>
        <w:t>, 2016). Literature also shows that traditional teaching methods often fail to foster critical thinking skills effectively (</w:t>
      </w:r>
      <w:proofErr w:type="spellStart"/>
      <w:r>
        <w:rPr>
          <w:rFonts w:ascii="Times New Roman" w:eastAsia="Times New Roman" w:hAnsi="Times New Roman" w:cs="Times New Roman"/>
          <w:sz w:val="24"/>
          <w:szCs w:val="24"/>
        </w:rPr>
        <w:t>Hajhosseini</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Sulhan</w:t>
      </w:r>
      <w:proofErr w:type="spellEnd"/>
      <w:r>
        <w:rPr>
          <w:rFonts w:ascii="Times New Roman" w:eastAsia="Times New Roman" w:hAnsi="Times New Roman" w:cs="Times New Roman"/>
          <w:sz w:val="24"/>
          <w:szCs w:val="24"/>
        </w:rPr>
        <w:t xml:space="preserve"> et al., 2023). In chemistry education, integrating practical work has been proposed as a means to actively engage students and enhance critical thinking. However, challenges persist in African contexts, such as teacher training gaps, limited resources, and shortage of textbooks (</w:t>
      </w:r>
      <w:proofErr w:type="spellStart"/>
      <w:r>
        <w:rPr>
          <w:rFonts w:ascii="Times New Roman" w:eastAsia="Times New Roman" w:hAnsi="Times New Roman" w:cs="Times New Roman"/>
          <w:sz w:val="24"/>
          <w:szCs w:val="24"/>
        </w:rPr>
        <w:t>Totoba</w:t>
      </w:r>
      <w:proofErr w:type="spellEnd"/>
      <w:r>
        <w:rPr>
          <w:rFonts w:ascii="Times New Roman" w:eastAsia="Times New Roman" w:hAnsi="Times New Roman" w:cs="Times New Roman"/>
          <w:sz w:val="24"/>
          <w:szCs w:val="24"/>
        </w:rPr>
        <w:t xml:space="preserve">, 2021; Cheruiyot, 2024). In Zimbabwe, poor </w:t>
      </w:r>
      <w:r>
        <w:rPr>
          <w:rFonts w:ascii="Times New Roman" w:eastAsia="Times New Roman" w:hAnsi="Times New Roman" w:cs="Times New Roman"/>
          <w:sz w:val="24"/>
          <w:szCs w:val="24"/>
        </w:rPr>
        <w:lastRenderedPageBreak/>
        <w:t xml:space="preserve">learning environments and lack of motivation, among other things, hinder the integration of practical work in teaching (Mandina, 2017). </w:t>
      </w:r>
    </w:p>
    <w:p w14:paraId="046D7B41" w14:textId="23858D03"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its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importance, many scholars identified challenges surrounding </w:t>
      </w:r>
      <w:r w:rsidR="0051266F">
        <w:rPr>
          <w:rFonts w:ascii="Times New Roman" w:eastAsia="Times New Roman" w:hAnsi="Times New Roman" w:cs="Times New Roman"/>
          <w:sz w:val="24"/>
          <w:szCs w:val="24"/>
        </w:rPr>
        <w:t>the</w:t>
      </w:r>
    </w:p>
    <w:p w14:paraId="771E2435" w14:textId="5E295F3C"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practical work in chemistry classrooms. Asmah, Baah and Eghan (2021) point out a prevailing tendency among educators to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test preparation over skill development, often sidelining the broader educational benefits of practical activities. Similarly, Asamoah and Aboagye (2019) report that many teachers limit the use of practical work to fulfill examination requirements rather than to enrich student understanding. These findings reveal a concerning trend where the true educational potential of practical science is overlooked. Ramnarain (2014) found that although many science teachers believe that laboratory work can make topics more engaging and enhance experimental skills, a significant number still prefer traditional explanations over practical engagement, believing the former to be more effective for concept mastery. These findings raise critical concerns about the practicality of integrating practical activities in science - especially in developing countries such as Zimbabwe where resources may be scarce - hence the need to determine challenges teachers face that may be hindering them from integrating practical work into </w:t>
      </w:r>
      <w:r w:rsidR="0051266F">
        <w:rPr>
          <w:rFonts w:ascii="Times New Roman" w:eastAsia="Times New Roman" w:hAnsi="Times New Roman" w:cs="Times New Roman"/>
          <w:sz w:val="24"/>
          <w:szCs w:val="24"/>
        </w:rPr>
        <w:t>teaching and</w:t>
      </w:r>
      <w:r>
        <w:rPr>
          <w:rFonts w:ascii="Times New Roman" w:eastAsia="Times New Roman" w:hAnsi="Times New Roman" w:cs="Times New Roman"/>
          <w:sz w:val="24"/>
          <w:szCs w:val="24"/>
        </w:rPr>
        <w:t xml:space="preserve"> suggest possible remedies.</w:t>
      </w:r>
    </w:p>
    <w:p w14:paraId="5A5FFCEA"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faced in Integrating Practical Work into Teaching Chemistry in Zimbabwe</w:t>
      </w:r>
    </w:p>
    <w:p w14:paraId="2F7679FF"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innovative chemistry teaching methods in Zimbabwe is greatly </w:t>
      </w:r>
    </w:p>
    <w:p w14:paraId="6F32EF12" w14:textId="610E9ABC"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hindered by a severe shortage of qualified science teachers. </w:t>
      </w:r>
      <w:proofErr w:type="spellStart"/>
      <w:r>
        <w:rPr>
          <w:rFonts w:ascii="Times New Roman" w:eastAsia="Times New Roman" w:hAnsi="Times New Roman" w:cs="Times New Roman"/>
          <w:sz w:val="24"/>
          <w:szCs w:val="24"/>
        </w:rPr>
        <w:t>Mukeredzi</w:t>
      </w:r>
      <w:proofErr w:type="spellEnd"/>
      <w:r>
        <w:rPr>
          <w:rFonts w:ascii="Times New Roman" w:eastAsia="Times New Roman" w:hAnsi="Times New Roman" w:cs="Times New Roman"/>
          <w:sz w:val="24"/>
          <w:szCs w:val="24"/>
        </w:rPr>
        <w:t xml:space="preserve"> (2016) cited that the government of Zimbabwe recruits professionally unqualified teachers to address teacher shortages especially in rural </w:t>
      </w:r>
      <w:r w:rsidR="0051266F">
        <w:rPr>
          <w:rFonts w:ascii="Times New Roman" w:eastAsia="Times New Roman" w:hAnsi="Times New Roman" w:cs="Times New Roman"/>
          <w:sz w:val="24"/>
          <w:szCs w:val="24"/>
        </w:rPr>
        <w:t>schools.</w:t>
      </w:r>
      <w:r>
        <w:rPr>
          <w:rFonts w:ascii="Times New Roman" w:eastAsia="Times New Roman" w:hAnsi="Times New Roman" w:cs="Times New Roman"/>
          <w:color w:val="1C1C1C"/>
          <w:sz w:val="24"/>
          <w:szCs w:val="24"/>
        </w:rPr>
        <w:t xml:space="preserve"> </w:t>
      </w:r>
      <w:r>
        <w:rPr>
          <w:rFonts w:ascii="Times New Roman" w:eastAsia="Times New Roman" w:hAnsi="Times New Roman" w:cs="Times New Roman"/>
          <w:sz w:val="24"/>
          <w:szCs w:val="24"/>
        </w:rPr>
        <w:t xml:space="preserve">This shortage has been further confirmed by the Zimbabwe Sunday Mail newspaper of 5 May 2019, which reported that the Zimbabwean government has allocated $1.5 million for the training of science teachers, demonstrating its commitment to strengthening science education. The </w:t>
      </w:r>
      <w:r w:rsidR="0051266F">
        <w:rPr>
          <w:rFonts w:ascii="Times New Roman" w:eastAsia="Times New Roman" w:hAnsi="Times New Roman" w:cs="Times New Roman"/>
          <w:sz w:val="24"/>
          <w:szCs w:val="24"/>
        </w:rPr>
        <w:t>minister responsible</w:t>
      </w:r>
      <w:r>
        <w:rPr>
          <w:rFonts w:ascii="Times New Roman" w:eastAsia="Times New Roman" w:hAnsi="Times New Roman" w:cs="Times New Roman"/>
          <w:sz w:val="24"/>
          <w:szCs w:val="24"/>
        </w:rPr>
        <w:t xml:space="preserve"> stated that the initiative aims to train at least 5,000 science teachers by 2025, with a particular focus on placing them in rural schools where science education has been falling behind. The shortage of qualified educators is further highlighted in a 2024 vacancy announcement from the Ministry of Primary and Secondary Education, which underscores the significant gap in the availability of high school science teachers. The announcement specifies that while a postgraduate diploma in education is beneficial, it is not a mandatory requirement, reflecting the urgent need to address the growing demand for trained professionals in Zimbabwe’s schools. By highlighting the shortage of qualified teachers in Zimbabwe, the current research seeks to confirm this shortage and ascertain whether it is one of the reasons why teachers shy from incorporating practical activities into their chemistry classes.</w:t>
      </w:r>
    </w:p>
    <w:p w14:paraId="100A71AA"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Mandina (2012) conducted a study in the Gweru district of Zimbabwe and found that </w:t>
      </w:r>
    </w:p>
    <w:p w14:paraId="7BB73E6D"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resources, such as apparatus, equipment, and consumables, severely hinder the implementation of the Advanced Level Chemistry curriculum, particularly the integration of practical work. Mandina (2017) supported these findings in a study focused on investigating the status and quality of science education in rural day secondary schools in </w:t>
      </w:r>
      <w:proofErr w:type="spellStart"/>
      <w:r>
        <w:rPr>
          <w:rFonts w:ascii="Times New Roman" w:eastAsia="Times New Roman" w:hAnsi="Times New Roman" w:cs="Times New Roman"/>
          <w:sz w:val="24"/>
          <w:szCs w:val="24"/>
        </w:rPr>
        <w:t>Chirumanzu</w:t>
      </w:r>
      <w:proofErr w:type="spellEnd"/>
      <w:r>
        <w:rPr>
          <w:rFonts w:ascii="Times New Roman" w:eastAsia="Times New Roman" w:hAnsi="Times New Roman" w:cs="Times New Roman"/>
          <w:sz w:val="24"/>
          <w:szCs w:val="24"/>
        </w:rPr>
        <w:t xml:space="preserve"> District, Zimbabwe, revealing that most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were limited to teacher demonstrations due to overcrowded classes and lack of laboratory equipment, water, and furniture. Teachers cited timetable constraints and resource shortages as key barriers to effective practical integration. This study builds on this literature by examining whether the scarcity of resources is a key factor in separating theory from practice in Advanced Level chemistry teaching and how this challenge can be solved.</w:t>
      </w:r>
    </w:p>
    <w:p w14:paraId="3FE2DA3A"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class sizes in Zimbabwean public institutions, especially universities and high </w:t>
      </w:r>
    </w:p>
    <w:p w14:paraId="7CDABC02" w14:textId="66DBDB15"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pose a significant barrier to effective teaching and learning. </w:t>
      </w:r>
      <w:proofErr w:type="spellStart"/>
      <w:r>
        <w:rPr>
          <w:rFonts w:ascii="Times New Roman" w:eastAsia="Times New Roman" w:hAnsi="Times New Roman" w:cs="Times New Roman"/>
          <w:sz w:val="24"/>
          <w:szCs w:val="24"/>
        </w:rPr>
        <w:t>Wadesango</w:t>
      </w:r>
      <w:proofErr w:type="spellEnd"/>
      <w:r>
        <w:rPr>
          <w:rFonts w:ascii="Times New Roman" w:eastAsia="Times New Roman" w:hAnsi="Times New Roman" w:cs="Times New Roman"/>
          <w:sz w:val="24"/>
          <w:szCs w:val="24"/>
        </w:rPr>
        <w:t xml:space="preserve">, Hove, and </w:t>
      </w:r>
      <w:proofErr w:type="spellStart"/>
      <w:r>
        <w:rPr>
          <w:rFonts w:ascii="Times New Roman" w:eastAsia="Times New Roman" w:hAnsi="Times New Roman" w:cs="Times New Roman"/>
          <w:sz w:val="24"/>
          <w:szCs w:val="24"/>
        </w:rPr>
        <w:t>Kurebwa</w:t>
      </w:r>
      <w:proofErr w:type="spellEnd"/>
      <w:r>
        <w:rPr>
          <w:rFonts w:ascii="Times New Roman" w:eastAsia="Times New Roman" w:hAnsi="Times New Roman" w:cs="Times New Roman"/>
          <w:sz w:val="24"/>
          <w:szCs w:val="24"/>
        </w:rPr>
        <w:t xml:space="preserve"> (2016) highlight that university lectures often exceed 400 students, leading to reliance on traditional lecture methods that reduce student engagement, a concern also echoed by Marais (2016). Despite prescribed pupil-teacher ratios of 1:35 or 1:40, classes often exceed 60 students, sometimes reaching 80, making marking, material provision, and student interaction challenging (</w:t>
      </w:r>
      <w:proofErr w:type="spellStart"/>
      <w:r>
        <w:rPr>
          <w:rFonts w:ascii="Times New Roman" w:eastAsia="Times New Roman" w:hAnsi="Times New Roman" w:cs="Times New Roman"/>
          <w:sz w:val="24"/>
          <w:szCs w:val="24"/>
        </w:rPr>
        <w:t>Wadesango</w:t>
      </w:r>
      <w:proofErr w:type="spellEnd"/>
      <w:r>
        <w:rPr>
          <w:rFonts w:ascii="Times New Roman" w:eastAsia="Times New Roman" w:hAnsi="Times New Roman" w:cs="Times New Roman"/>
          <w:sz w:val="24"/>
          <w:szCs w:val="24"/>
        </w:rPr>
        <w:t xml:space="preserve"> et al., 2016). This overcrowding, which may be rooted in post-independence expansion of education without proportional resource allocation, is possibly common in public secondary schools where teachers will end up struggling to maintain quality instruction. </w:t>
      </w:r>
      <w:proofErr w:type="spellStart"/>
      <w:r>
        <w:rPr>
          <w:rFonts w:ascii="Times New Roman" w:eastAsia="Times New Roman" w:hAnsi="Times New Roman" w:cs="Times New Roman"/>
          <w:sz w:val="24"/>
          <w:szCs w:val="24"/>
        </w:rPr>
        <w:t>Manlongat</w:t>
      </w:r>
      <w:proofErr w:type="spellEnd"/>
      <w:r>
        <w:rPr>
          <w:rFonts w:ascii="Times New Roman" w:eastAsia="Times New Roman" w:hAnsi="Times New Roman" w:cs="Times New Roman"/>
          <w:sz w:val="24"/>
          <w:szCs w:val="24"/>
        </w:rPr>
        <w:t xml:space="preserve"> et al. (2021) found that large classes affect teachers’ emotional and physical </w:t>
      </w:r>
      <w:r w:rsidR="0051266F">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a condition which may hinder instructional effectiveness. Froyd et al. (201</w:t>
      </w:r>
      <w:r w:rsidR="0003446E">
        <w:rPr>
          <w:rFonts w:ascii="Times New Roman" w:eastAsia="Times New Roman" w:hAnsi="Times New Roman" w:cs="Times New Roman"/>
          <w:sz w:val="24"/>
          <w:szCs w:val="24"/>
        </w:rPr>
        <w:t>2</w:t>
      </w:r>
      <w:r>
        <w:rPr>
          <w:rFonts w:ascii="Times New Roman" w:eastAsia="Times New Roman" w:hAnsi="Times New Roman" w:cs="Times New Roman"/>
          <w:sz w:val="24"/>
          <w:szCs w:val="24"/>
        </w:rPr>
        <w:t>) and Miller and Metz (2014) also note that such conditions discourage active learning strategies like practical work due to difficulty handling overcrowded classes.</w:t>
      </w:r>
    </w:p>
    <w:p w14:paraId="6E6B89DE" w14:textId="1202B414"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w:t>
      </w:r>
      <w:r w:rsidR="0051266F">
        <w:rPr>
          <w:rFonts w:ascii="Times New Roman" w:eastAsia="Times New Roman" w:hAnsi="Times New Roman" w:cs="Times New Roman"/>
          <w:sz w:val="24"/>
          <w:szCs w:val="24"/>
        </w:rPr>
        <w:t xml:space="preserve">teaching of </w:t>
      </w:r>
      <w:r>
        <w:rPr>
          <w:rFonts w:ascii="Times New Roman" w:eastAsia="Times New Roman" w:hAnsi="Times New Roman" w:cs="Times New Roman"/>
          <w:sz w:val="24"/>
          <w:szCs w:val="24"/>
        </w:rPr>
        <w:t xml:space="preserve">science, particularly in chemistry, depends heavily on lab-based </w:t>
      </w:r>
    </w:p>
    <w:p w14:paraId="2E94EE47" w14:textId="3F94DF83"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 supported by well-equipped</w:t>
      </w:r>
      <w:bookmarkStart w:id="0" w:name="_GoBack"/>
      <w:bookmarkEnd w:id="0"/>
      <w:r>
        <w:rPr>
          <w:rFonts w:ascii="Times New Roman" w:eastAsia="Times New Roman" w:hAnsi="Times New Roman" w:cs="Times New Roman"/>
          <w:sz w:val="24"/>
          <w:szCs w:val="24"/>
        </w:rPr>
        <w:t xml:space="preserve"> facilities and qualified support staff such as laboratory assistants (</w:t>
      </w:r>
      <w:proofErr w:type="spellStart"/>
      <w:r>
        <w:rPr>
          <w:rFonts w:ascii="Times New Roman" w:eastAsia="Times New Roman" w:hAnsi="Times New Roman" w:cs="Times New Roman"/>
          <w:sz w:val="24"/>
          <w:szCs w:val="24"/>
        </w:rPr>
        <w:t>Ogunniyi</w:t>
      </w:r>
      <w:proofErr w:type="spellEnd"/>
      <w:r>
        <w:rPr>
          <w:rFonts w:ascii="Times New Roman" w:eastAsia="Times New Roman" w:hAnsi="Times New Roman" w:cs="Times New Roman"/>
          <w:sz w:val="24"/>
          <w:szCs w:val="24"/>
        </w:rPr>
        <w:t xml:space="preserve">, </w:t>
      </w:r>
      <w:r w:rsidR="0003446E">
        <w:rPr>
          <w:rFonts w:ascii="Times New Roman" w:eastAsia="Times New Roman" w:hAnsi="Times New Roman" w:cs="Times New Roman"/>
          <w:sz w:val="24"/>
          <w:szCs w:val="24"/>
        </w:rPr>
        <w:t>2007</w:t>
      </w:r>
      <w:r>
        <w:rPr>
          <w:rFonts w:ascii="Times New Roman" w:eastAsia="Times New Roman" w:hAnsi="Times New Roman" w:cs="Times New Roman"/>
          <w:sz w:val="24"/>
          <w:szCs w:val="24"/>
        </w:rPr>
        <w:t xml:space="preserve">). However, many Zimbabwean secondary schools lack properly trained lab assistants, often relying on unqualified personnel like school-appointed graduates without formal training (Gwara &amp; Mtetwa, 2003). According to Gwara and Mtetwa (2003), most lab assistants lack essential skills in laboratory management, equipment maintenance, and safety, requiring in-service training. These challenges may be particularly pressing under the Heritage-based curriculum, which </w:t>
      </w:r>
      <w:proofErr w:type="spellStart"/>
      <w:r>
        <w:rPr>
          <w:rFonts w:ascii="Times New Roman" w:eastAsia="Times New Roman" w:hAnsi="Times New Roman" w:cs="Times New Roman"/>
          <w:sz w:val="24"/>
          <w:szCs w:val="24"/>
        </w:rPr>
        <w:t>prioritises</w:t>
      </w:r>
      <w:proofErr w:type="spellEnd"/>
      <w:r>
        <w:rPr>
          <w:rFonts w:ascii="Times New Roman" w:eastAsia="Times New Roman" w:hAnsi="Times New Roman" w:cs="Times New Roman"/>
          <w:sz w:val="24"/>
          <w:szCs w:val="24"/>
        </w:rPr>
        <w:t xml:space="preserve"> learner-</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and practical skill development. Addressing the skill gap among lab assistants and enhancing teacher support is crucial for fostering experimental competence and improving chemistry instruction. Integrating practical </w:t>
      </w:r>
      <w:r>
        <w:rPr>
          <w:rFonts w:ascii="Times New Roman" w:eastAsia="Times New Roman" w:hAnsi="Times New Roman" w:cs="Times New Roman"/>
          <w:sz w:val="24"/>
          <w:szCs w:val="24"/>
        </w:rPr>
        <w:lastRenderedPageBreak/>
        <w:t>work has proven highly effective at Advanced Level, enhancing students’ engagement, understanding of theoretical content, and development of analytical skills, therefore it’s pertinent to determine challenges teachers face that prevent the integration of practical activities into teaching in public high schools.</w:t>
      </w:r>
    </w:p>
    <w:p w14:paraId="2285F189" w14:textId="77777777" w:rsidR="00D53F4D" w:rsidRDefault="009372A7">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078FE326"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employed a qualitative approach in which the researchers used the case study </w:t>
      </w:r>
    </w:p>
    <w:p w14:paraId="3609DC22"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to obtain, explain and understand the views of Advanced level chemistry teachers on the challenges they encounter while integrating practical work in their teaching. The data was generated from 15 public high schools in Gweru district. In a case study, the purpose is to describe a phenomenon in detail in its real-world context (Priya, 2020). A case study according to a definition by Yin (2008) is an empirical inquiry which investigates a phenomenon in its real-life context and in which multiple methods of data collection are used. In this study the researchers generated data from the chemistry teachers in their natural setting using semi-structured interviews and lesson observations from purposively sampled teachers. A purposive sampling technique is based on the researcher’s judgment as to who will provide the best information to succeed for the objectives of the study (</w:t>
      </w: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Bala</w:t>
      </w:r>
      <w:proofErr w:type="spellEnd"/>
      <w:r>
        <w:rPr>
          <w:rFonts w:ascii="Times New Roman" w:eastAsia="Times New Roman" w:hAnsi="Times New Roman" w:cs="Times New Roman"/>
          <w:sz w:val="24"/>
          <w:szCs w:val="24"/>
        </w:rPr>
        <w:t xml:space="preserve">, 2017). These 15 qualified teachers who were drawn from the 14 public high schools in the district hold at least a bachelor’s degree and a minimum of five years’ experience teaching Advanced level chemistry. The study employed purposive sampling to gain in-depth insights from willing participants, leveraging their expertise in different methods of teaching chemistry. Additionally, the teachers needed to be teaching Advanced level chemistry classes, although teaching specific classes directly related to the study was not mandatory. </w:t>
      </w:r>
    </w:p>
    <w:p w14:paraId="334EC816" w14:textId="77777777" w:rsidR="00D53F4D" w:rsidRDefault="009372A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Instruments for Data Collection</w:t>
      </w:r>
    </w:p>
    <w:p w14:paraId="705ED59F"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Semi-structured interviews and class observations were used as complementary data </w:t>
      </w:r>
    </w:p>
    <w:p w14:paraId="0136289B"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collection tools in this study to gain a holistic understanding of the challenges teachers face in integrating practical activities into chemistry lessons. Fifteen chemistry teachers participated in semi-structured interviews designed to explore their experiences, perceptions, and obstacles related to the inclusion of hands-on practical work in their teaching. These interviews provided rich qualitative insights into systemic issues such as resource shortages, time constraints, and curriculum demands. To supplement and cross-validate the interview data, the principal researcher also conducted classroom observations of three lessons from five of the interviewed teachers. These observations offered direct insights into classroom dynamics, teaching strategies, and practical constraints such as overcrowded classes, lack of laboratory resources, the condition of laboratories, and the absence of trained laboratory assistants.</w:t>
      </w:r>
    </w:p>
    <w:p w14:paraId="15C06EE5"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use of multiple data collection methods allowed for triangulation, to enhance the </w:t>
      </w:r>
    </w:p>
    <w:p w14:paraId="126AFD98"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credibility and trustworthiness of the findings. Triangulation is a well-established strategy in qualitative research to validate data through cross-verification from more than one source or method (Denzin, 2009; Patton, 1999). Using both interviews and observations helped the researchers not only to verify the consistency of teachers’ responses but also to uncover discrepancies between what teachers said and what occurred in classroom practice. According to Creswell and Plano Clark (2011), employing more than one method in data collection, referred to as a mixed or multi-method approach, enhances the depth and breadth of understanding of complex research problems. This method strengthens the overall rigor of the study and provides a comprehensive view of the barriers to practical work integration and reveals key areas for pedagogical and infrastructural intervention.</w:t>
      </w:r>
    </w:p>
    <w:p w14:paraId="2D8F6A41" w14:textId="77777777" w:rsidR="00D53F4D" w:rsidRDefault="009372A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 for Data Collection</w:t>
      </w:r>
    </w:p>
    <w:p w14:paraId="71EBFA04" w14:textId="77777777" w:rsidR="00D53F4D" w:rsidRDefault="009372A7">
      <w:pPr>
        <w:spacing w:after="0" w:line="360" w:lineRule="auto"/>
        <w:ind w:left="72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Teacher Interviews.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Semi-structured interviews were used to collect data from 15 A-</w:t>
      </w:r>
    </w:p>
    <w:p w14:paraId="04E36F12"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Chemistry teachers. The interviews, which lasted between 15 to 20 minutes, were conducted after working hours and were also held on a one-on-one basis between the teacher and one of the researchers to provide the teachers with a conducive environment to freely express their views and perceptions. During interviews, the teachers provided answers on the research questions regarding the challenges they face in trying to combine practical work and theory when teaching, their suggested solutions to these challenges and recommendations on what can be done to improve the integration of practical work into the chemistry classroom. The principal researcher took down notes on emerging themes and recurring themes while, with the permission of the interviewees, simultaneously audio recorded each conversation.</w:t>
      </w:r>
    </w:p>
    <w:p w14:paraId="2428A7EF"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Non-participant Classroom Observations. </w:t>
      </w:r>
      <w:r>
        <w:rPr>
          <w:rFonts w:ascii="Times New Roman" w:eastAsia="Times New Roman" w:hAnsi="Times New Roman" w:cs="Times New Roman"/>
          <w:sz w:val="24"/>
          <w:szCs w:val="24"/>
        </w:rPr>
        <w:t xml:space="preserve">The principal researcher conducted class </w:t>
      </w:r>
    </w:p>
    <w:p w14:paraId="46BF3D9C" w14:textId="77777777" w:rsidR="00D53F4D" w:rsidRDefault="009372A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observations over a continuous period of three weeks, visiting the 5 selected schools in the district. An observation schedule was prepared in advance to guide the observation process and ensure consistency in data collection across all sites. This structured schedule included an observation checklist and open-ended sections that enabled the researcher to systematically record detailed information about the teaching methods employed by chemistry teachers, the extent of integration of practical work, and the challenges encountered during lesson delivery. The non-participant role allowed the researcher to remain neutral and avoid influencing the teaching process, thereby ensuring more authentic data. The checklist included indicators such as whether practical demonstrations were conducted, whether students were actively involved in hands-on activities, the types of teaching aids used, and the level of student engagement. It also captured infrastructural aspects such as the availability and condition of laboratory </w:t>
      </w:r>
      <w:r>
        <w:rPr>
          <w:rFonts w:ascii="Times New Roman" w:eastAsia="Times New Roman" w:hAnsi="Times New Roman" w:cs="Times New Roman"/>
          <w:sz w:val="24"/>
          <w:szCs w:val="24"/>
        </w:rPr>
        <w:lastRenderedPageBreak/>
        <w:t xml:space="preserve">facilities, presence or absence of laboratory assistants. Furthermore, the observer noted other challenges faced by the teachers, including overcrowded classrooms, limited time allocation for practical sessions, and curriculum pressure that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theory over practical work.</w:t>
      </w:r>
    </w:p>
    <w:p w14:paraId="31AB75F2"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 of Data from Semi-structured Interviews</w:t>
      </w:r>
    </w:p>
    <w:p w14:paraId="19D88A73"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collected from semi-structured interviews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thematic analysis, </w:t>
      </w:r>
    </w:p>
    <w:p w14:paraId="234426D6"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method well-suited for identifying,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and reporting patterns within qualitative data. After the interviews were transcribed verbatim from the audio recordings, the researchers thoroughly reviewed the transcripts alongside the handwritten notes to </w:t>
      </w:r>
      <w:proofErr w:type="spellStart"/>
      <w:r>
        <w:rPr>
          <w:rFonts w:ascii="Times New Roman" w:eastAsia="Times New Roman" w:hAnsi="Times New Roman" w:cs="Times New Roman"/>
          <w:sz w:val="24"/>
          <w:szCs w:val="24"/>
        </w:rPr>
        <w:t>familiarise</w:t>
      </w:r>
      <w:proofErr w:type="spellEnd"/>
      <w:r>
        <w:rPr>
          <w:rFonts w:ascii="Times New Roman" w:eastAsia="Times New Roman" w:hAnsi="Times New Roman" w:cs="Times New Roman"/>
          <w:sz w:val="24"/>
          <w:szCs w:val="24"/>
        </w:rPr>
        <w:t xml:space="preserve"> themselves with the data. Initial coding was then carried out by highlighting key phrases, ideas, and sentiments expressed by the teachers regarding the challenges faced in the integration of practical work in chemistry teaching. These codes were then grouped into broader themes, such as lack of laboratory equipment, large class sizes, time constraints, absence of trained lab assistants, and curriculum overload. The researchers also identified suggested solutions and recommendations offered by participants, allowing for the development of actionable insights. Special attention was given to recurring responses that appeared across multiple interviews, as these were considered indicators of shared experiences or common challenges. This method enabled the researchers to systematically interpret the qualitative data and generate findings that reflect the lived realities of Advanced Level chemistry teachers in integrating practical work within their instructional practices.</w:t>
      </w:r>
    </w:p>
    <w:p w14:paraId="0892970B"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 of Data from Class Observations</w:t>
      </w:r>
    </w:p>
    <w:p w14:paraId="7AB9366B"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data collected from the class observations, the researchers used a qualitative </w:t>
      </w:r>
    </w:p>
    <w:p w14:paraId="2E699445"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content analysis approach, focusing on identifying recurring themes and patterns that emerged across the five observed schools. The observation checklist was coded to quantify the frequency of specific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conditions, such as the use of practical demonstrations, student participation, and availability of laboratory resources. The open-ended sections of the observation schedule were examined using thematic analysis, where the data was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into meaningful categories namely: teaching methods, integration of practical work, and contextual challenges. The researchers also compared findings across different schools to identify commonalities and differences, which may point to systemic issues or school-specific constraints. Additionally, the data from classroom observations was triangulated with information obtained from the semi-structured interviews.</w:t>
      </w:r>
    </w:p>
    <w:p w14:paraId="2369D609" w14:textId="77777777" w:rsidR="00D53F4D" w:rsidRDefault="009372A7">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FINDINGS</w:t>
      </w:r>
    </w:p>
    <w:p w14:paraId="2E44EF3D" w14:textId="77777777" w:rsidR="00D53F4D" w:rsidRDefault="009372A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Findings from Semi-structured Interviews</w:t>
      </w:r>
    </w:p>
    <w:p w14:paraId="259AB414"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proofErr w:type="spellStart"/>
      <w:r>
        <w:rPr>
          <w:rFonts w:ascii="Times New Roman" w:eastAsia="Times New Roman" w:hAnsi="Times New Roman" w:cs="Times New Roman"/>
          <w:sz w:val="24"/>
          <w:szCs w:val="24"/>
        </w:rPr>
        <w:t>summarises</w:t>
      </w:r>
      <w:proofErr w:type="spellEnd"/>
      <w:r>
        <w:rPr>
          <w:rFonts w:ascii="Times New Roman" w:eastAsia="Times New Roman" w:hAnsi="Times New Roman" w:cs="Times New Roman"/>
          <w:sz w:val="24"/>
          <w:szCs w:val="24"/>
        </w:rPr>
        <w:t xml:space="preserve"> the demographic data of the interviewed teachers and schools, with</w:t>
      </w:r>
    </w:p>
    <w:p w14:paraId="3AFB3098"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pseudonyms used for confidentiality. The names used by the teachers during interviews were unique and carried over to the class observations for the selected teachers.</w:t>
      </w:r>
    </w:p>
    <w:p w14:paraId="5183FC14" w14:textId="77777777" w:rsidR="00D53F4D" w:rsidRDefault="00937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Table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Demographic Data for the Interviewed Teachers</w:t>
      </w:r>
    </w:p>
    <w:sdt>
      <w:sdtPr>
        <w:tag w:val="goog_rdk_0"/>
        <w:id w:val="-1137186680"/>
        <w:lock w:val="contentLocked"/>
      </w:sdtPr>
      <w:sdtEndPr/>
      <w:sdtContent>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605"/>
            <w:gridCol w:w="1800"/>
            <w:gridCol w:w="1800"/>
            <w:gridCol w:w="1800"/>
          </w:tblGrid>
          <w:tr w:rsidR="00D53F4D" w14:paraId="21ADB777" w14:textId="77777777">
            <w:tc>
              <w:tcPr>
                <w:tcW w:w="1995" w:type="dxa"/>
                <w:shd w:val="clear" w:color="auto" w:fill="auto"/>
                <w:tcMar>
                  <w:top w:w="100" w:type="dxa"/>
                  <w:left w:w="100" w:type="dxa"/>
                  <w:bottom w:w="100" w:type="dxa"/>
                  <w:right w:w="100" w:type="dxa"/>
                </w:tcMar>
              </w:tcPr>
              <w:p w14:paraId="4F6A625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Teacher</w:t>
                </w:r>
              </w:p>
            </w:tc>
            <w:tc>
              <w:tcPr>
                <w:tcW w:w="1605" w:type="dxa"/>
                <w:shd w:val="clear" w:color="auto" w:fill="auto"/>
                <w:tcMar>
                  <w:top w:w="100" w:type="dxa"/>
                  <w:left w:w="100" w:type="dxa"/>
                  <w:bottom w:w="100" w:type="dxa"/>
                  <w:right w:w="100" w:type="dxa"/>
                </w:tcMar>
              </w:tcPr>
              <w:p w14:paraId="3F4B3344"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Name</w:t>
                </w:r>
              </w:p>
            </w:tc>
            <w:tc>
              <w:tcPr>
                <w:tcW w:w="1800" w:type="dxa"/>
                <w:shd w:val="clear" w:color="auto" w:fill="auto"/>
                <w:tcMar>
                  <w:top w:w="100" w:type="dxa"/>
                  <w:left w:w="100" w:type="dxa"/>
                  <w:bottom w:w="100" w:type="dxa"/>
                  <w:right w:w="100" w:type="dxa"/>
                </w:tcMar>
              </w:tcPr>
              <w:p w14:paraId="42FA901E"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Qualification</w:t>
                </w:r>
              </w:p>
            </w:tc>
            <w:tc>
              <w:tcPr>
                <w:tcW w:w="1800" w:type="dxa"/>
                <w:shd w:val="clear" w:color="auto" w:fill="auto"/>
                <w:tcMar>
                  <w:top w:w="100" w:type="dxa"/>
                  <w:left w:w="100" w:type="dxa"/>
                  <w:bottom w:w="100" w:type="dxa"/>
                  <w:right w:w="100" w:type="dxa"/>
                </w:tcMar>
              </w:tcPr>
              <w:p w14:paraId="2177B5A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Interview</w:t>
                </w:r>
              </w:p>
            </w:tc>
            <w:tc>
              <w:tcPr>
                <w:tcW w:w="1800" w:type="dxa"/>
                <w:shd w:val="clear" w:color="auto" w:fill="auto"/>
                <w:tcMar>
                  <w:top w:w="100" w:type="dxa"/>
                  <w:left w:w="100" w:type="dxa"/>
                  <w:bottom w:w="100" w:type="dxa"/>
                  <w:right w:w="100" w:type="dxa"/>
                </w:tcMar>
              </w:tcPr>
              <w:p w14:paraId="087F961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School</w:t>
                </w:r>
              </w:p>
            </w:tc>
          </w:tr>
          <w:tr w:rsidR="00D53F4D" w14:paraId="5BCAC083" w14:textId="77777777">
            <w:tc>
              <w:tcPr>
                <w:tcW w:w="1995" w:type="dxa"/>
                <w:shd w:val="clear" w:color="auto" w:fill="auto"/>
                <w:tcMar>
                  <w:top w:w="100" w:type="dxa"/>
                  <w:left w:w="100" w:type="dxa"/>
                  <w:bottom w:w="100" w:type="dxa"/>
                  <w:right w:w="100" w:type="dxa"/>
                </w:tcMar>
              </w:tcPr>
              <w:p w14:paraId="2064122B"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605" w:type="dxa"/>
                <w:shd w:val="clear" w:color="auto" w:fill="auto"/>
                <w:tcMar>
                  <w:top w:w="100" w:type="dxa"/>
                  <w:left w:w="100" w:type="dxa"/>
                  <w:bottom w:w="100" w:type="dxa"/>
                  <w:right w:w="100" w:type="dxa"/>
                </w:tcMar>
              </w:tcPr>
              <w:p w14:paraId="3A19CF7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auto"/>
                <w:tcMar>
                  <w:top w:w="100" w:type="dxa"/>
                  <w:left w:w="100" w:type="dxa"/>
                  <w:bottom w:w="100" w:type="dxa"/>
                  <w:right w:w="100" w:type="dxa"/>
                </w:tcMar>
              </w:tcPr>
              <w:p w14:paraId="0B38EBE3"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and MScED</w:t>
                </w:r>
              </w:p>
            </w:tc>
            <w:tc>
              <w:tcPr>
                <w:tcW w:w="1800" w:type="dxa"/>
                <w:shd w:val="clear" w:color="auto" w:fill="auto"/>
                <w:tcMar>
                  <w:top w:w="100" w:type="dxa"/>
                  <w:left w:w="100" w:type="dxa"/>
                  <w:bottom w:w="100" w:type="dxa"/>
                  <w:right w:w="100" w:type="dxa"/>
                </w:tcMar>
              </w:tcPr>
              <w:p w14:paraId="21BE2D4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17DB86B0"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D53F4D" w14:paraId="0EDF09BF" w14:textId="77777777">
            <w:tc>
              <w:tcPr>
                <w:tcW w:w="1995" w:type="dxa"/>
                <w:shd w:val="clear" w:color="auto" w:fill="auto"/>
                <w:tcMar>
                  <w:top w:w="100" w:type="dxa"/>
                  <w:left w:w="100" w:type="dxa"/>
                  <w:bottom w:w="100" w:type="dxa"/>
                  <w:right w:w="100" w:type="dxa"/>
                </w:tcMar>
              </w:tcPr>
              <w:p w14:paraId="0C4852BC"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1605" w:type="dxa"/>
                <w:shd w:val="clear" w:color="auto" w:fill="auto"/>
                <w:tcMar>
                  <w:top w:w="100" w:type="dxa"/>
                  <w:left w:w="100" w:type="dxa"/>
                  <w:bottom w:w="100" w:type="dxa"/>
                  <w:right w:w="100" w:type="dxa"/>
                </w:tcMar>
              </w:tcPr>
              <w:p w14:paraId="4D9AB469"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00" w:type="dxa"/>
                <w:shd w:val="clear" w:color="auto" w:fill="auto"/>
                <w:tcMar>
                  <w:top w:w="100" w:type="dxa"/>
                  <w:left w:w="100" w:type="dxa"/>
                  <w:bottom w:w="100" w:type="dxa"/>
                  <w:right w:w="100" w:type="dxa"/>
                </w:tcMar>
              </w:tcPr>
              <w:p w14:paraId="4308103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2763C3D0"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minutes</w:t>
                </w:r>
              </w:p>
            </w:tc>
            <w:tc>
              <w:tcPr>
                <w:tcW w:w="1800" w:type="dxa"/>
                <w:shd w:val="clear" w:color="auto" w:fill="auto"/>
                <w:tcMar>
                  <w:top w:w="100" w:type="dxa"/>
                  <w:left w:w="100" w:type="dxa"/>
                  <w:bottom w:w="100" w:type="dxa"/>
                  <w:right w:w="100" w:type="dxa"/>
                </w:tcMar>
              </w:tcPr>
              <w:p w14:paraId="395BB943"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16453DEC" w14:textId="77777777">
            <w:tc>
              <w:tcPr>
                <w:tcW w:w="1995" w:type="dxa"/>
                <w:shd w:val="clear" w:color="auto" w:fill="auto"/>
                <w:tcMar>
                  <w:top w:w="100" w:type="dxa"/>
                  <w:left w:w="100" w:type="dxa"/>
                  <w:bottom w:w="100" w:type="dxa"/>
                  <w:right w:w="100" w:type="dxa"/>
                </w:tcMar>
              </w:tcPr>
              <w:p w14:paraId="1D85A60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605" w:type="dxa"/>
                <w:shd w:val="clear" w:color="auto" w:fill="auto"/>
                <w:tcMar>
                  <w:top w:w="100" w:type="dxa"/>
                  <w:left w:w="100" w:type="dxa"/>
                  <w:bottom w:w="100" w:type="dxa"/>
                  <w:right w:w="100" w:type="dxa"/>
                </w:tcMar>
              </w:tcPr>
              <w:p w14:paraId="2B3F1284"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00" w:type="dxa"/>
                <w:shd w:val="clear" w:color="auto" w:fill="auto"/>
                <w:tcMar>
                  <w:top w:w="100" w:type="dxa"/>
                  <w:left w:w="100" w:type="dxa"/>
                  <w:bottom w:w="100" w:type="dxa"/>
                  <w:right w:w="100" w:type="dxa"/>
                </w:tcMar>
              </w:tcPr>
              <w:p w14:paraId="2DB61FBB"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3EEC113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015E35DE"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483341B3" w14:textId="77777777">
            <w:tc>
              <w:tcPr>
                <w:tcW w:w="1995" w:type="dxa"/>
                <w:shd w:val="clear" w:color="auto" w:fill="auto"/>
                <w:tcMar>
                  <w:top w:w="100" w:type="dxa"/>
                  <w:left w:w="100" w:type="dxa"/>
                  <w:bottom w:w="100" w:type="dxa"/>
                  <w:right w:w="100" w:type="dxa"/>
                </w:tcMar>
              </w:tcPr>
              <w:p w14:paraId="79654A0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1605" w:type="dxa"/>
                <w:shd w:val="clear" w:color="auto" w:fill="auto"/>
                <w:tcMar>
                  <w:top w:w="100" w:type="dxa"/>
                  <w:left w:w="100" w:type="dxa"/>
                  <w:bottom w:w="100" w:type="dxa"/>
                  <w:right w:w="100" w:type="dxa"/>
                </w:tcMar>
              </w:tcPr>
              <w:p w14:paraId="3DD58B8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00" w:type="dxa"/>
                <w:shd w:val="clear" w:color="auto" w:fill="auto"/>
                <w:tcMar>
                  <w:top w:w="100" w:type="dxa"/>
                  <w:left w:w="100" w:type="dxa"/>
                  <w:bottom w:w="100" w:type="dxa"/>
                  <w:right w:w="100" w:type="dxa"/>
                </w:tcMar>
              </w:tcPr>
              <w:p w14:paraId="4455A27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2446777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3E61C79A"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D53F4D" w14:paraId="3A093641" w14:textId="77777777">
            <w:tc>
              <w:tcPr>
                <w:tcW w:w="1995" w:type="dxa"/>
                <w:shd w:val="clear" w:color="auto" w:fill="auto"/>
                <w:tcMar>
                  <w:top w:w="100" w:type="dxa"/>
                  <w:left w:w="100" w:type="dxa"/>
                  <w:bottom w:w="100" w:type="dxa"/>
                  <w:right w:w="100" w:type="dxa"/>
                </w:tcMar>
              </w:tcPr>
              <w:p w14:paraId="716C594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1605" w:type="dxa"/>
                <w:shd w:val="clear" w:color="auto" w:fill="auto"/>
                <w:tcMar>
                  <w:top w:w="100" w:type="dxa"/>
                  <w:left w:w="100" w:type="dxa"/>
                  <w:bottom w:w="100" w:type="dxa"/>
                  <w:right w:w="100" w:type="dxa"/>
                </w:tcMar>
              </w:tcPr>
              <w:p w14:paraId="64AAC0A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00" w:type="dxa"/>
                <w:shd w:val="clear" w:color="auto" w:fill="auto"/>
                <w:tcMar>
                  <w:top w:w="100" w:type="dxa"/>
                  <w:left w:w="100" w:type="dxa"/>
                  <w:bottom w:w="100" w:type="dxa"/>
                  <w:right w:w="100" w:type="dxa"/>
                </w:tcMar>
              </w:tcPr>
              <w:p w14:paraId="05AEA7A9"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1862A6B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1BA23CF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21EC73B0" w14:textId="77777777">
            <w:tc>
              <w:tcPr>
                <w:tcW w:w="1995" w:type="dxa"/>
                <w:shd w:val="clear" w:color="auto" w:fill="auto"/>
                <w:tcMar>
                  <w:top w:w="100" w:type="dxa"/>
                  <w:left w:w="100" w:type="dxa"/>
                  <w:bottom w:w="100" w:type="dxa"/>
                  <w:right w:w="100" w:type="dxa"/>
                </w:tcMar>
              </w:tcPr>
              <w:p w14:paraId="0E733EBF"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FT</w:t>
                </w:r>
              </w:p>
            </w:tc>
            <w:tc>
              <w:tcPr>
                <w:tcW w:w="1605" w:type="dxa"/>
                <w:shd w:val="clear" w:color="auto" w:fill="auto"/>
                <w:tcMar>
                  <w:top w:w="100" w:type="dxa"/>
                  <w:left w:w="100" w:type="dxa"/>
                  <w:bottom w:w="100" w:type="dxa"/>
                  <w:right w:w="100" w:type="dxa"/>
                </w:tcMar>
              </w:tcPr>
              <w:p w14:paraId="763AE4C6"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800" w:type="dxa"/>
                <w:shd w:val="clear" w:color="auto" w:fill="auto"/>
                <w:tcMar>
                  <w:top w:w="100" w:type="dxa"/>
                  <w:left w:w="100" w:type="dxa"/>
                  <w:bottom w:w="100" w:type="dxa"/>
                  <w:right w:w="100" w:type="dxa"/>
                </w:tcMar>
              </w:tcPr>
              <w:p w14:paraId="4C67736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37C2C016"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1800" w:type="dxa"/>
                <w:shd w:val="clear" w:color="auto" w:fill="auto"/>
                <w:tcMar>
                  <w:top w:w="100" w:type="dxa"/>
                  <w:left w:w="100" w:type="dxa"/>
                  <w:bottom w:w="100" w:type="dxa"/>
                  <w:right w:w="100" w:type="dxa"/>
                </w:tcMar>
              </w:tcPr>
              <w:p w14:paraId="454FD00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661C1220" w14:textId="77777777">
            <w:tc>
              <w:tcPr>
                <w:tcW w:w="1995" w:type="dxa"/>
                <w:shd w:val="clear" w:color="auto" w:fill="auto"/>
                <w:tcMar>
                  <w:top w:w="100" w:type="dxa"/>
                  <w:left w:w="100" w:type="dxa"/>
                  <w:bottom w:w="100" w:type="dxa"/>
                  <w:right w:w="100" w:type="dxa"/>
                </w:tcMar>
              </w:tcPr>
              <w:p w14:paraId="071EE3EF"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605" w:type="dxa"/>
                <w:shd w:val="clear" w:color="auto" w:fill="auto"/>
                <w:tcMar>
                  <w:top w:w="100" w:type="dxa"/>
                  <w:left w:w="100" w:type="dxa"/>
                  <w:bottom w:w="100" w:type="dxa"/>
                  <w:right w:w="100" w:type="dxa"/>
                </w:tcMar>
              </w:tcPr>
              <w:p w14:paraId="471AF5C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800" w:type="dxa"/>
                <w:shd w:val="clear" w:color="auto" w:fill="auto"/>
                <w:tcMar>
                  <w:top w:w="100" w:type="dxa"/>
                  <w:left w:w="100" w:type="dxa"/>
                  <w:bottom w:w="100" w:type="dxa"/>
                  <w:right w:w="100" w:type="dxa"/>
                </w:tcMar>
              </w:tcPr>
              <w:p w14:paraId="7052D436"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34A4196C"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c>
              <w:tcPr>
                <w:tcW w:w="1800" w:type="dxa"/>
                <w:shd w:val="clear" w:color="auto" w:fill="auto"/>
                <w:tcMar>
                  <w:top w:w="100" w:type="dxa"/>
                  <w:left w:w="100" w:type="dxa"/>
                  <w:bottom w:w="100" w:type="dxa"/>
                  <w:right w:w="100" w:type="dxa"/>
                </w:tcMar>
              </w:tcPr>
              <w:p w14:paraId="16701D2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5A2E66E3" w14:textId="77777777">
            <w:tc>
              <w:tcPr>
                <w:tcW w:w="1995" w:type="dxa"/>
                <w:shd w:val="clear" w:color="auto" w:fill="auto"/>
                <w:tcMar>
                  <w:top w:w="100" w:type="dxa"/>
                  <w:left w:w="100" w:type="dxa"/>
                  <w:bottom w:w="100" w:type="dxa"/>
                  <w:right w:w="100" w:type="dxa"/>
                </w:tcMar>
              </w:tcPr>
              <w:p w14:paraId="5DF03A1A"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w:t>
                </w:r>
              </w:p>
            </w:tc>
            <w:tc>
              <w:tcPr>
                <w:tcW w:w="1605" w:type="dxa"/>
                <w:shd w:val="clear" w:color="auto" w:fill="auto"/>
                <w:tcMar>
                  <w:top w:w="100" w:type="dxa"/>
                  <w:left w:w="100" w:type="dxa"/>
                  <w:bottom w:w="100" w:type="dxa"/>
                  <w:right w:w="100" w:type="dxa"/>
                </w:tcMar>
              </w:tcPr>
              <w:p w14:paraId="63F1E789"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00" w:type="dxa"/>
                <w:shd w:val="clear" w:color="auto" w:fill="auto"/>
                <w:tcMar>
                  <w:top w:w="100" w:type="dxa"/>
                  <w:left w:w="100" w:type="dxa"/>
                  <w:bottom w:w="100" w:type="dxa"/>
                  <w:right w:w="100" w:type="dxa"/>
                </w:tcMar>
              </w:tcPr>
              <w:p w14:paraId="524C68C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585C9DB7"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minutes</w:t>
                </w:r>
              </w:p>
            </w:tc>
            <w:tc>
              <w:tcPr>
                <w:tcW w:w="1800" w:type="dxa"/>
                <w:shd w:val="clear" w:color="auto" w:fill="auto"/>
                <w:tcMar>
                  <w:top w:w="100" w:type="dxa"/>
                  <w:left w:w="100" w:type="dxa"/>
                  <w:bottom w:w="100" w:type="dxa"/>
                  <w:right w:w="100" w:type="dxa"/>
                </w:tcMar>
              </w:tcPr>
              <w:p w14:paraId="741B663F"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5164AF9A" w14:textId="77777777">
            <w:tc>
              <w:tcPr>
                <w:tcW w:w="1995" w:type="dxa"/>
                <w:shd w:val="clear" w:color="auto" w:fill="auto"/>
                <w:tcMar>
                  <w:top w:w="100" w:type="dxa"/>
                  <w:left w:w="100" w:type="dxa"/>
                  <w:bottom w:w="100" w:type="dxa"/>
                  <w:right w:w="100" w:type="dxa"/>
                </w:tcMar>
              </w:tcPr>
              <w:p w14:paraId="412DF0C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1605" w:type="dxa"/>
                <w:shd w:val="clear" w:color="auto" w:fill="auto"/>
                <w:tcMar>
                  <w:top w:w="100" w:type="dxa"/>
                  <w:left w:w="100" w:type="dxa"/>
                  <w:bottom w:w="100" w:type="dxa"/>
                  <w:right w:w="100" w:type="dxa"/>
                </w:tcMar>
              </w:tcPr>
              <w:p w14:paraId="1A7BB640"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800" w:type="dxa"/>
                <w:shd w:val="clear" w:color="auto" w:fill="auto"/>
                <w:tcMar>
                  <w:top w:w="100" w:type="dxa"/>
                  <w:left w:w="100" w:type="dxa"/>
                  <w:bottom w:w="100" w:type="dxa"/>
                  <w:right w:w="100" w:type="dxa"/>
                </w:tcMar>
              </w:tcPr>
              <w:p w14:paraId="170B7D8F"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MSc</w:t>
                </w:r>
              </w:p>
            </w:tc>
            <w:tc>
              <w:tcPr>
                <w:tcW w:w="1800" w:type="dxa"/>
                <w:shd w:val="clear" w:color="auto" w:fill="auto"/>
                <w:tcMar>
                  <w:top w:w="100" w:type="dxa"/>
                  <w:left w:w="100" w:type="dxa"/>
                  <w:bottom w:w="100" w:type="dxa"/>
                  <w:right w:w="100" w:type="dxa"/>
                </w:tcMar>
              </w:tcPr>
              <w:p w14:paraId="2EDC954A"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1800" w:type="dxa"/>
                <w:shd w:val="clear" w:color="auto" w:fill="auto"/>
                <w:tcMar>
                  <w:top w:w="100" w:type="dxa"/>
                  <w:left w:w="100" w:type="dxa"/>
                  <w:bottom w:w="100" w:type="dxa"/>
                  <w:right w:w="100" w:type="dxa"/>
                </w:tcMar>
              </w:tcPr>
              <w:p w14:paraId="5F581684"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1B12B37B" w14:textId="77777777">
            <w:tc>
              <w:tcPr>
                <w:tcW w:w="1995" w:type="dxa"/>
                <w:shd w:val="clear" w:color="auto" w:fill="auto"/>
                <w:tcMar>
                  <w:top w:w="100" w:type="dxa"/>
                  <w:left w:w="100" w:type="dxa"/>
                  <w:bottom w:w="100" w:type="dxa"/>
                  <w:right w:w="100" w:type="dxa"/>
                </w:tcMar>
              </w:tcPr>
              <w:p w14:paraId="1EB18522"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JT1</w:t>
                </w:r>
              </w:p>
            </w:tc>
            <w:tc>
              <w:tcPr>
                <w:tcW w:w="1605" w:type="dxa"/>
                <w:shd w:val="clear" w:color="auto" w:fill="auto"/>
                <w:tcMar>
                  <w:top w:w="100" w:type="dxa"/>
                  <w:left w:w="100" w:type="dxa"/>
                  <w:bottom w:w="100" w:type="dxa"/>
                  <w:right w:w="100" w:type="dxa"/>
                </w:tcMar>
              </w:tcPr>
              <w:p w14:paraId="1B4D293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1800" w:type="dxa"/>
                <w:shd w:val="clear" w:color="auto" w:fill="auto"/>
                <w:tcMar>
                  <w:top w:w="100" w:type="dxa"/>
                  <w:left w:w="100" w:type="dxa"/>
                  <w:bottom w:w="100" w:type="dxa"/>
                  <w:right w:w="100" w:type="dxa"/>
                </w:tcMar>
              </w:tcPr>
              <w:p w14:paraId="7A320D5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6D36F349"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70201D5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093414B7" w14:textId="77777777">
            <w:tc>
              <w:tcPr>
                <w:tcW w:w="1995" w:type="dxa"/>
                <w:shd w:val="clear" w:color="auto" w:fill="auto"/>
                <w:tcMar>
                  <w:top w:w="100" w:type="dxa"/>
                  <w:left w:w="100" w:type="dxa"/>
                  <w:bottom w:w="100" w:type="dxa"/>
                  <w:right w:w="100" w:type="dxa"/>
                </w:tcMar>
              </w:tcPr>
              <w:p w14:paraId="377C2890"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JT2</w:t>
                </w:r>
              </w:p>
            </w:tc>
            <w:tc>
              <w:tcPr>
                <w:tcW w:w="1605" w:type="dxa"/>
                <w:shd w:val="clear" w:color="auto" w:fill="auto"/>
                <w:tcMar>
                  <w:top w:w="100" w:type="dxa"/>
                  <w:left w:w="100" w:type="dxa"/>
                  <w:bottom w:w="100" w:type="dxa"/>
                  <w:right w:w="100" w:type="dxa"/>
                </w:tcMar>
              </w:tcPr>
              <w:p w14:paraId="312CDC9A"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1800" w:type="dxa"/>
                <w:shd w:val="clear" w:color="auto" w:fill="auto"/>
                <w:tcMar>
                  <w:top w:w="100" w:type="dxa"/>
                  <w:left w:w="100" w:type="dxa"/>
                  <w:bottom w:w="100" w:type="dxa"/>
                  <w:right w:w="100" w:type="dxa"/>
                </w:tcMar>
              </w:tcPr>
              <w:p w14:paraId="2117D3F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w:t>
                </w:r>
              </w:p>
            </w:tc>
            <w:tc>
              <w:tcPr>
                <w:tcW w:w="1800" w:type="dxa"/>
                <w:shd w:val="clear" w:color="auto" w:fill="auto"/>
                <w:tcMar>
                  <w:top w:w="100" w:type="dxa"/>
                  <w:left w:w="100" w:type="dxa"/>
                  <w:bottom w:w="100" w:type="dxa"/>
                  <w:right w:w="100" w:type="dxa"/>
                </w:tcMar>
              </w:tcPr>
              <w:p w14:paraId="2A2A8FC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3DDAAD3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067DB6BE" w14:textId="77777777">
            <w:tc>
              <w:tcPr>
                <w:tcW w:w="1995" w:type="dxa"/>
                <w:shd w:val="clear" w:color="auto" w:fill="auto"/>
                <w:tcMar>
                  <w:top w:w="100" w:type="dxa"/>
                  <w:left w:w="100" w:type="dxa"/>
                  <w:bottom w:w="100" w:type="dxa"/>
                  <w:right w:w="100" w:type="dxa"/>
                </w:tcMar>
              </w:tcPr>
              <w:p w14:paraId="2E0B5C04"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KT </w:t>
                </w:r>
              </w:p>
            </w:tc>
            <w:tc>
              <w:tcPr>
                <w:tcW w:w="1605" w:type="dxa"/>
                <w:shd w:val="clear" w:color="auto" w:fill="auto"/>
                <w:tcMar>
                  <w:top w:w="100" w:type="dxa"/>
                  <w:left w:w="100" w:type="dxa"/>
                  <w:bottom w:w="100" w:type="dxa"/>
                  <w:right w:w="100" w:type="dxa"/>
                </w:tcMar>
              </w:tcPr>
              <w:p w14:paraId="04D5CD63"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800" w:type="dxa"/>
                <w:shd w:val="clear" w:color="auto" w:fill="auto"/>
                <w:tcMar>
                  <w:top w:w="100" w:type="dxa"/>
                  <w:left w:w="100" w:type="dxa"/>
                  <w:bottom w:w="100" w:type="dxa"/>
                  <w:right w:w="100" w:type="dxa"/>
                </w:tcMar>
              </w:tcPr>
              <w:p w14:paraId="193510D4"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BTech</w:t>
                </w:r>
              </w:p>
            </w:tc>
            <w:tc>
              <w:tcPr>
                <w:tcW w:w="1800" w:type="dxa"/>
                <w:shd w:val="clear" w:color="auto" w:fill="auto"/>
                <w:tcMar>
                  <w:top w:w="100" w:type="dxa"/>
                  <w:left w:w="100" w:type="dxa"/>
                  <w:bottom w:w="100" w:type="dxa"/>
                  <w:right w:w="100" w:type="dxa"/>
                </w:tcMar>
              </w:tcPr>
              <w:p w14:paraId="23D361E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minutes</w:t>
                </w:r>
              </w:p>
            </w:tc>
            <w:tc>
              <w:tcPr>
                <w:tcW w:w="1800" w:type="dxa"/>
                <w:shd w:val="clear" w:color="auto" w:fill="auto"/>
                <w:tcMar>
                  <w:top w:w="100" w:type="dxa"/>
                  <w:left w:w="100" w:type="dxa"/>
                  <w:bottom w:w="100" w:type="dxa"/>
                  <w:right w:w="100" w:type="dxa"/>
                </w:tcMar>
              </w:tcPr>
              <w:p w14:paraId="7F5F4F9A"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73E7F921" w14:textId="77777777">
            <w:tc>
              <w:tcPr>
                <w:tcW w:w="1995" w:type="dxa"/>
                <w:shd w:val="clear" w:color="auto" w:fill="auto"/>
                <w:tcMar>
                  <w:top w:w="100" w:type="dxa"/>
                  <w:left w:w="100" w:type="dxa"/>
                  <w:bottom w:w="100" w:type="dxa"/>
                  <w:right w:w="100" w:type="dxa"/>
                </w:tcMar>
              </w:tcPr>
              <w:p w14:paraId="1FD84AC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605" w:type="dxa"/>
                <w:shd w:val="clear" w:color="auto" w:fill="auto"/>
                <w:tcMar>
                  <w:top w:w="100" w:type="dxa"/>
                  <w:left w:w="100" w:type="dxa"/>
                  <w:bottom w:w="100" w:type="dxa"/>
                  <w:right w:w="100" w:type="dxa"/>
                </w:tcMar>
              </w:tcPr>
              <w:p w14:paraId="47BA61A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auto"/>
                <w:tcMar>
                  <w:top w:w="100" w:type="dxa"/>
                  <w:left w:w="100" w:type="dxa"/>
                  <w:bottom w:w="100" w:type="dxa"/>
                  <w:right w:w="100" w:type="dxa"/>
                </w:tcMar>
              </w:tcPr>
              <w:p w14:paraId="544132F0"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 Ed. BEd</w:t>
                </w:r>
              </w:p>
            </w:tc>
            <w:tc>
              <w:tcPr>
                <w:tcW w:w="1800" w:type="dxa"/>
                <w:shd w:val="clear" w:color="auto" w:fill="auto"/>
                <w:tcMar>
                  <w:top w:w="100" w:type="dxa"/>
                  <w:left w:w="100" w:type="dxa"/>
                  <w:bottom w:w="100" w:type="dxa"/>
                  <w:right w:w="100" w:type="dxa"/>
                </w:tcMar>
              </w:tcPr>
              <w:p w14:paraId="644BF0E9"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minutes</w:t>
                </w:r>
              </w:p>
            </w:tc>
            <w:tc>
              <w:tcPr>
                <w:tcW w:w="1800" w:type="dxa"/>
                <w:shd w:val="clear" w:color="auto" w:fill="auto"/>
                <w:tcMar>
                  <w:top w:w="100" w:type="dxa"/>
                  <w:left w:w="100" w:type="dxa"/>
                  <w:bottom w:w="100" w:type="dxa"/>
                  <w:right w:w="100" w:type="dxa"/>
                </w:tcMar>
              </w:tcPr>
              <w:p w14:paraId="5065FEAC"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D53F4D" w14:paraId="69B4347D" w14:textId="77777777">
            <w:tc>
              <w:tcPr>
                <w:tcW w:w="1995" w:type="dxa"/>
                <w:shd w:val="clear" w:color="auto" w:fill="auto"/>
                <w:tcMar>
                  <w:top w:w="100" w:type="dxa"/>
                  <w:left w:w="100" w:type="dxa"/>
                  <w:bottom w:w="100" w:type="dxa"/>
                  <w:right w:w="100" w:type="dxa"/>
                </w:tcMar>
              </w:tcPr>
              <w:p w14:paraId="254D4F5E"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MT</w:t>
                </w:r>
              </w:p>
            </w:tc>
            <w:tc>
              <w:tcPr>
                <w:tcW w:w="1605" w:type="dxa"/>
                <w:shd w:val="clear" w:color="auto" w:fill="auto"/>
                <w:tcMar>
                  <w:top w:w="100" w:type="dxa"/>
                  <w:left w:w="100" w:type="dxa"/>
                  <w:bottom w:w="100" w:type="dxa"/>
                  <w:right w:w="100" w:type="dxa"/>
                </w:tcMar>
              </w:tcPr>
              <w:p w14:paraId="21EA7DA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800" w:type="dxa"/>
                <w:shd w:val="clear" w:color="auto" w:fill="auto"/>
                <w:tcMar>
                  <w:top w:w="100" w:type="dxa"/>
                  <w:left w:w="100" w:type="dxa"/>
                  <w:bottom w:w="100" w:type="dxa"/>
                  <w:right w:w="100" w:type="dxa"/>
                </w:tcMar>
              </w:tcPr>
              <w:p w14:paraId="3BE415FD"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 Ed, BSc</w:t>
                </w:r>
              </w:p>
            </w:tc>
            <w:tc>
              <w:tcPr>
                <w:tcW w:w="1800" w:type="dxa"/>
                <w:shd w:val="clear" w:color="auto" w:fill="auto"/>
                <w:tcMar>
                  <w:top w:w="100" w:type="dxa"/>
                  <w:left w:w="100" w:type="dxa"/>
                  <w:bottom w:w="100" w:type="dxa"/>
                  <w:right w:w="100" w:type="dxa"/>
                </w:tcMar>
              </w:tcPr>
              <w:p w14:paraId="382C50F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172B0D91"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3A77FA54" w14:textId="77777777">
            <w:tc>
              <w:tcPr>
                <w:tcW w:w="1995" w:type="dxa"/>
                <w:shd w:val="clear" w:color="auto" w:fill="auto"/>
                <w:tcMar>
                  <w:top w:w="100" w:type="dxa"/>
                  <w:left w:w="100" w:type="dxa"/>
                  <w:bottom w:w="100" w:type="dxa"/>
                  <w:right w:w="100" w:type="dxa"/>
                </w:tcMar>
              </w:tcPr>
              <w:p w14:paraId="414E7DD2"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1605" w:type="dxa"/>
                <w:shd w:val="clear" w:color="auto" w:fill="auto"/>
                <w:tcMar>
                  <w:top w:w="100" w:type="dxa"/>
                  <w:left w:w="100" w:type="dxa"/>
                  <w:bottom w:w="100" w:type="dxa"/>
                  <w:right w:w="100" w:type="dxa"/>
                </w:tcMar>
              </w:tcPr>
              <w:p w14:paraId="7B3DB608"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00" w:type="dxa"/>
                <w:shd w:val="clear" w:color="auto" w:fill="auto"/>
                <w:tcMar>
                  <w:top w:w="100" w:type="dxa"/>
                  <w:left w:w="100" w:type="dxa"/>
                  <w:bottom w:w="100" w:type="dxa"/>
                  <w:right w:w="100" w:type="dxa"/>
                </w:tcMar>
              </w:tcPr>
              <w:p w14:paraId="097D3B75"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245EB65F"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c>
              <w:tcPr>
                <w:tcW w:w="1800" w:type="dxa"/>
                <w:shd w:val="clear" w:color="auto" w:fill="auto"/>
                <w:tcMar>
                  <w:top w:w="100" w:type="dxa"/>
                  <w:left w:w="100" w:type="dxa"/>
                  <w:bottom w:w="100" w:type="dxa"/>
                  <w:right w:w="100" w:type="dxa"/>
                </w:tcMar>
              </w:tcPr>
              <w:p w14:paraId="60871D32" w14:textId="77777777" w:rsidR="00D53F4D" w:rsidRDefault="009372A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r>
        </w:tbl>
      </w:sdtContent>
    </w:sdt>
    <w:p w14:paraId="27CB4953" w14:textId="77777777" w:rsidR="00D53F4D" w:rsidRDefault="00D53F4D">
      <w:pPr>
        <w:spacing w:after="0" w:line="276" w:lineRule="auto"/>
        <w:ind w:left="720"/>
        <w:jc w:val="both"/>
        <w:rPr>
          <w:rFonts w:ascii="Times New Roman" w:eastAsia="Times New Roman" w:hAnsi="Times New Roman" w:cs="Times New Roman"/>
          <w:sz w:val="24"/>
          <w:szCs w:val="24"/>
        </w:rPr>
      </w:pPr>
    </w:p>
    <w:p w14:paraId="3CC8C2B4"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questions for teachers focused on two key themes: the challenges encountered </w:t>
      </w:r>
    </w:p>
    <w:p w14:paraId="7CE24D27"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integrating practical work into chemistry instruction and the potential solutions to these challenges. These thematic areas were subsequently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into codes, and their frequency of occurrence was systematically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and reported in tables 2 and 3.</w:t>
      </w:r>
    </w:p>
    <w:p w14:paraId="10B6C23D" w14:textId="77777777" w:rsidR="00D53F4D" w:rsidRDefault="009372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Table 2: </w:t>
      </w:r>
      <w:r>
        <w:rPr>
          <w:rFonts w:ascii="Times New Roman" w:eastAsia="Times New Roman" w:hAnsi="Times New Roman" w:cs="Times New Roman"/>
          <w:sz w:val="24"/>
          <w:szCs w:val="24"/>
        </w:rPr>
        <w:t>Factors Preventing Teachers from Integrating Practical Work when Teaching.</w:t>
      </w:r>
    </w:p>
    <w:tbl>
      <w:tblPr>
        <w:tblStyle w:val="a4"/>
        <w:tblW w:w="8895" w:type="dxa"/>
        <w:tblBorders>
          <w:top w:val="nil"/>
          <w:left w:val="nil"/>
          <w:bottom w:val="nil"/>
          <w:right w:val="nil"/>
          <w:insideH w:val="nil"/>
          <w:insideV w:val="nil"/>
        </w:tblBorders>
        <w:tblLayout w:type="fixed"/>
        <w:tblLook w:val="0600" w:firstRow="0" w:lastRow="0" w:firstColumn="0" w:lastColumn="0" w:noHBand="1" w:noVBand="1"/>
      </w:tblPr>
      <w:tblGrid>
        <w:gridCol w:w="4770"/>
        <w:gridCol w:w="765"/>
        <w:gridCol w:w="1620"/>
        <w:gridCol w:w="1740"/>
      </w:tblGrid>
      <w:tr w:rsidR="00D53F4D" w14:paraId="6BE27A17" w14:textId="77777777">
        <w:trPr>
          <w:trHeight w:val="570"/>
        </w:trPr>
        <w:tc>
          <w:tcPr>
            <w:tcW w:w="47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E46556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w:t>
            </w:r>
          </w:p>
        </w:tc>
        <w:tc>
          <w:tcPr>
            <w:tcW w:w="7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B46656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tc>
        <w:tc>
          <w:tcPr>
            <w:tcW w:w="1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6ADAB6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w:t>
            </w:r>
          </w:p>
        </w:tc>
        <w:tc>
          <w:tcPr>
            <w:tcW w:w="17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F94D5F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D53F4D" w14:paraId="2D7CF965" w14:textId="77777777">
        <w:trPr>
          <w:trHeight w:val="570"/>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72B81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equipment, resources, and teaching material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E0E492A"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519AA2D"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14A232A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r w:rsidR="00D53F4D" w14:paraId="59188587"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78664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Lack of time</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BF9137A"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D6D0D0D"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5B9AB4D7"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D53F4D" w14:paraId="3F313AA9"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C77BB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Absence of laboratory assistant/technician</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BE0DB24"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C43C38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7EAFF404"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D53F4D" w14:paraId="4E0FCCA6"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A42CF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 much work to prepare for practical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B5D5206"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62091AA"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4A80E64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D53F4D" w14:paraId="3CF1F10C"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2ACA6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class sizes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37A2CF6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BFC1016"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1002227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D53F4D" w14:paraId="1C1FB903"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B938D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Slows down syllabus coverage</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64C5937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AB86CB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602F92CD"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D53F4D" w14:paraId="7CCB641A"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096935"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chemicals is too high</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6C15C3C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A05C6D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6AA95269"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D53F4D" w14:paraId="0AAD915D"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CC311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spellStart"/>
            <w:r>
              <w:rPr>
                <w:rFonts w:ascii="Times New Roman" w:eastAsia="Times New Roman" w:hAnsi="Times New Roman" w:cs="Times New Roman"/>
                <w:sz w:val="24"/>
                <w:szCs w:val="24"/>
              </w:rPr>
              <w:t>behaviour</w:t>
            </w:r>
            <w:proofErr w:type="spellEnd"/>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3184B5C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B3F168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4E50BE9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D53F4D" w14:paraId="3E2EE255" w14:textId="77777777">
        <w:trPr>
          <w:trHeight w:val="570"/>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AE47B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expertise in how to plan practical activities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1C023AC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C94E0F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16866DC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D53F4D" w14:paraId="5E233F31"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ADABB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support from the administration</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CA0BD2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D866EA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3950719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D53F4D" w14:paraId="663C5AAA"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3C2C9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safety of students is not guaranteed</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64887FDD"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39E32A6"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470A03B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D53F4D" w14:paraId="118160E3"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6F22E5"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motivation to do extra work</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69A7DB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FD4A24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6B615ED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53F4D" w14:paraId="06F0E503"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6EB03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06B2052" w14:textId="77777777" w:rsidR="00D53F4D" w:rsidRDefault="00D53F4D">
            <w:pPr>
              <w:spacing w:after="0" w:line="240" w:lineRule="auto"/>
              <w:rPr>
                <w:rFonts w:ascii="Times New Roman" w:eastAsia="Times New Roman" w:hAnsi="Times New Roman" w:cs="Times New Roman"/>
                <w:sz w:val="24"/>
                <w:szCs w:val="24"/>
              </w:rPr>
            </w:pP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8C3CAA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4A42FD0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28E48CE" w14:textId="77777777" w:rsidR="00D53F4D" w:rsidRDefault="00D53F4D">
      <w:pPr>
        <w:spacing w:after="0" w:line="240" w:lineRule="auto"/>
        <w:jc w:val="both"/>
        <w:rPr>
          <w:rFonts w:ascii="Times New Roman" w:eastAsia="Times New Roman" w:hAnsi="Times New Roman" w:cs="Times New Roman"/>
          <w:sz w:val="24"/>
          <w:szCs w:val="24"/>
        </w:rPr>
      </w:pPr>
    </w:p>
    <w:p w14:paraId="078BE0D4"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responses in table 2 and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them into ‘Factors that</w:t>
      </w:r>
    </w:p>
    <w:p w14:paraId="1C3CDE43"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 teachers from integrating practical work into teaching chemistry.’. 14 of the 15 interviewed teachers said they couldn’t integrate practical work into their teaching due to lack of necessary resources, such as laboratory equipment and chemicals. Only one teacher (AT) who teaches at a peri-urban boarding school did not complain about lack of resources. Additionally, 6 teachers from urban day schools pointed out that the absence of a laboratory assistant in the school made it difficult to include practical activities in their lessons. These teachers are from schools B, C, E, F, G and M) which are in high density with enrolments of at least 1500 students. One of these 6 teachers (FT) praised the integration of practical work, stating, </w:t>
      </w:r>
      <w:r>
        <w:rPr>
          <w:rFonts w:ascii="Times New Roman" w:eastAsia="Times New Roman" w:hAnsi="Times New Roman" w:cs="Times New Roman"/>
          <w:i/>
          <w:sz w:val="24"/>
          <w:szCs w:val="24"/>
        </w:rPr>
        <w:t>“It is a very good approach as learners tend to understand the concept taught”,</w:t>
      </w:r>
      <w:r>
        <w:rPr>
          <w:rFonts w:ascii="Times New Roman" w:eastAsia="Times New Roman" w:hAnsi="Times New Roman" w:cs="Times New Roman"/>
          <w:sz w:val="24"/>
          <w:szCs w:val="24"/>
        </w:rPr>
        <w:t xml:space="preserve"> However, the teacher highlighted a significant challenge:</w:t>
      </w:r>
      <w:r>
        <w:rPr>
          <w:rFonts w:ascii="Times New Roman" w:eastAsia="Times New Roman" w:hAnsi="Times New Roman" w:cs="Times New Roman"/>
          <w:i/>
          <w:sz w:val="24"/>
          <w:szCs w:val="24"/>
        </w:rPr>
        <w:t xml:space="preserve"> “The only challenge is on preparation of the practical lesson. It is only feasible to a greater extent when a laboratory assistant is available, otherwise doing all the preparations, delivering lessons, marking, and recording and preparing for the next lessons is overwhelming”.</w:t>
      </w:r>
    </w:p>
    <w:p w14:paraId="6627817C"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 of the 15 teachers interviewed said that preparing of lessons involving practical </w:t>
      </w:r>
    </w:p>
    <w:p w14:paraId="149F6763"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too much work. These teachers were all from urban day schools (B, C, E, F, H, J, K and M). One of these 8 teachers explained, </w:t>
      </w:r>
      <w:r>
        <w:rPr>
          <w:rFonts w:ascii="Times New Roman" w:eastAsia="Times New Roman" w:hAnsi="Times New Roman" w:cs="Times New Roman"/>
          <w:i/>
          <w:sz w:val="24"/>
          <w:szCs w:val="24"/>
        </w:rPr>
        <w:t xml:space="preserve">“Mostly it's insufficient time to prepare the practical </w:t>
      </w:r>
      <w:r>
        <w:rPr>
          <w:rFonts w:ascii="Times New Roman" w:eastAsia="Times New Roman" w:hAnsi="Times New Roman" w:cs="Times New Roman"/>
          <w:i/>
          <w:sz w:val="24"/>
          <w:szCs w:val="24"/>
        </w:rPr>
        <w:lastRenderedPageBreak/>
        <w:t>activities due to lack of manpower and even chemicals at times”</w:t>
      </w:r>
      <w:r>
        <w:rPr>
          <w:rFonts w:ascii="Times New Roman" w:eastAsia="Times New Roman" w:hAnsi="Times New Roman" w:cs="Times New Roman"/>
          <w:sz w:val="24"/>
          <w:szCs w:val="24"/>
        </w:rPr>
        <w:t>. Another reason given by these 8 teachers is that their classes are too large, something that the researcher noticed during class observations in one of the schools (B). Additionally, 8 other teachers, this time mainly peri-urban boarding schools (D and l) mentioned that integrating practical work into teaching significantly slows down syllabus coverage. These teachers expressed a concern also echoed by 11 other respondents, who included both urban and rural schools, who cited that the time required to set up, conduct, and clean up after practical activities lessens the time available for covering the theory aspect of the syllabus. One of the teachers (NT) said that “</w:t>
      </w:r>
      <w:r>
        <w:rPr>
          <w:rFonts w:ascii="Times New Roman" w:eastAsia="Times New Roman" w:hAnsi="Times New Roman" w:cs="Times New Roman"/>
          <w:i/>
          <w:sz w:val="24"/>
          <w:szCs w:val="24"/>
        </w:rPr>
        <w:t>This issue is made worse by the need to manage and supervise students during practical sessions, especially when dealing with larger classes worse still in a rural location”</w:t>
      </w:r>
      <w:r>
        <w:rPr>
          <w:rFonts w:ascii="Times New Roman" w:eastAsia="Times New Roman" w:hAnsi="Times New Roman" w:cs="Times New Roman"/>
          <w:sz w:val="24"/>
          <w:szCs w:val="24"/>
        </w:rPr>
        <w:t>. Two respondents from urban day schools (FT and MT) mentioned the high cost of chemicals. One of them (FT) insinuated that “</w:t>
      </w:r>
      <w:r>
        <w:rPr>
          <w:rFonts w:ascii="Times New Roman" w:eastAsia="Times New Roman" w:hAnsi="Times New Roman" w:cs="Times New Roman"/>
          <w:i/>
          <w:sz w:val="24"/>
          <w:szCs w:val="24"/>
        </w:rPr>
        <w:t>The expense of acquiring necessary chemicals is a significant barrier, especially when school budgets are tight considering the economic situation facing developing countries, Zimbabwe included.</w:t>
      </w:r>
      <w:r>
        <w:rPr>
          <w:rFonts w:ascii="Times New Roman" w:eastAsia="Times New Roman" w:hAnsi="Times New Roman" w:cs="Times New Roman"/>
          <w:sz w:val="24"/>
          <w:szCs w:val="24"/>
        </w:rPr>
        <w:t xml:space="preserve">” The other two teachers (BT and DT) cited student behavior as reasons for not incorporating practical activities into their Chemistry classes. </w:t>
      </w:r>
    </w:p>
    <w:p w14:paraId="424E05AD"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reasons mentioned included a lack of knowledge of how to conduct practical work, lack of support from the school, and safety concerns for students. Each of these reasons was mentioned by 2 of the 15 respondents who teach in boarding schools where the safety of students is given top priority. Lack of support from the school may further complicate and </w:t>
      </w:r>
      <w:proofErr w:type="spellStart"/>
      <w:r>
        <w:rPr>
          <w:rFonts w:ascii="Times New Roman" w:eastAsia="Times New Roman" w:hAnsi="Times New Roman" w:cs="Times New Roman"/>
          <w:sz w:val="24"/>
          <w:szCs w:val="24"/>
        </w:rPr>
        <w:t>jeopardise</w:t>
      </w:r>
      <w:proofErr w:type="spellEnd"/>
      <w:r>
        <w:rPr>
          <w:rFonts w:ascii="Times New Roman" w:eastAsia="Times New Roman" w:hAnsi="Times New Roman" w:cs="Times New Roman"/>
          <w:sz w:val="24"/>
          <w:szCs w:val="24"/>
        </w:rPr>
        <w:t xml:space="preserve"> the integration of practical work into teaching chemistry. Additionally, one rural schoolteacher (NT) stated that teachers are not motivated to do more than normal teaching using lecture methods. This teacher pointed out several factors contributing to this lack of motivation: insufficient time for preparation and execution of practical activities, financial constraints, lack of practical skills among teachers, and inadequate remuneration, which negatively affects teachers’ attitudes and motivation. This response underscores a wide range of challenges teachers face, ranging from logistical issues to personal issues that go beyond the classroom and professional hurdles, all of which impact their ability to integrate practical work with theoretical instruction when teaching chemistry.</w:t>
      </w:r>
    </w:p>
    <w:p w14:paraId="463C86FA"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teacher interviews revealed that teachers in public schools in Gweru district continue to face significant challenges in effectively integrating practical work into the teaching of chemistry. A recurring issue is the limited time available for the meticulous planning and delivery of practical lessons, often compounded by the lack of qualified laboratory technicians or assistants (Gwara &amp; Mtetwa, 2003). This inadequacy undermines teachers’ ability to manage experiments efficiently and safely, an essential factor in promoting </w:t>
      </w:r>
      <w:r>
        <w:rPr>
          <w:rFonts w:ascii="Times New Roman" w:eastAsia="Times New Roman" w:hAnsi="Times New Roman" w:cs="Times New Roman"/>
          <w:sz w:val="24"/>
          <w:szCs w:val="24"/>
        </w:rPr>
        <w:lastRenderedPageBreak/>
        <w:t>active learning. Moreover, widespread shortages of critical laboratory resources, such as chemicals and equipment, further constrain the delivery of hands-on instruction, thereby depriving students of vital experiential learning opportunities (</w:t>
      </w:r>
      <w:proofErr w:type="spellStart"/>
      <w:r>
        <w:rPr>
          <w:rFonts w:ascii="Times New Roman" w:eastAsia="Times New Roman" w:hAnsi="Times New Roman" w:cs="Times New Roman"/>
          <w:sz w:val="24"/>
          <w:szCs w:val="24"/>
        </w:rPr>
        <w:t>Chirikure</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Murimba</w:t>
      </w:r>
      <w:proofErr w:type="spellEnd"/>
      <w:r>
        <w:rPr>
          <w:rFonts w:ascii="Times New Roman" w:eastAsia="Times New Roman" w:hAnsi="Times New Roman" w:cs="Times New Roman"/>
          <w:sz w:val="24"/>
          <w:szCs w:val="24"/>
        </w:rPr>
        <w:t xml:space="preserve">, 2005). As a result, many learners struggle to relate abstract theoretical knowledge to real-world phenomena, negatively impacting their comprehension and motivation (Woodley, 2009; Woolnough, 1994). These findings are consistent with broader international research, which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practical work is indispensable for meaningful science education as it fosters deeper conceptual understanding and encourages the application of knowledge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2007; </w:t>
      </w:r>
      <w:proofErr w:type="spellStart"/>
      <w:r>
        <w:rPr>
          <w:rFonts w:ascii="Times New Roman" w:eastAsia="Times New Roman" w:hAnsi="Times New Roman" w:cs="Times New Roman"/>
          <w:sz w:val="24"/>
          <w:szCs w:val="24"/>
        </w:rPr>
        <w:t>Lunetta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&amp; Clough, 2007).</w:t>
      </w:r>
    </w:p>
    <w:p w14:paraId="1B130974"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also asked the interviewees to suggest ways of improving the integration of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into teaching chemistry in schools. The responses were transcribed verbatim and coded to determine the frequency of each response as shown in table 3 below.</w:t>
      </w:r>
    </w:p>
    <w:p w14:paraId="445E587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Table 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Strategies that can Improve the Integration of Practical Work into Teaching.</w:t>
      </w:r>
    </w:p>
    <w:tbl>
      <w:tblPr>
        <w:tblStyle w:val="a5"/>
        <w:tblW w:w="8895" w:type="dxa"/>
        <w:tblBorders>
          <w:top w:val="nil"/>
          <w:left w:val="nil"/>
          <w:bottom w:val="nil"/>
          <w:right w:val="nil"/>
          <w:insideH w:val="nil"/>
          <w:insideV w:val="nil"/>
        </w:tblBorders>
        <w:tblLayout w:type="fixed"/>
        <w:tblLook w:val="0600" w:firstRow="0" w:lastRow="0" w:firstColumn="0" w:lastColumn="0" w:noHBand="1" w:noVBand="1"/>
      </w:tblPr>
      <w:tblGrid>
        <w:gridCol w:w="3735"/>
        <w:gridCol w:w="765"/>
        <w:gridCol w:w="2715"/>
        <w:gridCol w:w="1680"/>
      </w:tblGrid>
      <w:tr w:rsidR="00D53F4D" w14:paraId="75104CFD" w14:textId="77777777">
        <w:trPr>
          <w:trHeight w:val="570"/>
        </w:trPr>
        <w:tc>
          <w:tcPr>
            <w:tcW w:w="3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273D4D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Strategy</w:t>
            </w:r>
          </w:p>
        </w:tc>
        <w:tc>
          <w:tcPr>
            <w:tcW w:w="7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0B85A19"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tc>
        <w:tc>
          <w:tcPr>
            <w:tcW w:w="27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B655AC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(No. of Responses)</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A5975F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D53F4D" w14:paraId="46595A77"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667D3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development of teachers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FDDC799"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6A3F09A7"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F623A0A"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r w:rsidR="00D53F4D" w14:paraId="182ED00C"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F04FF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practical handbooks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A395EB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65F2BF15"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C998277"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D53F4D" w14:paraId="3AC3A7EB"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F0146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more labs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34BAE86"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1973353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73CDD725"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D53F4D" w14:paraId="475BACF3"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0DB769"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resources (equip labs, buy chemicals)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C423D91"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2440B86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61EFCB6B"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D53F4D" w14:paraId="43918677"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06C164"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time allocation for chemistry lessons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535EE5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1106929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4431BFA2"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53F4D" w14:paraId="31E16747" w14:textId="77777777">
        <w:trPr>
          <w:trHeight w:val="407"/>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E04A3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Motivate teachers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778AEDCC"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27D1AD9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31FC29EE"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53F4D" w14:paraId="10EBEED2"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43E423"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 like laboratory assistants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A93E84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7742FCA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5FE28A99"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53F4D" w14:paraId="37592F41"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359C98"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11C556CD" w14:textId="77777777" w:rsidR="00D53F4D" w:rsidRDefault="00D53F4D">
            <w:pPr>
              <w:spacing w:after="0" w:line="240" w:lineRule="auto"/>
              <w:rPr>
                <w:rFonts w:ascii="Times New Roman" w:eastAsia="Times New Roman" w:hAnsi="Times New Roman" w:cs="Times New Roman"/>
                <w:sz w:val="24"/>
                <w:szCs w:val="24"/>
              </w:rPr>
            </w:pP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5A9FB94F"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3C94E670" w14:textId="77777777" w:rsidR="00D53F4D" w:rsidRDefault="009372A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3769EE9" w14:textId="77777777" w:rsidR="00D53F4D" w:rsidRDefault="009372A7">
      <w:pPr>
        <w:spacing w:before="240" w:after="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p>
    <w:p w14:paraId="28BB49BB"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of the 15 interviewed teachers were of the view that if teachers are to integrate practical work in their lessons, professional development involving in-service courses in doing effective practical work should be conducted by subject advisors and experienced science teachers.  They also mentioned that in this regard; teachers need to form support groups to </w:t>
      </w:r>
      <w:r>
        <w:rPr>
          <w:rFonts w:ascii="Times New Roman" w:eastAsia="Times New Roman" w:hAnsi="Times New Roman" w:cs="Times New Roman"/>
          <w:sz w:val="24"/>
          <w:szCs w:val="24"/>
        </w:rPr>
        <w:lastRenderedPageBreak/>
        <w:t xml:space="preserve">develop skills in doing practical work. The researchers got the following responses on the types of professional development that teachers deem necessary to improve the integration of practical work in teaching. Teacher CT stated that, </w:t>
      </w:r>
      <w:r>
        <w:rPr>
          <w:rFonts w:ascii="Times New Roman" w:eastAsia="Times New Roman" w:hAnsi="Times New Roman" w:cs="Times New Roman"/>
          <w:i/>
          <w:sz w:val="24"/>
          <w:szCs w:val="24"/>
        </w:rPr>
        <w:t xml:space="preserve">“Use of internet, cultural exchange </w:t>
      </w:r>
      <w:proofErr w:type="spellStart"/>
      <w:r>
        <w:rPr>
          <w:rFonts w:ascii="Times New Roman" w:eastAsia="Times New Roman" w:hAnsi="Times New Roman" w:cs="Times New Roman"/>
          <w:i/>
          <w:sz w:val="24"/>
          <w:szCs w:val="24"/>
        </w:rPr>
        <w:t>programmes</w:t>
      </w:r>
      <w:proofErr w:type="spellEnd"/>
      <w:r>
        <w:rPr>
          <w:rFonts w:ascii="Times New Roman" w:eastAsia="Times New Roman" w:hAnsi="Times New Roman" w:cs="Times New Roman"/>
          <w:i/>
          <w:sz w:val="24"/>
          <w:szCs w:val="24"/>
        </w:rPr>
        <w:t>, team teaching, nearby universities to allow students to carry out practical experiments freely and putting effort and resources as secondary and high schools are their primary source”.</w:t>
      </w:r>
      <w:r>
        <w:rPr>
          <w:rFonts w:ascii="Times New Roman" w:eastAsia="Times New Roman" w:hAnsi="Times New Roman" w:cs="Times New Roman"/>
          <w:sz w:val="24"/>
          <w:szCs w:val="24"/>
        </w:rPr>
        <w:t xml:space="preserve"> This teacher believes that fellow teachers must share ideas on how to integrate practical work with theory in their classes. Another response from an urban schoolteacher (MT) cited </w:t>
      </w:r>
      <w:r>
        <w:rPr>
          <w:rFonts w:ascii="Times New Roman" w:eastAsia="Times New Roman" w:hAnsi="Times New Roman" w:cs="Times New Roman"/>
          <w:i/>
          <w:sz w:val="24"/>
          <w:szCs w:val="24"/>
        </w:rPr>
        <w:t>“Cambridge workshops or IB workshops. Teachers must be encouraged to join international associations of science/chemistry teachers. Such fora provide information on such training opportunities.”</w:t>
      </w:r>
      <w:r>
        <w:rPr>
          <w:rFonts w:ascii="Times New Roman" w:eastAsia="Times New Roman" w:hAnsi="Times New Roman" w:cs="Times New Roman"/>
          <w:sz w:val="24"/>
          <w:szCs w:val="24"/>
        </w:rPr>
        <w:t xml:space="preserve"> The teacher believes that there must be coordination between local teachers and international boards mentioned in the quote on ways to engage students through integrating hands-on activities in the chemistry classroom. </w:t>
      </w:r>
    </w:p>
    <w:p w14:paraId="340852CA" w14:textId="68920B10"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Five teachers interviewed cited the need for schools to provide practical handbooks</w:t>
      </w:r>
      <w:r w:rsidR="0051266F">
        <w:rPr>
          <w:rFonts w:ascii="Times New Roman" w:eastAsia="Times New Roman" w:hAnsi="Times New Roman" w:cs="Times New Roman"/>
          <w:sz w:val="24"/>
          <w:szCs w:val="24"/>
        </w:rPr>
        <w:t xml:space="preserve"> to</w:t>
      </w:r>
    </w:p>
    <w:p w14:paraId="3E5CF0A4" w14:textId="25A32CF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facilitate uniform teaching with guided assessment. These practical skills handbooks offer essential guidance and support for the assessment of practical skills in both written exams and practical endorsements, as well as provide direction to teachers when assessing the competency of students during practical activities. Moreover, these handbooks support the indirect assessment of practical skills, as highlighted by Oliveira and Bonito (2023). In this study, teachers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one of the primary reasons for separating practical work from theory in their teaching is the difficulty in planning practical activities. They said that the provision of handbooks by ZIMSEC would be a highly beneficial initiative, as it would make the preparation process easier, offer structured guidelines, and ensure consistency in the assessment and delivery of practical skills across different schools. This would not only enhance the effectiveness of integrating practical work with theoretical instruction but also alleviate the planning burden on teachers, enabling them to focus more on delivering engaging chemistry lessons. The teachers believe that such handbooks would </w:t>
      </w:r>
      <w:proofErr w:type="spellStart"/>
      <w:r>
        <w:rPr>
          <w:rFonts w:ascii="Times New Roman" w:eastAsia="Times New Roman" w:hAnsi="Times New Roman" w:cs="Times New Roman"/>
          <w:sz w:val="24"/>
          <w:szCs w:val="24"/>
        </w:rPr>
        <w:t>standardise</w:t>
      </w:r>
      <w:proofErr w:type="spellEnd"/>
      <w:r>
        <w:rPr>
          <w:rFonts w:ascii="Times New Roman" w:eastAsia="Times New Roman" w:hAnsi="Times New Roman" w:cs="Times New Roman"/>
          <w:sz w:val="24"/>
          <w:szCs w:val="24"/>
        </w:rPr>
        <w:t xml:space="preserve"> practical instruction and assessment, ultimately leading to improved student performance.</w:t>
      </w:r>
    </w:p>
    <w:p w14:paraId="0E889494" w14:textId="77777777" w:rsidR="00D53F4D" w:rsidRDefault="009372A7">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Three out of the 15 respondents suggested that more laboratories should be built to enhance the teaching of chemistry. They felt that, while integrating practical work does not necessarily require a lab, chemistry is better learnt in a laboratory setting than in a regular classroom. Fourteen interviewed teachers are of the opinion that if schools provide enough resources such as chemicals and other laboratory equipment, the integration of practical work is never an issue. One of those teachers (JT1) said that</w:t>
      </w:r>
      <w:r>
        <w:rPr>
          <w:rFonts w:ascii="Times New Roman" w:eastAsia="Times New Roman" w:hAnsi="Times New Roman" w:cs="Times New Roman"/>
          <w:i/>
          <w:sz w:val="24"/>
          <w:szCs w:val="24"/>
        </w:rPr>
        <w:t xml:space="preserve"> “Provide a bigger budget for chemistry as well as allowances.” </w:t>
      </w:r>
      <w:r>
        <w:rPr>
          <w:rFonts w:ascii="Times New Roman" w:eastAsia="Times New Roman" w:hAnsi="Times New Roman" w:cs="Times New Roman"/>
          <w:sz w:val="24"/>
          <w:szCs w:val="24"/>
        </w:rPr>
        <w:t>Another teacher from the same school (JT2) suggested that</w:t>
      </w:r>
      <w:r>
        <w:rPr>
          <w:rFonts w:ascii="Times New Roman" w:eastAsia="Times New Roman" w:hAnsi="Times New Roman" w:cs="Times New Roman"/>
          <w:i/>
          <w:sz w:val="24"/>
          <w:szCs w:val="24"/>
        </w:rPr>
        <w:t xml:space="preserve"> “The </w:t>
      </w:r>
      <w:r>
        <w:rPr>
          <w:rFonts w:ascii="Times New Roman" w:eastAsia="Times New Roman" w:hAnsi="Times New Roman" w:cs="Times New Roman"/>
          <w:i/>
          <w:sz w:val="24"/>
          <w:szCs w:val="24"/>
        </w:rPr>
        <w:lastRenderedPageBreak/>
        <w:t>laboratory at the learning institution should be well equipped.”</w:t>
      </w:r>
      <w:r>
        <w:rPr>
          <w:rFonts w:ascii="Times New Roman" w:eastAsia="Times New Roman" w:hAnsi="Times New Roman" w:cs="Times New Roman"/>
          <w:sz w:val="24"/>
          <w:szCs w:val="24"/>
        </w:rPr>
        <w:t xml:space="preserve"> These two teachers also added that the government should provide adequate material resources for chemistry teachers for effective implementation of the curriculum. The other responses that were coded by the researcher include: Increasing time allocation for chemistry lessons, motivating teachers and providing human resources like laboratory assistants.  Each of these remedies were mentioned by four teachers from urban schools (B, C, E and M). One of these teachers (CT) said that </w:t>
      </w:r>
      <w:r>
        <w:rPr>
          <w:rFonts w:ascii="Times New Roman" w:eastAsia="Times New Roman" w:hAnsi="Times New Roman" w:cs="Times New Roman"/>
          <w:i/>
          <w:sz w:val="24"/>
          <w:szCs w:val="24"/>
        </w:rPr>
        <w:t>“Provide a slightly higher allocation of time to chemistry in order to increase practice”.</w:t>
      </w:r>
      <w:r>
        <w:rPr>
          <w:rFonts w:ascii="Times New Roman" w:eastAsia="Times New Roman" w:hAnsi="Times New Roman" w:cs="Times New Roman"/>
          <w:sz w:val="24"/>
          <w:szCs w:val="24"/>
        </w:rPr>
        <w:t xml:space="preserve"> The other solution mentioned by the teachers during the interviews was that they need to be motivated to work through better remuneration and non-monetary incentives.</w:t>
      </w:r>
    </w:p>
    <w:p w14:paraId="28B8B2CE" w14:textId="77777777" w:rsidR="00D53F4D" w:rsidRDefault="009372A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Findings from Classroom Observations</w:t>
      </w:r>
    </w:p>
    <w:p w14:paraId="50B055C9"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is a summary of the demographic information for the observed teachers and schools, with pseudonyms assigned to ensure confidentiality. Notably, the pseudonym ‘Teacher AT’ used during interviews was retained for consistency in the observation phase.</w:t>
      </w:r>
    </w:p>
    <w:p w14:paraId="17D7EEC4" w14:textId="77777777" w:rsidR="00D53F4D" w:rsidRDefault="00937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Table 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Demographic Data of Observed Teachers</w:t>
      </w:r>
    </w:p>
    <w:sdt>
      <w:sdtPr>
        <w:tag w:val="goog_rdk_1"/>
        <w:id w:val="341519651"/>
        <w:lock w:val="contentLocked"/>
      </w:sdtPr>
      <w:sdtEndPr/>
      <w:sdtContent>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605"/>
            <w:gridCol w:w="1800"/>
            <w:gridCol w:w="1800"/>
            <w:gridCol w:w="1800"/>
          </w:tblGrid>
          <w:tr w:rsidR="00D53F4D" w14:paraId="7219E3DC" w14:textId="77777777">
            <w:tc>
              <w:tcPr>
                <w:tcW w:w="1995" w:type="dxa"/>
                <w:shd w:val="clear" w:color="auto" w:fill="auto"/>
                <w:tcMar>
                  <w:top w:w="100" w:type="dxa"/>
                  <w:left w:w="100" w:type="dxa"/>
                  <w:bottom w:w="100" w:type="dxa"/>
                  <w:right w:w="100" w:type="dxa"/>
                </w:tcMar>
              </w:tcPr>
              <w:p w14:paraId="51EF9A83"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Teacher</w:t>
                </w:r>
              </w:p>
            </w:tc>
            <w:tc>
              <w:tcPr>
                <w:tcW w:w="1605" w:type="dxa"/>
                <w:shd w:val="clear" w:color="auto" w:fill="auto"/>
                <w:tcMar>
                  <w:top w:w="100" w:type="dxa"/>
                  <w:left w:w="100" w:type="dxa"/>
                  <w:bottom w:w="100" w:type="dxa"/>
                  <w:right w:w="100" w:type="dxa"/>
                </w:tcMar>
              </w:tcPr>
              <w:p w14:paraId="70076E1A"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Name</w:t>
                </w:r>
              </w:p>
            </w:tc>
            <w:tc>
              <w:tcPr>
                <w:tcW w:w="1800" w:type="dxa"/>
                <w:shd w:val="clear" w:color="auto" w:fill="auto"/>
                <w:tcMar>
                  <w:top w:w="100" w:type="dxa"/>
                  <w:left w:w="100" w:type="dxa"/>
                  <w:bottom w:w="100" w:type="dxa"/>
                  <w:right w:w="100" w:type="dxa"/>
                </w:tcMar>
              </w:tcPr>
              <w:p w14:paraId="6817C577"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Qualification</w:t>
                </w:r>
              </w:p>
            </w:tc>
            <w:tc>
              <w:tcPr>
                <w:tcW w:w="1800" w:type="dxa"/>
                <w:shd w:val="clear" w:color="auto" w:fill="auto"/>
                <w:tcMar>
                  <w:top w:w="100" w:type="dxa"/>
                  <w:left w:w="100" w:type="dxa"/>
                  <w:bottom w:w="100" w:type="dxa"/>
                  <w:right w:w="100" w:type="dxa"/>
                </w:tcMar>
              </w:tcPr>
              <w:p w14:paraId="72FF6754"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times Observed</w:t>
                </w:r>
              </w:p>
            </w:tc>
            <w:tc>
              <w:tcPr>
                <w:tcW w:w="1800" w:type="dxa"/>
                <w:shd w:val="clear" w:color="auto" w:fill="auto"/>
                <w:tcMar>
                  <w:top w:w="100" w:type="dxa"/>
                  <w:left w:w="100" w:type="dxa"/>
                  <w:bottom w:w="100" w:type="dxa"/>
                  <w:right w:w="100" w:type="dxa"/>
                </w:tcMar>
              </w:tcPr>
              <w:p w14:paraId="4B2C0072"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School</w:t>
                </w:r>
              </w:p>
            </w:tc>
          </w:tr>
          <w:tr w:rsidR="00D53F4D" w14:paraId="7474CCDA" w14:textId="77777777">
            <w:tc>
              <w:tcPr>
                <w:tcW w:w="1995" w:type="dxa"/>
                <w:shd w:val="clear" w:color="auto" w:fill="auto"/>
                <w:tcMar>
                  <w:top w:w="100" w:type="dxa"/>
                  <w:left w:w="100" w:type="dxa"/>
                  <w:bottom w:w="100" w:type="dxa"/>
                  <w:right w:w="100" w:type="dxa"/>
                </w:tcMar>
              </w:tcPr>
              <w:p w14:paraId="664775F1"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605" w:type="dxa"/>
                <w:shd w:val="clear" w:color="auto" w:fill="auto"/>
                <w:tcMar>
                  <w:top w:w="100" w:type="dxa"/>
                  <w:left w:w="100" w:type="dxa"/>
                  <w:bottom w:w="100" w:type="dxa"/>
                  <w:right w:w="100" w:type="dxa"/>
                </w:tcMar>
              </w:tcPr>
              <w:p w14:paraId="5E8484AD"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auto"/>
                <w:tcMar>
                  <w:top w:w="100" w:type="dxa"/>
                  <w:left w:w="100" w:type="dxa"/>
                  <w:bottom w:w="100" w:type="dxa"/>
                  <w:right w:w="100" w:type="dxa"/>
                </w:tcMar>
              </w:tcPr>
              <w:p w14:paraId="1CE2D0CB"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and MScED</w:t>
                </w:r>
              </w:p>
            </w:tc>
            <w:tc>
              <w:tcPr>
                <w:tcW w:w="1800" w:type="dxa"/>
                <w:shd w:val="clear" w:color="auto" w:fill="auto"/>
                <w:tcMar>
                  <w:top w:w="100" w:type="dxa"/>
                  <w:left w:w="100" w:type="dxa"/>
                  <w:bottom w:w="100" w:type="dxa"/>
                  <w:right w:w="100" w:type="dxa"/>
                </w:tcMar>
              </w:tcPr>
              <w:p w14:paraId="4470BD75"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342116CF"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D53F4D" w14:paraId="00C64B9A" w14:textId="77777777">
            <w:tc>
              <w:tcPr>
                <w:tcW w:w="1995" w:type="dxa"/>
                <w:shd w:val="clear" w:color="auto" w:fill="auto"/>
                <w:tcMar>
                  <w:top w:w="100" w:type="dxa"/>
                  <w:left w:w="100" w:type="dxa"/>
                  <w:bottom w:w="100" w:type="dxa"/>
                  <w:right w:w="100" w:type="dxa"/>
                </w:tcMar>
              </w:tcPr>
              <w:p w14:paraId="3FE3B63D"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1605" w:type="dxa"/>
                <w:shd w:val="clear" w:color="auto" w:fill="auto"/>
                <w:tcMar>
                  <w:top w:w="100" w:type="dxa"/>
                  <w:left w:w="100" w:type="dxa"/>
                  <w:bottom w:w="100" w:type="dxa"/>
                  <w:right w:w="100" w:type="dxa"/>
                </w:tcMar>
              </w:tcPr>
              <w:p w14:paraId="1DD3237F"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00" w:type="dxa"/>
                <w:shd w:val="clear" w:color="auto" w:fill="auto"/>
                <w:tcMar>
                  <w:top w:w="100" w:type="dxa"/>
                  <w:left w:w="100" w:type="dxa"/>
                  <w:bottom w:w="100" w:type="dxa"/>
                  <w:right w:w="100" w:type="dxa"/>
                </w:tcMar>
              </w:tcPr>
              <w:p w14:paraId="480570BD"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13C2E5F1"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36FC1BE1"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64787A79" w14:textId="77777777">
            <w:tc>
              <w:tcPr>
                <w:tcW w:w="1995" w:type="dxa"/>
                <w:shd w:val="clear" w:color="auto" w:fill="auto"/>
                <w:tcMar>
                  <w:top w:w="100" w:type="dxa"/>
                  <w:left w:w="100" w:type="dxa"/>
                  <w:bottom w:w="100" w:type="dxa"/>
                  <w:right w:w="100" w:type="dxa"/>
                </w:tcMar>
              </w:tcPr>
              <w:p w14:paraId="524F03A6"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605" w:type="dxa"/>
                <w:shd w:val="clear" w:color="auto" w:fill="auto"/>
                <w:tcMar>
                  <w:top w:w="100" w:type="dxa"/>
                  <w:left w:w="100" w:type="dxa"/>
                  <w:bottom w:w="100" w:type="dxa"/>
                  <w:right w:w="100" w:type="dxa"/>
                </w:tcMar>
              </w:tcPr>
              <w:p w14:paraId="3C4BD3B1"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00" w:type="dxa"/>
                <w:shd w:val="clear" w:color="auto" w:fill="auto"/>
                <w:tcMar>
                  <w:top w:w="100" w:type="dxa"/>
                  <w:left w:w="100" w:type="dxa"/>
                  <w:bottom w:w="100" w:type="dxa"/>
                  <w:right w:w="100" w:type="dxa"/>
                </w:tcMar>
              </w:tcPr>
              <w:p w14:paraId="4405112E"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1170F06C"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34C4297D"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D53F4D" w14:paraId="41AFA2DA" w14:textId="77777777">
            <w:tc>
              <w:tcPr>
                <w:tcW w:w="1995" w:type="dxa"/>
                <w:shd w:val="clear" w:color="auto" w:fill="auto"/>
                <w:tcMar>
                  <w:top w:w="100" w:type="dxa"/>
                  <w:left w:w="100" w:type="dxa"/>
                  <w:bottom w:w="100" w:type="dxa"/>
                  <w:right w:w="100" w:type="dxa"/>
                </w:tcMar>
              </w:tcPr>
              <w:p w14:paraId="7CFF5A88"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1605" w:type="dxa"/>
                <w:shd w:val="clear" w:color="auto" w:fill="auto"/>
                <w:tcMar>
                  <w:top w:w="100" w:type="dxa"/>
                  <w:left w:w="100" w:type="dxa"/>
                  <w:bottom w:w="100" w:type="dxa"/>
                  <w:right w:w="100" w:type="dxa"/>
                </w:tcMar>
              </w:tcPr>
              <w:p w14:paraId="6B4106CB"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00" w:type="dxa"/>
                <w:shd w:val="clear" w:color="auto" w:fill="auto"/>
                <w:tcMar>
                  <w:top w:w="100" w:type="dxa"/>
                  <w:left w:w="100" w:type="dxa"/>
                  <w:bottom w:w="100" w:type="dxa"/>
                  <w:right w:w="100" w:type="dxa"/>
                </w:tcMar>
              </w:tcPr>
              <w:p w14:paraId="38AE8F76"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1BC26322"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0B61CAD9"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D53F4D" w14:paraId="31A1DB92" w14:textId="77777777">
            <w:tc>
              <w:tcPr>
                <w:tcW w:w="1995" w:type="dxa"/>
                <w:shd w:val="clear" w:color="auto" w:fill="auto"/>
                <w:tcMar>
                  <w:top w:w="100" w:type="dxa"/>
                  <w:left w:w="100" w:type="dxa"/>
                  <w:bottom w:w="100" w:type="dxa"/>
                  <w:right w:w="100" w:type="dxa"/>
                </w:tcMar>
              </w:tcPr>
              <w:p w14:paraId="0A074BA2"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1605" w:type="dxa"/>
                <w:shd w:val="clear" w:color="auto" w:fill="auto"/>
                <w:tcMar>
                  <w:top w:w="100" w:type="dxa"/>
                  <w:left w:w="100" w:type="dxa"/>
                  <w:bottom w:w="100" w:type="dxa"/>
                  <w:right w:w="100" w:type="dxa"/>
                </w:tcMar>
              </w:tcPr>
              <w:p w14:paraId="54ED2F70"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00" w:type="dxa"/>
                <w:shd w:val="clear" w:color="auto" w:fill="auto"/>
                <w:tcMar>
                  <w:top w:w="100" w:type="dxa"/>
                  <w:left w:w="100" w:type="dxa"/>
                  <w:bottom w:w="100" w:type="dxa"/>
                  <w:right w:w="100" w:type="dxa"/>
                </w:tcMar>
              </w:tcPr>
              <w:p w14:paraId="2A41AE43"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34C6FA43"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507B9F7A" w14:textId="77777777" w:rsidR="00D53F4D" w:rsidRDefault="009372A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bl>
      </w:sdtContent>
    </w:sdt>
    <w:p w14:paraId="2971381F"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classroom observations, the predominant teaching method was traditional lecture-based instruction. Teachers generally presented content while students passively listened and took notes, with minimal interaction or student participation. The teacher-centered approach overshadowed constructivist and interactive methods, such as group discussions, hands-on experiments, and cooperative learning. Where practical work was attempted, it was often limited to teacher demonstrations with students observing from their desks due to constraints such as lack of space and materials. The integration of practical work was notably rare across most schools (B, C and E), with few exceptions in better-resourced boarding schools (A and D). Several key challenges were documented. All the schools observed had only one lab assistant serving all science departments, and in many cases, the chemistry teacher had to prepare chemical reagents themselves, reducing their lesson preparation time. Laboratory space </w:t>
      </w:r>
      <w:r>
        <w:rPr>
          <w:rFonts w:ascii="Times New Roman" w:eastAsia="Times New Roman" w:hAnsi="Times New Roman" w:cs="Times New Roman"/>
          <w:sz w:val="24"/>
          <w:szCs w:val="24"/>
        </w:rPr>
        <w:lastRenderedPageBreak/>
        <w:t xml:space="preserve">was also a limiting factor; typically, school B, located in one of the high-density suburbs in Gweru with total enrolment of over 2000 students, had only one Advanced Level chemistry laboratory, making scheduling practical sessions difficult and leading to overcrowding. The teacher resorted to the lecture method.  </w:t>
      </w:r>
    </w:p>
    <w:p w14:paraId="7782CD0F"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observer also noted that chemistry is allocated 8 periods on the timetable, in all 3 (B, C and D) of the 5 schools observed. School A had 10 lessons allocated for chemistry while only school E had 12 periods which is in line with ZIMSEC syllabus guidelines which recommend 8 theory periods of 40 minutes each and a block of 4 practical periods per week for adequate syllabus coverage (Zimbabwe Schools Examinations Council Chemistry Syllabus-Form 5 and 6: ZIMSEC, 2015-2022). This limited allocation meant there wasn’t enough time to allow the teachers to integrate practical work with theory in their classes in most schools. The findings from the class observations are consistent with existing literature. Firstly, many teachers use the lecture method when teaching chemistry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Bunbun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Fenuku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2024). Secondly, the frequency of practical work in chemistry is low, and its integration is even lower (Okorie &amp; Ugwuanyi, 2020). Thirdly, teachers face numerous challenges such as overcrowded curriculum, large class sizes and lack of support staff needed to integrate practical work into teaching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Niyitanga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Nkundabakura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Bihoyiki</w:t>
      </w:r>
      <w:proofErr w:type="spellEnd"/>
      <w:r>
        <w:rPr>
          <w:rFonts w:ascii="Times New Roman" w:eastAsia="Times New Roman" w:hAnsi="Times New Roman" w:cs="Times New Roman"/>
          <w:sz w:val="24"/>
          <w:szCs w:val="24"/>
        </w:rPr>
        <w:t xml:space="preserve">, 2021). This implies that the teachers’ practices were familiar, and reflected common strategies observed among educators in similar contexts.       </w:t>
      </w:r>
    </w:p>
    <w:p w14:paraId="7001A372"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generated from class observations are consistent with existing literature, which indicates that teachers in resource-constrained environments often default to lecture methods due to systemic limitations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et al., 2024; Okorie &amp; Ugwuanyi, 2020; Mandina, 2012). On the other hand, in schools where the teachers integrate practical work in the lessons, students responded positively, showing improved engagement and comprehension. The students were lively, took part in class discussions and shared their ideas with their peers and with the teacher. These observations, as supported by Asamoah &amp; Aboagye (2019), when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are integrated effectively, students of all ability levels benefit from improved conceptual understanding and performance. These findings revealed that while teachers are aware of the value of practical work, their ability to implement it is curtailed by infrastructural, logistical, and time-related challenges. These findings underscore the urgent need for improved resource allocation, scheduling reforms, and support staff in public schools to enhance the integration of practical work in chemistry classrooms.</w:t>
      </w:r>
    </w:p>
    <w:p w14:paraId="09E834F1" w14:textId="77777777" w:rsidR="00D53F4D" w:rsidRDefault="009372A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p>
    <w:p w14:paraId="2C43C404"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reasons teachers struggle to integrate practical work with theory are well-documented in literature. </w:t>
      </w:r>
      <w:r>
        <w:rPr>
          <w:rFonts w:ascii="Times New Roman" w:eastAsia="Times New Roman" w:hAnsi="Times New Roman" w:cs="Times New Roman"/>
          <w:color w:val="1C1C1C"/>
          <w:sz w:val="24"/>
          <w:szCs w:val="24"/>
          <w:highlight w:val="white"/>
        </w:rPr>
        <w:t xml:space="preserve">Chala’s (2019) and </w:t>
      </w:r>
      <w:r>
        <w:rPr>
          <w:rFonts w:ascii="Times New Roman" w:eastAsia="Times New Roman" w:hAnsi="Times New Roman" w:cs="Times New Roman"/>
          <w:sz w:val="24"/>
          <w:szCs w:val="24"/>
        </w:rPr>
        <w:t>Borja and Marasigan’s (2020) studies</w:t>
      </w:r>
      <w:r>
        <w:rPr>
          <w:rFonts w:ascii="Times New Roman" w:eastAsia="Times New Roman" w:hAnsi="Times New Roman" w:cs="Times New Roman"/>
          <w:color w:val="1C1C1C"/>
          <w:sz w:val="24"/>
          <w:szCs w:val="24"/>
          <w:highlight w:val="white"/>
        </w:rPr>
        <w:t xml:space="preserve"> regarding the implementation of practical work in natural science subjects at secondary schools in Ethiopia, and Philippines respectively, identified some common barriers to successful implementation of practical activities. These barriers include large class sizes, inadequate resources such as laboratories and laboratory equipment, the lack of laboratory technicians, and difficulties in managing large classes</w:t>
      </w:r>
      <w:r>
        <w:rPr>
          <w:rFonts w:ascii="Times New Roman" w:eastAsia="Times New Roman" w:hAnsi="Times New Roman" w:cs="Times New Roman"/>
          <w:sz w:val="24"/>
          <w:szCs w:val="24"/>
        </w:rPr>
        <w:t xml:space="preserve">. All these factors align with the findings from this study. For example, respondents from 13 of the 14 schools under study mentioned that they couldn’t integrate practical work into their teaching due to lack of necessary resources, such as laboratory equipment and chemicals. This resonates well with a scholar Mandina (2012) who looked at how well chemistry is taught in Gweru district high schools. His findings showed that several things make it hard to teach and learn chemistry effectively: the curriculum is overloaded, time allocated to Chemistry on the timetables is not enough, resources are insufficient, there aren’t enough support staff, and teaching methods are not good enough. </w:t>
      </w:r>
      <w:proofErr w:type="spellStart"/>
      <w:r>
        <w:rPr>
          <w:rFonts w:ascii="Times New Roman" w:eastAsia="Times New Roman" w:hAnsi="Times New Roman" w:cs="Times New Roman"/>
          <w:sz w:val="24"/>
          <w:szCs w:val="24"/>
        </w:rPr>
        <w:t>Ruparangada</w:t>
      </w:r>
      <w:proofErr w:type="spellEnd"/>
      <w:r>
        <w:rPr>
          <w:rFonts w:ascii="Times New Roman" w:eastAsia="Times New Roman" w:hAnsi="Times New Roman" w:cs="Times New Roman"/>
          <w:sz w:val="24"/>
          <w:szCs w:val="24"/>
        </w:rPr>
        <w:t xml:space="preserve"> (2019) also found that schools do not have enough laboratory equipment to effectively teach biology practical lessons. These obstacles are universal across various studies and contexts,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the urgent need to overcome them to enhance the quality of chemistry teaching to improve students’ achievement. </w:t>
      </w:r>
    </w:p>
    <w:p w14:paraId="3EC3855A"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on the solutions to the challenges of implementing the integrated approach to </w:t>
      </w:r>
    </w:p>
    <w:p w14:paraId="6DDF9480"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chemistry correlates well with those of </w:t>
      </w:r>
      <w:proofErr w:type="spellStart"/>
      <w:r>
        <w:rPr>
          <w:rFonts w:ascii="Times New Roman" w:eastAsia="Times New Roman" w:hAnsi="Times New Roman" w:cs="Times New Roman"/>
          <w:sz w:val="24"/>
          <w:szCs w:val="24"/>
        </w:rPr>
        <w:t>Olubunmi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Aarinola</w:t>
      </w:r>
      <w:proofErr w:type="spellEnd"/>
      <w:r>
        <w:rPr>
          <w:rFonts w:ascii="Times New Roman" w:eastAsia="Times New Roman" w:hAnsi="Times New Roman" w:cs="Times New Roman"/>
          <w:sz w:val="24"/>
          <w:szCs w:val="24"/>
        </w:rPr>
        <w:t xml:space="preserve"> (2022). In their research on the implementation of chemistry curriculum in Nigeria, </w:t>
      </w:r>
      <w:proofErr w:type="spellStart"/>
      <w:r>
        <w:rPr>
          <w:rFonts w:ascii="Times New Roman" w:eastAsia="Times New Roman" w:hAnsi="Times New Roman" w:cs="Times New Roman"/>
          <w:sz w:val="24"/>
          <w:szCs w:val="24"/>
        </w:rPr>
        <w:t>Olubunmi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Aarnola</w:t>
      </w:r>
      <w:proofErr w:type="spellEnd"/>
      <w:r>
        <w:rPr>
          <w:rFonts w:ascii="Times New Roman" w:eastAsia="Times New Roman" w:hAnsi="Times New Roman" w:cs="Times New Roman"/>
          <w:sz w:val="24"/>
          <w:szCs w:val="24"/>
        </w:rPr>
        <w:t xml:space="preserve"> recommended that chemistry teachers in Nigeria should be motivated in capacity building by giving them in-service training to improve in the mastery of the subject matter. To support the echoes of the interviewed teachers, </w:t>
      </w:r>
      <w:proofErr w:type="spellStart"/>
      <w:r>
        <w:rPr>
          <w:rFonts w:ascii="Times New Roman" w:eastAsia="Times New Roman" w:hAnsi="Times New Roman" w:cs="Times New Roman"/>
          <w:sz w:val="24"/>
          <w:szCs w:val="24"/>
        </w:rPr>
        <w:t>Ruparanganda</w:t>
      </w:r>
      <w:proofErr w:type="spellEnd"/>
      <w:r>
        <w:rPr>
          <w:rFonts w:ascii="Times New Roman" w:eastAsia="Times New Roman" w:hAnsi="Times New Roman" w:cs="Times New Roman"/>
          <w:sz w:val="24"/>
          <w:szCs w:val="24"/>
        </w:rPr>
        <w:t xml:space="preserve"> (2019) in a study which sought to determine the challenges faced by biology teachers in Zimbabwe and the possible solutions to the challenges, recommended that schools must have fully equipped laboratories for effective implementation of practical work in the subject. Hamidu, Ibrahim and Mohammed (2014) in another study on the use of the laboratory method in teaching, recommended that governments should allocate physical resources to augment the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of laboratory teaching methods and enhance the quality of science education in </w:t>
      </w:r>
      <w:proofErr w:type="spellStart"/>
      <w:r>
        <w:rPr>
          <w:rFonts w:ascii="Times New Roman" w:eastAsia="Times New Roman" w:hAnsi="Times New Roman" w:cs="Times New Roman"/>
          <w:sz w:val="24"/>
          <w:szCs w:val="24"/>
        </w:rPr>
        <w:t>schools.Findings</w:t>
      </w:r>
      <w:proofErr w:type="spellEnd"/>
      <w:r>
        <w:rPr>
          <w:rFonts w:ascii="Times New Roman" w:eastAsia="Times New Roman" w:hAnsi="Times New Roman" w:cs="Times New Roman"/>
          <w:sz w:val="24"/>
          <w:szCs w:val="24"/>
        </w:rPr>
        <w:t xml:space="preserve"> from another study by Abubakar (2024) also suggest enhancing monetary incentives to schoolteachers as a way of motivating them to work harder and to use innovative teaching methods</w:t>
      </w:r>
    </w:p>
    <w:p w14:paraId="3550E54B" w14:textId="77777777" w:rsidR="00D53F4D" w:rsidRDefault="009372A7">
      <w:pPr>
        <w:spacing w:after="0" w:line="360" w:lineRule="auto"/>
        <w:jc w:val="center"/>
        <w:rPr>
          <w:rFonts w:ascii="Times New Roman" w:eastAsia="Times New Roman" w:hAnsi="Times New Roman" w:cs="Times New Roman"/>
          <w:b/>
          <w:color w:val="E97132"/>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b/>
          <w:color w:val="E97132"/>
          <w:sz w:val="24"/>
          <w:szCs w:val="24"/>
        </w:rPr>
        <w:t xml:space="preserve"> </w:t>
      </w:r>
    </w:p>
    <w:p w14:paraId="7B792C35" w14:textId="77777777" w:rsidR="00D53F4D" w:rsidRDefault="009372A7">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established factors that prevent teachers from including practical</w:t>
      </w:r>
    </w:p>
    <w:p w14:paraId="72A1F5C5" w14:textId="77777777" w:rsidR="00D53F4D" w:rsidRDefault="009372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 in their lessons include overloaded curriculum content, inadequate time for teaching chemistry, inadequate resources, insufficient funding from the schools’ administration, lack of support staff to assist with the preparation of chemicals, behavior of students and lack of motivation on the part of the teachers. Based on these results, the different ways that can improve the integration of practical work in chemistry lessons include in-servicing of teachers to give them skills on how to integrate practical work when teaching, increasing the budget for science subjects, motivating teachers, building and equipping science laboratories.</w:t>
      </w:r>
    </w:p>
    <w:p w14:paraId="4A5E84F8" w14:textId="77777777" w:rsidR="00D53F4D" w:rsidRDefault="009372A7">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2720086B" w14:textId="77777777" w:rsidR="00D53F4D" w:rsidRDefault="009372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study findings of incompetence of teachers, the researchers recommend that chemistry departments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high schools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teacher in-service training focused on effectively integrating practical work with theoretical instruction. Since the study established depleted resources as a hindrance to the integration of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 learning chemistry, school administrations are recommended to allocate more resources specifically for science education, including the provision of laboratory equipment, chemicals, and hiring of laboratory support staff. Science teachers ought to be motivated through non-monetary incentives as these directly affect the effort and innovation teachers bring into their practical teaching approaches since integrating practical work into teaching requires a lot of dedication.</w:t>
      </w:r>
    </w:p>
    <w:p w14:paraId="12EFC10C" w14:textId="77777777" w:rsidR="00D53F4D" w:rsidRDefault="00D53F4D">
      <w:pPr>
        <w:spacing w:after="0" w:line="360" w:lineRule="auto"/>
        <w:jc w:val="both"/>
        <w:rPr>
          <w:rFonts w:ascii="Times New Roman" w:eastAsia="Times New Roman" w:hAnsi="Times New Roman" w:cs="Times New Roman"/>
          <w:sz w:val="24"/>
          <w:szCs w:val="24"/>
        </w:rPr>
      </w:pPr>
    </w:p>
    <w:p w14:paraId="12CDAA7A" w14:textId="77777777" w:rsidR="00D53F4D" w:rsidRDefault="00D53F4D">
      <w:pPr>
        <w:spacing w:after="0" w:line="360" w:lineRule="auto"/>
        <w:jc w:val="both"/>
        <w:rPr>
          <w:rFonts w:ascii="Times New Roman" w:eastAsia="Times New Roman" w:hAnsi="Times New Roman" w:cs="Times New Roman"/>
          <w:sz w:val="24"/>
          <w:szCs w:val="24"/>
        </w:rPr>
      </w:pPr>
    </w:p>
    <w:p w14:paraId="7711B7E0" w14:textId="77777777" w:rsidR="00D53F4D" w:rsidRPr="0068353F" w:rsidRDefault="009372A7">
      <w:pPr>
        <w:rPr>
          <w:rFonts w:ascii="Times New Roman" w:eastAsia="Times New Roman" w:hAnsi="Times New Roman" w:cs="Times New Roman"/>
          <w:b/>
          <w:sz w:val="24"/>
          <w:szCs w:val="24"/>
          <w:highlight w:val="yellow"/>
        </w:rPr>
      </w:pPr>
      <w:r w:rsidRPr="0068353F">
        <w:rPr>
          <w:rFonts w:ascii="Times New Roman" w:eastAsia="Times New Roman" w:hAnsi="Times New Roman" w:cs="Times New Roman"/>
          <w:b/>
          <w:sz w:val="24"/>
          <w:szCs w:val="24"/>
          <w:highlight w:val="yellow"/>
        </w:rPr>
        <w:t>Disclaimer (Artificial intelligence)</w:t>
      </w:r>
    </w:p>
    <w:p w14:paraId="7DC7F6FF" w14:textId="77777777" w:rsidR="00D53F4D" w:rsidRDefault="00D53F4D">
      <w:pPr>
        <w:rPr>
          <w:rFonts w:ascii="Times New Roman" w:eastAsia="Times New Roman" w:hAnsi="Times New Roman" w:cs="Times New Roman"/>
          <w:sz w:val="24"/>
          <w:szCs w:val="24"/>
          <w:highlight w:val="yellow"/>
        </w:rPr>
      </w:pPr>
    </w:p>
    <w:p w14:paraId="7B5B80C1" w14:textId="77777777" w:rsidR="00D53F4D" w:rsidRDefault="009372A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Option 1: </w:t>
      </w:r>
    </w:p>
    <w:p w14:paraId="1B5429EF" w14:textId="77777777" w:rsidR="00D53F4D" w:rsidRDefault="009372A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3E2FDEA5" w14:textId="77777777" w:rsidR="00D53F4D" w:rsidRDefault="00D53F4D">
      <w:pPr>
        <w:rPr>
          <w:rFonts w:ascii="Times New Roman" w:eastAsia="Times New Roman" w:hAnsi="Times New Roman" w:cs="Times New Roman"/>
          <w:sz w:val="24"/>
          <w:szCs w:val="24"/>
          <w:highlight w:val="yellow"/>
        </w:rPr>
      </w:pPr>
    </w:p>
    <w:p w14:paraId="259D98C1" w14:textId="77777777" w:rsidR="00D53F4D" w:rsidRDefault="00D53F4D">
      <w:pPr>
        <w:spacing w:after="0" w:line="360" w:lineRule="auto"/>
        <w:jc w:val="both"/>
        <w:rPr>
          <w:rFonts w:ascii="Times New Roman" w:eastAsia="Times New Roman" w:hAnsi="Times New Roman" w:cs="Times New Roman"/>
          <w:sz w:val="24"/>
          <w:szCs w:val="24"/>
        </w:rPr>
      </w:pPr>
      <w:bookmarkStart w:id="1" w:name="_heading=h.8kh9fejt1gsz" w:colFirst="0" w:colLast="0"/>
      <w:bookmarkEnd w:id="1"/>
    </w:p>
    <w:p w14:paraId="29F9EB12" w14:textId="77777777" w:rsidR="00D53F4D" w:rsidRDefault="009372A7">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3BBEBE6" w14:textId="77777777" w:rsidR="00D53F4D" w:rsidRDefault="009372A7">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Abidoye, F. O. (2021). Effect of laboratory practical on senior secondary school students'</w:t>
      </w:r>
    </w:p>
    <w:p w14:paraId="0B55D902" w14:textId="77777777" w:rsidR="00D53F4D" w:rsidRDefault="009372A7">
      <w:pPr>
        <w:spacing w:after="0" w:line="36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performance in biology in Ilorin South LGA, Kwara State. </w:t>
      </w:r>
      <w:r>
        <w:rPr>
          <w:rFonts w:ascii="Times New Roman" w:eastAsia="Times New Roman" w:hAnsi="Times New Roman" w:cs="Times New Roman"/>
          <w:i/>
          <w:sz w:val="24"/>
          <w:szCs w:val="24"/>
        </w:rPr>
        <w:t>Eurasian Journal of Science and Environmental Education, 1</w:t>
      </w:r>
      <w:r>
        <w:rPr>
          <w:rFonts w:ascii="Times New Roman" w:eastAsia="Times New Roman" w:hAnsi="Times New Roman" w:cs="Times New Roman"/>
          <w:sz w:val="24"/>
          <w:szCs w:val="24"/>
        </w:rPr>
        <w:t>(1), 43-49.</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https://doi.org/10.30935/ejsee/11870</w:t>
        </w:r>
      </w:hyperlink>
    </w:p>
    <w:p w14:paraId="7772DE57"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Abrahams, I., &amp; Millar, R. (2008). Does practical work really work? A study of the </w:t>
      </w:r>
    </w:p>
    <w:p w14:paraId="0CC8ADCA" w14:textId="77777777" w:rsidR="00D53F4D" w:rsidRDefault="009372A7">
      <w:pPr>
        <w:spacing w:after="0" w:line="360" w:lineRule="auto"/>
        <w:ind w:left="720"/>
        <w:rPr>
          <w:rFonts w:ascii="Times New Roman" w:eastAsia="Times New Roman" w:hAnsi="Times New Roman" w:cs="Times New Roman"/>
          <w:color w:val="467886"/>
          <w:sz w:val="24"/>
          <w:szCs w:val="24"/>
        </w:rPr>
      </w:pPr>
      <w:r>
        <w:rPr>
          <w:rFonts w:ascii="Times New Roman" w:eastAsia="Times New Roman" w:hAnsi="Times New Roman" w:cs="Times New Roman"/>
          <w:sz w:val="24"/>
          <w:szCs w:val="24"/>
        </w:rPr>
        <w:lastRenderedPageBreak/>
        <w:t xml:space="preserve">effectiveness of practical work as a teaching and learning method in school science. </w:t>
      </w:r>
      <w:r>
        <w:rPr>
          <w:rFonts w:ascii="Times New Roman" w:eastAsia="Times New Roman" w:hAnsi="Times New Roman" w:cs="Times New Roman"/>
          <w:i/>
          <w:sz w:val="24"/>
          <w:szCs w:val="24"/>
        </w:rPr>
        <w:t>International Journal of Science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 xml:space="preserve">(14), 1945-1969. </w:t>
      </w:r>
      <w:hyperlink r:id="rId9">
        <w:r>
          <w:rPr>
            <w:rFonts w:ascii="Times New Roman" w:eastAsia="Times New Roman" w:hAnsi="Times New Roman" w:cs="Times New Roman"/>
            <w:color w:val="467886"/>
            <w:sz w:val="24"/>
            <w:szCs w:val="24"/>
            <w:u w:val="single"/>
          </w:rPr>
          <w:t>https://doi.org/10.1080/09500690701749305</w:t>
        </w:r>
      </w:hyperlink>
    </w:p>
    <w:p w14:paraId="09BFCD5E" w14:textId="77777777" w:rsidR="00D53F4D" w:rsidRDefault="009372A7">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Abrahams, I., &amp; Reiss, M. J. (2012). </w:t>
      </w:r>
      <w:r>
        <w:rPr>
          <w:rFonts w:ascii="Times New Roman" w:eastAsia="Times New Roman" w:hAnsi="Times New Roman" w:cs="Times New Roman"/>
          <w:i/>
          <w:sz w:val="24"/>
          <w:szCs w:val="24"/>
        </w:rPr>
        <w:t xml:space="preserve">Practical work: Its effectiveness in primary and </w:t>
      </w:r>
    </w:p>
    <w:p w14:paraId="1E363E5B"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secondary schools in England</w:t>
      </w:r>
      <w:r>
        <w:rPr>
          <w:rFonts w:ascii="Times New Roman" w:eastAsia="Times New Roman" w:hAnsi="Times New Roman" w:cs="Times New Roman"/>
          <w:sz w:val="24"/>
          <w:szCs w:val="24"/>
        </w:rPr>
        <w:t xml:space="preserve">. Journal of Research in Science Teaching, 49(9), 1035-1055. </w:t>
      </w:r>
    </w:p>
    <w:p w14:paraId="2202ED2C" w14:textId="77777777" w:rsidR="00D53F4D" w:rsidRDefault="00CB2F37">
      <w:pPr>
        <w:spacing w:after="0" w:line="360" w:lineRule="auto"/>
        <w:ind w:left="720"/>
        <w:rPr>
          <w:rFonts w:ascii="Times New Roman" w:eastAsia="Times New Roman" w:hAnsi="Times New Roman" w:cs="Times New Roman"/>
          <w:color w:val="467886"/>
          <w:sz w:val="24"/>
          <w:szCs w:val="24"/>
        </w:rPr>
      </w:pPr>
      <w:hyperlink r:id="rId10">
        <w:r w:rsidR="009372A7">
          <w:rPr>
            <w:rFonts w:ascii="Times New Roman" w:eastAsia="Times New Roman" w:hAnsi="Times New Roman" w:cs="Times New Roman"/>
            <w:color w:val="467886"/>
            <w:sz w:val="24"/>
            <w:szCs w:val="24"/>
            <w:u w:val="single"/>
          </w:rPr>
          <w:t>https://doi.org/10.1002/tea.21036</w:t>
        </w:r>
      </w:hyperlink>
    </w:p>
    <w:p w14:paraId="655168BB"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Abubakar, A. (2024). The influence of teacher incentives on student academic achievement </w:t>
      </w:r>
    </w:p>
    <w:p w14:paraId="7F2BAD2A" w14:textId="77777777" w:rsidR="00D53F4D" w:rsidRDefault="009372A7">
      <w:pPr>
        <w:spacing w:after="0" w:line="360" w:lineRule="auto"/>
        <w:ind w:left="720"/>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in public secondary schools. American Journal of Arts and Human Science, 3(2), 1-9.</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467886"/>
            <w:sz w:val="24"/>
            <w:szCs w:val="24"/>
            <w:u w:val="single"/>
          </w:rPr>
          <w:t>http://dx.doi.org/10.54536/ajahs.v3i2.2528</w:t>
        </w:r>
      </w:hyperlink>
    </w:p>
    <w:p w14:paraId="499F1F4A" w14:textId="77777777" w:rsidR="00D53F4D" w:rsidRDefault="009372A7" w:rsidP="0051266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Asamoah, D. Y., &amp; Aboagye, G. K. (2019). Integration of practical work into teaching and</w:t>
      </w:r>
    </w:p>
    <w:p w14:paraId="78803D9C" w14:textId="77777777" w:rsidR="00D53F4D" w:rsidRDefault="009372A7" w:rsidP="0051266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of physics at the senior high school level.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Oguaa</w:t>
      </w:r>
      <w:proofErr w:type="spellEnd"/>
      <w:r>
        <w:rPr>
          <w:rFonts w:ascii="Times New Roman" w:eastAsia="Times New Roman" w:hAnsi="Times New Roman" w:cs="Times New Roman"/>
          <w:i/>
          <w:sz w:val="24"/>
          <w:szCs w:val="24"/>
        </w:rPr>
        <w:t xml:space="preserve"> Educator, 13</w:t>
      </w:r>
      <w:r>
        <w:rPr>
          <w:rFonts w:ascii="Times New Roman" w:eastAsia="Times New Roman" w:hAnsi="Times New Roman" w:cs="Times New Roman"/>
          <w:sz w:val="24"/>
          <w:szCs w:val="24"/>
        </w:rPr>
        <w:t>, 52-69.</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https://doi.org/10.47963/toe.v13i.295</w:t>
        </w:r>
      </w:hyperlink>
    </w:p>
    <w:p w14:paraId="6AC880CE" w14:textId="77777777" w:rsidR="00D53F4D" w:rsidRDefault="009372A7" w:rsidP="0051266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Borja, A.J., &amp; Marasigan, A.C. (2020). Status of science laboratory in a public Junior high </w:t>
      </w:r>
    </w:p>
    <w:p w14:paraId="290257D9" w14:textId="77777777" w:rsidR="00D53F4D" w:rsidRDefault="009372A7">
      <w:pPr>
        <w:spacing w:after="0" w:line="36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school. </w:t>
      </w:r>
      <w:r>
        <w:rPr>
          <w:rFonts w:ascii="Times New Roman" w:eastAsia="Times New Roman" w:hAnsi="Times New Roman" w:cs="Times New Roman"/>
          <w:i/>
          <w:sz w:val="24"/>
          <w:szCs w:val="24"/>
        </w:rPr>
        <w:t>International Journal of Research Publications, 46</w:t>
      </w:r>
      <w:r>
        <w:rPr>
          <w:rFonts w:ascii="Times New Roman" w:eastAsia="Times New Roman" w:hAnsi="Times New Roman" w:cs="Times New Roman"/>
          <w:sz w:val="24"/>
          <w:szCs w:val="24"/>
        </w:rPr>
        <w:t>(1), 1-8. Retrieved from</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https://www.researchgate.net/publication/339832401_Status_of_Science_Laboratory_in_a_Public_Junior_High_School</w:t>
        </w:r>
      </w:hyperlink>
    </w:p>
    <w:p w14:paraId="59F0E0CB"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Chala, A. A. (2019). Practice and challenges facing practical work implementation in natural</w:t>
      </w:r>
    </w:p>
    <w:p w14:paraId="08ECB819"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subjects at secondary schools. </w:t>
      </w:r>
      <w:r>
        <w:rPr>
          <w:rFonts w:ascii="Times New Roman" w:eastAsia="Times New Roman" w:hAnsi="Times New Roman" w:cs="Times New Roman"/>
          <w:i/>
          <w:sz w:val="24"/>
          <w:szCs w:val="24"/>
        </w:rPr>
        <w:t>Journal of Education and Practice, 10</w:t>
      </w:r>
      <w:r>
        <w:rPr>
          <w:rFonts w:ascii="Times New Roman" w:eastAsia="Times New Roman" w:hAnsi="Times New Roman" w:cs="Times New Roman"/>
          <w:sz w:val="24"/>
          <w:szCs w:val="24"/>
        </w:rPr>
        <w:t>(31), 1-17.</w:t>
      </w:r>
    </w:p>
    <w:p w14:paraId="7C5F3D38" w14:textId="77777777" w:rsidR="00D53F4D" w:rsidRDefault="00CB2F37">
      <w:pPr>
        <w:spacing w:after="0" w:line="360" w:lineRule="auto"/>
        <w:ind w:left="720"/>
        <w:rPr>
          <w:rFonts w:ascii="Times New Roman" w:eastAsia="Times New Roman" w:hAnsi="Times New Roman" w:cs="Times New Roman"/>
          <w:color w:val="1155CC"/>
          <w:sz w:val="24"/>
          <w:szCs w:val="24"/>
          <w:u w:val="single"/>
        </w:rPr>
      </w:pPr>
      <w:hyperlink r:id="rId17">
        <w:r w:rsidR="009372A7">
          <w:rPr>
            <w:rFonts w:ascii="Times New Roman" w:eastAsia="Times New Roman" w:hAnsi="Times New Roman" w:cs="Times New Roman"/>
            <w:color w:val="1155CC"/>
            <w:sz w:val="24"/>
            <w:szCs w:val="24"/>
            <w:u w:val="single"/>
          </w:rPr>
          <w:t>https://doi.org/10.7176/JEP/10-31-01</w:t>
        </w:r>
      </w:hyperlink>
    </w:p>
    <w:p w14:paraId="6CBC78A3" w14:textId="77777777" w:rsidR="00D53F4D" w:rsidRDefault="009372A7" w:rsidP="0051266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Cheruiyot, B. (2024). Challenges faced in the implementation of competency‑based</w:t>
      </w:r>
    </w:p>
    <w:p w14:paraId="156D099E"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curriculum (CBC) in junior schools in Kenya. </w:t>
      </w:r>
      <w:r>
        <w:rPr>
          <w:rFonts w:ascii="Times New Roman" w:eastAsia="Times New Roman" w:hAnsi="Times New Roman" w:cs="Times New Roman"/>
          <w:i/>
          <w:sz w:val="24"/>
          <w:szCs w:val="24"/>
        </w:rPr>
        <w:t>East African Journal of Education Studies, 7</w:t>
      </w:r>
      <w:r>
        <w:rPr>
          <w:rFonts w:ascii="Times New Roman" w:eastAsia="Times New Roman" w:hAnsi="Times New Roman" w:cs="Times New Roman"/>
          <w:sz w:val="24"/>
          <w:szCs w:val="24"/>
        </w:rPr>
        <w:t>(3), 260-266.</w:t>
      </w:r>
    </w:p>
    <w:p w14:paraId="1316A461" w14:textId="77777777" w:rsidR="00D53F4D" w:rsidRDefault="00CB2F37">
      <w:pPr>
        <w:spacing w:after="0" w:line="360" w:lineRule="auto"/>
        <w:ind w:left="720"/>
        <w:rPr>
          <w:rFonts w:ascii="Times New Roman" w:eastAsia="Times New Roman" w:hAnsi="Times New Roman" w:cs="Times New Roman"/>
          <w:color w:val="1155CC"/>
          <w:sz w:val="24"/>
          <w:szCs w:val="24"/>
          <w:u w:val="single"/>
        </w:rPr>
      </w:pPr>
      <w:hyperlink r:id="rId18">
        <w:r w:rsidR="009372A7">
          <w:rPr>
            <w:rFonts w:ascii="Times New Roman" w:eastAsia="Times New Roman" w:hAnsi="Times New Roman" w:cs="Times New Roman"/>
            <w:color w:val="1155CC"/>
            <w:sz w:val="24"/>
            <w:szCs w:val="24"/>
            <w:u w:val="single"/>
          </w:rPr>
          <w:t>https://doi.org/10.37284/eajes.7.3.2098</w:t>
        </w:r>
      </w:hyperlink>
    </w:p>
    <w:p w14:paraId="66ACD6A2" w14:textId="77777777" w:rsidR="00D53F4D" w:rsidRDefault="009372A7">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Chirikure</w:t>
      </w:r>
      <w:proofErr w:type="spellEnd"/>
      <w:r>
        <w:rPr>
          <w:rFonts w:ascii="Times New Roman" w:eastAsia="Times New Roman" w:hAnsi="Times New Roman" w:cs="Times New Roman"/>
          <w:sz w:val="24"/>
          <w:szCs w:val="24"/>
        </w:rPr>
        <w:t xml:space="preserve">, T. (2020). Upper-secondary school students' approaches to science experiments in </w:t>
      </w:r>
    </w:p>
    <w:p w14:paraId="0FB2E3F0"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examination-driven curriculum context. </w:t>
      </w:r>
      <w:r>
        <w:rPr>
          <w:rFonts w:ascii="Times New Roman" w:eastAsia="Times New Roman" w:hAnsi="Times New Roman" w:cs="Times New Roman"/>
          <w:i/>
          <w:sz w:val="24"/>
          <w:szCs w:val="24"/>
        </w:rPr>
        <w:t>Journal of Baltic Science Education</w:t>
      </w:r>
      <w:r>
        <w:rPr>
          <w:rFonts w:ascii="Times New Roman" w:eastAsia="Times New Roman" w:hAnsi="Times New Roman" w:cs="Times New Roman"/>
          <w:sz w:val="24"/>
          <w:szCs w:val="24"/>
        </w:rPr>
        <w:t xml:space="preserve">, </w:t>
      </w:r>
    </w:p>
    <w:p w14:paraId="5CDF34EB"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(4), 559-574.</w:t>
      </w:r>
    </w:p>
    <w:p w14:paraId="79FE0731" w14:textId="77777777" w:rsidR="00D53F4D" w:rsidRDefault="00CB2F37">
      <w:pPr>
        <w:spacing w:after="0" w:line="360" w:lineRule="auto"/>
        <w:ind w:firstLine="720"/>
        <w:rPr>
          <w:rFonts w:ascii="Times New Roman" w:eastAsia="Times New Roman" w:hAnsi="Times New Roman" w:cs="Times New Roman"/>
          <w:sz w:val="24"/>
          <w:szCs w:val="24"/>
        </w:rPr>
      </w:pPr>
      <w:hyperlink r:id="rId19">
        <w:r w:rsidR="009372A7">
          <w:rPr>
            <w:rFonts w:ascii="Times New Roman" w:eastAsia="Times New Roman" w:hAnsi="Times New Roman" w:cs="Times New Roman"/>
            <w:color w:val="467886"/>
            <w:sz w:val="24"/>
            <w:szCs w:val="24"/>
            <w:u w:val="single"/>
          </w:rPr>
          <w:t>https://doi.org/10.33225/jbse/20.19.559</w:t>
        </w:r>
      </w:hyperlink>
    </w:p>
    <w:p w14:paraId="2166CB41" w14:textId="77777777" w:rsidR="00D53F4D" w:rsidRDefault="009372A7" w:rsidP="0051266F">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Creswell, J. W., &amp; Plano Clark, V. L. (2011). </w:t>
      </w:r>
      <w:r>
        <w:rPr>
          <w:rFonts w:ascii="Times New Roman" w:eastAsia="Times New Roman" w:hAnsi="Times New Roman" w:cs="Times New Roman"/>
          <w:i/>
          <w:sz w:val="24"/>
          <w:szCs w:val="24"/>
        </w:rPr>
        <w:t>Designing and conducting mixed methods</w:t>
      </w:r>
    </w:p>
    <w:p w14:paraId="7F90382D" w14:textId="77777777" w:rsidR="00D53F4D" w:rsidRDefault="009372A7" w:rsidP="0051266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xml:space="preserve"> (2nd ed.). SAGE Publications.</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https://books.google.ae/books/about/Designing_and_Conducting_Mixed_Methods_R.html?id=eTwmDwAAQBAJ</w:t>
        </w:r>
      </w:hyperlink>
    </w:p>
    <w:p w14:paraId="5AC8260F" w14:textId="77777777" w:rsidR="00D53F4D" w:rsidRDefault="009372A7" w:rsidP="0051266F">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Denzin, N. K. (2009). </w:t>
      </w:r>
      <w:r>
        <w:rPr>
          <w:rFonts w:ascii="Times New Roman" w:eastAsia="Times New Roman" w:hAnsi="Times New Roman" w:cs="Times New Roman"/>
          <w:i/>
          <w:sz w:val="24"/>
          <w:szCs w:val="24"/>
        </w:rPr>
        <w:t>The research act: A theoretical introduction to sociological methods</w:t>
      </w:r>
    </w:p>
    <w:p w14:paraId="4B68F646"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(1st ed.). Routledge.</w:t>
      </w:r>
    </w:p>
    <w:p w14:paraId="14BCB9B1" w14:textId="77777777" w:rsidR="00D53F4D" w:rsidRDefault="00CB2F37">
      <w:pPr>
        <w:spacing w:after="0" w:line="360" w:lineRule="auto"/>
        <w:ind w:left="720"/>
        <w:rPr>
          <w:rFonts w:ascii="Times New Roman" w:eastAsia="Times New Roman" w:hAnsi="Times New Roman" w:cs="Times New Roman"/>
          <w:sz w:val="24"/>
          <w:szCs w:val="24"/>
        </w:rPr>
      </w:pPr>
      <w:hyperlink r:id="rId22">
        <w:r w:rsidR="009372A7">
          <w:rPr>
            <w:rFonts w:ascii="Times New Roman" w:eastAsia="Times New Roman" w:hAnsi="Times New Roman" w:cs="Times New Roman"/>
            <w:color w:val="1155CC"/>
            <w:sz w:val="24"/>
            <w:szCs w:val="24"/>
            <w:u w:val="single"/>
          </w:rPr>
          <w:t>https://doi.org/10.4324/9781315134543</w:t>
        </w:r>
      </w:hyperlink>
    </w:p>
    <w:p w14:paraId="272C821C" w14:textId="77777777" w:rsidR="00D53F4D" w:rsidRDefault="009372A7">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I., &amp; Bala, K. (2017). Sampling and sampling methods. </w:t>
      </w:r>
      <w:r>
        <w:rPr>
          <w:rFonts w:ascii="Times New Roman" w:eastAsia="Times New Roman" w:hAnsi="Times New Roman" w:cs="Times New Roman"/>
          <w:i/>
          <w:sz w:val="24"/>
          <w:szCs w:val="24"/>
        </w:rPr>
        <w:t>Biometrics &amp;</w:t>
      </w:r>
    </w:p>
    <w:p w14:paraId="71883899"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Biostatistics International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(6), 00149.</w:t>
      </w:r>
    </w:p>
    <w:p w14:paraId="11F029EA" w14:textId="77777777" w:rsidR="00D53F4D" w:rsidRDefault="00CB2F37">
      <w:pPr>
        <w:spacing w:after="0" w:line="360" w:lineRule="auto"/>
        <w:ind w:firstLine="720"/>
        <w:rPr>
          <w:rFonts w:ascii="Times New Roman" w:eastAsia="Times New Roman" w:hAnsi="Times New Roman" w:cs="Times New Roman"/>
          <w:color w:val="467886"/>
          <w:sz w:val="24"/>
          <w:szCs w:val="24"/>
          <w:u w:val="single"/>
        </w:rPr>
      </w:pPr>
      <w:hyperlink r:id="rId23">
        <w:r w:rsidR="009372A7">
          <w:rPr>
            <w:rFonts w:ascii="Times New Roman" w:eastAsia="Times New Roman" w:hAnsi="Times New Roman" w:cs="Times New Roman"/>
            <w:color w:val="467886"/>
            <w:sz w:val="24"/>
            <w:szCs w:val="24"/>
            <w:u w:val="single"/>
          </w:rPr>
          <w:t>https://doi.org/10.15406/bbij.2017.05.00149</w:t>
        </w:r>
      </w:hyperlink>
    </w:p>
    <w:p w14:paraId="4584B1E0"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Fadzil, H.M., &amp; Saat, R.M. (2013). Phonomyography study of students’ manipulative skills </w:t>
      </w:r>
    </w:p>
    <w:p w14:paraId="0EA8BD3D"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transition from primary to secondary school. </w:t>
      </w:r>
      <w:r>
        <w:rPr>
          <w:rFonts w:ascii="Times New Roman" w:eastAsia="Times New Roman" w:hAnsi="Times New Roman" w:cs="Times New Roman"/>
          <w:i/>
          <w:sz w:val="24"/>
          <w:szCs w:val="24"/>
        </w:rPr>
        <w:t>Sains Humanika, 63</w:t>
      </w:r>
      <w:r>
        <w:rPr>
          <w:rFonts w:ascii="Times New Roman" w:eastAsia="Times New Roman" w:hAnsi="Times New Roman" w:cs="Times New Roman"/>
          <w:sz w:val="24"/>
          <w:szCs w:val="24"/>
        </w:rPr>
        <w:t>(2), 71-75.</w:t>
      </w:r>
    </w:p>
    <w:p w14:paraId="7A707EFC" w14:textId="77777777" w:rsidR="00D53F4D" w:rsidRDefault="00CB2F37">
      <w:pPr>
        <w:spacing w:after="0" w:line="360" w:lineRule="auto"/>
        <w:ind w:left="720"/>
        <w:rPr>
          <w:rFonts w:ascii="Times New Roman" w:eastAsia="Times New Roman" w:hAnsi="Times New Roman" w:cs="Times New Roman"/>
          <w:sz w:val="24"/>
          <w:szCs w:val="24"/>
        </w:rPr>
      </w:pPr>
      <w:hyperlink r:id="rId24">
        <w:r w:rsidR="009372A7">
          <w:rPr>
            <w:rFonts w:ascii="Times New Roman" w:eastAsia="Times New Roman" w:hAnsi="Times New Roman" w:cs="Times New Roman"/>
            <w:color w:val="467886"/>
            <w:sz w:val="24"/>
            <w:szCs w:val="24"/>
            <w:u w:val="single"/>
          </w:rPr>
          <w:t>https://doi.org/10.11113/jt.v63.2013</w:t>
        </w:r>
      </w:hyperlink>
    </w:p>
    <w:p w14:paraId="48C481BB"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S., Eddy, S. L., McDonough, M., Smith, M. K., Okoroafor, N., Jordt, H., &amp; </w:t>
      </w:r>
    </w:p>
    <w:p w14:paraId="35B1CA43"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Wenderoth, M. P. (2014). Active learning increases student performance in science, engineering, and mathematics.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xml:space="preserve">, 111(23), 8410-8415. </w:t>
      </w:r>
    </w:p>
    <w:p w14:paraId="00A93254" w14:textId="77777777" w:rsidR="00D53F4D" w:rsidRDefault="00CB2F37">
      <w:pPr>
        <w:spacing w:after="0" w:line="360" w:lineRule="auto"/>
        <w:ind w:left="720"/>
        <w:rPr>
          <w:rFonts w:ascii="Times New Roman" w:eastAsia="Times New Roman" w:hAnsi="Times New Roman" w:cs="Times New Roman"/>
          <w:sz w:val="24"/>
          <w:szCs w:val="24"/>
        </w:rPr>
      </w:pPr>
      <w:hyperlink r:id="rId25">
        <w:r w:rsidR="009372A7">
          <w:rPr>
            <w:rFonts w:ascii="Times New Roman" w:eastAsia="Times New Roman" w:hAnsi="Times New Roman" w:cs="Times New Roman"/>
            <w:color w:val="0F4761"/>
            <w:sz w:val="24"/>
            <w:szCs w:val="24"/>
            <w:u w:val="single"/>
          </w:rPr>
          <w:t>https://doi.org/10.1073/pnas.1319030111</w:t>
        </w:r>
      </w:hyperlink>
    </w:p>
    <w:p w14:paraId="75FC66A7" w14:textId="71307655"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Froyd, J. E., </w:t>
      </w:r>
      <w:proofErr w:type="spellStart"/>
      <w:r>
        <w:rPr>
          <w:rFonts w:ascii="Times New Roman" w:eastAsia="Times New Roman" w:hAnsi="Times New Roman" w:cs="Times New Roman"/>
          <w:sz w:val="24"/>
          <w:szCs w:val="24"/>
        </w:rPr>
        <w:t>Wankat</w:t>
      </w:r>
      <w:proofErr w:type="spellEnd"/>
      <w:r>
        <w:rPr>
          <w:rFonts w:ascii="Times New Roman" w:eastAsia="Times New Roman" w:hAnsi="Times New Roman" w:cs="Times New Roman"/>
          <w:sz w:val="24"/>
          <w:szCs w:val="24"/>
        </w:rPr>
        <w:t>, P. C., &amp; Smith, K. A. (201</w:t>
      </w:r>
      <w:r w:rsidR="0003446E">
        <w:rPr>
          <w:rFonts w:ascii="Times New Roman" w:eastAsia="Times New Roman" w:hAnsi="Times New Roman" w:cs="Times New Roman"/>
          <w:sz w:val="24"/>
          <w:szCs w:val="24"/>
        </w:rPr>
        <w:t>2</w:t>
      </w:r>
      <w:r>
        <w:rPr>
          <w:rFonts w:ascii="Times New Roman" w:eastAsia="Times New Roman" w:hAnsi="Times New Roman" w:cs="Times New Roman"/>
          <w:sz w:val="24"/>
          <w:szCs w:val="24"/>
        </w:rPr>
        <w:t>). Five major shifts in 100 years of</w:t>
      </w:r>
    </w:p>
    <w:p w14:paraId="6EFAFFF7"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engineering education. </w:t>
      </w:r>
      <w:r>
        <w:rPr>
          <w:rFonts w:ascii="Times New Roman" w:eastAsia="Times New Roman" w:hAnsi="Times New Roman" w:cs="Times New Roman"/>
          <w:i/>
          <w:sz w:val="24"/>
          <w:szCs w:val="24"/>
        </w:rPr>
        <w:t>Proceedings of the IEEE</w:t>
      </w:r>
      <w:r>
        <w:rPr>
          <w:rFonts w:ascii="Times New Roman" w:eastAsia="Times New Roman" w:hAnsi="Times New Roman" w:cs="Times New Roman"/>
          <w:sz w:val="24"/>
          <w:szCs w:val="24"/>
        </w:rPr>
        <w:t xml:space="preserve">, 100 (Special Centennial Issue), </w:t>
      </w:r>
    </w:p>
    <w:p w14:paraId="2E3A904E"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1344-1360.</w:t>
      </w:r>
    </w:p>
    <w:p w14:paraId="17BED7A1" w14:textId="77777777" w:rsidR="00D53F4D" w:rsidRDefault="00CB2F37">
      <w:pPr>
        <w:spacing w:after="0" w:line="360" w:lineRule="auto"/>
        <w:ind w:left="720"/>
        <w:rPr>
          <w:rFonts w:ascii="Times New Roman" w:eastAsia="Times New Roman" w:hAnsi="Times New Roman" w:cs="Times New Roman"/>
          <w:color w:val="467886"/>
          <w:sz w:val="24"/>
          <w:szCs w:val="24"/>
          <w:u w:val="single"/>
        </w:rPr>
      </w:pPr>
      <w:hyperlink r:id="rId26">
        <w:r w:rsidR="009372A7">
          <w:rPr>
            <w:rFonts w:ascii="Times New Roman" w:eastAsia="Times New Roman" w:hAnsi="Times New Roman" w:cs="Times New Roman"/>
            <w:color w:val="467886"/>
            <w:sz w:val="24"/>
            <w:szCs w:val="24"/>
            <w:u w:val="single"/>
          </w:rPr>
          <w:t>https://doi.org/10.1109/JPROC.2012.2190167</w:t>
        </w:r>
      </w:hyperlink>
    </w:p>
    <w:p w14:paraId="0F63066B" w14:textId="77777777" w:rsidR="00D53F4D" w:rsidRDefault="009372A7">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W., Kumi, N., </w:t>
      </w:r>
      <w:proofErr w:type="spellStart"/>
      <w:r>
        <w:rPr>
          <w:rFonts w:ascii="Times New Roman" w:eastAsia="Times New Roman" w:hAnsi="Times New Roman" w:cs="Times New Roman"/>
          <w:sz w:val="24"/>
          <w:szCs w:val="24"/>
        </w:rPr>
        <w:t>Bunbun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Fenuku</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K. (2024). The Effects of </w:t>
      </w:r>
    </w:p>
    <w:p w14:paraId="64FA02EC"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Media Instruction on Senior High School Students' Performance in Organic Chemistry Nomenclature. </w:t>
      </w:r>
      <w:r>
        <w:rPr>
          <w:rFonts w:ascii="Times New Roman" w:eastAsia="Times New Roman" w:hAnsi="Times New Roman" w:cs="Times New Roman"/>
          <w:i/>
          <w:sz w:val="24"/>
          <w:szCs w:val="24"/>
        </w:rPr>
        <w:t>Indonesian Journal of Teaching in Science, 4</w:t>
      </w:r>
      <w:r>
        <w:rPr>
          <w:rFonts w:ascii="Times New Roman" w:eastAsia="Times New Roman" w:hAnsi="Times New Roman" w:cs="Times New Roman"/>
          <w:sz w:val="24"/>
          <w:szCs w:val="24"/>
        </w:rPr>
        <w:t xml:space="preserve">(1), 97-108. </w:t>
      </w:r>
      <w:hyperlink r:id="rId27">
        <w:r>
          <w:rPr>
            <w:rFonts w:ascii="Times New Roman" w:eastAsia="Times New Roman" w:hAnsi="Times New Roman" w:cs="Times New Roman"/>
            <w:color w:val="1155CC"/>
            <w:sz w:val="24"/>
            <w:szCs w:val="24"/>
            <w:u w:val="single"/>
          </w:rPr>
          <w:t>https://doi.org/10.17509/ijotis.v4i1.68763</w:t>
        </w:r>
      </w:hyperlink>
    </w:p>
    <w:p w14:paraId="664EFF95"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Gwara, K., &amp; Mtetwa, D. K. J. (2003). In-service education needs for science</w:t>
      </w:r>
    </w:p>
    <w:p w14:paraId="7FAFEDE3"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laboratory assistants operating in Zimbabwean secondary schools. </w:t>
      </w:r>
      <w:r>
        <w:rPr>
          <w:rFonts w:ascii="Times New Roman" w:eastAsia="Times New Roman" w:hAnsi="Times New Roman" w:cs="Times New Roman"/>
          <w:i/>
          <w:sz w:val="24"/>
          <w:szCs w:val="24"/>
        </w:rPr>
        <w:t>Zimbabwe Journal of Educational Research, 15</w:t>
      </w:r>
      <w:r>
        <w:rPr>
          <w:rFonts w:ascii="Times New Roman" w:eastAsia="Times New Roman" w:hAnsi="Times New Roman" w:cs="Times New Roman"/>
          <w:sz w:val="24"/>
          <w:szCs w:val="24"/>
        </w:rPr>
        <w:t>(2), 90-98.</w:t>
      </w:r>
    </w:p>
    <w:p w14:paraId="1B4619D9" w14:textId="77777777" w:rsidR="00D53F4D" w:rsidRDefault="00CB2F37">
      <w:pPr>
        <w:spacing w:after="0" w:line="360" w:lineRule="auto"/>
        <w:ind w:left="720"/>
        <w:rPr>
          <w:rFonts w:ascii="Times New Roman" w:eastAsia="Times New Roman" w:hAnsi="Times New Roman" w:cs="Times New Roman"/>
          <w:color w:val="1155CC"/>
          <w:sz w:val="24"/>
          <w:szCs w:val="24"/>
          <w:u w:val="single"/>
        </w:rPr>
      </w:pPr>
      <w:hyperlink r:id="rId28">
        <w:r w:rsidR="009372A7">
          <w:rPr>
            <w:rFonts w:ascii="Times New Roman" w:eastAsia="Times New Roman" w:hAnsi="Times New Roman" w:cs="Times New Roman"/>
            <w:color w:val="1155CC"/>
            <w:sz w:val="24"/>
            <w:szCs w:val="24"/>
            <w:u w:val="single"/>
          </w:rPr>
          <w:t>https://doi.org/10.4314/zjer.v15i2.26026</w:t>
        </w:r>
      </w:hyperlink>
    </w:p>
    <w:p w14:paraId="6B5A6163" w14:textId="77777777" w:rsidR="00D53F4D" w:rsidRDefault="009372A7">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Hacieminoglu</w:t>
      </w:r>
      <w:proofErr w:type="spellEnd"/>
      <w:r>
        <w:rPr>
          <w:rFonts w:ascii="Times New Roman" w:eastAsia="Times New Roman" w:hAnsi="Times New Roman" w:cs="Times New Roman"/>
          <w:sz w:val="24"/>
          <w:szCs w:val="24"/>
        </w:rPr>
        <w:t xml:space="preserve">, E. (2016). Elementary school students’ attitude toward science and related </w:t>
      </w:r>
    </w:p>
    <w:p w14:paraId="0556FEB7"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variables. </w:t>
      </w:r>
      <w:r>
        <w:rPr>
          <w:rFonts w:ascii="Times New Roman" w:eastAsia="Times New Roman" w:hAnsi="Times New Roman" w:cs="Times New Roman"/>
          <w:i/>
          <w:sz w:val="24"/>
          <w:szCs w:val="24"/>
        </w:rPr>
        <w:t>International Journal of Environmental &amp; Science Education</w:t>
      </w:r>
      <w:r>
        <w:rPr>
          <w:rFonts w:ascii="Times New Roman" w:eastAsia="Times New Roman" w:hAnsi="Times New Roman" w:cs="Times New Roman"/>
          <w:sz w:val="24"/>
          <w:szCs w:val="24"/>
        </w:rPr>
        <w:t>, 11(2),</w:t>
      </w:r>
    </w:p>
    <w:p w14:paraId="75766DBF"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35-52.</w:t>
      </w:r>
    </w:p>
    <w:p w14:paraId="5B5D2C39" w14:textId="6E19A138" w:rsidR="00D53F4D" w:rsidRDefault="00CB2F37">
      <w:pPr>
        <w:spacing w:after="0" w:line="360" w:lineRule="auto"/>
        <w:ind w:firstLine="720"/>
        <w:rPr>
          <w:rFonts w:ascii="Times New Roman" w:eastAsia="Times New Roman" w:hAnsi="Times New Roman" w:cs="Times New Roman"/>
          <w:sz w:val="24"/>
          <w:szCs w:val="24"/>
        </w:rPr>
      </w:pPr>
      <w:hyperlink r:id="rId29">
        <w:r w:rsidR="009372A7">
          <w:rPr>
            <w:rFonts w:ascii="Times New Roman" w:eastAsia="Times New Roman" w:hAnsi="Times New Roman" w:cs="Times New Roman"/>
            <w:color w:val="1155CC"/>
            <w:sz w:val="24"/>
            <w:szCs w:val="24"/>
            <w:u w:val="single"/>
          </w:rPr>
          <w:t>http://dx.doi.org/10.12973/ijese.2016.288a</w:t>
        </w:r>
      </w:hyperlink>
      <w:r w:rsidR="009372A7">
        <w:rPr>
          <w:rFonts w:ascii="Times New Roman" w:eastAsia="Times New Roman" w:hAnsi="Times New Roman" w:cs="Times New Roman"/>
          <w:sz w:val="24"/>
          <w:szCs w:val="24"/>
        </w:rPr>
        <w:t xml:space="preserve">Hajhosseini, M., Zandi, S., </w:t>
      </w:r>
      <w:proofErr w:type="spellStart"/>
      <w:r w:rsidR="009372A7">
        <w:rPr>
          <w:rFonts w:ascii="Times New Roman" w:eastAsia="Times New Roman" w:hAnsi="Times New Roman" w:cs="Times New Roman"/>
          <w:sz w:val="24"/>
          <w:szCs w:val="24"/>
        </w:rPr>
        <w:t>Shabanan</w:t>
      </w:r>
      <w:proofErr w:type="spellEnd"/>
      <w:r w:rsidR="009372A7">
        <w:rPr>
          <w:rFonts w:ascii="Times New Roman" w:eastAsia="Times New Roman" w:hAnsi="Times New Roman" w:cs="Times New Roman"/>
          <w:sz w:val="24"/>
          <w:szCs w:val="24"/>
        </w:rPr>
        <w:t xml:space="preserve">, S. Hajhosseini, M., Zandi, S., Hosseini </w:t>
      </w:r>
      <w:proofErr w:type="spellStart"/>
      <w:r w:rsidR="009372A7">
        <w:rPr>
          <w:rFonts w:ascii="Times New Roman" w:eastAsia="Times New Roman" w:hAnsi="Times New Roman" w:cs="Times New Roman"/>
          <w:sz w:val="24"/>
          <w:szCs w:val="24"/>
        </w:rPr>
        <w:t>Shabanan</w:t>
      </w:r>
      <w:proofErr w:type="spellEnd"/>
      <w:r w:rsidR="009372A7">
        <w:rPr>
          <w:rFonts w:ascii="Times New Roman" w:eastAsia="Times New Roman" w:hAnsi="Times New Roman" w:cs="Times New Roman"/>
          <w:sz w:val="24"/>
          <w:szCs w:val="24"/>
        </w:rPr>
        <w:t xml:space="preserve">, S., &amp; Madani, Y. (2016). Critical thinking </w:t>
      </w:r>
    </w:p>
    <w:p w14:paraId="20768005" w14:textId="5AFDD175" w:rsidR="00D53F4D" w:rsidRDefault="0051266F">
      <w:pPr>
        <w:spacing w:after="0" w:line="36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and </w:t>
      </w:r>
      <w:r w:rsidR="009372A7">
        <w:rPr>
          <w:rFonts w:ascii="Times New Roman" w:eastAsia="Times New Roman" w:hAnsi="Times New Roman" w:cs="Times New Roman"/>
          <w:sz w:val="24"/>
          <w:szCs w:val="24"/>
        </w:rPr>
        <w:t xml:space="preserve">social interaction in active learning: A conceptual analysis of class discussion from Iranian students’ perspective. </w:t>
      </w:r>
      <w:r w:rsidR="009372A7">
        <w:rPr>
          <w:rFonts w:ascii="Times New Roman" w:eastAsia="Times New Roman" w:hAnsi="Times New Roman" w:cs="Times New Roman"/>
          <w:i/>
          <w:sz w:val="24"/>
          <w:szCs w:val="24"/>
        </w:rPr>
        <w:t>Cogent Education, 3</w:t>
      </w:r>
      <w:r w:rsidR="009372A7">
        <w:rPr>
          <w:rFonts w:ascii="Times New Roman" w:eastAsia="Times New Roman" w:hAnsi="Times New Roman" w:cs="Times New Roman"/>
          <w:sz w:val="24"/>
          <w:szCs w:val="24"/>
        </w:rPr>
        <w:t>(1), 1175051.</w:t>
      </w:r>
      <w:hyperlink r:id="rId30">
        <w:r w:rsidR="009372A7">
          <w:rPr>
            <w:rFonts w:ascii="Times New Roman" w:eastAsia="Times New Roman" w:hAnsi="Times New Roman" w:cs="Times New Roman"/>
            <w:sz w:val="24"/>
            <w:szCs w:val="24"/>
          </w:rPr>
          <w:t xml:space="preserve"> </w:t>
        </w:r>
      </w:hyperlink>
      <w:hyperlink r:id="rId31">
        <w:r w:rsidR="009372A7">
          <w:rPr>
            <w:rFonts w:ascii="Times New Roman" w:eastAsia="Times New Roman" w:hAnsi="Times New Roman" w:cs="Times New Roman"/>
            <w:color w:val="1155CC"/>
            <w:sz w:val="24"/>
            <w:szCs w:val="24"/>
            <w:u w:val="single"/>
          </w:rPr>
          <w:t>https://doi.org/10.1080/2331186X.2016.1175051</w:t>
        </w:r>
      </w:hyperlink>
    </w:p>
    <w:p w14:paraId="7D19F636" w14:textId="7456067F"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Hamidu, M.Y., Ibrahim, A.I., &amp; Mohammed, A.E. (2014). The use of laboratory </w:t>
      </w:r>
      <w:r w:rsidR="0051266F">
        <w:rPr>
          <w:rFonts w:ascii="Times New Roman" w:eastAsia="Times New Roman" w:hAnsi="Times New Roman" w:cs="Times New Roman"/>
          <w:sz w:val="24"/>
          <w:szCs w:val="24"/>
        </w:rPr>
        <w:t>methods</w:t>
      </w:r>
      <w:r>
        <w:rPr>
          <w:rFonts w:ascii="Times New Roman" w:eastAsia="Times New Roman" w:hAnsi="Times New Roman" w:cs="Times New Roman"/>
          <w:sz w:val="24"/>
          <w:szCs w:val="24"/>
        </w:rPr>
        <w:t xml:space="preserve"> in</w:t>
      </w:r>
    </w:p>
    <w:p w14:paraId="680770DF"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teaching secondary school students: A key to improving the quality of education</w:t>
      </w:r>
      <w:r>
        <w:rPr>
          <w:rFonts w:ascii="Times New Roman" w:eastAsia="Times New Roman" w:hAnsi="Times New Roman" w:cs="Times New Roman"/>
          <w:i/>
          <w:sz w:val="24"/>
          <w:szCs w:val="24"/>
        </w:rPr>
        <w:t>. International Journal of Scientific &amp; Engineering Research, 5</w:t>
      </w:r>
      <w:r>
        <w:rPr>
          <w:rFonts w:ascii="Times New Roman" w:eastAsia="Times New Roman" w:hAnsi="Times New Roman" w:cs="Times New Roman"/>
          <w:sz w:val="24"/>
          <w:szCs w:val="24"/>
        </w:rPr>
        <w:t xml:space="preserve">(9), 81-86. </w:t>
      </w:r>
    </w:p>
    <w:p w14:paraId="085EB687" w14:textId="77777777" w:rsidR="0051266F" w:rsidRDefault="009372A7">
      <w:pPr>
        <w:spacing w:after="0" w:line="360" w:lineRule="auto"/>
        <w:ind w:left="720"/>
      </w:pPr>
      <w:r>
        <w:rPr>
          <w:rFonts w:ascii="Times New Roman" w:eastAsia="Times New Roman" w:hAnsi="Times New Roman" w:cs="Times New Roman"/>
          <w:sz w:val="24"/>
          <w:szCs w:val="24"/>
        </w:rPr>
        <w:t>Retrieved from</w:t>
      </w:r>
      <w:hyperlink r:id="rId32">
        <w:r>
          <w:rPr>
            <w:rFonts w:ascii="Times New Roman" w:eastAsia="Times New Roman" w:hAnsi="Times New Roman" w:cs="Times New Roman"/>
            <w:sz w:val="24"/>
            <w:szCs w:val="24"/>
          </w:rPr>
          <w:t xml:space="preserve"> </w:t>
        </w:r>
      </w:hyperlink>
    </w:p>
    <w:p w14:paraId="00821393" w14:textId="789266CD" w:rsidR="00D53F4D" w:rsidRDefault="00CB2F37">
      <w:pPr>
        <w:spacing w:after="0" w:line="360" w:lineRule="auto"/>
        <w:ind w:left="720"/>
        <w:rPr>
          <w:rFonts w:ascii="Times New Roman" w:eastAsia="Times New Roman" w:hAnsi="Times New Roman" w:cs="Times New Roman"/>
          <w:sz w:val="24"/>
          <w:szCs w:val="24"/>
        </w:rPr>
      </w:pPr>
      <w:hyperlink r:id="rId33" w:history="1">
        <w:r w:rsidR="0051266F" w:rsidRPr="007C0CEC">
          <w:rPr>
            <w:rStyle w:val="Hyperlink"/>
            <w:rFonts w:ascii="Times New Roman" w:eastAsia="Times New Roman" w:hAnsi="Times New Roman" w:cs="Times New Roman"/>
            <w:sz w:val="24"/>
            <w:szCs w:val="24"/>
          </w:rPr>
          <w:t>https://pdf4pro.com/view/the-use-of-laboratory-method-in-teaching-secondary-61c1f3.html</w:t>
        </w:r>
      </w:hyperlink>
    </w:p>
    <w:p w14:paraId="1935ABD9" w14:textId="77777777" w:rsidR="00D53F4D" w:rsidRDefault="009372A7">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Hinneh</w:t>
      </w:r>
      <w:proofErr w:type="spellEnd"/>
      <w:r>
        <w:rPr>
          <w:rFonts w:ascii="Times New Roman" w:eastAsia="Times New Roman" w:hAnsi="Times New Roman" w:cs="Times New Roman"/>
          <w:sz w:val="24"/>
          <w:szCs w:val="24"/>
        </w:rPr>
        <w:t xml:space="preserve">, J.T. (2017). Attitude towards practical work and students’ achievement in biology: </w:t>
      </w:r>
    </w:p>
    <w:p w14:paraId="3B0E5536"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of a private senior secondary school in Gaborone, Botswana. </w:t>
      </w:r>
      <w:r>
        <w:rPr>
          <w:rFonts w:ascii="Times New Roman" w:eastAsia="Times New Roman" w:hAnsi="Times New Roman" w:cs="Times New Roman"/>
          <w:i/>
          <w:sz w:val="24"/>
          <w:szCs w:val="24"/>
        </w:rPr>
        <w:t>IOSR Journal of Mathematics (IOSR-JM), 13</w:t>
      </w:r>
      <w:r>
        <w:rPr>
          <w:rFonts w:ascii="Times New Roman" w:eastAsia="Times New Roman" w:hAnsi="Times New Roman" w:cs="Times New Roman"/>
          <w:sz w:val="24"/>
          <w:szCs w:val="24"/>
        </w:rPr>
        <w:t>(4), 06-11.</w:t>
      </w:r>
    </w:p>
    <w:p w14:paraId="50177DEC" w14:textId="77777777" w:rsidR="0051266F" w:rsidRDefault="009372A7">
      <w:pPr>
        <w:spacing w:after="0" w:line="360" w:lineRule="auto"/>
        <w:ind w:left="720"/>
      </w:pPr>
      <w:r>
        <w:rPr>
          <w:rFonts w:ascii="Times New Roman" w:eastAsia="Times New Roman" w:hAnsi="Times New Roman" w:cs="Times New Roman"/>
          <w:sz w:val="24"/>
          <w:szCs w:val="24"/>
        </w:rPr>
        <w:t>Retrieved from</w:t>
      </w:r>
      <w:hyperlink r:id="rId34">
        <w:r>
          <w:rPr>
            <w:rFonts w:ascii="Times New Roman" w:eastAsia="Times New Roman" w:hAnsi="Times New Roman" w:cs="Times New Roman"/>
            <w:sz w:val="24"/>
            <w:szCs w:val="24"/>
          </w:rPr>
          <w:t xml:space="preserve"> </w:t>
        </w:r>
      </w:hyperlink>
    </w:p>
    <w:p w14:paraId="2FE7D27F" w14:textId="10B12E03" w:rsidR="00D53F4D" w:rsidRDefault="00CB2F37">
      <w:pPr>
        <w:spacing w:after="0" w:line="360" w:lineRule="auto"/>
        <w:ind w:left="720"/>
        <w:rPr>
          <w:rFonts w:ascii="Times New Roman" w:eastAsia="Times New Roman" w:hAnsi="Times New Roman" w:cs="Times New Roman"/>
          <w:sz w:val="24"/>
          <w:szCs w:val="24"/>
        </w:rPr>
      </w:pPr>
      <w:hyperlink r:id="rId35" w:history="1">
        <w:r w:rsidR="0051266F" w:rsidRPr="007C0CEC">
          <w:rPr>
            <w:rStyle w:val="Hyperlink"/>
            <w:rFonts w:ascii="Times New Roman" w:eastAsia="Times New Roman" w:hAnsi="Times New Roman" w:cs="Times New Roman"/>
            <w:sz w:val="24"/>
            <w:szCs w:val="24"/>
          </w:rPr>
          <w:t>https://www.iosrjournals.org/iosr-jm/papers/Vol13-issue4/Version-1/BI1304010611.pdf</w:t>
        </w:r>
      </w:hyperlink>
    </w:p>
    <w:p w14:paraId="6B831412" w14:textId="77777777" w:rsidR="00D53F4D" w:rsidRDefault="009372A7">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Hodson, D. (1990). A critical look at practical work in school science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School Science </w:t>
      </w:r>
    </w:p>
    <w:p w14:paraId="1EA5F0C0"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Review, 71</w:t>
      </w:r>
      <w:r>
        <w:rPr>
          <w:rFonts w:ascii="Times New Roman" w:eastAsia="Times New Roman" w:hAnsi="Times New Roman" w:cs="Times New Roman"/>
          <w:sz w:val="24"/>
          <w:szCs w:val="24"/>
        </w:rPr>
        <w:t xml:space="preserve">, 33-40. Retrieved from </w:t>
      </w:r>
    </w:p>
    <w:p w14:paraId="5F11B31D"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36">
        <w:r w:rsidR="009372A7">
          <w:rPr>
            <w:rFonts w:ascii="Times New Roman" w:eastAsia="Times New Roman" w:hAnsi="Times New Roman" w:cs="Times New Roman"/>
            <w:color w:val="1155CC"/>
            <w:sz w:val="24"/>
            <w:szCs w:val="24"/>
            <w:u w:val="single"/>
          </w:rPr>
          <w:t>https://eric.ed.gov/?id=EJ413966</w:t>
        </w:r>
      </w:hyperlink>
    </w:p>
    <w:p w14:paraId="451156AC"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Hofstein, A.,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R. (2007). The laboratory in science education: The state </w:t>
      </w:r>
    </w:p>
    <w:p w14:paraId="4536D6FB"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art. </w:t>
      </w:r>
      <w:r>
        <w:rPr>
          <w:rFonts w:ascii="Times New Roman" w:eastAsia="Times New Roman" w:hAnsi="Times New Roman" w:cs="Times New Roman"/>
          <w:i/>
          <w:sz w:val="24"/>
          <w:szCs w:val="24"/>
        </w:rPr>
        <w:t>Chemistry Education Research and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(2), 105-107.</w:t>
      </w:r>
    </w:p>
    <w:p w14:paraId="63E2347F" w14:textId="77777777" w:rsidR="00D53F4D" w:rsidRDefault="00CB2F37">
      <w:pPr>
        <w:spacing w:after="0" w:line="360" w:lineRule="auto"/>
        <w:ind w:firstLine="720"/>
        <w:rPr>
          <w:rFonts w:ascii="Times New Roman" w:eastAsia="Times New Roman" w:hAnsi="Times New Roman" w:cs="Times New Roman"/>
          <w:sz w:val="24"/>
          <w:szCs w:val="24"/>
        </w:rPr>
      </w:pPr>
      <w:hyperlink r:id="rId37">
        <w:r w:rsidR="009372A7">
          <w:rPr>
            <w:rFonts w:ascii="Times New Roman" w:eastAsia="Times New Roman" w:hAnsi="Times New Roman" w:cs="Times New Roman"/>
            <w:color w:val="1155CC"/>
            <w:sz w:val="24"/>
            <w:szCs w:val="24"/>
            <w:u w:val="single"/>
          </w:rPr>
          <w:t>https://doi.org/10.1039/B7RP90003A</w:t>
        </w:r>
      </w:hyperlink>
    </w:p>
    <w:p w14:paraId="7804D9C1" w14:textId="77777777" w:rsidR="00D53F4D" w:rsidRDefault="009372A7" w:rsidP="0051266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Kazembe, T. C., &amp; </w:t>
      </w:r>
      <w:proofErr w:type="spellStart"/>
      <w:r>
        <w:rPr>
          <w:rFonts w:ascii="Times New Roman" w:eastAsia="Times New Roman" w:hAnsi="Times New Roman" w:cs="Times New Roman"/>
          <w:sz w:val="24"/>
          <w:szCs w:val="24"/>
        </w:rPr>
        <w:t>Musarandega</w:t>
      </w:r>
      <w:proofErr w:type="spellEnd"/>
      <w:r>
        <w:rPr>
          <w:rFonts w:ascii="Times New Roman" w:eastAsia="Times New Roman" w:hAnsi="Times New Roman" w:cs="Times New Roman"/>
          <w:sz w:val="24"/>
          <w:szCs w:val="24"/>
        </w:rPr>
        <w:t>, A. (2012). Student Performance in A-level Chemistry</w:t>
      </w:r>
    </w:p>
    <w:p w14:paraId="6D22B759"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Examinations in Makoni District, Zimbabwe. </w:t>
      </w:r>
      <w:r>
        <w:rPr>
          <w:rFonts w:ascii="Times New Roman" w:eastAsia="Times New Roman" w:hAnsi="Times New Roman" w:cs="Times New Roman"/>
          <w:i/>
          <w:sz w:val="24"/>
          <w:szCs w:val="24"/>
        </w:rPr>
        <w:t>International Journal of Physics and Chemistry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(1), 2-29.</w:t>
      </w:r>
    </w:p>
    <w:p w14:paraId="67E0C372" w14:textId="77777777" w:rsidR="00D53F4D" w:rsidRDefault="00CB2F37">
      <w:pPr>
        <w:spacing w:after="0" w:line="360" w:lineRule="auto"/>
        <w:ind w:left="720"/>
        <w:rPr>
          <w:rFonts w:ascii="Times New Roman" w:eastAsia="Times New Roman" w:hAnsi="Times New Roman" w:cs="Times New Roman"/>
          <w:color w:val="1155CC"/>
          <w:sz w:val="24"/>
          <w:szCs w:val="24"/>
          <w:u w:val="single"/>
        </w:rPr>
      </w:pPr>
      <w:hyperlink r:id="rId38">
        <w:r w:rsidR="009372A7">
          <w:rPr>
            <w:rFonts w:ascii="Times New Roman" w:eastAsia="Times New Roman" w:hAnsi="Times New Roman" w:cs="Times New Roman"/>
            <w:color w:val="1155CC"/>
            <w:sz w:val="24"/>
            <w:szCs w:val="24"/>
            <w:u w:val="single"/>
          </w:rPr>
          <w:t>https://doi.org/10.51724/ijpce.v4i1.90</w:t>
        </w:r>
      </w:hyperlink>
    </w:p>
    <w:p w14:paraId="34B6DED5"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 V. (2009). Pedagogical content knowledge in science education: Perspectives and </w:t>
      </w:r>
    </w:p>
    <w:p w14:paraId="668F52DD" w14:textId="77777777" w:rsidR="00D53F4D" w:rsidRDefault="009372A7">
      <w:pPr>
        <w:spacing w:after="0" w:line="360" w:lineRule="auto"/>
        <w:ind w:left="720"/>
        <w:rPr>
          <w:rFonts w:ascii="Times New Roman" w:eastAsia="Times New Roman" w:hAnsi="Times New Roman" w:cs="Times New Roman"/>
          <w:color w:val="467886"/>
          <w:sz w:val="24"/>
          <w:szCs w:val="24"/>
        </w:rPr>
      </w:pPr>
      <w:r>
        <w:rPr>
          <w:rFonts w:ascii="Times New Roman" w:eastAsia="Times New Roman" w:hAnsi="Times New Roman" w:cs="Times New Roman"/>
          <w:sz w:val="24"/>
          <w:szCs w:val="24"/>
        </w:rPr>
        <w:t xml:space="preserve">potential for progress. </w:t>
      </w:r>
      <w:r>
        <w:rPr>
          <w:rFonts w:ascii="Times New Roman" w:eastAsia="Times New Roman" w:hAnsi="Times New Roman" w:cs="Times New Roman"/>
          <w:i/>
          <w:sz w:val="24"/>
          <w:szCs w:val="24"/>
        </w:rPr>
        <w:t>Studies in Science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45</w:t>
      </w:r>
      <w:r>
        <w:rPr>
          <w:rFonts w:ascii="Times New Roman" w:eastAsia="Times New Roman" w:hAnsi="Times New Roman" w:cs="Times New Roman"/>
          <w:sz w:val="24"/>
          <w:szCs w:val="24"/>
        </w:rPr>
        <w:t>(2), 169–204.</w:t>
      </w:r>
      <w:hyperlink r:id="rId39">
        <w:r>
          <w:rPr>
            <w:rFonts w:ascii="Times New Roman" w:eastAsia="Times New Roman" w:hAnsi="Times New Roman" w:cs="Times New Roman"/>
            <w:sz w:val="24"/>
            <w:szCs w:val="24"/>
          </w:rPr>
          <w:t xml:space="preserve"> </w:t>
        </w:r>
      </w:hyperlink>
      <w:hyperlink r:id="rId40">
        <w:r>
          <w:rPr>
            <w:rFonts w:ascii="Times New Roman" w:eastAsia="Times New Roman" w:hAnsi="Times New Roman" w:cs="Times New Roman"/>
            <w:color w:val="467886"/>
            <w:sz w:val="24"/>
            <w:szCs w:val="24"/>
            <w:u w:val="single"/>
          </w:rPr>
          <w:t>https://doi.org/10.1080/03057260903142285</w:t>
        </w:r>
      </w:hyperlink>
    </w:p>
    <w:p w14:paraId="236ADF0C"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Lunetta, V. N.,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A., &amp; Clough, M. P. (2007). Learning and Teaching in the School</w:t>
      </w:r>
    </w:p>
    <w:p w14:paraId="55FBA560"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Laboratory: An Analysis of Research, Theory, and Practice. In N. G. Lederman &amp; S. K. Abell (Eds.), </w:t>
      </w:r>
      <w:r>
        <w:rPr>
          <w:rFonts w:ascii="Times New Roman" w:eastAsia="Times New Roman" w:hAnsi="Times New Roman" w:cs="Times New Roman"/>
          <w:i/>
          <w:sz w:val="24"/>
          <w:szCs w:val="24"/>
        </w:rPr>
        <w:t>Handbook of Research on Science Education</w:t>
      </w:r>
      <w:r>
        <w:rPr>
          <w:rFonts w:ascii="Times New Roman" w:eastAsia="Times New Roman" w:hAnsi="Times New Roman" w:cs="Times New Roman"/>
          <w:sz w:val="24"/>
          <w:szCs w:val="24"/>
        </w:rPr>
        <w:t xml:space="preserve"> (pp. 393-441). Lawrence Erlbaum Associates. </w:t>
      </w:r>
    </w:p>
    <w:p w14:paraId="320441CC"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Retrieved from </w:t>
      </w:r>
    </w:p>
    <w:p w14:paraId="685CF47E" w14:textId="77777777" w:rsidR="00D53F4D" w:rsidRDefault="00CB2F37">
      <w:pPr>
        <w:spacing w:after="0" w:line="360" w:lineRule="auto"/>
        <w:ind w:left="720"/>
        <w:rPr>
          <w:rFonts w:ascii="Times New Roman" w:eastAsia="Times New Roman" w:hAnsi="Times New Roman" w:cs="Times New Roman"/>
          <w:sz w:val="24"/>
          <w:szCs w:val="24"/>
        </w:rPr>
      </w:pPr>
      <w:hyperlink r:id="rId41">
        <w:r w:rsidR="009372A7">
          <w:rPr>
            <w:rFonts w:ascii="Times New Roman" w:eastAsia="Times New Roman" w:hAnsi="Times New Roman" w:cs="Times New Roman"/>
            <w:color w:val="1155CC"/>
            <w:sz w:val="24"/>
            <w:szCs w:val="24"/>
            <w:u w:val="single"/>
          </w:rPr>
          <w:t>https://www.researchgate.net/publication/283630224_Learning_and_teaching_in_the_school_science_laboratory_An_analysis_of_research_theory_and_practice</w:t>
        </w:r>
      </w:hyperlink>
    </w:p>
    <w:p w14:paraId="511C6741"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Magnusson, S., Krajcik, J., &amp; Borko, H. (1999). Nature, sources, and development of </w:t>
      </w:r>
    </w:p>
    <w:p w14:paraId="49B20E84"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pedagogical content knowledge for science teaching. In J. Gess-Newsome &amp; N. G. </w:t>
      </w:r>
    </w:p>
    <w:p w14:paraId="4EE3B8FE" w14:textId="77777777" w:rsidR="00D53F4D" w:rsidRDefault="009372A7">
      <w:pPr>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Lederman (Eds.), </w:t>
      </w:r>
      <w:r>
        <w:rPr>
          <w:rFonts w:ascii="Times New Roman" w:eastAsia="Times New Roman" w:hAnsi="Times New Roman" w:cs="Times New Roman"/>
          <w:i/>
          <w:sz w:val="24"/>
          <w:szCs w:val="24"/>
        </w:rPr>
        <w:t xml:space="preserve">Examining pedagogical content knowledge: The construct and its </w:t>
      </w:r>
    </w:p>
    <w:p w14:paraId="113CB65A" w14:textId="77777777" w:rsidR="00D53F4D" w:rsidRDefault="009372A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implications for science education</w:t>
      </w:r>
      <w:r>
        <w:rPr>
          <w:rFonts w:ascii="Times New Roman" w:eastAsia="Times New Roman" w:hAnsi="Times New Roman" w:cs="Times New Roman"/>
          <w:sz w:val="24"/>
          <w:szCs w:val="24"/>
        </w:rPr>
        <w:t xml:space="preserve"> (pp. 95-132). Kluwer Academic Publishers.</w:t>
      </w:r>
    </w:p>
    <w:p w14:paraId="612C5882" w14:textId="77777777" w:rsidR="00D53F4D" w:rsidRDefault="00CB2F37">
      <w:pPr>
        <w:spacing w:after="0" w:line="360" w:lineRule="auto"/>
        <w:ind w:firstLine="720"/>
        <w:rPr>
          <w:rFonts w:ascii="Times New Roman" w:eastAsia="Times New Roman" w:hAnsi="Times New Roman" w:cs="Times New Roman"/>
          <w:sz w:val="24"/>
          <w:szCs w:val="24"/>
        </w:rPr>
      </w:pPr>
      <w:hyperlink r:id="rId42">
        <w:r w:rsidR="009372A7">
          <w:rPr>
            <w:rFonts w:ascii="Times New Roman" w:eastAsia="Times New Roman" w:hAnsi="Times New Roman" w:cs="Times New Roman"/>
            <w:color w:val="1155CC"/>
            <w:sz w:val="24"/>
            <w:szCs w:val="24"/>
            <w:u w:val="single"/>
          </w:rPr>
          <w:t>http://dx.doi.org/10.1007/0-306-47217-1_4</w:t>
        </w:r>
      </w:hyperlink>
    </w:p>
    <w:p w14:paraId="7D4C6DCE"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Mandina, S. (2017). The status and quality of science education in rural day secondary</w:t>
      </w:r>
    </w:p>
    <w:p w14:paraId="781D7E54"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in </w:t>
      </w:r>
      <w:proofErr w:type="spellStart"/>
      <w:r>
        <w:rPr>
          <w:rFonts w:ascii="Times New Roman" w:eastAsia="Times New Roman" w:hAnsi="Times New Roman" w:cs="Times New Roman"/>
          <w:sz w:val="24"/>
          <w:szCs w:val="24"/>
        </w:rPr>
        <w:t>Chirumanzu</w:t>
      </w:r>
      <w:proofErr w:type="spellEnd"/>
      <w:r>
        <w:rPr>
          <w:rFonts w:ascii="Times New Roman" w:eastAsia="Times New Roman" w:hAnsi="Times New Roman" w:cs="Times New Roman"/>
          <w:sz w:val="24"/>
          <w:szCs w:val="24"/>
        </w:rPr>
        <w:t xml:space="preserve"> District, Zimbabwe. </w:t>
      </w:r>
      <w:r>
        <w:rPr>
          <w:rFonts w:ascii="Times New Roman" w:eastAsia="Times New Roman" w:hAnsi="Times New Roman" w:cs="Times New Roman"/>
          <w:i/>
          <w:sz w:val="24"/>
          <w:szCs w:val="24"/>
        </w:rPr>
        <w:t>Journal of Education and Practice, 8</w:t>
      </w:r>
      <w:r>
        <w:rPr>
          <w:rFonts w:ascii="Times New Roman" w:eastAsia="Times New Roman" w:hAnsi="Times New Roman" w:cs="Times New Roman"/>
          <w:sz w:val="24"/>
          <w:szCs w:val="24"/>
        </w:rPr>
        <w:t>(16), 27-33. Retrieved from</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https://www.iiste.org/Journals/index.php/JEP/article/view/40035</w:t>
        </w:r>
      </w:hyperlink>
    </w:p>
    <w:p w14:paraId="1E845E85"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Mandina, S. (2012). An evaluation of Advanced Level Chemistry teaching in Gweru District</w:t>
      </w:r>
    </w:p>
    <w:p w14:paraId="572ACD7C"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Zimbabwe. </w:t>
      </w:r>
      <w:r>
        <w:rPr>
          <w:rFonts w:ascii="Times New Roman" w:eastAsia="Times New Roman" w:hAnsi="Times New Roman" w:cs="Times New Roman"/>
          <w:i/>
          <w:sz w:val="24"/>
          <w:szCs w:val="24"/>
        </w:rPr>
        <w:t>Asian Social Science, 8</w:t>
      </w:r>
      <w:r>
        <w:rPr>
          <w:rFonts w:ascii="Times New Roman" w:eastAsia="Times New Roman" w:hAnsi="Times New Roman" w:cs="Times New Roman"/>
          <w:sz w:val="24"/>
          <w:szCs w:val="24"/>
        </w:rPr>
        <w:t xml:space="preserve">(10), 151-151. </w:t>
      </w:r>
      <w:hyperlink r:id="rId45">
        <w:r>
          <w:rPr>
            <w:rFonts w:ascii="Times New Roman" w:eastAsia="Times New Roman" w:hAnsi="Times New Roman" w:cs="Times New Roman"/>
            <w:color w:val="1155CC"/>
            <w:sz w:val="24"/>
            <w:szCs w:val="24"/>
            <w:u w:val="single"/>
          </w:rPr>
          <w:t>https://doi.org/10.5539/ass.v8n10p151</w:t>
        </w:r>
      </w:hyperlink>
    </w:p>
    <w:p w14:paraId="2019FE97"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Manlongat</w:t>
      </w:r>
      <w:proofErr w:type="spellEnd"/>
      <w:r>
        <w:rPr>
          <w:rFonts w:ascii="Times New Roman" w:eastAsia="Times New Roman" w:hAnsi="Times New Roman" w:cs="Times New Roman"/>
          <w:sz w:val="24"/>
          <w:szCs w:val="24"/>
        </w:rPr>
        <w:t xml:space="preserve">, M. D., Castor, A. D., De Chavez, R. B., Abila, R. D., </w:t>
      </w:r>
      <w:proofErr w:type="spellStart"/>
      <w:r>
        <w:rPr>
          <w:rFonts w:ascii="Times New Roman" w:eastAsia="Times New Roman" w:hAnsi="Times New Roman" w:cs="Times New Roman"/>
          <w:sz w:val="24"/>
          <w:szCs w:val="24"/>
        </w:rPr>
        <w:t>Festijo</w:t>
      </w:r>
      <w:proofErr w:type="spellEnd"/>
      <w:r>
        <w:rPr>
          <w:rFonts w:ascii="Times New Roman" w:eastAsia="Times New Roman" w:hAnsi="Times New Roman" w:cs="Times New Roman"/>
          <w:sz w:val="24"/>
          <w:szCs w:val="24"/>
        </w:rPr>
        <w:t xml:space="preserve">, I. S., </w:t>
      </w:r>
      <w:proofErr w:type="spellStart"/>
      <w:r>
        <w:rPr>
          <w:rFonts w:ascii="Times New Roman" w:eastAsia="Times New Roman" w:hAnsi="Times New Roman" w:cs="Times New Roman"/>
          <w:sz w:val="24"/>
          <w:szCs w:val="24"/>
        </w:rPr>
        <w:t>Fajilan</w:t>
      </w:r>
      <w:proofErr w:type="spellEnd"/>
      <w:r>
        <w:rPr>
          <w:rFonts w:ascii="Times New Roman" w:eastAsia="Times New Roman" w:hAnsi="Times New Roman" w:cs="Times New Roman"/>
          <w:sz w:val="24"/>
          <w:szCs w:val="24"/>
        </w:rPr>
        <w:t>, T. F.,</w:t>
      </w:r>
    </w:p>
    <w:p w14:paraId="2048B9F4"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 </w:t>
      </w:r>
      <w:proofErr w:type="spellStart"/>
      <w:r>
        <w:rPr>
          <w:rFonts w:ascii="Times New Roman" w:eastAsia="Times New Roman" w:hAnsi="Times New Roman" w:cs="Times New Roman"/>
          <w:sz w:val="24"/>
          <w:szCs w:val="24"/>
        </w:rPr>
        <w:t>Zuela</w:t>
      </w:r>
      <w:proofErr w:type="spellEnd"/>
      <w:r>
        <w:rPr>
          <w:rFonts w:ascii="Times New Roman" w:eastAsia="Times New Roman" w:hAnsi="Times New Roman" w:cs="Times New Roman"/>
          <w:sz w:val="24"/>
          <w:szCs w:val="24"/>
        </w:rPr>
        <w:t xml:space="preserve">, J. E. (2021). Impact of large class size on teachers’ emotional and physical conditions. </w:t>
      </w:r>
      <w:r>
        <w:rPr>
          <w:rFonts w:ascii="Times New Roman" w:eastAsia="Times New Roman" w:hAnsi="Times New Roman" w:cs="Times New Roman"/>
          <w:i/>
          <w:sz w:val="24"/>
          <w:szCs w:val="24"/>
        </w:rPr>
        <w:t>IOER International Multidisciplinary Research Journal, 3</w:t>
      </w:r>
      <w:r>
        <w:rPr>
          <w:rFonts w:ascii="Times New Roman" w:eastAsia="Times New Roman" w:hAnsi="Times New Roman" w:cs="Times New Roman"/>
          <w:sz w:val="24"/>
          <w:szCs w:val="24"/>
        </w:rPr>
        <w:t>(4), 11-21.</w:t>
      </w:r>
      <w:hyperlink r:id="rId46">
        <w:r>
          <w:rPr>
            <w:rFonts w:ascii="Times New Roman" w:eastAsia="Times New Roman" w:hAnsi="Times New Roman" w:cs="Times New Roman"/>
            <w:sz w:val="24"/>
            <w:szCs w:val="24"/>
          </w:rPr>
          <w:t xml:space="preserve"> </w:t>
        </w:r>
      </w:hyperlink>
      <w:hyperlink r:id="rId47">
        <w:r>
          <w:rPr>
            <w:rFonts w:ascii="Times New Roman" w:eastAsia="Times New Roman" w:hAnsi="Times New Roman" w:cs="Times New Roman"/>
            <w:color w:val="1155CC"/>
            <w:sz w:val="24"/>
            <w:szCs w:val="24"/>
            <w:u w:val="single"/>
          </w:rPr>
          <w:t>http://dx.doi.org/10.54476/iimrj230</w:t>
        </w:r>
      </w:hyperlink>
    </w:p>
    <w:p w14:paraId="211289FA" w14:textId="77777777" w:rsidR="00D53F4D" w:rsidRDefault="009372A7" w:rsidP="0051266F">
      <w:pPr>
        <w:tabs>
          <w:tab w:val="left" w:pos="3466"/>
        </w:tabs>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Marais, P. (2016). “We can’t believe what we see”: Overcrowded classrooms through the </w:t>
      </w:r>
    </w:p>
    <w:p w14:paraId="5F440878" w14:textId="77777777" w:rsidR="00D53F4D" w:rsidRDefault="009372A7" w:rsidP="0051266F">
      <w:pPr>
        <w:tabs>
          <w:tab w:val="left" w:pos="3466"/>
        </w:tabs>
        <w:spacing w:after="0" w:line="360" w:lineRule="auto"/>
        <w:ind w:left="720"/>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eyes of student teachers. </w:t>
      </w:r>
      <w:r>
        <w:rPr>
          <w:rFonts w:ascii="Times New Roman" w:eastAsia="Times New Roman" w:hAnsi="Times New Roman" w:cs="Times New Roman"/>
          <w:i/>
          <w:sz w:val="24"/>
          <w:szCs w:val="24"/>
          <w:highlight w:val="white"/>
        </w:rPr>
        <w:t>South African Journal of Education, 36</w:t>
      </w:r>
      <w:r>
        <w:rPr>
          <w:rFonts w:ascii="Times New Roman" w:eastAsia="Times New Roman" w:hAnsi="Times New Roman" w:cs="Times New Roman"/>
          <w:sz w:val="24"/>
          <w:szCs w:val="24"/>
          <w:highlight w:val="white"/>
        </w:rPr>
        <w:t>(2), Article #1201, 1-10.</w:t>
      </w:r>
      <w:hyperlink r:id="rId48">
        <w:r>
          <w:rPr>
            <w:rFonts w:ascii="Times New Roman" w:eastAsia="Times New Roman" w:hAnsi="Times New Roman" w:cs="Times New Roman"/>
            <w:sz w:val="24"/>
            <w:szCs w:val="24"/>
            <w:highlight w:val="white"/>
          </w:rPr>
          <w:t xml:space="preserve"> </w:t>
        </w:r>
      </w:hyperlink>
      <w:hyperlink r:id="rId49">
        <w:r>
          <w:rPr>
            <w:rFonts w:ascii="Times New Roman" w:eastAsia="Times New Roman" w:hAnsi="Times New Roman" w:cs="Times New Roman"/>
            <w:color w:val="1155CC"/>
            <w:sz w:val="24"/>
            <w:szCs w:val="24"/>
            <w:highlight w:val="white"/>
            <w:u w:val="single"/>
          </w:rPr>
          <w:t>https://doi.org/10.15700/saje.v36n2a1201</w:t>
        </w:r>
      </w:hyperlink>
    </w:p>
    <w:p w14:paraId="5005DCD4"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Miller, C. J., &amp; Metz, M. J. (2014). A comparison of professional-level faculty and student</w:t>
      </w:r>
    </w:p>
    <w:p w14:paraId="0BF586D0"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perceptions of active learning: Its current use, effectiveness, and barriers. </w:t>
      </w:r>
      <w:r>
        <w:rPr>
          <w:rFonts w:ascii="Times New Roman" w:eastAsia="Times New Roman" w:hAnsi="Times New Roman" w:cs="Times New Roman"/>
          <w:i/>
          <w:sz w:val="24"/>
          <w:szCs w:val="24"/>
        </w:rPr>
        <w:t>Advances in Physiology Education, 38</w:t>
      </w:r>
      <w:r>
        <w:rPr>
          <w:rFonts w:ascii="Times New Roman" w:eastAsia="Times New Roman" w:hAnsi="Times New Roman" w:cs="Times New Roman"/>
          <w:sz w:val="24"/>
          <w:szCs w:val="24"/>
        </w:rPr>
        <w:t>(3), 246-252.</w:t>
      </w:r>
    </w:p>
    <w:p w14:paraId="65418C36"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50">
        <w:r w:rsidR="009372A7">
          <w:rPr>
            <w:rFonts w:ascii="Times New Roman" w:eastAsia="Times New Roman" w:hAnsi="Times New Roman" w:cs="Times New Roman"/>
            <w:color w:val="1155CC"/>
            <w:sz w:val="24"/>
            <w:szCs w:val="24"/>
            <w:u w:val="single"/>
          </w:rPr>
          <w:t>https://doi.org/10.1152/advan.00014.2014</w:t>
        </w:r>
      </w:hyperlink>
    </w:p>
    <w:p w14:paraId="1EACEBBB"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Mukeredzi</w:t>
      </w:r>
      <w:proofErr w:type="spellEnd"/>
      <w:r>
        <w:rPr>
          <w:rFonts w:ascii="Times New Roman" w:eastAsia="Times New Roman" w:hAnsi="Times New Roman" w:cs="Times New Roman"/>
          <w:sz w:val="24"/>
          <w:szCs w:val="24"/>
        </w:rPr>
        <w:t>, T. G. (2016). The nature of professional learning needs of rural secondary school</w:t>
      </w:r>
    </w:p>
    <w:p w14:paraId="6ADC1EED"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Voices of professionally unqualified teachers in rural Zimbabwe. </w:t>
      </w:r>
      <w:r>
        <w:rPr>
          <w:rFonts w:ascii="Times New Roman" w:eastAsia="Times New Roman" w:hAnsi="Times New Roman" w:cs="Times New Roman"/>
          <w:i/>
          <w:sz w:val="24"/>
          <w:szCs w:val="24"/>
        </w:rPr>
        <w:t>SAGE Open, 6</w:t>
      </w:r>
      <w:r>
        <w:rPr>
          <w:rFonts w:ascii="Times New Roman" w:eastAsia="Times New Roman" w:hAnsi="Times New Roman" w:cs="Times New Roman"/>
          <w:sz w:val="24"/>
          <w:szCs w:val="24"/>
        </w:rPr>
        <w:t>(2), 1-12.</w:t>
      </w:r>
    </w:p>
    <w:p w14:paraId="199B5A91"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51">
        <w:r w:rsidR="009372A7">
          <w:rPr>
            <w:rFonts w:ascii="Times New Roman" w:eastAsia="Times New Roman" w:hAnsi="Times New Roman" w:cs="Times New Roman"/>
            <w:color w:val="1155CC"/>
            <w:sz w:val="24"/>
            <w:szCs w:val="24"/>
            <w:u w:val="single"/>
          </w:rPr>
          <w:t>https://doi.org/10.1177/2158244016643142</w:t>
        </w:r>
      </w:hyperlink>
    </w:p>
    <w:p w14:paraId="77EE38E0"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Murimba</w:t>
      </w:r>
      <w:proofErr w:type="spellEnd"/>
      <w:r>
        <w:rPr>
          <w:rFonts w:ascii="Times New Roman" w:eastAsia="Times New Roman" w:hAnsi="Times New Roman" w:cs="Times New Roman"/>
          <w:sz w:val="24"/>
          <w:szCs w:val="24"/>
        </w:rPr>
        <w:t>, S. (2005). The Southern and Eastern Africa Consortium for Monitoring</w:t>
      </w:r>
    </w:p>
    <w:p w14:paraId="0908DF2A"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Quality (SACMEQ): Mission, approach and projects. </w:t>
      </w:r>
      <w:r>
        <w:rPr>
          <w:rFonts w:ascii="Times New Roman" w:eastAsia="Times New Roman" w:hAnsi="Times New Roman" w:cs="Times New Roman"/>
          <w:i/>
          <w:sz w:val="24"/>
          <w:szCs w:val="24"/>
        </w:rPr>
        <w:t>Prospects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35</w:t>
      </w:r>
      <w:r>
        <w:rPr>
          <w:rFonts w:ascii="Times New Roman" w:eastAsia="Times New Roman" w:hAnsi="Times New Roman" w:cs="Times New Roman"/>
          <w:sz w:val="24"/>
          <w:szCs w:val="24"/>
        </w:rPr>
        <w:t>(1), 75-89.</w:t>
      </w:r>
    </w:p>
    <w:p w14:paraId="3466166A" w14:textId="77777777" w:rsidR="00D53F4D" w:rsidRDefault="00CB2F37">
      <w:pPr>
        <w:tabs>
          <w:tab w:val="left" w:pos="3466"/>
        </w:tabs>
        <w:spacing w:after="0" w:line="360" w:lineRule="auto"/>
        <w:ind w:left="720"/>
        <w:rPr>
          <w:rFonts w:ascii="Times New Roman" w:eastAsia="Times New Roman" w:hAnsi="Times New Roman" w:cs="Times New Roman"/>
          <w:color w:val="1155CC"/>
          <w:sz w:val="24"/>
          <w:szCs w:val="24"/>
          <w:u w:val="single"/>
        </w:rPr>
      </w:pPr>
      <w:hyperlink r:id="rId52">
        <w:r w:rsidR="009372A7">
          <w:rPr>
            <w:rFonts w:ascii="Times New Roman" w:eastAsia="Times New Roman" w:hAnsi="Times New Roman" w:cs="Times New Roman"/>
            <w:color w:val="1155CC"/>
            <w:sz w:val="24"/>
            <w:szCs w:val="24"/>
            <w:u w:val="single"/>
          </w:rPr>
          <w:t>https://doi.org/10.1007/s11125-005-6819-7</w:t>
        </w:r>
      </w:hyperlink>
    </w:p>
    <w:p w14:paraId="4B76B746" w14:textId="3B69DBEB"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Ngwenya, J. T. (2025). Effect of integrating practical work in the teaching of Advanced </w:t>
      </w:r>
    </w:p>
    <w:p w14:paraId="2461DF4F" w14:textId="05196CA6" w:rsidR="00D53F4D" w:rsidRDefault="0051266F">
      <w:pPr>
        <w:tabs>
          <w:tab w:val="left" w:pos="3466"/>
        </w:tabs>
        <w:spacing w:after="0" w:line="36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Level </w:t>
      </w:r>
      <w:r w:rsidR="009372A7">
        <w:rPr>
          <w:rFonts w:ascii="Times New Roman" w:eastAsia="Times New Roman" w:hAnsi="Times New Roman" w:cs="Times New Roman"/>
          <w:sz w:val="24"/>
          <w:szCs w:val="24"/>
        </w:rPr>
        <w:t xml:space="preserve">Chemistry on students’ achievement in stoichiometry: The case of Gweru District public high schools. </w:t>
      </w:r>
      <w:r w:rsidR="009372A7">
        <w:rPr>
          <w:rFonts w:ascii="Times New Roman" w:eastAsia="Times New Roman" w:hAnsi="Times New Roman" w:cs="Times New Roman"/>
          <w:i/>
          <w:sz w:val="24"/>
          <w:szCs w:val="24"/>
        </w:rPr>
        <w:t>Mediterranean Journal of Social Sciences, 16</w:t>
      </w:r>
      <w:r w:rsidR="009372A7">
        <w:rPr>
          <w:rFonts w:ascii="Times New Roman" w:eastAsia="Times New Roman" w:hAnsi="Times New Roman" w:cs="Times New Roman"/>
          <w:sz w:val="24"/>
          <w:szCs w:val="24"/>
        </w:rPr>
        <w:t>(2), 24-31.</w:t>
      </w:r>
      <w:hyperlink r:id="rId53">
        <w:r w:rsidR="009372A7">
          <w:rPr>
            <w:rFonts w:ascii="Times New Roman" w:eastAsia="Times New Roman" w:hAnsi="Times New Roman" w:cs="Times New Roman"/>
            <w:sz w:val="24"/>
            <w:szCs w:val="24"/>
          </w:rPr>
          <w:t xml:space="preserve"> </w:t>
        </w:r>
      </w:hyperlink>
      <w:hyperlink r:id="rId54">
        <w:r w:rsidR="009372A7">
          <w:rPr>
            <w:rFonts w:ascii="Times New Roman" w:eastAsia="Times New Roman" w:hAnsi="Times New Roman" w:cs="Times New Roman"/>
            <w:color w:val="1155CC"/>
            <w:sz w:val="24"/>
            <w:szCs w:val="24"/>
            <w:u w:val="single"/>
          </w:rPr>
          <w:t>https://doi.org/10.36941/mjss-2025-0014</w:t>
        </w:r>
      </w:hyperlink>
    </w:p>
    <w:p w14:paraId="59C09C3C"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Niyitanga</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Nkundabakura</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Bihoyiki</w:t>
      </w:r>
      <w:proofErr w:type="spellEnd"/>
      <w:r>
        <w:rPr>
          <w:rFonts w:ascii="Times New Roman" w:eastAsia="Times New Roman" w:hAnsi="Times New Roman" w:cs="Times New Roman"/>
          <w:sz w:val="24"/>
          <w:szCs w:val="24"/>
        </w:rPr>
        <w:t xml:space="preserve">, T. (2021). Factors affecting practical use </w:t>
      </w:r>
    </w:p>
    <w:p w14:paraId="4D368F06"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work in teaching and learning physics: Assessment of six secondary schools in Kigali City, Rwanda. </w:t>
      </w:r>
      <w:r>
        <w:rPr>
          <w:rFonts w:ascii="Times New Roman" w:eastAsia="Times New Roman" w:hAnsi="Times New Roman" w:cs="Times New Roman"/>
          <w:i/>
          <w:sz w:val="24"/>
          <w:szCs w:val="24"/>
        </w:rPr>
        <w:t>African Journal of Educational Studies in Mathematics and Sciences, 17</w:t>
      </w:r>
      <w:r>
        <w:rPr>
          <w:rFonts w:ascii="Times New Roman" w:eastAsia="Times New Roman" w:hAnsi="Times New Roman" w:cs="Times New Roman"/>
          <w:sz w:val="24"/>
          <w:szCs w:val="24"/>
        </w:rPr>
        <w:t>(1), 2-6.</w:t>
      </w:r>
    </w:p>
    <w:p w14:paraId="4119C23B"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55">
        <w:r w:rsidR="009372A7">
          <w:rPr>
            <w:rFonts w:ascii="Times New Roman" w:eastAsia="Times New Roman" w:hAnsi="Times New Roman" w:cs="Times New Roman"/>
            <w:color w:val="467886"/>
            <w:sz w:val="24"/>
            <w:szCs w:val="24"/>
            <w:u w:val="single"/>
          </w:rPr>
          <w:t>https://doi.org/10.4314/ajesms.v17i1.4</w:t>
        </w:r>
      </w:hyperlink>
    </w:p>
    <w:p w14:paraId="143D1E3D" w14:textId="3A1348D3"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Ogunniyi, M. B. (</w:t>
      </w:r>
      <w:r w:rsidR="0003446E" w:rsidRPr="0003446E">
        <w:rPr>
          <w:rFonts w:ascii="Times New Roman" w:eastAsia="Times New Roman" w:hAnsi="Times New Roman" w:cs="Times New Roman"/>
          <w:sz w:val="24"/>
          <w:szCs w:val="24"/>
        </w:rPr>
        <w:t>2007</w:t>
      </w:r>
      <w:r>
        <w:rPr>
          <w:rFonts w:ascii="Times New Roman" w:eastAsia="Times New Roman" w:hAnsi="Times New Roman" w:cs="Times New Roman"/>
          <w:sz w:val="24"/>
          <w:szCs w:val="24"/>
        </w:rPr>
        <w:t>). An analysis of laboratory activities in selected Nigerian secondary</w:t>
      </w:r>
    </w:p>
    <w:p w14:paraId="07BDC49C" w14:textId="77777777" w:rsidR="00D53F4D" w:rsidRDefault="009372A7">
      <w:pPr>
        <w:tabs>
          <w:tab w:val="left" w:pos="3466"/>
        </w:tabs>
        <w:spacing w:after="0" w:line="360" w:lineRule="auto"/>
        <w:ind w:left="720"/>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 xml:space="preserve">schools. </w:t>
      </w:r>
      <w:r>
        <w:rPr>
          <w:rFonts w:ascii="Times New Roman" w:eastAsia="Times New Roman" w:hAnsi="Times New Roman" w:cs="Times New Roman"/>
          <w:i/>
          <w:sz w:val="24"/>
          <w:szCs w:val="24"/>
        </w:rPr>
        <w:t>European Journal of Science Education</w:t>
      </w:r>
      <w:r>
        <w:rPr>
          <w:rFonts w:ascii="Times New Roman" w:eastAsia="Times New Roman" w:hAnsi="Times New Roman" w:cs="Times New Roman"/>
          <w:sz w:val="24"/>
          <w:szCs w:val="24"/>
        </w:rPr>
        <w:t>, 1(2), 191-198.</w:t>
      </w:r>
      <w:hyperlink r:id="rId56">
        <w:r>
          <w:rPr>
            <w:rFonts w:ascii="Times New Roman" w:eastAsia="Times New Roman" w:hAnsi="Times New Roman" w:cs="Times New Roman"/>
            <w:sz w:val="24"/>
            <w:szCs w:val="24"/>
          </w:rPr>
          <w:t xml:space="preserve"> </w:t>
        </w:r>
      </w:hyperlink>
      <w:hyperlink r:id="rId57">
        <w:r>
          <w:rPr>
            <w:rFonts w:ascii="Times New Roman" w:eastAsia="Times New Roman" w:hAnsi="Times New Roman" w:cs="Times New Roman"/>
            <w:color w:val="467886"/>
            <w:sz w:val="24"/>
            <w:szCs w:val="24"/>
            <w:u w:val="single"/>
          </w:rPr>
          <w:t>https://doi.org/10.1080/0140528770010208</w:t>
        </w:r>
      </w:hyperlink>
    </w:p>
    <w:p w14:paraId="162C3BDD"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Okorie, E., &amp; Ugwuanyi, A. (2020). An investigation into the extent of use of practical </w:t>
      </w:r>
    </w:p>
    <w:p w14:paraId="3A0140B0"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in teaching chemistry in Nigerian schools. </w:t>
      </w:r>
      <w:r>
        <w:rPr>
          <w:rFonts w:ascii="Times New Roman" w:eastAsia="Times New Roman" w:hAnsi="Times New Roman" w:cs="Times New Roman"/>
          <w:i/>
          <w:sz w:val="24"/>
          <w:szCs w:val="24"/>
        </w:rPr>
        <w:t>Journal of CUDIMAC (J-CUDIMAC), 6</w:t>
      </w:r>
      <w:r>
        <w:rPr>
          <w:rFonts w:ascii="Times New Roman" w:eastAsia="Times New Roman" w:hAnsi="Times New Roman" w:cs="Times New Roman"/>
          <w:sz w:val="24"/>
          <w:szCs w:val="24"/>
        </w:rPr>
        <w:t xml:space="preserve">(1), 39-44. </w:t>
      </w:r>
    </w:p>
    <w:p w14:paraId="5D1B6AA4"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from</w:t>
      </w:r>
      <w:hyperlink r:id="rId58">
        <w:r>
          <w:rPr>
            <w:rFonts w:ascii="Times New Roman" w:eastAsia="Times New Roman" w:hAnsi="Times New Roman" w:cs="Times New Roman"/>
            <w:sz w:val="24"/>
            <w:szCs w:val="24"/>
          </w:rPr>
          <w:t xml:space="preserve"> </w:t>
        </w:r>
      </w:hyperlink>
      <w:hyperlink r:id="rId59">
        <w:r>
          <w:rPr>
            <w:rFonts w:ascii="Times New Roman" w:eastAsia="Times New Roman" w:hAnsi="Times New Roman" w:cs="Times New Roman"/>
            <w:color w:val="1155CC"/>
            <w:sz w:val="24"/>
            <w:szCs w:val="24"/>
            <w:u w:val="single"/>
          </w:rPr>
          <w:t>https://www.researchgate.net/publication/344493880_An_investigation_into_the_Extent_of_use_of_Practical_Activities_in_Teaching_Chemistry_in_Nigerian_Schools</w:t>
        </w:r>
      </w:hyperlink>
    </w:p>
    <w:p w14:paraId="7FD6F316"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H., &amp; Bonito, J. (2023). Practical work in science education: A systematic literature </w:t>
      </w:r>
    </w:p>
    <w:p w14:paraId="74388734" w14:textId="77777777" w:rsidR="00D53F4D" w:rsidRDefault="009372A7">
      <w:pPr>
        <w:tabs>
          <w:tab w:val="left" w:pos="3466"/>
        </w:tabs>
        <w:spacing w:after="0" w:line="36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review. </w:t>
      </w:r>
      <w:r>
        <w:rPr>
          <w:rFonts w:ascii="Times New Roman" w:eastAsia="Times New Roman" w:hAnsi="Times New Roman" w:cs="Times New Roman"/>
          <w:i/>
          <w:sz w:val="24"/>
          <w:szCs w:val="24"/>
        </w:rPr>
        <w:t>Frontiers in Education, 8</w:t>
      </w:r>
      <w:r>
        <w:rPr>
          <w:rFonts w:ascii="Times New Roman" w:eastAsia="Times New Roman" w:hAnsi="Times New Roman" w:cs="Times New Roman"/>
          <w:sz w:val="24"/>
          <w:szCs w:val="24"/>
        </w:rPr>
        <w:t>, Article 1151641.</w:t>
      </w:r>
      <w:hyperlink r:id="rId60">
        <w:r>
          <w:rPr>
            <w:rFonts w:ascii="Times New Roman" w:eastAsia="Times New Roman" w:hAnsi="Times New Roman" w:cs="Times New Roman"/>
            <w:color w:val="1155CC"/>
            <w:sz w:val="24"/>
            <w:szCs w:val="24"/>
            <w:u w:val="single"/>
          </w:rPr>
          <w:t xml:space="preserve"> https://doi.org/10.3389/feduc.2023.1151641</w:t>
        </w:r>
      </w:hyperlink>
    </w:p>
    <w:p w14:paraId="37A7CB9B"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Patton, M. Q. (1999). Enhancing the quality and credibility of qualitative analysis.</w:t>
      </w:r>
    </w:p>
    <w:p w14:paraId="3B3ABA92" w14:textId="77777777" w:rsidR="00D53F4D" w:rsidRDefault="009372A7">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Health Services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 xml:space="preserve">(5 Pt 2), 1189-1208. </w:t>
      </w:r>
    </w:p>
    <w:p w14:paraId="571454E5" w14:textId="77777777" w:rsidR="00D53F4D" w:rsidRDefault="009372A7">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from</w:t>
      </w:r>
    </w:p>
    <w:p w14:paraId="4209B793" w14:textId="77777777" w:rsidR="00D53F4D" w:rsidRDefault="00CB2F37">
      <w:pPr>
        <w:tabs>
          <w:tab w:val="left" w:pos="3466"/>
        </w:tabs>
        <w:spacing w:after="0" w:line="360" w:lineRule="auto"/>
        <w:ind w:firstLine="720"/>
        <w:rPr>
          <w:rFonts w:ascii="Times New Roman" w:eastAsia="Times New Roman" w:hAnsi="Times New Roman" w:cs="Times New Roman"/>
          <w:sz w:val="24"/>
          <w:szCs w:val="24"/>
        </w:rPr>
      </w:pPr>
      <w:hyperlink r:id="rId61">
        <w:r w:rsidR="009372A7">
          <w:rPr>
            <w:rFonts w:ascii="Times New Roman" w:eastAsia="Times New Roman" w:hAnsi="Times New Roman" w:cs="Times New Roman"/>
            <w:color w:val="1155CC"/>
            <w:sz w:val="24"/>
            <w:szCs w:val="24"/>
            <w:u w:val="single"/>
          </w:rPr>
          <w:t>https://pubmed.ncbi.nlm.nih.gov/10591279/</w:t>
        </w:r>
      </w:hyperlink>
    </w:p>
    <w:p w14:paraId="09D448D7" w14:textId="77777777" w:rsidR="00D53F4D" w:rsidRDefault="009372A7">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Petticrew, M., &amp; Roberts, H. (2006). </w:t>
      </w:r>
      <w:r>
        <w:rPr>
          <w:rFonts w:ascii="Times New Roman" w:eastAsia="Times New Roman" w:hAnsi="Times New Roman" w:cs="Times New Roman"/>
          <w:i/>
          <w:sz w:val="24"/>
          <w:szCs w:val="24"/>
        </w:rPr>
        <w:t>Systematic reviews in the social sciences: A practical</w:t>
      </w:r>
    </w:p>
    <w:p w14:paraId="2FFB09B1"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guide.</w:t>
      </w:r>
      <w:r>
        <w:rPr>
          <w:rFonts w:ascii="Times New Roman" w:eastAsia="Times New Roman" w:hAnsi="Times New Roman" w:cs="Times New Roman"/>
          <w:sz w:val="24"/>
          <w:szCs w:val="24"/>
        </w:rPr>
        <w:t xml:space="preserve"> Blackwell Publishing. </w:t>
      </w:r>
    </w:p>
    <w:p w14:paraId="4CAF9DDF"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62">
        <w:r w:rsidR="009372A7">
          <w:rPr>
            <w:rFonts w:ascii="Times New Roman" w:eastAsia="Times New Roman" w:hAnsi="Times New Roman" w:cs="Times New Roman"/>
            <w:color w:val="1155CC"/>
            <w:sz w:val="24"/>
            <w:szCs w:val="24"/>
            <w:u w:val="single"/>
          </w:rPr>
          <w:t>https://doi.org/10.1002/9780470754887</w:t>
        </w:r>
      </w:hyperlink>
    </w:p>
    <w:p w14:paraId="0848544C"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Pontigon</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Talanquer</w:t>
      </w:r>
      <w:proofErr w:type="spellEnd"/>
      <w:r>
        <w:rPr>
          <w:rFonts w:ascii="Times New Roman" w:eastAsia="Times New Roman" w:hAnsi="Times New Roman" w:cs="Times New Roman"/>
          <w:sz w:val="24"/>
          <w:szCs w:val="24"/>
        </w:rPr>
        <w:t>, V. (2025). Examining student engagement in the organic</w:t>
      </w:r>
    </w:p>
    <w:p w14:paraId="59D6AABE"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chemistry laboratory. </w:t>
      </w:r>
      <w:r>
        <w:rPr>
          <w:rFonts w:ascii="Times New Roman" w:eastAsia="Times New Roman" w:hAnsi="Times New Roman" w:cs="Times New Roman"/>
          <w:i/>
          <w:sz w:val="24"/>
          <w:szCs w:val="24"/>
        </w:rPr>
        <w:t>Chemistry Education Research and Practice</w:t>
      </w:r>
      <w:r>
        <w:rPr>
          <w:rFonts w:ascii="Times New Roman" w:eastAsia="Times New Roman" w:hAnsi="Times New Roman" w:cs="Times New Roman"/>
          <w:sz w:val="24"/>
          <w:szCs w:val="24"/>
        </w:rPr>
        <w:t>. Advance online publication.</w:t>
      </w:r>
    </w:p>
    <w:p w14:paraId="1B6131A3"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63">
        <w:r w:rsidR="009372A7">
          <w:rPr>
            <w:rFonts w:ascii="Times New Roman" w:eastAsia="Times New Roman" w:hAnsi="Times New Roman" w:cs="Times New Roman"/>
            <w:color w:val="1155CC"/>
            <w:sz w:val="24"/>
            <w:szCs w:val="24"/>
            <w:u w:val="single"/>
          </w:rPr>
          <w:t>https://doi.org/10.1039/D5RP00063G</w:t>
        </w:r>
      </w:hyperlink>
    </w:p>
    <w:p w14:paraId="7ABA024B"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Priya, A. (2020). Case study methodology of qualitative research: Key attributes and</w:t>
      </w:r>
    </w:p>
    <w:p w14:paraId="4CF6ED68" w14:textId="77777777" w:rsidR="00D53F4D" w:rsidRDefault="009372A7">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navigating the conundrums in its application. </w:t>
      </w:r>
      <w:r>
        <w:rPr>
          <w:rFonts w:ascii="Times New Roman" w:eastAsia="Times New Roman" w:hAnsi="Times New Roman" w:cs="Times New Roman"/>
          <w:i/>
          <w:sz w:val="24"/>
          <w:szCs w:val="24"/>
        </w:rPr>
        <w:t>Sociological Bulletin, 70</w:t>
      </w:r>
      <w:r>
        <w:rPr>
          <w:rFonts w:ascii="Times New Roman" w:eastAsia="Times New Roman" w:hAnsi="Times New Roman" w:cs="Times New Roman"/>
          <w:sz w:val="24"/>
          <w:szCs w:val="24"/>
        </w:rPr>
        <w:t>(1), 94-110.</w:t>
      </w:r>
    </w:p>
    <w:p w14:paraId="37FE99DB" w14:textId="77777777" w:rsidR="00D53F4D" w:rsidRDefault="00CB2F37">
      <w:pPr>
        <w:tabs>
          <w:tab w:val="left" w:pos="3466"/>
        </w:tabs>
        <w:spacing w:after="0" w:line="360" w:lineRule="auto"/>
        <w:ind w:firstLine="720"/>
        <w:rPr>
          <w:rFonts w:ascii="Times New Roman" w:eastAsia="Times New Roman" w:hAnsi="Times New Roman" w:cs="Times New Roman"/>
          <w:sz w:val="24"/>
          <w:szCs w:val="24"/>
        </w:rPr>
      </w:pPr>
      <w:hyperlink r:id="rId64">
        <w:r w:rsidR="009372A7">
          <w:rPr>
            <w:rFonts w:ascii="Times New Roman" w:eastAsia="Times New Roman" w:hAnsi="Times New Roman" w:cs="Times New Roman"/>
            <w:color w:val="1155CC"/>
            <w:sz w:val="24"/>
            <w:szCs w:val="24"/>
            <w:u w:val="single"/>
          </w:rPr>
          <w:t>https://doi.org/10.1177/0038022920970318</w:t>
        </w:r>
      </w:hyperlink>
    </w:p>
    <w:p w14:paraId="3D612FB0"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Ramnarain, U. (2014). Teachers’ perceptions of inquiry-based learning in urban,</w:t>
      </w:r>
    </w:p>
    <w:p w14:paraId="546F5791" w14:textId="77777777" w:rsidR="00D53F4D" w:rsidRDefault="009372A7" w:rsidP="0051266F">
      <w:pPr>
        <w:tabs>
          <w:tab w:val="left" w:pos="3466"/>
        </w:tabs>
        <w:spacing w:after="0" w:line="360" w:lineRule="auto"/>
        <w:ind w:left="720"/>
      </w:pPr>
      <w:r>
        <w:rPr>
          <w:rFonts w:ascii="Times New Roman" w:eastAsia="Times New Roman" w:hAnsi="Times New Roman" w:cs="Times New Roman"/>
          <w:sz w:val="24"/>
          <w:szCs w:val="24"/>
        </w:rPr>
        <w:t xml:space="preserve">suburban, township and rural high schools: The context-specificity of science curriculum implementation in South Africa. </w:t>
      </w:r>
      <w:r>
        <w:rPr>
          <w:rFonts w:ascii="Times New Roman" w:eastAsia="Times New Roman" w:hAnsi="Times New Roman" w:cs="Times New Roman"/>
          <w:i/>
          <w:sz w:val="24"/>
          <w:szCs w:val="24"/>
        </w:rPr>
        <w:t>Teaching and teacher education, 38</w:t>
      </w:r>
      <w:r>
        <w:rPr>
          <w:rFonts w:ascii="Times New Roman" w:eastAsia="Times New Roman" w:hAnsi="Times New Roman" w:cs="Times New Roman"/>
          <w:sz w:val="24"/>
          <w:szCs w:val="24"/>
        </w:rPr>
        <w:t>(1), 65-75.</w:t>
      </w:r>
      <w:hyperlink r:id="rId65">
        <w:r>
          <w:rPr>
            <w:rFonts w:ascii="Times New Roman" w:eastAsia="Times New Roman" w:hAnsi="Times New Roman" w:cs="Times New Roman"/>
            <w:color w:val="156082"/>
            <w:sz w:val="24"/>
            <w:szCs w:val="24"/>
            <w:u w:val="single"/>
          </w:rPr>
          <w:t xml:space="preserve"> </w:t>
        </w:r>
      </w:hyperlink>
    </w:p>
    <w:p w14:paraId="4E7F2D57" w14:textId="77777777" w:rsidR="00D53F4D" w:rsidRDefault="00CB2F37" w:rsidP="0051266F">
      <w:pPr>
        <w:tabs>
          <w:tab w:val="left" w:pos="3466"/>
        </w:tabs>
        <w:spacing w:after="0" w:line="360" w:lineRule="auto"/>
        <w:ind w:left="720"/>
        <w:rPr>
          <w:rFonts w:ascii="Times New Roman" w:eastAsia="Times New Roman" w:hAnsi="Times New Roman" w:cs="Times New Roman"/>
          <w:sz w:val="24"/>
          <w:szCs w:val="24"/>
        </w:rPr>
      </w:pPr>
      <w:hyperlink r:id="rId66">
        <w:r w:rsidR="009372A7">
          <w:rPr>
            <w:rFonts w:ascii="Times New Roman" w:eastAsia="Times New Roman" w:hAnsi="Times New Roman" w:cs="Times New Roman"/>
            <w:color w:val="1155CC"/>
            <w:sz w:val="24"/>
            <w:szCs w:val="24"/>
            <w:u w:val="single"/>
          </w:rPr>
          <w:t>http://dx.doi.org/10.1016/j.tate.2013.11.003</w:t>
        </w:r>
      </w:hyperlink>
    </w:p>
    <w:p w14:paraId="7FFB505F" w14:textId="77777777" w:rsidR="00D53F4D" w:rsidRDefault="009372A7" w:rsidP="0051266F">
      <w:pPr>
        <w:tabs>
          <w:tab w:val="left" w:pos="3466"/>
        </w:tabs>
        <w:spacing w:after="0"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Ruparanganda</w:t>
      </w:r>
      <w:proofErr w:type="spellEnd"/>
      <w:r>
        <w:rPr>
          <w:rFonts w:ascii="Times New Roman" w:eastAsia="Times New Roman" w:hAnsi="Times New Roman" w:cs="Times New Roman"/>
          <w:sz w:val="24"/>
          <w:szCs w:val="24"/>
          <w:highlight w:val="white"/>
        </w:rPr>
        <w:t>, F. (2019). Challenges faced by Biology Secondary teachers when using</w:t>
      </w:r>
    </w:p>
    <w:p w14:paraId="674750AF" w14:textId="77777777" w:rsidR="00D53F4D" w:rsidRDefault="009372A7">
      <w:pPr>
        <w:tabs>
          <w:tab w:val="left" w:pos="3466"/>
        </w:tabs>
        <w:spacing w:after="0" w:line="36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instructional methods that promote Science Technology, Engineering and Mathematics (STEM) Education in Zimbabwe. </w:t>
      </w:r>
      <w:proofErr w:type="spellStart"/>
      <w:r>
        <w:rPr>
          <w:rFonts w:ascii="Times New Roman" w:eastAsia="Times New Roman" w:hAnsi="Times New Roman" w:cs="Times New Roman"/>
          <w:i/>
          <w:sz w:val="24"/>
          <w:szCs w:val="24"/>
          <w:highlight w:val="white"/>
        </w:rPr>
        <w:t>Texila</w:t>
      </w:r>
      <w:proofErr w:type="spellEnd"/>
      <w:r>
        <w:rPr>
          <w:rFonts w:ascii="Times New Roman" w:eastAsia="Times New Roman" w:hAnsi="Times New Roman" w:cs="Times New Roman"/>
          <w:i/>
          <w:sz w:val="24"/>
          <w:szCs w:val="24"/>
          <w:highlight w:val="white"/>
        </w:rPr>
        <w:t xml:space="preserve"> International Journal of Academic Research, 6</w:t>
      </w:r>
      <w:r>
        <w:rPr>
          <w:rFonts w:ascii="Times New Roman" w:eastAsia="Times New Roman" w:hAnsi="Times New Roman" w:cs="Times New Roman"/>
          <w:sz w:val="24"/>
          <w:szCs w:val="24"/>
          <w:highlight w:val="white"/>
        </w:rPr>
        <w:t>(2), 106-11.</w:t>
      </w:r>
    </w:p>
    <w:p w14:paraId="35EF334D" w14:textId="77777777" w:rsidR="00D53F4D" w:rsidRDefault="00CB2F37">
      <w:pPr>
        <w:tabs>
          <w:tab w:val="left" w:pos="3466"/>
        </w:tabs>
        <w:spacing w:after="0" w:line="360" w:lineRule="auto"/>
        <w:ind w:left="720"/>
        <w:jc w:val="both"/>
        <w:rPr>
          <w:rFonts w:ascii="Times New Roman" w:eastAsia="Times New Roman" w:hAnsi="Times New Roman" w:cs="Times New Roman"/>
          <w:color w:val="156082"/>
          <w:sz w:val="24"/>
          <w:szCs w:val="24"/>
          <w:u w:val="single"/>
        </w:rPr>
      </w:pPr>
      <w:hyperlink r:id="rId67">
        <w:r w:rsidR="009372A7">
          <w:rPr>
            <w:rFonts w:ascii="Times New Roman" w:eastAsia="Times New Roman" w:hAnsi="Times New Roman" w:cs="Times New Roman"/>
            <w:color w:val="156082"/>
            <w:sz w:val="24"/>
            <w:szCs w:val="24"/>
            <w:u w:val="single"/>
          </w:rPr>
          <w:t>https://doi.org/10.21522/TIJAR.2014.06.02.Art011</w:t>
        </w:r>
      </w:hyperlink>
    </w:p>
    <w:p w14:paraId="348FCFC3" w14:textId="77777777" w:rsidR="00D53F4D" w:rsidRDefault="009372A7" w:rsidP="0051266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Schwichow, M., Croker, S., Zimmerman, C., Höffler, T., &amp; </w:t>
      </w:r>
      <w:proofErr w:type="spellStart"/>
      <w:r>
        <w:rPr>
          <w:rFonts w:ascii="Times New Roman" w:eastAsia="Times New Roman" w:hAnsi="Times New Roman" w:cs="Times New Roman"/>
          <w:sz w:val="24"/>
          <w:szCs w:val="24"/>
        </w:rPr>
        <w:t>Härtig</w:t>
      </w:r>
      <w:proofErr w:type="spellEnd"/>
      <w:r>
        <w:rPr>
          <w:rFonts w:ascii="Times New Roman" w:eastAsia="Times New Roman" w:hAnsi="Times New Roman" w:cs="Times New Roman"/>
          <w:sz w:val="24"/>
          <w:szCs w:val="24"/>
        </w:rPr>
        <w:t>, H. (2016). Teaching the</w:t>
      </w:r>
    </w:p>
    <w:p w14:paraId="0C224DED" w14:textId="77777777" w:rsidR="00D53F4D" w:rsidRDefault="009372A7">
      <w:pPr>
        <w:tabs>
          <w:tab w:val="left" w:pos="3466"/>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Control-of-Variables Strategy: </w:t>
      </w:r>
      <w:r>
        <w:rPr>
          <w:rFonts w:ascii="Times New Roman" w:eastAsia="Times New Roman" w:hAnsi="Times New Roman" w:cs="Times New Roman"/>
          <w:i/>
          <w:sz w:val="24"/>
          <w:szCs w:val="24"/>
        </w:rPr>
        <w:t>A Meta-Analysis. Developmental Review, 39</w:t>
      </w:r>
      <w:r>
        <w:rPr>
          <w:rFonts w:ascii="Times New Roman" w:eastAsia="Times New Roman" w:hAnsi="Times New Roman" w:cs="Times New Roman"/>
          <w:sz w:val="24"/>
          <w:szCs w:val="24"/>
        </w:rPr>
        <w:t>, 37-63.</w:t>
      </w:r>
    </w:p>
    <w:p w14:paraId="1B1427A9" w14:textId="77777777" w:rsidR="00D53F4D" w:rsidRDefault="00CB2F37">
      <w:pPr>
        <w:tabs>
          <w:tab w:val="left" w:pos="3466"/>
        </w:tabs>
        <w:spacing w:after="0" w:line="360" w:lineRule="auto"/>
        <w:ind w:left="720"/>
        <w:jc w:val="both"/>
        <w:rPr>
          <w:rFonts w:ascii="Times New Roman" w:eastAsia="Times New Roman" w:hAnsi="Times New Roman" w:cs="Times New Roman"/>
          <w:sz w:val="24"/>
          <w:szCs w:val="24"/>
        </w:rPr>
      </w:pPr>
      <w:hyperlink r:id="rId68">
        <w:r w:rsidR="009372A7">
          <w:rPr>
            <w:rFonts w:ascii="Times New Roman" w:eastAsia="Times New Roman" w:hAnsi="Times New Roman" w:cs="Times New Roman"/>
            <w:color w:val="156082"/>
            <w:sz w:val="24"/>
            <w:szCs w:val="24"/>
            <w:u w:val="single"/>
          </w:rPr>
          <w:t>https://doi.org/10.1016/j.dr.2015.12.001</w:t>
        </w:r>
      </w:hyperlink>
    </w:p>
    <w:p w14:paraId="6F423876" w14:textId="77777777" w:rsidR="00D53F4D" w:rsidRDefault="009372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Shana, Z., &amp; Abulibdeh, E.S. (2020).  Science practical work and its impact on students’ </w:t>
      </w:r>
    </w:p>
    <w:p w14:paraId="5A7CFE4D" w14:textId="77777777" w:rsidR="00D53F4D" w:rsidRDefault="009372A7">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achievement. </w:t>
      </w:r>
      <w:r>
        <w:rPr>
          <w:rFonts w:ascii="Times New Roman" w:eastAsia="Times New Roman" w:hAnsi="Times New Roman" w:cs="Times New Roman"/>
          <w:i/>
          <w:sz w:val="24"/>
          <w:szCs w:val="24"/>
        </w:rPr>
        <w:t>Journal of Technology and Science Education JOTSE, 10</w:t>
      </w:r>
      <w:r>
        <w:rPr>
          <w:rFonts w:ascii="Times New Roman" w:eastAsia="Times New Roman" w:hAnsi="Times New Roman" w:cs="Times New Roman"/>
          <w:sz w:val="24"/>
          <w:szCs w:val="24"/>
        </w:rPr>
        <w:t>(2), 199-215.</w:t>
      </w:r>
    </w:p>
    <w:p w14:paraId="0834BE7F" w14:textId="77777777" w:rsidR="00D53F4D" w:rsidRDefault="00CB2F37">
      <w:pPr>
        <w:spacing w:after="0" w:line="360" w:lineRule="auto"/>
        <w:ind w:left="720"/>
        <w:rPr>
          <w:rFonts w:ascii="Times New Roman" w:eastAsia="Times New Roman" w:hAnsi="Times New Roman" w:cs="Times New Roman"/>
          <w:sz w:val="24"/>
          <w:szCs w:val="24"/>
        </w:rPr>
      </w:pPr>
      <w:hyperlink r:id="rId69">
        <w:r w:rsidR="009372A7">
          <w:rPr>
            <w:rFonts w:ascii="Times New Roman" w:eastAsia="Times New Roman" w:hAnsi="Times New Roman" w:cs="Times New Roman"/>
            <w:color w:val="467886"/>
            <w:sz w:val="24"/>
            <w:szCs w:val="24"/>
            <w:u w:val="single"/>
          </w:rPr>
          <w:t>https://doi.org/10.3926/jotse.888</w:t>
        </w:r>
      </w:hyperlink>
    </w:p>
    <w:p w14:paraId="6A7CBE8A" w14:textId="77777777" w:rsidR="00D53F4D" w:rsidRDefault="009372A7" w:rsidP="0051266F">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Sharpe, R., &amp; Abrahams, I. (2019). Secondary school students’ attitudes to practical work in</w:t>
      </w:r>
    </w:p>
    <w:p w14:paraId="4EA69B02" w14:textId="77777777" w:rsidR="00D53F4D" w:rsidRDefault="009372A7">
      <w:pPr>
        <w:spacing w:after="0"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biology, chemistry and physics in England. </w:t>
      </w:r>
      <w:r>
        <w:rPr>
          <w:rFonts w:ascii="Times New Roman" w:eastAsia="Times New Roman" w:hAnsi="Times New Roman" w:cs="Times New Roman"/>
          <w:i/>
          <w:sz w:val="24"/>
          <w:szCs w:val="24"/>
          <w:highlight w:val="white"/>
        </w:rPr>
        <w:t>Research in Science &amp; Technological Education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38</w:t>
      </w:r>
      <w:r>
        <w:rPr>
          <w:rFonts w:ascii="Times New Roman" w:eastAsia="Times New Roman" w:hAnsi="Times New Roman" w:cs="Times New Roman"/>
          <w:sz w:val="24"/>
          <w:szCs w:val="24"/>
          <w:highlight w:val="white"/>
        </w:rPr>
        <w:t>(1), 84-104.</w:t>
      </w:r>
    </w:p>
    <w:p w14:paraId="689584A0" w14:textId="77777777" w:rsidR="00D53F4D" w:rsidRDefault="00CB2F37" w:rsidP="0051266F">
      <w:pPr>
        <w:spacing w:after="0" w:line="276" w:lineRule="auto"/>
        <w:ind w:left="720"/>
        <w:rPr>
          <w:rFonts w:ascii="Times New Roman" w:eastAsia="Times New Roman" w:hAnsi="Times New Roman" w:cs="Times New Roman"/>
          <w:sz w:val="24"/>
          <w:szCs w:val="24"/>
        </w:rPr>
      </w:pPr>
      <w:hyperlink r:id="rId70">
        <w:r w:rsidR="009372A7">
          <w:rPr>
            <w:rFonts w:ascii="Times New Roman" w:eastAsia="Times New Roman" w:hAnsi="Times New Roman" w:cs="Times New Roman"/>
            <w:color w:val="1155CC"/>
            <w:sz w:val="24"/>
            <w:szCs w:val="24"/>
            <w:highlight w:val="white"/>
            <w:u w:val="single"/>
          </w:rPr>
          <w:t>https://doi.org/10.1080/02635143.2019.1597696</w:t>
        </w:r>
      </w:hyperlink>
    </w:p>
    <w:p w14:paraId="4B0DD35A" w14:textId="77777777" w:rsidR="00D53F4D" w:rsidRDefault="009372A7" w:rsidP="0051266F">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Shulman, L. S. (1986). Those who understand: Knowledge growth in teaching. </w:t>
      </w:r>
      <w:r>
        <w:rPr>
          <w:rFonts w:ascii="Times New Roman" w:eastAsia="Times New Roman" w:hAnsi="Times New Roman" w:cs="Times New Roman"/>
          <w:i/>
          <w:sz w:val="24"/>
          <w:szCs w:val="24"/>
        </w:rPr>
        <w:t xml:space="preserve">Educational      </w:t>
      </w:r>
    </w:p>
    <w:p w14:paraId="6C720CBE"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(2), 4-14. </w:t>
      </w:r>
    </w:p>
    <w:p w14:paraId="6E5FC830"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467886"/>
          <w:sz w:val="24"/>
          <w:szCs w:val="24"/>
        </w:rPr>
        <w:t xml:space="preserve"> </w:t>
      </w:r>
      <w:hyperlink r:id="rId71">
        <w:r>
          <w:rPr>
            <w:rFonts w:ascii="Times New Roman" w:eastAsia="Times New Roman" w:hAnsi="Times New Roman" w:cs="Times New Roman"/>
            <w:color w:val="467886"/>
            <w:sz w:val="24"/>
            <w:szCs w:val="24"/>
            <w:u w:val="single"/>
          </w:rPr>
          <w:t>https://doi.org/10.3102/0013189X015002004</w:t>
        </w:r>
      </w:hyperlink>
    </w:p>
    <w:p w14:paraId="6B8FBA51" w14:textId="77777777" w:rsidR="00D53F4D" w:rsidRDefault="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Sulhan</w:t>
      </w:r>
      <w:proofErr w:type="spellEnd"/>
      <w:r>
        <w:rPr>
          <w:rFonts w:ascii="Times New Roman" w:eastAsia="Times New Roman" w:hAnsi="Times New Roman" w:cs="Times New Roman"/>
          <w:sz w:val="24"/>
          <w:szCs w:val="24"/>
        </w:rPr>
        <w:t xml:space="preserve">, A. S., </w:t>
      </w:r>
      <w:proofErr w:type="spellStart"/>
      <w:r>
        <w:rPr>
          <w:rFonts w:ascii="Times New Roman" w:eastAsia="Times New Roman" w:hAnsi="Times New Roman" w:cs="Times New Roman"/>
          <w:sz w:val="24"/>
          <w:szCs w:val="24"/>
        </w:rPr>
        <w:t>Wilujeng</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Prasetyo</w:t>
      </w:r>
      <w:proofErr w:type="spellEnd"/>
      <w:r>
        <w:rPr>
          <w:rFonts w:ascii="Times New Roman" w:eastAsia="Times New Roman" w:hAnsi="Times New Roman" w:cs="Times New Roman"/>
          <w:sz w:val="24"/>
          <w:szCs w:val="24"/>
        </w:rPr>
        <w:t>, Z. (2023). Improving critical thinking skills students</w:t>
      </w:r>
    </w:p>
    <w:p w14:paraId="03EBB063"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problem-based learning e-module.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Pendidikan IPA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(11), 9481-9486.</w:t>
      </w:r>
    </w:p>
    <w:p w14:paraId="03DA7C4B" w14:textId="77777777" w:rsidR="00D53F4D" w:rsidRDefault="00CB2F37">
      <w:pPr>
        <w:tabs>
          <w:tab w:val="left" w:pos="3466"/>
        </w:tabs>
        <w:spacing w:after="0" w:line="360" w:lineRule="auto"/>
        <w:ind w:left="720"/>
        <w:rPr>
          <w:rFonts w:ascii="Times New Roman" w:eastAsia="Times New Roman" w:hAnsi="Times New Roman" w:cs="Times New Roman"/>
          <w:color w:val="1155CC"/>
          <w:sz w:val="24"/>
          <w:szCs w:val="24"/>
          <w:u w:val="single"/>
        </w:rPr>
      </w:pPr>
      <w:hyperlink r:id="rId72">
        <w:r w:rsidR="009372A7">
          <w:rPr>
            <w:rFonts w:ascii="Times New Roman" w:eastAsia="Times New Roman" w:hAnsi="Times New Roman" w:cs="Times New Roman"/>
            <w:color w:val="1155CC"/>
            <w:sz w:val="24"/>
            <w:szCs w:val="24"/>
            <w:u w:val="single"/>
          </w:rPr>
          <w:t>https://doi.org/10.29303/jppipa.v9i11.5231</w:t>
        </w:r>
      </w:hyperlink>
    </w:p>
    <w:p w14:paraId="6FDEF0CE" w14:textId="77777777" w:rsidR="00D53F4D" w:rsidRDefault="009372A7">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Tan, S. C., &amp; Chen, S.-H. A. (Eds.). (2020). </w:t>
      </w:r>
      <w:r>
        <w:rPr>
          <w:rFonts w:ascii="Times New Roman" w:eastAsia="Times New Roman" w:hAnsi="Times New Roman" w:cs="Times New Roman"/>
          <w:i/>
          <w:sz w:val="24"/>
          <w:szCs w:val="24"/>
        </w:rPr>
        <w:t>Transforming teaching and learning in higher</w:t>
      </w:r>
    </w:p>
    <w:p w14:paraId="56C90B71"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 A chronicle of research and development in a Singaporean context</w:t>
      </w:r>
      <w:r>
        <w:rPr>
          <w:rFonts w:ascii="Times New Roman" w:eastAsia="Times New Roman" w:hAnsi="Times New Roman" w:cs="Times New Roman"/>
          <w:sz w:val="24"/>
          <w:szCs w:val="24"/>
        </w:rPr>
        <w:t>. Springer.</w:t>
      </w:r>
    </w:p>
    <w:p w14:paraId="79C8CA96" w14:textId="77777777" w:rsidR="00D53F4D" w:rsidRDefault="00CB2F37">
      <w:pPr>
        <w:tabs>
          <w:tab w:val="left" w:pos="3466"/>
        </w:tabs>
        <w:spacing w:after="0" w:line="360" w:lineRule="auto"/>
        <w:ind w:left="720"/>
        <w:rPr>
          <w:rFonts w:ascii="Times New Roman" w:eastAsia="Times New Roman" w:hAnsi="Times New Roman" w:cs="Times New Roman"/>
          <w:color w:val="1155CC"/>
          <w:sz w:val="24"/>
          <w:szCs w:val="24"/>
          <w:u w:val="single"/>
        </w:rPr>
      </w:pPr>
      <w:hyperlink r:id="rId73">
        <w:r w:rsidR="009372A7">
          <w:rPr>
            <w:rFonts w:ascii="Times New Roman" w:eastAsia="Times New Roman" w:hAnsi="Times New Roman" w:cs="Times New Roman"/>
            <w:color w:val="1155CC"/>
            <w:sz w:val="24"/>
            <w:szCs w:val="24"/>
            <w:u w:val="single"/>
          </w:rPr>
          <w:t>https://doi.org/10.1007/978-981-15-4980-9</w:t>
        </w:r>
      </w:hyperlink>
    </w:p>
    <w:p w14:paraId="2710C2D9" w14:textId="6D130360" w:rsidR="00D53F4D" w:rsidRDefault="009372A7" w:rsidP="009372A7">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Totoba</w:t>
      </w:r>
      <w:proofErr w:type="spellEnd"/>
      <w:r>
        <w:rPr>
          <w:rFonts w:ascii="Times New Roman" w:eastAsia="Times New Roman" w:hAnsi="Times New Roman" w:cs="Times New Roman"/>
          <w:sz w:val="24"/>
          <w:szCs w:val="24"/>
        </w:rPr>
        <w:t xml:space="preserve">, B. A. (2021). Factors affecting the implementation of active learning methods in </w:t>
      </w:r>
    </w:p>
    <w:p w14:paraId="490FB71A" w14:textId="7E85C63D"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Bale Zone secondary schools: Exploring perceptions, knowledge and experiences of students, teachers and school leadership. </w:t>
      </w:r>
      <w:r>
        <w:rPr>
          <w:rFonts w:ascii="Times New Roman" w:eastAsia="Times New Roman" w:hAnsi="Times New Roman" w:cs="Times New Roman"/>
          <w:i/>
          <w:sz w:val="24"/>
          <w:szCs w:val="24"/>
        </w:rPr>
        <w:t>Research on Humanities and Social Sciences, 11</w:t>
      </w:r>
      <w:r>
        <w:rPr>
          <w:rFonts w:ascii="Times New Roman" w:eastAsia="Times New Roman" w:hAnsi="Times New Roman" w:cs="Times New Roman"/>
          <w:sz w:val="24"/>
          <w:szCs w:val="24"/>
        </w:rPr>
        <w:t>(1), 38-46.</w:t>
      </w:r>
    </w:p>
    <w:p w14:paraId="7AF04A17" w14:textId="77777777" w:rsidR="00D53F4D" w:rsidRDefault="00CB2F37">
      <w:pPr>
        <w:tabs>
          <w:tab w:val="left" w:pos="3466"/>
        </w:tabs>
        <w:spacing w:after="0" w:line="360" w:lineRule="auto"/>
        <w:ind w:left="720"/>
        <w:rPr>
          <w:rFonts w:ascii="Times New Roman" w:eastAsia="Times New Roman" w:hAnsi="Times New Roman" w:cs="Times New Roman"/>
          <w:color w:val="1155CC"/>
          <w:sz w:val="24"/>
          <w:szCs w:val="24"/>
          <w:u w:val="single"/>
        </w:rPr>
      </w:pPr>
      <w:hyperlink r:id="rId74">
        <w:r w:rsidR="009372A7">
          <w:rPr>
            <w:rFonts w:ascii="Times New Roman" w:eastAsia="Times New Roman" w:hAnsi="Times New Roman" w:cs="Times New Roman"/>
            <w:color w:val="1155CC"/>
            <w:sz w:val="24"/>
            <w:szCs w:val="24"/>
            <w:u w:val="single"/>
          </w:rPr>
          <w:t>https://doi.org/10.7176/RHSS/11-1-05</w:t>
        </w:r>
      </w:hyperlink>
    </w:p>
    <w:p w14:paraId="04FA7C33" w14:textId="77777777" w:rsidR="00D53F4D" w:rsidRDefault="009372A7" w:rsidP="009372A7">
      <w:pPr>
        <w:tabs>
          <w:tab w:val="left" w:pos="3466"/>
        </w:tabs>
        <w:spacing w:after="0" w:line="276"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Uwizeyimana</w:t>
      </w:r>
      <w:proofErr w:type="spellEnd"/>
      <w:r>
        <w:rPr>
          <w:rFonts w:ascii="Times New Roman" w:eastAsia="Times New Roman" w:hAnsi="Times New Roman" w:cs="Times New Roman"/>
          <w:sz w:val="24"/>
          <w:szCs w:val="24"/>
          <w:highlight w:val="white"/>
        </w:rPr>
        <w:t xml:space="preserve">, D., Yadav, L., </w:t>
      </w:r>
      <w:proofErr w:type="spellStart"/>
      <w:r>
        <w:rPr>
          <w:rFonts w:ascii="Times New Roman" w:eastAsia="Times New Roman" w:hAnsi="Times New Roman" w:cs="Times New Roman"/>
          <w:sz w:val="24"/>
          <w:szCs w:val="24"/>
          <w:highlight w:val="white"/>
        </w:rPr>
        <w:t>Musengimana</w:t>
      </w:r>
      <w:proofErr w:type="spellEnd"/>
      <w:r>
        <w:rPr>
          <w:rFonts w:ascii="Times New Roman" w:eastAsia="Times New Roman" w:hAnsi="Times New Roman" w:cs="Times New Roman"/>
          <w:sz w:val="24"/>
          <w:szCs w:val="24"/>
          <w:highlight w:val="white"/>
        </w:rPr>
        <w:t xml:space="preserve">, T., &amp; </w:t>
      </w:r>
      <w:proofErr w:type="spellStart"/>
      <w:r>
        <w:rPr>
          <w:rFonts w:ascii="Times New Roman" w:eastAsia="Times New Roman" w:hAnsi="Times New Roman" w:cs="Times New Roman"/>
          <w:sz w:val="24"/>
          <w:szCs w:val="24"/>
          <w:highlight w:val="white"/>
        </w:rPr>
        <w:t>Uwamahoro</w:t>
      </w:r>
      <w:proofErr w:type="spellEnd"/>
      <w:r>
        <w:rPr>
          <w:rFonts w:ascii="Times New Roman" w:eastAsia="Times New Roman" w:hAnsi="Times New Roman" w:cs="Times New Roman"/>
          <w:sz w:val="24"/>
          <w:szCs w:val="24"/>
          <w:highlight w:val="white"/>
        </w:rPr>
        <w:t>, J. (2018). The impact of</w:t>
      </w:r>
    </w:p>
    <w:p w14:paraId="187B61C2" w14:textId="77777777" w:rsidR="00D53F4D" w:rsidRDefault="009372A7">
      <w:pPr>
        <w:tabs>
          <w:tab w:val="left" w:pos="3466"/>
        </w:tabs>
        <w:spacing w:after="0" w:line="276" w:lineRule="auto"/>
        <w:ind w:left="720"/>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lastRenderedPageBreak/>
        <w:t xml:space="preserve">teaching approaches on effective physics learning: An investigation conducted in five secondary schools in </w:t>
      </w:r>
      <w:proofErr w:type="spellStart"/>
      <w:r>
        <w:rPr>
          <w:rFonts w:ascii="Times New Roman" w:eastAsia="Times New Roman" w:hAnsi="Times New Roman" w:cs="Times New Roman"/>
          <w:sz w:val="24"/>
          <w:szCs w:val="24"/>
          <w:highlight w:val="white"/>
        </w:rPr>
        <w:t>Rusizi</w:t>
      </w:r>
      <w:proofErr w:type="spellEnd"/>
      <w:r>
        <w:rPr>
          <w:rFonts w:ascii="Times New Roman" w:eastAsia="Times New Roman" w:hAnsi="Times New Roman" w:cs="Times New Roman"/>
          <w:sz w:val="24"/>
          <w:szCs w:val="24"/>
          <w:highlight w:val="white"/>
        </w:rPr>
        <w:t xml:space="preserve"> District, Rwanda. </w:t>
      </w:r>
      <w:r>
        <w:rPr>
          <w:rFonts w:ascii="Times New Roman" w:eastAsia="Times New Roman" w:hAnsi="Times New Roman" w:cs="Times New Roman"/>
          <w:i/>
          <w:sz w:val="24"/>
          <w:szCs w:val="24"/>
          <w:highlight w:val="white"/>
        </w:rPr>
        <w:t>Rwandan Journal of Education, 4</w:t>
      </w:r>
      <w:r>
        <w:rPr>
          <w:rFonts w:ascii="Times New Roman" w:eastAsia="Times New Roman" w:hAnsi="Times New Roman" w:cs="Times New Roman"/>
          <w:sz w:val="24"/>
          <w:szCs w:val="24"/>
          <w:highlight w:val="white"/>
        </w:rPr>
        <w:t>, 4-14. Retrieved from</w:t>
      </w:r>
      <w:hyperlink r:id="rId75">
        <w:r>
          <w:rPr>
            <w:rFonts w:ascii="Times New Roman" w:eastAsia="Times New Roman" w:hAnsi="Times New Roman" w:cs="Times New Roman"/>
            <w:sz w:val="24"/>
            <w:szCs w:val="24"/>
            <w:highlight w:val="white"/>
          </w:rPr>
          <w:t xml:space="preserve"> </w:t>
        </w:r>
      </w:hyperlink>
      <w:hyperlink r:id="rId76">
        <w:r>
          <w:rPr>
            <w:rFonts w:ascii="Times New Roman" w:eastAsia="Times New Roman" w:hAnsi="Times New Roman" w:cs="Times New Roman"/>
            <w:color w:val="1155CC"/>
            <w:sz w:val="24"/>
            <w:szCs w:val="24"/>
            <w:highlight w:val="white"/>
            <w:u w:val="single"/>
          </w:rPr>
          <w:t>https://www.scirp.org/reference/referencespapers.aspx?referenceid=2592286</w:t>
        </w:r>
      </w:hyperlink>
    </w:p>
    <w:p w14:paraId="50620FEA" w14:textId="77777777" w:rsidR="00D53F4D" w:rsidRDefault="009372A7" w:rsidP="009372A7">
      <w:pPr>
        <w:tabs>
          <w:tab w:val="left" w:pos="3466"/>
        </w:tabs>
        <w:spacing w:after="0" w:line="276"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Wadesango</w:t>
      </w:r>
      <w:proofErr w:type="spellEnd"/>
      <w:r>
        <w:rPr>
          <w:rFonts w:ascii="Times New Roman" w:eastAsia="Times New Roman" w:hAnsi="Times New Roman" w:cs="Times New Roman"/>
          <w:sz w:val="24"/>
          <w:szCs w:val="24"/>
          <w:highlight w:val="white"/>
        </w:rPr>
        <w:t xml:space="preserve">, N., Hove, J., &amp; </w:t>
      </w:r>
      <w:proofErr w:type="spellStart"/>
      <w:r>
        <w:rPr>
          <w:rFonts w:ascii="Times New Roman" w:eastAsia="Times New Roman" w:hAnsi="Times New Roman" w:cs="Times New Roman"/>
          <w:sz w:val="24"/>
          <w:szCs w:val="24"/>
          <w:highlight w:val="white"/>
        </w:rPr>
        <w:t>Kurebwa</w:t>
      </w:r>
      <w:proofErr w:type="spellEnd"/>
      <w:r>
        <w:rPr>
          <w:rFonts w:ascii="Times New Roman" w:eastAsia="Times New Roman" w:hAnsi="Times New Roman" w:cs="Times New Roman"/>
          <w:sz w:val="24"/>
          <w:szCs w:val="24"/>
          <w:highlight w:val="white"/>
        </w:rPr>
        <w:t>, M. (2016). Effects of a large class size on effective</w:t>
      </w:r>
    </w:p>
    <w:p w14:paraId="5D0965F0" w14:textId="77777777" w:rsidR="00D53F4D" w:rsidRDefault="009372A7">
      <w:pPr>
        <w:tabs>
          <w:tab w:val="left" w:pos="3466"/>
        </w:tabs>
        <w:spacing w:after="0"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curriculum implementation. </w:t>
      </w:r>
      <w:r>
        <w:rPr>
          <w:rFonts w:ascii="Times New Roman" w:eastAsia="Times New Roman" w:hAnsi="Times New Roman" w:cs="Times New Roman"/>
          <w:i/>
          <w:sz w:val="24"/>
          <w:szCs w:val="24"/>
          <w:highlight w:val="white"/>
        </w:rPr>
        <w:t>International Journal of Educational Sciences, 12</w:t>
      </w:r>
      <w:r>
        <w:rPr>
          <w:rFonts w:ascii="Times New Roman" w:eastAsia="Times New Roman" w:hAnsi="Times New Roman" w:cs="Times New Roman"/>
          <w:sz w:val="24"/>
          <w:szCs w:val="24"/>
          <w:highlight w:val="white"/>
        </w:rPr>
        <w:t xml:space="preserve">(2), 173-183. </w:t>
      </w:r>
    </w:p>
    <w:p w14:paraId="4C989189" w14:textId="77777777" w:rsidR="00D53F4D" w:rsidRDefault="00CB2F37">
      <w:pPr>
        <w:tabs>
          <w:tab w:val="left" w:pos="3466"/>
        </w:tabs>
        <w:spacing w:after="0" w:line="276" w:lineRule="auto"/>
        <w:ind w:left="720"/>
        <w:rPr>
          <w:rFonts w:ascii="Times New Roman" w:eastAsia="Times New Roman" w:hAnsi="Times New Roman" w:cs="Times New Roman"/>
          <w:sz w:val="24"/>
          <w:szCs w:val="24"/>
          <w:highlight w:val="white"/>
        </w:rPr>
      </w:pPr>
      <w:hyperlink r:id="rId77">
        <w:r w:rsidR="009372A7">
          <w:rPr>
            <w:rFonts w:ascii="Times New Roman" w:eastAsia="Times New Roman" w:hAnsi="Times New Roman" w:cs="Times New Roman"/>
            <w:color w:val="1155CC"/>
            <w:sz w:val="24"/>
            <w:szCs w:val="24"/>
            <w:highlight w:val="white"/>
            <w:u w:val="single"/>
          </w:rPr>
          <w:t>https://doi.org/10.1080/09751122.2016.11890424</w:t>
        </w:r>
      </w:hyperlink>
    </w:p>
    <w:p w14:paraId="14141D73" w14:textId="77777777" w:rsidR="00D53F4D" w:rsidRDefault="009372A7">
      <w:pPr>
        <w:tabs>
          <w:tab w:val="left" w:pos="3466"/>
        </w:tabs>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BA6EBC" w14:textId="0EDE68E8" w:rsidR="00D53F4D" w:rsidRDefault="009372A7" w:rsidP="009372A7">
      <w:pPr>
        <w:tabs>
          <w:tab w:val="left" w:pos="3466"/>
        </w:tabs>
        <w:spacing w:after="0"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Wisudawan</w:t>
      </w:r>
      <w:proofErr w:type="spellEnd"/>
      <w:r>
        <w:rPr>
          <w:rFonts w:ascii="Times New Roman" w:eastAsia="Times New Roman" w:hAnsi="Times New Roman" w:cs="Times New Roman"/>
          <w:sz w:val="24"/>
          <w:szCs w:val="24"/>
          <w:highlight w:val="white"/>
        </w:rPr>
        <w:t xml:space="preserve">, D. (2022). The effect of integrated chemistry practice learning implementation </w:t>
      </w:r>
    </w:p>
    <w:p w14:paraId="253717B6" w14:textId="687FECF4" w:rsidR="00D53F4D" w:rsidRDefault="009372A7">
      <w:pPr>
        <w:tabs>
          <w:tab w:val="left" w:pos="3466"/>
        </w:tabs>
        <w:spacing w:after="0" w:line="36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 student learning outcomes. </w:t>
      </w:r>
      <w:proofErr w:type="spellStart"/>
      <w:r>
        <w:rPr>
          <w:rFonts w:ascii="Times New Roman" w:eastAsia="Times New Roman" w:hAnsi="Times New Roman" w:cs="Times New Roman"/>
          <w:i/>
          <w:sz w:val="24"/>
          <w:szCs w:val="24"/>
          <w:highlight w:val="white"/>
        </w:rPr>
        <w:t>Transpublika</w:t>
      </w:r>
      <w:proofErr w:type="spellEnd"/>
      <w:r>
        <w:rPr>
          <w:rFonts w:ascii="Times New Roman" w:eastAsia="Times New Roman" w:hAnsi="Times New Roman" w:cs="Times New Roman"/>
          <w:i/>
          <w:sz w:val="24"/>
          <w:szCs w:val="24"/>
          <w:highlight w:val="white"/>
        </w:rPr>
        <w:t xml:space="preserve"> International Research in Exact Sciences, 1</w:t>
      </w:r>
      <w:r>
        <w:rPr>
          <w:rFonts w:ascii="Times New Roman" w:eastAsia="Times New Roman" w:hAnsi="Times New Roman" w:cs="Times New Roman"/>
          <w:sz w:val="24"/>
          <w:szCs w:val="24"/>
          <w:highlight w:val="white"/>
        </w:rPr>
        <w:t>(2), 1-8.</w:t>
      </w:r>
    </w:p>
    <w:p w14:paraId="787B931D" w14:textId="7FE6D6B8" w:rsidR="00D53F4D" w:rsidRPr="009372A7" w:rsidRDefault="00CB2F37" w:rsidP="009372A7">
      <w:pPr>
        <w:tabs>
          <w:tab w:val="left" w:pos="3466"/>
        </w:tabs>
        <w:spacing w:after="0" w:line="360" w:lineRule="auto"/>
        <w:ind w:left="720"/>
        <w:rPr>
          <w:rFonts w:ascii="Times New Roman" w:eastAsia="Times New Roman" w:hAnsi="Times New Roman" w:cs="Times New Roman"/>
          <w:color w:val="1155CC"/>
          <w:sz w:val="24"/>
          <w:szCs w:val="24"/>
          <w:highlight w:val="white"/>
          <w:u w:val="single"/>
        </w:rPr>
      </w:pPr>
      <w:hyperlink r:id="rId78">
        <w:r w:rsidR="009372A7">
          <w:rPr>
            <w:rFonts w:ascii="Times New Roman" w:eastAsia="Times New Roman" w:hAnsi="Times New Roman" w:cs="Times New Roman"/>
            <w:color w:val="1155CC"/>
            <w:sz w:val="24"/>
            <w:szCs w:val="24"/>
            <w:highlight w:val="white"/>
            <w:u w:val="single"/>
          </w:rPr>
          <w:t>https://doi.org/10.55047/tires.v1i2.147</w:t>
        </w:r>
      </w:hyperlink>
    </w:p>
    <w:p w14:paraId="37C7CAE7" w14:textId="77777777" w:rsidR="00D53F4D" w:rsidRDefault="009372A7">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Woodley, E. (2009). Practical work in school science - why is it important? </w:t>
      </w:r>
      <w:r>
        <w:rPr>
          <w:rFonts w:ascii="Times New Roman" w:eastAsia="Times New Roman" w:hAnsi="Times New Roman" w:cs="Times New Roman"/>
          <w:i/>
          <w:sz w:val="24"/>
          <w:szCs w:val="24"/>
        </w:rPr>
        <w:t xml:space="preserve">School Science </w:t>
      </w:r>
    </w:p>
    <w:p w14:paraId="06BFD411"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91</w:t>
      </w:r>
      <w:r>
        <w:rPr>
          <w:rFonts w:ascii="Times New Roman" w:eastAsia="Times New Roman" w:hAnsi="Times New Roman" w:cs="Times New Roman"/>
          <w:sz w:val="24"/>
          <w:szCs w:val="24"/>
        </w:rPr>
        <w:t>(335), 49-51. Retrieved from</w:t>
      </w:r>
    </w:p>
    <w:p w14:paraId="083742FB"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79">
        <w:r>
          <w:rPr>
            <w:rFonts w:ascii="Times New Roman" w:eastAsia="Times New Roman" w:hAnsi="Times New Roman" w:cs="Times New Roman"/>
            <w:color w:val="1155CC"/>
            <w:sz w:val="24"/>
            <w:szCs w:val="24"/>
            <w:u w:val="single"/>
          </w:rPr>
          <w:t>http://www.gettingpractical.org.uk/documents/EmmaWoodleyarticle.pdf</w:t>
        </w:r>
      </w:hyperlink>
    </w:p>
    <w:p w14:paraId="4B115081" w14:textId="77777777" w:rsidR="00D53F4D" w:rsidRDefault="009372A7" w:rsidP="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Woolnough, B. E. (1994). </w:t>
      </w:r>
      <w:r>
        <w:rPr>
          <w:rFonts w:ascii="Times New Roman" w:eastAsia="Times New Roman" w:hAnsi="Times New Roman" w:cs="Times New Roman"/>
          <w:i/>
          <w:sz w:val="24"/>
          <w:szCs w:val="24"/>
        </w:rPr>
        <w:t>Effective science teaching.</w:t>
      </w:r>
      <w:r>
        <w:rPr>
          <w:rFonts w:ascii="Times New Roman" w:eastAsia="Times New Roman" w:hAnsi="Times New Roman" w:cs="Times New Roman"/>
          <w:sz w:val="24"/>
          <w:szCs w:val="24"/>
        </w:rPr>
        <w:t xml:space="preserve"> Open University Press. Retrieved from</w:t>
      </w:r>
    </w:p>
    <w:p w14:paraId="724A3CFA"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80">
        <w:r>
          <w:rPr>
            <w:rFonts w:ascii="Times New Roman" w:eastAsia="Times New Roman" w:hAnsi="Times New Roman" w:cs="Times New Roman"/>
            <w:color w:val="1155CC"/>
            <w:sz w:val="24"/>
            <w:szCs w:val="24"/>
            <w:u w:val="single"/>
          </w:rPr>
          <w:t>https://archive.org/details/effectivescience0000wool</w:t>
        </w:r>
      </w:hyperlink>
    </w:p>
    <w:p w14:paraId="2512340A" w14:textId="77777777" w:rsidR="00D53F4D" w:rsidRDefault="009372A7">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 R. K. (2008). </w:t>
      </w:r>
      <w:r>
        <w:rPr>
          <w:rFonts w:ascii="Times New Roman" w:eastAsia="Times New Roman" w:hAnsi="Times New Roman" w:cs="Times New Roman"/>
          <w:i/>
          <w:sz w:val="24"/>
          <w:szCs w:val="24"/>
        </w:rPr>
        <w:t>Case study research: Design and methods</w:t>
      </w:r>
      <w:r>
        <w:rPr>
          <w:rFonts w:ascii="Times New Roman" w:eastAsia="Times New Roman" w:hAnsi="Times New Roman" w:cs="Times New Roman"/>
          <w:sz w:val="24"/>
          <w:szCs w:val="24"/>
        </w:rPr>
        <w:t xml:space="preserve"> (4th ed.). SAGE</w:t>
      </w:r>
    </w:p>
    <w:p w14:paraId="466328CB" w14:textId="77777777" w:rsidR="00D53F4D" w:rsidRDefault="009372A7">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Publications. </w:t>
      </w:r>
    </w:p>
    <w:p w14:paraId="6520C052" w14:textId="77777777" w:rsidR="00D53F4D" w:rsidRDefault="00CB2F37">
      <w:pPr>
        <w:tabs>
          <w:tab w:val="left" w:pos="3466"/>
        </w:tabs>
        <w:spacing w:after="0" w:line="360" w:lineRule="auto"/>
        <w:ind w:left="720"/>
        <w:rPr>
          <w:rFonts w:ascii="Times New Roman" w:eastAsia="Times New Roman" w:hAnsi="Times New Roman" w:cs="Times New Roman"/>
          <w:sz w:val="24"/>
          <w:szCs w:val="24"/>
        </w:rPr>
      </w:pPr>
      <w:hyperlink r:id="rId81">
        <w:r w:rsidR="009372A7">
          <w:rPr>
            <w:rFonts w:ascii="Times New Roman" w:eastAsia="Times New Roman" w:hAnsi="Times New Roman" w:cs="Times New Roman"/>
            <w:color w:val="1155CC"/>
            <w:sz w:val="24"/>
            <w:szCs w:val="24"/>
            <w:u w:val="single"/>
          </w:rPr>
          <w:t>https://doi.org/10.1016/J.AENJ.2009.01.005</w:t>
        </w:r>
      </w:hyperlink>
    </w:p>
    <w:sectPr w:rsidR="00D53F4D">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CEC3C" w14:textId="77777777" w:rsidR="00CB2F37" w:rsidRDefault="00CB2F37">
      <w:pPr>
        <w:spacing w:after="0" w:line="240" w:lineRule="auto"/>
      </w:pPr>
      <w:r>
        <w:separator/>
      </w:r>
    </w:p>
  </w:endnote>
  <w:endnote w:type="continuationSeparator" w:id="0">
    <w:p w14:paraId="238EE30B" w14:textId="77777777" w:rsidR="00CB2F37" w:rsidRDefault="00CB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2C5BF688-57D6-4F89-B7CA-A8C870AA80E7}"/>
    <w:embedBold r:id="rId2" w:fontKey="{1E23385D-CD5F-45A7-8D5E-A34A0EDBA79B}"/>
    <w:embedItalic r:id="rId3" w:fontKey="{CA0FAC51-81DC-4E5B-810E-8C8AA6D159EB}"/>
  </w:font>
  <w:font w:name="Aptos Display">
    <w:charset w:val="00"/>
    <w:family w:val="swiss"/>
    <w:pitch w:val="variable"/>
    <w:sig w:usb0="20000287" w:usb1="00000003" w:usb2="00000000" w:usb3="00000000" w:csb0="0000019F" w:csb1="00000000"/>
    <w:embedRegular r:id="rId4" w:fontKey="{F3967AE5-93B7-41A7-8056-ECCF5559BCF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1FC2E0C-A8E0-4B4F-A0C2-C5311CE0E1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96B4" w14:textId="77777777" w:rsidR="00D53F4D" w:rsidRDefault="00D53F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B5D5" w14:textId="77777777" w:rsidR="00D53F4D" w:rsidRDefault="00D53F4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6122" w14:textId="77777777" w:rsidR="00D53F4D" w:rsidRDefault="00D53F4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2578D" w14:textId="77777777" w:rsidR="00CB2F37" w:rsidRDefault="00CB2F37">
      <w:pPr>
        <w:spacing w:after="0" w:line="240" w:lineRule="auto"/>
      </w:pPr>
      <w:r>
        <w:separator/>
      </w:r>
    </w:p>
  </w:footnote>
  <w:footnote w:type="continuationSeparator" w:id="0">
    <w:p w14:paraId="44AAB13C" w14:textId="77777777" w:rsidR="00CB2F37" w:rsidRDefault="00CB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C9367" w14:textId="77777777" w:rsidR="00D53F4D" w:rsidRDefault="009372A7">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7216" behindDoc="1" locked="0" layoutInCell="1" hidden="0" allowOverlap="1" wp14:anchorId="14AFC07D" wp14:editId="35782D03">
              <wp:simplePos x="0" y="0"/>
              <wp:positionH relativeFrom="margin">
                <wp:align>center</wp:align>
              </wp:positionH>
              <wp:positionV relativeFrom="margin">
                <wp:align>center</wp:align>
              </wp:positionV>
              <wp:extent cx="5727158" cy="5727158"/>
              <wp:effectExtent l="0" t="0" r="0" b="0"/>
              <wp:wrapNone/>
              <wp:docPr id="2" name="Rectangle 2"/>
              <wp:cNvGraphicFramePr/>
              <a:graphic xmlns:a="http://schemas.openxmlformats.org/drawingml/2006/main">
                <a:graphicData uri="http://schemas.microsoft.com/office/word/2010/wordprocessingShape">
                  <wps:wsp>
                    <wps:cNvSpPr/>
                    <wps:spPr>
                      <a:xfrm rot="-2700000">
                        <a:off x="1709673" y="3376140"/>
                        <a:ext cx="7272655" cy="807720"/>
                      </a:xfrm>
                      <a:prstGeom prst="rect">
                        <a:avLst/>
                      </a:prstGeom>
                    </wps:spPr>
                    <wps:txbx>
                      <w:txbxContent>
                        <w:p w14:paraId="4590488D" w14:textId="77777777" w:rsidR="00D53F4D" w:rsidRDefault="009372A7">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14AFC07D" id="Rectangle 2" o:spid="_x0000_s1026" style="position:absolute;margin-left:0;margin-top:0;width:450.95pt;height:450.95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" filled="f" stroked="f">
              <v:textbox inset="2.53958mm,2.53958mm,2.53958mm,2.53958mm">
                <w:txbxContent>
                  <w:p w14:paraId="4590488D" w14:textId="77777777" w:rsidR="00D53F4D" w:rsidRDefault="009372A7">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C5E56" w14:textId="77777777" w:rsidR="00D53F4D" w:rsidRDefault="009372A7">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6192" behindDoc="1" locked="0" layoutInCell="1" hidden="0" allowOverlap="1" wp14:anchorId="5E63AF5E" wp14:editId="314B9CD7">
              <wp:simplePos x="0" y="0"/>
              <wp:positionH relativeFrom="margin">
                <wp:align>center</wp:align>
              </wp:positionH>
              <wp:positionV relativeFrom="margin">
                <wp:align>center</wp:align>
              </wp:positionV>
              <wp:extent cx="5727158" cy="5727158"/>
              <wp:effectExtent l="0" t="0" r="0" b="0"/>
              <wp:wrapNone/>
              <wp:docPr id="1" name="Rectangle 1"/>
              <wp:cNvGraphicFramePr/>
              <a:graphic xmlns:a="http://schemas.openxmlformats.org/drawingml/2006/main">
                <a:graphicData uri="http://schemas.microsoft.com/office/word/2010/wordprocessingShape">
                  <wps:wsp>
                    <wps:cNvSpPr/>
                    <wps:spPr>
                      <a:xfrm rot="-2700000">
                        <a:off x="1709673" y="3376140"/>
                        <a:ext cx="7272655" cy="807720"/>
                      </a:xfrm>
                      <a:prstGeom prst="rect">
                        <a:avLst/>
                      </a:prstGeom>
                    </wps:spPr>
                    <wps:txbx>
                      <w:txbxContent>
                        <w:p w14:paraId="127AE2CD" w14:textId="77777777" w:rsidR="00D53F4D" w:rsidRDefault="009372A7">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5E63AF5E" id="Rectangle 1" o:spid="_x0000_s1027" style="position:absolute;margin-left:0;margin-top:0;width:450.95pt;height:450.95pt;rotation:-45;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" filled="f" stroked="f">
              <v:textbox inset="2.53958mm,2.53958mm,2.53958mm,2.53958mm">
                <w:txbxContent>
                  <w:p w14:paraId="127AE2CD" w14:textId="77777777" w:rsidR="00D53F4D" w:rsidRDefault="009372A7">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9E88" w14:textId="77777777" w:rsidR="00D53F4D" w:rsidRDefault="00CB2F37">
    <w:pPr>
      <w:pBdr>
        <w:top w:val="nil"/>
        <w:left w:val="nil"/>
        <w:bottom w:val="nil"/>
        <w:right w:val="nil"/>
        <w:between w:val="nil"/>
      </w:pBdr>
      <w:tabs>
        <w:tab w:val="center" w:pos="4680"/>
        <w:tab w:val="right" w:pos="9360"/>
      </w:tabs>
      <w:spacing w:after="0" w:line="240" w:lineRule="auto"/>
      <w:rPr>
        <w:color w:val="000000"/>
      </w:rPr>
    </w:pPr>
    <w:r>
      <w:rPr>
        <w:color w:val="000000"/>
      </w:rPr>
      <w:pict w14:anchorId="3CCCA8F7">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3CCCA8F7">
        <v:shape id="PowerPlusWaterMarkObject1" o:spid="_x0000_s2049" type="#_x0000_m2050" style="position:absolute;margin-left:0;margin-top:0;width:572.65pt;height:63.6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4D"/>
    <w:rsid w:val="0003446E"/>
    <w:rsid w:val="0051266F"/>
    <w:rsid w:val="0068353F"/>
    <w:rsid w:val="0088438D"/>
    <w:rsid w:val="008F085C"/>
    <w:rsid w:val="008F7D0E"/>
    <w:rsid w:val="009372A7"/>
    <w:rsid w:val="00CB2F37"/>
    <w:rsid w:val="00D5338C"/>
    <w:rsid w:val="00D53F4D"/>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344DCA"/>
  <w15:docId w15:val="{120B0255-1FD4-48CF-AFD1-55BD2DBF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A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6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16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16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16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16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16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6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6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6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4716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716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16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6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6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6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6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6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6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6A2"/>
    <w:rPr>
      <w:rFonts w:eastAsiaTheme="majorEastAsia" w:cstheme="majorBidi"/>
      <w:color w:val="272727" w:themeColor="text1" w:themeTint="D8"/>
    </w:rPr>
  </w:style>
  <w:style w:type="character" w:customStyle="1" w:styleId="TitleChar">
    <w:name w:val="Title Char"/>
    <w:basedOn w:val="DefaultParagraphFont"/>
    <w:link w:val="Title"/>
    <w:uiPriority w:val="10"/>
    <w:rsid w:val="004716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716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6A2"/>
    <w:pPr>
      <w:spacing w:before="160"/>
      <w:jc w:val="center"/>
    </w:pPr>
    <w:rPr>
      <w:i/>
      <w:iCs/>
      <w:color w:val="404040" w:themeColor="text1" w:themeTint="BF"/>
    </w:rPr>
  </w:style>
  <w:style w:type="character" w:customStyle="1" w:styleId="QuoteChar">
    <w:name w:val="Quote Char"/>
    <w:basedOn w:val="DefaultParagraphFont"/>
    <w:link w:val="Quote"/>
    <w:uiPriority w:val="29"/>
    <w:rsid w:val="004716A2"/>
    <w:rPr>
      <w:i/>
      <w:iCs/>
      <w:color w:val="404040" w:themeColor="text1" w:themeTint="BF"/>
    </w:rPr>
  </w:style>
  <w:style w:type="paragraph" w:styleId="ListParagraph">
    <w:name w:val="List Paragraph"/>
    <w:basedOn w:val="Normal"/>
    <w:uiPriority w:val="34"/>
    <w:qFormat/>
    <w:rsid w:val="004716A2"/>
    <w:pPr>
      <w:ind w:left="720"/>
      <w:contextualSpacing/>
    </w:pPr>
  </w:style>
  <w:style w:type="character" w:styleId="IntenseEmphasis">
    <w:name w:val="Intense Emphasis"/>
    <w:basedOn w:val="DefaultParagraphFont"/>
    <w:uiPriority w:val="21"/>
    <w:qFormat/>
    <w:rsid w:val="004716A2"/>
    <w:rPr>
      <w:i/>
      <w:iCs/>
      <w:color w:val="0F4761" w:themeColor="accent1" w:themeShade="BF"/>
    </w:rPr>
  </w:style>
  <w:style w:type="paragraph" w:styleId="IntenseQuote">
    <w:name w:val="Intense Quote"/>
    <w:basedOn w:val="Normal"/>
    <w:next w:val="Normal"/>
    <w:link w:val="IntenseQuoteChar"/>
    <w:uiPriority w:val="30"/>
    <w:qFormat/>
    <w:rsid w:val="004716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6A2"/>
    <w:rPr>
      <w:i/>
      <w:iCs/>
      <w:color w:val="0F4761" w:themeColor="accent1" w:themeShade="BF"/>
    </w:rPr>
  </w:style>
  <w:style w:type="character" w:styleId="IntenseReference">
    <w:name w:val="Intense Reference"/>
    <w:basedOn w:val="DefaultParagraphFont"/>
    <w:uiPriority w:val="32"/>
    <w:qFormat/>
    <w:rsid w:val="004716A2"/>
    <w:rPr>
      <w:b/>
      <w:bCs/>
      <w:smallCaps/>
      <w:color w:val="0F4761" w:themeColor="accent1" w:themeShade="BF"/>
      <w:spacing w:val="5"/>
    </w:rPr>
  </w:style>
  <w:style w:type="character" w:styleId="Hyperlink">
    <w:name w:val="Hyperlink"/>
    <w:basedOn w:val="DefaultParagraphFont"/>
    <w:uiPriority w:val="99"/>
    <w:unhideWhenUsed/>
    <w:rsid w:val="001773EC"/>
    <w:rPr>
      <w:color w:val="467886" w:themeColor="hyperlink"/>
      <w:u w:val="single"/>
    </w:rPr>
  </w:style>
  <w:style w:type="character" w:customStyle="1" w:styleId="UnresolvedMention1">
    <w:name w:val="Unresolved Mention1"/>
    <w:basedOn w:val="DefaultParagraphFont"/>
    <w:uiPriority w:val="99"/>
    <w:semiHidden/>
    <w:unhideWhenUsed/>
    <w:rsid w:val="001773EC"/>
    <w:rPr>
      <w:color w:val="605E5C"/>
      <w:shd w:val="clear" w:color="auto" w:fill="E1DFDD"/>
    </w:rPr>
  </w:style>
  <w:style w:type="table" w:styleId="TableGrid">
    <w:name w:val="Table Grid"/>
    <w:basedOn w:val="TableNormal"/>
    <w:uiPriority w:val="39"/>
    <w:rsid w:val="00194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7505"/>
    <w:rPr>
      <w:color w:val="96607D" w:themeColor="followedHyperlink"/>
      <w:u w:val="single"/>
    </w:rPr>
  </w:style>
  <w:style w:type="paragraph" w:styleId="BalloonText">
    <w:name w:val="Balloon Text"/>
    <w:basedOn w:val="Normal"/>
    <w:link w:val="BalloonTextChar"/>
    <w:uiPriority w:val="99"/>
    <w:semiHidden/>
    <w:unhideWhenUsed/>
    <w:rsid w:val="00A92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31E"/>
    <w:rPr>
      <w:rFonts w:ascii="Segoe UI" w:hAnsi="Segoe UI" w:cs="Segoe UI"/>
      <w:sz w:val="18"/>
      <w:szCs w:val="18"/>
    </w:rPr>
  </w:style>
  <w:style w:type="character" w:styleId="CommentReference">
    <w:name w:val="annotation reference"/>
    <w:basedOn w:val="DefaultParagraphFont"/>
    <w:uiPriority w:val="99"/>
    <w:semiHidden/>
    <w:unhideWhenUsed/>
    <w:rsid w:val="00130A2D"/>
    <w:rPr>
      <w:sz w:val="16"/>
      <w:szCs w:val="16"/>
    </w:rPr>
  </w:style>
  <w:style w:type="paragraph" w:styleId="CommentText">
    <w:name w:val="annotation text"/>
    <w:basedOn w:val="Normal"/>
    <w:link w:val="CommentTextChar"/>
    <w:uiPriority w:val="99"/>
    <w:semiHidden/>
    <w:unhideWhenUsed/>
    <w:rsid w:val="00130A2D"/>
    <w:pPr>
      <w:spacing w:line="240" w:lineRule="auto"/>
    </w:pPr>
    <w:rPr>
      <w:sz w:val="20"/>
      <w:szCs w:val="20"/>
    </w:rPr>
  </w:style>
  <w:style w:type="character" w:customStyle="1" w:styleId="CommentTextChar">
    <w:name w:val="Comment Text Char"/>
    <w:basedOn w:val="DefaultParagraphFont"/>
    <w:link w:val="CommentText"/>
    <w:uiPriority w:val="99"/>
    <w:semiHidden/>
    <w:rsid w:val="00130A2D"/>
    <w:rPr>
      <w:sz w:val="20"/>
      <w:szCs w:val="20"/>
    </w:rPr>
  </w:style>
  <w:style w:type="paragraph" w:styleId="CommentSubject">
    <w:name w:val="annotation subject"/>
    <w:basedOn w:val="CommentText"/>
    <w:next w:val="CommentText"/>
    <w:link w:val="CommentSubjectChar"/>
    <w:uiPriority w:val="99"/>
    <w:semiHidden/>
    <w:unhideWhenUsed/>
    <w:rsid w:val="00130A2D"/>
    <w:rPr>
      <w:b/>
      <w:bCs/>
    </w:rPr>
  </w:style>
  <w:style w:type="character" w:customStyle="1" w:styleId="CommentSubjectChar">
    <w:name w:val="Comment Subject Char"/>
    <w:basedOn w:val="CommentTextChar"/>
    <w:link w:val="CommentSubject"/>
    <w:uiPriority w:val="99"/>
    <w:semiHidden/>
    <w:rsid w:val="00130A2D"/>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UnresolvedMention2">
    <w:name w:val="Unresolved Mention2"/>
    <w:basedOn w:val="DefaultParagraphFont"/>
    <w:uiPriority w:val="99"/>
    <w:semiHidden/>
    <w:unhideWhenUsed/>
    <w:rsid w:val="001F562F"/>
    <w:rPr>
      <w:color w:val="605E5C"/>
      <w:shd w:val="clear" w:color="auto" w:fill="E1DFDD"/>
    </w:rPr>
  </w:style>
  <w:style w:type="paragraph" w:styleId="Header">
    <w:name w:val="header"/>
    <w:basedOn w:val="Normal"/>
    <w:link w:val="HeaderChar"/>
    <w:uiPriority w:val="99"/>
    <w:unhideWhenUsed/>
    <w:rsid w:val="00A2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798"/>
  </w:style>
  <w:style w:type="paragraph" w:styleId="Footer">
    <w:name w:val="footer"/>
    <w:basedOn w:val="Normal"/>
    <w:link w:val="FooterChar"/>
    <w:uiPriority w:val="99"/>
    <w:unhideWhenUsed/>
    <w:rsid w:val="00A2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798"/>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12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09/JPROC.2012.2190167" TargetMode="External"/><Relationship Id="rId21" Type="http://schemas.openxmlformats.org/officeDocument/2006/relationships/hyperlink" Target="https://books.google.ae/books/about/Designing_and_Conducting_Mixed_Methods_R.html?id=eTwmDwAAQBAJ" TargetMode="External"/><Relationship Id="rId42" Type="http://schemas.openxmlformats.org/officeDocument/2006/relationships/hyperlink" Target="http://dx.doi.org/10.1007/0-306-47217-1_4" TargetMode="External"/><Relationship Id="rId47" Type="http://schemas.openxmlformats.org/officeDocument/2006/relationships/hyperlink" Target="http://dx.doi.org/10.54476/iimrj230" TargetMode="External"/><Relationship Id="rId63" Type="http://schemas.openxmlformats.org/officeDocument/2006/relationships/hyperlink" Target="https://doi.org/10.1039/D5RP00063G" TargetMode="External"/><Relationship Id="rId68" Type="http://schemas.openxmlformats.org/officeDocument/2006/relationships/hyperlink" Target="https://doi.org/10.1016/j.dr.2015.12.001"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www.researchgate.net/publication/339832401_Status_of_Science_Laboratory_in_a_Public_Junior_High_School" TargetMode="External"/><Relationship Id="rId11" Type="http://schemas.openxmlformats.org/officeDocument/2006/relationships/hyperlink" Target="http://dx.doi.org/10.54536/ajahs.v3i2.2528" TargetMode="External"/><Relationship Id="rId32" Type="http://schemas.openxmlformats.org/officeDocument/2006/relationships/hyperlink" Target="https://pdf4pro.com/view/the-use-of-laboratory-method-in-teaching-secondary-61c1f3.html" TargetMode="External"/><Relationship Id="rId37" Type="http://schemas.openxmlformats.org/officeDocument/2006/relationships/hyperlink" Target="https://doi.org/10.1039/B7RP90003A" TargetMode="External"/><Relationship Id="rId53" Type="http://schemas.openxmlformats.org/officeDocument/2006/relationships/hyperlink" Target="https://doi.org/10.36941/mjss-2025-0014" TargetMode="External"/><Relationship Id="rId58" Type="http://schemas.openxmlformats.org/officeDocument/2006/relationships/hyperlink" Target="https://www.researchgate.net/publication/344493880_An_investigation_into_the_Extent_of_use_of_Practical_Activities_in_Teaching_Chemistry_in_Nigerian_Schools" TargetMode="External"/><Relationship Id="rId74" Type="http://schemas.openxmlformats.org/officeDocument/2006/relationships/hyperlink" Target="https://doi.org/10.7176/RHSS/11-1-05" TargetMode="External"/><Relationship Id="rId79" Type="http://schemas.openxmlformats.org/officeDocument/2006/relationships/hyperlink" Target="http://www.gettingpractical.org.uk/documents/EmmaWoodleyarticle.pdf" TargetMode="External"/><Relationship Id="rId5" Type="http://schemas.openxmlformats.org/officeDocument/2006/relationships/footnotes" Target="footnotes.xml"/><Relationship Id="rId14" Type="http://schemas.openxmlformats.org/officeDocument/2006/relationships/hyperlink" Target="https://doi.org/10.47963/toe.v13i.295" TargetMode="External"/><Relationship Id="rId22" Type="http://schemas.openxmlformats.org/officeDocument/2006/relationships/hyperlink" Target="https://doi.org/10.4324/9781315134543" TargetMode="External"/><Relationship Id="rId27" Type="http://schemas.openxmlformats.org/officeDocument/2006/relationships/hyperlink" Target="https://doi.org/10.17509/ijotis.v4i1.68763" TargetMode="External"/><Relationship Id="rId30" Type="http://schemas.openxmlformats.org/officeDocument/2006/relationships/hyperlink" Target="https://doi.org/10.1080/2331186X.2016.1175051" TargetMode="External"/><Relationship Id="rId35" Type="http://schemas.openxmlformats.org/officeDocument/2006/relationships/hyperlink" Target="https://www.iosrjournals.org/iosr-jm/papers/Vol13-issue4/Version-1/BI1304010611.pdf" TargetMode="External"/><Relationship Id="rId43" Type="http://schemas.openxmlformats.org/officeDocument/2006/relationships/hyperlink" Target="https://www.iiste.org/Journals/index.php/JEP/article/view/40035" TargetMode="External"/><Relationship Id="rId48" Type="http://schemas.openxmlformats.org/officeDocument/2006/relationships/hyperlink" Target="https://doi.org/10.15700/saje.v36n2a1201" TargetMode="External"/><Relationship Id="rId56" Type="http://schemas.openxmlformats.org/officeDocument/2006/relationships/hyperlink" Target="https://doi.org/10.1080/0140528770010208" TargetMode="External"/><Relationship Id="rId64" Type="http://schemas.openxmlformats.org/officeDocument/2006/relationships/hyperlink" Target="https://doi.org/10.1177/0038022920970318" TargetMode="External"/><Relationship Id="rId69" Type="http://schemas.openxmlformats.org/officeDocument/2006/relationships/hyperlink" Target="https://doi.org/10.3926/jotse.888" TargetMode="External"/><Relationship Id="rId77" Type="http://schemas.openxmlformats.org/officeDocument/2006/relationships/hyperlink" Target="https://doi.org/10.1080/09751122.2016.11890424" TargetMode="External"/><Relationship Id="rId8" Type="http://schemas.openxmlformats.org/officeDocument/2006/relationships/hyperlink" Target="https://doi.org/10.30935/ejsee/11870" TargetMode="External"/><Relationship Id="rId51" Type="http://schemas.openxmlformats.org/officeDocument/2006/relationships/hyperlink" Target="https://doi.org/10.1177/2158244016643142" TargetMode="External"/><Relationship Id="rId72" Type="http://schemas.openxmlformats.org/officeDocument/2006/relationships/hyperlink" Target="https://doi.org/10.29303/jppipa.v9i11.5231" TargetMode="External"/><Relationship Id="rId80" Type="http://schemas.openxmlformats.org/officeDocument/2006/relationships/hyperlink" Target="https://archive.org/details/effectivescience0000wool"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dx.doi.org/10.54536/ajahs.v3i2.2528" TargetMode="External"/><Relationship Id="rId17" Type="http://schemas.openxmlformats.org/officeDocument/2006/relationships/hyperlink" Target="https://doi.org/10.7176/JEP/10-31-01" TargetMode="External"/><Relationship Id="rId25" Type="http://schemas.openxmlformats.org/officeDocument/2006/relationships/hyperlink" Target="https://doi.org/10.1073/pnas.1319030111" TargetMode="External"/><Relationship Id="rId33" Type="http://schemas.openxmlformats.org/officeDocument/2006/relationships/hyperlink" Target="https://pdf4pro.com/view/the-use-of-laboratory-method-in-teaching-secondary-61c1f3.html" TargetMode="External"/><Relationship Id="rId38" Type="http://schemas.openxmlformats.org/officeDocument/2006/relationships/hyperlink" Target="https://doi.org/10.51724/ijpce.v4i1.90" TargetMode="External"/><Relationship Id="rId46" Type="http://schemas.openxmlformats.org/officeDocument/2006/relationships/hyperlink" Target="http://dx.doi.org/10.54476/iimrj230" TargetMode="External"/><Relationship Id="rId59" Type="http://schemas.openxmlformats.org/officeDocument/2006/relationships/hyperlink" Target="https://www.researchgate.net/publication/344493880_An_investigation_into_the_Extent_of_use_of_Practical_Activities_in_Teaching_Chemistry_in_Nigerian_Schools" TargetMode="External"/><Relationship Id="rId67" Type="http://schemas.openxmlformats.org/officeDocument/2006/relationships/hyperlink" Target="https://doi.org/10.21522/TIJAR.2014.06.02.Art011" TargetMode="External"/><Relationship Id="rId20" Type="http://schemas.openxmlformats.org/officeDocument/2006/relationships/hyperlink" Target="https://books.google.ae/books/about/Designing_and_Conducting_Mixed_Methods_R.html?id=eTwmDwAAQBAJ" TargetMode="External"/><Relationship Id="rId41" Type="http://schemas.openxmlformats.org/officeDocument/2006/relationships/hyperlink" Target="https://www.researchgate.net/publication/283630224_Learning_and_teaching_in_the_school_science_laboratory_An_analysis_of_research_theory_and_practice" TargetMode="External"/><Relationship Id="rId54" Type="http://schemas.openxmlformats.org/officeDocument/2006/relationships/hyperlink" Target="https://doi.org/10.36941/mjss-2025-0014" TargetMode="External"/><Relationship Id="rId62" Type="http://schemas.openxmlformats.org/officeDocument/2006/relationships/hyperlink" Target="https://doi.org/10.1002/9780470754887" TargetMode="External"/><Relationship Id="rId70" Type="http://schemas.openxmlformats.org/officeDocument/2006/relationships/hyperlink" Target="https://doi.org/10.1080/02635143.2019.1597696" TargetMode="External"/><Relationship Id="rId75" Type="http://schemas.openxmlformats.org/officeDocument/2006/relationships/hyperlink" Target="https://www.scirp.org/reference/referencespapers.aspx?referenceid=2592286"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researchgate.net/publication/339832401_Status_of_Science_Laboratory_in_a_Public_Junior_High_School" TargetMode="External"/><Relationship Id="rId23" Type="http://schemas.openxmlformats.org/officeDocument/2006/relationships/hyperlink" Target="https://doi.org/10.15406/bbij.2017.05.00149" TargetMode="External"/><Relationship Id="rId28" Type="http://schemas.openxmlformats.org/officeDocument/2006/relationships/hyperlink" Target="https://doi.org/10.4314/zjer.v15i2.26026" TargetMode="External"/><Relationship Id="rId36" Type="http://schemas.openxmlformats.org/officeDocument/2006/relationships/hyperlink" Target="https://eric.ed.gov/?id=EJ413966" TargetMode="External"/><Relationship Id="rId49" Type="http://schemas.openxmlformats.org/officeDocument/2006/relationships/hyperlink" Target="https://doi.org/10.15700/saje.v36n2a1201" TargetMode="External"/><Relationship Id="rId57" Type="http://schemas.openxmlformats.org/officeDocument/2006/relationships/hyperlink" Target="https://doi.org/10.1080/0140528770010208" TargetMode="External"/><Relationship Id="rId10" Type="http://schemas.openxmlformats.org/officeDocument/2006/relationships/hyperlink" Target="https://doi.org/10.1002/tea.21036" TargetMode="External"/><Relationship Id="rId31" Type="http://schemas.openxmlformats.org/officeDocument/2006/relationships/hyperlink" Target="https://doi.org/10.1080/2331186X.2016.1175051" TargetMode="External"/><Relationship Id="rId44" Type="http://schemas.openxmlformats.org/officeDocument/2006/relationships/hyperlink" Target="https://www.iiste.org/Journals/index.php/JEP/article/view/40035" TargetMode="External"/><Relationship Id="rId52" Type="http://schemas.openxmlformats.org/officeDocument/2006/relationships/hyperlink" Target="https://doi.org/10.1007/s11125-005-6819-7" TargetMode="External"/><Relationship Id="rId60" Type="http://schemas.openxmlformats.org/officeDocument/2006/relationships/hyperlink" Target="https://doi.org/10.3389/feduc.2023.1151641" TargetMode="External"/><Relationship Id="rId65" Type="http://schemas.openxmlformats.org/officeDocument/2006/relationships/hyperlink" Target="http://dx.doi.org/10.1016/j.tate.2013.11.003" TargetMode="External"/><Relationship Id="rId73" Type="http://schemas.openxmlformats.org/officeDocument/2006/relationships/hyperlink" Target="https://doi.org/10.1007/978-981-15-4980-9" TargetMode="External"/><Relationship Id="rId78" Type="http://schemas.openxmlformats.org/officeDocument/2006/relationships/hyperlink" Target="https://doi.org/10.55047/tires.v1i2.147" TargetMode="External"/><Relationship Id="rId81" Type="http://schemas.openxmlformats.org/officeDocument/2006/relationships/hyperlink" Target="https://doi.org/10.1016/J.AENJ.2009.01.005"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80/09500690701749305" TargetMode="External"/><Relationship Id="rId13" Type="http://schemas.openxmlformats.org/officeDocument/2006/relationships/hyperlink" Target="https://doi.org/10.47963/toe.v13i.295" TargetMode="External"/><Relationship Id="rId18" Type="http://schemas.openxmlformats.org/officeDocument/2006/relationships/hyperlink" Target="https://doi.org/10.37284/eajes.7.3.2098" TargetMode="External"/><Relationship Id="rId39" Type="http://schemas.openxmlformats.org/officeDocument/2006/relationships/hyperlink" Target="https://doi.org/10.1080/03057260903142285" TargetMode="External"/><Relationship Id="rId34" Type="http://schemas.openxmlformats.org/officeDocument/2006/relationships/hyperlink" Target="https://www.iosrjournals.org/iosr-jm/papers/Vol13-issue4/Version-1/BI1304010611.pdf" TargetMode="External"/><Relationship Id="rId50" Type="http://schemas.openxmlformats.org/officeDocument/2006/relationships/hyperlink" Target="https://doi.org/10.1152/advan.00014.2014" TargetMode="External"/><Relationship Id="rId55" Type="http://schemas.openxmlformats.org/officeDocument/2006/relationships/hyperlink" Target="https://doi.org/10.4314/ajesms.v17i1.4" TargetMode="External"/><Relationship Id="rId76" Type="http://schemas.openxmlformats.org/officeDocument/2006/relationships/hyperlink" Target="https://www.scirp.org/reference/referencespapers.aspx?referenceid=2592286" TargetMode="External"/><Relationship Id="rId7" Type="http://schemas.openxmlformats.org/officeDocument/2006/relationships/hyperlink" Target="https://doi.org/10.30935/ejsee/11870" TargetMode="External"/><Relationship Id="rId71" Type="http://schemas.openxmlformats.org/officeDocument/2006/relationships/hyperlink" Target="https://doi.org/10.3102/0013189X015002004" TargetMode="External"/><Relationship Id="rId2" Type="http://schemas.openxmlformats.org/officeDocument/2006/relationships/styles" Target="styles.xml"/><Relationship Id="rId29" Type="http://schemas.openxmlformats.org/officeDocument/2006/relationships/hyperlink" Target="http://dx.doi.org/10.12973/ijese.2016.288a" TargetMode="External"/><Relationship Id="rId24" Type="http://schemas.openxmlformats.org/officeDocument/2006/relationships/hyperlink" Target="https://doi.org/10.11113/jt.v63.2013" TargetMode="External"/><Relationship Id="rId40" Type="http://schemas.openxmlformats.org/officeDocument/2006/relationships/hyperlink" Target="https://doi.org/10.1080/03057260903142285" TargetMode="External"/><Relationship Id="rId45" Type="http://schemas.openxmlformats.org/officeDocument/2006/relationships/hyperlink" Target="https://doi.org/10.5539/ass.v8n10p151" TargetMode="External"/><Relationship Id="rId66" Type="http://schemas.openxmlformats.org/officeDocument/2006/relationships/hyperlink" Target="http://dx.doi.org/10.1016/j.tate.2013.11.003" TargetMode="External"/><Relationship Id="rId87" Type="http://schemas.openxmlformats.org/officeDocument/2006/relationships/footer" Target="footer3.xml"/><Relationship Id="rId61" Type="http://schemas.openxmlformats.org/officeDocument/2006/relationships/hyperlink" Target="https://pubmed.ncbi.nlm.nih.gov/10591279/" TargetMode="External"/><Relationship Id="rId82" Type="http://schemas.openxmlformats.org/officeDocument/2006/relationships/header" Target="header1.xml"/><Relationship Id="rId19" Type="http://schemas.openxmlformats.org/officeDocument/2006/relationships/hyperlink" Target="https://doi.org/10.33225/jbse/20.19.5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5uWg+GEaVVeTxM13UTRPjiibA==">CgMxLjAaHwoBMBIaChgICVIUChJ0YWJsZS54Ym9hbTRyMXczcnMaHgoBMRIZChcICVITChF0YWJsZS5vbzZ5d3Q0NGZ1dTIOaC44a2g5ZmVqdDFnc3o4AHIhMU55ZVN2bmJib25sQ0U1LXhaMG1jaDdnNDYtZTgzZTI5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9935</Words>
  <Characters>56631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Ngwenya</dc:creator>
  <cp:lastModifiedBy>SDI 1183</cp:lastModifiedBy>
  <cp:revision>5</cp:revision>
  <dcterms:created xsi:type="dcterms:W3CDTF">2025-06-15T01:48:00Z</dcterms:created>
  <dcterms:modified xsi:type="dcterms:W3CDTF">2025-06-17T06:57:00Z</dcterms:modified>
</cp:coreProperties>
</file>