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FD33B" w14:textId="77777777" w:rsidR="007F3108" w:rsidRDefault="007F3108" w:rsidP="00441B6F">
      <w:pPr>
        <w:pStyle w:val="Title"/>
        <w:spacing w:after="0"/>
        <w:jc w:val="both"/>
        <w:rPr>
          <w:rFonts w:ascii="Arial" w:hAnsi="Arial" w:cs="Arial"/>
        </w:rPr>
      </w:pPr>
    </w:p>
    <w:p w14:paraId="7D2F98CC" w14:textId="5D92DE7C" w:rsidR="00D20422" w:rsidRDefault="00DC68CA" w:rsidP="001608CD">
      <w:pPr>
        <w:pStyle w:val="AbstHead"/>
        <w:spacing w:after="0"/>
        <w:jc w:val="center"/>
        <w:rPr>
          <w:rFonts w:ascii="Arial" w:hAnsi="Arial" w:cs="Arial"/>
          <w:bCs/>
          <w:iCs/>
          <w:kern w:val="28"/>
          <w:sz w:val="36"/>
        </w:rPr>
      </w:pPr>
      <w:bookmarkStart w:id="0" w:name="_Hlk200203043"/>
      <w:r>
        <w:rPr>
          <w:rFonts w:ascii="Arial" w:hAnsi="Arial" w:cs="Arial"/>
          <w:bCs/>
          <w:iCs/>
          <w:caps w:val="0"/>
          <w:kern w:val="28"/>
          <w:sz w:val="36"/>
        </w:rPr>
        <w:t xml:space="preserve">Assessing the Role of </w:t>
      </w:r>
      <w:r w:rsidRPr="00B428DA">
        <w:rPr>
          <w:rFonts w:ascii="Arial" w:hAnsi="Arial" w:cs="Arial"/>
          <w:bCs/>
          <w:iCs/>
          <w:caps w:val="0"/>
          <w:kern w:val="28"/>
          <w:sz w:val="36"/>
        </w:rPr>
        <w:t xml:space="preserve">Instructional Culture </w:t>
      </w:r>
      <w:r>
        <w:rPr>
          <w:rFonts w:ascii="Arial" w:hAnsi="Arial" w:cs="Arial"/>
          <w:bCs/>
          <w:iCs/>
          <w:caps w:val="0"/>
          <w:kern w:val="28"/>
          <w:sz w:val="36"/>
        </w:rPr>
        <w:t>in</w:t>
      </w:r>
      <w:r w:rsidRPr="00B428DA">
        <w:rPr>
          <w:rFonts w:ascii="Arial" w:hAnsi="Arial" w:cs="Arial"/>
          <w:bCs/>
          <w:iCs/>
          <w:caps w:val="0"/>
          <w:kern w:val="28"/>
          <w:sz w:val="36"/>
        </w:rPr>
        <w:t xml:space="preserve"> The Implementation of Music Education Curriculum </w:t>
      </w:r>
      <w:r>
        <w:rPr>
          <w:rFonts w:ascii="Arial" w:hAnsi="Arial" w:cs="Arial"/>
          <w:bCs/>
          <w:iCs/>
          <w:caps w:val="0"/>
          <w:kern w:val="28"/>
          <w:sz w:val="36"/>
        </w:rPr>
        <w:t>i</w:t>
      </w:r>
      <w:r w:rsidRPr="00B428DA">
        <w:rPr>
          <w:rFonts w:ascii="Arial" w:hAnsi="Arial" w:cs="Arial"/>
          <w:bCs/>
          <w:iCs/>
          <w:caps w:val="0"/>
          <w:kern w:val="28"/>
          <w:sz w:val="36"/>
        </w:rPr>
        <w:t>n Southwest Nigeria</w:t>
      </w:r>
    </w:p>
    <w:p w14:paraId="424A761F" w14:textId="77777777" w:rsidR="00D20422" w:rsidRDefault="00D20422" w:rsidP="00441B6F">
      <w:pPr>
        <w:pStyle w:val="AbstHead"/>
        <w:spacing w:after="0"/>
        <w:jc w:val="both"/>
        <w:rPr>
          <w:rFonts w:ascii="Arial" w:hAnsi="Arial" w:cs="Arial"/>
          <w:bCs/>
          <w:iCs/>
          <w:kern w:val="28"/>
          <w:sz w:val="36"/>
        </w:rPr>
      </w:pPr>
    </w:p>
    <w:p w14:paraId="45E66796" w14:textId="6FCDB94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20B0C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D17B307" w14:textId="77777777" w:rsidTr="001E44FE">
        <w:tc>
          <w:tcPr>
            <w:tcW w:w="9576" w:type="dxa"/>
            <w:shd w:val="clear" w:color="auto" w:fill="F2F2F2"/>
          </w:tcPr>
          <w:p w14:paraId="06AD846B" w14:textId="565AC475" w:rsidR="0034329C" w:rsidRDefault="00BA1B01" w:rsidP="0034329C">
            <w:pPr>
              <w:pStyle w:val="Body"/>
              <w:rPr>
                <w:rFonts w:ascii="Arial" w:eastAsia="Calibri" w:hAnsi="Arial" w:cs="Arial"/>
                <w:szCs w:val="22"/>
              </w:rPr>
            </w:pPr>
            <w:bookmarkStart w:id="1" w:name="_Hlk200784902"/>
            <w:r w:rsidRPr="00BA1B01">
              <w:rPr>
                <w:rFonts w:ascii="Arial" w:eastAsia="Calibri" w:hAnsi="Arial" w:cs="Arial"/>
                <w:b/>
                <w:szCs w:val="22"/>
              </w:rPr>
              <w:t xml:space="preserve">Aims: </w:t>
            </w:r>
            <w:r w:rsidR="00002A3C" w:rsidRPr="00002A3C">
              <w:rPr>
                <w:rFonts w:ascii="Arial" w:eastAsia="Calibri" w:hAnsi="Arial" w:cs="Arial"/>
                <w:szCs w:val="22"/>
              </w:rPr>
              <w:t xml:space="preserve">Scholarship on music education in Nigeria </w:t>
            </w:r>
            <w:r w:rsidR="00DA20C8">
              <w:rPr>
                <w:rFonts w:ascii="Arial" w:eastAsia="Calibri" w:hAnsi="Arial" w:cs="Arial"/>
                <w:szCs w:val="22"/>
              </w:rPr>
              <w:t>has focused on the perceived inadequacies of the curriculum, particularly in terms of limited responsiveness to current trends in the music industry</w:t>
            </w:r>
            <w:r w:rsidR="004802EA">
              <w:rPr>
                <w:rFonts w:ascii="Arial" w:eastAsia="Calibri" w:hAnsi="Arial" w:cs="Arial"/>
                <w:szCs w:val="22"/>
              </w:rPr>
              <w:t xml:space="preserve">. </w:t>
            </w:r>
            <w:r w:rsidR="00002A3C" w:rsidRPr="00002A3C">
              <w:rPr>
                <w:rFonts w:ascii="Arial" w:eastAsia="Calibri" w:hAnsi="Arial" w:cs="Arial"/>
                <w:szCs w:val="22"/>
              </w:rPr>
              <w:t>While th</w:t>
            </w:r>
            <w:r w:rsidR="004802EA">
              <w:rPr>
                <w:rFonts w:ascii="Arial" w:eastAsia="Calibri" w:hAnsi="Arial" w:cs="Arial"/>
                <w:szCs w:val="22"/>
              </w:rPr>
              <w:t>is</w:t>
            </w:r>
            <w:r w:rsidR="00002A3C" w:rsidRPr="00002A3C">
              <w:rPr>
                <w:rFonts w:ascii="Arial" w:eastAsia="Calibri" w:hAnsi="Arial" w:cs="Arial"/>
                <w:szCs w:val="22"/>
              </w:rPr>
              <w:t xml:space="preserve"> concern</w:t>
            </w:r>
            <w:r w:rsidR="004802EA">
              <w:rPr>
                <w:rFonts w:ascii="Arial" w:eastAsia="Calibri" w:hAnsi="Arial" w:cs="Arial"/>
                <w:szCs w:val="22"/>
              </w:rPr>
              <w:t xml:space="preserve"> i</w:t>
            </w:r>
            <w:r w:rsidR="00002A3C" w:rsidRPr="00002A3C">
              <w:rPr>
                <w:rFonts w:ascii="Arial" w:eastAsia="Calibri" w:hAnsi="Arial" w:cs="Arial"/>
                <w:szCs w:val="22"/>
              </w:rPr>
              <w:t>s valid, they often overlook the dimension of curriculum delivery, especially the instructional culture in institutions. This study therefore investigates</w:t>
            </w:r>
            <w:r w:rsidR="0034329C" w:rsidRPr="0034329C">
              <w:rPr>
                <w:rFonts w:ascii="Arial" w:eastAsia="Calibri" w:hAnsi="Arial" w:cs="Arial"/>
                <w:szCs w:val="22"/>
              </w:rPr>
              <w:t xml:space="preserve"> the defining characteristics of instructional culture in music education settings across selected institutions</w:t>
            </w:r>
            <w:r w:rsidR="0034329C">
              <w:rPr>
                <w:rFonts w:ascii="Arial" w:eastAsia="Calibri" w:hAnsi="Arial" w:cs="Arial"/>
                <w:szCs w:val="22"/>
              </w:rPr>
              <w:t>, how</w:t>
            </w:r>
            <w:r w:rsidR="0034329C" w:rsidRPr="0034329C">
              <w:rPr>
                <w:rFonts w:ascii="Arial" w:eastAsia="Calibri" w:hAnsi="Arial" w:cs="Arial"/>
                <w:szCs w:val="22"/>
              </w:rPr>
              <w:t xml:space="preserve"> the instructional culture </w:t>
            </w:r>
            <w:r w:rsidR="00DA20C8">
              <w:rPr>
                <w:rFonts w:ascii="Arial" w:eastAsia="Calibri" w:hAnsi="Arial" w:cs="Arial"/>
                <w:szCs w:val="22"/>
              </w:rPr>
              <w:t xml:space="preserve">shapes the </w:t>
            </w:r>
            <w:r w:rsidR="0034329C" w:rsidRPr="0034329C">
              <w:rPr>
                <w:rFonts w:ascii="Arial" w:eastAsia="Calibri" w:hAnsi="Arial" w:cs="Arial"/>
                <w:szCs w:val="22"/>
              </w:rPr>
              <w:t>curriculum implementation process</w:t>
            </w:r>
            <w:r w:rsidR="0034329C">
              <w:rPr>
                <w:rFonts w:ascii="Arial" w:eastAsia="Calibri" w:hAnsi="Arial" w:cs="Arial"/>
                <w:szCs w:val="22"/>
              </w:rPr>
              <w:t xml:space="preserve"> and </w:t>
            </w:r>
            <w:r w:rsidR="0034329C" w:rsidRPr="0034329C">
              <w:rPr>
                <w:rFonts w:ascii="Arial" w:eastAsia="Calibri" w:hAnsi="Arial" w:cs="Arial"/>
                <w:szCs w:val="22"/>
              </w:rPr>
              <w:t>identif</w:t>
            </w:r>
            <w:r w:rsidR="0034329C">
              <w:rPr>
                <w:rFonts w:ascii="Arial" w:eastAsia="Calibri" w:hAnsi="Arial" w:cs="Arial"/>
                <w:szCs w:val="22"/>
              </w:rPr>
              <w:t>ies</w:t>
            </w:r>
            <w:r w:rsidR="0034329C" w:rsidRPr="0034329C">
              <w:rPr>
                <w:rFonts w:ascii="Arial" w:eastAsia="Calibri" w:hAnsi="Arial" w:cs="Arial"/>
                <w:szCs w:val="22"/>
              </w:rPr>
              <w:t xml:space="preserve"> best practices as reflected in the instructional cultures across </w:t>
            </w:r>
            <w:r w:rsidR="00375E23">
              <w:rPr>
                <w:rFonts w:ascii="Arial" w:eastAsia="Calibri" w:hAnsi="Arial" w:cs="Arial"/>
                <w:szCs w:val="22"/>
              </w:rPr>
              <w:t>these</w:t>
            </w:r>
            <w:r w:rsidR="0034329C" w:rsidRPr="0034329C">
              <w:rPr>
                <w:rFonts w:ascii="Arial" w:eastAsia="Calibri" w:hAnsi="Arial" w:cs="Arial"/>
                <w:szCs w:val="22"/>
              </w:rPr>
              <w:t xml:space="preserve"> institutions</w:t>
            </w:r>
            <w:r w:rsidR="0034329C">
              <w:rPr>
                <w:rFonts w:ascii="Arial" w:eastAsia="Calibri" w:hAnsi="Arial" w:cs="Arial"/>
                <w:szCs w:val="22"/>
              </w:rPr>
              <w:t>.</w:t>
            </w:r>
          </w:p>
          <w:p w14:paraId="12E2AFB5" w14:textId="507E7748" w:rsidR="00BA1B01" w:rsidRPr="00BA1B01" w:rsidRDefault="00BA1B01" w:rsidP="0034329C">
            <w:pPr>
              <w:pStyle w:val="Body"/>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7362D">
              <w:rPr>
                <w:rFonts w:ascii="Arial" w:eastAsia="Calibri" w:hAnsi="Arial" w:cs="Arial"/>
                <w:szCs w:val="22"/>
              </w:rPr>
              <w:t xml:space="preserve">A </w:t>
            </w:r>
            <w:r w:rsidR="00DA20C8">
              <w:rPr>
                <w:rFonts w:ascii="Arial" w:eastAsia="Calibri" w:hAnsi="Arial" w:cs="Arial"/>
                <w:szCs w:val="22"/>
              </w:rPr>
              <w:t>mixed-methods</w:t>
            </w:r>
            <w:r w:rsidR="0097362D">
              <w:rPr>
                <w:rFonts w:ascii="Arial" w:eastAsia="Calibri" w:hAnsi="Arial" w:cs="Arial"/>
                <w:szCs w:val="22"/>
              </w:rPr>
              <w:t xml:space="preserve"> approach using q</w:t>
            </w:r>
            <w:r w:rsidR="00002A3C" w:rsidRPr="00002A3C">
              <w:rPr>
                <w:rFonts w:ascii="Arial" w:eastAsia="Calibri" w:hAnsi="Arial" w:cs="Arial"/>
                <w:szCs w:val="22"/>
              </w:rPr>
              <w:t xml:space="preserve">uantitative and qualitative </w:t>
            </w:r>
            <w:r w:rsidR="0097362D">
              <w:rPr>
                <w:rFonts w:ascii="Arial" w:eastAsia="Calibri" w:hAnsi="Arial" w:cs="Arial"/>
                <w:szCs w:val="22"/>
              </w:rPr>
              <w:t xml:space="preserve">techniques. </w:t>
            </w:r>
            <w:r w:rsidR="00002A3C" w:rsidRPr="00002A3C">
              <w:rPr>
                <w:rFonts w:ascii="Arial" w:eastAsia="Calibri" w:hAnsi="Arial" w:cs="Arial"/>
                <w:szCs w:val="22"/>
              </w:rPr>
              <w:t xml:space="preserve"> </w:t>
            </w:r>
          </w:p>
          <w:p w14:paraId="1D7B71EC" w14:textId="679949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02A3C" w:rsidRPr="00002A3C">
              <w:rPr>
                <w:rFonts w:ascii="Arial" w:eastAsia="Calibri" w:hAnsi="Arial" w:cs="Arial"/>
                <w:szCs w:val="22"/>
              </w:rPr>
              <w:t>Federal College</w:t>
            </w:r>
            <w:r w:rsidR="009A370F">
              <w:rPr>
                <w:rFonts w:ascii="Arial" w:eastAsia="Calibri" w:hAnsi="Arial" w:cs="Arial"/>
                <w:szCs w:val="22"/>
              </w:rPr>
              <w:t>s</w:t>
            </w:r>
            <w:r w:rsidR="00002A3C" w:rsidRPr="00002A3C">
              <w:rPr>
                <w:rFonts w:ascii="Arial" w:eastAsia="Calibri" w:hAnsi="Arial" w:cs="Arial"/>
                <w:szCs w:val="22"/>
              </w:rPr>
              <w:t xml:space="preserve"> of Education</w:t>
            </w:r>
            <w:r w:rsidR="009A370F">
              <w:rPr>
                <w:rFonts w:ascii="Arial" w:eastAsia="Calibri" w:hAnsi="Arial" w:cs="Arial"/>
                <w:szCs w:val="22"/>
              </w:rPr>
              <w:t xml:space="preserve"> in</w:t>
            </w:r>
            <w:r w:rsidR="00002A3C" w:rsidRPr="00002A3C">
              <w:rPr>
                <w:rFonts w:ascii="Arial" w:eastAsia="Calibri" w:hAnsi="Arial" w:cs="Arial"/>
                <w:szCs w:val="22"/>
              </w:rPr>
              <w:t xml:space="preserve"> Oyo and </w:t>
            </w:r>
            <w:r w:rsidR="009A370F">
              <w:rPr>
                <w:rFonts w:ascii="Arial" w:eastAsia="Calibri" w:hAnsi="Arial" w:cs="Arial"/>
                <w:szCs w:val="22"/>
              </w:rPr>
              <w:t xml:space="preserve">Ogun state </w:t>
            </w:r>
            <w:r w:rsidRPr="00BA1B01">
              <w:rPr>
                <w:rFonts w:ascii="Arial" w:eastAsia="Calibri" w:hAnsi="Arial" w:cs="Arial"/>
                <w:szCs w:val="22"/>
              </w:rPr>
              <w:t xml:space="preserve">between </w:t>
            </w:r>
            <w:r w:rsidR="00002A3C" w:rsidRPr="00002A3C">
              <w:rPr>
                <w:rFonts w:ascii="Arial" w:eastAsia="Calibri" w:hAnsi="Arial" w:cs="Arial"/>
                <w:szCs w:val="22"/>
              </w:rPr>
              <w:t xml:space="preserve">October 2024 </w:t>
            </w:r>
            <w:r w:rsidR="00002A3C">
              <w:rPr>
                <w:rFonts w:ascii="Arial" w:eastAsia="Calibri" w:hAnsi="Arial" w:cs="Arial"/>
                <w:szCs w:val="22"/>
              </w:rPr>
              <w:t xml:space="preserve">and April </w:t>
            </w:r>
            <w:r w:rsidRPr="00BA1B01">
              <w:rPr>
                <w:rFonts w:ascii="Arial" w:eastAsia="Calibri" w:hAnsi="Arial" w:cs="Arial"/>
                <w:szCs w:val="22"/>
              </w:rPr>
              <w:t>20</w:t>
            </w:r>
            <w:r w:rsidR="00002A3C">
              <w:rPr>
                <w:rFonts w:ascii="Arial" w:eastAsia="Calibri" w:hAnsi="Arial" w:cs="Arial"/>
                <w:szCs w:val="22"/>
              </w:rPr>
              <w:t>25</w:t>
            </w:r>
            <w:r w:rsidRPr="00BA1B01">
              <w:rPr>
                <w:rFonts w:ascii="Arial" w:eastAsia="Calibri" w:hAnsi="Arial" w:cs="Arial"/>
                <w:szCs w:val="22"/>
              </w:rPr>
              <w:t>.</w:t>
            </w:r>
          </w:p>
          <w:p w14:paraId="23CE22EF" w14:textId="38B106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375E23">
              <w:rPr>
                <w:rFonts w:ascii="Arial" w:eastAsia="Calibri" w:hAnsi="Arial" w:cs="Arial"/>
                <w:b/>
                <w:bCs/>
                <w:szCs w:val="22"/>
              </w:rPr>
              <w:t xml:space="preserve"> </w:t>
            </w:r>
            <w:r w:rsidR="00375E23">
              <w:rPr>
                <w:rFonts w:ascii="Arial" w:eastAsia="Calibri" w:hAnsi="Arial" w:cs="Arial"/>
                <w:szCs w:val="22"/>
              </w:rPr>
              <w:t>Respondents include</w:t>
            </w:r>
            <w:r w:rsidR="0097362D">
              <w:rPr>
                <w:rFonts w:ascii="Arial" w:eastAsia="Calibri" w:hAnsi="Arial" w:cs="Arial"/>
                <w:szCs w:val="22"/>
              </w:rPr>
              <w:t xml:space="preserve"> penultimate and final year</w:t>
            </w:r>
            <w:r w:rsidR="00375E23">
              <w:rPr>
                <w:rFonts w:ascii="Arial" w:eastAsia="Calibri" w:hAnsi="Arial" w:cs="Arial"/>
                <w:szCs w:val="22"/>
              </w:rPr>
              <w:t xml:space="preserve"> students as well as </w:t>
            </w:r>
            <w:r w:rsidR="0097362D">
              <w:rPr>
                <w:rFonts w:ascii="Arial" w:eastAsia="Calibri" w:hAnsi="Arial" w:cs="Arial"/>
                <w:szCs w:val="22"/>
              </w:rPr>
              <w:t>lecturers</w:t>
            </w:r>
            <w:r w:rsidR="00375E23">
              <w:rPr>
                <w:rFonts w:ascii="Arial" w:eastAsia="Calibri" w:hAnsi="Arial" w:cs="Arial"/>
                <w:szCs w:val="22"/>
              </w:rPr>
              <w:t xml:space="preserve"> with over </w:t>
            </w:r>
            <w:r w:rsidR="0097362D">
              <w:rPr>
                <w:rFonts w:ascii="Arial" w:eastAsia="Calibri" w:hAnsi="Arial" w:cs="Arial"/>
                <w:szCs w:val="22"/>
              </w:rPr>
              <w:t xml:space="preserve">6 years </w:t>
            </w:r>
            <w:r w:rsidR="00375E23">
              <w:rPr>
                <w:rFonts w:ascii="Arial" w:eastAsia="Calibri" w:hAnsi="Arial" w:cs="Arial"/>
                <w:szCs w:val="22"/>
              </w:rPr>
              <w:t>of</w:t>
            </w:r>
            <w:r w:rsidR="0097362D">
              <w:rPr>
                <w:rFonts w:ascii="Arial" w:eastAsia="Calibri" w:hAnsi="Arial" w:cs="Arial"/>
                <w:szCs w:val="22"/>
              </w:rPr>
              <w:t xml:space="preserve"> service. </w:t>
            </w:r>
            <w:r w:rsidR="004B448B">
              <w:rPr>
                <w:rFonts w:ascii="Arial" w:eastAsia="Calibri" w:hAnsi="Arial" w:cs="Arial"/>
                <w:szCs w:val="22"/>
              </w:rPr>
              <w:t xml:space="preserve">Data </w:t>
            </w:r>
            <w:r w:rsidR="004B448B" w:rsidRPr="00002A3C">
              <w:rPr>
                <w:rFonts w:ascii="Arial" w:eastAsia="Calibri" w:hAnsi="Arial" w:cs="Arial"/>
                <w:szCs w:val="22"/>
              </w:rPr>
              <w:t>derived from structured questionnaires</w:t>
            </w:r>
            <w:r w:rsidR="009A370F">
              <w:rPr>
                <w:rFonts w:ascii="Arial" w:eastAsia="Calibri" w:hAnsi="Arial" w:cs="Arial"/>
                <w:szCs w:val="22"/>
              </w:rPr>
              <w:t xml:space="preserve"> was </w:t>
            </w:r>
            <w:proofErr w:type="spellStart"/>
            <w:r w:rsidR="009A370F">
              <w:rPr>
                <w:rFonts w:ascii="Arial" w:eastAsia="Calibri" w:hAnsi="Arial" w:cs="Arial"/>
                <w:szCs w:val="22"/>
              </w:rPr>
              <w:t>analysed</w:t>
            </w:r>
            <w:proofErr w:type="spellEnd"/>
            <w:r w:rsidR="009A370F">
              <w:rPr>
                <w:rFonts w:ascii="Arial" w:eastAsia="Calibri" w:hAnsi="Arial" w:cs="Arial"/>
                <w:szCs w:val="22"/>
              </w:rPr>
              <w:t xml:space="preserve"> using descriptive statistics, while</w:t>
            </w:r>
            <w:r w:rsidR="004B448B" w:rsidRPr="00002A3C">
              <w:rPr>
                <w:rFonts w:ascii="Arial" w:eastAsia="Calibri" w:hAnsi="Arial" w:cs="Arial"/>
                <w:szCs w:val="22"/>
              </w:rPr>
              <w:t xml:space="preserve"> </w:t>
            </w:r>
            <w:r w:rsidR="009A370F">
              <w:rPr>
                <w:rFonts w:ascii="Arial" w:eastAsia="Calibri" w:hAnsi="Arial" w:cs="Arial"/>
                <w:szCs w:val="22"/>
              </w:rPr>
              <w:t xml:space="preserve">qualitative data from </w:t>
            </w:r>
            <w:r w:rsidR="004B448B" w:rsidRPr="00002A3C">
              <w:rPr>
                <w:rFonts w:ascii="Arial" w:eastAsia="Calibri" w:hAnsi="Arial" w:cs="Arial"/>
                <w:szCs w:val="22"/>
              </w:rPr>
              <w:t xml:space="preserve">classroom observation and </w:t>
            </w:r>
            <w:r w:rsidR="00DA20C8">
              <w:rPr>
                <w:rFonts w:ascii="Arial" w:eastAsia="Calibri" w:hAnsi="Arial" w:cs="Arial"/>
                <w:szCs w:val="22"/>
              </w:rPr>
              <w:t>interviews</w:t>
            </w:r>
            <w:r w:rsidR="00DA20C8" w:rsidRPr="00002A3C">
              <w:rPr>
                <w:rFonts w:ascii="Arial" w:eastAsia="Calibri" w:hAnsi="Arial" w:cs="Arial"/>
                <w:szCs w:val="22"/>
              </w:rPr>
              <w:t xml:space="preserve"> </w:t>
            </w:r>
            <w:r w:rsidR="00DA20C8">
              <w:rPr>
                <w:rFonts w:ascii="Arial" w:eastAsia="Calibri" w:hAnsi="Arial" w:cs="Arial"/>
                <w:szCs w:val="22"/>
              </w:rPr>
              <w:t xml:space="preserve">was </w:t>
            </w:r>
            <w:proofErr w:type="spellStart"/>
            <w:r w:rsidR="00DA20C8">
              <w:rPr>
                <w:rFonts w:ascii="Arial" w:eastAsia="Calibri" w:hAnsi="Arial" w:cs="Arial"/>
                <w:szCs w:val="22"/>
              </w:rPr>
              <w:t>analysed</w:t>
            </w:r>
            <w:proofErr w:type="spellEnd"/>
            <w:r w:rsidR="00DA20C8">
              <w:rPr>
                <w:rFonts w:ascii="Arial" w:eastAsia="Calibri" w:hAnsi="Arial" w:cs="Arial"/>
                <w:szCs w:val="22"/>
              </w:rPr>
              <w:t xml:space="preserve"> using thematic </w:t>
            </w:r>
            <w:proofErr w:type="spellStart"/>
            <w:r w:rsidR="00DA20C8">
              <w:rPr>
                <w:rFonts w:ascii="Arial" w:eastAsia="Calibri" w:hAnsi="Arial" w:cs="Arial"/>
                <w:szCs w:val="22"/>
              </w:rPr>
              <w:t>categorisation</w:t>
            </w:r>
            <w:proofErr w:type="spellEnd"/>
            <w:r w:rsidR="0097362D">
              <w:rPr>
                <w:rFonts w:ascii="Arial" w:eastAsia="Calibri" w:hAnsi="Arial" w:cs="Arial"/>
                <w:szCs w:val="22"/>
              </w:rPr>
              <w:t xml:space="preserve">. </w:t>
            </w:r>
          </w:p>
          <w:p w14:paraId="074225E9" w14:textId="56743739" w:rsidR="0034329C" w:rsidRPr="0034329C" w:rsidRDefault="0034329C" w:rsidP="00441B6F">
            <w:pPr>
              <w:pStyle w:val="Body"/>
              <w:spacing w:after="0"/>
              <w:rPr>
                <w:rFonts w:ascii="Arial" w:eastAsia="Calibri" w:hAnsi="Arial" w:cs="Arial"/>
                <w:szCs w:val="22"/>
              </w:rPr>
            </w:pPr>
            <w:r w:rsidRPr="0034329C">
              <w:rPr>
                <w:rFonts w:ascii="Arial" w:eastAsia="Calibri" w:hAnsi="Arial" w:cs="Arial"/>
                <w:b/>
                <w:bCs/>
                <w:szCs w:val="22"/>
              </w:rPr>
              <w:t>Results:</w:t>
            </w:r>
            <w:r>
              <w:rPr>
                <w:rFonts w:ascii="Arial" w:eastAsia="Calibri" w:hAnsi="Arial" w:cs="Arial"/>
                <w:szCs w:val="22"/>
              </w:rPr>
              <w:t xml:space="preserve"> </w:t>
            </w:r>
            <w:r w:rsidRPr="0034329C">
              <w:rPr>
                <w:rFonts w:ascii="Arial" w:eastAsia="Calibri" w:hAnsi="Arial" w:cs="Arial"/>
                <w:szCs w:val="22"/>
              </w:rPr>
              <w:t xml:space="preserve">83 valid student responses were </w:t>
            </w:r>
            <w:proofErr w:type="spellStart"/>
            <w:r w:rsidRPr="0034329C">
              <w:rPr>
                <w:rFonts w:ascii="Arial" w:eastAsia="Calibri" w:hAnsi="Arial" w:cs="Arial"/>
                <w:szCs w:val="22"/>
              </w:rPr>
              <w:t>analysed</w:t>
            </w:r>
            <w:proofErr w:type="spellEnd"/>
            <w:r w:rsidRPr="0034329C">
              <w:rPr>
                <w:rFonts w:ascii="Arial" w:eastAsia="Calibri" w:hAnsi="Arial" w:cs="Arial"/>
                <w:szCs w:val="22"/>
              </w:rPr>
              <w:t xml:space="preserve"> (90.2%</w:t>
            </w:r>
            <w:r w:rsidR="009A370F">
              <w:rPr>
                <w:rFonts w:ascii="Arial" w:eastAsia="Calibri" w:hAnsi="Arial" w:cs="Arial"/>
                <w:szCs w:val="22"/>
              </w:rPr>
              <w:t>)</w:t>
            </w:r>
            <w:r w:rsidRPr="0034329C">
              <w:rPr>
                <w:rFonts w:ascii="Arial" w:eastAsia="Calibri" w:hAnsi="Arial" w:cs="Arial"/>
                <w:szCs w:val="22"/>
              </w:rPr>
              <w:t xml:space="preserve"> alongside 5 lecturer responses (100%). Students’ mean scores (3.63 ± 1.30) showed moderate agreement that instructional culture supports curriculum delivery, though interviews revealed concerns about </w:t>
            </w:r>
            <w:r w:rsidR="006F3F0F">
              <w:rPr>
                <w:rFonts w:ascii="Arial" w:eastAsia="Calibri" w:hAnsi="Arial" w:cs="Arial"/>
                <w:szCs w:val="22"/>
              </w:rPr>
              <w:t>outdated</w:t>
            </w:r>
            <w:r w:rsidR="00DA20C8" w:rsidRPr="0034329C">
              <w:rPr>
                <w:rFonts w:ascii="Arial" w:eastAsia="Calibri" w:hAnsi="Arial" w:cs="Arial"/>
                <w:szCs w:val="22"/>
              </w:rPr>
              <w:t xml:space="preserve"> </w:t>
            </w:r>
            <w:r w:rsidRPr="0034329C">
              <w:rPr>
                <w:rFonts w:ascii="Arial" w:eastAsia="Calibri" w:hAnsi="Arial" w:cs="Arial"/>
                <w:szCs w:val="22"/>
              </w:rPr>
              <w:t xml:space="preserve">teaching methods. Lecturers rated instructional culture more </w:t>
            </w:r>
            <w:proofErr w:type="spellStart"/>
            <w:r w:rsidRPr="0034329C">
              <w:rPr>
                <w:rFonts w:ascii="Arial" w:eastAsia="Calibri" w:hAnsi="Arial" w:cs="Arial"/>
                <w:szCs w:val="22"/>
              </w:rPr>
              <w:t>favourably</w:t>
            </w:r>
            <w:proofErr w:type="spellEnd"/>
            <w:r w:rsidRPr="0034329C">
              <w:rPr>
                <w:rFonts w:ascii="Arial" w:eastAsia="Calibri" w:hAnsi="Arial" w:cs="Arial"/>
                <w:szCs w:val="22"/>
              </w:rPr>
              <w:t xml:space="preserve"> (Mean = 4.46 ± 0.62) but highlighted infrastructure limitations. While both groups acknowledge its importance, students’ reservations suggest that existing practices may not fully support effective curriculum implementation in music education.</w:t>
            </w:r>
          </w:p>
          <w:p w14:paraId="4F17BF6E" w14:textId="5FE46413"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B448B">
              <w:rPr>
                <w:rFonts w:ascii="Arial" w:eastAsia="Calibri" w:hAnsi="Arial" w:cs="Arial"/>
                <w:szCs w:val="22"/>
              </w:rPr>
              <w:t>T</w:t>
            </w:r>
            <w:r w:rsidR="004B448B" w:rsidRPr="004B448B">
              <w:rPr>
                <w:rFonts w:ascii="Arial" w:eastAsia="Calibri" w:hAnsi="Arial" w:cs="Arial"/>
                <w:szCs w:val="22"/>
              </w:rPr>
              <w:t xml:space="preserve">he persistence of outdated or misaligned instructional practices can hinder the </w:t>
            </w:r>
            <w:proofErr w:type="spellStart"/>
            <w:r w:rsidR="00DA20C8">
              <w:rPr>
                <w:rFonts w:ascii="Arial" w:eastAsia="Calibri" w:hAnsi="Arial" w:cs="Arial"/>
                <w:szCs w:val="22"/>
              </w:rPr>
              <w:t>realisation</w:t>
            </w:r>
            <w:proofErr w:type="spellEnd"/>
            <w:r w:rsidR="00DA20C8" w:rsidRPr="004B448B">
              <w:rPr>
                <w:rFonts w:ascii="Arial" w:eastAsia="Calibri" w:hAnsi="Arial" w:cs="Arial"/>
                <w:szCs w:val="22"/>
              </w:rPr>
              <w:t xml:space="preserve"> </w:t>
            </w:r>
            <w:r w:rsidR="004B448B" w:rsidRPr="004B448B">
              <w:rPr>
                <w:rFonts w:ascii="Arial" w:eastAsia="Calibri" w:hAnsi="Arial" w:cs="Arial"/>
                <w:szCs w:val="22"/>
              </w:rPr>
              <w:t>of intended learning outcomes.</w:t>
            </w:r>
            <w:r w:rsidR="009A3A92">
              <w:rPr>
                <w:rFonts w:ascii="Arial" w:eastAsia="Calibri" w:hAnsi="Arial" w:cs="Arial"/>
                <w:szCs w:val="22"/>
              </w:rPr>
              <w:t xml:space="preserve"> </w:t>
            </w:r>
            <w:r w:rsidR="004B448B" w:rsidRPr="004B448B">
              <w:rPr>
                <w:rFonts w:ascii="Arial" w:eastAsia="Calibri" w:hAnsi="Arial" w:cs="Arial"/>
                <w:szCs w:val="22"/>
              </w:rPr>
              <w:t>Therefore</w:t>
            </w:r>
            <w:r w:rsidR="009A3A92">
              <w:rPr>
                <w:rFonts w:ascii="Arial" w:eastAsia="Calibri" w:hAnsi="Arial" w:cs="Arial"/>
                <w:szCs w:val="22"/>
              </w:rPr>
              <w:t xml:space="preserve">, </w:t>
            </w:r>
            <w:r w:rsidR="004B448B" w:rsidRPr="004B448B">
              <w:rPr>
                <w:rFonts w:ascii="Arial" w:eastAsia="Calibri" w:hAnsi="Arial" w:cs="Arial"/>
                <w:szCs w:val="22"/>
              </w:rPr>
              <w:t>without a deliberate alignment between the curriculum content and a dynamic instructional culture, efforts to improve</w:t>
            </w:r>
            <w:r w:rsidR="009A3A92">
              <w:rPr>
                <w:rFonts w:ascii="Arial" w:eastAsia="Calibri" w:hAnsi="Arial" w:cs="Arial"/>
                <w:szCs w:val="22"/>
              </w:rPr>
              <w:t xml:space="preserve"> Nigerian</w:t>
            </w:r>
            <w:r w:rsidR="004B448B" w:rsidRPr="004B448B">
              <w:rPr>
                <w:rFonts w:ascii="Arial" w:eastAsia="Calibri" w:hAnsi="Arial" w:cs="Arial"/>
                <w:szCs w:val="22"/>
              </w:rPr>
              <w:t xml:space="preserve"> music education may be unsustainable.</w:t>
            </w:r>
            <w:bookmarkEnd w:id="1"/>
          </w:p>
        </w:tc>
      </w:tr>
    </w:tbl>
    <w:p w14:paraId="713C0C1A" w14:textId="77777777" w:rsidR="00636EB2" w:rsidRDefault="00636EB2" w:rsidP="00441B6F">
      <w:pPr>
        <w:pStyle w:val="Body"/>
        <w:spacing w:after="0"/>
        <w:rPr>
          <w:rFonts w:ascii="Arial" w:hAnsi="Arial" w:cs="Arial"/>
          <w:i/>
        </w:rPr>
      </w:pPr>
    </w:p>
    <w:p w14:paraId="27A92540" w14:textId="1A123F5B" w:rsidR="00A24E7E" w:rsidRDefault="00A24E7E" w:rsidP="00441B6F">
      <w:pPr>
        <w:pStyle w:val="Body"/>
        <w:spacing w:after="0"/>
        <w:rPr>
          <w:rFonts w:ascii="Arial" w:hAnsi="Arial" w:cs="Arial"/>
          <w:i/>
        </w:rPr>
      </w:pPr>
      <w:r>
        <w:rPr>
          <w:rFonts w:ascii="Arial" w:hAnsi="Arial" w:cs="Arial"/>
          <w:i/>
        </w:rPr>
        <w:t xml:space="preserve">Keywords: </w:t>
      </w:r>
      <w:r w:rsidR="00431BC5" w:rsidRPr="00431BC5">
        <w:rPr>
          <w:rFonts w:ascii="Arial" w:hAnsi="Arial" w:cs="Arial"/>
          <w:i/>
        </w:rPr>
        <w:t>Music Education</w:t>
      </w:r>
      <w:r w:rsidR="00431BC5">
        <w:rPr>
          <w:rFonts w:ascii="Arial" w:hAnsi="Arial" w:cs="Arial"/>
          <w:i/>
        </w:rPr>
        <w:t>,</w:t>
      </w:r>
      <w:r w:rsidR="00431BC5" w:rsidRPr="00431BC5">
        <w:rPr>
          <w:rFonts w:ascii="Arial" w:hAnsi="Arial" w:cs="Arial"/>
          <w:i/>
        </w:rPr>
        <w:t xml:space="preserve"> Curriculum, Instructional Culture, Colleges of Education</w:t>
      </w:r>
    </w:p>
    <w:p w14:paraId="1F06DFFE" w14:textId="77777777" w:rsidR="00790ADA" w:rsidRDefault="00790ADA" w:rsidP="00441B6F">
      <w:pPr>
        <w:pStyle w:val="Body"/>
        <w:spacing w:after="0"/>
        <w:rPr>
          <w:rFonts w:ascii="Arial" w:hAnsi="Arial" w:cs="Arial"/>
          <w:i/>
        </w:rPr>
      </w:pPr>
    </w:p>
    <w:p w14:paraId="76B29624" w14:textId="77777777" w:rsidR="0024282C" w:rsidRDefault="0024282C" w:rsidP="00441B6F">
      <w:pPr>
        <w:pStyle w:val="Body"/>
        <w:spacing w:after="0"/>
        <w:rPr>
          <w:rFonts w:ascii="Arial" w:hAnsi="Arial" w:cs="Arial"/>
          <w:i/>
          <w:sz w:val="18"/>
        </w:rPr>
      </w:pPr>
    </w:p>
    <w:p w14:paraId="3C36D6EB" w14:textId="77777777" w:rsidR="00505F06" w:rsidRPr="00A24E7E" w:rsidRDefault="00505F06" w:rsidP="00441B6F">
      <w:pPr>
        <w:pStyle w:val="Body"/>
        <w:spacing w:after="0"/>
        <w:rPr>
          <w:rFonts w:ascii="Arial" w:hAnsi="Arial" w:cs="Arial"/>
          <w:i/>
        </w:rPr>
      </w:pPr>
    </w:p>
    <w:p w14:paraId="1EDFC852" w14:textId="1984466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29B9EF9" w14:textId="1AEE0E81" w:rsidR="007C7802" w:rsidRDefault="007C7802" w:rsidP="007C7802">
      <w:pPr>
        <w:pStyle w:val="Body"/>
      </w:pPr>
      <w:r>
        <w:t>The mode of teaching and learning across disciplines</w:t>
      </w:r>
      <w:r w:rsidR="001A658C">
        <w:t>, music inclusive,</w:t>
      </w:r>
      <w:r>
        <w:t xml:space="preserve"> has come under intense contestation, due largely to the obvious gaps in the process of knowledge production and reproduction. Scholars such as Jorgensen (2003) and Abril (2013) emphasize that music education, more than many other disciplines, requires an instructional culture that is responsive, participatory, and creatively driven.</w:t>
      </w:r>
      <w:r w:rsidR="001A658C">
        <w:t xml:space="preserve"> </w:t>
      </w:r>
      <w:r>
        <w:t xml:space="preserve">In a more practical sense, the content of what is taught, and how it has been taught within the existing curriculum, has raised urgent calls for a review of </w:t>
      </w:r>
      <w:r w:rsidR="001A658C">
        <w:t>instructional</w:t>
      </w:r>
      <w:r>
        <w:t xml:space="preserve"> culture. These calls also highlight the fundamental challenges revolving around curriculum implementation, particularly in music education.</w:t>
      </w:r>
      <w:r w:rsidR="001A658C">
        <w:t xml:space="preserve"> </w:t>
      </w:r>
      <w:r>
        <w:t>Instructional culture can be understood, following Pratt’s (1998) explanation, as the shared set of values, norms, and practices that shape teaching and learning within an institution. It influences not only how knowledge is delivered, but also how it is received, interpreted, and reproduced by learners.</w:t>
      </w:r>
    </w:p>
    <w:p w14:paraId="65557E4B" w14:textId="2B9796EA" w:rsidR="007C7802" w:rsidRDefault="007C7802" w:rsidP="007C7802">
      <w:pPr>
        <w:pStyle w:val="Body"/>
      </w:pPr>
      <w:r>
        <w:t>The culture adopted for instruction in music education, given the nature of the subject and its curriculum content, has been approached from diverse perspectives. These approaches have given rise to peculiar institutional music cultures and varying learning outcomes (Concina, 2023).</w:t>
      </w:r>
      <w:r w:rsidR="008C5CBB">
        <w:t xml:space="preserve"> </w:t>
      </w:r>
      <w:r>
        <w:t>An example is the culture of teacher-</w:t>
      </w:r>
      <w:proofErr w:type="spellStart"/>
      <w:r>
        <w:t>centred</w:t>
      </w:r>
      <w:proofErr w:type="spellEnd"/>
      <w:r>
        <w:t xml:space="preserve"> instruction, described by Holmgren (2022) as a rigid and authoritarian mode of teaching. In this model, the teacher is regarded as the master and sole source of knowledge, while the student is the apprentice who has little room for exploration or collaborative learning. This approach often suppresses creativity, discourages critical thinking, and fails to accommodate diverse learning styles, which are essential in music education.</w:t>
      </w:r>
      <w:r w:rsidR="008C5CBB">
        <w:t xml:space="preserve"> </w:t>
      </w:r>
      <w:r>
        <w:t xml:space="preserve">Therefore, both music instructors and learners are exposed to prevailing instructional cultures </w:t>
      </w:r>
      <w:r>
        <w:lastRenderedPageBreak/>
        <w:t>as obtained in their respective institutions. These, by extension, inform their level and specialty of the subject, both in theory and practice.</w:t>
      </w:r>
    </w:p>
    <w:p w14:paraId="20A4ACDC" w14:textId="1BB8BC5A" w:rsidR="007C7802" w:rsidRDefault="007C7802" w:rsidP="007C7802">
      <w:pPr>
        <w:pStyle w:val="Body"/>
      </w:pPr>
      <w:r>
        <w:t>Given this context, this research interrogates the fundamental roles played by respective instructional cultures across two Colleges of Education in Southwest Nigeria. It aims to understand and document the various teaching processes and outcomes, which are herewith translated as instructional culture.</w:t>
      </w:r>
      <w:r w:rsidR="000739D8">
        <w:t xml:space="preserve"> </w:t>
      </w:r>
      <w:r>
        <w:t>Basically, the research undertakes a critical appraisal of existing teaching processes that are expected to drive the overall implementation of the music education curriculum. It further examines what these processes have translated to, within the realities of knowledge reproduction and comprehensive human and societal development.</w:t>
      </w:r>
      <w:r w:rsidR="000A5878">
        <w:t xml:space="preserve"> </w:t>
      </w:r>
      <w:r>
        <w:t>To achieve the set objectives, this research asks: What are the defining characteristics of instructional culture in these institutions? How do teaching practices, processes, and pedagogical approaches within the instructional culture influence curriculum implementation? What role do educator-student interactions play in learning outcomes?</w:t>
      </w:r>
    </w:p>
    <w:p w14:paraId="2C31F4E9" w14:textId="34E955A6" w:rsidR="00365A9A" w:rsidRDefault="007C7802" w:rsidP="007C7802">
      <w:pPr>
        <w:pStyle w:val="Body"/>
        <w:rPr>
          <w:rFonts w:ascii="Arial" w:hAnsi="Arial" w:cs="Arial"/>
        </w:rPr>
      </w:pPr>
      <w:r>
        <w:t>The research employs both qualitative and quantitative research designs. Specifically, it makes use of questionnaires to collect data on participants’ perceptions and experiences related to instructional culture. It also employs interviews and non-participant observation to gather detailed insights from music educators and students.</w:t>
      </w:r>
      <w:r w:rsidR="000A5878">
        <w:t xml:space="preserve"> </w:t>
      </w:r>
      <w:r>
        <w:t>The outcome of this research offers valuable insights to enhance the quality and effectiveness of music education. It ensures that the curriculum is implemented in a manner that maximizes educator productivity, student engagement, and learning outcomes. Ultimately, it brings to the fore the intersections of instructional cultures acquired from different music departments to improve music education instruction and student achievement.</w:t>
      </w:r>
      <w:r w:rsidR="00CC24E1" w:rsidRPr="00CC24E1">
        <w:t xml:space="preserve"> </w:t>
      </w:r>
    </w:p>
    <w:p w14:paraId="773BCB6F" w14:textId="04F4F393" w:rsidR="00153051" w:rsidRDefault="00153051" w:rsidP="00153051">
      <w:pPr>
        <w:pStyle w:val="Body"/>
        <w:numPr>
          <w:ilvl w:val="1"/>
          <w:numId w:val="31"/>
        </w:numPr>
        <w:rPr>
          <w:rFonts w:ascii="Arial" w:hAnsi="Arial" w:cs="Arial"/>
          <w:b/>
          <w:sz w:val="22"/>
        </w:rPr>
      </w:pPr>
      <w:r>
        <w:rPr>
          <w:rFonts w:ascii="Arial" w:hAnsi="Arial" w:cs="Arial"/>
          <w:b/>
          <w:sz w:val="22"/>
        </w:rPr>
        <w:t xml:space="preserve">Literature Review </w:t>
      </w:r>
    </w:p>
    <w:p w14:paraId="7509FB13" w14:textId="7DF66223" w:rsidR="00153051" w:rsidRPr="00153051" w:rsidRDefault="00153051" w:rsidP="00153051">
      <w:pPr>
        <w:pStyle w:val="Body"/>
        <w:rPr>
          <w:rFonts w:ascii="Arial" w:hAnsi="Arial" w:cs="Arial"/>
        </w:rPr>
      </w:pPr>
      <w:r>
        <w:rPr>
          <w:rFonts w:ascii="Arial" w:hAnsi="Arial" w:cs="Arial"/>
          <w:b/>
          <w:u w:val="single"/>
        </w:rPr>
        <w:t>1</w:t>
      </w:r>
      <w:r w:rsidRPr="00902823">
        <w:rPr>
          <w:rFonts w:ascii="Arial" w:hAnsi="Arial" w:cs="Arial"/>
          <w:b/>
          <w:u w:val="single"/>
        </w:rPr>
        <w:t xml:space="preserve">.1.1 </w:t>
      </w:r>
      <w:r w:rsidRPr="00153051">
        <w:rPr>
          <w:rFonts w:ascii="Arial" w:hAnsi="Arial" w:cs="Arial"/>
          <w:b/>
          <w:u w:val="single"/>
        </w:rPr>
        <w:t>Influence of</w:t>
      </w:r>
      <w:r w:rsidR="00230CFC" w:rsidRPr="00153051">
        <w:rPr>
          <w:rFonts w:ascii="Arial" w:hAnsi="Arial" w:cs="Arial"/>
          <w:b/>
          <w:u w:val="single"/>
        </w:rPr>
        <w:t xml:space="preserve"> instructional culture on education </w:t>
      </w:r>
    </w:p>
    <w:p w14:paraId="1AF1FD9E" w14:textId="69AAB202" w:rsidR="00153051" w:rsidRDefault="00153051" w:rsidP="00153051">
      <w:pPr>
        <w:pStyle w:val="Body"/>
        <w:rPr>
          <w:rFonts w:ascii="Arial" w:hAnsi="Arial" w:cs="Arial"/>
        </w:rPr>
      </w:pPr>
      <w:r w:rsidRPr="00153051">
        <w:rPr>
          <w:rFonts w:ascii="Arial" w:hAnsi="Arial" w:cs="Arial"/>
        </w:rPr>
        <w:t xml:space="preserve">The concept of instructional culture has been extensively explored by </w:t>
      </w:r>
      <w:r>
        <w:rPr>
          <w:rFonts w:ascii="Arial" w:hAnsi="Arial" w:cs="Arial"/>
        </w:rPr>
        <w:t>s</w:t>
      </w:r>
      <w:r w:rsidRPr="00153051">
        <w:rPr>
          <w:rFonts w:ascii="Arial" w:hAnsi="Arial" w:cs="Arial"/>
        </w:rPr>
        <w:t xml:space="preserve">cholars such as </w:t>
      </w:r>
      <w:proofErr w:type="spellStart"/>
      <w:r w:rsidRPr="00153051">
        <w:rPr>
          <w:rFonts w:ascii="Arial" w:hAnsi="Arial" w:cs="Arial"/>
        </w:rPr>
        <w:t>Stahnke</w:t>
      </w:r>
      <w:proofErr w:type="spellEnd"/>
      <w:r w:rsidRPr="00153051">
        <w:rPr>
          <w:rFonts w:ascii="Arial" w:hAnsi="Arial" w:cs="Arial"/>
        </w:rPr>
        <w:t xml:space="preserve"> </w:t>
      </w:r>
      <w:r w:rsidR="00913E18">
        <w:rPr>
          <w:rFonts w:ascii="Arial" w:hAnsi="Arial" w:cs="Arial"/>
        </w:rPr>
        <w:t>and</w:t>
      </w:r>
      <w:r w:rsidRPr="00153051">
        <w:rPr>
          <w:rFonts w:ascii="Arial" w:hAnsi="Arial" w:cs="Arial"/>
        </w:rPr>
        <w:t xml:space="preserve"> </w:t>
      </w:r>
      <w:proofErr w:type="spellStart"/>
      <w:r w:rsidRPr="00153051">
        <w:rPr>
          <w:rFonts w:ascii="Arial" w:hAnsi="Arial" w:cs="Arial"/>
        </w:rPr>
        <w:t>Blömeke</w:t>
      </w:r>
      <w:proofErr w:type="spellEnd"/>
      <w:r w:rsidRPr="00153051">
        <w:rPr>
          <w:rFonts w:ascii="Arial" w:hAnsi="Arial" w:cs="Arial"/>
        </w:rPr>
        <w:t xml:space="preserve"> (2021)</w:t>
      </w:r>
      <w:r w:rsidR="00DA20C8">
        <w:rPr>
          <w:rFonts w:ascii="Arial" w:hAnsi="Arial" w:cs="Arial"/>
        </w:rPr>
        <w:t>,</w:t>
      </w:r>
      <w:r w:rsidRPr="00153051">
        <w:rPr>
          <w:rFonts w:ascii="Arial" w:hAnsi="Arial" w:cs="Arial"/>
        </w:rPr>
        <w:t xml:space="preserve"> </w:t>
      </w:r>
      <w:r>
        <w:rPr>
          <w:rFonts w:ascii="Arial" w:hAnsi="Arial" w:cs="Arial"/>
        </w:rPr>
        <w:t>who</w:t>
      </w:r>
      <w:r w:rsidRPr="00153051">
        <w:rPr>
          <w:rFonts w:ascii="Arial" w:hAnsi="Arial" w:cs="Arial"/>
        </w:rPr>
        <w:t xml:space="preserve"> explained that in an educational setting, the instructor is saddled with the responsibility of interpreting the written curriculum. This implies that a constructive instructional culture is linked to the efforts of the teacher, and the outcome is evident in the productivity of the students. In the context of higher education, instructional culture has been connected to the quality of knowledge reproduction and implementation. According to Chigbu &amp; Adamu (2023), the success of a curriculum largely depends on the content and the culture that enables the content delivery. When the instructional culture is made to support an innovative curriculum, the outcome is innovative teaching practices and professional development. Conversely, an instructional culture that misaligns with curriculum goals will lead to superficial implementation that lacks depth and coherence.</w:t>
      </w:r>
    </w:p>
    <w:p w14:paraId="54E9E47C" w14:textId="3B6B3E31" w:rsidR="00206B8B" w:rsidRPr="00153051" w:rsidRDefault="00206B8B" w:rsidP="00153051">
      <w:pPr>
        <w:pStyle w:val="Body"/>
        <w:rPr>
          <w:rFonts w:ascii="Arial" w:hAnsi="Arial" w:cs="Arial"/>
        </w:rPr>
      </w:pPr>
      <w:r>
        <w:rPr>
          <w:rFonts w:ascii="Arial" w:hAnsi="Arial" w:cs="Arial"/>
        </w:rPr>
        <w:t xml:space="preserve">A study by </w:t>
      </w:r>
      <w:proofErr w:type="spellStart"/>
      <w:r w:rsidRPr="00CD1BE6">
        <w:rPr>
          <w:rFonts w:ascii="Arial" w:hAnsi="Arial" w:cs="Arial"/>
        </w:rPr>
        <w:t>Yuniarti</w:t>
      </w:r>
      <w:proofErr w:type="spellEnd"/>
      <w:r w:rsidRPr="00CD1BE6">
        <w:rPr>
          <w:rFonts w:ascii="Arial" w:hAnsi="Arial" w:cs="Arial"/>
        </w:rPr>
        <w:t xml:space="preserve"> </w:t>
      </w:r>
      <w:proofErr w:type="spellStart"/>
      <w:r w:rsidRPr="00CD1BE6">
        <w:rPr>
          <w:rFonts w:ascii="Arial" w:hAnsi="Arial" w:cs="Arial"/>
        </w:rPr>
        <w:t>Munaf</w:t>
      </w:r>
      <w:proofErr w:type="spellEnd"/>
      <w:r w:rsidRPr="00CD1BE6">
        <w:rPr>
          <w:rFonts w:ascii="Arial" w:hAnsi="Arial" w:cs="Arial"/>
        </w:rPr>
        <w:t xml:space="preserve">, Akmal, </w:t>
      </w:r>
      <w:proofErr w:type="spellStart"/>
      <w:r w:rsidRPr="00CD1BE6">
        <w:rPr>
          <w:rFonts w:ascii="Arial" w:hAnsi="Arial" w:cs="Arial"/>
        </w:rPr>
        <w:t>Iswandi</w:t>
      </w:r>
      <w:proofErr w:type="spellEnd"/>
      <w:r w:rsidRPr="00CD1BE6">
        <w:rPr>
          <w:rFonts w:ascii="Arial" w:hAnsi="Arial" w:cs="Arial"/>
        </w:rPr>
        <w:t xml:space="preserve"> </w:t>
      </w:r>
      <w:r w:rsidR="00913E18">
        <w:rPr>
          <w:rFonts w:ascii="Arial" w:hAnsi="Arial" w:cs="Arial"/>
        </w:rPr>
        <w:t>and</w:t>
      </w:r>
      <w:r w:rsidRPr="00CD1BE6">
        <w:rPr>
          <w:rFonts w:ascii="Arial" w:hAnsi="Arial" w:cs="Arial"/>
        </w:rPr>
        <w:t xml:space="preserve"> </w:t>
      </w:r>
      <w:proofErr w:type="spellStart"/>
      <w:proofErr w:type="gramStart"/>
      <w:r w:rsidRPr="00CD1BE6">
        <w:rPr>
          <w:rFonts w:ascii="Arial" w:hAnsi="Arial" w:cs="Arial"/>
        </w:rPr>
        <w:t>Novaliendry</w:t>
      </w:r>
      <w:proofErr w:type="spellEnd"/>
      <w:r w:rsidRPr="00CD1BE6">
        <w:rPr>
          <w:rFonts w:ascii="Arial" w:hAnsi="Arial" w:cs="Arial"/>
        </w:rPr>
        <w:t>(</w:t>
      </w:r>
      <w:proofErr w:type="gramEnd"/>
      <w:r w:rsidRPr="00CD1BE6">
        <w:rPr>
          <w:rFonts w:ascii="Arial" w:hAnsi="Arial" w:cs="Arial"/>
        </w:rPr>
        <w:t>2025)</w:t>
      </w:r>
      <w:r>
        <w:rPr>
          <w:rFonts w:ascii="Arial" w:hAnsi="Arial" w:cs="Arial"/>
        </w:rPr>
        <w:t xml:space="preserve"> </w:t>
      </w:r>
      <w:r w:rsidR="009F0C6F" w:rsidRPr="009F0C6F">
        <w:rPr>
          <w:rFonts w:ascii="Arial" w:hAnsi="Arial" w:cs="Arial"/>
        </w:rPr>
        <w:t>compares the challenges and successes in implementing th</w:t>
      </w:r>
      <w:r w:rsidR="009F0C6F">
        <w:rPr>
          <w:rFonts w:ascii="Arial" w:hAnsi="Arial" w:cs="Arial"/>
        </w:rPr>
        <w:t>e music education</w:t>
      </w:r>
      <w:r w:rsidR="009F0C6F" w:rsidRPr="009F0C6F">
        <w:rPr>
          <w:rFonts w:ascii="Arial" w:hAnsi="Arial" w:cs="Arial"/>
        </w:rPr>
        <w:t xml:space="preserve"> curriculum</w:t>
      </w:r>
      <w:r w:rsidR="00D22670">
        <w:rPr>
          <w:rFonts w:ascii="Arial" w:hAnsi="Arial" w:cs="Arial"/>
        </w:rPr>
        <w:t xml:space="preserve"> at </w:t>
      </w:r>
      <w:r w:rsidR="00D22670" w:rsidRPr="00D22670">
        <w:rPr>
          <w:rFonts w:ascii="Arial" w:hAnsi="Arial" w:cs="Arial"/>
        </w:rPr>
        <w:t xml:space="preserve">SMP Negeri 1 </w:t>
      </w:r>
      <w:proofErr w:type="spellStart"/>
      <w:r w:rsidR="00D22670" w:rsidRPr="00D22670">
        <w:rPr>
          <w:rFonts w:ascii="Arial" w:hAnsi="Arial" w:cs="Arial"/>
        </w:rPr>
        <w:t>Padangpanjang</w:t>
      </w:r>
      <w:proofErr w:type="spellEnd"/>
      <w:r w:rsidR="00AD35D6">
        <w:rPr>
          <w:rFonts w:ascii="Arial" w:hAnsi="Arial" w:cs="Arial"/>
        </w:rPr>
        <w:t xml:space="preserve">. Their study revealed that </w:t>
      </w:r>
      <w:r w:rsidR="00AB4079" w:rsidRPr="00AB4079">
        <w:rPr>
          <w:rFonts w:ascii="Arial" w:hAnsi="Arial" w:cs="Arial"/>
        </w:rPr>
        <w:t>Merdeka Curriculum promotes creativity, critical thinking</w:t>
      </w:r>
      <w:r w:rsidR="00AB4079">
        <w:rPr>
          <w:rFonts w:ascii="Arial" w:hAnsi="Arial" w:cs="Arial"/>
        </w:rPr>
        <w:t xml:space="preserve"> among learners, h</w:t>
      </w:r>
      <w:r w:rsidR="00AB4079" w:rsidRPr="00AB4079">
        <w:rPr>
          <w:rFonts w:ascii="Arial" w:hAnsi="Arial" w:cs="Arial"/>
        </w:rPr>
        <w:t>owever, t</w:t>
      </w:r>
      <w:r w:rsidR="00AB4079">
        <w:rPr>
          <w:rFonts w:ascii="Arial" w:hAnsi="Arial" w:cs="Arial"/>
        </w:rPr>
        <w:t xml:space="preserve">he process of implementation is </w:t>
      </w:r>
      <w:r w:rsidR="00D84F76">
        <w:rPr>
          <w:rFonts w:ascii="Arial" w:hAnsi="Arial" w:cs="Arial"/>
        </w:rPr>
        <w:t>faced with</w:t>
      </w:r>
      <w:r w:rsidR="00AB4079">
        <w:rPr>
          <w:rFonts w:ascii="Arial" w:hAnsi="Arial" w:cs="Arial"/>
        </w:rPr>
        <w:t xml:space="preserve"> </w:t>
      </w:r>
      <w:r w:rsidR="00AD35D6" w:rsidRPr="00AD35D6">
        <w:rPr>
          <w:rFonts w:ascii="Arial" w:hAnsi="Arial" w:cs="Arial"/>
        </w:rPr>
        <w:t>challenges</w:t>
      </w:r>
      <w:r w:rsidR="00AD35D6">
        <w:rPr>
          <w:rFonts w:ascii="Arial" w:hAnsi="Arial" w:cs="Arial"/>
        </w:rPr>
        <w:t xml:space="preserve"> such as </w:t>
      </w:r>
      <w:r w:rsidR="00AD35D6" w:rsidRPr="00AD35D6">
        <w:rPr>
          <w:rFonts w:ascii="Arial" w:hAnsi="Arial" w:cs="Arial"/>
        </w:rPr>
        <w:t>limited teacher training</w:t>
      </w:r>
      <w:r w:rsidR="008D20AE">
        <w:rPr>
          <w:rFonts w:ascii="Arial" w:hAnsi="Arial" w:cs="Arial"/>
        </w:rPr>
        <w:t>, lack of time management</w:t>
      </w:r>
      <w:r w:rsidR="00AD35D6" w:rsidRPr="00AD35D6">
        <w:rPr>
          <w:rFonts w:ascii="Arial" w:hAnsi="Arial" w:cs="Arial"/>
        </w:rPr>
        <w:t xml:space="preserve"> and inadequate</w:t>
      </w:r>
      <w:r w:rsidR="008D20AE">
        <w:rPr>
          <w:rFonts w:ascii="Arial" w:hAnsi="Arial" w:cs="Arial"/>
        </w:rPr>
        <w:t xml:space="preserve"> </w:t>
      </w:r>
      <w:r w:rsidR="00AD35D6" w:rsidRPr="00AD35D6">
        <w:rPr>
          <w:rFonts w:ascii="Arial" w:hAnsi="Arial" w:cs="Arial"/>
        </w:rPr>
        <w:t>resources</w:t>
      </w:r>
      <w:r w:rsidR="00AD35D6">
        <w:rPr>
          <w:rFonts w:ascii="Arial" w:hAnsi="Arial" w:cs="Arial"/>
        </w:rPr>
        <w:t>.</w:t>
      </w:r>
      <w:r w:rsidR="00910F3D">
        <w:rPr>
          <w:rFonts w:ascii="Arial" w:hAnsi="Arial" w:cs="Arial"/>
        </w:rPr>
        <w:t xml:space="preserve"> Similarly, a c</w:t>
      </w:r>
      <w:r w:rsidR="00910F3D" w:rsidRPr="00910F3D">
        <w:rPr>
          <w:rFonts w:ascii="Arial" w:hAnsi="Arial" w:cs="Arial"/>
        </w:rPr>
        <w:t xml:space="preserve">omparative </w:t>
      </w:r>
      <w:r w:rsidR="00D84F76">
        <w:rPr>
          <w:rFonts w:ascii="Arial" w:hAnsi="Arial" w:cs="Arial"/>
        </w:rPr>
        <w:t>p</w:t>
      </w:r>
      <w:r w:rsidR="00910F3D" w:rsidRPr="00910F3D">
        <w:rPr>
          <w:rFonts w:ascii="Arial" w:hAnsi="Arial" w:cs="Arial"/>
        </w:rPr>
        <w:t xml:space="preserve">olicy </w:t>
      </w:r>
      <w:r w:rsidR="00910F3D">
        <w:rPr>
          <w:rFonts w:ascii="Arial" w:hAnsi="Arial" w:cs="Arial"/>
        </w:rPr>
        <w:t>s</w:t>
      </w:r>
      <w:r w:rsidR="00910F3D" w:rsidRPr="00910F3D">
        <w:rPr>
          <w:rFonts w:ascii="Arial" w:hAnsi="Arial" w:cs="Arial"/>
        </w:rPr>
        <w:t>tudy of Luxembourg and Japan</w:t>
      </w:r>
      <w:r w:rsidR="00910F3D">
        <w:rPr>
          <w:rFonts w:ascii="Arial" w:hAnsi="Arial" w:cs="Arial"/>
        </w:rPr>
        <w:t xml:space="preserve"> </w:t>
      </w:r>
      <w:r w:rsidR="00450EB9">
        <w:rPr>
          <w:rFonts w:ascii="Arial" w:hAnsi="Arial" w:cs="Arial"/>
        </w:rPr>
        <w:t xml:space="preserve">by </w:t>
      </w:r>
      <w:r w:rsidR="00807A62" w:rsidRPr="0046584A">
        <w:rPr>
          <w:rFonts w:ascii="Arial" w:hAnsi="Arial" w:cs="Arial"/>
        </w:rPr>
        <w:t xml:space="preserve">Chiba &amp; Hebert (2025) </w:t>
      </w:r>
      <w:r w:rsidR="00910F3D">
        <w:rPr>
          <w:rFonts w:ascii="Arial" w:hAnsi="Arial" w:cs="Arial"/>
        </w:rPr>
        <w:t xml:space="preserve">highlights </w:t>
      </w:r>
      <w:r w:rsidR="007A2433">
        <w:rPr>
          <w:rFonts w:ascii="Arial" w:hAnsi="Arial" w:cs="Arial"/>
        </w:rPr>
        <w:t xml:space="preserve">portions of the </w:t>
      </w:r>
      <w:r w:rsidR="007A2433" w:rsidRPr="007A2433">
        <w:rPr>
          <w:rFonts w:ascii="Arial" w:hAnsi="Arial" w:cs="Arial"/>
        </w:rPr>
        <w:t>music education policies</w:t>
      </w:r>
      <w:r w:rsidR="00D84F76">
        <w:rPr>
          <w:rFonts w:ascii="Arial" w:hAnsi="Arial" w:cs="Arial"/>
        </w:rPr>
        <w:t xml:space="preserve"> that </w:t>
      </w:r>
      <w:r w:rsidR="00D84F76" w:rsidRPr="00D84F76">
        <w:rPr>
          <w:rFonts w:ascii="Arial" w:hAnsi="Arial" w:cs="Arial"/>
        </w:rPr>
        <w:t>prioritize inclusive teaching strategies and their impact on music education practices</w:t>
      </w:r>
      <w:r w:rsidR="00D84F76">
        <w:rPr>
          <w:rFonts w:ascii="Arial" w:hAnsi="Arial" w:cs="Arial"/>
        </w:rPr>
        <w:t>.</w:t>
      </w:r>
      <w:r w:rsidR="00FB19A9">
        <w:rPr>
          <w:rFonts w:ascii="Arial" w:hAnsi="Arial" w:cs="Arial"/>
        </w:rPr>
        <w:t xml:space="preserve"> The crux of their research is the clarification of the term</w:t>
      </w:r>
      <w:r w:rsidR="00807A62">
        <w:rPr>
          <w:rFonts w:ascii="Arial" w:hAnsi="Arial" w:cs="Arial"/>
        </w:rPr>
        <w:t>, “inclusion”. To them, inclusion in education</w:t>
      </w:r>
      <w:r w:rsidR="00B735D3">
        <w:rPr>
          <w:rFonts w:ascii="Arial" w:hAnsi="Arial" w:cs="Arial"/>
        </w:rPr>
        <w:t xml:space="preserve"> is a function of a transformational environment </w:t>
      </w:r>
      <w:r w:rsidR="00E0454B">
        <w:rPr>
          <w:rFonts w:ascii="Arial" w:hAnsi="Arial" w:cs="Arial"/>
        </w:rPr>
        <w:t>that caters for diverse categories of learners.</w:t>
      </w:r>
      <w:r w:rsidR="006D1F62">
        <w:rPr>
          <w:rFonts w:ascii="Arial" w:hAnsi="Arial" w:cs="Arial"/>
        </w:rPr>
        <w:t xml:space="preserve"> </w:t>
      </w:r>
      <w:r w:rsidR="00F7588A">
        <w:rPr>
          <w:rFonts w:ascii="Arial" w:hAnsi="Arial" w:cs="Arial"/>
        </w:rPr>
        <w:t xml:space="preserve">Howbeit, the </w:t>
      </w:r>
      <w:r w:rsidR="00DD7CE7">
        <w:rPr>
          <w:rFonts w:ascii="Arial" w:hAnsi="Arial" w:cs="Arial"/>
        </w:rPr>
        <w:t xml:space="preserve">transformation is activated by a culture of instruction that </w:t>
      </w:r>
      <w:r w:rsidR="00AC6DA3">
        <w:rPr>
          <w:rFonts w:ascii="Arial" w:hAnsi="Arial" w:cs="Arial"/>
        </w:rPr>
        <w:t xml:space="preserve">ranks holistic learning above </w:t>
      </w:r>
      <w:r w:rsidR="002E374C" w:rsidRPr="002E374C">
        <w:rPr>
          <w:rFonts w:ascii="Arial" w:hAnsi="Arial" w:cs="Arial"/>
        </w:rPr>
        <w:t>the mere acquisition of academic knowledge. This culture</w:t>
      </w:r>
      <w:r w:rsidR="00917D37">
        <w:rPr>
          <w:rFonts w:ascii="Arial" w:hAnsi="Arial" w:cs="Arial"/>
        </w:rPr>
        <w:t xml:space="preserve"> </w:t>
      </w:r>
      <w:r w:rsidR="002E374C" w:rsidRPr="002E374C">
        <w:rPr>
          <w:rFonts w:ascii="Arial" w:hAnsi="Arial" w:cs="Arial"/>
        </w:rPr>
        <w:t>ensur</w:t>
      </w:r>
      <w:r w:rsidR="00917D37">
        <w:rPr>
          <w:rFonts w:ascii="Arial" w:hAnsi="Arial" w:cs="Arial"/>
        </w:rPr>
        <w:t>es</w:t>
      </w:r>
      <w:r w:rsidR="002E374C" w:rsidRPr="002E374C">
        <w:rPr>
          <w:rFonts w:ascii="Arial" w:hAnsi="Arial" w:cs="Arial"/>
        </w:rPr>
        <w:t xml:space="preserve"> that all learners, regardless of their differences, are actively engaged in the learning process</w:t>
      </w:r>
      <w:r w:rsidR="00917D37">
        <w:rPr>
          <w:rFonts w:ascii="Arial" w:hAnsi="Arial" w:cs="Arial"/>
        </w:rPr>
        <w:t>.</w:t>
      </w:r>
      <w:r w:rsidR="00594361">
        <w:rPr>
          <w:rFonts w:ascii="Arial" w:hAnsi="Arial" w:cs="Arial"/>
        </w:rPr>
        <w:t xml:space="preserve"> </w:t>
      </w:r>
    </w:p>
    <w:p w14:paraId="509B57A9" w14:textId="050F29CC" w:rsidR="00153051" w:rsidRPr="00153051" w:rsidRDefault="009F5814"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F5814">
        <w:rPr>
          <w:rFonts w:ascii="Arial" w:hAnsi="Arial" w:cs="Arial"/>
          <w:b/>
          <w:u w:val="single"/>
        </w:rPr>
        <w:t xml:space="preserve">Curriculum </w:t>
      </w:r>
      <w:r w:rsidR="00230CFC" w:rsidRPr="009F5814">
        <w:rPr>
          <w:rFonts w:ascii="Arial" w:hAnsi="Arial" w:cs="Arial"/>
          <w:b/>
          <w:u w:val="single"/>
        </w:rPr>
        <w:t>implementation in music education</w:t>
      </w:r>
    </w:p>
    <w:p w14:paraId="727ED040" w14:textId="4EE17921" w:rsidR="00153051" w:rsidRPr="00153051" w:rsidRDefault="00153051" w:rsidP="00153051">
      <w:pPr>
        <w:pStyle w:val="Body"/>
        <w:rPr>
          <w:rFonts w:ascii="Arial" w:hAnsi="Arial" w:cs="Arial"/>
        </w:rPr>
      </w:pPr>
      <w:r w:rsidRPr="00153051">
        <w:rPr>
          <w:rFonts w:ascii="Arial" w:hAnsi="Arial" w:cs="Arial"/>
        </w:rPr>
        <w:t>Curriculum implementation refers to the process through which a curriculum is interpreted from text to practice in a classroom. The process of achieving this involves researching</w:t>
      </w:r>
      <w:r w:rsidR="00DA20C8">
        <w:rPr>
          <w:rFonts w:ascii="Arial" w:hAnsi="Arial" w:cs="Arial"/>
        </w:rPr>
        <w:t xml:space="preserve"> relevant methods, informed strategies, resources, and methods</w:t>
      </w:r>
      <w:r w:rsidRPr="00153051">
        <w:rPr>
          <w:rFonts w:ascii="Arial" w:hAnsi="Arial" w:cs="Arial"/>
        </w:rPr>
        <w:t xml:space="preserve"> of delivery. In a course like music education where theoretical knowledge is linked with performance skills and critical analysis, the process of curriculum implementation will require diverse approaches. The music education curriculum as outlined by the new NCCE minimum standard emphasizes the importance of a balanced approach that integrates theory, practice and creativity. However, research has shown that the effectiveness of curriculum implementation across several institutions </w:t>
      </w:r>
      <w:r w:rsidR="00DA20C8">
        <w:rPr>
          <w:rFonts w:ascii="Arial" w:hAnsi="Arial" w:cs="Arial"/>
        </w:rPr>
        <w:t>not only varies</w:t>
      </w:r>
      <w:r w:rsidRPr="00153051">
        <w:rPr>
          <w:rFonts w:ascii="Arial" w:hAnsi="Arial" w:cs="Arial"/>
        </w:rPr>
        <w:t xml:space="preserve"> but is also insufficient (</w:t>
      </w:r>
      <w:proofErr w:type="spellStart"/>
      <w:r w:rsidRPr="00153051">
        <w:rPr>
          <w:rFonts w:ascii="Arial" w:hAnsi="Arial" w:cs="Arial"/>
        </w:rPr>
        <w:t>Ogunode</w:t>
      </w:r>
      <w:proofErr w:type="spellEnd"/>
      <w:r w:rsidRPr="00153051">
        <w:rPr>
          <w:rFonts w:ascii="Arial" w:hAnsi="Arial" w:cs="Arial"/>
        </w:rPr>
        <w:t xml:space="preserve">, </w:t>
      </w:r>
      <w:proofErr w:type="spellStart"/>
      <w:r w:rsidRPr="00153051">
        <w:rPr>
          <w:rFonts w:ascii="Arial" w:hAnsi="Arial" w:cs="Arial"/>
        </w:rPr>
        <w:t>Ohibime</w:t>
      </w:r>
      <w:proofErr w:type="spellEnd"/>
      <w:r w:rsidRPr="00153051">
        <w:rPr>
          <w:rFonts w:ascii="Arial" w:hAnsi="Arial" w:cs="Arial"/>
        </w:rPr>
        <w:t xml:space="preserve"> &amp; </w:t>
      </w:r>
      <w:proofErr w:type="spellStart"/>
      <w:r w:rsidRPr="00153051">
        <w:rPr>
          <w:rFonts w:ascii="Arial" w:hAnsi="Arial" w:cs="Arial"/>
        </w:rPr>
        <w:t>Oluwaseun</w:t>
      </w:r>
      <w:proofErr w:type="spellEnd"/>
      <w:r w:rsidRPr="00153051">
        <w:rPr>
          <w:rFonts w:ascii="Arial" w:hAnsi="Arial" w:cs="Arial"/>
        </w:rPr>
        <w:t xml:space="preserve">, 2023; </w:t>
      </w:r>
      <w:proofErr w:type="spellStart"/>
      <w:r w:rsidRPr="00153051">
        <w:rPr>
          <w:rFonts w:ascii="Arial" w:hAnsi="Arial" w:cs="Arial"/>
        </w:rPr>
        <w:t>Ohiare</w:t>
      </w:r>
      <w:proofErr w:type="spellEnd"/>
      <w:r w:rsidRPr="00153051">
        <w:rPr>
          <w:rFonts w:ascii="Arial" w:hAnsi="Arial" w:cs="Arial"/>
        </w:rPr>
        <w:t xml:space="preserve">, </w:t>
      </w:r>
      <w:proofErr w:type="spellStart"/>
      <w:r w:rsidRPr="00153051">
        <w:rPr>
          <w:rFonts w:ascii="Arial" w:hAnsi="Arial" w:cs="Arial"/>
        </w:rPr>
        <w:t>Ogunode</w:t>
      </w:r>
      <w:proofErr w:type="spellEnd"/>
      <w:r w:rsidRPr="00153051">
        <w:rPr>
          <w:rFonts w:ascii="Arial" w:hAnsi="Arial" w:cs="Arial"/>
        </w:rPr>
        <w:t xml:space="preserve"> &amp; </w:t>
      </w:r>
      <w:proofErr w:type="spellStart"/>
      <w:r w:rsidRPr="00153051">
        <w:rPr>
          <w:rFonts w:ascii="Arial" w:hAnsi="Arial" w:cs="Arial"/>
        </w:rPr>
        <w:t>Sarafadeen</w:t>
      </w:r>
      <w:proofErr w:type="spellEnd"/>
      <w:r w:rsidRPr="00153051">
        <w:rPr>
          <w:rFonts w:ascii="Arial" w:hAnsi="Arial" w:cs="Arial"/>
        </w:rPr>
        <w:t>, 2021). Alemu</w:t>
      </w:r>
      <w:r w:rsidR="00DA20C8">
        <w:rPr>
          <w:rFonts w:ascii="Arial" w:hAnsi="Arial" w:cs="Arial"/>
        </w:rPr>
        <w:t xml:space="preserve"> et al (2021) reveal</w:t>
      </w:r>
      <w:r w:rsidRPr="00153051">
        <w:rPr>
          <w:rFonts w:ascii="Arial" w:hAnsi="Arial" w:cs="Arial"/>
        </w:rPr>
        <w:t xml:space="preserve"> that the outcome of </w:t>
      </w:r>
      <w:r w:rsidR="00913E18" w:rsidRPr="00153051">
        <w:rPr>
          <w:rFonts w:ascii="Arial" w:hAnsi="Arial" w:cs="Arial"/>
        </w:rPr>
        <w:t>inadequate</w:t>
      </w:r>
      <w:r w:rsidRPr="00153051">
        <w:rPr>
          <w:rFonts w:ascii="Arial" w:hAnsi="Arial" w:cs="Arial"/>
        </w:rPr>
        <w:t xml:space="preserve"> curriculum implementation is reflected in the students after graduation. Govender </w:t>
      </w:r>
      <w:r w:rsidR="00913E18">
        <w:rPr>
          <w:rFonts w:ascii="Arial" w:hAnsi="Arial" w:cs="Arial"/>
        </w:rPr>
        <w:t>and</w:t>
      </w:r>
      <w:r w:rsidRPr="00153051">
        <w:rPr>
          <w:rFonts w:ascii="Arial" w:hAnsi="Arial" w:cs="Arial"/>
        </w:rPr>
        <w:t xml:space="preserve"> Ajani (2021) argue for regular in-service training for teachers to keep them abreast with trending methodologies. Similarly, Fehintola (2023) outlines several factors as being responsible for instructional methodology. These factors </w:t>
      </w:r>
      <w:r w:rsidR="008D416F" w:rsidRPr="00153051">
        <w:rPr>
          <w:rFonts w:ascii="Arial" w:hAnsi="Arial" w:cs="Arial"/>
        </w:rPr>
        <w:t>include</w:t>
      </w:r>
      <w:r w:rsidRPr="00153051">
        <w:rPr>
          <w:rFonts w:ascii="Arial" w:hAnsi="Arial" w:cs="Arial"/>
        </w:rPr>
        <w:t xml:space="preserve"> teachers’ expertise, availability of resources, and others which are embedded in the instructional culture of the institutions. The relationship between curriculum content and practice is said to be one which requires </w:t>
      </w:r>
      <w:r w:rsidRPr="00153051">
        <w:rPr>
          <w:rFonts w:ascii="Arial" w:hAnsi="Arial" w:cs="Arial"/>
        </w:rPr>
        <w:lastRenderedPageBreak/>
        <w:t xml:space="preserve">expertise in interpretation for optimal results (Sama, </w:t>
      </w:r>
      <w:proofErr w:type="spellStart"/>
      <w:r w:rsidRPr="00153051">
        <w:rPr>
          <w:rFonts w:ascii="Arial" w:hAnsi="Arial" w:cs="Arial"/>
        </w:rPr>
        <w:t>Adegbuyi</w:t>
      </w:r>
      <w:proofErr w:type="spellEnd"/>
      <w:r w:rsidRPr="00153051">
        <w:rPr>
          <w:rFonts w:ascii="Arial" w:hAnsi="Arial" w:cs="Arial"/>
        </w:rPr>
        <w:t>, &amp; Ani, 2021).  Invariably, the mastery of curriculum contents has to translate into mastery of curriculum implementation and the existing culture plays a significant role in this.</w:t>
      </w:r>
    </w:p>
    <w:p w14:paraId="060809A2" w14:textId="73E09E0E" w:rsidR="00153051" w:rsidRPr="00153051" w:rsidRDefault="00153051" w:rsidP="00153051">
      <w:pPr>
        <w:pStyle w:val="Body"/>
        <w:rPr>
          <w:rFonts w:ascii="Arial" w:hAnsi="Arial" w:cs="Arial"/>
        </w:rPr>
      </w:pPr>
      <w:r w:rsidRPr="00153051">
        <w:rPr>
          <w:rFonts w:ascii="Arial" w:hAnsi="Arial" w:cs="Arial"/>
        </w:rPr>
        <w:t xml:space="preserve">Stavrou </w:t>
      </w:r>
      <w:r w:rsidR="00913E18">
        <w:rPr>
          <w:rFonts w:ascii="Arial" w:hAnsi="Arial" w:cs="Arial"/>
        </w:rPr>
        <w:t>and</w:t>
      </w:r>
      <w:r w:rsidRPr="00153051">
        <w:rPr>
          <w:rFonts w:ascii="Arial" w:hAnsi="Arial" w:cs="Arial"/>
        </w:rPr>
        <w:t xml:space="preserve"> O'Connell (2022) states that one of the key challenges in curriculum implementation within the music education context is the need to balance theoretical instruction with practical application. </w:t>
      </w:r>
      <w:r w:rsidR="008D416F">
        <w:rPr>
          <w:rFonts w:ascii="Arial" w:hAnsi="Arial" w:cs="Arial"/>
        </w:rPr>
        <w:t>This</w:t>
      </w:r>
      <w:r w:rsidRPr="00153051">
        <w:rPr>
          <w:rFonts w:ascii="Arial" w:hAnsi="Arial" w:cs="Arial"/>
        </w:rPr>
        <w:t xml:space="preserve"> suggests that theoretical knowledge should be immediately linked to practical application in the classroom to ensure that students understand the correlation. The music educator is expected to make use of examples from previous experience, practice and observation</w:t>
      </w:r>
      <w:r w:rsidR="008D416F">
        <w:rPr>
          <w:rFonts w:ascii="Arial" w:hAnsi="Arial" w:cs="Arial"/>
        </w:rPr>
        <w:t xml:space="preserve"> </w:t>
      </w:r>
      <w:r w:rsidR="008D416F" w:rsidRPr="00153051">
        <w:rPr>
          <w:rFonts w:ascii="Arial" w:hAnsi="Arial" w:cs="Arial"/>
        </w:rPr>
        <w:t>that the learner can identify with</w:t>
      </w:r>
      <w:r w:rsidRPr="00153051">
        <w:rPr>
          <w:rFonts w:ascii="Arial" w:hAnsi="Arial" w:cs="Arial"/>
        </w:rPr>
        <w:t xml:space="preserve">. These will further reinforce the understanding of theoretical knowledge. As </w:t>
      </w:r>
      <w:proofErr w:type="spellStart"/>
      <w:r w:rsidRPr="00153051">
        <w:rPr>
          <w:rFonts w:ascii="Arial" w:hAnsi="Arial" w:cs="Arial"/>
        </w:rPr>
        <w:t>Adjepong</w:t>
      </w:r>
      <w:proofErr w:type="spellEnd"/>
      <w:r w:rsidRPr="00153051">
        <w:rPr>
          <w:rFonts w:ascii="Arial" w:hAnsi="Arial" w:cs="Arial"/>
        </w:rPr>
        <w:t xml:space="preserve"> (2021) notes in his article, music learning is most effective when it involves </w:t>
      </w:r>
      <w:r w:rsidR="00DA20C8">
        <w:rPr>
          <w:rFonts w:ascii="Arial" w:hAnsi="Arial" w:cs="Arial"/>
        </w:rPr>
        <w:t>real-world</w:t>
      </w:r>
      <w:r w:rsidRPr="00153051">
        <w:rPr>
          <w:rFonts w:ascii="Arial" w:hAnsi="Arial" w:cs="Arial"/>
        </w:rPr>
        <w:t xml:space="preserve"> application powered by active participation. </w:t>
      </w:r>
      <w:proofErr w:type="spellStart"/>
      <w:r w:rsidRPr="00153051">
        <w:rPr>
          <w:rFonts w:ascii="Arial" w:hAnsi="Arial" w:cs="Arial"/>
        </w:rPr>
        <w:t>Adjepong</w:t>
      </w:r>
      <w:proofErr w:type="spellEnd"/>
      <w:r w:rsidRPr="00153051">
        <w:rPr>
          <w:rFonts w:ascii="Arial" w:hAnsi="Arial" w:cs="Arial"/>
        </w:rPr>
        <w:t xml:space="preserve"> argues that where hands-on experience is not available, the </w:t>
      </w:r>
      <w:r w:rsidR="0034329C" w:rsidRPr="00153051">
        <w:rPr>
          <w:rFonts w:ascii="Arial" w:hAnsi="Arial" w:cs="Arial"/>
        </w:rPr>
        <w:t>students</w:t>
      </w:r>
      <w:r w:rsidRPr="00153051">
        <w:rPr>
          <w:rFonts w:ascii="Arial" w:hAnsi="Arial" w:cs="Arial"/>
        </w:rPr>
        <w:t xml:space="preserve"> will not fully develop their music skills and creativity. This approach is supported by </w:t>
      </w:r>
      <w:r w:rsidR="0034329C" w:rsidRPr="00153051">
        <w:rPr>
          <w:rFonts w:ascii="Arial" w:hAnsi="Arial" w:cs="Arial"/>
        </w:rPr>
        <w:t>the constructivist</w:t>
      </w:r>
      <w:r w:rsidRPr="00153051">
        <w:rPr>
          <w:rFonts w:ascii="Arial" w:hAnsi="Arial" w:cs="Arial"/>
        </w:rPr>
        <w:t xml:space="preserve"> theory of learning which posits that students learn faster and better when they actively engage with the contents within the construct of their individual understanding. </w:t>
      </w:r>
    </w:p>
    <w:p w14:paraId="7D66525B" w14:textId="7A90DFAE" w:rsidR="00153051" w:rsidRPr="00153051" w:rsidRDefault="00153051" w:rsidP="00153051">
      <w:pPr>
        <w:pStyle w:val="Body"/>
        <w:rPr>
          <w:rFonts w:ascii="Arial" w:hAnsi="Arial" w:cs="Arial"/>
        </w:rPr>
      </w:pPr>
      <w:r w:rsidRPr="00153051">
        <w:rPr>
          <w:rFonts w:ascii="Arial" w:hAnsi="Arial" w:cs="Arial"/>
        </w:rPr>
        <w:t xml:space="preserve">Research by Doyle (2023) </w:t>
      </w:r>
      <w:r w:rsidR="000E214F">
        <w:rPr>
          <w:rFonts w:ascii="Arial" w:hAnsi="Arial" w:cs="Arial"/>
        </w:rPr>
        <w:t xml:space="preserve">and </w:t>
      </w:r>
      <w:r w:rsidR="000E214F" w:rsidRPr="00B12C1E">
        <w:rPr>
          <w:lang w:val="en-GB"/>
        </w:rPr>
        <w:t xml:space="preserve">Volk (2017) </w:t>
      </w:r>
      <w:r w:rsidR="006F5E1C" w:rsidRPr="00153051">
        <w:rPr>
          <w:rFonts w:ascii="Arial" w:hAnsi="Arial" w:cs="Arial"/>
        </w:rPr>
        <w:t>highlights</w:t>
      </w:r>
      <w:r w:rsidRPr="00153051">
        <w:rPr>
          <w:rFonts w:ascii="Arial" w:hAnsi="Arial" w:cs="Arial"/>
        </w:rPr>
        <w:t xml:space="preserve"> the importance of adopting instructional strategies that </w:t>
      </w:r>
      <w:r w:rsidR="00155AD7" w:rsidRPr="00153051">
        <w:rPr>
          <w:rFonts w:ascii="Arial" w:hAnsi="Arial" w:cs="Arial"/>
        </w:rPr>
        <w:t>aid</w:t>
      </w:r>
      <w:r w:rsidRPr="00153051">
        <w:rPr>
          <w:rFonts w:ascii="Arial" w:hAnsi="Arial" w:cs="Arial"/>
        </w:rPr>
        <w:t xml:space="preserve"> the implementation of curriculum goals. </w:t>
      </w:r>
      <w:r w:rsidR="00F65C1A">
        <w:rPr>
          <w:rFonts w:ascii="Arial" w:hAnsi="Arial" w:cs="Arial"/>
        </w:rPr>
        <w:t>T</w:t>
      </w:r>
      <w:r w:rsidR="000E214F">
        <w:rPr>
          <w:rFonts w:ascii="Arial" w:hAnsi="Arial" w:cs="Arial"/>
        </w:rPr>
        <w:t>h</w:t>
      </w:r>
      <w:r w:rsidR="00F65C1A">
        <w:rPr>
          <w:rFonts w:ascii="Arial" w:hAnsi="Arial" w:cs="Arial"/>
        </w:rPr>
        <w:t>ey</w:t>
      </w:r>
      <w:r w:rsidRPr="00153051">
        <w:rPr>
          <w:rFonts w:ascii="Arial" w:hAnsi="Arial" w:cs="Arial"/>
        </w:rPr>
        <w:t xml:space="preserve"> argue for the adoption of teaching methodologies that are </w:t>
      </w:r>
      <w:r w:rsidR="008D416F">
        <w:rPr>
          <w:rFonts w:ascii="Arial" w:hAnsi="Arial" w:cs="Arial"/>
        </w:rPr>
        <w:t>student centered</w:t>
      </w:r>
      <w:r w:rsidRPr="00153051">
        <w:rPr>
          <w:rFonts w:ascii="Arial" w:hAnsi="Arial" w:cs="Arial"/>
        </w:rPr>
        <w:t xml:space="preserve">. His position </w:t>
      </w:r>
      <w:r w:rsidR="008D416F">
        <w:rPr>
          <w:rFonts w:ascii="Arial" w:hAnsi="Arial" w:cs="Arial"/>
        </w:rPr>
        <w:t>emphasizes</w:t>
      </w:r>
      <w:r w:rsidR="008D416F" w:rsidRPr="00153051">
        <w:rPr>
          <w:rFonts w:ascii="Arial" w:hAnsi="Arial" w:cs="Arial"/>
        </w:rPr>
        <w:t xml:space="preserve"> </w:t>
      </w:r>
      <w:r w:rsidRPr="00153051">
        <w:rPr>
          <w:rFonts w:ascii="Arial" w:hAnsi="Arial" w:cs="Arial"/>
        </w:rPr>
        <w:t xml:space="preserve">the need for instructional culture to support innovative teaching methodologies in alignment with the goals of </w:t>
      </w:r>
      <w:r w:rsidR="00155AD7" w:rsidRPr="00153051">
        <w:rPr>
          <w:rFonts w:ascii="Arial" w:hAnsi="Arial" w:cs="Arial"/>
        </w:rPr>
        <w:t>the music</w:t>
      </w:r>
      <w:r w:rsidRPr="00153051">
        <w:rPr>
          <w:rFonts w:ascii="Arial" w:hAnsi="Arial" w:cs="Arial"/>
        </w:rPr>
        <w:t xml:space="preserve"> education curriculum.</w:t>
      </w:r>
      <w:r w:rsidR="00F65C1A">
        <w:rPr>
          <w:rFonts w:ascii="Arial" w:hAnsi="Arial" w:cs="Arial"/>
        </w:rPr>
        <w:t xml:space="preserve"> They also advocate for </w:t>
      </w:r>
      <w:r w:rsidR="00AC1A2B">
        <w:rPr>
          <w:rFonts w:ascii="Arial" w:hAnsi="Arial" w:cs="Arial"/>
        </w:rPr>
        <w:t xml:space="preserve">relevant methods and materials to aid </w:t>
      </w:r>
      <w:r w:rsidR="00425231">
        <w:rPr>
          <w:rFonts w:ascii="Arial" w:hAnsi="Arial" w:cs="Arial"/>
        </w:rPr>
        <w:t>smooth implementation of the curriculum.</w:t>
      </w:r>
    </w:p>
    <w:p w14:paraId="59726A56" w14:textId="23B5886A" w:rsidR="00153051" w:rsidRPr="00153051" w:rsidRDefault="009F5814"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9F5814">
        <w:rPr>
          <w:rFonts w:ascii="Arial" w:hAnsi="Arial" w:cs="Arial"/>
          <w:b/>
          <w:u w:val="single"/>
        </w:rPr>
        <w:t xml:space="preserve">Impact of </w:t>
      </w:r>
      <w:r w:rsidR="00230CFC" w:rsidRPr="009F5814">
        <w:rPr>
          <w:rFonts w:ascii="Arial" w:hAnsi="Arial" w:cs="Arial"/>
          <w:b/>
          <w:u w:val="single"/>
        </w:rPr>
        <w:t>institutional variations in instructional culture</w:t>
      </w:r>
    </w:p>
    <w:p w14:paraId="15665A0F" w14:textId="38E164B0" w:rsidR="00153051" w:rsidRPr="00153051" w:rsidRDefault="00153051" w:rsidP="00153051">
      <w:pPr>
        <w:pStyle w:val="Body"/>
        <w:rPr>
          <w:rFonts w:ascii="Arial" w:hAnsi="Arial" w:cs="Arial"/>
        </w:rPr>
      </w:pPr>
      <w:r w:rsidRPr="00153051">
        <w:rPr>
          <w:rFonts w:ascii="Arial" w:hAnsi="Arial" w:cs="Arial"/>
        </w:rPr>
        <w:t xml:space="preserve">The variance that exists in instructional cultures across educational institutions can significantly impact the method of curriculum implementation and students’ outcomes. In the context of colleges of education in southwest Nigeria, this variance is determined by several factors such as institutional goals, staff qualification, available resources and infrastructure, geographical location and so on. A study by Schendel et al (2023) explored the variations in instructional culture across three African tertiary institutions and their impact on students’ learning. They found out that the institutions with a strong tradition of academic excellence that </w:t>
      </w:r>
      <w:r w:rsidR="00A016FF" w:rsidRPr="00153051">
        <w:rPr>
          <w:rFonts w:ascii="Arial" w:hAnsi="Arial" w:cs="Arial"/>
        </w:rPr>
        <w:t>promote</w:t>
      </w:r>
      <w:r w:rsidRPr="00153051">
        <w:rPr>
          <w:rFonts w:ascii="Arial" w:hAnsi="Arial" w:cs="Arial"/>
        </w:rPr>
        <w:t xml:space="preserve"> staff professional development tend to have a more effective instructional culture. They also revealed that students’ outcomes are significantly impacted by the innovative teaching methods and strategies employed by educators. In contrast, institutions that face challenges, such as </w:t>
      </w:r>
      <w:r w:rsidR="00DA20C8">
        <w:rPr>
          <w:rFonts w:ascii="Arial" w:hAnsi="Arial" w:cs="Arial"/>
        </w:rPr>
        <w:t>a teacher-</w:t>
      </w:r>
      <w:proofErr w:type="spellStart"/>
      <w:r w:rsidR="00DA20C8">
        <w:rPr>
          <w:rFonts w:ascii="Arial" w:hAnsi="Arial" w:cs="Arial"/>
        </w:rPr>
        <w:t>centred</w:t>
      </w:r>
      <w:proofErr w:type="spellEnd"/>
      <w:r w:rsidR="00DA20C8">
        <w:rPr>
          <w:rFonts w:ascii="Arial" w:hAnsi="Arial" w:cs="Arial"/>
        </w:rPr>
        <w:t xml:space="preserve"> approach to teaching and a lack of professional expertise, struggle to implement the curriculum effectively,</w:t>
      </w:r>
      <w:r w:rsidRPr="00153051">
        <w:rPr>
          <w:rFonts w:ascii="Arial" w:hAnsi="Arial" w:cs="Arial"/>
        </w:rPr>
        <w:t xml:space="preserve"> leading to suboptimal student outcomes.</w:t>
      </w:r>
    </w:p>
    <w:p w14:paraId="1299ABBF" w14:textId="44C7F180" w:rsidR="00153051" w:rsidRPr="00153051" w:rsidRDefault="00153051" w:rsidP="00153051">
      <w:pPr>
        <w:pStyle w:val="Body"/>
        <w:rPr>
          <w:rFonts w:ascii="Arial" w:hAnsi="Arial" w:cs="Arial"/>
        </w:rPr>
      </w:pPr>
      <w:r w:rsidRPr="00153051">
        <w:rPr>
          <w:rFonts w:ascii="Arial" w:hAnsi="Arial" w:cs="Arial"/>
        </w:rPr>
        <w:t>Importantly, variations in instructional culture in the field of music education are usually prominent</w:t>
      </w:r>
      <w:r w:rsidR="009F5814">
        <w:rPr>
          <w:rFonts w:ascii="Arial" w:hAnsi="Arial" w:cs="Arial"/>
        </w:rPr>
        <w:t xml:space="preserve"> and pronounced</w:t>
      </w:r>
      <w:r w:rsidRPr="00153051">
        <w:rPr>
          <w:rFonts w:ascii="Arial" w:hAnsi="Arial" w:cs="Arial"/>
        </w:rPr>
        <w:t xml:space="preserve">. According to Ajose &amp; Alade (2023), music department in Nigerian Colleges of Education face several challenges which act as constraints to effective curriculum implementation. </w:t>
      </w:r>
      <w:r w:rsidR="00C66932">
        <w:rPr>
          <w:rFonts w:ascii="Arial" w:hAnsi="Arial" w:cs="Arial"/>
        </w:rPr>
        <w:t>Among t</w:t>
      </w:r>
      <w:r w:rsidRPr="00153051">
        <w:rPr>
          <w:rFonts w:ascii="Arial" w:hAnsi="Arial" w:cs="Arial"/>
        </w:rPr>
        <w:t xml:space="preserve">hese limitations </w:t>
      </w:r>
      <w:r w:rsidR="00C66932">
        <w:rPr>
          <w:rFonts w:ascii="Arial" w:hAnsi="Arial" w:cs="Arial"/>
        </w:rPr>
        <w:t>is</w:t>
      </w:r>
      <w:r w:rsidRPr="00153051">
        <w:rPr>
          <w:rFonts w:ascii="Arial" w:hAnsi="Arial" w:cs="Arial"/>
        </w:rPr>
        <w:t xml:space="preserve"> the instructional culture in the institutions. </w:t>
      </w:r>
      <w:r w:rsidR="00C66932">
        <w:rPr>
          <w:rFonts w:ascii="Arial" w:hAnsi="Arial" w:cs="Arial"/>
        </w:rPr>
        <w:t xml:space="preserve">Others </w:t>
      </w:r>
      <w:r w:rsidRPr="00153051">
        <w:rPr>
          <w:rFonts w:ascii="Arial" w:hAnsi="Arial" w:cs="Arial"/>
        </w:rPr>
        <w:t xml:space="preserve">include resource inadequacy, lack of access to musical instruments, lack of in-service training, inadequate staff strength, and limiting institutional rules and regulations. Moreover, students in institutions with a strong emphasis on innovative instructional culture have more opportunities to develop practical skills and theoretical skills. The disparities in institutional and instructional culture can have </w:t>
      </w:r>
      <w:r w:rsidR="00C66932" w:rsidRPr="00153051">
        <w:rPr>
          <w:rFonts w:ascii="Arial" w:hAnsi="Arial" w:cs="Arial"/>
        </w:rPr>
        <w:t xml:space="preserve">a </w:t>
      </w:r>
      <w:r w:rsidR="00DA20C8">
        <w:rPr>
          <w:rFonts w:ascii="Arial" w:hAnsi="Arial" w:cs="Arial"/>
        </w:rPr>
        <w:t>long-term impact on students' careers,</w:t>
      </w:r>
      <w:r w:rsidRPr="00153051">
        <w:rPr>
          <w:rFonts w:ascii="Arial" w:hAnsi="Arial" w:cs="Arial"/>
        </w:rPr>
        <w:t xml:space="preserve"> particularly in a creative and competitive field like music.</w:t>
      </w:r>
    </w:p>
    <w:p w14:paraId="2C5E7E01" w14:textId="4935FA6C" w:rsidR="00153051" w:rsidRPr="00153051" w:rsidRDefault="00C66932"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sidRPr="00C66932">
        <w:rPr>
          <w:rFonts w:ascii="Arial" w:hAnsi="Arial" w:cs="Arial"/>
          <w:b/>
          <w:u w:val="single"/>
        </w:rPr>
        <w:t xml:space="preserve">Strategies for </w:t>
      </w:r>
      <w:r w:rsidR="00230CFC" w:rsidRPr="00C66932">
        <w:rPr>
          <w:rFonts w:ascii="Arial" w:hAnsi="Arial" w:cs="Arial"/>
          <w:b/>
          <w:u w:val="single"/>
        </w:rPr>
        <w:t>enhancing instructional culture and curriculum implementation in music education</w:t>
      </w:r>
      <w:r w:rsidR="00230CFC">
        <w:rPr>
          <w:rFonts w:ascii="Arial" w:hAnsi="Arial" w:cs="Arial"/>
          <w:b/>
          <w:u w:val="single"/>
        </w:rPr>
        <w:t xml:space="preserve"> </w:t>
      </w:r>
    </w:p>
    <w:p w14:paraId="4014A802" w14:textId="5611F9B2" w:rsidR="00153051" w:rsidRPr="00153051" w:rsidRDefault="00153051" w:rsidP="00153051">
      <w:pPr>
        <w:pStyle w:val="Body"/>
        <w:rPr>
          <w:rFonts w:ascii="Arial" w:hAnsi="Arial" w:cs="Arial"/>
        </w:rPr>
      </w:pPr>
      <w:r w:rsidRPr="00153051">
        <w:rPr>
          <w:rFonts w:ascii="Arial" w:hAnsi="Arial" w:cs="Arial"/>
        </w:rPr>
        <w:t xml:space="preserve">Having engaged the critical role of instructional culture as an influential contributor in curriculum implementation and student outcomes, it is important to adopt </w:t>
      </w:r>
      <w:r w:rsidR="00DA20C8">
        <w:rPr>
          <w:rFonts w:ascii="Arial" w:hAnsi="Arial" w:cs="Arial"/>
        </w:rPr>
        <w:t>an enhanced</w:t>
      </w:r>
      <w:r w:rsidR="00DA20C8" w:rsidRPr="00153051">
        <w:rPr>
          <w:rFonts w:ascii="Arial" w:hAnsi="Arial" w:cs="Arial"/>
        </w:rPr>
        <w:t xml:space="preserve"> </w:t>
      </w:r>
      <w:r w:rsidRPr="00153051">
        <w:rPr>
          <w:rFonts w:ascii="Arial" w:hAnsi="Arial" w:cs="Arial"/>
        </w:rPr>
        <w:t>and innovative instructional culture in music education. Research suggests that several approaches can be adopted in this regard. According to West &amp; Bautista (2021)</w:t>
      </w:r>
      <w:r w:rsidR="00C66932">
        <w:rPr>
          <w:rFonts w:ascii="Arial" w:hAnsi="Arial" w:cs="Arial"/>
        </w:rPr>
        <w:t>, the</w:t>
      </w:r>
      <w:r w:rsidRPr="00153051">
        <w:rPr>
          <w:rFonts w:ascii="Arial" w:hAnsi="Arial" w:cs="Arial"/>
        </w:rPr>
        <w:t xml:space="preserve"> professional development of music educators is a significant strategy to improve the instructional culture in any institution. According to them, professional development will help educators stay in tune with global best practices, emerging technologies and innovative teaching methodologies. Specifically, professional development will equip music educators with </w:t>
      </w:r>
      <w:r w:rsidR="00DA20C8">
        <w:rPr>
          <w:rFonts w:ascii="Arial" w:hAnsi="Arial" w:cs="Arial"/>
        </w:rPr>
        <w:t xml:space="preserve">the </w:t>
      </w:r>
      <w:r w:rsidRPr="00153051">
        <w:rPr>
          <w:rFonts w:ascii="Arial" w:hAnsi="Arial" w:cs="Arial"/>
        </w:rPr>
        <w:t>relevant skills needed to effectively use the available resources through creative improvisation and application.</w:t>
      </w:r>
    </w:p>
    <w:p w14:paraId="737E1EAE" w14:textId="77777777" w:rsidR="00153051" w:rsidRPr="00153051" w:rsidRDefault="00153051" w:rsidP="00153051">
      <w:pPr>
        <w:pStyle w:val="Body"/>
        <w:rPr>
          <w:rFonts w:ascii="Arial" w:hAnsi="Arial" w:cs="Arial"/>
        </w:rPr>
      </w:pPr>
      <w:r w:rsidRPr="00153051">
        <w:rPr>
          <w:rFonts w:ascii="Arial" w:hAnsi="Arial" w:cs="Arial"/>
        </w:rPr>
        <w:t xml:space="preserve">Another strategy as suggested by Bautista, Stanley &amp; </w:t>
      </w:r>
      <w:proofErr w:type="spellStart"/>
      <w:r w:rsidRPr="00153051">
        <w:rPr>
          <w:rFonts w:ascii="Arial" w:hAnsi="Arial" w:cs="Arial"/>
        </w:rPr>
        <w:t>Candusso</w:t>
      </w:r>
      <w:proofErr w:type="spellEnd"/>
      <w:r w:rsidRPr="00153051">
        <w:rPr>
          <w:rFonts w:ascii="Arial" w:hAnsi="Arial" w:cs="Arial"/>
        </w:rPr>
        <w:t xml:space="preserve"> (2021), is to promote collaboration among music educators and across sister institutions. They emphasize the value of collaborative cultures in education where educators can share research ideas, classroom practices and challenges they face; they have the opportunity to work together, brainstorm on challenges, and support each other’s professional growth by solving problems together. This is an opportunity for cross-institutional mentorship, accountability and support.</w:t>
      </w:r>
    </w:p>
    <w:p w14:paraId="373B9509" w14:textId="68612695" w:rsidR="00153051" w:rsidRDefault="00153051" w:rsidP="00153051">
      <w:pPr>
        <w:pStyle w:val="Body"/>
        <w:spacing w:after="0"/>
        <w:rPr>
          <w:rFonts w:ascii="Arial" w:hAnsi="Arial" w:cs="Arial"/>
        </w:rPr>
      </w:pPr>
      <w:r w:rsidRPr="00153051">
        <w:rPr>
          <w:rFonts w:ascii="Arial" w:hAnsi="Arial" w:cs="Arial"/>
        </w:rPr>
        <w:t xml:space="preserve">It is important to foster a supportive learning culture not just to encourage students’ enrollment, engagement, and creativity but also to improve the delivery of knowledge in a professional manner. As noted by Ojukwu &amp; </w:t>
      </w:r>
      <w:proofErr w:type="spellStart"/>
      <w:r w:rsidRPr="00153051">
        <w:rPr>
          <w:rFonts w:ascii="Arial" w:hAnsi="Arial" w:cs="Arial"/>
        </w:rPr>
        <w:t>Onyiuke</w:t>
      </w:r>
      <w:proofErr w:type="spellEnd"/>
      <w:r w:rsidRPr="00153051">
        <w:rPr>
          <w:rFonts w:ascii="Arial" w:hAnsi="Arial" w:cs="Arial"/>
        </w:rPr>
        <w:t xml:space="preserve"> (2021), a culture </w:t>
      </w:r>
      <w:r w:rsidRPr="00153051">
        <w:rPr>
          <w:rFonts w:ascii="Arial" w:hAnsi="Arial" w:cs="Arial"/>
        </w:rPr>
        <w:lastRenderedPageBreak/>
        <w:t xml:space="preserve">that is </w:t>
      </w:r>
      <w:proofErr w:type="spellStart"/>
      <w:r w:rsidR="00E140A1">
        <w:rPr>
          <w:rFonts w:ascii="Arial" w:hAnsi="Arial" w:cs="Arial"/>
        </w:rPr>
        <w:t>characterised</w:t>
      </w:r>
      <w:proofErr w:type="spellEnd"/>
      <w:r w:rsidR="00E140A1">
        <w:rPr>
          <w:rFonts w:ascii="Arial" w:hAnsi="Arial" w:cs="Arial"/>
        </w:rPr>
        <w:t xml:space="preserve"> by mutual respect between students and teachers, adequate communication, student-</w:t>
      </w:r>
      <w:proofErr w:type="spellStart"/>
      <w:r w:rsidR="00E140A1">
        <w:rPr>
          <w:rFonts w:ascii="Arial" w:hAnsi="Arial" w:cs="Arial"/>
        </w:rPr>
        <w:t>centred</w:t>
      </w:r>
      <w:proofErr w:type="spellEnd"/>
      <w:r w:rsidRPr="00153051">
        <w:rPr>
          <w:rFonts w:ascii="Arial" w:hAnsi="Arial" w:cs="Arial"/>
        </w:rPr>
        <w:t xml:space="preserve"> learning, productive collaboration, constructive feedback, as well as best practices, will improve the quality of music education. </w:t>
      </w:r>
    </w:p>
    <w:p w14:paraId="4B27A880" w14:textId="77777777" w:rsidR="00153051" w:rsidRDefault="00153051" w:rsidP="00153051">
      <w:pPr>
        <w:pStyle w:val="Body"/>
        <w:spacing w:after="0"/>
        <w:rPr>
          <w:rFonts w:ascii="Arial" w:hAnsi="Arial" w:cs="Arial"/>
        </w:rPr>
      </w:pPr>
    </w:p>
    <w:p w14:paraId="56AE66AE" w14:textId="1788BDF4" w:rsidR="00790ADA" w:rsidRDefault="0049237F" w:rsidP="001649F2">
      <w:pPr>
        <w:pStyle w:val="Body"/>
        <w:rPr>
          <w:rFonts w:ascii="Arial" w:hAnsi="Arial" w:cs="Arial"/>
        </w:rPr>
      </w:pPr>
      <w:r w:rsidRPr="0049237F">
        <w:rPr>
          <w:rFonts w:ascii="Arial" w:hAnsi="Arial" w:cs="Arial"/>
        </w:rPr>
        <w:t xml:space="preserve">The fundamental objective of this research is premised on the drive to bring to the fore, amongst bodies of literature and study output, the place of prevailing instructional culture on the implementation of music education curriculum in selected Colleges of Education in Southwest Nigeria. This is however hinged on the understanding that the role of diverse teaching methods and levels of exposure of music educators contribute to the prevailing instructional culture which determines the outcome of knowledge delivery. The distinctions inherent in individual methods of teaching and learning, herewith </w:t>
      </w:r>
      <w:proofErr w:type="spellStart"/>
      <w:r w:rsidR="00DA20C8">
        <w:rPr>
          <w:rFonts w:ascii="Arial" w:hAnsi="Arial" w:cs="Arial"/>
        </w:rPr>
        <w:t>operationalised</w:t>
      </w:r>
      <w:proofErr w:type="spellEnd"/>
      <w:r w:rsidR="00DA20C8" w:rsidRPr="0049237F">
        <w:rPr>
          <w:rFonts w:ascii="Arial" w:hAnsi="Arial" w:cs="Arial"/>
        </w:rPr>
        <w:t xml:space="preserve"> </w:t>
      </w:r>
      <w:r w:rsidRPr="0049237F">
        <w:rPr>
          <w:rFonts w:ascii="Arial" w:hAnsi="Arial" w:cs="Arial"/>
        </w:rPr>
        <w:t>as instructional culture, are a major point of reference and strength for this study.</w:t>
      </w:r>
      <w:r w:rsidR="002A2C56">
        <w:rPr>
          <w:rFonts w:ascii="Arial" w:hAnsi="Arial" w:cs="Arial"/>
        </w:rPr>
        <w:t xml:space="preserve"> </w:t>
      </w:r>
      <w:r w:rsidRPr="0049237F">
        <w:rPr>
          <w:rFonts w:ascii="Arial" w:hAnsi="Arial" w:cs="Arial"/>
        </w:rPr>
        <w:t>The findings from this research reveal variations in instructional culture across institutions and its impact on student learning outcomes. At the same time, it identifies challenges faced by music instructors in the process of curriculum implementation. Beyond this, it offers a fresh perspective on how individual perceptions (both student and teacher) interact with instructional culture to shape the integration of progressive learning approaches.</w:t>
      </w:r>
    </w:p>
    <w:p w14:paraId="16C2F4A4" w14:textId="69D085B8" w:rsidR="0091459E" w:rsidRPr="0091459E" w:rsidRDefault="0013673D" w:rsidP="0091459E">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5</w:t>
      </w:r>
      <w:r w:rsidRPr="00902823">
        <w:rPr>
          <w:rFonts w:ascii="Arial" w:hAnsi="Arial" w:cs="Arial"/>
          <w:b/>
          <w:u w:val="single"/>
        </w:rPr>
        <w:t xml:space="preserve"> </w:t>
      </w:r>
      <w:r w:rsidRPr="0013673D">
        <w:rPr>
          <w:rFonts w:ascii="Arial" w:hAnsi="Arial" w:cs="Arial"/>
          <w:b/>
          <w:u w:val="single"/>
        </w:rPr>
        <w:t>Theoretical Framework</w:t>
      </w:r>
      <w:r w:rsidRPr="00C66932">
        <w:rPr>
          <w:rFonts w:ascii="Arial" w:hAnsi="Arial" w:cs="Arial"/>
          <w:b/>
          <w:u w:val="single"/>
        </w:rPr>
        <w:t xml:space="preserve"> </w:t>
      </w:r>
    </w:p>
    <w:p w14:paraId="68464A7D" w14:textId="77777777" w:rsidR="00193277" w:rsidRDefault="0091459E" w:rsidP="001649F2">
      <w:pPr>
        <w:pStyle w:val="Body"/>
        <w:rPr>
          <w:rFonts w:ascii="Arial" w:hAnsi="Arial" w:cs="Arial"/>
        </w:rPr>
      </w:pPr>
      <w:r w:rsidRPr="0091459E">
        <w:rPr>
          <w:rFonts w:ascii="Arial" w:hAnsi="Arial" w:cs="Arial"/>
        </w:rPr>
        <w:t>This study is grounded in curriculum theory</w:t>
      </w:r>
      <w:r w:rsidR="001239C9">
        <w:rPr>
          <w:rFonts w:ascii="Arial" w:hAnsi="Arial" w:cs="Arial"/>
        </w:rPr>
        <w:t xml:space="preserve"> </w:t>
      </w:r>
      <w:r w:rsidR="00437886">
        <w:rPr>
          <w:rFonts w:ascii="Arial" w:hAnsi="Arial" w:cs="Arial"/>
        </w:rPr>
        <w:t xml:space="preserve">by William Pinar </w:t>
      </w:r>
      <w:r w:rsidRPr="0091459E">
        <w:rPr>
          <w:rFonts w:ascii="Arial" w:hAnsi="Arial" w:cs="Arial"/>
        </w:rPr>
        <w:t xml:space="preserve">which </w:t>
      </w:r>
      <w:r w:rsidR="00036A78">
        <w:rPr>
          <w:rFonts w:ascii="Arial" w:hAnsi="Arial" w:cs="Arial"/>
        </w:rPr>
        <w:t>revolutionizes</w:t>
      </w:r>
      <w:r w:rsidR="001F085E">
        <w:rPr>
          <w:rFonts w:ascii="Arial" w:hAnsi="Arial" w:cs="Arial"/>
        </w:rPr>
        <w:t xml:space="preserve"> educational experiences </w:t>
      </w:r>
      <w:r w:rsidR="00A35340">
        <w:rPr>
          <w:rFonts w:ascii="Arial" w:hAnsi="Arial" w:cs="Arial"/>
        </w:rPr>
        <w:t xml:space="preserve">through </w:t>
      </w:r>
      <w:r w:rsidR="00F00332">
        <w:rPr>
          <w:rFonts w:ascii="Arial" w:hAnsi="Arial" w:cs="Arial"/>
        </w:rPr>
        <w:t xml:space="preserve">the lens of </w:t>
      </w:r>
      <w:r w:rsidR="00A35340">
        <w:rPr>
          <w:rFonts w:ascii="Arial" w:hAnsi="Arial" w:cs="Arial"/>
        </w:rPr>
        <w:t xml:space="preserve">policy and practices. It provides a roadmap </w:t>
      </w:r>
      <w:r w:rsidR="00DC1AE8">
        <w:rPr>
          <w:rFonts w:ascii="Arial" w:hAnsi="Arial" w:cs="Arial"/>
        </w:rPr>
        <w:t>for</w:t>
      </w:r>
      <w:r w:rsidRPr="0091459E">
        <w:rPr>
          <w:rFonts w:ascii="Arial" w:hAnsi="Arial" w:cs="Arial"/>
        </w:rPr>
        <w:t xml:space="preserve"> understanding the relationship between the formal curriculum, its delivery, and the </w:t>
      </w:r>
      <w:r w:rsidR="00DC1AE8">
        <w:rPr>
          <w:rFonts w:ascii="Arial" w:hAnsi="Arial" w:cs="Arial"/>
        </w:rPr>
        <w:t>socio</w:t>
      </w:r>
      <w:r w:rsidRPr="0091459E">
        <w:rPr>
          <w:rFonts w:ascii="Arial" w:hAnsi="Arial" w:cs="Arial"/>
        </w:rPr>
        <w:t xml:space="preserve">cultural contexts that shape its implementation. </w:t>
      </w:r>
      <w:r w:rsidR="00DC1AE8">
        <w:rPr>
          <w:rFonts w:ascii="Arial" w:hAnsi="Arial" w:cs="Arial"/>
        </w:rPr>
        <w:t xml:space="preserve">According to </w:t>
      </w:r>
      <w:r w:rsidR="008F723D" w:rsidRPr="0091459E">
        <w:rPr>
          <w:rFonts w:ascii="Arial" w:hAnsi="Arial" w:cs="Arial"/>
        </w:rPr>
        <w:t>(Pinar, 20</w:t>
      </w:r>
      <w:r w:rsidR="00126930">
        <w:rPr>
          <w:rFonts w:ascii="Arial" w:hAnsi="Arial" w:cs="Arial"/>
        </w:rPr>
        <w:t>04</w:t>
      </w:r>
      <w:r w:rsidR="008F723D" w:rsidRPr="0091459E">
        <w:rPr>
          <w:rFonts w:ascii="Arial" w:hAnsi="Arial" w:cs="Arial"/>
        </w:rPr>
        <w:t>)</w:t>
      </w:r>
      <w:r w:rsidR="008F723D">
        <w:rPr>
          <w:rFonts w:ascii="Arial" w:hAnsi="Arial" w:cs="Arial"/>
        </w:rPr>
        <w:t>, c</w:t>
      </w:r>
      <w:r w:rsidRPr="0091459E">
        <w:rPr>
          <w:rFonts w:ascii="Arial" w:hAnsi="Arial" w:cs="Arial"/>
        </w:rPr>
        <w:t xml:space="preserve">urriculum </w:t>
      </w:r>
      <w:r w:rsidR="00416FCE">
        <w:rPr>
          <w:rFonts w:ascii="Arial" w:hAnsi="Arial" w:cs="Arial"/>
        </w:rPr>
        <w:t xml:space="preserve">is not just content, but </w:t>
      </w:r>
      <w:r w:rsidR="00522C84">
        <w:rPr>
          <w:rFonts w:ascii="Arial" w:hAnsi="Arial" w:cs="Arial"/>
        </w:rPr>
        <w:t xml:space="preserve">a tool to shape the learning process and the outcome of learning. </w:t>
      </w:r>
      <w:r w:rsidRPr="0091459E">
        <w:rPr>
          <w:rFonts w:ascii="Arial" w:hAnsi="Arial" w:cs="Arial"/>
        </w:rPr>
        <w:t xml:space="preserve">In line with this perspective, the study explores how the instructional culture within Colleges of Education in Southwest Nigeria influences the interpretation and delivery of the music education curriculum. </w:t>
      </w:r>
    </w:p>
    <w:p w14:paraId="1070D5DB" w14:textId="6B27932E" w:rsidR="00276749" w:rsidRDefault="0091459E" w:rsidP="001649F2">
      <w:pPr>
        <w:pStyle w:val="Body"/>
        <w:rPr>
          <w:rFonts w:ascii="Arial" w:hAnsi="Arial" w:cs="Arial"/>
        </w:rPr>
      </w:pPr>
      <w:r w:rsidRPr="0091459E">
        <w:rPr>
          <w:rFonts w:ascii="Arial" w:hAnsi="Arial" w:cs="Arial"/>
        </w:rPr>
        <w:t xml:space="preserve">As Freire (1970) argues, the implementation of curriculum is never neutral; it </w:t>
      </w:r>
      <w:proofErr w:type="gramStart"/>
      <w:r w:rsidR="0003067B">
        <w:rPr>
          <w:rFonts w:ascii="Arial" w:hAnsi="Arial" w:cs="Arial"/>
        </w:rPr>
        <w:t xml:space="preserve">is a </w:t>
      </w:r>
      <w:r w:rsidRPr="0091459E">
        <w:rPr>
          <w:rFonts w:ascii="Arial" w:hAnsi="Arial" w:cs="Arial"/>
        </w:rPr>
        <w:t>reflect</w:t>
      </w:r>
      <w:r w:rsidR="003E62A8">
        <w:rPr>
          <w:rFonts w:ascii="Arial" w:hAnsi="Arial" w:cs="Arial"/>
        </w:rPr>
        <w:t>ion of</w:t>
      </w:r>
      <w:proofErr w:type="gramEnd"/>
      <w:r w:rsidR="003E62A8">
        <w:rPr>
          <w:rFonts w:ascii="Arial" w:hAnsi="Arial" w:cs="Arial"/>
        </w:rPr>
        <w:t xml:space="preserve"> </w:t>
      </w:r>
      <w:r w:rsidR="0062083D">
        <w:rPr>
          <w:rFonts w:ascii="Arial" w:hAnsi="Arial" w:cs="Arial"/>
        </w:rPr>
        <w:t>an</w:t>
      </w:r>
      <w:r w:rsidR="003E62A8">
        <w:rPr>
          <w:rFonts w:ascii="Arial" w:hAnsi="Arial" w:cs="Arial"/>
        </w:rPr>
        <w:t xml:space="preserve"> existing</w:t>
      </w:r>
      <w:r w:rsidR="0062083D">
        <w:rPr>
          <w:rFonts w:ascii="Arial" w:hAnsi="Arial" w:cs="Arial"/>
        </w:rPr>
        <w:t xml:space="preserve"> system</w:t>
      </w:r>
      <w:r w:rsidR="00A51BA3">
        <w:rPr>
          <w:rFonts w:ascii="Arial" w:hAnsi="Arial" w:cs="Arial"/>
        </w:rPr>
        <w:t xml:space="preserve">, either good or bad. </w:t>
      </w:r>
      <w:r w:rsidRPr="0091459E">
        <w:rPr>
          <w:rFonts w:ascii="Arial" w:hAnsi="Arial" w:cs="Arial"/>
        </w:rPr>
        <w:t xml:space="preserve">Therefore, by examining </w:t>
      </w:r>
      <w:r w:rsidR="00145E78">
        <w:rPr>
          <w:rFonts w:ascii="Arial" w:hAnsi="Arial" w:cs="Arial"/>
        </w:rPr>
        <w:t>instructional culture</w:t>
      </w:r>
      <w:r w:rsidRPr="0091459E">
        <w:rPr>
          <w:rFonts w:ascii="Arial" w:hAnsi="Arial" w:cs="Arial"/>
        </w:rPr>
        <w:t xml:space="preserve"> across institutions</w:t>
      </w:r>
      <w:r w:rsidR="0012507C">
        <w:rPr>
          <w:rFonts w:ascii="Arial" w:hAnsi="Arial" w:cs="Arial"/>
        </w:rPr>
        <w:t>, the</w:t>
      </w:r>
      <w:r w:rsidRPr="0091459E">
        <w:rPr>
          <w:rFonts w:ascii="Arial" w:hAnsi="Arial" w:cs="Arial"/>
        </w:rPr>
        <w:t xml:space="preserve"> </w:t>
      </w:r>
      <w:r w:rsidR="0012507C" w:rsidRPr="0091459E">
        <w:rPr>
          <w:rFonts w:ascii="Arial" w:hAnsi="Arial" w:cs="Arial"/>
        </w:rPr>
        <w:t xml:space="preserve">curriculum theory </w:t>
      </w:r>
      <w:r w:rsidR="00BA2908">
        <w:rPr>
          <w:rFonts w:ascii="Arial" w:hAnsi="Arial" w:cs="Arial"/>
        </w:rPr>
        <w:t xml:space="preserve">acts as a guide to </w:t>
      </w:r>
      <w:r w:rsidRPr="0091459E">
        <w:rPr>
          <w:rFonts w:ascii="Arial" w:hAnsi="Arial" w:cs="Arial"/>
        </w:rPr>
        <w:t>reveal how context-specific factors affect curriculum implementation in teacher education. Moreover, the adopt</w:t>
      </w:r>
      <w:r w:rsidR="00A00576">
        <w:rPr>
          <w:rFonts w:ascii="Arial" w:hAnsi="Arial" w:cs="Arial"/>
        </w:rPr>
        <w:t>ion of</w:t>
      </w:r>
      <w:r w:rsidRPr="0091459E">
        <w:rPr>
          <w:rFonts w:ascii="Arial" w:hAnsi="Arial" w:cs="Arial"/>
        </w:rPr>
        <w:t xml:space="preserve"> Pinar’s (20</w:t>
      </w:r>
      <w:r w:rsidR="00F27146">
        <w:rPr>
          <w:rFonts w:ascii="Arial" w:hAnsi="Arial" w:cs="Arial"/>
        </w:rPr>
        <w:t>2</w:t>
      </w:r>
      <w:r w:rsidRPr="0091459E">
        <w:rPr>
          <w:rFonts w:ascii="Arial" w:hAnsi="Arial" w:cs="Arial"/>
        </w:rPr>
        <w:t xml:space="preserve">2) notion of </w:t>
      </w:r>
      <w:proofErr w:type="spellStart"/>
      <w:r w:rsidRPr="0091459E">
        <w:rPr>
          <w:rFonts w:ascii="Arial" w:hAnsi="Arial" w:cs="Arial"/>
        </w:rPr>
        <w:t>currere</w:t>
      </w:r>
      <w:proofErr w:type="spellEnd"/>
      <w:r w:rsidRPr="0091459E">
        <w:rPr>
          <w:rFonts w:ascii="Arial" w:hAnsi="Arial" w:cs="Arial"/>
        </w:rPr>
        <w:t>, frame</w:t>
      </w:r>
      <w:r w:rsidR="004C2892">
        <w:rPr>
          <w:rFonts w:ascii="Arial" w:hAnsi="Arial" w:cs="Arial"/>
        </w:rPr>
        <w:t>s</w:t>
      </w:r>
      <w:r w:rsidRPr="0091459E">
        <w:rPr>
          <w:rFonts w:ascii="Arial" w:hAnsi="Arial" w:cs="Arial"/>
        </w:rPr>
        <w:t xml:space="preserve"> how both lecturers and students engage with the curriculum</w:t>
      </w:r>
      <w:r w:rsidR="004C2892">
        <w:rPr>
          <w:rFonts w:ascii="Arial" w:hAnsi="Arial" w:cs="Arial"/>
        </w:rPr>
        <w:t xml:space="preserve"> from a</w:t>
      </w:r>
      <w:r w:rsidR="004C2892" w:rsidRPr="0091459E">
        <w:rPr>
          <w:rFonts w:ascii="Arial" w:hAnsi="Arial" w:cs="Arial"/>
        </w:rPr>
        <w:t xml:space="preserve"> reflective, personal, and institutional </w:t>
      </w:r>
      <w:r w:rsidR="002209E8">
        <w:rPr>
          <w:rFonts w:ascii="Arial" w:hAnsi="Arial" w:cs="Arial"/>
        </w:rPr>
        <w:t xml:space="preserve">point of view. </w:t>
      </w:r>
      <w:r w:rsidR="00276749">
        <w:rPr>
          <w:rFonts w:ascii="Arial" w:hAnsi="Arial" w:cs="Arial"/>
        </w:rPr>
        <w:t xml:space="preserve">In addition, </w:t>
      </w:r>
      <w:r w:rsidR="00276749" w:rsidRPr="00276749">
        <w:rPr>
          <w:rFonts w:ascii="Arial" w:hAnsi="Arial" w:cs="Arial"/>
        </w:rPr>
        <w:t xml:space="preserve">David J. Elliott’s </w:t>
      </w:r>
      <w:proofErr w:type="spellStart"/>
      <w:r w:rsidR="00276749" w:rsidRPr="00276749">
        <w:rPr>
          <w:rFonts w:ascii="Arial" w:hAnsi="Arial" w:cs="Arial"/>
        </w:rPr>
        <w:t>praxial</w:t>
      </w:r>
      <w:proofErr w:type="spellEnd"/>
      <w:r w:rsidR="00276749">
        <w:rPr>
          <w:rFonts w:ascii="Arial" w:hAnsi="Arial" w:cs="Arial"/>
        </w:rPr>
        <w:t xml:space="preserve"> </w:t>
      </w:r>
      <w:r w:rsidR="00276749" w:rsidRPr="00276749">
        <w:rPr>
          <w:rFonts w:ascii="Arial" w:hAnsi="Arial" w:cs="Arial"/>
        </w:rPr>
        <w:t>philosophy of music education</w:t>
      </w:r>
      <w:r w:rsidR="006C7D10">
        <w:rPr>
          <w:rFonts w:ascii="Arial" w:hAnsi="Arial" w:cs="Arial"/>
        </w:rPr>
        <w:t xml:space="preserve"> </w:t>
      </w:r>
      <w:r w:rsidR="00D60FC1">
        <w:rPr>
          <w:rFonts w:ascii="Arial" w:hAnsi="Arial" w:cs="Arial"/>
        </w:rPr>
        <w:t xml:space="preserve">(PME) </w:t>
      </w:r>
      <w:r w:rsidR="006C7D10">
        <w:rPr>
          <w:rFonts w:ascii="Arial" w:hAnsi="Arial" w:cs="Arial"/>
        </w:rPr>
        <w:t xml:space="preserve">underpins the bases </w:t>
      </w:r>
      <w:r w:rsidR="001A7167">
        <w:rPr>
          <w:rFonts w:ascii="Arial" w:hAnsi="Arial" w:cs="Arial"/>
        </w:rPr>
        <w:t>for</w:t>
      </w:r>
      <w:r w:rsidR="006C7D10">
        <w:rPr>
          <w:rFonts w:ascii="Arial" w:hAnsi="Arial" w:cs="Arial"/>
        </w:rPr>
        <w:t xml:space="preserve"> which the</w:t>
      </w:r>
      <w:r w:rsidR="001A7167">
        <w:rPr>
          <w:rFonts w:ascii="Arial" w:hAnsi="Arial" w:cs="Arial"/>
        </w:rPr>
        <w:t xml:space="preserve"> </w:t>
      </w:r>
      <w:r w:rsidR="0072250D">
        <w:rPr>
          <w:rFonts w:ascii="Arial" w:hAnsi="Arial" w:cs="Arial"/>
        </w:rPr>
        <w:t>pedagogical</w:t>
      </w:r>
      <w:r w:rsidR="001A7167">
        <w:rPr>
          <w:rFonts w:ascii="Arial" w:hAnsi="Arial" w:cs="Arial"/>
        </w:rPr>
        <w:t xml:space="preserve"> </w:t>
      </w:r>
      <w:r w:rsidR="0072250D">
        <w:rPr>
          <w:rFonts w:ascii="Arial" w:hAnsi="Arial" w:cs="Arial"/>
        </w:rPr>
        <w:t xml:space="preserve">style of lecturers </w:t>
      </w:r>
      <w:r w:rsidR="00F348B2">
        <w:rPr>
          <w:rFonts w:ascii="Arial" w:hAnsi="Arial" w:cs="Arial"/>
        </w:rPr>
        <w:t>is interrogated.</w:t>
      </w:r>
      <w:r w:rsidR="00D60FC1">
        <w:rPr>
          <w:rFonts w:ascii="Arial" w:hAnsi="Arial" w:cs="Arial"/>
        </w:rPr>
        <w:t xml:space="preserve"> According to</w:t>
      </w:r>
      <w:r w:rsidR="009B07A5">
        <w:rPr>
          <w:rFonts w:ascii="Arial" w:hAnsi="Arial" w:cs="Arial"/>
        </w:rPr>
        <w:t xml:space="preserve"> </w:t>
      </w:r>
      <w:r w:rsidR="009B07A5" w:rsidRPr="00617DBD">
        <w:rPr>
          <w:rFonts w:ascii="Arial" w:hAnsi="Arial" w:cs="Arial"/>
        </w:rPr>
        <w:t>Silverman, Davis &amp; Elliott (2014)</w:t>
      </w:r>
      <w:r w:rsidR="001651A6">
        <w:rPr>
          <w:rFonts w:ascii="Arial" w:hAnsi="Arial" w:cs="Arial"/>
        </w:rPr>
        <w:t>,</w:t>
      </w:r>
      <w:r w:rsidR="00D60FC1">
        <w:rPr>
          <w:rFonts w:ascii="Arial" w:hAnsi="Arial" w:cs="Arial"/>
        </w:rPr>
        <w:t xml:space="preserve"> </w:t>
      </w:r>
      <w:r w:rsidR="00D44EE2">
        <w:rPr>
          <w:rFonts w:ascii="Arial" w:hAnsi="Arial" w:cs="Arial"/>
        </w:rPr>
        <w:t xml:space="preserve">PME </w:t>
      </w:r>
      <w:r w:rsidR="00147FF8">
        <w:rPr>
          <w:rFonts w:ascii="Arial" w:hAnsi="Arial" w:cs="Arial"/>
        </w:rPr>
        <w:t xml:space="preserve">posits that </w:t>
      </w:r>
      <w:r w:rsidR="00F277F9">
        <w:rPr>
          <w:rFonts w:ascii="Arial" w:hAnsi="Arial" w:cs="Arial"/>
        </w:rPr>
        <w:t xml:space="preserve">the final </w:t>
      </w:r>
      <w:r w:rsidR="00EA581E">
        <w:rPr>
          <w:rFonts w:ascii="Arial" w:hAnsi="Arial" w:cs="Arial"/>
        </w:rPr>
        <w:t xml:space="preserve">product of </w:t>
      </w:r>
      <w:r w:rsidR="00147FF8">
        <w:rPr>
          <w:rFonts w:ascii="Arial" w:hAnsi="Arial" w:cs="Arial"/>
        </w:rPr>
        <w:t>music</w:t>
      </w:r>
      <w:r w:rsidR="001651A6">
        <w:rPr>
          <w:rFonts w:ascii="Arial" w:hAnsi="Arial" w:cs="Arial"/>
        </w:rPr>
        <w:t xml:space="preserve"> </w:t>
      </w:r>
      <w:r w:rsidR="009B07A5">
        <w:rPr>
          <w:rFonts w:ascii="Arial" w:hAnsi="Arial" w:cs="Arial"/>
        </w:rPr>
        <w:t xml:space="preserve">making </w:t>
      </w:r>
      <w:r w:rsidR="001651A6">
        <w:rPr>
          <w:rFonts w:ascii="Arial" w:hAnsi="Arial" w:cs="Arial"/>
        </w:rPr>
        <w:t>(</w:t>
      </w:r>
      <w:r w:rsidR="009B07A5">
        <w:rPr>
          <w:rFonts w:ascii="Arial" w:hAnsi="Arial" w:cs="Arial"/>
        </w:rPr>
        <w:t xml:space="preserve">and </w:t>
      </w:r>
      <w:r w:rsidR="001651A6">
        <w:rPr>
          <w:rFonts w:ascii="Arial" w:hAnsi="Arial" w:cs="Arial"/>
        </w:rPr>
        <w:t>learning)</w:t>
      </w:r>
      <w:r w:rsidR="00147FF8">
        <w:rPr>
          <w:rFonts w:ascii="Arial" w:hAnsi="Arial" w:cs="Arial"/>
        </w:rPr>
        <w:t xml:space="preserve"> </w:t>
      </w:r>
      <w:r w:rsidR="00C415F4">
        <w:rPr>
          <w:rFonts w:ascii="Arial" w:hAnsi="Arial" w:cs="Arial"/>
        </w:rPr>
        <w:t xml:space="preserve">is a combination of </w:t>
      </w:r>
      <w:r w:rsidR="00EA581E">
        <w:rPr>
          <w:rFonts w:ascii="Arial" w:hAnsi="Arial" w:cs="Arial"/>
        </w:rPr>
        <w:t xml:space="preserve">intentional </w:t>
      </w:r>
      <w:r w:rsidR="00F277F9">
        <w:rPr>
          <w:rFonts w:ascii="Arial" w:hAnsi="Arial" w:cs="Arial"/>
        </w:rPr>
        <w:t xml:space="preserve">actions </w:t>
      </w:r>
      <w:r w:rsidR="00EA581E">
        <w:rPr>
          <w:rFonts w:ascii="Arial" w:hAnsi="Arial" w:cs="Arial"/>
        </w:rPr>
        <w:t>that</w:t>
      </w:r>
      <w:r w:rsidR="00147FF8" w:rsidRPr="00147FF8">
        <w:rPr>
          <w:rFonts w:ascii="Arial" w:hAnsi="Arial" w:cs="Arial"/>
        </w:rPr>
        <w:t xml:space="preserve"> take place</w:t>
      </w:r>
      <w:r w:rsidR="00147FF8">
        <w:rPr>
          <w:rFonts w:ascii="Arial" w:hAnsi="Arial" w:cs="Arial"/>
        </w:rPr>
        <w:t xml:space="preserve"> </w:t>
      </w:r>
      <w:r w:rsidR="00EA581E">
        <w:rPr>
          <w:rFonts w:ascii="Arial" w:hAnsi="Arial" w:cs="Arial"/>
        </w:rPr>
        <w:t>a</w:t>
      </w:r>
      <w:r w:rsidR="00147FF8">
        <w:rPr>
          <w:rFonts w:ascii="Arial" w:hAnsi="Arial" w:cs="Arial"/>
        </w:rPr>
        <w:t>s a result of human activit</w:t>
      </w:r>
      <w:r w:rsidR="006348C5">
        <w:rPr>
          <w:rFonts w:ascii="Arial" w:hAnsi="Arial" w:cs="Arial"/>
        </w:rPr>
        <w:t>ies</w:t>
      </w:r>
      <w:r w:rsidR="00147FF8">
        <w:rPr>
          <w:rFonts w:ascii="Arial" w:hAnsi="Arial" w:cs="Arial"/>
        </w:rPr>
        <w:t>.</w:t>
      </w:r>
      <w:r w:rsidR="0015303C">
        <w:rPr>
          <w:rFonts w:ascii="Arial" w:hAnsi="Arial" w:cs="Arial"/>
        </w:rPr>
        <w:t xml:space="preserve"> The final output </w:t>
      </w:r>
      <w:r w:rsidR="00A610D6">
        <w:rPr>
          <w:rFonts w:ascii="Arial" w:hAnsi="Arial" w:cs="Arial"/>
        </w:rPr>
        <w:t>is dependent on</w:t>
      </w:r>
      <w:r w:rsidR="00BD5CEB">
        <w:rPr>
          <w:rFonts w:ascii="Arial" w:hAnsi="Arial" w:cs="Arial"/>
        </w:rPr>
        <w:t xml:space="preserve"> </w:t>
      </w:r>
      <w:r w:rsidR="006C615C">
        <w:rPr>
          <w:rFonts w:ascii="Arial" w:hAnsi="Arial" w:cs="Arial"/>
        </w:rPr>
        <w:t>a holistic practice involving different levels of human interactions</w:t>
      </w:r>
      <w:r w:rsidR="0039700B" w:rsidRPr="0039700B">
        <w:t xml:space="preserve"> </w:t>
      </w:r>
      <w:r w:rsidR="0039700B" w:rsidRPr="0039700B">
        <w:rPr>
          <w:rFonts w:ascii="Arial" w:hAnsi="Arial" w:cs="Arial"/>
        </w:rPr>
        <w:t xml:space="preserve">including </w:t>
      </w:r>
      <w:r w:rsidR="007B1636">
        <w:rPr>
          <w:rFonts w:ascii="Arial" w:hAnsi="Arial" w:cs="Arial"/>
        </w:rPr>
        <w:t xml:space="preserve">balance in theory and practice, </w:t>
      </w:r>
      <w:r w:rsidR="0039700B" w:rsidRPr="0039700B">
        <w:rPr>
          <w:rFonts w:ascii="Arial" w:hAnsi="Arial" w:cs="Arial"/>
        </w:rPr>
        <w:t>institutional culture, and context-specific approaches</w:t>
      </w:r>
      <w:r w:rsidR="007B1636">
        <w:rPr>
          <w:rFonts w:ascii="Arial" w:hAnsi="Arial" w:cs="Arial"/>
        </w:rPr>
        <w:t xml:space="preserve">. </w:t>
      </w:r>
    </w:p>
    <w:p w14:paraId="2ED957C0" w14:textId="77777777" w:rsidR="0049237F" w:rsidRPr="00FB3A86" w:rsidRDefault="0049237F" w:rsidP="0049237F">
      <w:pPr>
        <w:pStyle w:val="Body"/>
        <w:spacing w:after="0"/>
        <w:rPr>
          <w:rFonts w:ascii="Arial" w:hAnsi="Arial" w:cs="Arial"/>
        </w:rPr>
      </w:pPr>
    </w:p>
    <w:p w14:paraId="7BA5F62D" w14:textId="513C71C0"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w:t>
      </w:r>
      <w:r w:rsidR="00DA20C8">
        <w:rPr>
          <w:rFonts w:ascii="Arial" w:hAnsi="Arial" w:cs="Arial"/>
        </w:rPr>
        <w:t xml:space="preserve">Methodology </w:t>
      </w:r>
    </w:p>
    <w:p w14:paraId="1DE6CD8C" w14:textId="77777777" w:rsidR="00790ADA" w:rsidRDefault="00790ADA" w:rsidP="00441B6F">
      <w:pPr>
        <w:pStyle w:val="Body"/>
        <w:spacing w:after="0"/>
        <w:rPr>
          <w:rFonts w:ascii="Arial" w:hAnsi="Arial" w:cs="Arial"/>
        </w:rPr>
      </w:pPr>
    </w:p>
    <w:p w14:paraId="0303BF64" w14:textId="7F1576E8" w:rsidR="004B3972" w:rsidRDefault="004B3972" w:rsidP="00441B6F">
      <w:pPr>
        <w:pStyle w:val="Body"/>
        <w:spacing w:after="0"/>
        <w:rPr>
          <w:rFonts w:ascii="Arial" w:hAnsi="Arial" w:cs="Arial"/>
          <w:b/>
          <w:sz w:val="22"/>
        </w:rPr>
      </w:pPr>
      <w:r w:rsidRPr="00C30A0F">
        <w:rPr>
          <w:rFonts w:ascii="Arial" w:hAnsi="Arial" w:cs="Arial"/>
          <w:b/>
          <w:caps/>
          <w:sz w:val="22"/>
        </w:rPr>
        <w:t xml:space="preserve">2.1 </w:t>
      </w:r>
      <w:r w:rsidR="00664E30">
        <w:rPr>
          <w:rFonts w:ascii="Arial" w:hAnsi="Arial" w:cs="Arial"/>
          <w:b/>
          <w:sz w:val="22"/>
        </w:rPr>
        <w:t>R</w:t>
      </w:r>
      <w:r>
        <w:rPr>
          <w:rFonts w:ascii="Arial" w:hAnsi="Arial" w:cs="Arial"/>
          <w:b/>
          <w:sz w:val="22"/>
        </w:rPr>
        <w:t>esearch Design</w:t>
      </w:r>
      <w:r w:rsidRPr="00C30A0F">
        <w:rPr>
          <w:rFonts w:ascii="Arial" w:hAnsi="Arial" w:cs="Arial"/>
          <w:b/>
          <w:sz w:val="22"/>
        </w:rPr>
        <w:t xml:space="preserve"> </w:t>
      </w:r>
    </w:p>
    <w:p w14:paraId="5FBD05C8" w14:textId="77777777" w:rsidR="004B3972" w:rsidRDefault="004B3972" w:rsidP="00441B6F">
      <w:pPr>
        <w:pStyle w:val="Body"/>
        <w:spacing w:after="0"/>
        <w:rPr>
          <w:rFonts w:ascii="Arial" w:hAnsi="Arial" w:cs="Arial"/>
          <w:b/>
          <w:sz w:val="22"/>
        </w:rPr>
      </w:pPr>
    </w:p>
    <w:p w14:paraId="01449F04" w14:textId="0BD18747" w:rsidR="00E87F4A" w:rsidRDefault="008D0E0E" w:rsidP="00441B6F">
      <w:pPr>
        <w:pStyle w:val="Body"/>
        <w:spacing w:after="0"/>
        <w:rPr>
          <w:rFonts w:ascii="Arial" w:hAnsi="Arial" w:cs="Arial"/>
        </w:rPr>
      </w:pPr>
      <w:r w:rsidRPr="008D0E0E">
        <w:rPr>
          <w:rFonts w:ascii="Arial" w:hAnsi="Arial" w:cs="Arial"/>
        </w:rPr>
        <w:t xml:space="preserve">The research is based on descriptive survey design. In specific terms, </w:t>
      </w:r>
      <w:r>
        <w:rPr>
          <w:rFonts w:ascii="Arial" w:hAnsi="Arial" w:cs="Arial"/>
        </w:rPr>
        <w:t>it</w:t>
      </w:r>
      <w:r w:rsidR="00E87F4A" w:rsidRPr="00E87F4A">
        <w:rPr>
          <w:rFonts w:ascii="Arial" w:hAnsi="Arial" w:cs="Arial"/>
        </w:rPr>
        <w:t xml:space="preserve"> employ</w:t>
      </w:r>
      <w:r w:rsidR="004B3972">
        <w:rPr>
          <w:rFonts w:ascii="Arial" w:hAnsi="Arial" w:cs="Arial"/>
        </w:rPr>
        <w:t>s</w:t>
      </w:r>
      <w:r w:rsidR="00E87F4A" w:rsidRPr="00E87F4A">
        <w:rPr>
          <w:rFonts w:ascii="Arial" w:hAnsi="Arial" w:cs="Arial"/>
        </w:rPr>
        <w:t xml:space="preserve"> both qualitative and quantitative methods of data collection. For the quantitative method, </w:t>
      </w:r>
      <w:r w:rsidR="00E87F4A">
        <w:rPr>
          <w:rFonts w:ascii="Arial" w:hAnsi="Arial" w:cs="Arial"/>
        </w:rPr>
        <w:t>a</w:t>
      </w:r>
      <w:r w:rsidR="00E87F4A" w:rsidRPr="00E87F4A">
        <w:rPr>
          <w:rFonts w:ascii="Arial" w:hAnsi="Arial" w:cs="Arial"/>
        </w:rPr>
        <w:t xml:space="preserve"> structured questionnaire serve</w:t>
      </w:r>
      <w:r w:rsidR="004B3972">
        <w:rPr>
          <w:rFonts w:ascii="Arial" w:hAnsi="Arial" w:cs="Arial"/>
        </w:rPr>
        <w:t>s</w:t>
      </w:r>
      <w:r w:rsidR="00E87F4A" w:rsidRPr="00E87F4A">
        <w:rPr>
          <w:rFonts w:ascii="Arial" w:hAnsi="Arial" w:cs="Arial"/>
        </w:rPr>
        <w:t xml:space="preserve"> as the main instrument for collecting the required information </w:t>
      </w:r>
      <w:r w:rsidR="00E87F4A">
        <w:rPr>
          <w:rFonts w:ascii="Arial" w:hAnsi="Arial" w:cs="Arial"/>
        </w:rPr>
        <w:t>while</w:t>
      </w:r>
      <w:r w:rsidR="00E87F4A" w:rsidRPr="00E87F4A">
        <w:rPr>
          <w:rFonts w:ascii="Arial" w:hAnsi="Arial" w:cs="Arial"/>
        </w:rPr>
        <w:t xml:space="preserve"> for the qualitative method, the research adopt</w:t>
      </w:r>
      <w:r w:rsidR="004B3972">
        <w:rPr>
          <w:rFonts w:ascii="Arial" w:hAnsi="Arial" w:cs="Arial"/>
        </w:rPr>
        <w:t>s</w:t>
      </w:r>
      <w:r w:rsidR="00E87F4A" w:rsidRPr="00E87F4A">
        <w:rPr>
          <w:rFonts w:ascii="Arial" w:hAnsi="Arial" w:cs="Arial"/>
        </w:rPr>
        <w:t xml:space="preserve"> the Key Informant Interview (KII) and participant observation</w:t>
      </w:r>
      <w:r w:rsidR="00E87F4A">
        <w:rPr>
          <w:rFonts w:ascii="Arial" w:hAnsi="Arial" w:cs="Arial"/>
        </w:rPr>
        <w:t xml:space="preserve">. </w:t>
      </w:r>
      <w:r w:rsidR="0027000D" w:rsidRPr="0027000D">
        <w:rPr>
          <w:rFonts w:ascii="Arial" w:hAnsi="Arial" w:cs="Arial"/>
        </w:rPr>
        <w:t>These techniques were chosen because they enable a thorough examination of the main concerns, which makes them suitable for the study's setting.</w:t>
      </w:r>
      <w:r w:rsidR="0027000D">
        <w:rPr>
          <w:rFonts w:ascii="Arial" w:hAnsi="Arial" w:cs="Arial"/>
        </w:rPr>
        <w:t xml:space="preserve"> </w:t>
      </w:r>
      <w:r w:rsidR="005668C6" w:rsidRPr="005668C6">
        <w:rPr>
          <w:rFonts w:ascii="Arial" w:hAnsi="Arial" w:cs="Arial"/>
        </w:rPr>
        <w:t xml:space="preserve">Moreover, </w:t>
      </w:r>
      <w:r>
        <w:rPr>
          <w:rFonts w:ascii="Arial" w:hAnsi="Arial" w:cs="Arial"/>
        </w:rPr>
        <w:t>t</w:t>
      </w:r>
      <w:r w:rsidRPr="0049237F">
        <w:rPr>
          <w:rFonts w:ascii="Arial" w:hAnsi="Arial" w:cs="Arial"/>
        </w:rPr>
        <w:t xml:space="preserve">he research </w:t>
      </w:r>
      <w:r>
        <w:rPr>
          <w:rFonts w:ascii="Arial" w:hAnsi="Arial" w:cs="Arial"/>
        </w:rPr>
        <w:t>is</w:t>
      </w:r>
      <w:r w:rsidRPr="0049237F">
        <w:rPr>
          <w:rFonts w:ascii="Arial" w:hAnsi="Arial" w:cs="Arial"/>
        </w:rPr>
        <w:t xml:space="preserve"> </w:t>
      </w:r>
      <w:r>
        <w:rPr>
          <w:rFonts w:ascii="Arial" w:hAnsi="Arial" w:cs="Arial"/>
        </w:rPr>
        <w:t xml:space="preserve">explorative in nature with the intention to provide valuable insights that can inform comparative studies on a larger scale. </w:t>
      </w:r>
    </w:p>
    <w:p w14:paraId="60ADB680" w14:textId="77777777" w:rsidR="004B3972" w:rsidRDefault="004B3972" w:rsidP="00441B6F">
      <w:pPr>
        <w:pStyle w:val="Body"/>
        <w:spacing w:after="0"/>
        <w:rPr>
          <w:rFonts w:ascii="Arial" w:hAnsi="Arial" w:cs="Arial"/>
        </w:rPr>
      </w:pPr>
    </w:p>
    <w:p w14:paraId="770BDF36" w14:textId="6E5FA412"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664E30" w:rsidRPr="004B3972">
        <w:rPr>
          <w:rFonts w:ascii="Arial" w:hAnsi="Arial" w:cs="Arial"/>
          <w:b/>
          <w:sz w:val="22"/>
        </w:rPr>
        <w:t>Population</w:t>
      </w:r>
      <w:r w:rsidR="00664E30" w:rsidRPr="00C30A0F">
        <w:rPr>
          <w:rFonts w:ascii="Arial" w:hAnsi="Arial" w:cs="Arial"/>
          <w:b/>
          <w:sz w:val="22"/>
        </w:rPr>
        <w:t xml:space="preserve"> </w:t>
      </w:r>
    </w:p>
    <w:p w14:paraId="1D7F1C8C" w14:textId="400C463C" w:rsidR="004B3972" w:rsidRPr="004B3972" w:rsidRDefault="004B3972" w:rsidP="004B3972">
      <w:pPr>
        <w:pStyle w:val="Body"/>
        <w:rPr>
          <w:rFonts w:ascii="Arial" w:hAnsi="Arial" w:cs="Arial"/>
        </w:rPr>
      </w:pPr>
      <w:r w:rsidRPr="004B3972">
        <w:rPr>
          <w:rFonts w:ascii="Arial" w:hAnsi="Arial" w:cs="Arial"/>
        </w:rPr>
        <w:t>The study cover</w:t>
      </w:r>
      <w:r w:rsidR="00664E30">
        <w:rPr>
          <w:rFonts w:ascii="Arial" w:hAnsi="Arial" w:cs="Arial"/>
        </w:rPr>
        <w:t>s</w:t>
      </w:r>
      <w:r w:rsidRPr="004B3972">
        <w:rPr>
          <w:rFonts w:ascii="Arial" w:hAnsi="Arial" w:cs="Arial"/>
        </w:rPr>
        <w:t xml:space="preserve"> </w:t>
      </w:r>
      <w:r w:rsidR="0034329C">
        <w:rPr>
          <w:rFonts w:ascii="Arial" w:hAnsi="Arial" w:cs="Arial"/>
        </w:rPr>
        <w:t xml:space="preserve">students and lecturers in </w:t>
      </w:r>
      <w:r w:rsidR="00013884">
        <w:rPr>
          <w:rFonts w:ascii="Arial" w:hAnsi="Arial" w:cs="Arial"/>
        </w:rPr>
        <w:t xml:space="preserve">Federal College of Education (Special), Oyo and </w:t>
      </w:r>
      <w:r w:rsidR="00013884" w:rsidRPr="004B3972">
        <w:rPr>
          <w:rFonts w:ascii="Arial" w:hAnsi="Arial" w:cs="Arial"/>
        </w:rPr>
        <w:t>Federal College of Education, Abeokuta</w:t>
      </w:r>
      <w:r w:rsidR="00013884">
        <w:rPr>
          <w:rFonts w:ascii="Arial" w:hAnsi="Arial" w:cs="Arial"/>
        </w:rPr>
        <w:t>.</w:t>
      </w:r>
      <w:r w:rsidR="00013884" w:rsidRPr="004B3972">
        <w:rPr>
          <w:rFonts w:ascii="Arial" w:hAnsi="Arial" w:cs="Arial"/>
        </w:rPr>
        <w:t xml:space="preserve"> </w:t>
      </w:r>
      <w:r w:rsidR="00013884">
        <w:rPr>
          <w:rFonts w:ascii="Arial" w:hAnsi="Arial" w:cs="Arial"/>
        </w:rPr>
        <w:t>T</w:t>
      </w:r>
      <w:r w:rsidR="00013884" w:rsidRPr="00013884">
        <w:rPr>
          <w:rFonts w:ascii="Arial" w:hAnsi="Arial" w:cs="Arial"/>
        </w:rPr>
        <w:t xml:space="preserve">he purposively selected institutions are the only two Colleges of Education in the region currently offering a full Nigerian Certificate in Education (NCE) </w:t>
      </w:r>
      <w:proofErr w:type="spellStart"/>
      <w:r w:rsidR="00013884" w:rsidRPr="00013884">
        <w:rPr>
          <w:rFonts w:ascii="Arial" w:hAnsi="Arial" w:cs="Arial"/>
        </w:rPr>
        <w:t>programme</w:t>
      </w:r>
      <w:proofErr w:type="spellEnd"/>
      <w:r w:rsidR="00013884" w:rsidRPr="00013884">
        <w:rPr>
          <w:rFonts w:ascii="Arial" w:hAnsi="Arial" w:cs="Arial"/>
        </w:rPr>
        <w:t xml:space="preserve"> in music</w:t>
      </w:r>
      <w:r w:rsidR="00013884">
        <w:rPr>
          <w:rFonts w:ascii="Arial" w:hAnsi="Arial" w:cs="Arial"/>
        </w:rPr>
        <w:t>; u</w:t>
      </w:r>
      <w:r w:rsidR="00013884" w:rsidRPr="00013884">
        <w:rPr>
          <w:rFonts w:ascii="Arial" w:hAnsi="Arial" w:cs="Arial"/>
        </w:rPr>
        <w:t xml:space="preserve">nlike other institutions that </w:t>
      </w:r>
      <w:r w:rsidR="00013884">
        <w:rPr>
          <w:rFonts w:ascii="Arial" w:hAnsi="Arial" w:cs="Arial"/>
        </w:rPr>
        <w:t>have been converted</w:t>
      </w:r>
      <w:r w:rsidR="00013884" w:rsidRPr="00013884">
        <w:rPr>
          <w:rFonts w:ascii="Arial" w:hAnsi="Arial" w:cs="Arial"/>
        </w:rPr>
        <w:t xml:space="preserve"> to universities and are phasing out their NCE </w:t>
      </w:r>
      <w:proofErr w:type="spellStart"/>
      <w:r w:rsidR="00013884" w:rsidRPr="00013884">
        <w:rPr>
          <w:rFonts w:ascii="Arial" w:hAnsi="Arial" w:cs="Arial"/>
        </w:rPr>
        <w:t>programmes</w:t>
      </w:r>
      <w:proofErr w:type="spellEnd"/>
      <w:r w:rsidR="00013884">
        <w:rPr>
          <w:rFonts w:ascii="Arial" w:hAnsi="Arial" w:cs="Arial"/>
        </w:rPr>
        <w:t xml:space="preserve">. </w:t>
      </w:r>
      <w:r w:rsidRPr="004B3972">
        <w:rPr>
          <w:rFonts w:ascii="Arial" w:hAnsi="Arial" w:cs="Arial"/>
        </w:rPr>
        <w:t>This becomes imperative within the context of this research</w:t>
      </w:r>
      <w:r w:rsidR="00DA20C8">
        <w:rPr>
          <w:rFonts w:ascii="Arial" w:hAnsi="Arial" w:cs="Arial"/>
        </w:rPr>
        <w:t>, given the understanding that music</w:t>
      </w:r>
      <w:r w:rsidR="00013884">
        <w:rPr>
          <w:rFonts w:ascii="Arial" w:hAnsi="Arial" w:cs="Arial"/>
        </w:rPr>
        <w:t xml:space="preserve"> education in colleges</w:t>
      </w:r>
      <w:r w:rsidR="00DA20C8">
        <w:rPr>
          <w:rFonts w:ascii="Arial" w:hAnsi="Arial" w:cs="Arial"/>
        </w:rPr>
        <w:t xml:space="preserve"> </w:t>
      </w:r>
      <w:r w:rsidR="00F73DEE">
        <w:rPr>
          <w:rFonts w:ascii="Arial" w:hAnsi="Arial" w:cs="Arial"/>
        </w:rPr>
        <w:t>is</w:t>
      </w:r>
      <w:r w:rsidR="00DA20C8">
        <w:rPr>
          <w:rFonts w:ascii="Arial" w:hAnsi="Arial" w:cs="Arial"/>
        </w:rPr>
        <w:t xml:space="preserve"> built on different instructional cultures, which account</w:t>
      </w:r>
      <w:r w:rsidRPr="004B3972">
        <w:rPr>
          <w:rFonts w:ascii="Arial" w:hAnsi="Arial" w:cs="Arial"/>
        </w:rPr>
        <w:t xml:space="preserve"> for their respective approaches and strategies for delivering music education curriculum both in theory and practice.</w:t>
      </w:r>
    </w:p>
    <w:p w14:paraId="3076D923" w14:textId="7666B8DE"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B3972">
        <w:rPr>
          <w:rFonts w:ascii="Arial" w:hAnsi="Arial" w:cs="Arial"/>
          <w:b/>
          <w:sz w:val="22"/>
        </w:rPr>
        <w:t>Sampling</w:t>
      </w:r>
    </w:p>
    <w:p w14:paraId="41A87A52" w14:textId="77777777" w:rsidR="00DA15C3" w:rsidRDefault="005668C6" w:rsidP="0095328C">
      <w:pPr>
        <w:pStyle w:val="Body"/>
        <w:rPr>
          <w:rFonts w:ascii="Arial" w:hAnsi="Arial" w:cs="Arial"/>
        </w:rPr>
      </w:pPr>
      <w:r>
        <w:rPr>
          <w:rFonts w:ascii="Arial" w:hAnsi="Arial" w:cs="Arial"/>
        </w:rPr>
        <w:t>The</w:t>
      </w:r>
      <w:r w:rsidR="00664E30">
        <w:rPr>
          <w:rFonts w:ascii="Arial" w:hAnsi="Arial" w:cs="Arial"/>
        </w:rPr>
        <w:t xml:space="preserve"> </w:t>
      </w:r>
      <w:r w:rsidR="004B3972" w:rsidRPr="004B3972">
        <w:rPr>
          <w:rFonts w:ascii="Arial" w:hAnsi="Arial" w:cs="Arial"/>
        </w:rPr>
        <w:t xml:space="preserve">sample size for this study </w:t>
      </w:r>
      <w:r w:rsidR="00664E30">
        <w:rPr>
          <w:rFonts w:ascii="Arial" w:hAnsi="Arial" w:cs="Arial"/>
        </w:rPr>
        <w:t>consists of</w:t>
      </w:r>
      <w:r w:rsidR="004B3972" w:rsidRPr="004B3972">
        <w:rPr>
          <w:rFonts w:ascii="Arial" w:hAnsi="Arial" w:cs="Arial"/>
        </w:rPr>
        <w:t xml:space="preserve"> </w:t>
      </w:r>
      <w:r w:rsidR="0034329C">
        <w:rPr>
          <w:rFonts w:ascii="Arial" w:hAnsi="Arial" w:cs="Arial"/>
        </w:rPr>
        <w:t>8</w:t>
      </w:r>
      <w:r w:rsidR="004C0F1C">
        <w:rPr>
          <w:rFonts w:ascii="Arial" w:hAnsi="Arial" w:cs="Arial"/>
        </w:rPr>
        <w:t>8</w:t>
      </w:r>
      <w:r w:rsidR="004B3972" w:rsidRPr="004B3972">
        <w:rPr>
          <w:rFonts w:ascii="Arial" w:hAnsi="Arial" w:cs="Arial"/>
        </w:rPr>
        <w:t xml:space="preserve"> selected respondents</w:t>
      </w:r>
      <w:r w:rsidR="00DA20C8">
        <w:rPr>
          <w:rFonts w:ascii="Arial" w:hAnsi="Arial" w:cs="Arial"/>
        </w:rPr>
        <w:t xml:space="preserve">, including 5 lecturers and </w:t>
      </w:r>
      <w:r w:rsidR="0007424E">
        <w:rPr>
          <w:rFonts w:ascii="Arial" w:hAnsi="Arial" w:cs="Arial"/>
        </w:rPr>
        <w:t>83</w:t>
      </w:r>
      <w:r w:rsidR="00DA20C8">
        <w:rPr>
          <w:rFonts w:ascii="Arial" w:hAnsi="Arial" w:cs="Arial"/>
        </w:rPr>
        <w:t xml:space="preserve"> students of the institutions where music education is being</w:t>
      </w:r>
      <w:r w:rsidR="004B3972" w:rsidRPr="004B3972">
        <w:rPr>
          <w:rFonts w:ascii="Arial" w:hAnsi="Arial" w:cs="Arial"/>
        </w:rPr>
        <w:t xml:space="preserve"> studied. </w:t>
      </w:r>
      <w:r w:rsidR="0095328C" w:rsidRPr="0095328C">
        <w:rPr>
          <w:rFonts w:ascii="Arial" w:hAnsi="Arial" w:cs="Arial"/>
        </w:rPr>
        <w:t xml:space="preserve">The institutions selected for this study were chosen based on the fact that they </w:t>
      </w:r>
      <w:r w:rsidR="0095328C" w:rsidRPr="0095328C">
        <w:rPr>
          <w:rFonts w:ascii="Arial" w:hAnsi="Arial" w:cs="Arial"/>
        </w:rPr>
        <w:lastRenderedPageBreak/>
        <w:t>have an established Department of Music and currently offer music as a course at the NCE level. At the time of this research, only two Colleges of Education in Southwest Nigeria met this criterion, making them the focus of the study.</w:t>
      </w:r>
      <w:r w:rsidR="0095328C">
        <w:rPr>
          <w:rFonts w:ascii="Arial" w:hAnsi="Arial" w:cs="Arial"/>
        </w:rPr>
        <w:t xml:space="preserve"> </w:t>
      </w:r>
    </w:p>
    <w:p w14:paraId="2ABF829F" w14:textId="1CE92D26" w:rsidR="00DA15C3" w:rsidRPr="00D73F35" w:rsidRDefault="00DA15C3" w:rsidP="00DA15C3">
      <w:pPr>
        <w:pStyle w:val="Body"/>
        <w:rPr>
          <w:rFonts w:ascii="Arial" w:hAnsi="Arial" w:cs="Arial"/>
        </w:rPr>
      </w:pPr>
      <w:r w:rsidRPr="00D73F35">
        <w:rPr>
          <w:rFonts w:ascii="Arial" w:hAnsi="Arial" w:cs="Arial"/>
        </w:rPr>
        <w:t>Within these two institutions, a multi-stage sampling procedure was employed to select respondents. Multi-stage sampling is particularly useful when the population is spread across different strata or clusters, allowing the researcher to select samples in successive stages using different sampling techniques at each stage (Creswell &amp; Creswell, 2018; Babbie, 201</w:t>
      </w:r>
      <w:r>
        <w:rPr>
          <w:rFonts w:ascii="Arial" w:hAnsi="Arial" w:cs="Arial"/>
        </w:rPr>
        <w:t>0</w:t>
      </w:r>
      <w:r w:rsidRPr="00D73F35">
        <w:rPr>
          <w:rFonts w:ascii="Arial" w:hAnsi="Arial" w:cs="Arial"/>
        </w:rPr>
        <w:t>).</w:t>
      </w:r>
    </w:p>
    <w:p w14:paraId="7A6A8B44" w14:textId="77777777" w:rsidR="0074742F" w:rsidRPr="00D73F35" w:rsidRDefault="0074742F" w:rsidP="0074742F">
      <w:pPr>
        <w:pStyle w:val="Body"/>
        <w:rPr>
          <w:rFonts w:ascii="Arial" w:hAnsi="Arial" w:cs="Arial"/>
        </w:rPr>
      </w:pPr>
      <w:r w:rsidRPr="00D73F35">
        <w:rPr>
          <w:rFonts w:ascii="Arial" w:hAnsi="Arial" w:cs="Arial"/>
        </w:rPr>
        <w:t xml:space="preserve">For the quantitative aspect, Yamane’s (1967) formula was used to determine the sample size from the known population of </w:t>
      </w:r>
      <w:r>
        <w:rPr>
          <w:rFonts w:ascii="Arial" w:hAnsi="Arial" w:cs="Arial"/>
        </w:rPr>
        <w:t>83</w:t>
      </w:r>
      <w:r w:rsidRPr="00D73F35">
        <w:rPr>
          <w:rFonts w:ascii="Arial" w:hAnsi="Arial" w:cs="Arial"/>
        </w:rPr>
        <w:t xml:space="preserve"> music students. This ensured statistical reliability at a 95% confidence level with a 5% margin of error. Stratified random sampling was then used to draw student respondents proportionately from different levels of study within each institution for questionnaire administration. Stratified sampling, as described by Fraenkel, Wallen, and Hyun (</w:t>
      </w:r>
      <w:r>
        <w:rPr>
          <w:rFonts w:ascii="Arial" w:hAnsi="Arial" w:cs="Arial"/>
        </w:rPr>
        <w:t>1993</w:t>
      </w:r>
      <w:r w:rsidRPr="00D73F35">
        <w:rPr>
          <w:rFonts w:ascii="Arial" w:hAnsi="Arial" w:cs="Arial"/>
        </w:rPr>
        <w:t>), increases the representativeness of a sample by ensuring that key subgroups within the population are adequately represented.</w:t>
      </w:r>
    </w:p>
    <w:p w14:paraId="1135FB71" w14:textId="77777777" w:rsidR="006E7181" w:rsidRPr="00D73F35" w:rsidRDefault="006E7181" w:rsidP="006E7181">
      <w:pPr>
        <w:pStyle w:val="Body"/>
        <w:rPr>
          <w:rFonts w:ascii="Arial" w:hAnsi="Arial" w:cs="Arial"/>
        </w:rPr>
      </w:pPr>
      <w:r w:rsidRPr="00D73F35">
        <w:rPr>
          <w:rFonts w:ascii="Arial" w:hAnsi="Arial" w:cs="Arial"/>
        </w:rPr>
        <w:t xml:space="preserve">For the qualitative aspect, purposive sampling was used to select key informants, including music teachers and students, based on their experience and direct involvement in curriculum implementation. According to Patton (2015), purposive sampling allows for the intentional selection of </w:t>
      </w:r>
      <w:r>
        <w:rPr>
          <w:rFonts w:ascii="Arial" w:hAnsi="Arial" w:cs="Arial"/>
        </w:rPr>
        <w:t>substantive</w:t>
      </w:r>
      <w:r w:rsidRPr="00D73F35">
        <w:rPr>
          <w:rFonts w:ascii="Arial" w:hAnsi="Arial" w:cs="Arial"/>
        </w:rPr>
        <w:t xml:space="preserve"> cases that can provide deep insights into the</w:t>
      </w:r>
      <w:r>
        <w:rPr>
          <w:rFonts w:ascii="Arial" w:hAnsi="Arial" w:cs="Arial"/>
        </w:rPr>
        <w:t xml:space="preserve"> focus of the</w:t>
      </w:r>
      <w:r w:rsidRPr="00D73F35">
        <w:rPr>
          <w:rFonts w:ascii="Arial" w:hAnsi="Arial" w:cs="Arial"/>
        </w:rPr>
        <w:t xml:space="preserve"> study. Participant observation was also carried out in selected classes to complement data obtained from the interviews and questionnaires.</w:t>
      </w:r>
    </w:p>
    <w:p w14:paraId="1A35F7B1" w14:textId="779B161C" w:rsidR="00D73F35" w:rsidRPr="00D73F35" w:rsidRDefault="004B3972" w:rsidP="00D73F35">
      <w:pPr>
        <w:pStyle w:val="Body"/>
        <w:rPr>
          <w:rFonts w:ascii="Arial" w:hAnsi="Arial" w:cs="Arial"/>
        </w:rPr>
      </w:pPr>
      <w:r w:rsidRPr="004B3972">
        <w:rPr>
          <w:rFonts w:ascii="Arial" w:hAnsi="Arial" w:cs="Arial"/>
        </w:rPr>
        <w:t>Across the institutions identified in this research, academic staff</w:t>
      </w:r>
      <w:r w:rsidR="00230CFC">
        <w:rPr>
          <w:rFonts w:ascii="Arial" w:hAnsi="Arial" w:cs="Arial"/>
        </w:rPr>
        <w:t xml:space="preserve"> who have spent a minimum of </w:t>
      </w:r>
      <w:r w:rsidR="00552272">
        <w:rPr>
          <w:rFonts w:ascii="Arial" w:hAnsi="Arial" w:cs="Arial"/>
        </w:rPr>
        <w:t>6</w:t>
      </w:r>
      <w:r w:rsidR="00230CFC">
        <w:rPr>
          <w:rFonts w:ascii="Arial" w:hAnsi="Arial" w:cs="Arial"/>
        </w:rPr>
        <w:t xml:space="preserve"> years are selected as viable respondents.</w:t>
      </w:r>
      <w:r w:rsidRPr="004B3972">
        <w:rPr>
          <w:rFonts w:ascii="Arial" w:hAnsi="Arial" w:cs="Arial"/>
        </w:rPr>
        <w:t xml:space="preserve"> </w:t>
      </w:r>
      <w:r w:rsidR="00230CFC">
        <w:rPr>
          <w:rFonts w:ascii="Arial" w:hAnsi="Arial" w:cs="Arial"/>
        </w:rPr>
        <w:t xml:space="preserve">This </w:t>
      </w:r>
      <w:r w:rsidRPr="004B3972">
        <w:rPr>
          <w:rFonts w:ascii="Arial" w:hAnsi="Arial" w:cs="Arial"/>
        </w:rPr>
        <w:t xml:space="preserve">decision is based on the understanding </w:t>
      </w:r>
      <w:r w:rsidR="0095328C" w:rsidRPr="004B3972">
        <w:rPr>
          <w:rFonts w:ascii="Arial" w:hAnsi="Arial" w:cs="Arial"/>
        </w:rPr>
        <w:t>that</w:t>
      </w:r>
      <w:r w:rsidRPr="004B3972">
        <w:rPr>
          <w:rFonts w:ascii="Arial" w:hAnsi="Arial" w:cs="Arial"/>
        </w:rPr>
        <w:t xml:space="preserve"> the respondents who have spent an average of </w:t>
      </w:r>
      <w:r w:rsidR="00800C01">
        <w:rPr>
          <w:rFonts w:ascii="Arial" w:hAnsi="Arial" w:cs="Arial"/>
        </w:rPr>
        <w:t>6</w:t>
      </w:r>
      <w:r w:rsidRPr="004B3972">
        <w:rPr>
          <w:rFonts w:ascii="Arial" w:hAnsi="Arial" w:cs="Arial"/>
        </w:rPr>
        <w:t xml:space="preserve"> years teaching would have considerable </w:t>
      </w:r>
      <w:r w:rsidR="00230CFC">
        <w:rPr>
          <w:rFonts w:ascii="Arial" w:hAnsi="Arial" w:cs="Arial"/>
        </w:rPr>
        <w:t>experience</w:t>
      </w:r>
      <w:r w:rsidRPr="004B3972">
        <w:rPr>
          <w:rFonts w:ascii="Arial" w:hAnsi="Arial" w:cs="Arial"/>
        </w:rPr>
        <w:t xml:space="preserve"> in the implementation of the content of </w:t>
      </w:r>
      <w:r w:rsidR="00DA20C8">
        <w:rPr>
          <w:rFonts w:ascii="Arial" w:hAnsi="Arial" w:cs="Arial"/>
        </w:rPr>
        <w:t xml:space="preserve">the </w:t>
      </w:r>
      <w:r w:rsidRPr="004B3972">
        <w:rPr>
          <w:rFonts w:ascii="Arial" w:hAnsi="Arial" w:cs="Arial"/>
        </w:rPr>
        <w:t>music education curriculum</w:t>
      </w:r>
      <w:r w:rsidR="0034329C">
        <w:rPr>
          <w:rFonts w:ascii="Arial" w:hAnsi="Arial" w:cs="Arial"/>
        </w:rPr>
        <w:t>. Also, they will not be new to</w:t>
      </w:r>
      <w:r w:rsidRPr="004B3972">
        <w:rPr>
          <w:rFonts w:ascii="Arial" w:hAnsi="Arial" w:cs="Arial"/>
        </w:rPr>
        <w:t xml:space="preserve"> the subject of institutional and instructional culture in both practical and theoretical courses.</w:t>
      </w:r>
      <w:r w:rsidR="0095328C">
        <w:rPr>
          <w:rFonts w:ascii="Arial" w:hAnsi="Arial" w:cs="Arial"/>
        </w:rPr>
        <w:t xml:space="preserve"> In addition, </w:t>
      </w:r>
      <w:r w:rsidRPr="004B3972">
        <w:rPr>
          <w:rFonts w:ascii="Arial" w:hAnsi="Arial" w:cs="Arial"/>
        </w:rPr>
        <w:t>the select</w:t>
      </w:r>
      <w:r w:rsidR="0095328C">
        <w:rPr>
          <w:rFonts w:ascii="Arial" w:hAnsi="Arial" w:cs="Arial"/>
        </w:rPr>
        <w:t xml:space="preserve">ed </w:t>
      </w:r>
      <w:r w:rsidR="0095328C" w:rsidRPr="0095328C">
        <w:rPr>
          <w:rFonts w:ascii="Arial" w:hAnsi="Arial" w:cs="Arial"/>
        </w:rPr>
        <w:t>student respondents</w:t>
      </w:r>
      <w:r w:rsidR="0095328C">
        <w:rPr>
          <w:rFonts w:ascii="Arial" w:hAnsi="Arial" w:cs="Arial"/>
        </w:rPr>
        <w:t xml:space="preserve"> are</w:t>
      </w:r>
      <w:r w:rsidRPr="004B3972">
        <w:rPr>
          <w:rFonts w:ascii="Arial" w:hAnsi="Arial" w:cs="Arial"/>
        </w:rPr>
        <w:t xml:space="preserve"> in </w:t>
      </w:r>
      <w:r w:rsidR="0095328C">
        <w:rPr>
          <w:rFonts w:ascii="Arial" w:hAnsi="Arial" w:cs="Arial"/>
        </w:rPr>
        <w:t>their penultimate or final l</w:t>
      </w:r>
      <w:r w:rsidRPr="004B3972">
        <w:rPr>
          <w:rFonts w:ascii="Arial" w:hAnsi="Arial" w:cs="Arial"/>
        </w:rPr>
        <w:t>evels</w:t>
      </w:r>
      <w:r w:rsidR="0095328C">
        <w:rPr>
          <w:rFonts w:ascii="Arial" w:hAnsi="Arial" w:cs="Arial"/>
        </w:rPr>
        <w:t xml:space="preserve"> of study</w:t>
      </w:r>
      <w:r w:rsidR="00230CFC">
        <w:rPr>
          <w:rFonts w:ascii="Arial" w:hAnsi="Arial" w:cs="Arial"/>
        </w:rPr>
        <w:t xml:space="preserve"> and </w:t>
      </w:r>
      <w:r w:rsidR="0095328C">
        <w:rPr>
          <w:rFonts w:ascii="Arial" w:hAnsi="Arial" w:cs="Arial"/>
        </w:rPr>
        <w:t>h</w:t>
      </w:r>
      <w:r w:rsidRPr="004B3972">
        <w:rPr>
          <w:rFonts w:ascii="Arial" w:hAnsi="Arial" w:cs="Arial"/>
        </w:rPr>
        <w:t>ave spent at least two to three years in their respective institutions</w:t>
      </w:r>
      <w:r w:rsidR="00230CFC">
        <w:rPr>
          <w:rFonts w:ascii="Arial" w:hAnsi="Arial" w:cs="Arial"/>
        </w:rPr>
        <w:t xml:space="preserve"> adapting to the cultur</w:t>
      </w:r>
      <w:r w:rsidRPr="004B3972">
        <w:rPr>
          <w:rFonts w:ascii="Arial" w:hAnsi="Arial" w:cs="Arial"/>
        </w:rPr>
        <w:t>e of instruction</w:t>
      </w:r>
      <w:r w:rsidR="00230CFC">
        <w:rPr>
          <w:rFonts w:ascii="Arial" w:hAnsi="Arial" w:cs="Arial"/>
        </w:rPr>
        <w:t>.</w:t>
      </w:r>
    </w:p>
    <w:p w14:paraId="5EFC344A" w14:textId="3464CC7B"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4B3972">
        <w:rPr>
          <w:rFonts w:ascii="Arial" w:hAnsi="Arial" w:cs="Arial"/>
          <w:b/>
          <w:sz w:val="22"/>
        </w:rPr>
        <w:t>Instrumentation and Data Collection</w:t>
      </w:r>
    </w:p>
    <w:p w14:paraId="3B309F3B" w14:textId="45A9B797" w:rsidR="009968C8" w:rsidRPr="009968C8" w:rsidRDefault="009968C8" w:rsidP="009968C8">
      <w:pPr>
        <w:pStyle w:val="Body"/>
        <w:rPr>
          <w:rFonts w:ascii="Arial" w:hAnsi="Arial" w:cs="Arial"/>
        </w:rPr>
      </w:pPr>
      <w:r w:rsidRPr="009968C8">
        <w:rPr>
          <w:rFonts w:ascii="Arial" w:hAnsi="Arial" w:cs="Arial"/>
        </w:rPr>
        <w:t xml:space="preserve">Data for this study were collected using both qualitative and quantitative techniques. For the quantitative aspect, a structured questionnaire was developed and disseminated in two formats: hard copy and online via Google Forms. The hard copies were administered in person by the researcher and retrieved immediately upon completion, while the online version was completed electronically, with responses downloaded directly from Google </w:t>
      </w:r>
      <w:r w:rsidR="00DA20C8">
        <w:rPr>
          <w:rFonts w:ascii="Arial" w:hAnsi="Arial" w:cs="Arial"/>
        </w:rPr>
        <w:t>Forms’</w:t>
      </w:r>
      <w:r w:rsidR="00DA20C8" w:rsidRPr="009968C8">
        <w:rPr>
          <w:rFonts w:ascii="Arial" w:hAnsi="Arial" w:cs="Arial"/>
        </w:rPr>
        <w:t xml:space="preserve"> </w:t>
      </w:r>
      <w:r w:rsidRPr="009968C8">
        <w:rPr>
          <w:rFonts w:ascii="Arial" w:hAnsi="Arial" w:cs="Arial"/>
        </w:rPr>
        <w:t>Excel output.</w:t>
      </w:r>
    </w:p>
    <w:p w14:paraId="5AC09231" w14:textId="77777777" w:rsidR="009968C8" w:rsidRDefault="009968C8" w:rsidP="009968C8">
      <w:pPr>
        <w:pStyle w:val="Body"/>
        <w:rPr>
          <w:rFonts w:ascii="Arial" w:hAnsi="Arial" w:cs="Arial"/>
        </w:rPr>
      </w:pPr>
      <w:r w:rsidRPr="009968C8">
        <w:rPr>
          <w:rFonts w:ascii="Arial" w:hAnsi="Arial" w:cs="Arial"/>
        </w:rPr>
        <w:t>For the qualitative aspect, Key Informant Interviews were conducted both in person and via WhatsApp calls, depending on the availability and location of the participants. The non-participant observation was carried out by the researcher within selected music classrooms, focusing on teaching methods, student engagement, and the general instructional environment to gather firsthand insights into the prevailing instructional culture.</w:t>
      </w:r>
    </w:p>
    <w:p w14:paraId="050023BD" w14:textId="32BB5997" w:rsidR="0098323D" w:rsidRDefault="004B4DB7" w:rsidP="009968C8">
      <w:pPr>
        <w:pStyle w:val="Body"/>
        <w:rPr>
          <w:rFonts w:ascii="Arial" w:hAnsi="Arial" w:cs="Arial"/>
        </w:rPr>
      </w:pPr>
      <w:r>
        <w:rPr>
          <w:rFonts w:ascii="Arial" w:hAnsi="Arial" w:cs="Arial"/>
        </w:rPr>
        <w:t xml:space="preserve">The instruments used in this study </w:t>
      </w:r>
      <w:r w:rsidR="000A23A7">
        <w:rPr>
          <w:rFonts w:ascii="Arial" w:hAnsi="Arial" w:cs="Arial"/>
        </w:rPr>
        <w:t>were develope</w:t>
      </w:r>
      <w:r w:rsidR="008A051E">
        <w:rPr>
          <w:rFonts w:ascii="Arial" w:hAnsi="Arial" w:cs="Arial"/>
        </w:rPr>
        <w:t>d after a review of literature</w:t>
      </w:r>
      <w:r w:rsidR="006024EF">
        <w:rPr>
          <w:rFonts w:ascii="Arial" w:hAnsi="Arial" w:cs="Arial"/>
        </w:rPr>
        <w:t xml:space="preserve">. The questionnaire items were generated to elicit responses </w:t>
      </w:r>
      <w:r w:rsidR="00194E8D">
        <w:rPr>
          <w:rFonts w:ascii="Arial" w:hAnsi="Arial" w:cs="Arial"/>
        </w:rPr>
        <w:t>regarding key issues such as teaching practice</w:t>
      </w:r>
      <w:r w:rsidR="00A7650F">
        <w:rPr>
          <w:rFonts w:ascii="Arial" w:hAnsi="Arial" w:cs="Arial"/>
        </w:rPr>
        <w:t xml:space="preserve">s, classroom culture, extra-curricular activities, </w:t>
      </w:r>
      <w:r w:rsidR="00373001">
        <w:rPr>
          <w:rFonts w:ascii="Arial" w:hAnsi="Arial" w:cs="Arial"/>
        </w:rPr>
        <w:t>and instructional materials.</w:t>
      </w:r>
      <w:r w:rsidR="00194E8D">
        <w:rPr>
          <w:rFonts w:ascii="Arial" w:hAnsi="Arial" w:cs="Arial"/>
        </w:rPr>
        <w:t xml:space="preserve"> </w:t>
      </w:r>
      <w:r w:rsidR="00376D21">
        <w:rPr>
          <w:rFonts w:ascii="Arial" w:hAnsi="Arial" w:cs="Arial"/>
        </w:rPr>
        <w:t>The questionnaire was structured using a</w:t>
      </w:r>
      <w:r w:rsidR="00444749">
        <w:rPr>
          <w:rFonts w:ascii="Arial" w:hAnsi="Arial" w:cs="Arial"/>
        </w:rPr>
        <w:t xml:space="preserve"> 5-point Likert scale ranging from strongly agree to </w:t>
      </w:r>
      <w:r w:rsidR="000C336E">
        <w:rPr>
          <w:rFonts w:ascii="Arial" w:hAnsi="Arial" w:cs="Arial"/>
        </w:rPr>
        <w:t>strongly disagree</w:t>
      </w:r>
      <w:r w:rsidR="00126170">
        <w:rPr>
          <w:rFonts w:ascii="Arial" w:hAnsi="Arial" w:cs="Arial"/>
        </w:rPr>
        <w:t xml:space="preserve">. </w:t>
      </w:r>
      <w:r w:rsidR="0098323D">
        <w:rPr>
          <w:rFonts w:ascii="Arial" w:hAnsi="Arial" w:cs="Arial"/>
        </w:rPr>
        <w:t xml:space="preserve">The KII guide included semi-structured </w:t>
      </w:r>
      <w:r w:rsidR="00752515">
        <w:rPr>
          <w:rFonts w:ascii="Arial" w:hAnsi="Arial" w:cs="Arial"/>
        </w:rPr>
        <w:t xml:space="preserve">questions to elicit elaborate responses from lived experiences. </w:t>
      </w:r>
      <w:r w:rsidR="00126170">
        <w:rPr>
          <w:rFonts w:ascii="Arial" w:hAnsi="Arial" w:cs="Arial"/>
        </w:rPr>
        <w:t xml:space="preserve">The observation checklist was </w:t>
      </w:r>
      <w:r w:rsidR="008B4FA2">
        <w:rPr>
          <w:rFonts w:ascii="Arial" w:hAnsi="Arial" w:cs="Arial"/>
        </w:rPr>
        <w:t>structure</w:t>
      </w:r>
      <w:r w:rsidR="00126170">
        <w:rPr>
          <w:rFonts w:ascii="Arial" w:hAnsi="Arial" w:cs="Arial"/>
        </w:rPr>
        <w:t xml:space="preserve">d to </w:t>
      </w:r>
      <w:r w:rsidR="00A92D46">
        <w:rPr>
          <w:rFonts w:ascii="Arial" w:hAnsi="Arial" w:cs="Arial"/>
        </w:rPr>
        <w:t xml:space="preserve">record teaching </w:t>
      </w:r>
      <w:proofErr w:type="spellStart"/>
      <w:r w:rsidR="002F717D">
        <w:rPr>
          <w:rFonts w:ascii="Arial" w:hAnsi="Arial" w:cs="Arial"/>
        </w:rPr>
        <w:t>behaviours</w:t>
      </w:r>
      <w:proofErr w:type="spellEnd"/>
      <w:r w:rsidR="00A92D46">
        <w:rPr>
          <w:rFonts w:ascii="Arial" w:hAnsi="Arial" w:cs="Arial"/>
        </w:rPr>
        <w:t xml:space="preserve">, time management, reinforcement </w:t>
      </w:r>
      <w:proofErr w:type="spellStart"/>
      <w:r w:rsidR="002F717D">
        <w:rPr>
          <w:rFonts w:ascii="Arial" w:hAnsi="Arial" w:cs="Arial"/>
        </w:rPr>
        <w:t>behaviours</w:t>
      </w:r>
      <w:proofErr w:type="spellEnd"/>
      <w:r w:rsidR="00A92D46">
        <w:rPr>
          <w:rFonts w:ascii="Arial" w:hAnsi="Arial" w:cs="Arial"/>
        </w:rPr>
        <w:t>, classroom activities, use of instructional materials</w:t>
      </w:r>
      <w:r w:rsidR="008F4A3C">
        <w:rPr>
          <w:rFonts w:ascii="Arial" w:hAnsi="Arial" w:cs="Arial"/>
        </w:rPr>
        <w:t>, and practical application of music theory</w:t>
      </w:r>
      <w:r w:rsidR="002F717D">
        <w:rPr>
          <w:rFonts w:ascii="Arial" w:hAnsi="Arial" w:cs="Arial"/>
        </w:rPr>
        <w:t>.</w:t>
      </w:r>
      <w:r w:rsidR="008B4FA2">
        <w:rPr>
          <w:rFonts w:ascii="Arial" w:hAnsi="Arial" w:cs="Arial"/>
        </w:rPr>
        <w:t xml:space="preserve"> These instruments were reviewed </w:t>
      </w:r>
      <w:r w:rsidR="00082A3A">
        <w:rPr>
          <w:rFonts w:ascii="Arial" w:hAnsi="Arial" w:cs="Arial"/>
        </w:rPr>
        <w:t>by 2 experts: one in music education and the other in curriculum studies.</w:t>
      </w:r>
    </w:p>
    <w:p w14:paraId="230074A8" w14:textId="0A1576B5" w:rsidR="00082A3A" w:rsidRDefault="00165F81" w:rsidP="009968C8">
      <w:pPr>
        <w:pStyle w:val="Body"/>
        <w:rPr>
          <w:rFonts w:ascii="Arial" w:hAnsi="Arial" w:cs="Arial"/>
        </w:rPr>
      </w:pPr>
      <w:r w:rsidRPr="00C30A0F">
        <w:rPr>
          <w:rFonts w:ascii="Arial" w:hAnsi="Arial" w:cs="Arial"/>
          <w:b/>
          <w:caps/>
          <w:sz w:val="22"/>
        </w:rPr>
        <w:t>2.</w:t>
      </w:r>
      <w:r>
        <w:rPr>
          <w:rFonts w:ascii="Arial" w:hAnsi="Arial" w:cs="Arial"/>
          <w:b/>
          <w:caps/>
          <w:sz w:val="22"/>
        </w:rPr>
        <w:t>5</w:t>
      </w:r>
      <w:r w:rsidRPr="00165F81">
        <w:rPr>
          <w:rFonts w:ascii="Arial" w:hAnsi="Arial" w:cs="Arial"/>
        </w:rPr>
        <w:t xml:space="preserve"> </w:t>
      </w:r>
      <w:r w:rsidR="004C0FD2" w:rsidRPr="004C0FD2">
        <w:rPr>
          <w:rFonts w:ascii="Arial" w:hAnsi="Arial" w:cs="Arial"/>
          <w:b/>
          <w:bCs/>
          <w:sz w:val="22"/>
          <w:lang w:val="en-IN"/>
        </w:rPr>
        <w:t>Reliability</w:t>
      </w:r>
      <w:r w:rsidR="004C0FD2" w:rsidRPr="00165F81">
        <w:rPr>
          <w:rFonts w:ascii="Arial" w:hAnsi="Arial" w:cs="Arial"/>
          <w:b/>
          <w:sz w:val="22"/>
        </w:rPr>
        <w:t xml:space="preserve"> </w:t>
      </w:r>
      <w:r w:rsidR="00D83647" w:rsidRPr="00165F81">
        <w:rPr>
          <w:rFonts w:ascii="Arial" w:hAnsi="Arial" w:cs="Arial"/>
          <w:b/>
          <w:sz w:val="22"/>
        </w:rPr>
        <w:t>Testing</w:t>
      </w:r>
    </w:p>
    <w:p w14:paraId="46CBF408" w14:textId="71AF2501" w:rsidR="003B0276" w:rsidRDefault="006B63C7" w:rsidP="009968C8">
      <w:pPr>
        <w:pStyle w:val="Body"/>
        <w:rPr>
          <w:rFonts w:ascii="Arial" w:hAnsi="Arial" w:cs="Arial"/>
        </w:rPr>
      </w:pPr>
      <w:r w:rsidRPr="006B63C7">
        <w:rPr>
          <w:rFonts w:ascii="Arial" w:hAnsi="Arial" w:cs="Arial"/>
        </w:rPr>
        <w:t xml:space="preserve">To conduct the pilot study, one of the Colleges of Education that has recently </w:t>
      </w:r>
      <w:r>
        <w:rPr>
          <w:rFonts w:ascii="Arial" w:hAnsi="Arial" w:cs="Arial"/>
        </w:rPr>
        <w:t>been</w:t>
      </w:r>
      <w:r w:rsidR="008A787F">
        <w:rPr>
          <w:rFonts w:ascii="Arial" w:hAnsi="Arial" w:cs="Arial"/>
        </w:rPr>
        <w:t xml:space="preserve"> </w:t>
      </w:r>
      <w:r>
        <w:rPr>
          <w:rFonts w:ascii="Arial" w:hAnsi="Arial" w:cs="Arial"/>
        </w:rPr>
        <w:t>converted</w:t>
      </w:r>
      <w:r w:rsidRPr="006B63C7">
        <w:rPr>
          <w:rFonts w:ascii="Arial" w:hAnsi="Arial" w:cs="Arial"/>
        </w:rPr>
        <w:t xml:space="preserve"> into a university</w:t>
      </w:r>
      <w:r w:rsidR="00FA1D12">
        <w:rPr>
          <w:rFonts w:ascii="Arial" w:hAnsi="Arial" w:cs="Arial"/>
        </w:rPr>
        <w:t xml:space="preserve"> of education</w:t>
      </w:r>
      <w:r w:rsidRPr="006B63C7">
        <w:rPr>
          <w:rFonts w:ascii="Arial" w:hAnsi="Arial" w:cs="Arial"/>
        </w:rPr>
        <w:t xml:space="preserve"> and is currently phasing out the NCE</w:t>
      </w:r>
      <w:r w:rsidR="00FA1D12">
        <w:rPr>
          <w:rFonts w:ascii="Arial" w:hAnsi="Arial" w:cs="Arial"/>
        </w:rPr>
        <w:t xml:space="preserve"> </w:t>
      </w:r>
      <w:proofErr w:type="spellStart"/>
      <w:r w:rsidR="00FA1D12">
        <w:rPr>
          <w:rFonts w:ascii="Arial" w:hAnsi="Arial" w:cs="Arial"/>
        </w:rPr>
        <w:t>programme</w:t>
      </w:r>
      <w:proofErr w:type="spellEnd"/>
      <w:r w:rsidR="008A787F">
        <w:rPr>
          <w:rFonts w:ascii="Arial" w:hAnsi="Arial" w:cs="Arial"/>
        </w:rPr>
        <w:t xml:space="preserve">, </w:t>
      </w:r>
      <w:r w:rsidRPr="006B63C7">
        <w:rPr>
          <w:rFonts w:ascii="Arial" w:hAnsi="Arial" w:cs="Arial"/>
        </w:rPr>
        <w:t xml:space="preserve">was selected. Ten students from the </w:t>
      </w:r>
      <w:r w:rsidR="00CD6324">
        <w:rPr>
          <w:rFonts w:ascii="Arial" w:hAnsi="Arial" w:cs="Arial"/>
        </w:rPr>
        <w:t xml:space="preserve">outgoing </w:t>
      </w:r>
      <w:r w:rsidR="008A787F">
        <w:rPr>
          <w:rFonts w:ascii="Arial" w:hAnsi="Arial" w:cs="Arial"/>
        </w:rPr>
        <w:t>se</w:t>
      </w:r>
      <w:r w:rsidR="00883B6D">
        <w:rPr>
          <w:rFonts w:ascii="Arial" w:hAnsi="Arial" w:cs="Arial"/>
        </w:rPr>
        <w:t xml:space="preserve">t </w:t>
      </w:r>
      <w:r w:rsidR="00883B6D" w:rsidRPr="006B63C7">
        <w:rPr>
          <w:rFonts w:ascii="Arial" w:hAnsi="Arial" w:cs="Arial"/>
        </w:rPr>
        <w:t>and two lecturers</w:t>
      </w:r>
      <w:r w:rsidRPr="006B63C7">
        <w:rPr>
          <w:rFonts w:ascii="Arial" w:hAnsi="Arial" w:cs="Arial"/>
        </w:rPr>
        <w:t xml:space="preserve"> in that institution participated in the pilot</w:t>
      </w:r>
      <w:r w:rsidR="00883B6D">
        <w:rPr>
          <w:rFonts w:ascii="Arial" w:hAnsi="Arial" w:cs="Arial"/>
        </w:rPr>
        <w:t xml:space="preserve"> study</w:t>
      </w:r>
      <w:r w:rsidRPr="006B63C7">
        <w:rPr>
          <w:rFonts w:ascii="Arial" w:hAnsi="Arial" w:cs="Arial"/>
        </w:rPr>
        <w:t xml:space="preserve">. This choice ensured that the pilot was conducted in a similar instructional and curricular context, without overlapping with the main study </w:t>
      </w:r>
      <w:r w:rsidR="008463CB">
        <w:rPr>
          <w:rFonts w:ascii="Arial" w:hAnsi="Arial" w:cs="Arial"/>
        </w:rPr>
        <w:t>institutions.</w:t>
      </w:r>
      <w:r w:rsidR="00355D1C">
        <w:rPr>
          <w:rFonts w:ascii="Arial" w:hAnsi="Arial" w:cs="Arial"/>
        </w:rPr>
        <w:t xml:space="preserve"> The </w:t>
      </w:r>
      <w:r w:rsidR="00165F81" w:rsidRPr="00165F81">
        <w:rPr>
          <w:rFonts w:ascii="Arial" w:hAnsi="Arial" w:cs="Arial"/>
        </w:rPr>
        <w:t>responses were subjected to internal consistency reliability testing using Cronbach’s Alpha. The overall reliability coefficient obtained was 0.84, indicating a high level of internal consistency.</w:t>
      </w:r>
      <w:r w:rsidR="003F2F55">
        <w:rPr>
          <w:rFonts w:ascii="Arial" w:hAnsi="Arial" w:cs="Arial"/>
        </w:rPr>
        <w:t xml:space="preserve"> </w:t>
      </w:r>
      <w:r w:rsidR="00165F81" w:rsidRPr="00165F81">
        <w:rPr>
          <w:rFonts w:ascii="Arial" w:hAnsi="Arial" w:cs="Arial"/>
        </w:rPr>
        <w:t xml:space="preserve">The observation checklist was </w:t>
      </w:r>
      <w:r w:rsidR="008711D8" w:rsidRPr="00165F81">
        <w:rPr>
          <w:rFonts w:ascii="Arial" w:hAnsi="Arial" w:cs="Arial"/>
        </w:rPr>
        <w:t>pilot tested</w:t>
      </w:r>
      <w:r w:rsidR="00165F81" w:rsidRPr="00165F81">
        <w:rPr>
          <w:rFonts w:ascii="Arial" w:hAnsi="Arial" w:cs="Arial"/>
        </w:rPr>
        <w:t xml:space="preserve"> during two music </w:t>
      </w:r>
      <w:r w:rsidR="004F42A8">
        <w:rPr>
          <w:rFonts w:ascii="Arial" w:hAnsi="Arial" w:cs="Arial"/>
        </w:rPr>
        <w:t>lectures</w:t>
      </w:r>
      <w:r w:rsidR="00165F81" w:rsidRPr="00165F81">
        <w:rPr>
          <w:rFonts w:ascii="Arial" w:hAnsi="Arial" w:cs="Arial"/>
        </w:rPr>
        <w:t xml:space="preserve"> to ensure its usability and relevance. Minor adjustments were </w:t>
      </w:r>
      <w:r w:rsidR="008711D8" w:rsidRPr="00165F81">
        <w:rPr>
          <w:rFonts w:ascii="Arial" w:hAnsi="Arial" w:cs="Arial"/>
        </w:rPr>
        <w:t>made,</w:t>
      </w:r>
      <w:r w:rsidR="00165F81" w:rsidRPr="00165F81">
        <w:rPr>
          <w:rFonts w:ascii="Arial" w:hAnsi="Arial" w:cs="Arial"/>
        </w:rPr>
        <w:t xml:space="preserve"> </w:t>
      </w:r>
      <w:r w:rsidR="004F42A8">
        <w:rPr>
          <w:rFonts w:ascii="Arial" w:hAnsi="Arial" w:cs="Arial"/>
        </w:rPr>
        <w:t>and i</w:t>
      </w:r>
      <w:r w:rsidR="00165F81" w:rsidRPr="00165F81">
        <w:rPr>
          <w:rFonts w:ascii="Arial" w:hAnsi="Arial" w:cs="Arial"/>
        </w:rPr>
        <w:t xml:space="preserve">nter-rater reliability was ensured by training </w:t>
      </w:r>
      <w:r w:rsidR="00F23115">
        <w:rPr>
          <w:rFonts w:ascii="Arial" w:hAnsi="Arial" w:cs="Arial"/>
        </w:rPr>
        <w:t>two</w:t>
      </w:r>
      <w:r w:rsidR="00165F81" w:rsidRPr="00165F81">
        <w:rPr>
          <w:rFonts w:ascii="Arial" w:hAnsi="Arial" w:cs="Arial"/>
        </w:rPr>
        <w:t xml:space="preserve"> assistant observer</w:t>
      </w:r>
      <w:r w:rsidR="00F23115">
        <w:rPr>
          <w:rFonts w:ascii="Arial" w:hAnsi="Arial" w:cs="Arial"/>
        </w:rPr>
        <w:t>s</w:t>
      </w:r>
      <w:r w:rsidR="00165F81" w:rsidRPr="00165F81">
        <w:rPr>
          <w:rFonts w:ascii="Arial" w:hAnsi="Arial" w:cs="Arial"/>
        </w:rPr>
        <w:t xml:space="preserve"> to compare interpretations of observed data, resulting in a reliability agreement score of 9</w:t>
      </w:r>
      <w:r w:rsidR="00F23115">
        <w:rPr>
          <w:rFonts w:ascii="Arial" w:hAnsi="Arial" w:cs="Arial"/>
        </w:rPr>
        <w:t>0</w:t>
      </w:r>
      <w:r w:rsidR="00165F81" w:rsidRPr="00165F81">
        <w:rPr>
          <w:rFonts w:ascii="Arial" w:hAnsi="Arial" w:cs="Arial"/>
        </w:rPr>
        <w:t>%.</w:t>
      </w:r>
    </w:p>
    <w:p w14:paraId="3E39180B" w14:textId="1AF500A3" w:rsidR="004B3972" w:rsidRPr="004B3972" w:rsidRDefault="004B3972" w:rsidP="009968C8">
      <w:pPr>
        <w:pStyle w:val="Body"/>
        <w:rPr>
          <w:rFonts w:ascii="Arial" w:hAnsi="Arial" w:cs="Arial"/>
        </w:rPr>
      </w:pPr>
      <w:r w:rsidRPr="00C30A0F">
        <w:rPr>
          <w:rFonts w:ascii="Arial" w:hAnsi="Arial" w:cs="Arial"/>
          <w:b/>
          <w:caps/>
          <w:sz w:val="22"/>
        </w:rPr>
        <w:t>2.</w:t>
      </w:r>
      <w:r w:rsidR="00D00BB1">
        <w:rPr>
          <w:rFonts w:ascii="Arial" w:hAnsi="Arial" w:cs="Arial"/>
          <w:b/>
          <w:caps/>
          <w:sz w:val="22"/>
        </w:rPr>
        <w:t>6</w:t>
      </w:r>
      <w:r w:rsidRPr="00C30A0F">
        <w:rPr>
          <w:rFonts w:ascii="Arial" w:hAnsi="Arial" w:cs="Arial"/>
          <w:b/>
          <w:caps/>
          <w:sz w:val="22"/>
        </w:rPr>
        <w:t xml:space="preserve"> </w:t>
      </w:r>
      <w:r w:rsidRPr="004B3972">
        <w:rPr>
          <w:rFonts w:ascii="Arial" w:hAnsi="Arial" w:cs="Arial"/>
          <w:b/>
          <w:sz w:val="22"/>
        </w:rPr>
        <w:t xml:space="preserve">Procedure for Data Analysis </w:t>
      </w:r>
      <w:r w:rsidRPr="004B3972">
        <w:rPr>
          <w:rFonts w:ascii="Arial" w:hAnsi="Arial" w:cs="Arial"/>
        </w:rPr>
        <w:t xml:space="preserve"> </w:t>
      </w:r>
    </w:p>
    <w:p w14:paraId="5DE21B9B" w14:textId="3D39B0A3" w:rsidR="004B3972" w:rsidRDefault="009968C8" w:rsidP="00463351">
      <w:pPr>
        <w:pStyle w:val="Body"/>
        <w:rPr>
          <w:rFonts w:ascii="Arial" w:hAnsi="Arial" w:cs="Arial"/>
        </w:rPr>
      </w:pPr>
      <w:r w:rsidRPr="009968C8">
        <w:rPr>
          <w:rFonts w:ascii="Arial" w:hAnsi="Arial" w:cs="Arial"/>
        </w:rPr>
        <w:lastRenderedPageBreak/>
        <w:t xml:space="preserve">Data collected through the quantitative process were collated and </w:t>
      </w:r>
      <w:proofErr w:type="spellStart"/>
      <w:r w:rsidR="00DA20C8">
        <w:rPr>
          <w:rFonts w:ascii="Arial" w:hAnsi="Arial" w:cs="Arial"/>
        </w:rPr>
        <w:t>analysed</w:t>
      </w:r>
      <w:proofErr w:type="spellEnd"/>
      <w:r w:rsidR="00DA20C8">
        <w:rPr>
          <w:rFonts w:ascii="Arial" w:hAnsi="Arial" w:cs="Arial"/>
        </w:rPr>
        <w:t xml:space="preserve"> using descriptive statistics, including simple percentages, means, standard deviations, and charts</w:t>
      </w:r>
      <w:r w:rsidR="004B7462">
        <w:rPr>
          <w:rFonts w:ascii="Arial" w:hAnsi="Arial" w:cs="Arial"/>
        </w:rPr>
        <w:t>.</w:t>
      </w:r>
      <w:r w:rsidR="00BC2CEB">
        <w:rPr>
          <w:rFonts w:ascii="Arial" w:hAnsi="Arial" w:cs="Arial"/>
        </w:rPr>
        <w:t xml:space="preserve"> </w:t>
      </w:r>
      <w:r w:rsidR="00BC2CEB" w:rsidRPr="00BC2CEB">
        <w:rPr>
          <w:rFonts w:ascii="Arial" w:hAnsi="Arial" w:cs="Arial"/>
        </w:rPr>
        <w:t xml:space="preserve">In order to find emergent themes, </w:t>
      </w:r>
      <w:r w:rsidR="00264925">
        <w:rPr>
          <w:rFonts w:ascii="Arial" w:hAnsi="Arial" w:cs="Arial"/>
        </w:rPr>
        <w:t>q</w:t>
      </w:r>
      <w:r w:rsidR="00264925" w:rsidRPr="009968C8">
        <w:rPr>
          <w:rFonts w:ascii="Arial" w:hAnsi="Arial" w:cs="Arial"/>
        </w:rPr>
        <w:t xml:space="preserve">ualitative data obtained from interviews and classroom observations were analyzed using </w:t>
      </w:r>
      <w:r w:rsidR="00BC2CEB" w:rsidRPr="00BC2CEB">
        <w:rPr>
          <w:rFonts w:ascii="Arial" w:hAnsi="Arial" w:cs="Arial"/>
        </w:rPr>
        <w:t>thematic analysis</w:t>
      </w:r>
      <w:r w:rsidR="00264925">
        <w:rPr>
          <w:rFonts w:ascii="Arial" w:hAnsi="Arial" w:cs="Arial"/>
        </w:rPr>
        <w:t>. This</w:t>
      </w:r>
      <w:r w:rsidR="00BC2CEB" w:rsidRPr="00BC2CEB">
        <w:rPr>
          <w:rFonts w:ascii="Arial" w:hAnsi="Arial" w:cs="Arial"/>
        </w:rPr>
        <w:t xml:space="preserve"> entailed coding observation notes and interview transcripts. An inductive approach was used to make sure the results accurately represented participant experiences.</w:t>
      </w:r>
    </w:p>
    <w:p w14:paraId="0143D116" w14:textId="0404CC46" w:rsidR="00790ADA" w:rsidRDefault="0051275A" w:rsidP="00EB6ACA">
      <w:pPr>
        <w:pStyle w:val="Body"/>
        <w:rPr>
          <w:rFonts w:ascii="Arial" w:hAnsi="Arial" w:cs="Arial"/>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Pr>
          <w:rFonts w:ascii="Arial" w:hAnsi="Arial" w:cs="Arial"/>
          <w:b/>
          <w:sz w:val="22"/>
        </w:rPr>
        <w:t>Limitations</w:t>
      </w:r>
    </w:p>
    <w:p w14:paraId="7264C89C" w14:textId="2F817C08" w:rsidR="0051275A" w:rsidRPr="0051275A" w:rsidRDefault="0051275A" w:rsidP="0051275A">
      <w:pPr>
        <w:pStyle w:val="Body"/>
        <w:spacing w:after="0"/>
        <w:rPr>
          <w:rFonts w:ascii="Arial" w:hAnsi="Arial" w:cs="Arial"/>
        </w:rPr>
      </w:pPr>
      <w:r w:rsidRPr="0051275A">
        <w:rPr>
          <w:rFonts w:ascii="Arial" w:hAnsi="Arial" w:cs="Arial"/>
        </w:rPr>
        <w:t xml:space="preserve">Despite the strengths of the mixed-methods approach employed in this study, </w:t>
      </w:r>
      <w:r w:rsidR="008B5585">
        <w:rPr>
          <w:rFonts w:ascii="Arial" w:hAnsi="Arial" w:cs="Arial"/>
        </w:rPr>
        <w:t>two significant</w:t>
      </w:r>
      <w:r w:rsidRPr="0051275A">
        <w:rPr>
          <w:rFonts w:ascii="Arial" w:hAnsi="Arial" w:cs="Arial"/>
        </w:rPr>
        <w:t xml:space="preserve"> methodological limitations must be acknowledged. First, the study's focus on only two Colleges of Education in Southwest Nigeria limits the generalizability of the findings to</w:t>
      </w:r>
      <w:r w:rsidR="00B311BA">
        <w:rPr>
          <w:rFonts w:ascii="Arial" w:hAnsi="Arial" w:cs="Arial"/>
        </w:rPr>
        <w:t xml:space="preserve"> nationally </w:t>
      </w:r>
      <w:r w:rsidRPr="0051275A">
        <w:rPr>
          <w:rFonts w:ascii="Arial" w:hAnsi="Arial" w:cs="Arial"/>
        </w:rPr>
        <w:t xml:space="preserve">or globally. </w:t>
      </w:r>
      <w:r w:rsidR="008B5585">
        <w:rPr>
          <w:rFonts w:ascii="Arial" w:hAnsi="Arial" w:cs="Arial"/>
        </w:rPr>
        <w:t xml:space="preserve">Secondly, </w:t>
      </w:r>
      <w:r w:rsidRPr="0051275A">
        <w:rPr>
          <w:rFonts w:ascii="Arial" w:hAnsi="Arial" w:cs="Arial"/>
        </w:rPr>
        <w:t xml:space="preserve">the presence of the researcher during non-participant observations may have influenced the </w:t>
      </w:r>
      <w:proofErr w:type="spellStart"/>
      <w:r w:rsidRPr="0051275A">
        <w:rPr>
          <w:rFonts w:ascii="Arial" w:hAnsi="Arial" w:cs="Arial"/>
        </w:rPr>
        <w:t>behavio</w:t>
      </w:r>
      <w:r w:rsidR="00FB4272">
        <w:rPr>
          <w:rFonts w:ascii="Arial" w:hAnsi="Arial" w:cs="Arial"/>
        </w:rPr>
        <w:t>u</w:t>
      </w:r>
      <w:r w:rsidRPr="0051275A">
        <w:rPr>
          <w:rFonts w:ascii="Arial" w:hAnsi="Arial" w:cs="Arial"/>
        </w:rPr>
        <w:t>r</w:t>
      </w:r>
      <w:proofErr w:type="spellEnd"/>
      <w:r w:rsidRPr="0051275A">
        <w:rPr>
          <w:rFonts w:ascii="Arial" w:hAnsi="Arial" w:cs="Arial"/>
        </w:rPr>
        <w:t xml:space="preserve"> of participants, introducing the observer effect. These limitations suggest the need for future research </w:t>
      </w:r>
      <w:r w:rsidR="00FB4272">
        <w:rPr>
          <w:rFonts w:ascii="Arial" w:hAnsi="Arial" w:cs="Arial"/>
        </w:rPr>
        <w:t>that includes other regions beyond the Southwestern part of Nigeria</w:t>
      </w:r>
      <w:r w:rsidR="00343340">
        <w:rPr>
          <w:rFonts w:ascii="Arial" w:hAnsi="Arial" w:cs="Arial"/>
        </w:rPr>
        <w:t xml:space="preserve"> </w:t>
      </w:r>
      <w:r w:rsidRPr="0051275A">
        <w:rPr>
          <w:rFonts w:ascii="Arial" w:hAnsi="Arial" w:cs="Arial"/>
        </w:rPr>
        <w:t>and strategies to minimize</w:t>
      </w:r>
      <w:r w:rsidR="00343340">
        <w:rPr>
          <w:rFonts w:ascii="Arial" w:hAnsi="Arial" w:cs="Arial"/>
        </w:rPr>
        <w:t xml:space="preserve"> </w:t>
      </w:r>
      <w:r w:rsidRPr="0051275A">
        <w:rPr>
          <w:rFonts w:ascii="Arial" w:hAnsi="Arial" w:cs="Arial"/>
        </w:rPr>
        <w:t>observer influence.</w:t>
      </w:r>
    </w:p>
    <w:p w14:paraId="7D99218A" w14:textId="77777777" w:rsidR="0051275A" w:rsidRPr="00FB3A86" w:rsidRDefault="0051275A" w:rsidP="00441B6F">
      <w:pPr>
        <w:pStyle w:val="Body"/>
        <w:spacing w:after="0"/>
        <w:rPr>
          <w:rFonts w:ascii="Arial" w:hAnsi="Arial" w:cs="Arial"/>
        </w:rPr>
      </w:pPr>
    </w:p>
    <w:p w14:paraId="21B8E7D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B6313E" w14:textId="77777777" w:rsidR="0034329C" w:rsidRDefault="0034329C" w:rsidP="00441B6F">
      <w:pPr>
        <w:pStyle w:val="Body"/>
        <w:spacing w:after="0"/>
        <w:rPr>
          <w:rFonts w:ascii="Arial" w:hAnsi="Arial" w:cs="Arial"/>
        </w:rPr>
      </w:pPr>
    </w:p>
    <w:p w14:paraId="51A00A5C" w14:textId="77777777" w:rsidR="0034329C" w:rsidRDefault="0034329C"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sz w:val="22"/>
        </w:rPr>
        <w:t xml:space="preserve"> </w:t>
      </w:r>
      <w:r>
        <w:rPr>
          <w:rFonts w:ascii="Arial" w:hAnsi="Arial" w:cs="Arial"/>
          <w:b/>
          <w:sz w:val="22"/>
        </w:rPr>
        <w:t>Demographic Characteristics</w:t>
      </w:r>
    </w:p>
    <w:p w14:paraId="33AD698F" w14:textId="77777777" w:rsidR="00790ADA" w:rsidRDefault="00790ADA" w:rsidP="00441B6F">
      <w:pPr>
        <w:pStyle w:val="Body"/>
        <w:spacing w:after="0"/>
        <w:rPr>
          <w:rFonts w:ascii="Arial" w:hAnsi="Arial" w:cs="Arial"/>
        </w:rPr>
      </w:pPr>
    </w:p>
    <w:p w14:paraId="23EC0570" w14:textId="3C458F2D" w:rsidR="0034329C" w:rsidRPr="0034329C" w:rsidRDefault="0034329C" w:rsidP="0034329C">
      <w:pPr>
        <w:pStyle w:val="Body"/>
        <w:rPr>
          <w:rFonts w:ascii="Arial" w:hAnsi="Arial" w:cs="Arial"/>
        </w:rPr>
      </w:pPr>
      <w:bookmarkStart w:id="2" w:name="_Hlk200205422"/>
      <w:r w:rsidRPr="0034329C">
        <w:rPr>
          <w:rFonts w:ascii="Arial" w:hAnsi="Arial" w:cs="Arial"/>
        </w:rPr>
        <w:t>The demographic characteristics of lecturers in the two College</w:t>
      </w:r>
      <w:r>
        <w:rPr>
          <w:rFonts w:ascii="Arial" w:hAnsi="Arial" w:cs="Arial"/>
        </w:rPr>
        <w:t>s</w:t>
      </w:r>
      <w:r w:rsidRPr="0034329C">
        <w:rPr>
          <w:rFonts w:ascii="Arial" w:hAnsi="Arial" w:cs="Arial"/>
        </w:rPr>
        <w:t xml:space="preserve"> of Education that were selected for this study focusing on their years in service and gender</w:t>
      </w:r>
      <w:r>
        <w:rPr>
          <w:rFonts w:ascii="Arial" w:hAnsi="Arial" w:cs="Arial"/>
        </w:rPr>
        <w:t xml:space="preserve"> (Table 1)</w:t>
      </w:r>
      <w:r w:rsidRPr="0034329C">
        <w:rPr>
          <w:rFonts w:ascii="Arial" w:hAnsi="Arial" w:cs="Arial"/>
        </w:rPr>
        <w:t>. The distribution of lecturers based on their years in service shows that 40% have served between 6 to 10 years while 20% have 11 to 15 years of experience as music lecturers. Another 40% have been in the service of the college for 16 years and above. This in</w:t>
      </w:r>
      <w:r>
        <w:rPr>
          <w:rFonts w:ascii="Arial" w:hAnsi="Arial" w:cs="Arial"/>
        </w:rPr>
        <w:t>dicates</w:t>
      </w:r>
      <w:r w:rsidRPr="0034329C">
        <w:rPr>
          <w:rFonts w:ascii="Arial" w:hAnsi="Arial" w:cs="Arial"/>
        </w:rPr>
        <w:t xml:space="preserve"> that the lecturers selected for this study are experience</w:t>
      </w:r>
      <w:r>
        <w:rPr>
          <w:rFonts w:ascii="Arial" w:hAnsi="Arial" w:cs="Arial"/>
        </w:rPr>
        <w:t>d educators</w:t>
      </w:r>
      <w:r w:rsidRPr="0034329C">
        <w:rPr>
          <w:rFonts w:ascii="Arial" w:hAnsi="Arial" w:cs="Arial"/>
        </w:rPr>
        <w:t xml:space="preserve"> and the</w:t>
      </w:r>
      <w:r>
        <w:rPr>
          <w:rFonts w:ascii="Arial" w:hAnsi="Arial" w:cs="Arial"/>
        </w:rPr>
        <w:t>y</w:t>
      </w:r>
      <w:r w:rsidRPr="0034329C">
        <w:rPr>
          <w:rFonts w:ascii="Arial" w:hAnsi="Arial" w:cs="Arial"/>
        </w:rPr>
        <w:t xml:space="preserve"> fit the criteria because they have more than 6 years of professional teaching experience. </w:t>
      </w:r>
      <w:r w:rsidRPr="0034329C">
        <w:rPr>
          <w:rFonts w:ascii="Arial" w:hAnsi="Arial" w:cs="Arial"/>
          <w:lang w:val="en-GB"/>
        </w:rPr>
        <w:t>Th</w:t>
      </w:r>
      <w:r>
        <w:rPr>
          <w:rFonts w:ascii="Arial" w:hAnsi="Arial" w:cs="Arial"/>
          <w:lang w:val="en-GB"/>
        </w:rPr>
        <w:t xml:space="preserve">is </w:t>
      </w:r>
      <w:r w:rsidRPr="0034329C">
        <w:rPr>
          <w:rFonts w:ascii="Arial" w:hAnsi="Arial" w:cs="Arial"/>
          <w:lang w:val="en-GB"/>
        </w:rPr>
        <w:t xml:space="preserve">demographic characteristic aligns with the assertion by </w:t>
      </w:r>
      <w:proofErr w:type="spellStart"/>
      <w:r w:rsidRPr="0034329C">
        <w:rPr>
          <w:rFonts w:ascii="Arial" w:hAnsi="Arial" w:cs="Arial"/>
        </w:rPr>
        <w:t>Mallillin</w:t>
      </w:r>
      <w:proofErr w:type="spellEnd"/>
      <w:r>
        <w:rPr>
          <w:rFonts w:ascii="Arial" w:hAnsi="Arial" w:cs="Arial"/>
        </w:rPr>
        <w:t xml:space="preserve"> (2021) </w:t>
      </w:r>
      <w:r w:rsidRPr="0034329C">
        <w:rPr>
          <w:rFonts w:ascii="Arial" w:hAnsi="Arial" w:cs="Arial"/>
          <w:lang w:val="en-GB"/>
        </w:rPr>
        <w:t>that experience</w:t>
      </w:r>
      <w:r>
        <w:rPr>
          <w:rFonts w:ascii="Arial" w:hAnsi="Arial" w:cs="Arial"/>
          <w:lang w:val="en-GB"/>
        </w:rPr>
        <w:t>d</w:t>
      </w:r>
      <w:r w:rsidRPr="0034329C">
        <w:rPr>
          <w:rFonts w:ascii="Arial" w:hAnsi="Arial" w:cs="Arial"/>
          <w:lang w:val="en-GB"/>
        </w:rPr>
        <w:t xml:space="preserve"> educators are better positioned to reflect on an</w:t>
      </w:r>
      <w:r>
        <w:rPr>
          <w:rFonts w:ascii="Arial" w:hAnsi="Arial" w:cs="Arial"/>
          <w:lang w:val="en-GB"/>
        </w:rPr>
        <w:t>d</w:t>
      </w:r>
      <w:r w:rsidRPr="0034329C">
        <w:rPr>
          <w:rFonts w:ascii="Arial" w:hAnsi="Arial" w:cs="Arial"/>
          <w:lang w:val="en-GB"/>
        </w:rPr>
        <w:t xml:space="preserve"> evaluate </w:t>
      </w:r>
      <w:r>
        <w:rPr>
          <w:rFonts w:ascii="Arial" w:hAnsi="Arial" w:cs="Arial"/>
          <w:lang w:val="en-GB"/>
        </w:rPr>
        <w:t>pedago</w:t>
      </w:r>
      <w:r w:rsidRPr="0034329C">
        <w:rPr>
          <w:rFonts w:ascii="Arial" w:hAnsi="Arial" w:cs="Arial"/>
          <w:lang w:val="en-GB"/>
        </w:rPr>
        <w:t xml:space="preserve">gical practices. </w:t>
      </w:r>
      <w:r w:rsidRPr="0034329C">
        <w:rPr>
          <w:rFonts w:ascii="Arial" w:hAnsi="Arial" w:cs="Arial"/>
        </w:rPr>
        <w:t>Regarding gender distribution, 60% of the lecturers are female</w:t>
      </w:r>
      <w:r>
        <w:rPr>
          <w:rFonts w:ascii="Arial" w:hAnsi="Arial" w:cs="Arial"/>
        </w:rPr>
        <w:t xml:space="preserve"> while</w:t>
      </w:r>
      <w:r w:rsidRPr="0034329C">
        <w:rPr>
          <w:rFonts w:ascii="Arial" w:hAnsi="Arial" w:cs="Arial"/>
        </w:rPr>
        <w:t xml:space="preserve"> 40% are male showing that a higher representation of female lecturers was surveyed in this study.</w:t>
      </w:r>
    </w:p>
    <w:p w14:paraId="1EB769F1" w14:textId="7CFAAD97" w:rsidR="00502516" w:rsidRPr="0034329C" w:rsidRDefault="0034329C" w:rsidP="0034329C">
      <w:pPr>
        <w:pStyle w:val="Body"/>
        <w:spacing w:after="0"/>
        <w:rPr>
          <w:rFonts w:ascii="Arial" w:hAnsi="Arial" w:cs="Arial"/>
        </w:rPr>
      </w:pPr>
      <w:r w:rsidRPr="0034329C">
        <w:rPr>
          <w:rFonts w:ascii="Arial" w:hAnsi="Arial" w:cs="Arial"/>
        </w:rPr>
        <w:t xml:space="preserve">A summary of the demographic characteristics of students </w:t>
      </w:r>
      <w:r>
        <w:rPr>
          <w:rFonts w:ascii="Arial" w:hAnsi="Arial" w:cs="Arial"/>
        </w:rPr>
        <w:t>(</w:t>
      </w:r>
      <w:r w:rsidRPr="0034329C">
        <w:rPr>
          <w:rFonts w:ascii="Arial" w:hAnsi="Arial" w:cs="Arial"/>
        </w:rPr>
        <w:t>Table 2</w:t>
      </w:r>
      <w:r>
        <w:rPr>
          <w:rFonts w:ascii="Arial" w:hAnsi="Arial" w:cs="Arial"/>
        </w:rPr>
        <w:t xml:space="preserve">) </w:t>
      </w:r>
      <w:r w:rsidRPr="0034329C">
        <w:rPr>
          <w:rFonts w:ascii="Arial" w:hAnsi="Arial" w:cs="Arial"/>
        </w:rPr>
        <w:t>who participated in the study shows that 48.19% are in 200 level while 51.81% a</w:t>
      </w:r>
      <w:r>
        <w:rPr>
          <w:rFonts w:ascii="Arial" w:hAnsi="Arial" w:cs="Arial"/>
        </w:rPr>
        <w:t>re in</w:t>
      </w:r>
      <w:r w:rsidRPr="0034329C">
        <w:rPr>
          <w:rFonts w:ascii="Arial" w:hAnsi="Arial" w:cs="Arial"/>
        </w:rPr>
        <w:t xml:space="preserve"> 300 level. This </w:t>
      </w:r>
      <w:r>
        <w:rPr>
          <w:rFonts w:ascii="Arial" w:hAnsi="Arial" w:cs="Arial"/>
        </w:rPr>
        <w:t>implies</w:t>
      </w:r>
      <w:r w:rsidRPr="0034329C">
        <w:rPr>
          <w:rFonts w:ascii="Arial" w:hAnsi="Arial" w:cs="Arial"/>
        </w:rPr>
        <w:t xml:space="preserve"> a nearly even distribution</w:t>
      </w:r>
      <w:r>
        <w:rPr>
          <w:rFonts w:ascii="Arial" w:hAnsi="Arial" w:cs="Arial"/>
        </w:rPr>
        <w:t>,</w:t>
      </w:r>
      <w:r w:rsidRPr="0034329C">
        <w:rPr>
          <w:rFonts w:ascii="Arial" w:hAnsi="Arial" w:cs="Arial"/>
        </w:rPr>
        <w:t xml:space="preserve"> although there is a slightly higher number of 300 level students. In terms of gender, 59.04% of respondents are female whereas 40.96% are male</w:t>
      </w:r>
      <w:r w:rsidR="00502516" w:rsidRPr="0034329C">
        <w:rPr>
          <w:rFonts w:ascii="Arial" w:hAnsi="Arial" w:cs="Arial"/>
        </w:rPr>
        <w:t xml:space="preserve">. </w:t>
      </w:r>
      <w:bookmarkEnd w:id="2"/>
    </w:p>
    <w:p w14:paraId="77E4B69E" w14:textId="77777777" w:rsidR="0034329C" w:rsidRPr="0034329C" w:rsidRDefault="0034329C" w:rsidP="0034329C">
      <w:pPr>
        <w:pStyle w:val="Body"/>
        <w:spacing w:after="0"/>
        <w:rPr>
          <w:rFonts w:ascii="Arial" w:hAnsi="Arial" w:cs="Arial"/>
        </w:rPr>
      </w:pPr>
    </w:p>
    <w:p w14:paraId="162E2B39" w14:textId="77777777" w:rsidR="0034329C" w:rsidRPr="0034329C" w:rsidRDefault="0034329C" w:rsidP="0034329C">
      <w:pPr>
        <w:spacing w:line="360" w:lineRule="auto"/>
        <w:jc w:val="both"/>
        <w:rPr>
          <w:rFonts w:ascii="Arial" w:hAnsi="Arial" w:cs="Arial"/>
          <w:b/>
          <w:lang w:val="en-GB"/>
        </w:rPr>
      </w:pPr>
      <w:r w:rsidRPr="0034329C">
        <w:rPr>
          <w:rFonts w:ascii="Arial" w:hAnsi="Arial" w:cs="Arial"/>
          <w:b/>
          <w:lang w:val="en-GB"/>
        </w:rPr>
        <w:t>Table 1:</w:t>
      </w:r>
      <w:r w:rsidRPr="0034329C">
        <w:rPr>
          <w:rFonts w:ascii="Arial" w:hAnsi="Arial" w:cs="Arial"/>
          <w:b/>
          <w:lang w:val="en-GB"/>
        </w:rPr>
        <w:tab/>
        <w:t>Lecturers’ Demographic Characteristics</w:t>
      </w:r>
    </w:p>
    <w:tbl>
      <w:tblPr>
        <w:tblW w:w="4218" w:type="pct"/>
        <w:tblLook w:val="04A0" w:firstRow="1" w:lastRow="0" w:firstColumn="1" w:lastColumn="0" w:noHBand="0" w:noVBand="1"/>
      </w:tblPr>
      <w:tblGrid>
        <w:gridCol w:w="3076"/>
        <w:gridCol w:w="3076"/>
        <w:gridCol w:w="1268"/>
        <w:gridCol w:w="1691"/>
      </w:tblGrid>
      <w:tr w:rsidR="0034329C" w:rsidRPr="0034329C" w14:paraId="27AF7847" w14:textId="77777777">
        <w:tc>
          <w:tcPr>
            <w:tcW w:w="3376" w:type="pct"/>
            <w:gridSpan w:val="2"/>
            <w:tcBorders>
              <w:top w:val="single" w:sz="4" w:space="0" w:color="auto"/>
              <w:left w:val="nil"/>
              <w:bottom w:val="single" w:sz="4" w:space="0" w:color="auto"/>
              <w:right w:val="nil"/>
            </w:tcBorders>
          </w:tcPr>
          <w:p w14:paraId="043CEB5A" w14:textId="4B26CA10" w:rsidR="0034329C" w:rsidRPr="0034329C" w:rsidRDefault="0034329C">
            <w:pPr>
              <w:spacing w:line="360" w:lineRule="auto"/>
              <w:jc w:val="both"/>
              <w:rPr>
                <w:rFonts w:ascii="Arial" w:hAnsi="Arial" w:cs="Arial"/>
                <w:lang w:val="en-GB"/>
              </w:rPr>
            </w:pPr>
            <w:r w:rsidRPr="0034329C">
              <w:rPr>
                <w:rFonts w:ascii="Arial" w:hAnsi="Arial" w:cs="Arial"/>
                <w:lang w:val="en-GB"/>
              </w:rPr>
              <w:t xml:space="preserve">Item                                        Category </w:t>
            </w:r>
          </w:p>
        </w:tc>
        <w:tc>
          <w:tcPr>
            <w:tcW w:w="696" w:type="pct"/>
            <w:tcBorders>
              <w:top w:val="single" w:sz="4" w:space="0" w:color="auto"/>
              <w:left w:val="nil"/>
              <w:bottom w:val="single" w:sz="4" w:space="0" w:color="auto"/>
              <w:right w:val="nil"/>
            </w:tcBorders>
            <w:hideMark/>
          </w:tcPr>
          <w:p w14:paraId="301D844F"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f</w:t>
            </w:r>
          </w:p>
        </w:tc>
        <w:tc>
          <w:tcPr>
            <w:tcW w:w="928" w:type="pct"/>
            <w:tcBorders>
              <w:top w:val="single" w:sz="4" w:space="0" w:color="auto"/>
              <w:left w:val="nil"/>
              <w:bottom w:val="single" w:sz="4" w:space="0" w:color="auto"/>
              <w:right w:val="nil"/>
            </w:tcBorders>
            <w:hideMark/>
          </w:tcPr>
          <w:p w14:paraId="77698F68"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w:t>
            </w:r>
          </w:p>
        </w:tc>
      </w:tr>
      <w:tr w:rsidR="0034329C" w:rsidRPr="0034329C" w14:paraId="09AA8E2B" w14:textId="77777777">
        <w:trPr>
          <w:trHeight w:val="332"/>
        </w:trPr>
        <w:tc>
          <w:tcPr>
            <w:tcW w:w="1688" w:type="pct"/>
            <w:vMerge w:val="restart"/>
            <w:hideMark/>
          </w:tcPr>
          <w:p w14:paraId="11A5FA10" w14:textId="77777777" w:rsidR="0034329C" w:rsidRPr="0034329C" w:rsidRDefault="0034329C">
            <w:pPr>
              <w:spacing w:line="360" w:lineRule="auto"/>
              <w:rPr>
                <w:rFonts w:ascii="Arial" w:hAnsi="Arial" w:cs="Arial"/>
                <w:lang w:val="en-GB"/>
              </w:rPr>
            </w:pPr>
            <w:r w:rsidRPr="0034329C">
              <w:rPr>
                <w:rFonts w:ascii="Arial" w:hAnsi="Arial" w:cs="Arial"/>
                <w:lang w:val="en-GB"/>
              </w:rPr>
              <w:t>Years in service</w:t>
            </w:r>
          </w:p>
        </w:tc>
        <w:tc>
          <w:tcPr>
            <w:tcW w:w="1688" w:type="pct"/>
            <w:hideMark/>
          </w:tcPr>
          <w:p w14:paraId="2776E91E" w14:textId="77777777" w:rsidR="0034329C" w:rsidRPr="0034329C" w:rsidRDefault="0034329C">
            <w:pPr>
              <w:spacing w:line="360" w:lineRule="auto"/>
              <w:jc w:val="both"/>
              <w:rPr>
                <w:rFonts w:ascii="Arial" w:hAnsi="Arial" w:cs="Arial"/>
                <w:lang w:val="en-GB"/>
              </w:rPr>
            </w:pPr>
            <w:r w:rsidRPr="0034329C">
              <w:rPr>
                <w:rFonts w:ascii="Arial" w:hAnsi="Arial" w:cs="Arial"/>
              </w:rPr>
              <w:t>6-10 years</w:t>
            </w:r>
          </w:p>
        </w:tc>
        <w:tc>
          <w:tcPr>
            <w:tcW w:w="696" w:type="pct"/>
            <w:hideMark/>
          </w:tcPr>
          <w:p w14:paraId="17D9EB4F"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2</w:t>
            </w:r>
          </w:p>
        </w:tc>
        <w:tc>
          <w:tcPr>
            <w:tcW w:w="928" w:type="pct"/>
            <w:vAlign w:val="center"/>
            <w:hideMark/>
          </w:tcPr>
          <w:p w14:paraId="1E24ED26"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40</w:t>
            </w:r>
          </w:p>
        </w:tc>
      </w:tr>
      <w:tr w:rsidR="0034329C" w:rsidRPr="0034329C" w14:paraId="04D58FB9" w14:textId="77777777">
        <w:tc>
          <w:tcPr>
            <w:tcW w:w="0" w:type="auto"/>
            <w:vMerge/>
            <w:vAlign w:val="center"/>
          </w:tcPr>
          <w:p w14:paraId="6F1CC669" w14:textId="77777777" w:rsidR="0034329C" w:rsidRPr="0034329C" w:rsidRDefault="0034329C">
            <w:pPr>
              <w:rPr>
                <w:rFonts w:ascii="Arial" w:hAnsi="Arial" w:cs="Arial"/>
                <w:lang w:val="en-GB"/>
              </w:rPr>
            </w:pPr>
          </w:p>
        </w:tc>
        <w:tc>
          <w:tcPr>
            <w:tcW w:w="1688" w:type="pct"/>
          </w:tcPr>
          <w:p w14:paraId="3DF48C3A" w14:textId="77777777" w:rsidR="0034329C" w:rsidRPr="0034329C" w:rsidRDefault="0034329C">
            <w:pPr>
              <w:spacing w:line="360" w:lineRule="auto"/>
              <w:jc w:val="both"/>
              <w:rPr>
                <w:rFonts w:ascii="Arial" w:hAnsi="Arial" w:cs="Arial"/>
                <w:lang w:val="en-GB"/>
              </w:rPr>
            </w:pPr>
            <w:r w:rsidRPr="0034329C">
              <w:rPr>
                <w:rFonts w:ascii="Arial" w:hAnsi="Arial" w:cs="Arial"/>
              </w:rPr>
              <w:t xml:space="preserve">11-15 years </w:t>
            </w:r>
          </w:p>
        </w:tc>
        <w:tc>
          <w:tcPr>
            <w:tcW w:w="696" w:type="pct"/>
          </w:tcPr>
          <w:p w14:paraId="69B45E11"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1</w:t>
            </w:r>
          </w:p>
        </w:tc>
        <w:tc>
          <w:tcPr>
            <w:tcW w:w="928" w:type="pct"/>
            <w:vAlign w:val="center"/>
          </w:tcPr>
          <w:p w14:paraId="47899994"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20</w:t>
            </w:r>
          </w:p>
        </w:tc>
      </w:tr>
      <w:tr w:rsidR="0034329C" w:rsidRPr="0034329C" w14:paraId="5DC4D0AB" w14:textId="77777777">
        <w:tc>
          <w:tcPr>
            <w:tcW w:w="0" w:type="auto"/>
            <w:vMerge/>
            <w:vAlign w:val="center"/>
            <w:hideMark/>
          </w:tcPr>
          <w:p w14:paraId="0FF74E3A" w14:textId="77777777" w:rsidR="0034329C" w:rsidRPr="0034329C" w:rsidRDefault="0034329C">
            <w:pPr>
              <w:rPr>
                <w:rFonts w:ascii="Arial" w:hAnsi="Arial" w:cs="Arial"/>
                <w:lang w:val="en-GB"/>
              </w:rPr>
            </w:pPr>
          </w:p>
        </w:tc>
        <w:tc>
          <w:tcPr>
            <w:tcW w:w="1688" w:type="pct"/>
            <w:hideMark/>
          </w:tcPr>
          <w:p w14:paraId="1D80CC62" w14:textId="77777777" w:rsidR="0034329C" w:rsidRPr="0034329C" w:rsidRDefault="0034329C">
            <w:pPr>
              <w:spacing w:line="360" w:lineRule="auto"/>
              <w:jc w:val="both"/>
              <w:rPr>
                <w:rFonts w:ascii="Arial" w:hAnsi="Arial" w:cs="Arial"/>
                <w:lang w:val="en-GB"/>
              </w:rPr>
            </w:pPr>
            <w:r w:rsidRPr="0034329C">
              <w:rPr>
                <w:rFonts w:ascii="Arial" w:hAnsi="Arial" w:cs="Arial"/>
              </w:rPr>
              <w:t xml:space="preserve">16 years and above </w:t>
            </w:r>
          </w:p>
        </w:tc>
        <w:tc>
          <w:tcPr>
            <w:tcW w:w="696" w:type="pct"/>
            <w:hideMark/>
          </w:tcPr>
          <w:p w14:paraId="712D7FC0"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2</w:t>
            </w:r>
          </w:p>
        </w:tc>
        <w:tc>
          <w:tcPr>
            <w:tcW w:w="928" w:type="pct"/>
            <w:vAlign w:val="center"/>
            <w:hideMark/>
          </w:tcPr>
          <w:p w14:paraId="798AD2C5"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40</w:t>
            </w:r>
          </w:p>
        </w:tc>
      </w:tr>
      <w:tr w:rsidR="0034329C" w:rsidRPr="0034329C" w14:paraId="7E905EC5" w14:textId="77777777">
        <w:tc>
          <w:tcPr>
            <w:tcW w:w="1688" w:type="pct"/>
            <w:vMerge w:val="restart"/>
            <w:tcBorders>
              <w:top w:val="nil"/>
              <w:left w:val="nil"/>
              <w:bottom w:val="single" w:sz="4" w:space="0" w:color="auto"/>
              <w:right w:val="nil"/>
            </w:tcBorders>
            <w:hideMark/>
          </w:tcPr>
          <w:p w14:paraId="628608C2" w14:textId="77777777" w:rsidR="0034329C" w:rsidRPr="0034329C" w:rsidRDefault="0034329C">
            <w:pPr>
              <w:rPr>
                <w:rFonts w:ascii="Arial" w:hAnsi="Arial" w:cs="Arial"/>
                <w:lang w:val="en-GB"/>
              </w:rPr>
            </w:pPr>
            <w:r w:rsidRPr="0034329C">
              <w:rPr>
                <w:rFonts w:ascii="Arial" w:hAnsi="Arial" w:cs="Arial"/>
                <w:lang w:val="en-GB"/>
              </w:rPr>
              <w:t xml:space="preserve">Gender </w:t>
            </w:r>
          </w:p>
        </w:tc>
        <w:tc>
          <w:tcPr>
            <w:tcW w:w="3312" w:type="pct"/>
            <w:gridSpan w:val="3"/>
            <w:hideMark/>
          </w:tcPr>
          <w:p w14:paraId="4B0AF61C" w14:textId="77777777" w:rsidR="0034329C" w:rsidRPr="0034329C" w:rsidRDefault="0034329C">
            <w:pPr>
              <w:spacing w:line="360" w:lineRule="auto"/>
              <w:jc w:val="both"/>
              <w:rPr>
                <w:rFonts w:ascii="Arial" w:hAnsi="Arial" w:cs="Arial"/>
                <w:lang w:val="en-GB"/>
              </w:rPr>
            </w:pPr>
          </w:p>
        </w:tc>
      </w:tr>
      <w:tr w:rsidR="0034329C" w:rsidRPr="0034329C" w14:paraId="7C0719D0" w14:textId="77777777">
        <w:tc>
          <w:tcPr>
            <w:tcW w:w="0" w:type="auto"/>
            <w:vMerge/>
            <w:tcBorders>
              <w:top w:val="nil"/>
              <w:left w:val="nil"/>
              <w:bottom w:val="single" w:sz="4" w:space="0" w:color="auto"/>
              <w:right w:val="nil"/>
            </w:tcBorders>
            <w:vAlign w:val="center"/>
            <w:hideMark/>
          </w:tcPr>
          <w:p w14:paraId="03909A2A" w14:textId="77777777" w:rsidR="0034329C" w:rsidRPr="0034329C" w:rsidRDefault="0034329C">
            <w:pPr>
              <w:rPr>
                <w:rFonts w:ascii="Arial" w:hAnsi="Arial" w:cs="Arial"/>
                <w:lang w:val="en-GB"/>
              </w:rPr>
            </w:pPr>
          </w:p>
        </w:tc>
        <w:tc>
          <w:tcPr>
            <w:tcW w:w="1688" w:type="pct"/>
            <w:hideMark/>
          </w:tcPr>
          <w:p w14:paraId="5D76F4A1"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Female</w:t>
            </w:r>
          </w:p>
        </w:tc>
        <w:tc>
          <w:tcPr>
            <w:tcW w:w="696" w:type="pct"/>
            <w:hideMark/>
          </w:tcPr>
          <w:p w14:paraId="3793A73F"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3</w:t>
            </w:r>
          </w:p>
        </w:tc>
        <w:tc>
          <w:tcPr>
            <w:tcW w:w="928" w:type="pct"/>
            <w:vAlign w:val="center"/>
            <w:hideMark/>
          </w:tcPr>
          <w:p w14:paraId="3683DECC"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60</w:t>
            </w:r>
          </w:p>
        </w:tc>
      </w:tr>
      <w:tr w:rsidR="0034329C" w:rsidRPr="0034329C" w14:paraId="007BE091" w14:textId="77777777">
        <w:trPr>
          <w:trHeight w:val="50"/>
        </w:trPr>
        <w:tc>
          <w:tcPr>
            <w:tcW w:w="0" w:type="auto"/>
            <w:vMerge/>
            <w:tcBorders>
              <w:top w:val="nil"/>
              <w:left w:val="nil"/>
              <w:bottom w:val="single" w:sz="4" w:space="0" w:color="auto"/>
              <w:right w:val="nil"/>
            </w:tcBorders>
            <w:vAlign w:val="center"/>
            <w:hideMark/>
          </w:tcPr>
          <w:p w14:paraId="37763B5F" w14:textId="77777777" w:rsidR="0034329C" w:rsidRPr="0034329C" w:rsidRDefault="0034329C">
            <w:pPr>
              <w:rPr>
                <w:rFonts w:ascii="Arial" w:hAnsi="Arial" w:cs="Arial"/>
                <w:lang w:val="en-GB"/>
              </w:rPr>
            </w:pPr>
          </w:p>
        </w:tc>
        <w:tc>
          <w:tcPr>
            <w:tcW w:w="1688" w:type="pct"/>
            <w:tcBorders>
              <w:top w:val="nil"/>
              <w:left w:val="nil"/>
              <w:bottom w:val="single" w:sz="4" w:space="0" w:color="auto"/>
              <w:right w:val="nil"/>
            </w:tcBorders>
            <w:hideMark/>
          </w:tcPr>
          <w:p w14:paraId="4DD07A43"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Male</w:t>
            </w:r>
          </w:p>
        </w:tc>
        <w:tc>
          <w:tcPr>
            <w:tcW w:w="696" w:type="pct"/>
            <w:tcBorders>
              <w:top w:val="nil"/>
              <w:left w:val="nil"/>
              <w:bottom w:val="single" w:sz="4" w:space="0" w:color="auto"/>
              <w:right w:val="nil"/>
            </w:tcBorders>
            <w:hideMark/>
          </w:tcPr>
          <w:p w14:paraId="51EF3282"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2</w:t>
            </w:r>
          </w:p>
          <w:p w14:paraId="60717AB8" w14:textId="77777777" w:rsidR="0034329C" w:rsidRPr="0034329C" w:rsidRDefault="0034329C">
            <w:pPr>
              <w:spacing w:line="360" w:lineRule="auto"/>
              <w:jc w:val="both"/>
              <w:rPr>
                <w:rFonts w:ascii="Arial" w:hAnsi="Arial" w:cs="Arial"/>
                <w:lang w:val="en-GB"/>
              </w:rPr>
            </w:pPr>
          </w:p>
        </w:tc>
        <w:tc>
          <w:tcPr>
            <w:tcW w:w="928" w:type="pct"/>
            <w:tcBorders>
              <w:top w:val="nil"/>
              <w:left w:val="nil"/>
              <w:bottom w:val="single" w:sz="4" w:space="0" w:color="auto"/>
              <w:right w:val="nil"/>
            </w:tcBorders>
            <w:vAlign w:val="center"/>
            <w:hideMark/>
          </w:tcPr>
          <w:p w14:paraId="7C7DC858"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40</w:t>
            </w:r>
          </w:p>
        </w:tc>
      </w:tr>
    </w:tbl>
    <w:p w14:paraId="2B62D340" w14:textId="77777777" w:rsidR="0034329C" w:rsidRPr="0034329C" w:rsidRDefault="0034329C" w:rsidP="0034329C">
      <w:pPr>
        <w:spacing w:line="360" w:lineRule="auto"/>
        <w:jc w:val="both"/>
        <w:rPr>
          <w:rFonts w:ascii="Arial" w:hAnsi="Arial" w:cs="Arial"/>
          <w:lang w:val="en-GB"/>
        </w:rPr>
      </w:pPr>
      <w:r w:rsidRPr="0034329C">
        <w:rPr>
          <w:rFonts w:ascii="Arial" w:hAnsi="Arial" w:cs="Arial"/>
          <w:lang w:val="en-GB"/>
        </w:rPr>
        <w:t>Source: Field survey, 2025</w:t>
      </w:r>
    </w:p>
    <w:p w14:paraId="6D983CB2" w14:textId="77777777" w:rsidR="0034329C" w:rsidRPr="0034329C" w:rsidRDefault="0034329C" w:rsidP="0034329C">
      <w:pPr>
        <w:pStyle w:val="Body"/>
        <w:spacing w:after="0"/>
        <w:rPr>
          <w:rFonts w:ascii="Arial" w:hAnsi="Arial" w:cs="Arial"/>
        </w:rPr>
      </w:pPr>
    </w:p>
    <w:p w14:paraId="578B0E5B" w14:textId="77777777" w:rsidR="0034329C" w:rsidRPr="0034329C" w:rsidRDefault="0034329C" w:rsidP="0034329C">
      <w:pPr>
        <w:spacing w:line="360" w:lineRule="auto"/>
        <w:jc w:val="both"/>
        <w:rPr>
          <w:rFonts w:ascii="Arial" w:hAnsi="Arial" w:cs="Arial"/>
          <w:b/>
          <w:lang w:val="en-GB"/>
        </w:rPr>
      </w:pPr>
      <w:r w:rsidRPr="0034329C">
        <w:rPr>
          <w:rFonts w:ascii="Arial" w:hAnsi="Arial" w:cs="Arial"/>
          <w:b/>
          <w:lang w:val="en-GB"/>
        </w:rPr>
        <w:t>Table 2:</w:t>
      </w:r>
      <w:r w:rsidRPr="0034329C">
        <w:rPr>
          <w:rFonts w:ascii="Arial" w:hAnsi="Arial" w:cs="Arial"/>
          <w:b/>
          <w:lang w:val="en-GB"/>
        </w:rPr>
        <w:tab/>
        <w:t>Students’ Demographic Characteristics</w:t>
      </w:r>
    </w:p>
    <w:tbl>
      <w:tblPr>
        <w:tblW w:w="4218" w:type="pct"/>
        <w:tblLook w:val="04A0" w:firstRow="1" w:lastRow="0" w:firstColumn="1" w:lastColumn="0" w:noHBand="0" w:noVBand="1"/>
      </w:tblPr>
      <w:tblGrid>
        <w:gridCol w:w="3076"/>
        <w:gridCol w:w="3076"/>
        <w:gridCol w:w="1268"/>
        <w:gridCol w:w="1691"/>
      </w:tblGrid>
      <w:tr w:rsidR="0034329C" w:rsidRPr="0034329C" w14:paraId="67E3C06E" w14:textId="77777777">
        <w:tc>
          <w:tcPr>
            <w:tcW w:w="3376" w:type="pct"/>
            <w:gridSpan w:val="2"/>
            <w:tcBorders>
              <w:top w:val="single" w:sz="4" w:space="0" w:color="auto"/>
              <w:left w:val="nil"/>
              <w:bottom w:val="single" w:sz="4" w:space="0" w:color="auto"/>
              <w:right w:val="nil"/>
            </w:tcBorders>
          </w:tcPr>
          <w:p w14:paraId="0CB2A6FB" w14:textId="5ECBC986" w:rsidR="0034329C" w:rsidRPr="0034329C" w:rsidRDefault="0034329C">
            <w:pPr>
              <w:spacing w:line="360" w:lineRule="auto"/>
              <w:jc w:val="both"/>
              <w:rPr>
                <w:rFonts w:ascii="Arial" w:hAnsi="Arial" w:cs="Arial"/>
                <w:lang w:val="en-GB"/>
              </w:rPr>
            </w:pPr>
            <w:r w:rsidRPr="0034329C">
              <w:rPr>
                <w:rFonts w:ascii="Arial" w:hAnsi="Arial" w:cs="Arial"/>
                <w:lang w:val="en-GB"/>
              </w:rPr>
              <w:t xml:space="preserve">Item                                        Category </w:t>
            </w:r>
          </w:p>
        </w:tc>
        <w:tc>
          <w:tcPr>
            <w:tcW w:w="696" w:type="pct"/>
            <w:tcBorders>
              <w:top w:val="single" w:sz="4" w:space="0" w:color="auto"/>
              <w:left w:val="nil"/>
              <w:bottom w:val="single" w:sz="4" w:space="0" w:color="auto"/>
              <w:right w:val="nil"/>
            </w:tcBorders>
            <w:hideMark/>
          </w:tcPr>
          <w:p w14:paraId="3CBCB091"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f</w:t>
            </w:r>
          </w:p>
        </w:tc>
        <w:tc>
          <w:tcPr>
            <w:tcW w:w="928" w:type="pct"/>
            <w:tcBorders>
              <w:top w:val="single" w:sz="4" w:space="0" w:color="auto"/>
              <w:left w:val="nil"/>
              <w:bottom w:val="single" w:sz="4" w:space="0" w:color="auto"/>
              <w:right w:val="nil"/>
            </w:tcBorders>
            <w:hideMark/>
          </w:tcPr>
          <w:p w14:paraId="2DCE8C29"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w:t>
            </w:r>
          </w:p>
        </w:tc>
      </w:tr>
      <w:tr w:rsidR="0034329C" w:rsidRPr="0034329C" w14:paraId="0381C8E5" w14:textId="77777777">
        <w:trPr>
          <w:trHeight w:val="332"/>
        </w:trPr>
        <w:tc>
          <w:tcPr>
            <w:tcW w:w="1688" w:type="pct"/>
            <w:vMerge w:val="restart"/>
            <w:hideMark/>
          </w:tcPr>
          <w:p w14:paraId="275A3D5D" w14:textId="77777777" w:rsidR="0034329C" w:rsidRPr="0034329C" w:rsidRDefault="0034329C">
            <w:pPr>
              <w:spacing w:line="360" w:lineRule="auto"/>
              <w:rPr>
                <w:rFonts w:ascii="Arial" w:hAnsi="Arial" w:cs="Arial"/>
                <w:lang w:val="en-GB"/>
              </w:rPr>
            </w:pPr>
            <w:r w:rsidRPr="0034329C">
              <w:rPr>
                <w:rFonts w:ascii="Arial" w:hAnsi="Arial" w:cs="Arial"/>
                <w:lang w:val="en-GB"/>
              </w:rPr>
              <w:t>Year of study</w:t>
            </w:r>
          </w:p>
        </w:tc>
        <w:tc>
          <w:tcPr>
            <w:tcW w:w="1688" w:type="pct"/>
            <w:hideMark/>
          </w:tcPr>
          <w:p w14:paraId="4BF0E6DC" w14:textId="77777777" w:rsidR="0034329C" w:rsidRPr="0034329C" w:rsidRDefault="0034329C">
            <w:pPr>
              <w:spacing w:line="360" w:lineRule="auto"/>
              <w:jc w:val="both"/>
              <w:rPr>
                <w:rFonts w:ascii="Arial" w:hAnsi="Arial" w:cs="Arial"/>
                <w:lang w:val="en-GB"/>
              </w:rPr>
            </w:pPr>
            <w:r w:rsidRPr="0034329C">
              <w:rPr>
                <w:rFonts w:ascii="Arial" w:hAnsi="Arial" w:cs="Arial"/>
              </w:rPr>
              <w:t>200 level</w:t>
            </w:r>
          </w:p>
        </w:tc>
        <w:tc>
          <w:tcPr>
            <w:tcW w:w="696" w:type="pct"/>
            <w:hideMark/>
          </w:tcPr>
          <w:p w14:paraId="73D56A19"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40</w:t>
            </w:r>
          </w:p>
        </w:tc>
        <w:tc>
          <w:tcPr>
            <w:tcW w:w="928" w:type="pct"/>
            <w:vAlign w:val="center"/>
            <w:hideMark/>
          </w:tcPr>
          <w:p w14:paraId="5D543BAA" w14:textId="77777777" w:rsidR="0034329C" w:rsidRPr="0034329C" w:rsidRDefault="0034329C">
            <w:pPr>
              <w:spacing w:line="360" w:lineRule="auto"/>
              <w:jc w:val="both"/>
              <w:rPr>
                <w:rFonts w:ascii="Arial" w:hAnsi="Arial" w:cs="Arial"/>
                <w:lang w:val="en-GB"/>
              </w:rPr>
            </w:pPr>
            <w:r w:rsidRPr="0034329C">
              <w:rPr>
                <w:rFonts w:ascii="Arial" w:hAnsi="Arial" w:cs="Arial"/>
              </w:rPr>
              <w:t>48.19</w:t>
            </w:r>
          </w:p>
        </w:tc>
      </w:tr>
      <w:tr w:rsidR="0034329C" w:rsidRPr="0034329C" w14:paraId="45F16CDD" w14:textId="77777777">
        <w:tc>
          <w:tcPr>
            <w:tcW w:w="0" w:type="auto"/>
            <w:vMerge/>
            <w:vAlign w:val="center"/>
          </w:tcPr>
          <w:p w14:paraId="2504AE64" w14:textId="77777777" w:rsidR="0034329C" w:rsidRPr="0034329C" w:rsidRDefault="0034329C">
            <w:pPr>
              <w:rPr>
                <w:rFonts w:ascii="Arial" w:hAnsi="Arial" w:cs="Arial"/>
                <w:lang w:val="en-GB"/>
              </w:rPr>
            </w:pPr>
          </w:p>
        </w:tc>
        <w:tc>
          <w:tcPr>
            <w:tcW w:w="1688" w:type="pct"/>
          </w:tcPr>
          <w:p w14:paraId="3FA30AD2" w14:textId="77777777" w:rsidR="0034329C" w:rsidRPr="0034329C" w:rsidRDefault="0034329C">
            <w:pPr>
              <w:spacing w:line="360" w:lineRule="auto"/>
              <w:jc w:val="both"/>
              <w:rPr>
                <w:rFonts w:ascii="Arial" w:hAnsi="Arial" w:cs="Arial"/>
                <w:lang w:val="en-GB"/>
              </w:rPr>
            </w:pPr>
            <w:r w:rsidRPr="0034329C">
              <w:rPr>
                <w:rFonts w:ascii="Arial" w:hAnsi="Arial" w:cs="Arial"/>
              </w:rPr>
              <w:t xml:space="preserve">300 level </w:t>
            </w:r>
          </w:p>
        </w:tc>
        <w:tc>
          <w:tcPr>
            <w:tcW w:w="696" w:type="pct"/>
          </w:tcPr>
          <w:p w14:paraId="6CE2E19E"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43</w:t>
            </w:r>
          </w:p>
        </w:tc>
        <w:tc>
          <w:tcPr>
            <w:tcW w:w="928" w:type="pct"/>
            <w:vAlign w:val="center"/>
          </w:tcPr>
          <w:p w14:paraId="56F6679A" w14:textId="77777777" w:rsidR="0034329C" w:rsidRPr="0034329C" w:rsidRDefault="0034329C">
            <w:pPr>
              <w:spacing w:line="360" w:lineRule="auto"/>
              <w:jc w:val="both"/>
              <w:rPr>
                <w:rFonts w:ascii="Arial" w:hAnsi="Arial" w:cs="Arial"/>
                <w:lang w:val="en-GB"/>
              </w:rPr>
            </w:pPr>
            <w:r w:rsidRPr="0034329C">
              <w:rPr>
                <w:rFonts w:ascii="Arial" w:hAnsi="Arial" w:cs="Arial"/>
              </w:rPr>
              <w:t>51.81</w:t>
            </w:r>
          </w:p>
        </w:tc>
      </w:tr>
      <w:tr w:rsidR="0034329C" w:rsidRPr="0034329C" w14:paraId="4ECFF5DE" w14:textId="77777777">
        <w:tc>
          <w:tcPr>
            <w:tcW w:w="1688" w:type="pct"/>
            <w:vMerge w:val="restart"/>
            <w:tcBorders>
              <w:top w:val="nil"/>
              <w:left w:val="nil"/>
              <w:bottom w:val="single" w:sz="4" w:space="0" w:color="auto"/>
              <w:right w:val="nil"/>
            </w:tcBorders>
            <w:hideMark/>
          </w:tcPr>
          <w:p w14:paraId="59EA4608" w14:textId="77777777" w:rsidR="0034329C" w:rsidRPr="0034329C" w:rsidRDefault="0034329C">
            <w:pPr>
              <w:rPr>
                <w:rFonts w:ascii="Arial" w:hAnsi="Arial" w:cs="Arial"/>
                <w:lang w:val="en-GB"/>
              </w:rPr>
            </w:pPr>
            <w:r w:rsidRPr="0034329C">
              <w:rPr>
                <w:rFonts w:ascii="Arial" w:hAnsi="Arial" w:cs="Arial"/>
                <w:lang w:val="en-GB"/>
              </w:rPr>
              <w:t xml:space="preserve">Gender </w:t>
            </w:r>
          </w:p>
        </w:tc>
        <w:tc>
          <w:tcPr>
            <w:tcW w:w="3312" w:type="pct"/>
            <w:gridSpan w:val="3"/>
            <w:hideMark/>
          </w:tcPr>
          <w:p w14:paraId="0B8D8264" w14:textId="77777777" w:rsidR="0034329C" w:rsidRPr="0034329C" w:rsidRDefault="0034329C">
            <w:pPr>
              <w:spacing w:line="360" w:lineRule="auto"/>
              <w:jc w:val="both"/>
              <w:rPr>
                <w:rFonts w:ascii="Arial" w:hAnsi="Arial" w:cs="Arial"/>
                <w:lang w:val="en-GB"/>
              </w:rPr>
            </w:pPr>
          </w:p>
        </w:tc>
      </w:tr>
      <w:tr w:rsidR="0034329C" w:rsidRPr="0034329C" w14:paraId="43DEC4A7" w14:textId="77777777">
        <w:tc>
          <w:tcPr>
            <w:tcW w:w="0" w:type="auto"/>
            <w:vMerge/>
            <w:tcBorders>
              <w:top w:val="nil"/>
              <w:left w:val="nil"/>
              <w:bottom w:val="single" w:sz="4" w:space="0" w:color="auto"/>
              <w:right w:val="nil"/>
            </w:tcBorders>
            <w:vAlign w:val="center"/>
            <w:hideMark/>
          </w:tcPr>
          <w:p w14:paraId="1B1820B0" w14:textId="77777777" w:rsidR="0034329C" w:rsidRPr="0034329C" w:rsidRDefault="0034329C">
            <w:pPr>
              <w:rPr>
                <w:rFonts w:ascii="Arial" w:hAnsi="Arial" w:cs="Arial"/>
                <w:lang w:val="en-GB"/>
              </w:rPr>
            </w:pPr>
          </w:p>
        </w:tc>
        <w:tc>
          <w:tcPr>
            <w:tcW w:w="1688" w:type="pct"/>
            <w:hideMark/>
          </w:tcPr>
          <w:p w14:paraId="07AACE04"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Female</w:t>
            </w:r>
          </w:p>
        </w:tc>
        <w:tc>
          <w:tcPr>
            <w:tcW w:w="696" w:type="pct"/>
            <w:hideMark/>
          </w:tcPr>
          <w:p w14:paraId="3EAE2D45"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49</w:t>
            </w:r>
          </w:p>
        </w:tc>
        <w:tc>
          <w:tcPr>
            <w:tcW w:w="928" w:type="pct"/>
            <w:vAlign w:val="center"/>
            <w:hideMark/>
          </w:tcPr>
          <w:p w14:paraId="3B0B8449" w14:textId="77777777" w:rsidR="0034329C" w:rsidRPr="0034329C" w:rsidRDefault="0034329C">
            <w:pPr>
              <w:spacing w:line="360" w:lineRule="auto"/>
              <w:jc w:val="both"/>
              <w:rPr>
                <w:rFonts w:ascii="Arial" w:hAnsi="Arial" w:cs="Arial"/>
                <w:lang w:val="en-GB"/>
              </w:rPr>
            </w:pPr>
            <w:r w:rsidRPr="0034329C">
              <w:rPr>
                <w:rFonts w:ascii="Arial" w:hAnsi="Arial" w:cs="Arial"/>
              </w:rPr>
              <w:t>59.04</w:t>
            </w:r>
          </w:p>
        </w:tc>
      </w:tr>
      <w:tr w:rsidR="0034329C" w:rsidRPr="0034329C" w14:paraId="5FDC4C26" w14:textId="77777777">
        <w:trPr>
          <w:trHeight w:val="50"/>
        </w:trPr>
        <w:tc>
          <w:tcPr>
            <w:tcW w:w="0" w:type="auto"/>
            <w:vMerge/>
            <w:tcBorders>
              <w:top w:val="nil"/>
              <w:left w:val="nil"/>
              <w:bottom w:val="single" w:sz="4" w:space="0" w:color="auto"/>
              <w:right w:val="nil"/>
            </w:tcBorders>
            <w:vAlign w:val="center"/>
            <w:hideMark/>
          </w:tcPr>
          <w:p w14:paraId="542B163B" w14:textId="77777777" w:rsidR="0034329C" w:rsidRPr="0034329C" w:rsidRDefault="0034329C">
            <w:pPr>
              <w:rPr>
                <w:rFonts w:ascii="Arial" w:hAnsi="Arial" w:cs="Arial"/>
                <w:lang w:val="en-GB"/>
              </w:rPr>
            </w:pPr>
          </w:p>
        </w:tc>
        <w:tc>
          <w:tcPr>
            <w:tcW w:w="1688" w:type="pct"/>
            <w:tcBorders>
              <w:top w:val="nil"/>
              <w:left w:val="nil"/>
              <w:bottom w:val="single" w:sz="4" w:space="0" w:color="auto"/>
              <w:right w:val="nil"/>
            </w:tcBorders>
            <w:hideMark/>
          </w:tcPr>
          <w:p w14:paraId="1400ADED"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Male</w:t>
            </w:r>
          </w:p>
        </w:tc>
        <w:tc>
          <w:tcPr>
            <w:tcW w:w="696" w:type="pct"/>
            <w:tcBorders>
              <w:top w:val="nil"/>
              <w:left w:val="nil"/>
              <w:bottom w:val="single" w:sz="4" w:space="0" w:color="auto"/>
              <w:right w:val="nil"/>
            </w:tcBorders>
            <w:hideMark/>
          </w:tcPr>
          <w:p w14:paraId="791D246D" w14:textId="77777777" w:rsidR="0034329C" w:rsidRPr="0034329C" w:rsidRDefault="0034329C">
            <w:pPr>
              <w:spacing w:line="360" w:lineRule="auto"/>
              <w:jc w:val="both"/>
              <w:rPr>
                <w:rFonts w:ascii="Arial" w:hAnsi="Arial" w:cs="Arial"/>
                <w:lang w:val="en-GB"/>
              </w:rPr>
            </w:pPr>
            <w:r w:rsidRPr="0034329C">
              <w:rPr>
                <w:rFonts w:ascii="Arial" w:hAnsi="Arial" w:cs="Arial"/>
                <w:lang w:val="en-GB"/>
              </w:rPr>
              <w:t>34</w:t>
            </w:r>
          </w:p>
          <w:p w14:paraId="6E0B66CD" w14:textId="77777777" w:rsidR="0034329C" w:rsidRPr="0034329C" w:rsidRDefault="0034329C">
            <w:pPr>
              <w:spacing w:line="360" w:lineRule="auto"/>
              <w:jc w:val="both"/>
              <w:rPr>
                <w:rFonts w:ascii="Arial" w:hAnsi="Arial" w:cs="Arial"/>
                <w:lang w:val="en-GB"/>
              </w:rPr>
            </w:pPr>
          </w:p>
        </w:tc>
        <w:tc>
          <w:tcPr>
            <w:tcW w:w="928" w:type="pct"/>
            <w:tcBorders>
              <w:top w:val="nil"/>
              <w:left w:val="nil"/>
              <w:bottom w:val="single" w:sz="4" w:space="0" w:color="auto"/>
              <w:right w:val="nil"/>
            </w:tcBorders>
            <w:vAlign w:val="center"/>
            <w:hideMark/>
          </w:tcPr>
          <w:p w14:paraId="4673B464" w14:textId="77777777" w:rsidR="0034329C" w:rsidRPr="0034329C" w:rsidRDefault="0034329C">
            <w:pPr>
              <w:spacing w:line="360" w:lineRule="auto"/>
              <w:jc w:val="both"/>
              <w:rPr>
                <w:rFonts w:ascii="Arial" w:hAnsi="Arial" w:cs="Arial"/>
                <w:lang w:val="en-GB"/>
              </w:rPr>
            </w:pPr>
            <w:r w:rsidRPr="0034329C">
              <w:rPr>
                <w:rFonts w:ascii="Arial" w:hAnsi="Arial" w:cs="Arial"/>
              </w:rPr>
              <w:t>40.96</w:t>
            </w:r>
          </w:p>
        </w:tc>
      </w:tr>
    </w:tbl>
    <w:p w14:paraId="21623642" w14:textId="77777777" w:rsidR="0034329C" w:rsidRDefault="0034329C" w:rsidP="0034329C">
      <w:pPr>
        <w:spacing w:line="360" w:lineRule="auto"/>
        <w:jc w:val="both"/>
        <w:rPr>
          <w:rFonts w:ascii="Arial" w:hAnsi="Arial" w:cs="Arial"/>
          <w:lang w:val="en-GB"/>
        </w:rPr>
      </w:pPr>
      <w:r w:rsidRPr="0034329C">
        <w:rPr>
          <w:rFonts w:ascii="Arial" w:hAnsi="Arial" w:cs="Arial"/>
          <w:lang w:val="en-GB"/>
        </w:rPr>
        <w:t>Source: Field survey, 2025</w:t>
      </w:r>
    </w:p>
    <w:p w14:paraId="7D6817F7" w14:textId="77777777" w:rsidR="00790ADA" w:rsidRPr="00502516" w:rsidRDefault="00790ADA" w:rsidP="00441B6F">
      <w:pPr>
        <w:pStyle w:val="Body"/>
        <w:spacing w:after="0"/>
        <w:rPr>
          <w:rFonts w:ascii="Arial" w:hAnsi="Arial" w:cs="Arial"/>
        </w:rPr>
      </w:pPr>
    </w:p>
    <w:p w14:paraId="048F4094" w14:textId="19033B8B" w:rsidR="0034329C" w:rsidRDefault="0034329C"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sz w:val="22"/>
        </w:rPr>
        <w:t xml:space="preserve"> </w:t>
      </w:r>
      <w:r w:rsidRPr="0034329C">
        <w:rPr>
          <w:rFonts w:ascii="Arial" w:hAnsi="Arial" w:cs="Arial"/>
          <w:b/>
          <w:sz w:val="22"/>
        </w:rPr>
        <w:t xml:space="preserve">Instructional Culture </w:t>
      </w:r>
      <w:r>
        <w:rPr>
          <w:rFonts w:ascii="Arial" w:hAnsi="Arial" w:cs="Arial"/>
          <w:b/>
          <w:sz w:val="22"/>
        </w:rPr>
        <w:t xml:space="preserve">and its influence on curriculum implementation </w:t>
      </w:r>
    </w:p>
    <w:p w14:paraId="43B01B85" w14:textId="77777777" w:rsidR="0034329C" w:rsidRPr="0034329C" w:rsidRDefault="0034329C" w:rsidP="0034329C">
      <w:pPr>
        <w:pStyle w:val="Body"/>
        <w:rPr>
          <w:rFonts w:ascii="Arial" w:hAnsi="Arial" w:cs="Arial"/>
        </w:rPr>
      </w:pPr>
      <w:r w:rsidRPr="0034329C">
        <w:rPr>
          <w:rFonts w:ascii="Arial" w:hAnsi="Arial" w:cs="Arial"/>
        </w:rPr>
        <w:br/>
        <w:t xml:space="preserve">Table 3 presents lecturers’ evaluations of the instructional culture in the delivery of knowledge to students. The mean scores </w:t>
      </w:r>
      <w:r w:rsidRPr="0034329C">
        <w:rPr>
          <w:rFonts w:ascii="Arial" w:hAnsi="Arial" w:cs="Arial"/>
        </w:rPr>
        <w:lastRenderedPageBreak/>
        <w:t>range from 3.60 to 4.60, with standard deviations between 0.55 and 1.14, reflecting generally high levels of agreement and comparatively consistent responses. Of the ten indicator statements, nine were rated as “Strongly Agree” and one as “Agree.” This pattern indicates that lecturers view the instructional culture in their departments highly positively.</w:t>
      </w:r>
    </w:p>
    <w:p w14:paraId="561C99ED" w14:textId="61E30CA1" w:rsidR="0034329C" w:rsidRPr="0034329C" w:rsidRDefault="0034329C" w:rsidP="0034329C">
      <w:pPr>
        <w:pStyle w:val="Body"/>
        <w:rPr>
          <w:rFonts w:ascii="Arial" w:hAnsi="Arial" w:cs="Arial"/>
        </w:rPr>
      </w:pPr>
      <w:r w:rsidRPr="0034329C">
        <w:rPr>
          <w:rFonts w:ascii="Arial" w:hAnsi="Arial" w:cs="Arial"/>
        </w:rPr>
        <w:t xml:space="preserve">Statements relating to the alignment of teaching methods with global trends, encouragement to update pedagogy, promotion of creativity and critical thinking, and integration of theory and practice all recorded the highest mean score of 4.60 with a low standard deviation of 0.55, showing strong consensus. Likewise, areas such as </w:t>
      </w:r>
      <w:r w:rsidR="00DA20C8">
        <w:rPr>
          <w:rFonts w:ascii="Arial" w:hAnsi="Arial" w:cs="Arial"/>
        </w:rPr>
        <w:t>student-</w:t>
      </w:r>
      <w:proofErr w:type="spellStart"/>
      <w:r w:rsidR="00DA20C8">
        <w:rPr>
          <w:rFonts w:ascii="Arial" w:hAnsi="Arial" w:cs="Arial"/>
        </w:rPr>
        <w:t>centred</w:t>
      </w:r>
      <w:proofErr w:type="spellEnd"/>
      <w:r w:rsidRPr="0034329C">
        <w:rPr>
          <w:rFonts w:ascii="Arial" w:hAnsi="Arial" w:cs="Arial"/>
        </w:rPr>
        <w:t xml:space="preserve"> methods and practical engagement received slightly lower but still high mean scores of 4.40.</w:t>
      </w:r>
    </w:p>
    <w:p w14:paraId="0CE5113D" w14:textId="748F5D79" w:rsidR="0034329C" w:rsidRPr="0034329C" w:rsidRDefault="0034329C" w:rsidP="0034329C">
      <w:pPr>
        <w:pStyle w:val="Body"/>
        <w:rPr>
          <w:rFonts w:ascii="Arial" w:hAnsi="Arial" w:cs="Arial"/>
        </w:rPr>
      </w:pPr>
      <w:r w:rsidRPr="0034329C">
        <w:rPr>
          <w:rFonts w:ascii="Arial" w:hAnsi="Arial" w:cs="Arial"/>
        </w:rPr>
        <w:t>The only statement rated “Agree” concerned the sufficiency of infrastructure (Mean = 4.20), while the statement on the need for change in instructional culture recorded the lowest mean score of 3.60 and the highest standard deviation (1.14), indicating more diverse opinions. A summary of the statistics indicates that lecturers report strong instructional practices but express varying views regarding possible improvements in the teaching environment.</w:t>
      </w:r>
    </w:p>
    <w:p w14:paraId="4AD306E2" w14:textId="5E685BCC" w:rsidR="0034329C" w:rsidRPr="0034329C" w:rsidRDefault="0034329C" w:rsidP="0034329C">
      <w:pPr>
        <w:pStyle w:val="Body"/>
        <w:rPr>
          <w:rFonts w:ascii="Arial" w:hAnsi="Arial" w:cs="Arial"/>
        </w:rPr>
      </w:pPr>
      <w:r w:rsidRPr="0034329C">
        <w:rPr>
          <w:rFonts w:ascii="Arial" w:hAnsi="Arial" w:cs="Arial"/>
        </w:rPr>
        <w:t xml:space="preserve">Table 4 presents an evaluation of students’ </w:t>
      </w:r>
      <w:r w:rsidR="00DA20C8">
        <w:rPr>
          <w:rFonts w:ascii="Arial" w:hAnsi="Arial" w:cs="Arial"/>
        </w:rPr>
        <w:t>perceptions</w:t>
      </w:r>
      <w:r w:rsidR="00DA20C8" w:rsidRPr="0034329C">
        <w:rPr>
          <w:rFonts w:ascii="Arial" w:hAnsi="Arial" w:cs="Arial"/>
        </w:rPr>
        <w:t xml:space="preserve"> </w:t>
      </w:r>
      <w:r w:rsidRPr="0034329C">
        <w:rPr>
          <w:rFonts w:ascii="Arial" w:hAnsi="Arial" w:cs="Arial"/>
        </w:rPr>
        <w:t>of the instructional culture in their department. All ten indicator statements recorded mean scores ranging between 3.61 and 3.64, with corresponding standard deviations from 1.28 to 1.31, indicating moderate agreement levels and a reasonable degree of variability in student responses. All items received a qualitative rating of “Agree,” suggesting that students generally have a positive perception of the instructional culture across key areas.</w:t>
      </w:r>
    </w:p>
    <w:p w14:paraId="1CBBEF02" w14:textId="1F5F8215" w:rsidR="0034329C" w:rsidRPr="0034329C" w:rsidRDefault="0034329C" w:rsidP="0034329C">
      <w:pPr>
        <w:pStyle w:val="Body"/>
        <w:rPr>
          <w:rFonts w:ascii="Arial" w:hAnsi="Arial" w:cs="Arial"/>
        </w:rPr>
      </w:pPr>
      <w:r w:rsidRPr="0034329C">
        <w:rPr>
          <w:rFonts w:ascii="Arial" w:hAnsi="Arial" w:cs="Arial"/>
        </w:rPr>
        <w:t>Statements such as the alignment of teaching methods with industry trends (Mean = 3.64), bridging theory and practice (Mean = 3.64), and teaching styles that promote critical thinking (Mean = 3.64) emerged with the highest ratings. These were closely followed by statements on the practical applicability of courses and the availability of extracurricular support, each with mean scores of 3.62. The lowest-rated item, though marginally so, was related to hands-on experience opportunities outside the classroom (Mean = 3.61).</w:t>
      </w:r>
    </w:p>
    <w:p w14:paraId="7572F703" w14:textId="77777777" w:rsidR="0034329C" w:rsidRDefault="0034329C" w:rsidP="0034329C">
      <w:pPr>
        <w:pStyle w:val="Body"/>
        <w:rPr>
          <w:rFonts w:ascii="Arial" w:hAnsi="Arial" w:cs="Arial"/>
        </w:rPr>
      </w:pPr>
      <w:r w:rsidRPr="0034329C">
        <w:rPr>
          <w:rFonts w:ascii="Arial" w:hAnsi="Arial" w:cs="Arial"/>
        </w:rPr>
        <w:t>The statistics show that students acknowledge the presence of essential instructional strategies in the department but show moderate variability in responses, as indicated by standard deviations over 1.28 in all cases. This pattern suggests shared but somewhat varied experiences among respondents regarding how instructional culture supports curriculum implementation.</w:t>
      </w:r>
    </w:p>
    <w:p w14:paraId="41A43137" w14:textId="1BD38ACA" w:rsidR="0034329C" w:rsidRPr="0034329C" w:rsidRDefault="0034329C" w:rsidP="0034329C">
      <w:pPr>
        <w:pStyle w:val="Body"/>
        <w:jc w:val="left"/>
        <w:rPr>
          <w:rFonts w:ascii="Arial" w:hAnsi="Arial" w:cs="Arial"/>
          <w:b/>
          <w:lang w:val="en-GB"/>
        </w:rPr>
      </w:pPr>
      <w:r w:rsidRPr="0034329C">
        <w:rPr>
          <w:rFonts w:ascii="Arial" w:hAnsi="Arial" w:cs="Arial"/>
          <w:b/>
          <w:lang w:val="en-GB"/>
        </w:rPr>
        <w:t xml:space="preserve">Table 3: Lecturers’ Responses on Instructional Culture </w:t>
      </w:r>
    </w:p>
    <w:tbl>
      <w:tblPr>
        <w:tblW w:w="4712" w:type="pct"/>
        <w:tblLayout w:type="fixed"/>
        <w:tblLook w:val="04A0" w:firstRow="1" w:lastRow="0" w:firstColumn="1" w:lastColumn="0" w:noHBand="0" w:noVBand="1"/>
      </w:tblPr>
      <w:tblGrid>
        <w:gridCol w:w="5678"/>
        <w:gridCol w:w="1152"/>
        <w:gridCol w:w="1616"/>
        <w:gridCol w:w="1732"/>
      </w:tblGrid>
      <w:tr w:rsidR="0034329C" w:rsidRPr="0034329C" w14:paraId="552D0217" w14:textId="77777777">
        <w:trPr>
          <w:trHeight w:val="470"/>
        </w:trPr>
        <w:tc>
          <w:tcPr>
            <w:tcW w:w="2789" w:type="pct"/>
            <w:vMerge w:val="restart"/>
            <w:tcBorders>
              <w:top w:val="single" w:sz="4" w:space="0" w:color="auto"/>
              <w:left w:val="nil"/>
              <w:bottom w:val="single" w:sz="4" w:space="0" w:color="auto"/>
              <w:right w:val="nil"/>
            </w:tcBorders>
          </w:tcPr>
          <w:p w14:paraId="5300EBB6" w14:textId="77777777" w:rsidR="0034329C" w:rsidRPr="0034329C" w:rsidRDefault="0034329C">
            <w:pPr>
              <w:pStyle w:val="Body"/>
              <w:rPr>
                <w:rFonts w:ascii="Arial" w:hAnsi="Arial" w:cs="Arial"/>
                <w:b/>
                <w:bCs/>
                <w:lang w:val="en-GB"/>
              </w:rPr>
            </w:pPr>
            <w:r w:rsidRPr="0034329C">
              <w:rPr>
                <w:rFonts w:ascii="Arial" w:hAnsi="Arial" w:cs="Arial"/>
                <w:b/>
                <w:bCs/>
              </w:rPr>
              <w:t>Indicator Statements</w:t>
            </w:r>
          </w:p>
        </w:tc>
        <w:tc>
          <w:tcPr>
            <w:tcW w:w="566" w:type="pct"/>
            <w:vMerge w:val="restart"/>
            <w:tcBorders>
              <w:top w:val="single" w:sz="4" w:space="0" w:color="auto"/>
              <w:left w:val="nil"/>
              <w:right w:val="nil"/>
            </w:tcBorders>
          </w:tcPr>
          <w:p w14:paraId="655F9210" w14:textId="77777777" w:rsidR="0034329C" w:rsidRPr="0034329C" w:rsidRDefault="0034329C">
            <w:pPr>
              <w:pStyle w:val="Body"/>
              <w:rPr>
                <w:rFonts w:ascii="Arial" w:hAnsi="Arial" w:cs="Arial"/>
                <w:b/>
                <w:bCs/>
                <w:lang w:val="en-GB"/>
              </w:rPr>
            </w:pPr>
            <w:r w:rsidRPr="0034329C">
              <w:rPr>
                <w:rFonts w:ascii="Arial" w:hAnsi="Arial" w:cs="Arial"/>
                <w:b/>
                <w:bCs/>
              </w:rPr>
              <w:t>Mean</w:t>
            </w:r>
          </w:p>
        </w:tc>
        <w:tc>
          <w:tcPr>
            <w:tcW w:w="794" w:type="pct"/>
            <w:vMerge w:val="restart"/>
            <w:tcBorders>
              <w:top w:val="single" w:sz="4" w:space="0" w:color="auto"/>
              <w:left w:val="nil"/>
              <w:right w:val="nil"/>
            </w:tcBorders>
          </w:tcPr>
          <w:p w14:paraId="1E734DB3" w14:textId="77777777" w:rsidR="0034329C" w:rsidRPr="0034329C" w:rsidRDefault="0034329C">
            <w:pPr>
              <w:pStyle w:val="Body"/>
              <w:rPr>
                <w:rFonts w:ascii="Arial" w:hAnsi="Arial" w:cs="Arial"/>
                <w:b/>
                <w:bCs/>
                <w:lang w:val="en-GB"/>
              </w:rPr>
            </w:pPr>
            <w:r w:rsidRPr="0034329C">
              <w:rPr>
                <w:rFonts w:ascii="Arial" w:hAnsi="Arial" w:cs="Arial"/>
                <w:b/>
                <w:bCs/>
              </w:rPr>
              <w:t>Standard Deviation</w:t>
            </w:r>
          </w:p>
        </w:tc>
        <w:tc>
          <w:tcPr>
            <w:tcW w:w="851" w:type="pct"/>
            <w:vMerge w:val="restart"/>
            <w:tcBorders>
              <w:top w:val="single" w:sz="4" w:space="0" w:color="auto"/>
              <w:left w:val="nil"/>
              <w:right w:val="nil"/>
            </w:tcBorders>
          </w:tcPr>
          <w:p w14:paraId="4878965B" w14:textId="77777777" w:rsidR="0034329C" w:rsidRPr="0034329C" w:rsidRDefault="0034329C">
            <w:pPr>
              <w:pStyle w:val="Body"/>
              <w:rPr>
                <w:rFonts w:ascii="Arial" w:hAnsi="Arial" w:cs="Arial"/>
                <w:b/>
                <w:bCs/>
              </w:rPr>
            </w:pPr>
            <w:r w:rsidRPr="0034329C">
              <w:rPr>
                <w:rFonts w:ascii="Arial" w:hAnsi="Arial" w:cs="Arial"/>
                <w:b/>
                <w:bCs/>
              </w:rPr>
              <w:t>Qualitative Rating</w:t>
            </w:r>
          </w:p>
        </w:tc>
      </w:tr>
      <w:tr w:rsidR="0034329C" w:rsidRPr="0034329C" w14:paraId="54EE3B07" w14:textId="77777777">
        <w:trPr>
          <w:trHeight w:val="230"/>
        </w:trPr>
        <w:tc>
          <w:tcPr>
            <w:tcW w:w="2789" w:type="pct"/>
            <w:vMerge/>
            <w:tcBorders>
              <w:top w:val="single" w:sz="4" w:space="0" w:color="auto"/>
              <w:left w:val="nil"/>
              <w:bottom w:val="single" w:sz="4" w:space="0" w:color="auto"/>
              <w:right w:val="nil"/>
            </w:tcBorders>
            <w:vAlign w:val="center"/>
            <w:hideMark/>
          </w:tcPr>
          <w:p w14:paraId="3AB60ED0" w14:textId="77777777" w:rsidR="0034329C" w:rsidRPr="0034329C" w:rsidRDefault="0034329C">
            <w:pPr>
              <w:pStyle w:val="Body"/>
              <w:rPr>
                <w:rFonts w:ascii="Arial" w:hAnsi="Arial" w:cs="Arial"/>
                <w:b/>
                <w:bCs/>
                <w:lang w:val="en-GB"/>
              </w:rPr>
            </w:pPr>
          </w:p>
        </w:tc>
        <w:tc>
          <w:tcPr>
            <w:tcW w:w="566" w:type="pct"/>
            <w:vMerge/>
            <w:tcBorders>
              <w:left w:val="nil"/>
              <w:bottom w:val="single" w:sz="4" w:space="0" w:color="auto"/>
              <w:right w:val="nil"/>
            </w:tcBorders>
          </w:tcPr>
          <w:p w14:paraId="75630EF6" w14:textId="77777777" w:rsidR="0034329C" w:rsidRPr="0034329C" w:rsidRDefault="0034329C">
            <w:pPr>
              <w:pStyle w:val="Body"/>
              <w:rPr>
                <w:rFonts w:ascii="Arial" w:hAnsi="Arial" w:cs="Arial"/>
                <w:b/>
                <w:bCs/>
                <w:lang w:val="en-GB"/>
              </w:rPr>
            </w:pPr>
          </w:p>
        </w:tc>
        <w:tc>
          <w:tcPr>
            <w:tcW w:w="794" w:type="pct"/>
            <w:vMerge/>
            <w:tcBorders>
              <w:left w:val="nil"/>
              <w:bottom w:val="single" w:sz="4" w:space="0" w:color="auto"/>
              <w:right w:val="nil"/>
            </w:tcBorders>
          </w:tcPr>
          <w:p w14:paraId="7441E58E" w14:textId="77777777" w:rsidR="0034329C" w:rsidRPr="0034329C" w:rsidRDefault="0034329C">
            <w:pPr>
              <w:pStyle w:val="Body"/>
              <w:rPr>
                <w:rFonts w:ascii="Arial" w:hAnsi="Arial" w:cs="Arial"/>
                <w:b/>
                <w:bCs/>
                <w:lang w:val="en-GB"/>
              </w:rPr>
            </w:pPr>
          </w:p>
        </w:tc>
        <w:tc>
          <w:tcPr>
            <w:tcW w:w="851" w:type="pct"/>
            <w:vMerge/>
            <w:tcBorders>
              <w:left w:val="nil"/>
              <w:bottom w:val="single" w:sz="4" w:space="0" w:color="auto"/>
              <w:right w:val="nil"/>
            </w:tcBorders>
          </w:tcPr>
          <w:p w14:paraId="1F1071E6" w14:textId="77777777" w:rsidR="0034329C" w:rsidRPr="0034329C" w:rsidRDefault="0034329C">
            <w:pPr>
              <w:pStyle w:val="Body"/>
              <w:rPr>
                <w:rFonts w:ascii="Arial" w:hAnsi="Arial" w:cs="Arial"/>
                <w:b/>
                <w:bCs/>
                <w:lang w:val="en-GB"/>
              </w:rPr>
            </w:pPr>
          </w:p>
        </w:tc>
      </w:tr>
      <w:tr w:rsidR="0034329C" w:rsidRPr="0034329C" w14:paraId="3C030735" w14:textId="77777777">
        <w:tc>
          <w:tcPr>
            <w:tcW w:w="2789" w:type="pct"/>
            <w:hideMark/>
          </w:tcPr>
          <w:p w14:paraId="525B5767" w14:textId="77777777" w:rsidR="0034329C" w:rsidRPr="0034329C" w:rsidRDefault="0034329C" w:rsidP="0034329C">
            <w:pPr>
              <w:pStyle w:val="Body"/>
              <w:jc w:val="left"/>
              <w:rPr>
                <w:rFonts w:ascii="Arial" w:hAnsi="Arial" w:cs="Arial"/>
              </w:rPr>
            </w:pPr>
            <w:r w:rsidRPr="0034329C">
              <w:rPr>
                <w:rFonts w:ascii="Arial" w:hAnsi="Arial" w:cs="Arial"/>
              </w:rPr>
              <w:t>The teaching methods used in my music education classes align with current trends in the music industry</w:t>
            </w:r>
          </w:p>
          <w:p w14:paraId="1534FEC9" w14:textId="77777777" w:rsidR="0034329C" w:rsidRPr="0034329C" w:rsidRDefault="0034329C" w:rsidP="0034329C">
            <w:pPr>
              <w:pStyle w:val="Body"/>
              <w:jc w:val="left"/>
              <w:rPr>
                <w:rFonts w:ascii="Arial" w:hAnsi="Arial" w:cs="Arial"/>
                <w:lang w:val="en-GB"/>
              </w:rPr>
            </w:pPr>
          </w:p>
        </w:tc>
        <w:tc>
          <w:tcPr>
            <w:tcW w:w="566" w:type="pct"/>
          </w:tcPr>
          <w:p w14:paraId="2D1F1BDE"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D7CEBFE"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5C7628AB" w14:textId="1A21D8C1"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38BFB933" w14:textId="77777777">
        <w:tc>
          <w:tcPr>
            <w:tcW w:w="2789" w:type="pct"/>
            <w:hideMark/>
          </w:tcPr>
          <w:p w14:paraId="5B3842FC" w14:textId="77777777" w:rsidR="0034329C" w:rsidRPr="0034329C" w:rsidRDefault="0034329C" w:rsidP="0034329C">
            <w:pPr>
              <w:pStyle w:val="Body"/>
              <w:jc w:val="left"/>
              <w:rPr>
                <w:rFonts w:ascii="Arial" w:hAnsi="Arial" w:cs="Arial"/>
                <w:lang w:val="en-GB"/>
              </w:rPr>
            </w:pPr>
            <w:r w:rsidRPr="0034329C">
              <w:rPr>
                <w:rFonts w:ascii="Arial" w:hAnsi="Arial" w:cs="Arial"/>
              </w:rPr>
              <w:t>I feel that the teaching approaches in my department allow me to effectively apply what I learn in real-world music settings</w:t>
            </w:r>
          </w:p>
        </w:tc>
        <w:tc>
          <w:tcPr>
            <w:tcW w:w="566" w:type="pct"/>
          </w:tcPr>
          <w:p w14:paraId="186EA95F"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8646399"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6E4DC65C" w14:textId="5014D6F5"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10D5F12B" w14:textId="77777777">
        <w:tc>
          <w:tcPr>
            <w:tcW w:w="2789" w:type="pct"/>
            <w:hideMark/>
          </w:tcPr>
          <w:p w14:paraId="2E30A415" w14:textId="64967CBF" w:rsidR="0034329C" w:rsidRPr="0034329C" w:rsidRDefault="0034329C" w:rsidP="0034329C">
            <w:pPr>
              <w:pStyle w:val="Body"/>
              <w:jc w:val="left"/>
              <w:rPr>
                <w:rFonts w:ascii="Arial" w:hAnsi="Arial" w:cs="Arial"/>
                <w:lang w:val="en-GB"/>
              </w:rPr>
            </w:pPr>
            <w:r w:rsidRPr="0034329C">
              <w:rPr>
                <w:rFonts w:ascii="Arial" w:hAnsi="Arial" w:cs="Arial"/>
              </w:rPr>
              <w:t xml:space="preserve">Classroom activities encourage </w:t>
            </w:r>
            <w:r w:rsidR="00DA20C8">
              <w:rPr>
                <w:rFonts w:ascii="Arial" w:hAnsi="Arial" w:cs="Arial"/>
              </w:rPr>
              <w:t>student-</w:t>
            </w:r>
            <w:proofErr w:type="spellStart"/>
            <w:r w:rsidR="00DA20C8">
              <w:rPr>
                <w:rFonts w:ascii="Arial" w:hAnsi="Arial" w:cs="Arial"/>
              </w:rPr>
              <w:t>centred</w:t>
            </w:r>
            <w:proofErr w:type="spellEnd"/>
            <w:r w:rsidRPr="0034329C">
              <w:rPr>
                <w:rFonts w:ascii="Arial" w:hAnsi="Arial" w:cs="Arial"/>
              </w:rPr>
              <w:t xml:space="preserve"> learning and active participation</w:t>
            </w:r>
          </w:p>
        </w:tc>
        <w:tc>
          <w:tcPr>
            <w:tcW w:w="566" w:type="pct"/>
          </w:tcPr>
          <w:p w14:paraId="1B138935" w14:textId="77777777" w:rsidR="0034329C" w:rsidRPr="0034329C" w:rsidRDefault="0034329C" w:rsidP="0034329C">
            <w:pPr>
              <w:pStyle w:val="Body"/>
              <w:rPr>
                <w:rFonts w:ascii="Arial" w:hAnsi="Arial" w:cs="Arial"/>
              </w:rPr>
            </w:pPr>
            <w:r w:rsidRPr="0034329C">
              <w:rPr>
                <w:rFonts w:ascii="Arial" w:hAnsi="Arial" w:cs="Arial"/>
              </w:rPr>
              <w:t>3.63</w:t>
            </w:r>
          </w:p>
        </w:tc>
        <w:tc>
          <w:tcPr>
            <w:tcW w:w="794" w:type="pct"/>
          </w:tcPr>
          <w:p w14:paraId="578365FB" w14:textId="77777777" w:rsidR="0034329C" w:rsidRPr="0034329C" w:rsidRDefault="0034329C" w:rsidP="0034329C">
            <w:pPr>
              <w:pStyle w:val="Body"/>
              <w:rPr>
                <w:rFonts w:ascii="Arial" w:hAnsi="Arial" w:cs="Arial"/>
                <w:lang w:val="en-GB"/>
              </w:rPr>
            </w:pPr>
            <w:r w:rsidRPr="0034329C">
              <w:rPr>
                <w:rFonts w:ascii="Arial" w:hAnsi="Arial" w:cs="Arial"/>
              </w:rPr>
              <w:t>1.31</w:t>
            </w:r>
          </w:p>
        </w:tc>
        <w:tc>
          <w:tcPr>
            <w:tcW w:w="851" w:type="pct"/>
          </w:tcPr>
          <w:p w14:paraId="66EC4312" w14:textId="47A72B0C"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2B0F327C" w14:textId="77777777">
        <w:tc>
          <w:tcPr>
            <w:tcW w:w="2789" w:type="pct"/>
            <w:hideMark/>
          </w:tcPr>
          <w:p w14:paraId="7A91BA1C" w14:textId="77777777" w:rsidR="0034329C" w:rsidRPr="0034329C" w:rsidRDefault="0034329C" w:rsidP="0034329C">
            <w:pPr>
              <w:pStyle w:val="Body"/>
              <w:jc w:val="left"/>
              <w:rPr>
                <w:rFonts w:ascii="Arial" w:hAnsi="Arial" w:cs="Arial"/>
                <w:lang w:val="en-GB"/>
              </w:rPr>
            </w:pPr>
            <w:r w:rsidRPr="0034329C">
              <w:rPr>
                <w:rFonts w:ascii="Arial" w:hAnsi="Arial" w:cs="Arial"/>
              </w:rPr>
              <w:t>The teaching style of lecturers in my department encourages critical thinking and creativity in music</w:t>
            </w:r>
          </w:p>
        </w:tc>
        <w:tc>
          <w:tcPr>
            <w:tcW w:w="566" w:type="pct"/>
          </w:tcPr>
          <w:p w14:paraId="439DCCEB"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7CB19E2"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65ACA3A7" w14:textId="5F803663"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1D7CF2C3" w14:textId="77777777">
        <w:tc>
          <w:tcPr>
            <w:tcW w:w="2789" w:type="pct"/>
          </w:tcPr>
          <w:p w14:paraId="01107958" w14:textId="77777777" w:rsidR="0034329C" w:rsidRPr="0034329C" w:rsidRDefault="0034329C" w:rsidP="0034329C">
            <w:pPr>
              <w:pStyle w:val="Body"/>
              <w:jc w:val="left"/>
              <w:rPr>
                <w:rFonts w:ascii="Arial" w:hAnsi="Arial" w:cs="Arial"/>
                <w:lang w:val="en-GB"/>
              </w:rPr>
            </w:pPr>
            <w:r w:rsidRPr="0034329C">
              <w:rPr>
                <w:rFonts w:ascii="Arial" w:hAnsi="Arial" w:cs="Arial"/>
              </w:rPr>
              <w:t>I receive adequate opportunities for hands-on experience outside the classroom e.g. performances and outings</w:t>
            </w:r>
          </w:p>
        </w:tc>
        <w:tc>
          <w:tcPr>
            <w:tcW w:w="566" w:type="pct"/>
          </w:tcPr>
          <w:p w14:paraId="700BE495" w14:textId="77777777" w:rsidR="0034329C" w:rsidRPr="0034329C" w:rsidRDefault="0034329C" w:rsidP="0034329C">
            <w:pPr>
              <w:pStyle w:val="Body"/>
              <w:rPr>
                <w:rFonts w:ascii="Arial" w:hAnsi="Arial" w:cs="Arial"/>
              </w:rPr>
            </w:pPr>
            <w:r w:rsidRPr="0034329C">
              <w:rPr>
                <w:rFonts w:ascii="Arial" w:hAnsi="Arial" w:cs="Arial"/>
              </w:rPr>
              <w:t>3.61</w:t>
            </w:r>
          </w:p>
        </w:tc>
        <w:tc>
          <w:tcPr>
            <w:tcW w:w="794" w:type="pct"/>
          </w:tcPr>
          <w:p w14:paraId="134D0A24" w14:textId="77777777" w:rsidR="0034329C" w:rsidRPr="0034329C" w:rsidRDefault="0034329C" w:rsidP="0034329C">
            <w:pPr>
              <w:pStyle w:val="Body"/>
              <w:rPr>
                <w:rFonts w:ascii="Arial" w:hAnsi="Arial" w:cs="Arial"/>
                <w:lang w:val="en-GB"/>
              </w:rPr>
            </w:pPr>
            <w:r w:rsidRPr="0034329C">
              <w:rPr>
                <w:rFonts w:ascii="Arial" w:hAnsi="Arial" w:cs="Arial"/>
              </w:rPr>
              <w:t>1.28</w:t>
            </w:r>
          </w:p>
        </w:tc>
        <w:tc>
          <w:tcPr>
            <w:tcW w:w="851" w:type="pct"/>
          </w:tcPr>
          <w:p w14:paraId="0D8AB636" w14:textId="7DDF27F4"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67051727" w14:textId="77777777">
        <w:tc>
          <w:tcPr>
            <w:tcW w:w="2789" w:type="pct"/>
          </w:tcPr>
          <w:p w14:paraId="5D79DEB5" w14:textId="77777777" w:rsidR="0034329C" w:rsidRPr="0034329C" w:rsidRDefault="0034329C" w:rsidP="0034329C">
            <w:pPr>
              <w:pStyle w:val="Body"/>
              <w:jc w:val="left"/>
              <w:rPr>
                <w:rFonts w:ascii="Arial" w:hAnsi="Arial" w:cs="Arial"/>
                <w:lang w:val="en-GB"/>
              </w:rPr>
            </w:pPr>
            <w:r w:rsidRPr="0034329C">
              <w:rPr>
                <w:rFonts w:ascii="Arial" w:hAnsi="Arial" w:cs="Arial"/>
              </w:rPr>
              <w:t>The music courses I take provide me with practical skills that I can use after graduation</w:t>
            </w:r>
          </w:p>
        </w:tc>
        <w:tc>
          <w:tcPr>
            <w:tcW w:w="566" w:type="pct"/>
          </w:tcPr>
          <w:p w14:paraId="2761A49D"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7F4F339"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3B23C9E5" w14:textId="02D47323"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55408779" w14:textId="77777777">
        <w:tc>
          <w:tcPr>
            <w:tcW w:w="2789" w:type="pct"/>
          </w:tcPr>
          <w:p w14:paraId="49561F84" w14:textId="77777777" w:rsidR="0034329C" w:rsidRPr="0034329C" w:rsidRDefault="0034329C" w:rsidP="0034329C">
            <w:pPr>
              <w:pStyle w:val="Body"/>
              <w:jc w:val="left"/>
              <w:rPr>
                <w:rFonts w:ascii="Arial" w:hAnsi="Arial" w:cs="Arial"/>
                <w:lang w:val="en-GB"/>
              </w:rPr>
            </w:pPr>
            <w:r w:rsidRPr="0034329C">
              <w:rPr>
                <w:rFonts w:ascii="Arial" w:hAnsi="Arial" w:cs="Arial"/>
              </w:rPr>
              <w:t>The instructional methods used in the class help to bridge the gap between theory and practice in music education</w:t>
            </w:r>
          </w:p>
        </w:tc>
        <w:tc>
          <w:tcPr>
            <w:tcW w:w="566" w:type="pct"/>
          </w:tcPr>
          <w:p w14:paraId="0803D775"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66D6871"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E4C6EB8" w14:textId="7796B15A"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DC5D6D0" w14:textId="77777777">
        <w:tc>
          <w:tcPr>
            <w:tcW w:w="2789" w:type="pct"/>
            <w:tcBorders>
              <w:top w:val="nil"/>
              <w:left w:val="nil"/>
              <w:bottom w:val="nil"/>
              <w:right w:val="nil"/>
            </w:tcBorders>
            <w:hideMark/>
          </w:tcPr>
          <w:p w14:paraId="279A05E6" w14:textId="77777777" w:rsidR="0034329C" w:rsidRPr="0034329C" w:rsidRDefault="0034329C" w:rsidP="0034329C">
            <w:pPr>
              <w:pStyle w:val="Body"/>
              <w:jc w:val="left"/>
              <w:rPr>
                <w:rFonts w:ascii="Arial" w:hAnsi="Arial" w:cs="Arial"/>
                <w:lang w:val="en-GB"/>
              </w:rPr>
            </w:pPr>
            <w:r w:rsidRPr="0034329C">
              <w:rPr>
                <w:rFonts w:ascii="Arial" w:hAnsi="Arial" w:cs="Arial"/>
              </w:rPr>
              <w:lastRenderedPageBreak/>
              <w:t>The music department organizes extracurricular activities that enhance the learning experience</w:t>
            </w:r>
          </w:p>
        </w:tc>
        <w:tc>
          <w:tcPr>
            <w:tcW w:w="566" w:type="pct"/>
            <w:tcBorders>
              <w:top w:val="nil"/>
              <w:left w:val="nil"/>
              <w:bottom w:val="nil"/>
              <w:right w:val="nil"/>
            </w:tcBorders>
          </w:tcPr>
          <w:p w14:paraId="5AE11355"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07AF885D"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Borders>
              <w:top w:val="nil"/>
              <w:left w:val="nil"/>
              <w:bottom w:val="nil"/>
              <w:right w:val="nil"/>
            </w:tcBorders>
          </w:tcPr>
          <w:p w14:paraId="740EFB26" w14:textId="18C3DC67"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23C06F28" w14:textId="77777777">
        <w:tc>
          <w:tcPr>
            <w:tcW w:w="2789" w:type="pct"/>
            <w:tcBorders>
              <w:top w:val="nil"/>
              <w:left w:val="nil"/>
              <w:bottom w:val="nil"/>
              <w:right w:val="nil"/>
            </w:tcBorders>
          </w:tcPr>
          <w:p w14:paraId="29CEED10" w14:textId="77777777" w:rsidR="0034329C" w:rsidRPr="0034329C" w:rsidRDefault="0034329C" w:rsidP="0034329C">
            <w:pPr>
              <w:pStyle w:val="Body"/>
              <w:jc w:val="left"/>
              <w:rPr>
                <w:rFonts w:ascii="Arial" w:hAnsi="Arial" w:cs="Arial"/>
              </w:rPr>
            </w:pPr>
            <w:r w:rsidRPr="0034329C">
              <w:rPr>
                <w:rFonts w:ascii="Arial" w:hAnsi="Arial" w:cs="Arial"/>
              </w:rPr>
              <w:t>The music department offers opportunities for real-world music experiences, such as internships, industry visits or SIWES</w:t>
            </w:r>
          </w:p>
        </w:tc>
        <w:tc>
          <w:tcPr>
            <w:tcW w:w="566" w:type="pct"/>
            <w:tcBorders>
              <w:top w:val="nil"/>
              <w:left w:val="nil"/>
              <w:bottom w:val="nil"/>
              <w:right w:val="nil"/>
            </w:tcBorders>
          </w:tcPr>
          <w:p w14:paraId="02695043"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1D38DED4" w14:textId="77777777" w:rsidR="0034329C" w:rsidRPr="0034329C" w:rsidRDefault="0034329C" w:rsidP="0034329C">
            <w:pPr>
              <w:pStyle w:val="Body"/>
              <w:rPr>
                <w:rFonts w:ascii="Arial" w:hAnsi="Arial" w:cs="Arial"/>
              </w:rPr>
            </w:pPr>
            <w:r w:rsidRPr="0034329C">
              <w:rPr>
                <w:rFonts w:ascii="Arial" w:hAnsi="Arial" w:cs="Arial"/>
              </w:rPr>
              <w:t>1.29</w:t>
            </w:r>
          </w:p>
        </w:tc>
        <w:tc>
          <w:tcPr>
            <w:tcW w:w="851" w:type="pct"/>
            <w:tcBorders>
              <w:top w:val="nil"/>
              <w:left w:val="nil"/>
              <w:bottom w:val="nil"/>
              <w:right w:val="nil"/>
            </w:tcBorders>
          </w:tcPr>
          <w:p w14:paraId="29C91F3F" w14:textId="53141CEE" w:rsidR="0034329C" w:rsidRPr="0034329C" w:rsidRDefault="0034329C" w:rsidP="0034329C">
            <w:pPr>
              <w:pStyle w:val="Body"/>
              <w:rPr>
                <w:rFonts w:ascii="Arial" w:hAnsi="Arial" w:cs="Arial"/>
              </w:rPr>
            </w:pPr>
            <w:r w:rsidRPr="0034329C">
              <w:rPr>
                <w:rFonts w:ascii="Arial" w:hAnsi="Arial" w:cs="Arial"/>
              </w:rPr>
              <w:t>Strongly Agree</w:t>
            </w:r>
          </w:p>
        </w:tc>
      </w:tr>
      <w:tr w:rsidR="000C1CCD" w:rsidRPr="0034329C" w14:paraId="0A252060" w14:textId="77777777">
        <w:trPr>
          <w:trHeight w:val="747"/>
        </w:trPr>
        <w:tc>
          <w:tcPr>
            <w:tcW w:w="2789" w:type="pct"/>
            <w:tcBorders>
              <w:top w:val="nil"/>
              <w:left w:val="nil"/>
              <w:bottom w:val="single" w:sz="4" w:space="0" w:color="auto"/>
              <w:right w:val="nil"/>
            </w:tcBorders>
          </w:tcPr>
          <w:p w14:paraId="28751F02" w14:textId="77777777" w:rsidR="0034329C" w:rsidRPr="0034329C" w:rsidRDefault="0034329C" w:rsidP="0034329C">
            <w:pPr>
              <w:pStyle w:val="Body"/>
              <w:jc w:val="left"/>
              <w:rPr>
                <w:rFonts w:ascii="Arial" w:hAnsi="Arial" w:cs="Arial"/>
              </w:rPr>
            </w:pPr>
            <w:r w:rsidRPr="0034329C">
              <w:rPr>
                <w:rFonts w:ascii="Arial" w:hAnsi="Arial" w:cs="Arial"/>
              </w:rPr>
              <w:t>The way my lecturer teaches in the class has an impact on how I understand music and whether I will practice music after graduation</w:t>
            </w:r>
          </w:p>
        </w:tc>
        <w:tc>
          <w:tcPr>
            <w:tcW w:w="566" w:type="pct"/>
            <w:tcBorders>
              <w:top w:val="nil"/>
              <w:left w:val="nil"/>
              <w:bottom w:val="single" w:sz="4" w:space="0" w:color="auto"/>
              <w:right w:val="nil"/>
            </w:tcBorders>
          </w:tcPr>
          <w:p w14:paraId="30336286"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single" w:sz="4" w:space="0" w:color="auto"/>
              <w:right w:val="nil"/>
            </w:tcBorders>
          </w:tcPr>
          <w:p w14:paraId="3E577D81" w14:textId="77777777" w:rsidR="0034329C" w:rsidRPr="0034329C" w:rsidRDefault="0034329C" w:rsidP="0034329C">
            <w:pPr>
              <w:pStyle w:val="Body"/>
              <w:rPr>
                <w:rFonts w:ascii="Arial" w:hAnsi="Arial" w:cs="Arial"/>
              </w:rPr>
            </w:pPr>
            <w:r w:rsidRPr="0034329C">
              <w:rPr>
                <w:rFonts w:ascii="Arial" w:hAnsi="Arial" w:cs="Arial"/>
              </w:rPr>
              <w:t>1.31</w:t>
            </w:r>
          </w:p>
        </w:tc>
        <w:tc>
          <w:tcPr>
            <w:tcW w:w="851" w:type="pct"/>
            <w:tcBorders>
              <w:top w:val="nil"/>
              <w:left w:val="nil"/>
              <w:bottom w:val="single" w:sz="4" w:space="0" w:color="auto"/>
              <w:right w:val="nil"/>
            </w:tcBorders>
          </w:tcPr>
          <w:p w14:paraId="3D769B00" w14:textId="258A19DF" w:rsidR="0034329C" w:rsidRPr="0034329C" w:rsidRDefault="0034329C" w:rsidP="0034329C">
            <w:pPr>
              <w:pStyle w:val="Body"/>
              <w:rPr>
                <w:rFonts w:ascii="Arial" w:hAnsi="Arial" w:cs="Arial"/>
              </w:rPr>
            </w:pPr>
            <w:r w:rsidRPr="0034329C">
              <w:rPr>
                <w:rFonts w:ascii="Arial" w:hAnsi="Arial" w:cs="Arial"/>
              </w:rPr>
              <w:t>Agree</w:t>
            </w:r>
          </w:p>
        </w:tc>
      </w:tr>
    </w:tbl>
    <w:p w14:paraId="22D54A5F" w14:textId="0F4F5CE2" w:rsidR="0034329C" w:rsidRPr="0034329C" w:rsidRDefault="0034329C" w:rsidP="0034329C">
      <w:pPr>
        <w:pStyle w:val="Body"/>
        <w:rPr>
          <w:rFonts w:ascii="Arial" w:hAnsi="Arial" w:cs="Arial"/>
        </w:rPr>
      </w:pPr>
      <w:r w:rsidRPr="0034329C">
        <w:rPr>
          <w:rFonts w:ascii="Arial" w:hAnsi="Arial" w:cs="Arial"/>
          <w:lang w:val="en-GB"/>
        </w:rPr>
        <w:t>Source: Field survey, 2025</w:t>
      </w:r>
    </w:p>
    <w:p w14:paraId="6B92D535" w14:textId="1E9E8810" w:rsidR="0034329C" w:rsidRPr="0034329C" w:rsidRDefault="0034329C" w:rsidP="0034329C">
      <w:pPr>
        <w:pStyle w:val="Body"/>
        <w:jc w:val="left"/>
        <w:rPr>
          <w:rFonts w:ascii="Arial" w:hAnsi="Arial" w:cs="Arial"/>
          <w:b/>
          <w:lang w:val="en-GB"/>
        </w:rPr>
      </w:pPr>
      <w:r w:rsidRPr="0034329C">
        <w:rPr>
          <w:rFonts w:ascii="Arial" w:hAnsi="Arial" w:cs="Arial"/>
          <w:b/>
          <w:lang w:val="en-GB"/>
        </w:rPr>
        <w:t>Table 4:</w:t>
      </w:r>
      <w:r>
        <w:rPr>
          <w:rFonts w:ascii="Arial" w:hAnsi="Arial" w:cs="Arial"/>
          <w:b/>
          <w:lang w:val="en-GB"/>
        </w:rPr>
        <w:t xml:space="preserve"> </w:t>
      </w:r>
      <w:r w:rsidRPr="0034329C">
        <w:rPr>
          <w:rFonts w:ascii="Arial" w:hAnsi="Arial" w:cs="Arial"/>
          <w:b/>
          <w:lang w:val="en-GB"/>
        </w:rPr>
        <w:t xml:space="preserve">Students’ Responses on Instructional Culture </w:t>
      </w:r>
    </w:p>
    <w:tbl>
      <w:tblPr>
        <w:tblW w:w="4712" w:type="pct"/>
        <w:tblLayout w:type="fixed"/>
        <w:tblLook w:val="04A0" w:firstRow="1" w:lastRow="0" w:firstColumn="1" w:lastColumn="0" w:noHBand="0" w:noVBand="1"/>
      </w:tblPr>
      <w:tblGrid>
        <w:gridCol w:w="5678"/>
        <w:gridCol w:w="1152"/>
        <w:gridCol w:w="1616"/>
        <w:gridCol w:w="1732"/>
      </w:tblGrid>
      <w:tr w:rsidR="0034329C" w:rsidRPr="0034329C" w14:paraId="58341F4C" w14:textId="77777777" w:rsidTr="0034329C">
        <w:trPr>
          <w:trHeight w:val="470"/>
        </w:trPr>
        <w:tc>
          <w:tcPr>
            <w:tcW w:w="2789" w:type="pct"/>
            <w:vMerge w:val="restart"/>
            <w:tcBorders>
              <w:top w:val="single" w:sz="4" w:space="0" w:color="auto"/>
              <w:left w:val="nil"/>
              <w:bottom w:val="single" w:sz="4" w:space="0" w:color="auto"/>
              <w:right w:val="nil"/>
            </w:tcBorders>
          </w:tcPr>
          <w:p w14:paraId="7B0A4305" w14:textId="77777777" w:rsidR="0034329C" w:rsidRPr="0034329C" w:rsidRDefault="0034329C" w:rsidP="0034329C">
            <w:pPr>
              <w:pStyle w:val="Body"/>
              <w:rPr>
                <w:rFonts w:ascii="Arial" w:hAnsi="Arial" w:cs="Arial"/>
                <w:b/>
                <w:bCs/>
                <w:lang w:val="en-GB"/>
              </w:rPr>
            </w:pPr>
            <w:r w:rsidRPr="0034329C">
              <w:rPr>
                <w:rFonts w:ascii="Arial" w:hAnsi="Arial" w:cs="Arial"/>
                <w:b/>
                <w:bCs/>
              </w:rPr>
              <w:t>Indicator Statements</w:t>
            </w:r>
          </w:p>
        </w:tc>
        <w:tc>
          <w:tcPr>
            <w:tcW w:w="566" w:type="pct"/>
            <w:vMerge w:val="restart"/>
            <w:tcBorders>
              <w:top w:val="single" w:sz="4" w:space="0" w:color="auto"/>
              <w:left w:val="nil"/>
              <w:right w:val="nil"/>
            </w:tcBorders>
          </w:tcPr>
          <w:p w14:paraId="53B9FEE4" w14:textId="77777777" w:rsidR="0034329C" w:rsidRPr="0034329C" w:rsidRDefault="0034329C" w:rsidP="0034329C">
            <w:pPr>
              <w:pStyle w:val="Body"/>
              <w:rPr>
                <w:rFonts w:ascii="Arial" w:hAnsi="Arial" w:cs="Arial"/>
                <w:b/>
                <w:bCs/>
                <w:lang w:val="en-GB"/>
              </w:rPr>
            </w:pPr>
            <w:r w:rsidRPr="0034329C">
              <w:rPr>
                <w:rFonts w:ascii="Arial" w:hAnsi="Arial" w:cs="Arial"/>
                <w:b/>
                <w:bCs/>
              </w:rPr>
              <w:t>Mean</w:t>
            </w:r>
          </w:p>
        </w:tc>
        <w:tc>
          <w:tcPr>
            <w:tcW w:w="794" w:type="pct"/>
            <w:vMerge w:val="restart"/>
            <w:tcBorders>
              <w:top w:val="single" w:sz="4" w:space="0" w:color="auto"/>
              <w:left w:val="nil"/>
              <w:right w:val="nil"/>
            </w:tcBorders>
          </w:tcPr>
          <w:p w14:paraId="21745635" w14:textId="77777777" w:rsidR="0034329C" w:rsidRPr="0034329C" w:rsidRDefault="0034329C" w:rsidP="0034329C">
            <w:pPr>
              <w:pStyle w:val="Body"/>
              <w:rPr>
                <w:rFonts w:ascii="Arial" w:hAnsi="Arial" w:cs="Arial"/>
                <w:b/>
                <w:bCs/>
                <w:lang w:val="en-GB"/>
              </w:rPr>
            </w:pPr>
            <w:r w:rsidRPr="0034329C">
              <w:rPr>
                <w:rFonts w:ascii="Arial" w:hAnsi="Arial" w:cs="Arial"/>
                <w:b/>
                <w:bCs/>
              </w:rPr>
              <w:t>Standard Deviation</w:t>
            </w:r>
          </w:p>
        </w:tc>
        <w:tc>
          <w:tcPr>
            <w:tcW w:w="851" w:type="pct"/>
            <w:vMerge w:val="restart"/>
            <w:tcBorders>
              <w:top w:val="single" w:sz="4" w:space="0" w:color="auto"/>
              <w:left w:val="nil"/>
              <w:right w:val="nil"/>
            </w:tcBorders>
          </w:tcPr>
          <w:p w14:paraId="2C6CF4BA" w14:textId="01EF2900" w:rsidR="0034329C" w:rsidRPr="0034329C" w:rsidRDefault="0034329C" w:rsidP="0034329C">
            <w:pPr>
              <w:pStyle w:val="Body"/>
              <w:rPr>
                <w:rFonts w:ascii="Arial" w:hAnsi="Arial" w:cs="Arial"/>
                <w:b/>
                <w:bCs/>
              </w:rPr>
            </w:pPr>
            <w:r w:rsidRPr="0034329C">
              <w:rPr>
                <w:rFonts w:ascii="Arial" w:hAnsi="Arial" w:cs="Arial"/>
                <w:b/>
                <w:bCs/>
              </w:rPr>
              <w:t>Qualitative Rating</w:t>
            </w:r>
          </w:p>
        </w:tc>
      </w:tr>
      <w:tr w:rsidR="0034329C" w:rsidRPr="0034329C" w14:paraId="5B7318AA" w14:textId="77777777" w:rsidTr="0034329C">
        <w:trPr>
          <w:trHeight w:val="230"/>
        </w:trPr>
        <w:tc>
          <w:tcPr>
            <w:tcW w:w="2789" w:type="pct"/>
            <w:vMerge/>
            <w:tcBorders>
              <w:top w:val="single" w:sz="4" w:space="0" w:color="auto"/>
              <w:left w:val="nil"/>
              <w:bottom w:val="single" w:sz="4" w:space="0" w:color="auto"/>
              <w:right w:val="nil"/>
            </w:tcBorders>
            <w:vAlign w:val="center"/>
            <w:hideMark/>
          </w:tcPr>
          <w:p w14:paraId="62A1882A" w14:textId="77777777" w:rsidR="0034329C" w:rsidRPr="0034329C" w:rsidRDefault="0034329C" w:rsidP="0034329C">
            <w:pPr>
              <w:pStyle w:val="Body"/>
              <w:rPr>
                <w:rFonts w:ascii="Arial" w:hAnsi="Arial" w:cs="Arial"/>
                <w:b/>
                <w:bCs/>
                <w:lang w:val="en-GB"/>
              </w:rPr>
            </w:pPr>
          </w:p>
        </w:tc>
        <w:tc>
          <w:tcPr>
            <w:tcW w:w="566" w:type="pct"/>
            <w:vMerge/>
            <w:tcBorders>
              <w:left w:val="nil"/>
              <w:bottom w:val="single" w:sz="4" w:space="0" w:color="auto"/>
              <w:right w:val="nil"/>
            </w:tcBorders>
          </w:tcPr>
          <w:p w14:paraId="69F1A020" w14:textId="77777777" w:rsidR="0034329C" w:rsidRPr="0034329C" w:rsidRDefault="0034329C" w:rsidP="0034329C">
            <w:pPr>
              <w:pStyle w:val="Body"/>
              <w:rPr>
                <w:rFonts w:ascii="Arial" w:hAnsi="Arial" w:cs="Arial"/>
                <w:b/>
                <w:bCs/>
                <w:lang w:val="en-GB"/>
              </w:rPr>
            </w:pPr>
          </w:p>
        </w:tc>
        <w:tc>
          <w:tcPr>
            <w:tcW w:w="794" w:type="pct"/>
            <w:vMerge/>
            <w:tcBorders>
              <w:left w:val="nil"/>
              <w:bottom w:val="single" w:sz="4" w:space="0" w:color="auto"/>
              <w:right w:val="nil"/>
            </w:tcBorders>
          </w:tcPr>
          <w:p w14:paraId="7598E8E7" w14:textId="77777777" w:rsidR="0034329C" w:rsidRPr="0034329C" w:rsidRDefault="0034329C" w:rsidP="0034329C">
            <w:pPr>
              <w:pStyle w:val="Body"/>
              <w:rPr>
                <w:rFonts w:ascii="Arial" w:hAnsi="Arial" w:cs="Arial"/>
                <w:b/>
                <w:bCs/>
                <w:lang w:val="en-GB"/>
              </w:rPr>
            </w:pPr>
          </w:p>
        </w:tc>
        <w:tc>
          <w:tcPr>
            <w:tcW w:w="851" w:type="pct"/>
            <w:vMerge/>
            <w:tcBorders>
              <w:left w:val="nil"/>
              <w:bottom w:val="single" w:sz="4" w:space="0" w:color="auto"/>
              <w:right w:val="nil"/>
            </w:tcBorders>
          </w:tcPr>
          <w:p w14:paraId="5EE59B28" w14:textId="77777777" w:rsidR="0034329C" w:rsidRPr="0034329C" w:rsidRDefault="0034329C" w:rsidP="0034329C">
            <w:pPr>
              <w:pStyle w:val="Body"/>
              <w:rPr>
                <w:rFonts w:ascii="Arial" w:hAnsi="Arial" w:cs="Arial"/>
                <w:b/>
                <w:bCs/>
                <w:lang w:val="en-GB"/>
              </w:rPr>
            </w:pPr>
          </w:p>
        </w:tc>
      </w:tr>
      <w:tr w:rsidR="0034329C" w:rsidRPr="0034329C" w14:paraId="57D3B2CA" w14:textId="77777777" w:rsidTr="0034329C">
        <w:tc>
          <w:tcPr>
            <w:tcW w:w="2789" w:type="pct"/>
            <w:hideMark/>
          </w:tcPr>
          <w:p w14:paraId="69861EB4" w14:textId="77777777" w:rsidR="0034329C" w:rsidRPr="0034329C" w:rsidRDefault="0034329C" w:rsidP="0034329C">
            <w:pPr>
              <w:pStyle w:val="Body"/>
              <w:jc w:val="left"/>
              <w:rPr>
                <w:rFonts w:ascii="Arial" w:hAnsi="Arial" w:cs="Arial"/>
              </w:rPr>
            </w:pPr>
            <w:r w:rsidRPr="0034329C">
              <w:rPr>
                <w:rFonts w:ascii="Arial" w:hAnsi="Arial" w:cs="Arial"/>
              </w:rPr>
              <w:t>The teaching methods used in my music education classes align with current trends in the music industry</w:t>
            </w:r>
          </w:p>
          <w:p w14:paraId="5954BD46" w14:textId="77777777" w:rsidR="0034329C" w:rsidRPr="0034329C" w:rsidRDefault="0034329C" w:rsidP="0034329C">
            <w:pPr>
              <w:pStyle w:val="Body"/>
              <w:jc w:val="left"/>
              <w:rPr>
                <w:rFonts w:ascii="Arial" w:hAnsi="Arial" w:cs="Arial"/>
                <w:lang w:val="en-GB"/>
              </w:rPr>
            </w:pPr>
          </w:p>
        </w:tc>
        <w:tc>
          <w:tcPr>
            <w:tcW w:w="566" w:type="pct"/>
          </w:tcPr>
          <w:p w14:paraId="22EE1720"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22F9E14C"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68BBED8B" w14:textId="117A0079"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1DE739EC" w14:textId="77777777" w:rsidTr="0034329C">
        <w:tc>
          <w:tcPr>
            <w:tcW w:w="2789" w:type="pct"/>
            <w:hideMark/>
          </w:tcPr>
          <w:p w14:paraId="6F7EE192" w14:textId="77777777" w:rsidR="0034329C" w:rsidRPr="0034329C" w:rsidRDefault="0034329C" w:rsidP="0034329C">
            <w:pPr>
              <w:pStyle w:val="Body"/>
              <w:jc w:val="left"/>
              <w:rPr>
                <w:rFonts w:ascii="Arial" w:hAnsi="Arial" w:cs="Arial"/>
                <w:lang w:val="en-GB"/>
              </w:rPr>
            </w:pPr>
            <w:r w:rsidRPr="0034329C">
              <w:rPr>
                <w:rFonts w:ascii="Arial" w:hAnsi="Arial" w:cs="Arial"/>
              </w:rPr>
              <w:t>I feel that the teaching approaches in my department allow me to effectively apply what I learn in real-world music settings</w:t>
            </w:r>
          </w:p>
        </w:tc>
        <w:tc>
          <w:tcPr>
            <w:tcW w:w="566" w:type="pct"/>
          </w:tcPr>
          <w:p w14:paraId="71A09758"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38DB0E2B"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44876AB4" w14:textId="1070E000"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3E2713E" w14:textId="77777777" w:rsidTr="0034329C">
        <w:tc>
          <w:tcPr>
            <w:tcW w:w="2789" w:type="pct"/>
            <w:hideMark/>
          </w:tcPr>
          <w:p w14:paraId="4AA5C576" w14:textId="7C3C8AD8" w:rsidR="0034329C" w:rsidRPr="0034329C" w:rsidRDefault="0034329C" w:rsidP="0034329C">
            <w:pPr>
              <w:pStyle w:val="Body"/>
              <w:jc w:val="left"/>
              <w:rPr>
                <w:rFonts w:ascii="Arial" w:hAnsi="Arial" w:cs="Arial"/>
                <w:lang w:val="en-GB"/>
              </w:rPr>
            </w:pPr>
            <w:r w:rsidRPr="0034329C">
              <w:rPr>
                <w:rFonts w:ascii="Arial" w:hAnsi="Arial" w:cs="Arial"/>
              </w:rPr>
              <w:t xml:space="preserve">Classroom activities encourage </w:t>
            </w:r>
            <w:r w:rsidR="00AE59A1">
              <w:rPr>
                <w:rFonts w:ascii="Arial" w:hAnsi="Arial" w:cs="Arial"/>
              </w:rPr>
              <w:t>student-</w:t>
            </w:r>
            <w:proofErr w:type="spellStart"/>
            <w:r w:rsidR="00AE59A1">
              <w:rPr>
                <w:rFonts w:ascii="Arial" w:hAnsi="Arial" w:cs="Arial"/>
              </w:rPr>
              <w:t>centred</w:t>
            </w:r>
            <w:proofErr w:type="spellEnd"/>
            <w:r w:rsidRPr="0034329C">
              <w:rPr>
                <w:rFonts w:ascii="Arial" w:hAnsi="Arial" w:cs="Arial"/>
              </w:rPr>
              <w:t xml:space="preserve"> learning and active participation</w:t>
            </w:r>
          </w:p>
        </w:tc>
        <w:tc>
          <w:tcPr>
            <w:tcW w:w="566" w:type="pct"/>
          </w:tcPr>
          <w:p w14:paraId="54951895" w14:textId="77777777" w:rsidR="0034329C" w:rsidRPr="0034329C" w:rsidRDefault="0034329C" w:rsidP="0034329C">
            <w:pPr>
              <w:pStyle w:val="Body"/>
              <w:rPr>
                <w:rFonts w:ascii="Arial" w:hAnsi="Arial" w:cs="Arial"/>
              </w:rPr>
            </w:pPr>
            <w:r w:rsidRPr="0034329C">
              <w:rPr>
                <w:rFonts w:ascii="Arial" w:hAnsi="Arial" w:cs="Arial"/>
              </w:rPr>
              <w:t>3.63</w:t>
            </w:r>
          </w:p>
        </w:tc>
        <w:tc>
          <w:tcPr>
            <w:tcW w:w="794" w:type="pct"/>
          </w:tcPr>
          <w:p w14:paraId="76DCE85D" w14:textId="77777777" w:rsidR="0034329C" w:rsidRPr="0034329C" w:rsidRDefault="0034329C" w:rsidP="0034329C">
            <w:pPr>
              <w:pStyle w:val="Body"/>
              <w:rPr>
                <w:rFonts w:ascii="Arial" w:hAnsi="Arial" w:cs="Arial"/>
                <w:lang w:val="en-GB"/>
              </w:rPr>
            </w:pPr>
            <w:r w:rsidRPr="0034329C">
              <w:rPr>
                <w:rFonts w:ascii="Arial" w:hAnsi="Arial" w:cs="Arial"/>
              </w:rPr>
              <w:t>1.31</w:t>
            </w:r>
          </w:p>
        </w:tc>
        <w:tc>
          <w:tcPr>
            <w:tcW w:w="851" w:type="pct"/>
          </w:tcPr>
          <w:p w14:paraId="4195B189" w14:textId="554E22C3"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2615694" w14:textId="77777777" w:rsidTr="0034329C">
        <w:tc>
          <w:tcPr>
            <w:tcW w:w="2789" w:type="pct"/>
            <w:hideMark/>
          </w:tcPr>
          <w:p w14:paraId="511F3FAC" w14:textId="77777777" w:rsidR="0034329C" w:rsidRPr="0034329C" w:rsidRDefault="0034329C" w:rsidP="0034329C">
            <w:pPr>
              <w:pStyle w:val="Body"/>
              <w:jc w:val="left"/>
              <w:rPr>
                <w:rFonts w:ascii="Arial" w:hAnsi="Arial" w:cs="Arial"/>
                <w:lang w:val="en-GB"/>
              </w:rPr>
            </w:pPr>
            <w:r w:rsidRPr="0034329C">
              <w:rPr>
                <w:rFonts w:ascii="Arial" w:hAnsi="Arial" w:cs="Arial"/>
              </w:rPr>
              <w:t>The teaching style of lecturers in my department encourages critical thinking and creativity in music</w:t>
            </w:r>
          </w:p>
        </w:tc>
        <w:tc>
          <w:tcPr>
            <w:tcW w:w="566" w:type="pct"/>
          </w:tcPr>
          <w:p w14:paraId="36DA95E8"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7AB5B8C0"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9728446" w14:textId="3198669C"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63854464" w14:textId="77777777" w:rsidTr="0034329C">
        <w:tc>
          <w:tcPr>
            <w:tcW w:w="2789" w:type="pct"/>
          </w:tcPr>
          <w:p w14:paraId="1B436DD8" w14:textId="77777777" w:rsidR="0034329C" w:rsidRPr="0034329C" w:rsidRDefault="0034329C" w:rsidP="0034329C">
            <w:pPr>
              <w:pStyle w:val="Body"/>
              <w:jc w:val="left"/>
              <w:rPr>
                <w:rFonts w:ascii="Arial" w:hAnsi="Arial" w:cs="Arial"/>
                <w:lang w:val="en-GB"/>
              </w:rPr>
            </w:pPr>
            <w:r w:rsidRPr="0034329C">
              <w:rPr>
                <w:rFonts w:ascii="Arial" w:hAnsi="Arial" w:cs="Arial"/>
              </w:rPr>
              <w:t>I receive adequate opportunities for hands-on experience outside the classroom e.g. performances and outings</w:t>
            </w:r>
          </w:p>
        </w:tc>
        <w:tc>
          <w:tcPr>
            <w:tcW w:w="566" w:type="pct"/>
          </w:tcPr>
          <w:p w14:paraId="04D9B789" w14:textId="77777777" w:rsidR="0034329C" w:rsidRPr="0034329C" w:rsidRDefault="0034329C" w:rsidP="0034329C">
            <w:pPr>
              <w:pStyle w:val="Body"/>
              <w:rPr>
                <w:rFonts w:ascii="Arial" w:hAnsi="Arial" w:cs="Arial"/>
              </w:rPr>
            </w:pPr>
            <w:r w:rsidRPr="0034329C">
              <w:rPr>
                <w:rFonts w:ascii="Arial" w:hAnsi="Arial" w:cs="Arial"/>
              </w:rPr>
              <w:t>3.61</w:t>
            </w:r>
          </w:p>
        </w:tc>
        <w:tc>
          <w:tcPr>
            <w:tcW w:w="794" w:type="pct"/>
          </w:tcPr>
          <w:p w14:paraId="2F62C1DC" w14:textId="77777777" w:rsidR="0034329C" w:rsidRPr="0034329C" w:rsidRDefault="0034329C" w:rsidP="0034329C">
            <w:pPr>
              <w:pStyle w:val="Body"/>
              <w:rPr>
                <w:rFonts w:ascii="Arial" w:hAnsi="Arial" w:cs="Arial"/>
                <w:lang w:val="en-GB"/>
              </w:rPr>
            </w:pPr>
            <w:r w:rsidRPr="0034329C">
              <w:rPr>
                <w:rFonts w:ascii="Arial" w:hAnsi="Arial" w:cs="Arial"/>
              </w:rPr>
              <w:t>1.28</w:t>
            </w:r>
          </w:p>
        </w:tc>
        <w:tc>
          <w:tcPr>
            <w:tcW w:w="851" w:type="pct"/>
          </w:tcPr>
          <w:p w14:paraId="52B2D8EC" w14:textId="3EA54B5C"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5C4444A7" w14:textId="77777777" w:rsidTr="0034329C">
        <w:tc>
          <w:tcPr>
            <w:tcW w:w="2789" w:type="pct"/>
          </w:tcPr>
          <w:p w14:paraId="0A9D9243" w14:textId="77777777" w:rsidR="0034329C" w:rsidRPr="0034329C" w:rsidRDefault="0034329C" w:rsidP="0034329C">
            <w:pPr>
              <w:pStyle w:val="Body"/>
              <w:jc w:val="left"/>
              <w:rPr>
                <w:rFonts w:ascii="Arial" w:hAnsi="Arial" w:cs="Arial"/>
                <w:lang w:val="en-GB"/>
              </w:rPr>
            </w:pPr>
            <w:r w:rsidRPr="0034329C">
              <w:rPr>
                <w:rFonts w:ascii="Arial" w:hAnsi="Arial" w:cs="Arial"/>
              </w:rPr>
              <w:t>The music courses I take provide me with practical skills that I can use after graduation</w:t>
            </w:r>
          </w:p>
        </w:tc>
        <w:tc>
          <w:tcPr>
            <w:tcW w:w="566" w:type="pct"/>
          </w:tcPr>
          <w:p w14:paraId="5A00D753"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D5173D3"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47662187" w14:textId="6648D658"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AE79718" w14:textId="77777777" w:rsidTr="0034329C">
        <w:tc>
          <w:tcPr>
            <w:tcW w:w="2789" w:type="pct"/>
          </w:tcPr>
          <w:p w14:paraId="420AACB6" w14:textId="77777777" w:rsidR="0034329C" w:rsidRPr="0034329C" w:rsidRDefault="0034329C" w:rsidP="0034329C">
            <w:pPr>
              <w:pStyle w:val="Body"/>
              <w:jc w:val="left"/>
              <w:rPr>
                <w:rFonts w:ascii="Arial" w:hAnsi="Arial" w:cs="Arial"/>
                <w:lang w:val="en-GB"/>
              </w:rPr>
            </w:pPr>
            <w:r w:rsidRPr="0034329C">
              <w:rPr>
                <w:rFonts w:ascii="Arial" w:hAnsi="Arial" w:cs="Arial"/>
              </w:rPr>
              <w:t>The instructional methods used in the class help to bridge the gap between theory and practice in music education</w:t>
            </w:r>
          </w:p>
        </w:tc>
        <w:tc>
          <w:tcPr>
            <w:tcW w:w="566" w:type="pct"/>
          </w:tcPr>
          <w:p w14:paraId="2E908721"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799CBBA0"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1AF942E" w14:textId="1353EA94"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145489D" w14:textId="77777777" w:rsidTr="0034329C">
        <w:tc>
          <w:tcPr>
            <w:tcW w:w="2789" w:type="pct"/>
            <w:tcBorders>
              <w:top w:val="nil"/>
              <w:left w:val="nil"/>
              <w:bottom w:val="nil"/>
              <w:right w:val="nil"/>
            </w:tcBorders>
            <w:hideMark/>
          </w:tcPr>
          <w:p w14:paraId="119C3403" w14:textId="39A76A0B" w:rsidR="0034329C" w:rsidRPr="0034329C" w:rsidRDefault="0034329C" w:rsidP="0034329C">
            <w:pPr>
              <w:pStyle w:val="Body"/>
              <w:jc w:val="left"/>
              <w:rPr>
                <w:rFonts w:ascii="Arial" w:hAnsi="Arial" w:cs="Arial"/>
                <w:lang w:val="en-GB"/>
              </w:rPr>
            </w:pPr>
            <w:r w:rsidRPr="0034329C">
              <w:rPr>
                <w:rFonts w:ascii="Arial" w:hAnsi="Arial" w:cs="Arial"/>
              </w:rPr>
              <w:t xml:space="preserve">The music department </w:t>
            </w:r>
            <w:proofErr w:type="spellStart"/>
            <w:r w:rsidR="00AE59A1">
              <w:rPr>
                <w:rFonts w:ascii="Arial" w:hAnsi="Arial" w:cs="Arial"/>
              </w:rPr>
              <w:t>organises</w:t>
            </w:r>
            <w:proofErr w:type="spellEnd"/>
            <w:r w:rsidR="00AE59A1" w:rsidRPr="0034329C">
              <w:rPr>
                <w:rFonts w:ascii="Arial" w:hAnsi="Arial" w:cs="Arial"/>
              </w:rPr>
              <w:t xml:space="preserve"> </w:t>
            </w:r>
            <w:r w:rsidRPr="0034329C">
              <w:rPr>
                <w:rFonts w:ascii="Arial" w:hAnsi="Arial" w:cs="Arial"/>
              </w:rPr>
              <w:t>extracurricular activities that enhance the learning experience</w:t>
            </w:r>
          </w:p>
        </w:tc>
        <w:tc>
          <w:tcPr>
            <w:tcW w:w="566" w:type="pct"/>
            <w:tcBorders>
              <w:top w:val="nil"/>
              <w:left w:val="nil"/>
              <w:bottom w:val="nil"/>
              <w:right w:val="nil"/>
            </w:tcBorders>
          </w:tcPr>
          <w:p w14:paraId="308404B9"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53B5F86F"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Borders>
              <w:top w:val="nil"/>
              <w:left w:val="nil"/>
              <w:bottom w:val="nil"/>
              <w:right w:val="nil"/>
            </w:tcBorders>
          </w:tcPr>
          <w:p w14:paraId="311C7051" w14:textId="155AE5DE"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C670D97" w14:textId="77777777" w:rsidTr="0034329C">
        <w:tc>
          <w:tcPr>
            <w:tcW w:w="2789" w:type="pct"/>
            <w:tcBorders>
              <w:top w:val="nil"/>
              <w:left w:val="nil"/>
              <w:bottom w:val="nil"/>
              <w:right w:val="nil"/>
            </w:tcBorders>
          </w:tcPr>
          <w:p w14:paraId="09FFA74C" w14:textId="77777777" w:rsidR="0034329C" w:rsidRPr="0034329C" w:rsidRDefault="0034329C" w:rsidP="0034329C">
            <w:pPr>
              <w:pStyle w:val="Body"/>
              <w:jc w:val="left"/>
              <w:rPr>
                <w:rFonts w:ascii="Arial" w:hAnsi="Arial" w:cs="Arial"/>
              </w:rPr>
            </w:pPr>
            <w:r w:rsidRPr="0034329C">
              <w:rPr>
                <w:rFonts w:ascii="Arial" w:hAnsi="Arial" w:cs="Arial"/>
              </w:rPr>
              <w:t>The music department offers opportunities for real-world music experiences, such as internships, industry visits or SIWES</w:t>
            </w:r>
          </w:p>
        </w:tc>
        <w:tc>
          <w:tcPr>
            <w:tcW w:w="566" w:type="pct"/>
            <w:tcBorders>
              <w:top w:val="nil"/>
              <w:left w:val="nil"/>
              <w:bottom w:val="nil"/>
              <w:right w:val="nil"/>
            </w:tcBorders>
          </w:tcPr>
          <w:p w14:paraId="2FC1D69E"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3A53343B" w14:textId="77777777" w:rsidR="0034329C" w:rsidRPr="0034329C" w:rsidRDefault="0034329C" w:rsidP="0034329C">
            <w:pPr>
              <w:pStyle w:val="Body"/>
              <w:rPr>
                <w:rFonts w:ascii="Arial" w:hAnsi="Arial" w:cs="Arial"/>
              </w:rPr>
            </w:pPr>
            <w:r w:rsidRPr="0034329C">
              <w:rPr>
                <w:rFonts w:ascii="Arial" w:hAnsi="Arial" w:cs="Arial"/>
              </w:rPr>
              <w:t>1.29</w:t>
            </w:r>
          </w:p>
        </w:tc>
        <w:tc>
          <w:tcPr>
            <w:tcW w:w="851" w:type="pct"/>
            <w:tcBorders>
              <w:top w:val="nil"/>
              <w:left w:val="nil"/>
              <w:bottom w:val="nil"/>
              <w:right w:val="nil"/>
            </w:tcBorders>
          </w:tcPr>
          <w:p w14:paraId="426D0D09" w14:textId="5B312EAB"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9BC58DE" w14:textId="77777777" w:rsidTr="0034329C">
        <w:trPr>
          <w:trHeight w:val="747"/>
        </w:trPr>
        <w:tc>
          <w:tcPr>
            <w:tcW w:w="2789" w:type="pct"/>
            <w:tcBorders>
              <w:top w:val="nil"/>
              <w:left w:val="nil"/>
              <w:bottom w:val="single" w:sz="4" w:space="0" w:color="auto"/>
              <w:right w:val="nil"/>
            </w:tcBorders>
          </w:tcPr>
          <w:p w14:paraId="08811FC4" w14:textId="77777777" w:rsidR="0034329C" w:rsidRPr="0034329C" w:rsidRDefault="0034329C" w:rsidP="0034329C">
            <w:pPr>
              <w:pStyle w:val="Body"/>
              <w:jc w:val="left"/>
              <w:rPr>
                <w:rFonts w:ascii="Arial" w:hAnsi="Arial" w:cs="Arial"/>
              </w:rPr>
            </w:pPr>
            <w:r w:rsidRPr="0034329C">
              <w:rPr>
                <w:rFonts w:ascii="Arial" w:hAnsi="Arial" w:cs="Arial"/>
              </w:rPr>
              <w:t>The way my lecturer teaches in the class has an impact on how I understand music and whether I will practice music after graduation</w:t>
            </w:r>
          </w:p>
        </w:tc>
        <w:tc>
          <w:tcPr>
            <w:tcW w:w="566" w:type="pct"/>
            <w:tcBorders>
              <w:top w:val="nil"/>
              <w:left w:val="nil"/>
              <w:bottom w:val="single" w:sz="4" w:space="0" w:color="auto"/>
              <w:right w:val="nil"/>
            </w:tcBorders>
          </w:tcPr>
          <w:p w14:paraId="5CAC67BC"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single" w:sz="4" w:space="0" w:color="auto"/>
              <w:right w:val="nil"/>
            </w:tcBorders>
          </w:tcPr>
          <w:p w14:paraId="5D1486B7" w14:textId="77777777" w:rsidR="0034329C" w:rsidRPr="0034329C" w:rsidRDefault="0034329C" w:rsidP="0034329C">
            <w:pPr>
              <w:pStyle w:val="Body"/>
              <w:rPr>
                <w:rFonts w:ascii="Arial" w:hAnsi="Arial" w:cs="Arial"/>
              </w:rPr>
            </w:pPr>
            <w:r w:rsidRPr="0034329C">
              <w:rPr>
                <w:rFonts w:ascii="Arial" w:hAnsi="Arial" w:cs="Arial"/>
              </w:rPr>
              <w:t>1.31</w:t>
            </w:r>
          </w:p>
        </w:tc>
        <w:tc>
          <w:tcPr>
            <w:tcW w:w="851" w:type="pct"/>
            <w:tcBorders>
              <w:top w:val="nil"/>
              <w:left w:val="nil"/>
              <w:bottom w:val="single" w:sz="4" w:space="0" w:color="auto"/>
              <w:right w:val="nil"/>
            </w:tcBorders>
          </w:tcPr>
          <w:p w14:paraId="69627010" w14:textId="08D838BB" w:rsidR="0034329C" w:rsidRPr="0034329C" w:rsidRDefault="0034329C" w:rsidP="0034329C">
            <w:pPr>
              <w:pStyle w:val="Body"/>
              <w:rPr>
                <w:rFonts w:ascii="Arial" w:hAnsi="Arial" w:cs="Arial"/>
              </w:rPr>
            </w:pPr>
            <w:r w:rsidRPr="0034329C">
              <w:rPr>
                <w:rFonts w:ascii="Arial" w:hAnsi="Arial" w:cs="Arial"/>
              </w:rPr>
              <w:t>Agree</w:t>
            </w:r>
          </w:p>
        </w:tc>
      </w:tr>
    </w:tbl>
    <w:p w14:paraId="39AA03C2" w14:textId="77777777" w:rsidR="0034329C" w:rsidRDefault="0034329C" w:rsidP="0034329C">
      <w:pPr>
        <w:pStyle w:val="Body"/>
        <w:rPr>
          <w:rFonts w:ascii="Arial" w:hAnsi="Arial" w:cs="Arial"/>
          <w:lang w:val="en-GB"/>
        </w:rPr>
      </w:pPr>
      <w:r w:rsidRPr="0034329C">
        <w:rPr>
          <w:rFonts w:ascii="Arial" w:hAnsi="Arial" w:cs="Arial"/>
          <w:lang w:val="en-GB"/>
        </w:rPr>
        <w:t>Source: Field survey, 2025</w:t>
      </w:r>
    </w:p>
    <w:p w14:paraId="11706C8E" w14:textId="28D6C6B9" w:rsidR="0034329C" w:rsidRPr="0034329C" w:rsidRDefault="0034329C" w:rsidP="0034329C">
      <w:pPr>
        <w:pStyle w:val="Body"/>
        <w:rPr>
          <w:rFonts w:ascii="Arial" w:hAnsi="Arial" w:cs="Arial"/>
        </w:rPr>
      </w:pPr>
      <w:bookmarkStart w:id="3" w:name="_Hlk200211749"/>
      <w:r w:rsidRPr="0034329C">
        <w:rPr>
          <w:rFonts w:ascii="Arial" w:hAnsi="Arial" w:cs="Arial"/>
        </w:rPr>
        <w:t xml:space="preserve">Findings from </w:t>
      </w:r>
      <w:r w:rsidR="00DA20C8">
        <w:rPr>
          <w:rFonts w:ascii="Arial" w:hAnsi="Arial" w:cs="Arial"/>
        </w:rPr>
        <w:t xml:space="preserve">Tables 3 and </w:t>
      </w:r>
      <w:r w:rsidRPr="0034329C">
        <w:rPr>
          <w:rFonts w:ascii="Arial" w:hAnsi="Arial" w:cs="Arial"/>
        </w:rPr>
        <w:t xml:space="preserve">4 show that lecturers and students generally hold a </w:t>
      </w:r>
      <w:proofErr w:type="spellStart"/>
      <w:r w:rsidRPr="0034329C">
        <w:rPr>
          <w:rFonts w:ascii="Arial" w:hAnsi="Arial" w:cs="Arial"/>
        </w:rPr>
        <w:t>favo</w:t>
      </w:r>
      <w:r>
        <w:rPr>
          <w:rFonts w:ascii="Arial" w:hAnsi="Arial" w:cs="Arial"/>
        </w:rPr>
        <w:t>u</w:t>
      </w:r>
      <w:r w:rsidRPr="0034329C">
        <w:rPr>
          <w:rFonts w:ascii="Arial" w:hAnsi="Arial" w:cs="Arial"/>
        </w:rPr>
        <w:t>rable</w:t>
      </w:r>
      <w:proofErr w:type="spellEnd"/>
      <w:r w:rsidRPr="0034329C">
        <w:rPr>
          <w:rFonts w:ascii="Arial" w:hAnsi="Arial" w:cs="Arial"/>
        </w:rPr>
        <w:t xml:space="preserve"> view of the instructional culture in their department</w:t>
      </w:r>
      <w:r>
        <w:rPr>
          <w:rFonts w:ascii="Arial" w:hAnsi="Arial" w:cs="Arial"/>
        </w:rPr>
        <w:t>s</w:t>
      </w:r>
      <w:r w:rsidRPr="0034329C">
        <w:rPr>
          <w:rFonts w:ascii="Arial" w:hAnsi="Arial" w:cs="Arial"/>
        </w:rPr>
        <w:t xml:space="preserve"> despite the differing degrees of confidence and consistency. High mean scores, particularly on items relating to teaching methods</w:t>
      </w:r>
      <w:r>
        <w:rPr>
          <w:rFonts w:ascii="Arial" w:hAnsi="Arial" w:cs="Arial"/>
        </w:rPr>
        <w:t>, g</w:t>
      </w:r>
      <w:r w:rsidRPr="0034329C">
        <w:rPr>
          <w:rFonts w:ascii="Arial" w:hAnsi="Arial" w:cs="Arial"/>
        </w:rPr>
        <w:t>lobal pedagogical tr</w:t>
      </w:r>
      <w:r>
        <w:rPr>
          <w:rFonts w:ascii="Arial" w:hAnsi="Arial" w:cs="Arial"/>
        </w:rPr>
        <w:t>ends</w:t>
      </w:r>
      <w:r w:rsidRPr="0034329C">
        <w:rPr>
          <w:rFonts w:ascii="Arial" w:hAnsi="Arial" w:cs="Arial"/>
        </w:rPr>
        <w:t xml:space="preserve">, use of </w:t>
      </w:r>
      <w:r w:rsidR="00E140A1">
        <w:rPr>
          <w:rFonts w:ascii="Arial" w:hAnsi="Arial" w:cs="Arial"/>
        </w:rPr>
        <w:t>student-</w:t>
      </w:r>
      <w:proofErr w:type="spellStart"/>
      <w:r w:rsidR="00E140A1">
        <w:rPr>
          <w:rFonts w:ascii="Arial" w:hAnsi="Arial" w:cs="Arial"/>
        </w:rPr>
        <w:t>centred</w:t>
      </w:r>
      <w:proofErr w:type="spellEnd"/>
      <w:r w:rsidRPr="0034329C">
        <w:rPr>
          <w:rFonts w:ascii="Arial" w:hAnsi="Arial" w:cs="Arial"/>
        </w:rPr>
        <w:t xml:space="preserve"> methods, and integration of more practical components</w:t>
      </w:r>
      <w:r>
        <w:rPr>
          <w:rFonts w:ascii="Arial" w:hAnsi="Arial" w:cs="Arial"/>
        </w:rPr>
        <w:t>,</w:t>
      </w:r>
      <w:r w:rsidRPr="0034329C">
        <w:rPr>
          <w:rFonts w:ascii="Arial" w:hAnsi="Arial" w:cs="Arial"/>
        </w:rPr>
        <w:t xml:space="preserve"> </w:t>
      </w:r>
      <w:r>
        <w:rPr>
          <w:rFonts w:ascii="Arial" w:hAnsi="Arial" w:cs="Arial"/>
        </w:rPr>
        <w:t>are</w:t>
      </w:r>
      <w:r w:rsidRPr="0034329C">
        <w:rPr>
          <w:rFonts w:ascii="Arial" w:hAnsi="Arial" w:cs="Arial"/>
        </w:rPr>
        <w:t xml:space="preserve"> consistent with </w:t>
      </w:r>
      <w:r>
        <w:rPr>
          <w:rFonts w:ascii="Arial" w:hAnsi="Arial" w:cs="Arial"/>
        </w:rPr>
        <w:t>practices</w:t>
      </w:r>
      <w:r w:rsidRPr="0034329C">
        <w:rPr>
          <w:rFonts w:ascii="Arial" w:hAnsi="Arial" w:cs="Arial"/>
        </w:rPr>
        <w:t xml:space="preserve"> </w:t>
      </w:r>
      <w:r>
        <w:rPr>
          <w:rFonts w:ascii="Arial" w:hAnsi="Arial" w:cs="Arial"/>
        </w:rPr>
        <w:t xml:space="preserve">of an </w:t>
      </w:r>
      <w:r w:rsidRPr="0034329C">
        <w:rPr>
          <w:rFonts w:ascii="Arial" w:hAnsi="Arial" w:cs="Arial"/>
        </w:rPr>
        <w:t>effective</w:t>
      </w:r>
      <w:r>
        <w:rPr>
          <w:rFonts w:ascii="Arial" w:hAnsi="Arial" w:cs="Arial"/>
        </w:rPr>
        <w:t xml:space="preserve"> music </w:t>
      </w:r>
      <w:r w:rsidRPr="0034329C">
        <w:rPr>
          <w:rFonts w:ascii="Arial" w:hAnsi="Arial" w:cs="Arial"/>
        </w:rPr>
        <w:t>teach</w:t>
      </w:r>
      <w:r>
        <w:rPr>
          <w:rFonts w:ascii="Arial" w:hAnsi="Arial" w:cs="Arial"/>
        </w:rPr>
        <w:t xml:space="preserve">er </w:t>
      </w:r>
      <w:r w:rsidRPr="0034329C">
        <w:rPr>
          <w:rFonts w:ascii="Arial" w:hAnsi="Arial" w:cs="Arial"/>
        </w:rPr>
        <w:t xml:space="preserve">outlined by Concina (2023). Concina explains that one of the defining characteristics of a positive and progressive instructional culture is one that </w:t>
      </w:r>
      <w:proofErr w:type="spellStart"/>
      <w:r w:rsidR="00DA20C8">
        <w:rPr>
          <w:rFonts w:ascii="Arial" w:hAnsi="Arial" w:cs="Arial"/>
        </w:rPr>
        <w:t>prioritises</w:t>
      </w:r>
      <w:proofErr w:type="spellEnd"/>
      <w:r w:rsidR="00DA20C8" w:rsidRPr="0034329C">
        <w:rPr>
          <w:rFonts w:ascii="Arial" w:hAnsi="Arial" w:cs="Arial"/>
        </w:rPr>
        <w:t xml:space="preserve"> </w:t>
      </w:r>
      <w:r w:rsidRPr="0034329C">
        <w:rPr>
          <w:rFonts w:ascii="Arial" w:hAnsi="Arial" w:cs="Arial"/>
        </w:rPr>
        <w:t>the learner and connects theory to practice</w:t>
      </w:r>
      <w:r>
        <w:rPr>
          <w:rFonts w:ascii="Arial" w:hAnsi="Arial" w:cs="Arial"/>
        </w:rPr>
        <w:t>. This way, the</w:t>
      </w:r>
      <w:r w:rsidRPr="0034329C">
        <w:rPr>
          <w:rFonts w:ascii="Arial" w:hAnsi="Arial" w:cs="Arial"/>
        </w:rPr>
        <w:t xml:space="preserve"> learners can relate </w:t>
      </w:r>
      <w:r w:rsidR="00E140A1">
        <w:rPr>
          <w:rFonts w:ascii="Arial" w:hAnsi="Arial" w:cs="Arial"/>
        </w:rPr>
        <w:t>to</w:t>
      </w:r>
      <w:r w:rsidR="00E140A1" w:rsidRPr="0034329C">
        <w:rPr>
          <w:rFonts w:ascii="Arial" w:hAnsi="Arial" w:cs="Arial"/>
        </w:rPr>
        <w:t xml:space="preserve"> </w:t>
      </w:r>
      <w:r w:rsidRPr="0034329C">
        <w:rPr>
          <w:rFonts w:ascii="Arial" w:hAnsi="Arial" w:cs="Arial"/>
        </w:rPr>
        <w:t xml:space="preserve">both local and </w:t>
      </w:r>
      <w:r>
        <w:rPr>
          <w:rFonts w:ascii="Arial" w:hAnsi="Arial" w:cs="Arial"/>
        </w:rPr>
        <w:t>i</w:t>
      </w:r>
      <w:r w:rsidRPr="0034329C">
        <w:rPr>
          <w:rFonts w:ascii="Arial" w:hAnsi="Arial" w:cs="Arial"/>
        </w:rPr>
        <w:t>nternational trends.</w:t>
      </w:r>
      <w:r>
        <w:rPr>
          <w:rFonts w:ascii="Arial" w:hAnsi="Arial" w:cs="Arial"/>
        </w:rPr>
        <w:t xml:space="preserve">  </w:t>
      </w:r>
    </w:p>
    <w:p w14:paraId="75489DDC" w14:textId="584E07F6" w:rsidR="0034329C" w:rsidRPr="0034329C" w:rsidRDefault="0034329C" w:rsidP="0034329C">
      <w:pPr>
        <w:pStyle w:val="Body"/>
        <w:rPr>
          <w:rFonts w:ascii="Arial" w:hAnsi="Arial" w:cs="Arial"/>
        </w:rPr>
      </w:pPr>
      <w:r w:rsidRPr="0034329C">
        <w:rPr>
          <w:rFonts w:ascii="Arial" w:hAnsi="Arial" w:cs="Arial"/>
        </w:rPr>
        <w:lastRenderedPageBreak/>
        <w:t>Students</w:t>
      </w:r>
      <w:r>
        <w:rPr>
          <w:rFonts w:ascii="Arial" w:hAnsi="Arial" w:cs="Arial"/>
        </w:rPr>
        <w:t>,</w:t>
      </w:r>
      <w:r w:rsidRPr="0034329C">
        <w:rPr>
          <w:rFonts w:ascii="Arial" w:hAnsi="Arial" w:cs="Arial"/>
        </w:rPr>
        <w:t xml:space="preserve"> however</w:t>
      </w:r>
      <w:r>
        <w:rPr>
          <w:rFonts w:ascii="Arial" w:hAnsi="Arial" w:cs="Arial"/>
        </w:rPr>
        <w:t>,</w:t>
      </w:r>
      <w:r w:rsidRPr="0034329C">
        <w:rPr>
          <w:rFonts w:ascii="Arial" w:hAnsi="Arial" w:cs="Arial"/>
        </w:rPr>
        <w:t xml:space="preserve"> reported slightly lower and more variable ratings </w:t>
      </w:r>
      <w:r>
        <w:rPr>
          <w:rFonts w:ascii="Arial" w:hAnsi="Arial" w:cs="Arial"/>
        </w:rPr>
        <w:t xml:space="preserve">when asked about </w:t>
      </w:r>
      <w:r w:rsidRPr="0034329C">
        <w:rPr>
          <w:rFonts w:ascii="Arial" w:hAnsi="Arial" w:cs="Arial"/>
        </w:rPr>
        <w:t xml:space="preserve">their instructional experiences, particularly in areas such as practical engagement, use of modern teaching tools, and opportunities for hands-on learning outside the classroom. </w:t>
      </w:r>
      <w:r>
        <w:rPr>
          <w:rFonts w:ascii="Arial" w:hAnsi="Arial" w:cs="Arial"/>
        </w:rPr>
        <w:t xml:space="preserve">This </w:t>
      </w:r>
      <w:r w:rsidRPr="0034329C">
        <w:rPr>
          <w:rFonts w:ascii="Arial" w:hAnsi="Arial" w:cs="Arial"/>
        </w:rPr>
        <w:t>suggest</w:t>
      </w:r>
      <w:r>
        <w:rPr>
          <w:rFonts w:ascii="Arial" w:hAnsi="Arial" w:cs="Arial"/>
        </w:rPr>
        <w:t>s</w:t>
      </w:r>
      <w:r w:rsidRPr="0034329C">
        <w:rPr>
          <w:rFonts w:ascii="Arial" w:hAnsi="Arial" w:cs="Arial"/>
        </w:rPr>
        <w:t xml:space="preserve"> inconsistencies in instructional delivery.</w:t>
      </w:r>
      <w:r>
        <w:rPr>
          <w:rFonts w:ascii="Arial" w:hAnsi="Arial" w:cs="Arial"/>
        </w:rPr>
        <w:t xml:space="preserve"> T</w:t>
      </w:r>
      <w:r w:rsidRPr="0034329C">
        <w:rPr>
          <w:rFonts w:ascii="Arial" w:hAnsi="Arial" w:cs="Arial"/>
        </w:rPr>
        <w:t>he perceived disparities in the level of implementation</w:t>
      </w:r>
      <w:r>
        <w:rPr>
          <w:rFonts w:ascii="Arial" w:hAnsi="Arial" w:cs="Arial"/>
        </w:rPr>
        <w:t xml:space="preserve">, </w:t>
      </w:r>
      <w:r w:rsidRPr="0034329C">
        <w:rPr>
          <w:rFonts w:ascii="Arial" w:hAnsi="Arial" w:cs="Arial"/>
        </w:rPr>
        <w:t>particularly in practical engagement</w:t>
      </w:r>
      <w:r>
        <w:rPr>
          <w:rFonts w:ascii="Arial" w:hAnsi="Arial" w:cs="Arial"/>
        </w:rPr>
        <w:t>, c</w:t>
      </w:r>
      <w:r w:rsidRPr="0034329C">
        <w:rPr>
          <w:rFonts w:ascii="Arial" w:hAnsi="Arial" w:cs="Arial"/>
        </w:rPr>
        <w:t xml:space="preserve">annot be overlooked. This observation aligns with concerns raised by </w:t>
      </w:r>
      <w:proofErr w:type="spellStart"/>
      <w:r w:rsidRPr="0034329C">
        <w:rPr>
          <w:rFonts w:ascii="Arial" w:hAnsi="Arial" w:cs="Arial"/>
        </w:rPr>
        <w:t>Rinholm</w:t>
      </w:r>
      <w:proofErr w:type="spellEnd"/>
      <w:r w:rsidRPr="0034329C">
        <w:rPr>
          <w:rFonts w:ascii="Arial" w:hAnsi="Arial" w:cs="Arial"/>
        </w:rPr>
        <w:t xml:space="preserve">, </w:t>
      </w:r>
      <w:proofErr w:type="spellStart"/>
      <w:r w:rsidRPr="0034329C">
        <w:rPr>
          <w:rFonts w:ascii="Arial" w:hAnsi="Arial" w:cs="Arial"/>
        </w:rPr>
        <w:t>Fredriksen</w:t>
      </w:r>
      <w:proofErr w:type="spellEnd"/>
      <w:r w:rsidRPr="0034329C">
        <w:rPr>
          <w:rFonts w:ascii="Arial" w:hAnsi="Arial" w:cs="Arial"/>
        </w:rPr>
        <w:t xml:space="preserve"> &amp; </w:t>
      </w:r>
      <w:proofErr w:type="spellStart"/>
      <w:r w:rsidRPr="0034329C">
        <w:rPr>
          <w:rFonts w:ascii="Arial" w:hAnsi="Arial" w:cs="Arial"/>
        </w:rPr>
        <w:t>Onsrud</w:t>
      </w:r>
      <w:proofErr w:type="spellEnd"/>
      <w:r w:rsidRPr="0034329C">
        <w:rPr>
          <w:rFonts w:ascii="Arial" w:hAnsi="Arial" w:cs="Arial"/>
        </w:rPr>
        <w:t xml:space="preserve"> (2023), who </w:t>
      </w:r>
      <w:proofErr w:type="spellStart"/>
      <w:r w:rsidR="00AE59A1">
        <w:rPr>
          <w:rFonts w:ascii="Arial" w:hAnsi="Arial" w:cs="Arial"/>
        </w:rPr>
        <w:t>emphasised</w:t>
      </w:r>
      <w:proofErr w:type="spellEnd"/>
      <w:r w:rsidR="00AE59A1" w:rsidRPr="0034329C">
        <w:rPr>
          <w:rFonts w:ascii="Arial" w:hAnsi="Arial" w:cs="Arial"/>
        </w:rPr>
        <w:t xml:space="preserve"> </w:t>
      </w:r>
      <w:r w:rsidRPr="0034329C">
        <w:rPr>
          <w:rFonts w:ascii="Arial" w:hAnsi="Arial" w:cs="Arial"/>
        </w:rPr>
        <w:t>that inconsistencies in any aspect of the pedagogical process can significantly affect the effectiveness of curriculum implementation. For instance, interview responses from some students raise concerns, as they reported that music education often leans heavily on theoretical knowledge with minimal practical exposure.</w:t>
      </w:r>
      <w:r>
        <w:rPr>
          <w:rFonts w:ascii="Arial" w:hAnsi="Arial" w:cs="Arial"/>
        </w:rPr>
        <w:t xml:space="preserve"> </w:t>
      </w:r>
      <w:r w:rsidRPr="0034329C">
        <w:rPr>
          <w:rFonts w:ascii="Arial" w:hAnsi="Arial" w:cs="Arial"/>
        </w:rPr>
        <w:t>During the non-participant observation, it was discovered that time constraints prevented the lecturer from providing practical illustrations and hands-on activities to reinforce the lesson on the history and characteristics of Renaissance</w:t>
      </w:r>
      <w:r>
        <w:rPr>
          <w:rFonts w:ascii="Arial" w:hAnsi="Arial" w:cs="Arial"/>
        </w:rPr>
        <w:t xml:space="preserve"> </w:t>
      </w:r>
      <w:r w:rsidRPr="0034329C">
        <w:rPr>
          <w:rFonts w:ascii="Arial" w:hAnsi="Arial" w:cs="Arial"/>
        </w:rPr>
        <w:t xml:space="preserve">era music. </w:t>
      </w:r>
      <w:r>
        <w:rPr>
          <w:rFonts w:ascii="Arial" w:hAnsi="Arial" w:cs="Arial"/>
        </w:rPr>
        <w:t xml:space="preserve">The following week, a </w:t>
      </w:r>
      <w:r w:rsidR="00E140A1">
        <w:rPr>
          <w:rFonts w:ascii="Arial" w:hAnsi="Arial" w:cs="Arial"/>
        </w:rPr>
        <w:t>follow-up</w:t>
      </w:r>
      <w:r w:rsidR="00DA20C8">
        <w:rPr>
          <w:rFonts w:ascii="Arial" w:hAnsi="Arial" w:cs="Arial"/>
        </w:rPr>
        <w:t xml:space="preserve"> was carried out,</w:t>
      </w:r>
      <w:r>
        <w:rPr>
          <w:rFonts w:ascii="Arial" w:hAnsi="Arial" w:cs="Arial"/>
        </w:rPr>
        <w:t xml:space="preserve"> and </w:t>
      </w:r>
      <w:r w:rsidRPr="0034329C">
        <w:rPr>
          <w:rFonts w:ascii="Arial" w:hAnsi="Arial" w:cs="Arial"/>
        </w:rPr>
        <w:t xml:space="preserve">there were no gadgets available to play Giovanni </w:t>
      </w:r>
      <w:proofErr w:type="spellStart"/>
      <w:r w:rsidRPr="0034329C">
        <w:rPr>
          <w:rFonts w:ascii="Arial" w:hAnsi="Arial" w:cs="Arial"/>
        </w:rPr>
        <w:t>Pierluigi</w:t>
      </w:r>
      <w:proofErr w:type="spellEnd"/>
      <w:r w:rsidRPr="0034329C">
        <w:rPr>
          <w:rFonts w:ascii="Arial" w:hAnsi="Arial" w:cs="Arial"/>
        </w:rPr>
        <w:t xml:space="preserve"> da Palestrina's "</w:t>
      </w:r>
      <w:proofErr w:type="spellStart"/>
      <w:r w:rsidRPr="0034329C">
        <w:rPr>
          <w:rFonts w:ascii="Arial" w:hAnsi="Arial" w:cs="Arial"/>
        </w:rPr>
        <w:t>Missa</w:t>
      </w:r>
      <w:proofErr w:type="spellEnd"/>
      <w:r w:rsidRPr="0034329C">
        <w:rPr>
          <w:rFonts w:ascii="Arial" w:hAnsi="Arial" w:cs="Arial"/>
        </w:rPr>
        <w:t xml:space="preserve"> </w:t>
      </w:r>
      <w:proofErr w:type="spellStart"/>
      <w:r w:rsidRPr="0034329C">
        <w:rPr>
          <w:rFonts w:ascii="Arial" w:hAnsi="Arial" w:cs="Arial"/>
        </w:rPr>
        <w:t>Papae</w:t>
      </w:r>
      <w:proofErr w:type="spellEnd"/>
      <w:r w:rsidRPr="0034329C">
        <w:rPr>
          <w:rFonts w:ascii="Arial" w:hAnsi="Arial" w:cs="Arial"/>
        </w:rPr>
        <w:t xml:space="preserve"> </w:t>
      </w:r>
      <w:proofErr w:type="spellStart"/>
      <w:r w:rsidRPr="0034329C">
        <w:rPr>
          <w:rFonts w:ascii="Arial" w:hAnsi="Arial" w:cs="Arial"/>
        </w:rPr>
        <w:t>Marcelli</w:t>
      </w:r>
      <w:proofErr w:type="spellEnd"/>
      <w:r>
        <w:rPr>
          <w:rFonts w:ascii="Arial" w:hAnsi="Arial" w:cs="Arial"/>
        </w:rPr>
        <w:t xml:space="preserve">. </w:t>
      </w:r>
      <w:r w:rsidRPr="0034329C">
        <w:rPr>
          <w:rFonts w:ascii="Arial" w:hAnsi="Arial" w:cs="Arial"/>
        </w:rPr>
        <w:t xml:space="preserve">The lecturer could only describe the </w:t>
      </w:r>
      <w:r>
        <w:rPr>
          <w:rFonts w:ascii="Arial" w:hAnsi="Arial" w:cs="Arial"/>
        </w:rPr>
        <w:t xml:space="preserve">characteristics of the </w:t>
      </w:r>
      <w:r w:rsidRPr="0034329C">
        <w:rPr>
          <w:rFonts w:ascii="Arial" w:hAnsi="Arial" w:cs="Arial"/>
        </w:rPr>
        <w:t>music verbally but could not play it for the students to listen to and engage</w:t>
      </w:r>
      <w:r>
        <w:rPr>
          <w:rFonts w:ascii="Arial" w:hAnsi="Arial" w:cs="Arial"/>
        </w:rPr>
        <w:t xml:space="preserve">. </w:t>
      </w:r>
      <w:r w:rsidRPr="0034329C">
        <w:rPr>
          <w:rFonts w:ascii="Arial" w:hAnsi="Arial" w:cs="Arial"/>
        </w:rPr>
        <w:t>While lecturers believe their methods reflect best practices, they also acknowledge challenges such as inadequate instructional materials and a lack of modern teaching tools.</w:t>
      </w:r>
    </w:p>
    <w:p w14:paraId="495C1372" w14:textId="44945E3B" w:rsidR="0034329C" w:rsidRPr="0034329C" w:rsidRDefault="0034329C" w:rsidP="0034329C">
      <w:pPr>
        <w:pStyle w:val="Body"/>
        <w:rPr>
          <w:rFonts w:ascii="Arial" w:hAnsi="Arial" w:cs="Arial"/>
        </w:rPr>
      </w:pPr>
      <w:r w:rsidRPr="0034329C">
        <w:rPr>
          <w:rFonts w:ascii="Arial" w:hAnsi="Arial" w:cs="Arial"/>
        </w:rPr>
        <w:t>Several participants</w:t>
      </w:r>
      <w:r>
        <w:rPr>
          <w:rFonts w:ascii="Arial" w:hAnsi="Arial" w:cs="Arial"/>
        </w:rPr>
        <w:t xml:space="preserve"> (</w:t>
      </w:r>
      <w:r w:rsidRPr="0034329C">
        <w:rPr>
          <w:rFonts w:ascii="Arial" w:hAnsi="Arial" w:cs="Arial"/>
        </w:rPr>
        <w:t>both lecturers and students</w:t>
      </w:r>
      <w:r>
        <w:rPr>
          <w:rFonts w:ascii="Arial" w:hAnsi="Arial" w:cs="Arial"/>
        </w:rPr>
        <w:t xml:space="preserve">) </w:t>
      </w:r>
      <w:r w:rsidRPr="0034329C">
        <w:rPr>
          <w:rFonts w:ascii="Arial" w:hAnsi="Arial" w:cs="Arial"/>
        </w:rPr>
        <w:t xml:space="preserve">explicitly called for the inclusion of modern instruments and technologies, suggesting a disconnect between content delivery and real-world musical practices. These gaps echo </w:t>
      </w:r>
      <w:proofErr w:type="spellStart"/>
      <w:r w:rsidRPr="0034329C">
        <w:rPr>
          <w:rFonts w:ascii="Arial" w:hAnsi="Arial" w:cs="Arial"/>
        </w:rPr>
        <w:t>Akinsanya</w:t>
      </w:r>
      <w:proofErr w:type="spellEnd"/>
      <w:r w:rsidRPr="0034329C">
        <w:rPr>
          <w:rFonts w:ascii="Arial" w:hAnsi="Arial" w:cs="Arial"/>
        </w:rPr>
        <w:t xml:space="preserve"> &amp; </w:t>
      </w:r>
      <w:proofErr w:type="spellStart"/>
      <w:r w:rsidRPr="0034329C">
        <w:rPr>
          <w:rFonts w:ascii="Arial" w:hAnsi="Arial" w:cs="Arial"/>
        </w:rPr>
        <w:t>Ojotule</w:t>
      </w:r>
      <w:r>
        <w:rPr>
          <w:rFonts w:ascii="Arial" w:hAnsi="Arial" w:cs="Arial"/>
        </w:rPr>
        <w:t>’s</w:t>
      </w:r>
      <w:proofErr w:type="spellEnd"/>
      <w:r w:rsidRPr="0034329C">
        <w:rPr>
          <w:rFonts w:ascii="Arial" w:hAnsi="Arial" w:cs="Arial"/>
        </w:rPr>
        <w:t xml:space="preserve"> (2022) critique of passive education systems and reinforce the call for more experiential learning opportunities.</w:t>
      </w:r>
      <w:r>
        <w:rPr>
          <w:rFonts w:ascii="Arial" w:hAnsi="Arial" w:cs="Arial"/>
        </w:rPr>
        <w:t xml:space="preserve"> </w:t>
      </w:r>
      <w:r w:rsidRPr="0034329C">
        <w:rPr>
          <w:rFonts w:ascii="Arial" w:hAnsi="Arial" w:cs="Arial"/>
        </w:rPr>
        <w:t>Data derived from non-participant observation strengthens the claim by Concina (2023</w:t>
      </w:r>
      <w:r>
        <w:rPr>
          <w:rFonts w:ascii="Arial" w:hAnsi="Arial" w:cs="Arial"/>
        </w:rPr>
        <w:t>)</w:t>
      </w:r>
      <w:r w:rsidRPr="0034329C">
        <w:rPr>
          <w:rFonts w:ascii="Arial" w:hAnsi="Arial" w:cs="Arial"/>
        </w:rPr>
        <w:t xml:space="preserve"> that meaningful curriculum implementation requires interactive and participatory teaching methods. The contrast between the intended curriculum</w:t>
      </w:r>
      <w:r>
        <w:rPr>
          <w:rFonts w:ascii="Arial" w:hAnsi="Arial" w:cs="Arial"/>
        </w:rPr>
        <w:t xml:space="preserve">, in this case, the </w:t>
      </w:r>
      <w:r w:rsidRPr="0034329C">
        <w:rPr>
          <w:rFonts w:ascii="Arial" w:hAnsi="Arial" w:cs="Arial"/>
        </w:rPr>
        <w:t>course content</w:t>
      </w:r>
      <w:r>
        <w:rPr>
          <w:rFonts w:ascii="Arial" w:hAnsi="Arial" w:cs="Arial"/>
        </w:rPr>
        <w:t xml:space="preserve">, </w:t>
      </w:r>
      <w:r w:rsidRPr="0034329C">
        <w:rPr>
          <w:rFonts w:ascii="Arial" w:hAnsi="Arial" w:cs="Arial"/>
        </w:rPr>
        <w:t xml:space="preserve">the implemented curriculum, which refers to what the teacher delivers in class, and the achieved curriculum, representing what the learners </w:t>
      </w:r>
      <w:proofErr w:type="spellStart"/>
      <w:r w:rsidR="00E140A1">
        <w:rPr>
          <w:rFonts w:ascii="Arial" w:hAnsi="Arial" w:cs="Arial"/>
        </w:rPr>
        <w:t>internalise</w:t>
      </w:r>
      <w:proofErr w:type="spellEnd"/>
      <w:r w:rsidRPr="0034329C">
        <w:rPr>
          <w:rFonts w:ascii="Arial" w:hAnsi="Arial" w:cs="Arial"/>
        </w:rPr>
        <w:t xml:space="preserve">, highlights a significant gap that undermines the effectiveness of curriculum implementation. </w:t>
      </w:r>
    </w:p>
    <w:p w14:paraId="2C1EF32A" w14:textId="2D469A39" w:rsidR="0034329C" w:rsidRPr="0034329C" w:rsidRDefault="0034329C" w:rsidP="0034329C">
      <w:pPr>
        <w:pStyle w:val="Body"/>
        <w:rPr>
          <w:rFonts w:ascii="Arial" w:hAnsi="Arial" w:cs="Arial"/>
        </w:rPr>
      </w:pPr>
      <w:r w:rsidRPr="0034329C">
        <w:rPr>
          <w:rFonts w:ascii="Arial" w:hAnsi="Arial" w:cs="Arial"/>
        </w:rPr>
        <w:t>Yang (2023</w:t>
      </w:r>
      <w:r>
        <w:rPr>
          <w:rFonts w:ascii="Arial" w:hAnsi="Arial" w:cs="Arial"/>
        </w:rPr>
        <w:t xml:space="preserve">) </w:t>
      </w:r>
      <w:r w:rsidRPr="0034329C">
        <w:rPr>
          <w:rFonts w:ascii="Arial" w:hAnsi="Arial" w:cs="Arial"/>
        </w:rPr>
        <w:t xml:space="preserve">outlines the characteristics of instructional culture as multifaceted and </w:t>
      </w:r>
      <w:r w:rsidR="00E140A1">
        <w:rPr>
          <w:rFonts w:ascii="Arial" w:hAnsi="Arial" w:cs="Arial"/>
        </w:rPr>
        <w:t>practice</w:t>
      </w:r>
      <w:r w:rsidR="006A27D4">
        <w:rPr>
          <w:rFonts w:ascii="Arial" w:hAnsi="Arial" w:cs="Arial"/>
        </w:rPr>
        <w:t xml:space="preserve"> </w:t>
      </w:r>
      <w:r w:rsidR="00E140A1">
        <w:rPr>
          <w:rFonts w:ascii="Arial" w:hAnsi="Arial" w:cs="Arial"/>
        </w:rPr>
        <w:t>oriented</w:t>
      </w:r>
      <w:r w:rsidRPr="0034329C">
        <w:rPr>
          <w:rFonts w:ascii="Arial" w:hAnsi="Arial" w:cs="Arial"/>
        </w:rPr>
        <w:t xml:space="preserve">. </w:t>
      </w:r>
      <w:r>
        <w:rPr>
          <w:rFonts w:ascii="Arial" w:hAnsi="Arial" w:cs="Arial"/>
        </w:rPr>
        <w:t xml:space="preserve">The </w:t>
      </w:r>
      <w:r w:rsidRPr="0034329C">
        <w:rPr>
          <w:rFonts w:ascii="Arial" w:hAnsi="Arial" w:cs="Arial"/>
        </w:rPr>
        <w:t>significan</w:t>
      </w:r>
      <w:r>
        <w:rPr>
          <w:rFonts w:ascii="Arial" w:hAnsi="Arial" w:cs="Arial"/>
        </w:rPr>
        <w:t xml:space="preserve">ce </w:t>
      </w:r>
      <w:r w:rsidRPr="0034329C">
        <w:rPr>
          <w:rFonts w:ascii="Arial" w:hAnsi="Arial" w:cs="Arial"/>
        </w:rPr>
        <w:t>of this was observed in one of the classrooms where the lecturer rehearsed a musical piece with the students, informing them that they would perform it at an upcoming college event. The researcher attended the event and observed the students perform confidently on stage, effectively translating what had been rehearsed in the classroom into a real-life performance before a live audience. This transition from classroom instruction to public performance exemplifies an instructional culture that prepares students for life after school, equipping them with practical experience and professional readiness.</w:t>
      </w:r>
      <w:r>
        <w:rPr>
          <w:rFonts w:ascii="Arial" w:hAnsi="Arial" w:cs="Arial"/>
        </w:rPr>
        <w:t xml:space="preserve"> </w:t>
      </w:r>
      <w:r w:rsidRPr="0034329C">
        <w:rPr>
          <w:rFonts w:ascii="Arial" w:hAnsi="Arial" w:cs="Arial"/>
        </w:rPr>
        <w:t xml:space="preserve">Best practices </w:t>
      </w:r>
      <w:r>
        <w:rPr>
          <w:rFonts w:ascii="Arial" w:hAnsi="Arial" w:cs="Arial"/>
        </w:rPr>
        <w:t xml:space="preserve">in music education shape the way the lesson is delivered by lecturers and understood by students. </w:t>
      </w:r>
      <w:r w:rsidRPr="0034329C">
        <w:rPr>
          <w:rFonts w:ascii="Arial" w:hAnsi="Arial" w:cs="Arial"/>
        </w:rPr>
        <w:t xml:space="preserve">Therefore, it becomes imperative to </w:t>
      </w:r>
      <w:proofErr w:type="spellStart"/>
      <w:r w:rsidR="00E140A1">
        <w:rPr>
          <w:rFonts w:ascii="Arial" w:hAnsi="Arial" w:cs="Arial"/>
        </w:rPr>
        <w:t>institutionalise</w:t>
      </w:r>
      <w:proofErr w:type="spellEnd"/>
      <w:r w:rsidR="00E140A1" w:rsidRPr="0034329C">
        <w:rPr>
          <w:rFonts w:ascii="Arial" w:hAnsi="Arial" w:cs="Arial"/>
        </w:rPr>
        <w:t xml:space="preserve"> </w:t>
      </w:r>
      <w:r w:rsidRPr="0034329C">
        <w:rPr>
          <w:rFonts w:ascii="Arial" w:hAnsi="Arial" w:cs="Arial"/>
        </w:rPr>
        <w:t>contextually relevant instructional strategies to enhance curriculum implementation</w:t>
      </w:r>
      <w:r>
        <w:rPr>
          <w:rFonts w:ascii="Arial" w:hAnsi="Arial" w:cs="Arial"/>
        </w:rPr>
        <w:t>.</w:t>
      </w:r>
    </w:p>
    <w:bookmarkEnd w:id="3"/>
    <w:p w14:paraId="72E5CD4E" w14:textId="040718C9" w:rsidR="0034329C" w:rsidRDefault="0034329C" w:rsidP="0034329C">
      <w:pPr>
        <w:pStyle w:val="Body"/>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sz w:val="22"/>
        </w:rPr>
        <w:t xml:space="preserve"> </w:t>
      </w:r>
      <w:r w:rsidRPr="0034329C">
        <w:rPr>
          <w:rFonts w:ascii="Arial" w:hAnsi="Arial" w:cs="Arial"/>
          <w:b/>
          <w:sz w:val="22"/>
        </w:rPr>
        <w:t xml:space="preserve">Comparison of Mean Perceptions </w:t>
      </w:r>
    </w:p>
    <w:p w14:paraId="2EE9B27E" w14:textId="77777777" w:rsidR="0034329C" w:rsidRPr="0034329C" w:rsidRDefault="0034329C" w:rsidP="0034329C">
      <w:pPr>
        <w:pStyle w:val="Body"/>
        <w:rPr>
          <w:rFonts w:ascii="Arial" w:hAnsi="Arial" w:cs="Arial"/>
        </w:rPr>
      </w:pPr>
      <w:r w:rsidRPr="0034329C">
        <w:rPr>
          <w:rFonts w:ascii="Arial" w:hAnsi="Arial" w:cs="Arial"/>
        </w:rPr>
        <w:t>A comparison of the overall mean and standard deviation of responses from students and lecturers reveals noticeable differences regarding the instructional culture in the colleges of education. Students reported an overall mean score of 3.63 with a standard deviation of 1.30, indicating a moderately positive perception with considerable variability in their experiences. In contrast, lecturers demonstrated a higher overall mean of 4.40 and a lower standard deviation of 0.67, reflecting a stronger and more consistent positive perception of the instructional culture.</w:t>
      </w:r>
    </w:p>
    <w:p w14:paraId="56715713" w14:textId="77777777" w:rsidR="0034329C" w:rsidRPr="0034329C" w:rsidRDefault="0034329C" w:rsidP="0034329C">
      <w:pPr>
        <w:pStyle w:val="Body"/>
        <w:rPr>
          <w:rFonts w:ascii="Arial" w:hAnsi="Arial" w:cs="Arial"/>
        </w:rPr>
      </w:pPr>
      <w:r w:rsidRPr="0034329C">
        <w:rPr>
          <w:rFonts w:ascii="Arial" w:hAnsi="Arial" w:cs="Arial"/>
        </w:rPr>
        <w:t>These findings suggest that while lecturers believe the instructional culture strongly supports effective curriculum implementation, students’ views are slightly divided, pointing to areas where instructional practices may not fully translate into meaningful learning outcomes. The disparity highlights the need to prioritize students’ expectations by aligning instructional strategies with learning realities.</w:t>
      </w:r>
    </w:p>
    <w:p w14:paraId="3A1D21EF" w14:textId="60EA89FC" w:rsidR="0034329C" w:rsidRDefault="0034329C" w:rsidP="0034329C">
      <w:pPr>
        <w:pStyle w:val="Body"/>
        <w:rPr>
          <w:rFonts w:ascii="Arial" w:hAnsi="Arial" w:cs="Arial"/>
        </w:rPr>
      </w:pPr>
      <w:r>
        <w:rPr>
          <w:noProof/>
        </w:rPr>
        <w:lastRenderedPageBreak/>
        <w:drawing>
          <wp:inline distT="0" distB="0" distL="0" distR="0" wp14:anchorId="04D65CDC" wp14:editId="3D41CD8C">
            <wp:extent cx="4572000" cy="2743200"/>
            <wp:effectExtent l="0" t="0" r="0" b="0"/>
            <wp:docPr id="1638518328" name="Chart 1">
              <a:extLst xmlns:a="http://schemas.openxmlformats.org/drawingml/2006/main">
                <a:ext uri="{FF2B5EF4-FFF2-40B4-BE49-F238E27FC236}">
                  <a16:creationId xmlns:a16="http://schemas.microsoft.com/office/drawing/2014/main" id="{A853D530-9329-C007-F575-C2E99AA50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4E19C5" w14:textId="186EE3A0" w:rsidR="0034329C" w:rsidRPr="0034329C" w:rsidRDefault="0034329C" w:rsidP="0034329C">
      <w:pPr>
        <w:pStyle w:val="Body"/>
        <w:jc w:val="left"/>
        <w:rPr>
          <w:rFonts w:ascii="Arial" w:hAnsi="Arial" w:cs="Arial"/>
          <w:b/>
          <w:bCs/>
        </w:rPr>
      </w:pPr>
      <w:r w:rsidRPr="0034329C">
        <w:rPr>
          <w:rFonts w:ascii="Arial" w:hAnsi="Arial" w:cs="Arial"/>
          <w:b/>
          <w:bCs/>
        </w:rPr>
        <w:t xml:space="preserve">Fig 1: Comparison of Students' and Lecturers' Mean Perceptions of Instructional Culture in Music Education </w:t>
      </w:r>
      <w:proofErr w:type="spellStart"/>
      <w:r w:rsidRPr="0034329C">
        <w:rPr>
          <w:rFonts w:ascii="Arial" w:hAnsi="Arial" w:cs="Arial"/>
          <w:b/>
          <w:bCs/>
        </w:rPr>
        <w:t>Programmes</w:t>
      </w:r>
      <w:proofErr w:type="spellEnd"/>
    </w:p>
    <w:p w14:paraId="3E9745F0" w14:textId="6A884E9E" w:rsidR="0034329C" w:rsidRPr="0034329C" w:rsidRDefault="0034329C" w:rsidP="00622251">
      <w:pPr>
        <w:pStyle w:val="Body"/>
        <w:rPr>
          <w:rFonts w:ascii="Arial" w:hAnsi="Arial" w:cs="Arial"/>
        </w:rPr>
      </w:pPr>
      <w:bookmarkStart w:id="4" w:name="_Hlk200215969"/>
      <w:r w:rsidRPr="0034329C">
        <w:rPr>
          <w:rFonts w:ascii="Arial" w:hAnsi="Arial" w:cs="Arial"/>
        </w:rPr>
        <w:t xml:space="preserve">The comparison of </w:t>
      </w:r>
      <w:r w:rsidR="00E140A1">
        <w:rPr>
          <w:rFonts w:ascii="Arial" w:hAnsi="Arial" w:cs="Arial"/>
        </w:rPr>
        <w:t>students' and lecturers'</w:t>
      </w:r>
      <w:r w:rsidRPr="0034329C">
        <w:rPr>
          <w:rFonts w:ascii="Arial" w:hAnsi="Arial" w:cs="Arial"/>
        </w:rPr>
        <w:t xml:space="preserve"> overall mean scores reveals a clear perception gap. Lecturers reported an overall mean of 4.40 (SD=0.67)</w:t>
      </w:r>
      <w:r w:rsidR="00E140A1">
        <w:rPr>
          <w:rFonts w:ascii="Arial" w:hAnsi="Arial" w:cs="Arial"/>
        </w:rPr>
        <w:t>,</w:t>
      </w:r>
      <w:r w:rsidRPr="0034329C">
        <w:rPr>
          <w:rFonts w:ascii="Arial" w:hAnsi="Arial" w:cs="Arial"/>
        </w:rPr>
        <w:t xml:space="preserve"> suggesting a strong confidence in the instructional culture. In contrast, students reported a lower overall mean of 3.63 (SD=1.30), indicating moderate satisfaction with the instructional culture. This disparity confirms earlier findings by </w:t>
      </w:r>
      <w:proofErr w:type="spellStart"/>
      <w:r w:rsidRPr="0034329C">
        <w:rPr>
          <w:rFonts w:ascii="Arial" w:hAnsi="Arial" w:cs="Arial"/>
        </w:rPr>
        <w:t>Ezen</w:t>
      </w:r>
      <w:proofErr w:type="spellEnd"/>
      <w:r w:rsidRPr="0034329C">
        <w:rPr>
          <w:rFonts w:ascii="Arial" w:hAnsi="Arial" w:cs="Arial"/>
        </w:rPr>
        <w:t xml:space="preserve"> (2014)</w:t>
      </w:r>
      <w:r w:rsidR="00E140A1">
        <w:rPr>
          <w:rFonts w:ascii="Arial" w:hAnsi="Arial" w:cs="Arial"/>
        </w:rPr>
        <w:t>,</w:t>
      </w:r>
      <w:r w:rsidRPr="0034329C">
        <w:rPr>
          <w:rFonts w:ascii="Arial" w:hAnsi="Arial" w:cs="Arial"/>
        </w:rPr>
        <w:t xml:space="preserve"> which suggest that institutional stakeholders often perceive teaching effectiveness differently depending on their roles, intentions and expectations.</w:t>
      </w:r>
      <w:r w:rsidR="00676226">
        <w:rPr>
          <w:rFonts w:ascii="Arial" w:hAnsi="Arial" w:cs="Arial"/>
        </w:rPr>
        <w:t xml:space="preserve"> In </w:t>
      </w:r>
      <w:r w:rsidR="001D67B4">
        <w:rPr>
          <w:rFonts w:ascii="Arial" w:hAnsi="Arial" w:cs="Arial"/>
        </w:rPr>
        <w:t xml:space="preserve">this context, </w:t>
      </w:r>
      <w:r w:rsidR="00FD63F2" w:rsidRPr="00FD63F2">
        <w:rPr>
          <w:rFonts w:ascii="Arial" w:hAnsi="Arial" w:cs="Arial"/>
        </w:rPr>
        <w:t>instructional culture refers to the prevailing norms</w:t>
      </w:r>
      <w:r w:rsidR="00676226">
        <w:rPr>
          <w:rFonts w:ascii="Arial" w:hAnsi="Arial" w:cs="Arial"/>
        </w:rPr>
        <w:t xml:space="preserve"> and</w:t>
      </w:r>
      <w:r w:rsidR="00FD63F2" w:rsidRPr="00FD63F2">
        <w:rPr>
          <w:rFonts w:ascii="Arial" w:hAnsi="Arial" w:cs="Arial"/>
        </w:rPr>
        <w:t xml:space="preserve"> practices that define how teaching and learning are conducted within </w:t>
      </w:r>
      <w:r w:rsidR="00D86654">
        <w:rPr>
          <w:rFonts w:ascii="Arial" w:hAnsi="Arial" w:cs="Arial"/>
        </w:rPr>
        <w:t>these</w:t>
      </w:r>
      <w:r w:rsidR="00FD63F2" w:rsidRPr="00FD63F2">
        <w:rPr>
          <w:rFonts w:ascii="Arial" w:hAnsi="Arial" w:cs="Arial"/>
        </w:rPr>
        <w:t xml:space="preserve"> institution</w:t>
      </w:r>
      <w:r w:rsidR="00D86654">
        <w:rPr>
          <w:rFonts w:ascii="Arial" w:hAnsi="Arial" w:cs="Arial"/>
        </w:rPr>
        <w:t>s</w:t>
      </w:r>
      <w:r w:rsidR="00FD63F2" w:rsidRPr="00FD63F2">
        <w:rPr>
          <w:rFonts w:ascii="Arial" w:hAnsi="Arial" w:cs="Arial"/>
        </w:rPr>
        <w:t xml:space="preserve">. </w:t>
      </w:r>
    </w:p>
    <w:p w14:paraId="26062417" w14:textId="77777777" w:rsidR="00A160EC" w:rsidRDefault="0034329C" w:rsidP="0034329C">
      <w:pPr>
        <w:pStyle w:val="Body"/>
        <w:spacing w:after="0"/>
        <w:rPr>
          <w:rFonts w:ascii="Arial" w:hAnsi="Arial" w:cs="Arial"/>
        </w:rPr>
      </w:pPr>
      <w:r w:rsidRPr="0034329C">
        <w:rPr>
          <w:rFonts w:ascii="Arial" w:hAnsi="Arial" w:cs="Arial"/>
        </w:rPr>
        <w:t xml:space="preserve">Lecturers’ </w:t>
      </w:r>
      <w:proofErr w:type="spellStart"/>
      <w:r w:rsidRPr="0034329C">
        <w:rPr>
          <w:rFonts w:ascii="Arial" w:hAnsi="Arial" w:cs="Arial"/>
        </w:rPr>
        <w:t>favourable</w:t>
      </w:r>
      <w:proofErr w:type="spellEnd"/>
      <w:r w:rsidRPr="0034329C">
        <w:rPr>
          <w:rFonts w:ascii="Arial" w:hAnsi="Arial" w:cs="Arial"/>
        </w:rPr>
        <w:t xml:space="preserve"> ratings may stem from their familiarity with institutional goals and pedagogical strategies. However, students’ experiences within the same environment offer a crucial counterbalance, revealing implementation flaws that are often invisible to lecturers. The qualitative feedback from students highlights a lack of sufficient practical exposure and the continued use of outdated teaching methods. Interestingly, a few of the lecturers interviewed also acknowledged the need for better instructional structures to deliver high-quality teaching. </w:t>
      </w:r>
    </w:p>
    <w:p w14:paraId="34F75D51" w14:textId="77777777" w:rsidR="008F7216" w:rsidRDefault="008F7216" w:rsidP="0034329C">
      <w:pPr>
        <w:pStyle w:val="Body"/>
        <w:spacing w:after="0"/>
        <w:rPr>
          <w:rFonts w:ascii="Arial" w:hAnsi="Arial" w:cs="Arial"/>
        </w:rPr>
      </w:pPr>
    </w:p>
    <w:p w14:paraId="4CAD3F79" w14:textId="73B60FB1" w:rsidR="005443A7" w:rsidRPr="0034329C" w:rsidRDefault="001559FD" w:rsidP="00B9063B">
      <w:pPr>
        <w:pStyle w:val="Body"/>
        <w:rPr>
          <w:rFonts w:ascii="Arial" w:hAnsi="Arial" w:cs="Arial"/>
        </w:rPr>
      </w:pPr>
      <w:r w:rsidRPr="001559FD">
        <w:rPr>
          <w:rFonts w:ascii="Arial" w:hAnsi="Arial" w:cs="Arial"/>
        </w:rPr>
        <w:t>This gap emphasizes the importance of aligning instructional delivery with students' expectations to enhance curriculum effectiveness. Drawing on constructivist learning theory, which posits that learners construct knowledge through active engagement and experience (</w:t>
      </w:r>
      <w:r w:rsidR="006826F8" w:rsidRPr="006826F8">
        <w:rPr>
          <w:rFonts w:ascii="Arial" w:hAnsi="Arial" w:cs="Arial"/>
        </w:rPr>
        <w:t>Zajda,</w:t>
      </w:r>
      <w:r w:rsidRPr="001559FD">
        <w:rPr>
          <w:rFonts w:ascii="Arial" w:hAnsi="Arial" w:cs="Arial"/>
        </w:rPr>
        <w:t xml:space="preserve"> </w:t>
      </w:r>
      <w:r w:rsidR="006826F8">
        <w:rPr>
          <w:rFonts w:ascii="Arial" w:hAnsi="Arial" w:cs="Arial"/>
        </w:rPr>
        <w:t>2021</w:t>
      </w:r>
      <w:r w:rsidRPr="001559FD">
        <w:rPr>
          <w:rFonts w:ascii="Arial" w:hAnsi="Arial" w:cs="Arial"/>
        </w:rPr>
        <w:t>)</w:t>
      </w:r>
      <w:r w:rsidR="00B21E36">
        <w:rPr>
          <w:rFonts w:ascii="Arial" w:hAnsi="Arial" w:cs="Arial"/>
        </w:rPr>
        <w:t>.</w:t>
      </w:r>
      <w:r w:rsidRPr="001559FD">
        <w:rPr>
          <w:rFonts w:ascii="Arial" w:hAnsi="Arial" w:cs="Arial"/>
        </w:rPr>
        <w:t xml:space="preserve"> </w:t>
      </w:r>
      <w:r w:rsidR="00B21E36" w:rsidRPr="001559FD">
        <w:rPr>
          <w:rFonts w:ascii="Arial" w:hAnsi="Arial" w:cs="Arial"/>
        </w:rPr>
        <w:t xml:space="preserve">The </w:t>
      </w:r>
      <w:r w:rsidRPr="001559FD">
        <w:rPr>
          <w:rFonts w:ascii="Arial" w:hAnsi="Arial" w:cs="Arial"/>
        </w:rPr>
        <w:t>findings suggest that student dissatisfaction may stem from instructional practices that fail to support active</w:t>
      </w:r>
      <w:r w:rsidR="006D6D8B">
        <w:rPr>
          <w:rFonts w:ascii="Arial" w:hAnsi="Arial" w:cs="Arial"/>
        </w:rPr>
        <w:t xml:space="preserve"> and</w:t>
      </w:r>
      <w:r w:rsidRPr="001559FD">
        <w:rPr>
          <w:rFonts w:ascii="Arial" w:hAnsi="Arial" w:cs="Arial"/>
        </w:rPr>
        <w:t xml:space="preserve"> participatory learning. In other words, while </w:t>
      </w:r>
      <w:r w:rsidR="00D401F3">
        <w:rPr>
          <w:rFonts w:ascii="Arial" w:hAnsi="Arial" w:cs="Arial"/>
        </w:rPr>
        <w:t>lecturers</w:t>
      </w:r>
      <w:r w:rsidRPr="001559FD">
        <w:rPr>
          <w:rFonts w:ascii="Arial" w:hAnsi="Arial" w:cs="Arial"/>
        </w:rPr>
        <w:t xml:space="preserve"> may feel confident in their delivery, students may not feel equally</w:t>
      </w:r>
      <w:r w:rsidR="009E3693">
        <w:rPr>
          <w:rFonts w:ascii="Arial" w:hAnsi="Arial" w:cs="Arial"/>
        </w:rPr>
        <w:t xml:space="preserve"> </w:t>
      </w:r>
      <w:r w:rsidRPr="001559FD">
        <w:rPr>
          <w:rFonts w:ascii="Arial" w:hAnsi="Arial" w:cs="Arial"/>
        </w:rPr>
        <w:t>engaged in the learning process.</w:t>
      </w:r>
      <w:r w:rsidR="00F6587B">
        <w:rPr>
          <w:rFonts w:ascii="Arial" w:hAnsi="Arial" w:cs="Arial"/>
        </w:rPr>
        <w:t xml:space="preserve"> </w:t>
      </w:r>
      <w:r w:rsidRPr="001559FD">
        <w:rPr>
          <w:rFonts w:ascii="Arial" w:hAnsi="Arial" w:cs="Arial"/>
        </w:rPr>
        <w:t>As Yang (2023) argues, educational institutions must consider students’ perceptions in instructional planning to ensure curriculum implementation is both relevant and impactful. Without such alignment and inclusion, instructional culture will fall short of its potential to transform music education.</w:t>
      </w:r>
    </w:p>
    <w:p w14:paraId="7469E528" w14:textId="195C65D3" w:rsidR="0034329C" w:rsidRDefault="0034329C" w:rsidP="0034329C">
      <w:pPr>
        <w:pStyle w:val="Body"/>
        <w:rPr>
          <w:rFonts w:ascii="Arial" w:hAnsi="Arial" w:cs="Arial"/>
        </w:rPr>
      </w:pPr>
      <w:r w:rsidRPr="0034329C">
        <w:rPr>
          <w:rFonts w:ascii="Arial" w:hAnsi="Arial" w:cs="Arial"/>
        </w:rPr>
        <w:t xml:space="preserve">Responses from interview sessions further reveal that the gap between lecturers and students can be bridged through regular evaluations and a robust feedback system. For instance, in one class, students were asked if they understood the lesson, and they all chorused “yes.” However, </w:t>
      </w:r>
      <w:r w:rsidR="00E140A1">
        <w:rPr>
          <w:rFonts w:ascii="Arial" w:hAnsi="Arial" w:cs="Arial"/>
        </w:rPr>
        <w:t>follow-up</w:t>
      </w:r>
      <w:r w:rsidRPr="0034329C">
        <w:rPr>
          <w:rFonts w:ascii="Arial" w:hAnsi="Arial" w:cs="Arial"/>
        </w:rPr>
        <w:t xml:space="preserve"> interviews conducted immediately after the class revealed that some students joined the chorus only to avoid being the odd ones. If real-time feedback mechanisms had been in place, the lecturer could have gained a more accurate sense of how effective the teaching had been.</w:t>
      </w:r>
    </w:p>
    <w:p w14:paraId="1A7B248A" w14:textId="61BE34AA" w:rsidR="00FC3AA0" w:rsidRPr="00FC3AA0" w:rsidRDefault="00293DCF" w:rsidP="00FC3AA0">
      <w:pPr>
        <w:pStyle w:val="Body"/>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sz w:val="22"/>
        </w:rPr>
        <w:t xml:space="preserve"> </w:t>
      </w:r>
      <w:r w:rsidRPr="00293DCF">
        <w:rPr>
          <w:rFonts w:ascii="Arial" w:hAnsi="Arial" w:cs="Arial"/>
          <w:b/>
          <w:sz w:val="22"/>
        </w:rPr>
        <w:t xml:space="preserve">Systemic </w:t>
      </w:r>
      <w:r w:rsidR="002C14DC">
        <w:rPr>
          <w:rFonts w:ascii="Arial" w:hAnsi="Arial" w:cs="Arial"/>
          <w:b/>
          <w:sz w:val="22"/>
        </w:rPr>
        <w:t xml:space="preserve">Factors Shaping </w:t>
      </w:r>
      <w:r w:rsidRPr="00293DCF">
        <w:rPr>
          <w:rFonts w:ascii="Arial" w:hAnsi="Arial" w:cs="Arial"/>
          <w:b/>
          <w:sz w:val="22"/>
        </w:rPr>
        <w:t>Instructional Culture</w:t>
      </w:r>
    </w:p>
    <w:p w14:paraId="0376DAB1" w14:textId="6C3BEDC5" w:rsidR="004145D5" w:rsidRDefault="00A519C6" w:rsidP="00FC3AA0">
      <w:pPr>
        <w:pStyle w:val="Body"/>
        <w:rPr>
          <w:rFonts w:ascii="Arial" w:hAnsi="Arial" w:cs="Arial"/>
        </w:rPr>
      </w:pPr>
      <w:r>
        <w:rPr>
          <w:rFonts w:ascii="Arial" w:hAnsi="Arial" w:cs="Arial"/>
        </w:rPr>
        <w:t>It was</w:t>
      </w:r>
      <w:r w:rsidR="00783059" w:rsidRPr="00783059">
        <w:rPr>
          <w:rFonts w:ascii="Arial" w:hAnsi="Arial" w:cs="Arial"/>
        </w:rPr>
        <w:t xml:space="preserve"> observed in both colleges of education that their instructional culture does not operate in a vacuum, rather it is influenced by institutional regulations, systemic injustices and postcolonial educational legacies. </w:t>
      </w:r>
      <w:r w:rsidRPr="00783059">
        <w:rPr>
          <w:rFonts w:ascii="Arial" w:hAnsi="Arial" w:cs="Arial"/>
        </w:rPr>
        <w:t>These influences</w:t>
      </w:r>
      <w:r w:rsidR="00783059" w:rsidRPr="00783059">
        <w:rPr>
          <w:rFonts w:ascii="Arial" w:hAnsi="Arial" w:cs="Arial"/>
        </w:rPr>
        <w:t xml:space="preserve"> shape how knowledge is delivered by the lecturers and received by the learners.</w:t>
      </w:r>
      <w:r>
        <w:rPr>
          <w:rFonts w:ascii="Arial" w:hAnsi="Arial" w:cs="Arial"/>
        </w:rPr>
        <w:t xml:space="preserve"> </w:t>
      </w:r>
      <w:r w:rsidR="00783059" w:rsidRPr="00783059">
        <w:rPr>
          <w:rFonts w:ascii="Arial" w:hAnsi="Arial" w:cs="Arial"/>
        </w:rPr>
        <w:t>Institutional regulations provide structure and quality assurance but also restrict pedagogical flexibility. Lecturers that were interviewed frequentl</w:t>
      </w:r>
      <w:r w:rsidR="005200EF">
        <w:rPr>
          <w:rFonts w:ascii="Arial" w:hAnsi="Arial" w:cs="Arial"/>
        </w:rPr>
        <w:t>y</w:t>
      </w:r>
      <w:r w:rsidR="00783059" w:rsidRPr="00783059">
        <w:rPr>
          <w:rFonts w:ascii="Arial" w:hAnsi="Arial" w:cs="Arial"/>
        </w:rPr>
        <w:t xml:space="preserve"> emphasize</w:t>
      </w:r>
      <w:r w:rsidR="005200EF">
        <w:rPr>
          <w:rFonts w:ascii="Arial" w:hAnsi="Arial" w:cs="Arial"/>
        </w:rPr>
        <w:t>d</w:t>
      </w:r>
      <w:r w:rsidR="00783059" w:rsidRPr="00783059">
        <w:rPr>
          <w:rFonts w:ascii="Arial" w:hAnsi="Arial" w:cs="Arial"/>
        </w:rPr>
        <w:t xml:space="preserve"> that the</w:t>
      </w:r>
      <w:r w:rsidR="005200EF">
        <w:rPr>
          <w:rFonts w:ascii="Arial" w:hAnsi="Arial" w:cs="Arial"/>
        </w:rPr>
        <w:t>y</w:t>
      </w:r>
      <w:r w:rsidR="00783059" w:rsidRPr="00783059">
        <w:rPr>
          <w:rFonts w:ascii="Arial" w:hAnsi="Arial" w:cs="Arial"/>
        </w:rPr>
        <w:t xml:space="preserve"> are expected to align strictly with the </w:t>
      </w:r>
      <w:r w:rsidR="005200EF" w:rsidRPr="00783059">
        <w:rPr>
          <w:rFonts w:ascii="Arial" w:hAnsi="Arial" w:cs="Arial"/>
        </w:rPr>
        <w:t xml:space="preserve">NCCE </w:t>
      </w:r>
      <w:r w:rsidR="00783059" w:rsidRPr="00783059">
        <w:rPr>
          <w:rFonts w:ascii="Arial" w:hAnsi="Arial" w:cs="Arial"/>
        </w:rPr>
        <w:t>approved co</w:t>
      </w:r>
      <w:r w:rsidR="005200EF">
        <w:rPr>
          <w:rFonts w:ascii="Arial" w:hAnsi="Arial" w:cs="Arial"/>
        </w:rPr>
        <w:t>urse</w:t>
      </w:r>
      <w:r w:rsidR="00783059" w:rsidRPr="00783059">
        <w:rPr>
          <w:rFonts w:ascii="Arial" w:hAnsi="Arial" w:cs="Arial"/>
        </w:rPr>
        <w:t xml:space="preserve"> outlines. Although the course contents are referred to as </w:t>
      </w:r>
      <w:r w:rsidR="005200EF">
        <w:rPr>
          <w:rFonts w:ascii="Arial" w:hAnsi="Arial" w:cs="Arial"/>
        </w:rPr>
        <w:t xml:space="preserve">the </w:t>
      </w:r>
      <w:r w:rsidR="005200EF" w:rsidRPr="00783059">
        <w:rPr>
          <w:rFonts w:ascii="Arial" w:hAnsi="Arial" w:cs="Arial"/>
        </w:rPr>
        <w:t>'Minimum Standard'</w:t>
      </w:r>
      <w:r w:rsidR="005200EF">
        <w:rPr>
          <w:rFonts w:ascii="Arial" w:hAnsi="Arial" w:cs="Arial"/>
        </w:rPr>
        <w:t>,</w:t>
      </w:r>
      <w:r w:rsidR="005200EF" w:rsidRPr="00783059">
        <w:rPr>
          <w:rFonts w:ascii="Arial" w:hAnsi="Arial" w:cs="Arial"/>
        </w:rPr>
        <w:t xml:space="preserve"> </w:t>
      </w:r>
      <w:r w:rsidR="00783059" w:rsidRPr="00783059">
        <w:rPr>
          <w:rFonts w:ascii="Arial" w:hAnsi="Arial" w:cs="Arial"/>
        </w:rPr>
        <w:t>lecturers lament that they are assessed by how much they have a</w:t>
      </w:r>
      <w:r w:rsidR="00906FAE">
        <w:rPr>
          <w:rFonts w:ascii="Arial" w:hAnsi="Arial" w:cs="Arial"/>
        </w:rPr>
        <w:t>dhered</w:t>
      </w:r>
      <w:r w:rsidR="00783059" w:rsidRPr="00783059">
        <w:rPr>
          <w:rFonts w:ascii="Arial" w:hAnsi="Arial" w:cs="Arial"/>
        </w:rPr>
        <w:t xml:space="preserve"> to the existing curriculum. </w:t>
      </w:r>
      <w:proofErr w:type="spellStart"/>
      <w:r w:rsidR="00AE22E3" w:rsidRPr="00AE22E3">
        <w:rPr>
          <w:rFonts w:ascii="Arial" w:hAnsi="Arial" w:cs="Arial"/>
        </w:rPr>
        <w:t>Enang</w:t>
      </w:r>
      <w:proofErr w:type="spellEnd"/>
      <w:r w:rsidR="00AE22E3" w:rsidRPr="00AE22E3">
        <w:rPr>
          <w:rFonts w:ascii="Arial" w:hAnsi="Arial" w:cs="Arial"/>
        </w:rPr>
        <w:t xml:space="preserve"> (2023)</w:t>
      </w:r>
      <w:r w:rsidR="00AE22E3">
        <w:rPr>
          <w:rFonts w:ascii="Arial" w:hAnsi="Arial" w:cs="Arial"/>
        </w:rPr>
        <w:t xml:space="preserve"> </w:t>
      </w:r>
      <w:r w:rsidR="005842A3" w:rsidRPr="00783059">
        <w:rPr>
          <w:rFonts w:ascii="Arial" w:hAnsi="Arial" w:cs="Arial"/>
        </w:rPr>
        <w:t>note</w:t>
      </w:r>
      <w:r w:rsidR="005842A3">
        <w:rPr>
          <w:rFonts w:ascii="Arial" w:hAnsi="Arial" w:cs="Arial"/>
        </w:rPr>
        <w:t>d that</w:t>
      </w:r>
      <w:r w:rsidR="005842A3" w:rsidRPr="00783059">
        <w:rPr>
          <w:rFonts w:ascii="Arial" w:hAnsi="Arial" w:cs="Arial"/>
        </w:rPr>
        <w:t xml:space="preserve"> over</w:t>
      </w:r>
      <w:r w:rsidR="005842A3">
        <w:rPr>
          <w:rFonts w:ascii="Arial" w:hAnsi="Arial" w:cs="Arial"/>
        </w:rPr>
        <w:t>-</w:t>
      </w:r>
      <w:r w:rsidR="005842A3" w:rsidRPr="00783059">
        <w:rPr>
          <w:rFonts w:ascii="Arial" w:hAnsi="Arial" w:cs="Arial"/>
        </w:rPr>
        <w:t>bureaucratized teaching standards in Nigerian teacher education t</w:t>
      </w:r>
      <w:r w:rsidR="005842A3">
        <w:rPr>
          <w:rFonts w:ascii="Arial" w:hAnsi="Arial" w:cs="Arial"/>
        </w:rPr>
        <w:t>end</w:t>
      </w:r>
      <w:r w:rsidR="005842A3" w:rsidRPr="00783059">
        <w:rPr>
          <w:rFonts w:ascii="Arial" w:hAnsi="Arial" w:cs="Arial"/>
        </w:rPr>
        <w:t xml:space="preserve"> to prioritize compliance </w:t>
      </w:r>
      <w:r w:rsidR="005842A3" w:rsidRPr="00783059">
        <w:rPr>
          <w:rFonts w:ascii="Arial" w:hAnsi="Arial" w:cs="Arial"/>
        </w:rPr>
        <w:lastRenderedPageBreak/>
        <w:t>over creativity.</w:t>
      </w:r>
      <w:r w:rsidR="00D30289">
        <w:rPr>
          <w:rFonts w:ascii="Arial" w:hAnsi="Arial" w:cs="Arial"/>
        </w:rPr>
        <w:t xml:space="preserve"> </w:t>
      </w:r>
      <w:r w:rsidR="00783059" w:rsidRPr="00783059">
        <w:rPr>
          <w:rFonts w:ascii="Arial" w:hAnsi="Arial" w:cs="Arial"/>
        </w:rPr>
        <w:t>This limits opportunities for innovation and contextual adaptation. Despite recognizing the need and value of integrating modern techniques into curriculum delivery</w:t>
      </w:r>
      <w:r w:rsidR="00906FAE">
        <w:rPr>
          <w:rFonts w:ascii="Arial" w:hAnsi="Arial" w:cs="Arial"/>
        </w:rPr>
        <w:t xml:space="preserve">, </w:t>
      </w:r>
      <w:r w:rsidR="00783059" w:rsidRPr="00783059">
        <w:rPr>
          <w:rFonts w:ascii="Arial" w:hAnsi="Arial" w:cs="Arial"/>
        </w:rPr>
        <w:t xml:space="preserve">lecturers report that institutional rigidity poses a challenge for adequate technological integration. </w:t>
      </w:r>
    </w:p>
    <w:p w14:paraId="5CC79E3D" w14:textId="6A6EAD47" w:rsidR="006C4F1F" w:rsidRDefault="00783059" w:rsidP="00FC3AA0">
      <w:pPr>
        <w:pStyle w:val="Body"/>
        <w:rPr>
          <w:rFonts w:ascii="Arial" w:hAnsi="Arial" w:cs="Arial"/>
        </w:rPr>
      </w:pPr>
      <w:r w:rsidRPr="00783059">
        <w:rPr>
          <w:rFonts w:ascii="Arial" w:hAnsi="Arial" w:cs="Arial"/>
        </w:rPr>
        <w:t xml:space="preserve">Systemic injustices particularly in resource distribution </w:t>
      </w:r>
      <w:r w:rsidR="00AE22E3">
        <w:rPr>
          <w:rFonts w:ascii="Arial" w:hAnsi="Arial" w:cs="Arial"/>
        </w:rPr>
        <w:t>undermine</w:t>
      </w:r>
      <w:r w:rsidRPr="00783059">
        <w:rPr>
          <w:rFonts w:ascii="Arial" w:hAnsi="Arial" w:cs="Arial"/>
        </w:rPr>
        <w:t xml:space="preserve"> effective curriculum implementation. Both students and lecturers reported that they experience challenges such as inadequate musical instruments, lack of music labs</w:t>
      </w:r>
      <w:r w:rsidR="005842A3" w:rsidRPr="00783059">
        <w:rPr>
          <w:rFonts w:ascii="Arial" w:hAnsi="Arial" w:cs="Arial"/>
        </w:rPr>
        <w:t>, and insufficient</w:t>
      </w:r>
      <w:r w:rsidRPr="00783059">
        <w:rPr>
          <w:rFonts w:ascii="Arial" w:hAnsi="Arial" w:cs="Arial"/>
        </w:rPr>
        <w:t xml:space="preserve"> access to music technology</w:t>
      </w:r>
      <w:r w:rsidR="005842A3">
        <w:rPr>
          <w:rFonts w:ascii="Arial" w:hAnsi="Arial" w:cs="Arial"/>
        </w:rPr>
        <w:t xml:space="preserve"> gadgets</w:t>
      </w:r>
      <w:r w:rsidRPr="00783059">
        <w:rPr>
          <w:rFonts w:ascii="Arial" w:hAnsi="Arial" w:cs="Arial"/>
        </w:rPr>
        <w:t>. These are not isolated challenges but a pointer to structural neglect experience by non</w:t>
      </w:r>
      <w:r w:rsidR="005842A3">
        <w:rPr>
          <w:rFonts w:ascii="Arial" w:hAnsi="Arial" w:cs="Arial"/>
        </w:rPr>
        <w:t>-</w:t>
      </w:r>
      <w:r w:rsidRPr="00783059">
        <w:rPr>
          <w:rFonts w:ascii="Arial" w:hAnsi="Arial" w:cs="Arial"/>
        </w:rPr>
        <w:t xml:space="preserve">STEM fields in Nigerian tertiary education. These reinforces </w:t>
      </w:r>
      <w:proofErr w:type="spellStart"/>
      <w:r w:rsidR="004B2FF8" w:rsidRPr="006E491D">
        <w:rPr>
          <w:rFonts w:ascii="Arial" w:hAnsi="Arial" w:cs="Arial"/>
        </w:rPr>
        <w:t>Holochwost</w:t>
      </w:r>
      <w:proofErr w:type="spellEnd"/>
      <w:r w:rsidR="000F4E57">
        <w:rPr>
          <w:rFonts w:ascii="Arial" w:hAnsi="Arial" w:cs="Arial"/>
        </w:rPr>
        <w:t xml:space="preserve"> et </w:t>
      </w:r>
      <w:proofErr w:type="spellStart"/>
      <w:r w:rsidR="000F4E57">
        <w:rPr>
          <w:rFonts w:ascii="Arial" w:hAnsi="Arial" w:cs="Arial"/>
        </w:rPr>
        <w:t>al</w:t>
      </w:r>
      <w:r w:rsidRPr="004B2FF8">
        <w:rPr>
          <w:rFonts w:ascii="Arial" w:hAnsi="Arial" w:cs="Arial"/>
        </w:rPr>
        <w:t>'s</w:t>
      </w:r>
      <w:proofErr w:type="spellEnd"/>
      <w:r w:rsidRPr="00783059">
        <w:rPr>
          <w:rFonts w:ascii="Arial" w:hAnsi="Arial" w:cs="Arial"/>
        </w:rPr>
        <w:t xml:space="preserve"> (</w:t>
      </w:r>
      <w:r w:rsidRPr="006E491D">
        <w:rPr>
          <w:rFonts w:ascii="Arial" w:hAnsi="Arial" w:cs="Arial"/>
        </w:rPr>
        <w:t>20</w:t>
      </w:r>
      <w:r w:rsidR="004B2FF8">
        <w:rPr>
          <w:rFonts w:ascii="Arial" w:hAnsi="Arial" w:cs="Arial"/>
        </w:rPr>
        <w:t>18</w:t>
      </w:r>
      <w:r w:rsidRPr="00783059">
        <w:rPr>
          <w:rFonts w:ascii="Arial" w:hAnsi="Arial" w:cs="Arial"/>
        </w:rPr>
        <w:t xml:space="preserve">) assertion that underinvestment in </w:t>
      </w:r>
      <w:r w:rsidR="006C4F1F" w:rsidRPr="00783059">
        <w:rPr>
          <w:rFonts w:ascii="Arial" w:hAnsi="Arial" w:cs="Arial"/>
        </w:rPr>
        <w:t>Art</w:t>
      </w:r>
      <w:r w:rsidR="006C4F1F">
        <w:rPr>
          <w:rFonts w:ascii="Arial" w:hAnsi="Arial" w:cs="Arial"/>
        </w:rPr>
        <w:t>-</w:t>
      </w:r>
      <w:r w:rsidRPr="00783059">
        <w:rPr>
          <w:rFonts w:ascii="Arial" w:hAnsi="Arial" w:cs="Arial"/>
        </w:rPr>
        <w:t xml:space="preserve">based </w:t>
      </w:r>
      <w:proofErr w:type="spellStart"/>
      <w:r w:rsidRPr="00783059">
        <w:rPr>
          <w:rFonts w:ascii="Arial" w:hAnsi="Arial" w:cs="Arial"/>
        </w:rPr>
        <w:t>program</w:t>
      </w:r>
      <w:r w:rsidR="006C4F1F">
        <w:rPr>
          <w:rFonts w:ascii="Arial" w:hAnsi="Arial" w:cs="Arial"/>
        </w:rPr>
        <w:t>me</w:t>
      </w:r>
      <w:r w:rsidRPr="00783059">
        <w:rPr>
          <w:rFonts w:ascii="Arial" w:hAnsi="Arial" w:cs="Arial"/>
        </w:rPr>
        <w:t>s</w:t>
      </w:r>
      <w:proofErr w:type="spellEnd"/>
      <w:r w:rsidRPr="00783059">
        <w:rPr>
          <w:rFonts w:ascii="Arial" w:hAnsi="Arial" w:cs="Arial"/>
        </w:rPr>
        <w:t xml:space="preserve"> is a form of educational inequality.</w:t>
      </w:r>
    </w:p>
    <w:p w14:paraId="262210E7" w14:textId="5B0F800A" w:rsidR="006D4153" w:rsidRDefault="00783059" w:rsidP="00FC3AA0">
      <w:pPr>
        <w:pStyle w:val="Body"/>
        <w:rPr>
          <w:rFonts w:ascii="Arial" w:hAnsi="Arial" w:cs="Arial"/>
        </w:rPr>
      </w:pPr>
      <w:r w:rsidRPr="00783059">
        <w:rPr>
          <w:rFonts w:ascii="Arial" w:hAnsi="Arial" w:cs="Arial"/>
        </w:rPr>
        <w:t>Beyond this, the influence of postcolonial curriculum traditions is particularly eviden</w:t>
      </w:r>
      <w:r w:rsidR="00244C44">
        <w:rPr>
          <w:rFonts w:ascii="Arial" w:hAnsi="Arial" w:cs="Arial"/>
        </w:rPr>
        <w:t>t</w:t>
      </w:r>
      <w:r w:rsidRPr="00783059">
        <w:rPr>
          <w:rFonts w:ascii="Arial" w:hAnsi="Arial" w:cs="Arial"/>
        </w:rPr>
        <w:t xml:space="preserve"> in the emphasis on </w:t>
      </w:r>
      <w:r w:rsidR="00244C44" w:rsidRPr="00783059">
        <w:rPr>
          <w:rFonts w:ascii="Arial" w:hAnsi="Arial" w:cs="Arial"/>
        </w:rPr>
        <w:t xml:space="preserve">Western </w:t>
      </w:r>
      <w:r w:rsidRPr="00783059">
        <w:rPr>
          <w:rFonts w:ascii="Arial" w:hAnsi="Arial" w:cs="Arial"/>
        </w:rPr>
        <w:t xml:space="preserve">music history and theory often at the expense of African musical systems. Observations revealed that music contents focus heavily on European composers like Palestrina, Handel, Bach and others without adequate practical engagement with African musical genres and compositional systems. This reinforces the colonial legacy where Eurocentric contents are regarded as </w:t>
      </w:r>
      <w:r w:rsidR="001D6A17">
        <w:rPr>
          <w:rFonts w:ascii="Arial" w:hAnsi="Arial" w:cs="Arial"/>
        </w:rPr>
        <w:t xml:space="preserve">the </w:t>
      </w:r>
      <w:r w:rsidRPr="00783059">
        <w:rPr>
          <w:rFonts w:ascii="Arial" w:hAnsi="Arial" w:cs="Arial"/>
        </w:rPr>
        <w:t xml:space="preserve">standard. </w:t>
      </w:r>
      <w:r w:rsidR="00000B42" w:rsidRPr="006E491D">
        <w:rPr>
          <w:rFonts w:ascii="Arial" w:hAnsi="Arial" w:cs="Arial"/>
        </w:rPr>
        <w:t>Gonye</w:t>
      </w:r>
      <w:r w:rsidR="00CD59FB" w:rsidRPr="006E491D">
        <w:rPr>
          <w:rFonts w:ascii="Arial" w:hAnsi="Arial" w:cs="Arial"/>
        </w:rPr>
        <w:t xml:space="preserve"> and</w:t>
      </w:r>
      <w:r w:rsidR="00000B42" w:rsidRPr="006E491D">
        <w:rPr>
          <w:rFonts w:ascii="Arial" w:hAnsi="Arial" w:cs="Arial"/>
        </w:rPr>
        <w:t xml:space="preserve"> Moyo</w:t>
      </w:r>
      <w:r w:rsidR="00000B42" w:rsidRPr="00783059">
        <w:rPr>
          <w:rFonts w:ascii="Arial" w:hAnsi="Arial" w:cs="Arial"/>
        </w:rPr>
        <w:t xml:space="preserve"> </w:t>
      </w:r>
      <w:r w:rsidRPr="00783059">
        <w:rPr>
          <w:rFonts w:ascii="Arial" w:hAnsi="Arial" w:cs="Arial"/>
        </w:rPr>
        <w:t>(</w:t>
      </w:r>
      <w:r w:rsidRPr="006E491D">
        <w:rPr>
          <w:rFonts w:ascii="Arial" w:hAnsi="Arial" w:cs="Arial"/>
        </w:rPr>
        <w:t>20</w:t>
      </w:r>
      <w:r w:rsidR="00000B42" w:rsidRPr="006E491D">
        <w:rPr>
          <w:rFonts w:ascii="Arial" w:hAnsi="Arial" w:cs="Arial"/>
        </w:rPr>
        <w:t>18</w:t>
      </w:r>
      <w:r w:rsidRPr="00783059">
        <w:rPr>
          <w:rFonts w:ascii="Arial" w:hAnsi="Arial" w:cs="Arial"/>
        </w:rPr>
        <w:t xml:space="preserve">) acknowledges that the local </w:t>
      </w:r>
      <w:r w:rsidR="00806206">
        <w:rPr>
          <w:rFonts w:ascii="Arial" w:hAnsi="Arial" w:cs="Arial"/>
        </w:rPr>
        <w:t>knowledge</w:t>
      </w:r>
      <w:r w:rsidRPr="00783059">
        <w:rPr>
          <w:rFonts w:ascii="Arial" w:hAnsi="Arial" w:cs="Arial"/>
        </w:rPr>
        <w:t xml:space="preserve"> systems are </w:t>
      </w:r>
      <w:r w:rsidR="00463351" w:rsidRPr="00783059">
        <w:rPr>
          <w:rFonts w:ascii="Arial" w:hAnsi="Arial" w:cs="Arial"/>
        </w:rPr>
        <w:t>marginalized,</w:t>
      </w:r>
      <w:r w:rsidRPr="00783059">
        <w:rPr>
          <w:rFonts w:ascii="Arial" w:hAnsi="Arial" w:cs="Arial"/>
        </w:rPr>
        <w:t xml:space="preserve"> and postcolonial African education still mirrors colonial structures in both content and delivery without recourse to </w:t>
      </w:r>
      <w:r w:rsidR="009F43EB" w:rsidRPr="00783059">
        <w:rPr>
          <w:rFonts w:ascii="Arial" w:hAnsi="Arial" w:cs="Arial"/>
        </w:rPr>
        <w:t>learner’s</w:t>
      </w:r>
      <w:r w:rsidRPr="00783059">
        <w:rPr>
          <w:rFonts w:ascii="Arial" w:hAnsi="Arial" w:cs="Arial"/>
        </w:rPr>
        <w:t xml:space="preserve"> cultural context.</w:t>
      </w:r>
    </w:p>
    <w:p w14:paraId="203E221E" w14:textId="045C207C" w:rsidR="0034329C" w:rsidRDefault="006E74DD" w:rsidP="0034329C">
      <w:pPr>
        <w:pStyle w:val="Body"/>
        <w:rPr>
          <w:rFonts w:ascii="Arial" w:hAnsi="Arial" w:cs="Arial"/>
        </w:rPr>
      </w:pPr>
      <w:r w:rsidRPr="006E74DD">
        <w:rPr>
          <w:rFonts w:ascii="Arial" w:hAnsi="Arial" w:cs="Arial"/>
        </w:rPr>
        <w:t>While lecturers rated the instructional culture highly</w:t>
      </w:r>
      <w:r>
        <w:rPr>
          <w:rFonts w:ascii="Arial" w:hAnsi="Arial" w:cs="Arial"/>
        </w:rPr>
        <w:t xml:space="preserve">, </w:t>
      </w:r>
      <w:r w:rsidRPr="006E74DD">
        <w:rPr>
          <w:rFonts w:ascii="Arial" w:hAnsi="Arial" w:cs="Arial"/>
        </w:rPr>
        <w:t>indicating confidence in their teaching methods</w:t>
      </w:r>
      <w:r>
        <w:rPr>
          <w:rFonts w:ascii="Arial" w:hAnsi="Arial" w:cs="Arial"/>
        </w:rPr>
        <w:t xml:space="preserve">, </w:t>
      </w:r>
      <w:r w:rsidRPr="006E74DD">
        <w:rPr>
          <w:rFonts w:ascii="Arial" w:hAnsi="Arial" w:cs="Arial"/>
        </w:rPr>
        <w:t>students gave moderate scores, raising concerns about insufficient practical exposure and emphasizing the need for improved and updated instructional approaches.</w:t>
      </w:r>
      <w:r>
        <w:rPr>
          <w:rFonts w:ascii="Arial" w:hAnsi="Arial" w:cs="Arial"/>
        </w:rPr>
        <w:t xml:space="preserve"> </w:t>
      </w:r>
      <w:r w:rsidR="00783059" w:rsidRPr="00783059">
        <w:rPr>
          <w:rFonts w:ascii="Arial" w:hAnsi="Arial" w:cs="Arial"/>
        </w:rPr>
        <w:t>Freire (</w:t>
      </w:r>
      <w:r w:rsidR="00783059" w:rsidRPr="006E491D">
        <w:rPr>
          <w:rFonts w:ascii="Arial" w:hAnsi="Arial" w:cs="Arial"/>
        </w:rPr>
        <w:t>1970</w:t>
      </w:r>
      <w:r w:rsidR="00783059" w:rsidRPr="00783059">
        <w:rPr>
          <w:rFonts w:ascii="Arial" w:hAnsi="Arial" w:cs="Arial"/>
        </w:rPr>
        <w:t xml:space="preserve">) described these as the </w:t>
      </w:r>
      <w:r w:rsidR="00076757">
        <w:rPr>
          <w:rFonts w:ascii="Arial" w:hAnsi="Arial" w:cs="Arial"/>
        </w:rPr>
        <w:t>‘</w:t>
      </w:r>
      <w:r w:rsidR="00783059" w:rsidRPr="00783059">
        <w:rPr>
          <w:rFonts w:ascii="Arial" w:hAnsi="Arial" w:cs="Arial"/>
        </w:rPr>
        <w:t>banking model</w:t>
      </w:r>
      <w:r w:rsidR="00076757">
        <w:rPr>
          <w:rFonts w:ascii="Arial" w:hAnsi="Arial" w:cs="Arial"/>
        </w:rPr>
        <w:t>’</w:t>
      </w:r>
      <w:r w:rsidR="00783059" w:rsidRPr="00783059">
        <w:rPr>
          <w:rFonts w:ascii="Arial" w:hAnsi="Arial" w:cs="Arial"/>
        </w:rPr>
        <w:t xml:space="preserve"> of education where students are seen as passive recipients rather than co-creators of knowledge. These pedagogical hierarchies inhibit effective instructional delivery</w:t>
      </w:r>
      <w:r w:rsidR="00076757">
        <w:rPr>
          <w:rFonts w:ascii="Arial" w:hAnsi="Arial" w:cs="Arial"/>
        </w:rPr>
        <w:t>,</w:t>
      </w:r>
      <w:r w:rsidR="00783059" w:rsidRPr="00783059">
        <w:rPr>
          <w:rFonts w:ascii="Arial" w:hAnsi="Arial" w:cs="Arial"/>
        </w:rPr>
        <w:t xml:space="preserve"> silence the voice of students and obstruct meaningful feedback. </w:t>
      </w:r>
      <w:r w:rsidR="00B00BB1">
        <w:rPr>
          <w:rFonts w:ascii="Arial" w:hAnsi="Arial" w:cs="Arial"/>
        </w:rPr>
        <w:t>To</w:t>
      </w:r>
      <w:r w:rsidR="00783059" w:rsidRPr="00783059">
        <w:rPr>
          <w:rFonts w:ascii="Arial" w:hAnsi="Arial" w:cs="Arial"/>
        </w:rPr>
        <w:t xml:space="preserve"> address this</w:t>
      </w:r>
      <w:r w:rsidR="00B00BB1">
        <w:rPr>
          <w:rFonts w:ascii="Arial" w:hAnsi="Arial" w:cs="Arial"/>
        </w:rPr>
        <w:t>,</w:t>
      </w:r>
      <w:r w:rsidR="00783059" w:rsidRPr="00783059">
        <w:rPr>
          <w:rFonts w:ascii="Arial" w:hAnsi="Arial" w:cs="Arial"/>
        </w:rPr>
        <w:t xml:space="preserve"> a transformation culture is needed; one that is both systemic, reflective, participatory and relevant (Yang, </w:t>
      </w:r>
      <w:r w:rsidR="00783059" w:rsidRPr="006E491D">
        <w:rPr>
          <w:rFonts w:ascii="Arial" w:hAnsi="Arial" w:cs="Arial"/>
        </w:rPr>
        <w:t>2023</w:t>
      </w:r>
      <w:r w:rsidR="00783059" w:rsidRPr="00783059">
        <w:rPr>
          <w:rFonts w:ascii="Arial" w:hAnsi="Arial" w:cs="Arial"/>
        </w:rPr>
        <w:t>).</w:t>
      </w:r>
      <w:r w:rsidR="006E491D">
        <w:rPr>
          <w:rFonts w:ascii="Arial" w:hAnsi="Arial" w:cs="Arial"/>
        </w:rPr>
        <w:t xml:space="preserve"> </w:t>
      </w:r>
      <w:r w:rsidR="0034329C" w:rsidRPr="0034329C">
        <w:rPr>
          <w:rFonts w:ascii="Arial" w:hAnsi="Arial" w:cs="Arial"/>
        </w:rPr>
        <w:t>These findings point to a disconnection between instructional delivery and student learning experiences. While institutional actors may operate with the best intentions, the absence of timely and authentic student feedback creates blind spots that impede teaching effectiveness. Addressing this gap requires synergy between teachers and students in pedagogical planning</w:t>
      </w:r>
      <w:r w:rsidR="0034329C">
        <w:rPr>
          <w:rFonts w:ascii="Arial" w:hAnsi="Arial" w:cs="Arial"/>
        </w:rPr>
        <w:t>.</w:t>
      </w:r>
      <w:r w:rsidR="0034329C" w:rsidRPr="0034329C">
        <w:rPr>
          <w:rFonts w:ascii="Arial" w:hAnsi="Arial" w:cs="Arial"/>
        </w:rPr>
        <w:t xml:space="preserve"> Such collaboration will help minimize discrepancies in data, leading to more impactful curriculum implementation.</w:t>
      </w:r>
    </w:p>
    <w:bookmarkEnd w:id="4"/>
    <w:p w14:paraId="5D2ABBA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6DB090" w14:textId="77777777" w:rsidR="00790ADA" w:rsidRPr="00FB3A86" w:rsidRDefault="00790ADA" w:rsidP="00441B6F">
      <w:pPr>
        <w:pStyle w:val="ConcHead"/>
        <w:spacing w:after="0"/>
        <w:jc w:val="both"/>
        <w:rPr>
          <w:rFonts w:ascii="Arial" w:hAnsi="Arial" w:cs="Arial"/>
        </w:rPr>
      </w:pPr>
    </w:p>
    <w:p w14:paraId="02103141" w14:textId="77777777" w:rsidR="00022EE9" w:rsidRDefault="0034329C" w:rsidP="002C3FB6">
      <w:pPr>
        <w:pStyle w:val="Body"/>
        <w:spacing w:after="0"/>
        <w:rPr>
          <w:rFonts w:ascii="Arial" w:hAnsi="Arial" w:cs="Arial"/>
          <w:bCs/>
        </w:rPr>
      </w:pPr>
      <w:r w:rsidRPr="0034329C">
        <w:rPr>
          <w:rFonts w:ascii="Arial" w:hAnsi="Arial" w:cs="Arial"/>
        </w:rPr>
        <w:t xml:space="preserve">This study examined the characteristics that define instructional culture in music education, </w:t>
      </w:r>
      <w:r w:rsidR="00E140A1">
        <w:rPr>
          <w:rFonts w:ascii="Arial" w:hAnsi="Arial" w:cs="Arial"/>
        </w:rPr>
        <w:t xml:space="preserve">the </w:t>
      </w:r>
      <w:r w:rsidRPr="0034329C">
        <w:rPr>
          <w:rFonts w:ascii="Arial" w:hAnsi="Arial" w:cs="Arial"/>
        </w:rPr>
        <w:t xml:space="preserve">influence </w:t>
      </w:r>
      <w:r>
        <w:rPr>
          <w:rFonts w:ascii="Arial" w:hAnsi="Arial" w:cs="Arial"/>
        </w:rPr>
        <w:t xml:space="preserve">of </w:t>
      </w:r>
      <w:r w:rsidRPr="0034329C">
        <w:rPr>
          <w:rFonts w:ascii="Arial" w:hAnsi="Arial" w:cs="Arial"/>
        </w:rPr>
        <w:t>instructional culture on curriculum implementation and identified best practices across two institutions. The findings rev</w:t>
      </w:r>
      <w:r>
        <w:rPr>
          <w:rFonts w:ascii="Arial" w:hAnsi="Arial" w:cs="Arial"/>
        </w:rPr>
        <w:t>eal</w:t>
      </w:r>
      <w:r w:rsidRPr="0034329C">
        <w:rPr>
          <w:rFonts w:ascii="Arial" w:hAnsi="Arial" w:cs="Arial"/>
        </w:rPr>
        <w:t xml:space="preserve"> that while lecturers consistently reported that they practice positive and productive instructional culture</w:t>
      </w:r>
      <w:r>
        <w:rPr>
          <w:rFonts w:ascii="Arial" w:hAnsi="Arial" w:cs="Arial"/>
        </w:rPr>
        <w:t>,</w:t>
      </w:r>
      <w:r w:rsidRPr="0034329C">
        <w:rPr>
          <w:rFonts w:ascii="Arial" w:hAnsi="Arial" w:cs="Arial"/>
        </w:rPr>
        <w:t xml:space="preserve"> students express</w:t>
      </w:r>
      <w:r>
        <w:rPr>
          <w:rFonts w:ascii="Arial" w:hAnsi="Arial" w:cs="Arial"/>
        </w:rPr>
        <w:t>ed</w:t>
      </w:r>
      <w:r w:rsidRPr="0034329C">
        <w:rPr>
          <w:rFonts w:ascii="Arial" w:hAnsi="Arial" w:cs="Arial"/>
        </w:rPr>
        <w:t xml:space="preserve"> moderate satisfaction with the culture in their department. </w:t>
      </w:r>
      <w:r w:rsidR="00494914" w:rsidRPr="00494914">
        <w:rPr>
          <w:rFonts w:ascii="Arial" w:hAnsi="Arial" w:cs="Arial"/>
        </w:rPr>
        <w:t xml:space="preserve">From a theoretical standpoint, the discrepancies between students' and lecturers' perceptions of instructional culture </w:t>
      </w:r>
      <w:r w:rsidR="00627760" w:rsidRPr="00494914">
        <w:rPr>
          <w:rFonts w:ascii="Arial" w:hAnsi="Arial" w:cs="Arial"/>
        </w:rPr>
        <w:t>are</w:t>
      </w:r>
      <w:r w:rsidR="00494914" w:rsidRPr="00494914">
        <w:rPr>
          <w:rFonts w:ascii="Arial" w:hAnsi="Arial" w:cs="Arial"/>
        </w:rPr>
        <w:t xml:space="preserve"> a pointer to the need for a deeper exploration of constructivist and experiential learning theories in music education practices. These theories emphasize the integration of practical experiences with theoretical knowledge which is pivotal in enhancing curriculum implementation. By adopting these theoretical frameworks, educators can create a more dynamic, flexible and learner-centered approach which will in turn encourage creativity and real-world application of the course contents.</w:t>
      </w:r>
      <w:r w:rsidR="00494914">
        <w:rPr>
          <w:rFonts w:ascii="Arial" w:hAnsi="Arial" w:cs="Arial"/>
        </w:rPr>
        <w:t xml:space="preserve"> </w:t>
      </w:r>
      <w:r w:rsidR="00627760" w:rsidRPr="00B9063B">
        <w:rPr>
          <w:rFonts w:ascii="Arial" w:hAnsi="Arial" w:cs="Arial"/>
        </w:rPr>
        <w:t>Furthermore</w:t>
      </w:r>
      <w:r w:rsidR="00627760" w:rsidRPr="00627760">
        <w:rPr>
          <w:rFonts w:ascii="Arial" w:hAnsi="Arial" w:cs="Arial"/>
        </w:rPr>
        <w:t xml:space="preserve">, </w:t>
      </w:r>
      <w:r w:rsidR="00627760" w:rsidRPr="00B9063B">
        <w:rPr>
          <w:rFonts w:ascii="Arial" w:hAnsi="Arial" w:cs="Arial"/>
        </w:rPr>
        <w:t>a vibrant</w:t>
      </w:r>
      <w:r w:rsidR="00627760" w:rsidRPr="00627760">
        <w:rPr>
          <w:rFonts w:ascii="Arial" w:hAnsi="Arial" w:cs="Arial"/>
          <w:bCs/>
        </w:rPr>
        <w:t xml:space="preserve"> feedback mechanism between students and instructors will help ensure that instructional practices remain responsive to students' needs and expectations. </w:t>
      </w:r>
    </w:p>
    <w:p w14:paraId="4552D52E" w14:textId="73103D60" w:rsidR="001F02FA" w:rsidRPr="00022EE9" w:rsidRDefault="0034329C" w:rsidP="00B9063B">
      <w:pPr>
        <w:pStyle w:val="Body"/>
        <w:spacing w:after="0"/>
        <w:rPr>
          <w:rFonts w:ascii="Arial" w:hAnsi="Arial" w:cs="Arial"/>
          <w:bCs/>
        </w:rPr>
      </w:pPr>
      <w:r w:rsidRPr="0034329C">
        <w:rPr>
          <w:rFonts w:ascii="Arial" w:hAnsi="Arial" w:cs="Arial"/>
        </w:rPr>
        <w:t>Key differences were observed in perceptions regarding practical engagement, with lecturers largely reporting that their instructional methods are effective</w:t>
      </w:r>
      <w:r w:rsidR="00E140A1">
        <w:rPr>
          <w:rFonts w:ascii="Arial" w:hAnsi="Arial" w:cs="Arial"/>
        </w:rPr>
        <w:t>,</w:t>
      </w:r>
      <w:r w:rsidRPr="0034329C">
        <w:rPr>
          <w:rFonts w:ascii="Arial" w:hAnsi="Arial" w:cs="Arial"/>
        </w:rPr>
        <w:t xml:space="preserve"> but the students highlighted gaps in hands-on learning and access to musical instruments. These disparities in perception highlight the need for further </w:t>
      </w:r>
      <w:r w:rsidR="00E140A1">
        <w:rPr>
          <w:rFonts w:ascii="Arial" w:hAnsi="Arial" w:cs="Arial"/>
        </w:rPr>
        <w:t>alignment</w:t>
      </w:r>
      <w:r w:rsidR="00E140A1" w:rsidRPr="0034329C">
        <w:rPr>
          <w:rFonts w:ascii="Arial" w:hAnsi="Arial" w:cs="Arial"/>
        </w:rPr>
        <w:t xml:space="preserve"> </w:t>
      </w:r>
      <w:r w:rsidRPr="0034329C">
        <w:rPr>
          <w:rFonts w:ascii="Arial" w:hAnsi="Arial" w:cs="Arial"/>
        </w:rPr>
        <w:t>between teaching practice and students’ expectations.</w:t>
      </w:r>
      <w:r w:rsidR="00030BD6">
        <w:rPr>
          <w:rFonts w:ascii="Arial" w:hAnsi="Arial" w:cs="Arial"/>
        </w:rPr>
        <w:t xml:space="preserve"> </w:t>
      </w:r>
      <w:r w:rsidR="00F210AA" w:rsidRPr="0034329C">
        <w:rPr>
          <w:rFonts w:ascii="Arial" w:hAnsi="Arial" w:cs="Arial"/>
        </w:rPr>
        <w:t xml:space="preserve">The study also </w:t>
      </w:r>
      <w:r w:rsidR="00F210AA">
        <w:rPr>
          <w:rFonts w:ascii="Arial" w:hAnsi="Arial" w:cs="Arial"/>
        </w:rPr>
        <w:t>revealed</w:t>
      </w:r>
      <w:r w:rsidR="00F210AA" w:rsidRPr="0034329C">
        <w:rPr>
          <w:rFonts w:ascii="Arial" w:hAnsi="Arial" w:cs="Arial"/>
        </w:rPr>
        <w:t xml:space="preserve"> that instructional practices </w:t>
      </w:r>
      <w:r w:rsidR="00F210AA">
        <w:rPr>
          <w:rFonts w:ascii="Arial" w:hAnsi="Arial" w:cs="Arial"/>
        </w:rPr>
        <w:t>which</w:t>
      </w:r>
      <w:r w:rsidR="00F210AA" w:rsidRPr="0034329C">
        <w:rPr>
          <w:rFonts w:ascii="Arial" w:hAnsi="Arial" w:cs="Arial"/>
        </w:rPr>
        <w:t xml:space="preserve"> connect </w:t>
      </w:r>
      <w:r w:rsidR="00F210AA">
        <w:rPr>
          <w:rFonts w:ascii="Arial" w:hAnsi="Arial" w:cs="Arial"/>
        </w:rPr>
        <w:t>theory</w:t>
      </w:r>
      <w:r w:rsidR="00F210AA" w:rsidRPr="0034329C">
        <w:rPr>
          <w:rFonts w:ascii="Arial" w:hAnsi="Arial" w:cs="Arial"/>
        </w:rPr>
        <w:t xml:space="preserve"> with </w:t>
      </w:r>
      <w:r w:rsidR="00F210AA">
        <w:rPr>
          <w:rFonts w:ascii="Arial" w:hAnsi="Arial" w:cs="Arial"/>
        </w:rPr>
        <w:t>real-life applications, encourage critical thinking, promote student-</w:t>
      </w:r>
      <w:proofErr w:type="spellStart"/>
      <w:r w:rsidR="00F210AA">
        <w:rPr>
          <w:rFonts w:ascii="Arial" w:hAnsi="Arial" w:cs="Arial"/>
        </w:rPr>
        <w:t>centred</w:t>
      </w:r>
      <w:proofErr w:type="spellEnd"/>
      <w:r w:rsidR="00F210AA">
        <w:rPr>
          <w:rFonts w:ascii="Arial" w:hAnsi="Arial" w:cs="Arial"/>
        </w:rPr>
        <w:t xml:space="preserve"> learning and provide opportunity for real-life</w:t>
      </w:r>
      <w:r w:rsidR="00F210AA" w:rsidRPr="0034329C">
        <w:rPr>
          <w:rFonts w:ascii="Arial" w:hAnsi="Arial" w:cs="Arial"/>
        </w:rPr>
        <w:t xml:space="preserve"> practice</w:t>
      </w:r>
      <w:r w:rsidR="00F210AA">
        <w:rPr>
          <w:rFonts w:ascii="Arial" w:hAnsi="Arial" w:cs="Arial"/>
        </w:rPr>
        <w:t>,</w:t>
      </w:r>
      <w:r w:rsidR="00F210AA" w:rsidRPr="0034329C">
        <w:rPr>
          <w:rFonts w:ascii="Arial" w:hAnsi="Arial" w:cs="Arial"/>
        </w:rPr>
        <w:t xml:space="preserve"> </w:t>
      </w:r>
      <w:r w:rsidR="00F210AA">
        <w:rPr>
          <w:rFonts w:ascii="Arial" w:hAnsi="Arial" w:cs="Arial"/>
        </w:rPr>
        <w:t>are</w:t>
      </w:r>
      <w:r w:rsidR="00F210AA" w:rsidRPr="0034329C">
        <w:rPr>
          <w:rFonts w:ascii="Arial" w:hAnsi="Arial" w:cs="Arial"/>
        </w:rPr>
        <w:t xml:space="preserve"> widely accepted as best practices. However, infrastructure and resource limitations were topmost concerns among both groups</w:t>
      </w:r>
      <w:r w:rsidR="00F210AA">
        <w:rPr>
          <w:rFonts w:ascii="Arial" w:hAnsi="Arial" w:cs="Arial"/>
        </w:rPr>
        <w:t>,</w:t>
      </w:r>
      <w:r w:rsidR="00F210AA" w:rsidRPr="0034329C">
        <w:rPr>
          <w:rFonts w:ascii="Arial" w:hAnsi="Arial" w:cs="Arial"/>
        </w:rPr>
        <w:t xml:space="preserve"> point</w:t>
      </w:r>
      <w:r w:rsidR="00F210AA">
        <w:rPr>
          <w:rFonts w:ascii="Arial" w:hAnsi="Arial" w:cs="Arial"/>
        </w:rPr>
        <w:t>ing</w:t>
      </w:r>
      <w:r w:rsidR="00F210AA" w:rsidRPr="0034329C">
        <w:rPr>
          <w:rFonts w:ascii="Arial" w:hAnsi="Arial" w:cs="Arial"/>
        </w:rPr>
        <w:t xml:space="preserve"> </w:t>
      </w:r>
      <w:r w:rsidR="00F210AA">
        <w:rPr>
          <w:rFonts w:ascii="Arial" w:hAnsi="Arial" w:cs="Arial"/>
        </w:rPr>
        <w:t>t</w:t>
      </w:r>
      <w:r w:rsidR="00F210AA" w:rsidRPr="0034329C">
        <w:rPr>
          <w:rFonts w:ascii="Arial" w:hAnsi="Arial" w:cs="Arial"/>
        </w:rPr>
        <w:t>o the need for better institutional support to enhance curriculum implementation</w:t>
      </w:r>
      <w:r w:rsidR="00F210AA">
        <w:rPr>
          <w:rFonts w:ascii="Arial" w:hAnsi="Arial" w:cs="Arial"/>
        </w:rPr>
        <w:t>.</w:t>
      </w:r>
      <w:r w:rsidR="002C3FB6">
        <w:rPr>
          <w:rFonts w:ascii="Arial" w:hAnsi="Arial" w:cs="Arial"/>
        </w:rPr>
        <w:t xml:space="preserve"> </w:t>
      </w:r>
      <w:r w:rsidR="001F02FA" w:rsidRPr="001F02FA">
        <w:rPr>
          <w:rFonts w:ascii="Arial" w:hAnsi="Arial" w:cs="Arial"/>
          <w:bCs/>
        </w:rPr>
        <w:t>From a policy and practical perspective, these findings suggest that policymakers and educational administrators should address the issue of infrastructure and resource limitations as they are crucial for the sustainability of curriculum implementation. In the context of music education, they must prioritize investments in modern musical instruments, teaching tools, and technological resources that will motivate both lecturers and students to engagement with the curriculum. For instance, a simple gesture such as providing access to electric guitars, rather than only traditional acoustic instruments, could enable students to practice in line with current industry trends as electric guitars are commonly used in public performances. Similarly, investing in music production software like Ableton Live or Logic Pro would enable students to learn about contemporary music production, mixing, and editing, at their own pace.</w:t>
      </w:r>
      <w:r w:rsidR="00861211" w:rsidRPr="00861211">
        <w:rPr>
          <w:rFonts w:ascii="Arial" w:hAnsi="Arial" w:cs="Arial"/>
          <w:bCs/>
          <w:szCs w:val="18"/>
        </w:rPr>
        <w:t xml:space="preserve"> </w:t>
      </w:r>
      <w:r w:rsidR="00861211" w:rsidRPr="00861211">
        <w:rPr>
          <w:rFonts w:ascii="Arial" w:hAnsi="Arial" w:cs="Arial"/>
          <w:bCs/>
        </w:rPr>
        <w:t xml:space="preserve">Furthermore, integrating smartboards or interactive tablets </w:t>
      </w:r>
      <w:r w:rsidR="002C3FB6" w:rsidRPr="00861211">
        <w:rPr>
          <w:rFonts w:ascii="Arial" w:hAnsi="Arial" w:cs="Arial"/>
          <w:bCs/>
        </w:rPr>
        <w:t>into</w:t>
      </w:r>
      <w:r w:rsidR="00861211" w:rsidRPr="00861211">
        <w:rPr>
          <w:rFonts w:ascii="Arial" w:hAnsi="Arial" w:cs="Arial"/>
          <w:bCs/>
        </w:rPr>
        <w:t xml:space="preserve"> classrooms can facilitate teaching by displaying musical notations, audio-visual examples, sheet music, and real-time analysis of student performances. Students can experience concerts and real-world music environments without leaving the classroom through the use of Virtual reality (VR) setups that simulate live performances. Far from being merely aesthetics, these tools are indispensable in a modern world where music education must bridge the gap between academic training and professional practice</w:t>
      </w:r>
      <w:r w:rsidR="007815FC">
        <w:rPr>
          <w:rFonts w:ascii="Arial" w:hAnsi="Arial" w:cs="Arial"/>
          <w:bCs/>
        </w:rPr>
        <w:t>.</w:t>
      </w:r>
    </w:p>
    <w:p w14:paraId="7124EAB9" w14:textId="6D55EB5E" w:rsidR="0034329C" w:rsidRDefault="0034329C" w:rsidP="00441B6F">
      <w:pPr>
        <w:pStyle w:val="AcknHead"/>
        <w:spacing w:after="0"/>
        <w:jc w:val="both"/>
        <w:rPr>
          <w:rFonts w:ascii="Arial" w:hAnsi="Arial" w:cs="Arial"/>
          <w:b w:val="0"/>
          <w:caps w:val="0"/>
          <w:sz w:val="20"/>
        </w:rPr>
      </w:pPr>
      <w:r w:rsidRPr="0034329C">
        <w:rPr>
          <w:rFonts w:ascii="Arial" w:hAnsi="Arial" w:cs="Arial"/>
          <w:b w:val="0"/>
          <w:caps w:val="0"/>
          <w:sz w:val="20"/>
        </w:rPr>
        <w:lastRenderedPageBreak/>
        <w:t>This study</w:t>
      </w:r>
      <w:r w:rsidR="00E140A1">
        <w:rPr>
          <w:rFonts w:ascii="Arial" w:hAnsi="Arial" w:cs="Arial"/>
          <w:b w:val="0"/>
          <w:caps w:val="0"/>
          <w:sz w:val="20"/>
        </w:rPr>
        <w:t>, therefore,</w:t>
      </w:r>
      <w:r w:rsidRPr="0034329C">
        <w:rPr>
          <w:rFonts w:ascii="Arial" w:hAnsi="Arial" w:cs="Arial"/>
          <w:b w:val="0"/>
          <w:caps w:val="0"/>
          <w:sz w:val="20"/>
        </w:rPr>
        <w:t xml:space="preserve"> suggests th</w:t>
      </w:r>
      <w:bookmarkStart w:id="5" w:name="_GoBack"/>
      <w:bookmarkEnd w:id="5"/>
      <w:r w:rsidRPr="0034329C">
        <w:rPr>
          <w:rFonts w:ascii="Arial" w:hAnsi="Arial" w:cs="Arial"/>
          <w:b w:val="0"/>
          <w:caps w:val="0"/>
          <w:sz w:val="20"/>
        </w:rPr>
        <w:t>at improving the connection between instructional culture and curriculum delivery in music education requires concerted efforts. These efforts should address practical engagement both in and out of the classroom, as well as resource disparities</w:t>
      </w:r>
      <w:r>
        <w:rPr>
          <w:rFonts w:ascii="Arial" w:hAnsi="Arial" w:cs="Arial"/>
          <w:b w:val="0"/>
          <w:caps w:val="0"/>
          <w:sz w:val="20"/>
        </w:rPr>
        <w:t xml:space="preserve">, </w:t>
      </w:r>
      <w:r w:rsidRPr="0034329C">
        <w:rPr>
          <w:rFonts w:ascii="Arial" w:hAnsi="Arial" w:cs="Arial"/>
          <w:b w:val="0"/>
          <w:caps w:val="0"/>
          <w:sz w:val="20"/>
        </w:rPr>
        <w:t>particularly the availability of musical instruments and access to technological equipment</w:t>
      </w:r>
      <w:r>
        <w:rPr>
          <w:rFonts w:ascii="Arial" w:hAnsi="Arial" w:cs="Arial"/>
          <w:b w:val="0"/>
          <w:caps w:val="0"/>
          <w:sz w:val="20"/>
        </w:rPr>
        <w:t xml:space="preserve">, </w:t>
      </w:r>
      <w:r w:rsidRPr="0034329C">
        <w:rPr>
          <w:rFonts w:ascii="Arial" w:hAnsi="Arial" w:cs="Arial"/>
          <w:b w:val="0"/>
          <w:caps w:val="0"/>
          <w:sz w:val="20"/>
        </w:rPr>
        <w:t>to ensure a more responsive and inclusive learning environment.</w:t>
      </w:r>
    </w:p>
    <w:bookmarkEnd w:id="0"/>
    <w:p w14:paraId="0C7FE68D" w14:textId="77777777" w:rsidR="0034329C" w:rsidRDefault="0034329C" w:rsidP="00441B6F">
      <w:pPr>
        <w:pStyle w:val="AcknHead"/>
        <w:spacing w:after="0"/>
        <w:jc w:val="both"/>
        <w:rPr>
          <w:rFonts w:ascii="Arial" w:hAnsi="Arial" w:cs="Arial"/>
          <w:b w:val="0"/>
          <w:caps w:val="0"/>
          <w:sz w:val="20"/>
        </w:rPr>
      </w:pPr>
    </w:p>
    <w:p w14:paraId="3D18BCCA" w14:textId="6A73BA8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90F6C91" w14:textId="77777777" w:rsidR="002B685A" w:rsidRPr="002B685A" w:rsidRDefault="002B685A" w:rsidP="00441B6F">
      <w:pPr>
        <w:pStyle w:val="ReferHead"/>
        <w:spacing w:after="0"/>
        <w:jc w:val="both"/>
        <w:rPr>
          <w:rFonts w:ascii="Arial" w:hAnsi="Arial" w:cs="Arial"/>
          <w:bCs/>
        </w:rPr>
      </w:pPr>
    </w:p>
    <w:p w14:paraId="2EF6E811" w14:textId="77560C6A" w:rsidR="001A29D8" w:rsidRDefault="0034329C" w:rsidP="00441B6F">
      <w:pPr>
        <w:pStyle w:val="ReferHead"/>
        <w:spacing w:after="0"/>
        <w:jc w:val="both"/>
        <w:rPr>
          <w:rFonts w:ascii="Arial" w:hAnsi="Arial" w:cs="Arial"/>
          <w:b w:val="0"/>
          <w:caps w:val="0"/>
          <w:sz w:val="20"/>
        </w:rPr>
      </w:pPr>
      <w:r w:rsidRPr="0034329C">
        <w:rPr>
          <w:rFonts w:ascii="Arial" w:hAnsi="Arial" w:cs="Arial"/>
          <w:b w:val="0"/>
          <w:caps w:val="0"/>
          <w:sz w:val="20"/>
        </w:rPr>
        <w:t xml:space="preserve">The respondents were informed about the purpose of the research, and they all give their consent. They were also advised of their </w:t>
      </w:r>
      <w:r w:rsidR="00E140A1">
        <w:rPr>
          <w:rFonts w:ascii="Arial" w:hAnsi="Arial" w:cs="Arial"/>
          <w:b w:val="0"/>
          <w:caps w:val="0"/>
          <w:sz w:val="20"/>
        </w:rPr>
        <w:t>right</w:t>
      </w:r>
      <w:r w:rsidR="00E140A1" w:rsidRPr="0034329C">
        <w:rPr>
          <w:rFonts w:ascii="Arial" w:hAnsi="Arial" w:cs="Arial"/>
          <w:b w:val="0"/>
          <w:caps w:val="0"/>
          <w:sz w:val="20"/>
        </w:rPr>
        <w:t xml:space="preserve"> </w:t>
      </w:r>
      <w:r w:rsidRPr="0034329C">
        <w:rPr>
          <w:rFonts w:ascii="Arial" w:hAnsi="Arial" w:cs="Arial"/>
          <w:b w:val="0"/>
          <w:caps w:val="0"/>
          <w:sz w:val="20"/>
        </w:rPr>
        <w:t>to withdraw at any time without consequences.</w:t>
      </w:r>
    </w:p>
    <w:p w14:paraId="5131A253" w14:textId="77777777" w:rsidR="005C784C" w:rsidRDefault="005C784C" w:rsidP="00441B6F">
      <w:pPr>
        <w:pStyle w:val="ReferHead"/>
        <w:spacing w:after="0"/>
        <w:jc w:val="both"/>
        <w:rPr>
          <w:rFonts w:ascii="Arial" w:hAnsi="Arial" w:cs="Arial"/>
          <w:b w:val="0"/>
          <w:caps w:val="0"/>
          <w:sz w:val="20"/>
        </w:rPr>
      </w:pPr>
    </w:p>
    <w:p w14:paraId="782D354C" w14:textId="2106F5F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9629B11" w14:textId="77777777" w:rsidR="005C784C" w:rsidRPr="002B685A" w:rsidRDefault="005C784C" w:rsidP="00441B6F">
      <w:pPr>
        <w:pStyle w:val="ReferHead"/>
        <w:spacing w:after="0"/>
        <w:jc w:val="both"/>
        <w:rPr>
          <w:rFonts w:ascii="Arial" w:hAnsi="Arial" w:cs="Arial"/>
          <w:bCs/>
        </w:rPr>
      </w:pPr>
    </w:p>
    <w:p w14:paraId="11D6FDB9" w14:textId="70BF7053" w:rsidR="008474DC" w:rsidRDefault="0034329C" w:rsidP="0034329C">
      <w:pPr>
        <w:pStyle w:val="ReferHead"/>
        <w:rPr>
          <w:rFonts w:ascii="Arial" w:hAnsi="Arial" w:cs="Arial"/>
          <w:b w:val="0"/>
          <w:caps w:val="0"/>
          <w:sz w:val="20"/>
        </w:rPr>
      </w:pPr>
      <w:r w:rsidRPr="0034329C">
        <w:rPr>
          <w:rFonts w:ascii="Arial" w:hAnsi="Arial" w:cs="Arial"/>
          <w:b w:val="0"/>
          <w:caps w:val="0"/>
          <w:sz w:val="20"/>
        </w:rPr>
        <w:t>Prior to starting the study, ethical approval was obtained for all protocols from the Federal College of Education</w:t>
      </w:r>
      <w:r>
        <w:rPr>
          <w:rFonts w:ascii="Arial" w:hAnsi="Arial" w:cs="Arial"/>
          <w:b w:val="0"/>
          <w:caps w:val="0"/>
          <w:sz w:val="20"/>
        </w:rPr>
        <w:t>,</w:t>
      </w:r>
      <w:r w:rsidRPr="0034329C">
        <w:rPr>
          <w:rFonts w:ascii="Arial" w:hAnsi="Arial" w:cs="Arial"/>
          <w:b w:val="0"/>
          <w:caps w:val="0"/>
          <w:sz w:val="20"/>
        </w:rPr>
        <w:t xml:space="preserve"> Abeokuta</w:t>
      </w:r>
      <w:r w:rsidR="00E140A1">
        <w:rPr>
          <w:rFonts w:ascii="Arial" w:hAnsi="Arial" w:cs="Arial"/>
          <w:b w:val="0"/>
          <w:caps w:val="0"/>
          <w:sz w:val="20"/>
        </w:rPr>
        <w:t>,</w:t>
      </w:r>
      <w:r w:rsidRPr="0034329C">
        <w:rPr>
          <w:rFonts w:ascii="Arial" w:hAnsi="Arial" w:cs="Arial"/>
          <w:b w:val="0"/>
          <w:caps w:val="0"/>
          <w:sz w:val="20"/>
        </w:rPr>
        <w:t xml:space="preserve"> ethics committee</w:t>
      </w:r>
      <w:r>
        <w:rPr>
          <w:rFonts w:ascii="Arial" w:hAnsi="Arial" w:cs="Arial"/>
          <w:b w:val="0"/>
          <w:caps w:val="0"/>
          <w:sz w:val="20"/>
        </w:rPr>
        <w:t>.</w:t>
      </w:r>
    </w:p>
    <w:p w14:paraId="0479F3B0" w14:textId="77777777" w:rsidR="008474DC" w:rsidRPr="00DC68CA" w:rsidRDefault="008474DC" w:rsidP="008474DC">
      <w:pPr>
        <w:rPr>
          <w:rFonts w:ascii="Calibri" w:eastAsia="Calibri" w:hAnsi="Calibri"/>
          <w:b/>
          <w:kern w:val="2"/>
          <w:highlight w:val="yellow"/>
        </w:rPr>
      </w:pPr>
      <w:bookmarkStart w:id="6" w:name="_Hlk197682619"/>
      <w:bookmarkStart w:id="7" w:name="_Hlk180402183"/>
      <w:bookmarkStart w:id="8" w:name="_Hlk183680988"/>
      <w:r w:rsidRPr="00DC68CA">
        <w:rPr>
          <w:rFonts w:ascii="Calibri" w:eastAsia="Calibri" w:hAnsi="Calibri"/>
          <w:b/>
          <w:kern w:val="2"/>
          <w:highlight w:val="yellow"/>
        </w:rPr>
        <w:t>Disclaimer (Artificial intelligence)</w:t>
      </w:r>
    </w:p>
    <w:p w14:paraId="5586588A" w14:textId="77777777" w:rsidR="008474DC" w:rsidRDefault="008474DC" w:rsidP="008474DC">
      <w:pPr>
        <w:rPr>
          <w:rFonts w:ascii="Calibri" w:eastAsia="Calibri" w:hAnsi="Calibri"/>
          <w:kern w:val="2"/>
          <w:highlight w:val="yellow"/>
        </w:rPr>
      </w:pPr>
      <w:r>
        <w:rPr>
          <w:rFonts w:ascii="Calibri" w:eastAsia="Calibri" w:hAnsi="Calibri"/>
          <w:kern w:val="2"/>
          <w:highlight w:val="yellow"/>
        </w:rPr>
        <w:t xml:space="preserve">Option 1: </w:t>
      </w:r>
    </w:p>
    <w:p w14:paraId="1DFF896A" w14:textId="77777777" w:rsidR="008474DC" w:rsidRDefault="008474DC" w:rsidP="008474DC">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6"/>
    <w:bookmarkEnd w:id="7"/>
    <w:bookmarkEnd w:id="8"/>
    <w:p w14:paraId="79764995" w14:textId="77777777" w:rsidR="008474DC" w:rsidRDefault="008474DC" w:rsidP="0034329C">
      <w:pPr>
        <w:pStyle w:val="ReferHead"/>
        <w:rPr>
          <w:rFonts w:ascii="Arial" w:hAnsi="Arial" w:cs="Arial"/>
          <w:b w:val="0"/>
          <w:caps w:val="0"/>
          <w:sz w:val="20"/>
        </w:rPr>
      </w:pPr>
    </w:p>
    <w:p w14:paraId="042F8C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39ABE8" w14:textId="77777777" w:rsidR="00790ADA" w:rsidRPr="00FB3A86" w:rsidRDefault="00790ADA" w:rsidP="00441B6F">
      <w:pPr>
        <w:pStyle w:val="ReferHead"/>
        <w:spacing w:after="0"/>
        <w:jc w:val="both"/>
        <w:rPr>
          <w:rFonts w:ascii="Arial" w:hAnsi="Arial" w:cs="Arial"/>
        </w:rPr>
      </w:pPr>
    </w:p>
    <w:p w14:paraId="6EA2E487" w14:textId="77777777" w:rsidR="006575CC" w:rsidRDefault="006575CC" w:rsidP="006575CC">
      <w:pPr>
        <w:pStyle w:val="Body"/>
        <w:rPr>
          <w:rFonts w:ascii="Arial" w:hAnsi="Arial" w:cs="Arial"/>
        </w:rPr>
      </w:pPr>
      <w:r w:rsidRPr="00365A9A">
        <w:rPr>
          <w:rFonts w:ascii="Arial" w:hAnsi="Arial" w:cs="Arial"/>
        </w:rPr>
        <w:t xml:space="preserve">Abril, C. R. (2013). Toward a more culturally responsive general music classroom. General Music Today, 27(1), 6–11. </w:t>
      </w:r>
      <w:hyperlink r:id="rId9" w:history="1">
        <w:r w:rsidRPr="002069B2">
          <w:rPr>
            <w:rStyle w:val="Hyperlink"/>
            <w:rFonts w:ascii="Arial" w:hAnsi="Arial" w:cs="Arial"/>
          </w:rPr>
          <w:t>https://doi.org/10.1177/1048371313478946</w:t>
        </w:r>
      </w:hyperlink>
      <w:r>
        <w:rPr>
          <w:rFonts w:ascii="Arial" w:hAnsi="Arial" w:cs="Arial"/>
        </w:rPr>
        <w:t xml:space="preserve"> </w:t>
      </w:r>
    </w:p>
    <w:p w14:paraId="3886EBC6" w14:textId="77777777" w:rsidR="00961556" w:rsidRPr="0034329C" w:rsidRDefault="00961556" w:rsidP="0034329C">
      <w:pPr>
        <w:pStyle w:val="Body"/>
        <w:rPr>
          <w:rFonts w:ascii="Arial" w:hAnsi="Arial" w:cs="Arial"/>
        </w:rPr>
      </w:pPr>
      <w:r w:rsidRPr="0034329C">
        <w:rPr>
          <w:rFonts w:ascii="Arial" w:hAnsi="Arial" w:cs="Arial"/>
        </w:rPr>
        <w:t xml:space="preserve">Adeniyi, I. S., Al Hamad, N. M., Adewusi, O. E., </w:t>
      </w:r>
      <w:proofErr w:type="spellStart"/>
      <w:r w:rsidRPr="0034329C">
        <w:rPr>
          <w:rFonts w:ascii="Arial" w:hAnsi="Arial" w:cs="Arial"/>
        </w:rPr>
        <w:t>Unachukwu</w:t>
      </w:r>
      <w:proofErr w:type="spellEnd"/>
      <w:r w:rsidRPr="0034329C">
        <w:rPr>
          <w:rFonts w:ascii="Arial" w:hAnsi="Arial" w:cs="Arial"/>
        </w:rPr>
        <w:t xml:space="preserve">, C. C., </w:t>
      </w:r>
      <w:proofErr w:type="spellStart"/>
      <w:r w:rsidRPr="0034329C">
        <w:rPr>
          <w:rFonts w:ascii="Arial" w:hAnsi="Arial" w:cs="Arial"/>
        </w:rPr>
        <w:t>Osawaru</w:t>
      </w:r>
      <w:proofErr w:type="spellEnd"/>
      <w:r w:rsidRPr="0034329C">
        <w:rPr>
          <w:rFonts w:ascii="Arial" w:hAnsi="Arial" w:cs="Arial"/>
        </w:rPr>
        <w:t xml:space="preserve">, B., Onyebuchi, C. N., et., al. (2024). Educational reforms and their impact on student performance: A review in African Countries. World Journal of Advanced Research and Reviews, 21(2), 750-762. </w:t>
      </w:r>
      <w:hyperlink r:id="rId10" w:history="1">
        <w:bookmarkStart w:id="9" w:name="_Hlk200214587"/>
        <w:r w:rsidRPr="0034329C">
          <w:rPr>
            <w:rStyle w:val="Hyperlink"/>
            <w:rFonts w:ascii="Arial" w:hAnsi="Arial" w:cs="Arial"/>
          </w:rPr>
          <w:t>https://doi.org/</w:t>
        </w:r>
        <w:bookmarkEnd w:id="9"/>
        <w:r w:rsidRPr="0034329C">
          <w:rPr>
            <w:rStyle w:val="Hyperlink"/>
            <w:rFonts w:ascii="Arial" w:hAnsi="Arial" w:cs="Arial"/>
          </w:rPr>
          <w:t>10.30574/wjarr.2024.21.2.0490</w:t>
        </w:r>
      </w:hyperlink>
      <w:r w:rsidRPr="0034329C">
        <w:rPr>
          <w:rFonts w:ascii="Arial" w:hAnsi="Arial" w:cs="Arial"/>
        </w:rPr>
        <w:t xml:space="preserve"> </w:t>
      </w:r>
    </w:p>
    <w:p w14:paraId="2B0FCBE5" w14:textId="77777777" w:rsidR="00961556" w:rsidRPr="0034329C" w:rsidRDefault="00961556" w:rsidP="0034329C">
      <w:pPr>
        <w:pStyle w:val="Body"/>
        <w:rPr>
          <w:rFonts w:ascii="Arial" w:hAnsi="Arial" w:cs="Arial"/>
        </w:rPr>
      </w:pPr>
      <w:proofErr w:type="spellStart"/>
      <w:r w:rsidRPr="0034329C">
        <w:rPr>
          <w:rFonts w:ascii="Arial" w:hAnsi="Arial" w:cs="Arial"/>
        </w:rPr>
        <w:t>Adjepong</w:t>
      </w:r>
      <w:proofErr w:type="spellEnd"/>
      <w:r w:rsidRPr="0034329C">
        <w:rPr>
          <w:rFonts w:ascii="Arial" w:hAnsi="Arial" w:cs="Arial"/>
        </w:rPr>
        <w:t xml:space="preserve">, B. (2021). General methods of teaching music in the primary school. Asian Research Journal of Arts &amp; Social Sciences, 13(4), 23-34. </w:t>
      </w:r>
      <w:hyperlink r:id="rId11" w:history="1">
        <w:r w:rsidRPr="0034329C">
          <w:rPr>
            <w:rStyle w:val="Hyperlink"/>
            <w:rFonts w:ascii="Arial" w:hAnsi="Arial" w:cs="Arial"/>
          </w:rPr>
          <w:t>https://doi.org/10.9734/ARJASS/2021/v13i430221</w:t>
        </w:r>
      </w:hyperlink>
      <w:r w:rsidRPr="0034329C">
        <w:rPr>
          <w:rFonts w:ascii="Arial" w:hAnsi="Arial" w:cs="Arial"/>
        </w:rPr>
        <w:t xml:space="preserve"> </w:t>
      </w:r>
    </w:p>
    <w:p w14:paraId="180DD62D" w14:textId="77777777" w:rsidR="00961556" w:rsidRPr="0034329C" w:rsidRDefault="00961556" w:rsidP="0034329C">
      <w:pPr>
        <w:pStyle w:val="Body"/>
        <w:rPr>
          <w:rFonts w:ascii="Arial" w:hAnsi="Arial" w:cs="Arial"/>
        </w:rPr>
      </w:pPr>
      <w:r w:rsidRPr="0034329C">
        <w:rPr>
          <w:rFonts w:ascii="Arial" w:hAnsi="Arial" w:cs="Arial"/>
        </w:rPr>
        <w:t xml:space="preserve">Ajose, S. &amp; Alade, B. O. (2023). Status of music education </w:t>
      </w:r>
      <w:proofErr w:type="spellStart"/>
      <w:r w:rsidRPr="0034329C">
        <w:rPr>
          <w:rFonts w:ascii="Arial" w:hAnsi="Arial" w:cs="Arial"/>
        </w:rPr>
        <w:t>programme</w:t>
      </w:r>
      <w:proofErr w:type="spellEnd"/>
      <w:r w:rsidRPr="0034329C">
        <w:rPr>
          <w:rFonts w:ascii="Arial" w:hAnsi="Arial" w:cs="Arial"/>
        </w:rPr>
        <w:t xml:space="preserve"> in the Colleges of Education in a Southwestern senatorial district in Nigeria. </w:t>
      </w:r>
      <w:proofErr w:type="spellStart"/>
      <w:r w:rsidRPr="0034329C">
        <w:rPr>
          <w:rFonts w:ascii="Arial" w:hAnsi="Arial" w:cs="Arial"/>
        </w:rPr>
        <w:t>Sapientia</w:t>
      </w:r>
      <w:proofErr w:type="spellEnd"/>
      <w:r w:rsidRPr="0034329C">
        <w:rPr>
          <w:rFonts w:ascii="Arial" w:hAnsi="Arial" w:cs="Arial"/>
        </w:rPr>
        <w:t xml:space="preserve"> Foundation Journal of Education, Sciences and Gender Studies, 5(4). 13-28.</w:t>
      </w:r>
    </w:p>
    <w:p w14:paraId="65DE48D9" w14:textId="77777777" w:rsidR="00961556" w:rsidRPr="0034329C" w:rsidRDefault="00961556" w:rsidP="0034329C">
      <w:pPr>
        <w:pStyle w:val="Body"/>
        <w:rPr>
          <w:rFonts w:ascii="Arial" w:hAnsi="Arial" w:cs="Arial"/>
        </w:rPr>
      </w:pPr>
      <w:r w:rsidRPr="0034329C">
        <w:rPr>
          <w:rFonts w:ascii="Arial" w:hAnsi="Arial" w:cs="Arial"/>
        </w:rPr>
        <w:t xml:space="preserve">Akinsanya, P. O., &amp; </w:t>
      </w:r>
      <w:proofErr w:type="spellStart"/>
      <w:r w:rsidRPr="0034329C">
        <w:rPr>
          <w:rFonts w:ascii="Arial" w:hAnsi="Arial" w:cs="Arial"/>
        </w:rPr>
        <w:t>Ojotule</w:t>
      </w:r>
      <w:proofErr w:type="spellEnd"/>
      <w:r w:rsidRPr="0034329C">
        <w:rPr>
          <w:rFonts w:ascii="Arial" w:hAnsi="Arial" w:cs="Arial"/>
        </w:rPr>
        <w:t>, A. O. (2022). Migrating from naïve consciousness to critical consciousness in teaching/learning: Building a better Nigerian society via Freirean critical pedagogy. </w:t>
      </w:r>
      <w:r w:rsidRPr="0034329C">
        <w:rPr>
          <w:rFonts w:ascii="Arial" w:hAnsi="Arial" w:cs="Arial"/>
          <w:i/>
          <w:iCs/>
        </w:rPr>
        <w:t>Journal of Issue in Education</w:t>
      </w:r>
      <w:r w:rsidRPr="0034329C">
        <w:rPr>
          <w:rFonts w:ascii="Arial" w:hAnsi="Arial" w:cs="Arial"/>
        </w:rPr>
        <w:t>, </w:t>
      </w:r>
      <w:r w:rsidRPr="0034329C">
        <w:rPr>
          <w:rFonts w:ascii="Arial" w:hAnsi="Arial" w:cs="Arial"/>
          <w:i/>
          <w:iCs/>
        </w:rPr>
        <w:t>45</w:t>
      </w:r>
      <w:r w:rsidRPr="0034329C">
        <w:rPr>
          <w:rFonts w:ascii="Arial" w:hAnsi="Arial" w:cs="Arial"/>
        </w:rPr>
        <w:t xml:space="preserve">, 24-38. </w:t>
      </w:r>
      <w:hyperlink r:id="rId12" w:history="1">
        <w:r w:rsidRPr="0034329C">
          <w:rPr>
            <w:rStyle w:val="Hyperlink"/>
            <w:rFonts w:ascii="Arial" w:hAnsi="Arial" w:cs="Arial"/>
          </w:rPr>
          <w:t>https://jrmg.um.edu.my/index.php/JIIE/article/view/41113/15400</w:t>
        </w:r>
      </w:hyperlink>
      <w:r w:rsidRPr="0034329C">
        <w:rPr>
          <w:rFonts w:ascii="Arial" w:hAnsi="Arial" w:cs="Arial"/>
        </w:rPr>
        <w:t xml:space="preserve"> </w:t>
      </w:r>
    </w:p>
    <w:p w14:paraId="1B9D9822" w14:textId="77777777" w:rsidR="00961556" w:rsidRPr="0034329C" w:rsidRDefault="00961556" w:rsidP="0034329C">
      <w:pPr>
        <w:pStyle w:val="Body"/>
        <w:rPr>
          <w:rFonts w:ascii="Arial" w:hAnsi="Arial" w:cs="Arial"/>
        </w:rPr>
      </w:pPr>
      <w:r w:rsidRPr="0034329C">
        <w:rPr>
          <w:rFonts w:ascii="Arial" w:hAnsi="Arial" w:cs="Arial"/>
        </w:rPr>
        <w:t xml:space="preserve">Alemu, M., Kind, V., </w:t>
      </w:r>
      <w:proofErr w:type="spellStart"/>
      <w:r w:rsidRPr="0034329C">
        <w:rPr>
          <w:rFonts w:ascii="Arial" w:hAnsi="Arial" w:cs="Arial"/>
        </w:rPr>
        <w:t>Basheh</w:t>
      </w:r>
      <w:proofErr w:type="spellEnd"/>
      <w:r w:rsidRPr="0034329C">
        <w:rPr>
          <w:rFonts w:ascii="Arial" w:hAnsi="Arial" w:cs="Arial"/>
        </w:rPr>
        <w:t xml:space="preserve">, M., Michael, K., </w:t>
      </w:r>
      <w:proofErr w:type="spellStart"/>
      <w:r w:rsidRPr="0034329C">
        <w:rPr>
          <w:rFonts w:ascii="Arial" w:hAnsi="Arial" w:cs="Arial"/>
        </w:rPr>
        <w:t>Atnafu</w:t>
      </w:r>
      <w:proofErr w:type="spellEnd"/>
      <w:r w:rsidRPr="0034329C">
        <w:rPr>
          <w:rFonts w:ascii="Arial" w:hAnsi="Arial" w:cs="Arial"/>
        </w:rPr>
        <w:t xml:space="preserve">, M., Kind, P., &amp; Rajab, T. (2021). The knowledge gap between intended and attained curriculum in Ethiopian teacher education: identifying challenges for future development. </w:t>
      </w:r>
      <w:r w:rsidRPr="0034329C">
        <w:rPr>
          <w:rFonts w:ascii="Arial" w:hAnsi="Arial" w:cs="Arial"/>
          <w:i/>
          <w:iCs/>
        </w:rPr>
        <w:t>Compare: A Journal of Comparative and International Education, 51</w:t>
      </w:r>
      <w:r w:rsidRPr="0034329C">
        <w:rPr>
          <w:rFonts w:ascii="Arial" w:hAnsi="Arial" w:cs="Arial"/>
        </w:rPr>
        <w:t xml:space="preserve">(1), 81-98. </w:t>
      </w:r>
      <w:hyperlink r:id="rId13" w:history="1">
        <w:r w:rsidRPr="0034329C">
          <w:rPr>
            <w:rStyle w:val="Hyperlink"/>
            <w:rFonts w:ascii="Arial" w:hAnsi="Arial" w:cs="Arial"/>
          </w:rPr>
          <w:t>https://doi.org/10.1080/03057925.2019.1593107</w:t>
        </w:r>
      </w:hyperlink>
      <w:r w:rsidRPr="0034329C">
        <w:rPr>
          <w:rFonts w:ascii="Arial" w:hAnsi="Arial" w:cs="Arial"/>
        </w:rPr>
        <w:t xml:space="preserve"> </w:t>
      </w:r>
    </w:p>
    <w:p w14:paraId="07E20807" w14:textId="77777777" w:rsidR="00961556" w:rsidRPr="0034329C" w:rsidRDefault="00961556" w:rsidP="0034329C">
      <w:pPr>
        <w:pStyle w:val="Body"/>
        <w:rPr>
          <w:rFonts w:ascii="Arial" w:hAnsi="Arial" w:cs="Arial"/>
        </w:rPr>
      </w:pPr>
      <w:r w:rsidRPr="0034329C">
        <w:rPr>
          <w:rFonts w:ascii="Arial" w:hAnsi="Arial" w:cs="Arial"/>
        </w:rPr>
        <w:t xml:space="preserve">Bautista, A., Stanley, A. M., &amp; </w:t>
      </w:r>
      <w:proofErr w:type="spellStart"/>
      <w:r w:rsidRPr="0034329C">
        <w:rPr>
          <w:rFonts w:ascii="Arial" w:hAnsi="Arial" w:cs="Arial"/>
        </w:rPr>
        <w:t>Candusso</w:t>
      </w:r>
      <w:proofErr w:type="spellEnd"/>
      <w:r w:rsidRPr="0034329C">
        <w:rPr>
          <w:rFonts w:ascii="Arial" w:hAnsi="Arial" w:cs="Arial"/>
        </w:rPr>
        <w:t xml:space="preserve">, F. (2021). Policy strategies to remedy isolation of specialist arts and music teachers. </w:t>
      </w:r>
      <w:r w:rsidRPr="0034329C">
        <w:rPr>
          <w:rFonts w:ascii="Arial" w:hAnsi="Arial" w:cs="Arial"/>
          <w:i/>
          <w:iCs/>
        </w:rPr>
        <w:t>Arts Education Policy Review, 122</w:t>
      </w:r>
      <w:r w:rsidRPr="0034329C">
        <w:rPr>
          <w:rFonts w:ascii="Arial" w:hAnsi="Arial" w:cs="Arial"/>
        </w:rPr>
        <w:t xml:space="preserve">(1), 42-53. </w:t>
      </w:r>
      <w:hyperlink r:id="rId14" w:history="1">
        <w:r w:rsidRPr="0034329C">
          <w:rPr>
            <w:rStyle w:val="Hyperlink"/>
            <w:rFonts w:ascii="Arial" w:hAnsi="Arial" w:cs="Arial"/>
          </w:rPr>
          <w:t>https://doi.org/10.1080/10632913.2020.1746713</w:t>
        </w:r>
      </w:hyperlink>
      <w:r w:rsidRPr="0034329C">
        <w:rPr>
          <w:rFonts w:ascii="Arial" w:hAnsi="Arial" w:cs="Arial"/>
        </w:rPr>
        <w:t xml:space="preserve"> </w:t>
      </w:r>
    </w:p>
    <w:p w14:paraId="055AA673" w14:textId="77777777" w:rsidR="00961556" w:rsidRDefault="00961556" w:rsidP="0034329C">
      <w:pPr>
        <w:pStyle w:val="Body"/>
        <w:rPr>
          <w:rFonts w:ascii="Arial" w:hAnsi="Arial" w:cs="Arial"/>
        </w:rPr>
      </w:pPr>
      <w:r w:rsidRPr="0046584A">
        <w:rPr>
          <w:rFonts w:ascii="Arial" w:hAnsi="Arial" w:cs="Arial"/>
        </w:rPr>
        <w:t>Chiba, M., &amp; Hebert, D. G. (2025). Understandings of inclusivity in music education: a comparative policy study of Luxembourg and Japan. </w:t>
      </w:r>
      <w:r w:rsidRPr="0046584A">
        <w:rPr>
          <w:rFonts w:ascii="Arial" w:hAnsi="Arial" w:cs="Arial"/>
          <w:i/>
          <w:iCs/>
        </w:rPr>
        <w:t>Music Education Research</w:t>
      </w:r>
      <w:r w:rsidRPr="0046584A">
        <w:rPr>
          <w:rFonts w:ascii="Arial" w:hAnsi="Arial" w:cs="Arial"/>
        </w:rPr>
        <w:t>, </w:t>
      </w:r>
      <w:r w:rsidRPr="0046584A">
        <w:rPr>
          <w:rFonts w:ascii="Arial" w:hAnsi="Arial" w:cs="Arial"/>
          <w:i/>
          <w:iCs/>
        </w:rPr>
        <w:t>27</w:t>
      </w:r>
      <w:r w:rsidRPr="0046584A">
        <w:rPr>
          <w:rFonts w:ascii="Arial" w:hAnsi="Arial" w:cs="Arial"/>
        </w:rPr>
        <w:t>(1), 37-53.</w:t>
      </w:r>
      <w:r>
        <w:rPr>
          <w:rFonts w:ascii="Arial" w:hAnsi="Arial" w:cs="Arial"/>
        </w:rPr>
        <w:t xml:space="preserve"> </w:t>
      </w:r>
      <w:hyperlink r:id="rId15" w:history="1">
        <w:r w:rsidRPr="002069B2">
          <w:rPr>
            <w:rStyle w:val="Hyperlink"/>
            <w:rFonts w:ascii="Arial" w:hAnsi="Arial" w:cs="Arial"/>
          </w:rPr>
          <w:t>https://doi.org/10.1080/14613808.2024.2434839</w:t>
        </w:r>
      </w:hyperlink>
      <w:r>
        <w:rPr>
          <w:rFonts w:ascii="Arial" w:hAnsi="Arial" w:cs="Arial"/>
        </w:rPr>
        <w:t xml:space="preserve"> </w:t>
      </w:r>
    </w:p>
    <w:p w14:paraId="01B03C35" w14:textId="77777777" w:rsidR="00961556" w:rsidRPr="0034329C" w:rsidRDefault="00961556" w:rsidP="0034329C">
      <w:pPr>
        <w:pStyle w:val="Body"/>
        <w:rPr>
          <w:rFonts w:ascii="Arial" w:hAnsi="Arial" w:cs="Arial"/>
        </w:rPr>
      </w:pPr>
      <w:r w:rsidRPr="0034329C">
        <w:rPr>
          <w:rFonts w:ascii="Arial" w:hAnsi="Arial" w:cs="Arial"/>
        </w:rPr>
        <w:t xml:space="preserve">Chigbu, P. O., &amp; Adamu, M. A. (2023). Instructional Materials and Curriculum Development in Nigerian Educational System: Challenges and Prospects. </w:t>
      </w:r>
      <w:r w:rsidRPr="0034329C">
        <w:rPr>
          <w:rFonts w:ascii="Arial" w:hAnsi="Arial" w:cs="Arial"/>
          <w:i/>
          <w:iCs/>
        </w:rPr>
        <w:t>International Journal of Formal Education, 2</w:t>
      </w:r>
      <w:r w:rsidRPr="0034329C">
        <w:rPr>
          <w:rFonts w:ascii="Arial" w:hAnsi="Arial" w:cs="Arial"/>
        </w:rPr>
        <w:t>(12), 392-406.</w:t>
      </w:r>
    </w:p>
    <w:p w14:paraId="61027A18" w14:textId="77777777" w:rsidR="00961556" w:rsidRPr="0034329C" w:rsidRDefault="00961556" w:rsidP="0034329C">
      <w:pPr>
        <w:pStyle w:val="Body"/>
        <w:rPr>
          <w:rFonts w:ascii="Arial" w:hAnsi="Arial" w:cs="Arial"/>
        </w:rPr>
      </w:pPr>
      <w:r w:rsidRPr="0034329C">
        <w:rPr>
          <w:rFonts w:ascii="Arial" w:hAnsi="Arial" w:cs="Arial"/>
        </w:rPr>
        <w:t>Concina, E. (2023). Effective Music Teachers and Effective Music Teaching Today: A Systematic Review. </w:t>
      </w:r>
      <w:r w:rsidRPr="0034329C">
        <w:rPr>
          <w:rFonts w:ascii="Arial" w:hAnsi="Arial" w:cs="Arial"/>
          <w:i/>
          <w:iCs/>
        </w:rPr>
        <w:t>Education Sciences</w:t>
      </w:r>
      <w:r w:rsidRPr="0034329C">
        <w:rPr>
          <w:rFonts w:ascii="Arial" w:hAnsi="Arial" w:cs="Arial"/>
        </w:rPr>
        <w:t>, </w:t>
      </w:r>
      <w:r w:rsidRPr="0034329C">
        <w:rPr>
          <w:rFonts w:ascii="Arial" w:hAnsi="Arial" w:cs="Arial"/>
          <w:i/>
          <w:iCs/>
        </w:rPr>
        <w:t>13</w:t>
      </w:r>
      <w:r w:rsidRPr="0034329C">
        <w:rPr>
          <w:rFonts w:ascii="Arial" w:hAnsi="Arial" w:cs="Arial"/>
        </w:rPr>
        <w:t xml:space="preserve">(2), 107. </w:t>
      </w:r>
      <w:hyperlink r:id="rId16" w:history="1">
        <w:r w:rsidRPr="0034329C">
          <w:rPr>
            <w:rStyle w:val="Hyperlink"/>
            <w:rFonts w:ascii="Arial" w:hAnsi="Arial" w:cs="Arial"/>
          </w:rPr>
          <w:t>https://doi.org/10.3390/educsci13020107</w:t>
        </w:r>
      </w:hyperlink>
    </w:p>
    <w:p w14:paraId="3712D771" w14:textId="77777777" w:rsidR="00961556" w:rsidRPr="0034329C" w:rsidRDefault="00961556" w:rsidP="0034329C">
      <w:pPr>
        <w:pStyle w:val="Body"/>
        <w:rPr>
          <w:rFonts w:ascii="Arial" w:hAnsi="Arial" w:cs="Arial"/>
        </w:rPr>
      </w:pPr>
      <w:r w:rsidRPr="0034329C">
        <w:rPr>
          <w:rFonts w:ascii="Arial" w:hAnsi="Arial" w:cs="Arial"/>
        </w:rPr>
        <w:t>Concina, E. (2023). Effective music teachers and effective music teaching today: A systematic review. </w:t>
      </w:r>
      <w:r w:rsidRPr="0034329C">
        <w:rPr>
          <w:rFonts w:ascii="Arial" w:hAnsi="Arial" w:cs="Arial"/>
          <w:i/>
          <w:iCs/>
        </w:rPr>
        <w:t>Education Sciences</w:t>
      </w:r>
      <w:r w:rsidRPr="0034329C">
        <w:rPr>
          <w:rFonts w:ascii="Arial" w:hAnsi="Arial" w:cs="Arial"/>
        </w:rPr>
        <w:t>, </w:t>
      </w:r>
      <w:r w:rsidRPr="0034329C">
        <w:rPr>
          <w:rFonts w:ascii="Arial" w:hAnsi="Arial" w:cs="Arial"/>
          <w:i/>
          <w:iCs/>
        </w:rPr>
        <w:t>13</w:t>
      </w:r>
      <w:r w:rsidRPr="0034329C">
        <w:rPr>
          <w:rFonts w:ascii="Arial" w:hAnsi="Arial" w:cs="Arial"/>
        </w:rPr>
        <w:t xml:space="preserve">(2), 107. </w:t>
      </w:r>
      <w:hyperlink r:id="rId17" w:history="1">
        <w:r w:rsidRPr="0034329C">
          <w:rPr>
            <w:rStyle w:val="Hyperlink"/>
            <w:rFonts w:ascii="Arial" w:hAnsi="Arial" w:cs="Arial"/>
          </w:rPr>
          <w:t>https://doi.org/10.3390/educsci13020107</w:t>
        </w:r>
      </w:hyperlink>
      <w:r w:rsidRPr="0034329C">
        <w:rPr>
          <w:rFonts w:ascii="Arial" w:hAnsi="Arial" w:cs="Arial"/>
        </w:rPr>
        <w:t xml:space="preserve"> </w:t>
      </w:r>
    </w:p>
    <w:p w14:paraId="68DFEA08" w14:textId="77777777" w:rsidR="00961556" w:rsidRPr="0034329C" w:rsidRDefault="00961556" w:rsidP="0034329C">
      <w:pPr>
        <w:pStyle w:val="Body"/>
        <w:rPr>
          <w:rFonts w:ascii="Arial" w:hAnsi="Arial" w:cs="Arial"/>
        </w:rPr>
      </w:pPr>
      <w:r w:rsidRPr="0034329C">
        <w:rPr>
          <w:rFonts w:ascii="Arial" w:hAnsi="Arial" w:cs="Arial"/>
        </w:rPr>
        <w:lastRenderedPageBreak/>
        <w:t xml:space="preserve">Doyle, T. (2023). </w:t>
      </w:r>
      <w:r w:rsidRPr="0034329C">
        <w:rPr>
          <w:rFonts w:ascii="Arial" w:hAnsi="Arial" w:cs="Arial"/>
          <w:i/>
          <w:iCs/>
        </w:rPr>
        <w:t>Helping students learn in a learner-centered environment: A guide to facilitating learning in higher education</w:t>
      </w:r>
      <w:r w:rsidRPr="0034329C">
        <w:rPr>
          <w:rFonts w:ascii="Arial" w:hAnsi="Arial" w:cs="Arial"/>
        </w:rPr>
        <w:t>. Routledge.</w:t>
      </w:r>
    </w:p>
    <w:p w14:paraId="712228E4" w14:textId="77777777" w:rsidR="00961556" w:rsidRPr="00685C4D" w:rsidRDefault="00961556" w:rsidP="00961556">
      <w:pPr>
        <w:pStyle w:val="Body"/>
        <w:rPr>
          <w:rFonts w:ascii="Arial" w:hAnsi="Arial" w:cs="Arial"/>
        </w:rPr>
      </w:pPr>
      <w:proofErr w:type="spellStart"/>
      <w:r w:rsidRPr="00685C4D">
        <w:rPr>
          <w:rFonts w:ascii="Arial" w:hAnsi="Arial" w:cs="Arial"/>
        </w:rPr>
        <w:t>Enang</w:t>
      </w:r>
      <w:proofErr w:type="spellEnd"/>
      <w:r w:rsidRPr="00685C4D">
        <w:rPr>
          <w:rFonts w:ascii="Arial" w:hAnsi="Arial" w:cs="Arial"/>
        </w:rPr>
        <w:t>, I. (2023). </w:t>
      </w:r>
      <w:r w:rsidRPr="00685C4D">
        <w:rPr>
          <w:rFonts w:ascii="Arial" w:hAnsi="Arial" w:cs="Arial"/>
          <w:i/>
          <w:iCs/>
        </w:rPr>
        <w:t>Risk Management and Public Service Reform: Changing Governance and Funding Structures Within School Education Services</w:t>
      </w:r>
      <w:r w:rsidRPr="00685C4D">
        <w:rPr>
          <w:rFonts w:ascii="Arial" w:hAnsi="Arial" w:cs="Arial"/>
        </w:rPr>
        <w:t>. Routledge.</w:t>
      </w:r>
    </w:p>
    <w:p w14:paraId="4687B9EC" w14:textId="77777777" w:rsidR="00961556" w:rsidRPr="0034329C" w:rsidRDefault="00961556" w:rsidP="0034329C">
      <w:pPr>
        <w:pStyle w:val="Body"/>
        <w:rPr>
          <w:rFonts w:ascii="Arial" w:hAnsi="Arial" w:cs="Arial"/>
        </w:rPr>
      </w:pPr>
      <w:r w:rsidRPr="0034329C">
        <w:rPr>
          <w:rFonts w:ascii="Arial" w:hAnsi="Arial" w:cs="Arial"/>
        </w:rPr>
        <w:t>Ezen, P. F. (2014). Differences between students’ and teachers’ perceptions of their school culture. </w:t>
      </w:r>
      <w:r w:rsidRPr="0034329C">
        <w:rPr>
          <w:rFonts w:ascii="Arial" w:hAnsi="Arial" w:cs="Arial"/>
          <w:i/>
          <w:iCs/>
        </w:rPr>
        <w:t>Comparative analysis. Successful Practice Network.</w:t>
      </w:r>
      <w:r w:rsidRPr="0034329C">
        <w:rPr>
          <w:rFonts w:ascii="Arial" w:hAnsi="Arial" w:cs="Arial"/>
        </w:rPr>
        <w:t xml:space="preserve"> 2-8. </w:t>
      </w:r>
      <w:hyperlink r:id="rId18" w:history="1">
        <w:r w:rsidRPr="0034329C">
          <w:rPr>
            <w:rStyle w:val="Hyperlink"/>
            <w:rFonts w:ascii="Arial" w:hAnsi="Arial" w:cs="Arial"/>
          </w:rPr>
          <w:t>https://nyctecenter.org/images/files/Publications/A_Comparative_Analysis_of_National_We_Survey_Data.pdf</w:t>
        </w:r>
      </w:hyperlink>
      <w:r w:rsidRPr="0034329C">
        <w:rPr>
          <w:rFonts w:ascii="Arial" w:hAnsi="Arial" w:cs="Arial"/>
        </w:rPr>
        <w:t xml:space="preserve"> </w:t>
      </w:r>
    </w:p>
    <w:p w14:paraId="5FF47FC1" w14:textId="77777777" w:rsidR="00961556" w:rsidRDefault="00961556" w:rsidP="0034329C">
      <w:pPr>
        <w:pStyle w:val="Body"/>
        <w:rPr>
          <w:rFonts w:ascii="Arial" w:hAnsi="Arial" w:cs="Arial"/>
        </w:rPr>
      </w:pPr>
      <w:r w:rsidRPr="0034329C">
        <w:rPr>
          <w:rFonts w:ascii="Arial" w:hAnsi="Arial" w:cs="Arial"/>
        </w:rPr>
        <w:t xml:space="preserve">Fehintola, J. O. (2023). Contextual determinants of effective curriculum implementation in Nigeria. </w:t>
      </w:r>
      <w:r w:rsidRPr="0034329C">
        <w:rPr>
          <w:rFonts w:ascii="Arial" w:hAnsi="Arial" w:cs="Arial"/>
          <w:i/>
          <w:iCs/>
        </w:rPr>
        <w:t>International Journal of Innovative Educational Research, 11</w:t>
      </w:r>
      <w:r w:rsidRPr="0034329C">
        <w:rPr>
          <w:rFonts w:ascii="Arial" w:hAnsi="Arial" w:cs="Arial"/>
        </w:rPr>
        <w:t>(2), 89-97.</w:t>
      </w:r>
    </w:p>
    <w:p w14:paraId="41D5F3F8" w14:textId="77777777" w:rsidR="00961556" w:rsidRPr="0034329C" w:rsidRDefault="00961556" w:rsidP="0034329C">
      <w:pPr>
        <w:pStyle w:val="Body"/>
        <w:rPr>
          <w:rFonts w:ascii="Arial" w:hAnsi="Arial" w:cs="Arial"/>
        </w:rPr>
      </w:pPr>
      <w:r w:rsidRPr="0091459E">
        <w:rPr>
          <w:rFonts w:ascii="Arial" w:hAnsi="Arial" w:cs="Arial"/>
        </w:rPr>
        <w:t xml:space="preserve">Freire, P. (1970). </w:t>
      </w:r>
      <w:r w:rsidRPr="00685C4D">
        <w:rPr>
          <w:rFonts w:ascii="Arial" w:hAnsi="Arial" w:cs="Arial"/>
          <w:i/>
          <w:iCs/>
        </w:rPr>
        <w:t xml:space="preserve">Pedagogy of the oppressed. </w:t>
      </w:r>
      <w:r w:rsidRPr="0091459E">
        <w:rPr>
          <w:rFonts w:ascii="Arial" w:hAnsi="Arial" w:cs="Arial"/>
        </w:rPr>
        <w:t>New York: Herder and Herder.</w:t>
      </w:r>
    </w:p>
    <w:p w14:paraId="47FD374D" w14:textId="77777777" w:rsidR="00961556" w:rsidRPr="00685C4D" w:rsidRDefault="00961556" w:rsidP="00961556">
      <w:pPr>
        <w:pStyle w:val="Body"/>
        <w:rPr>
          <w:rFonts w:ascii="Arial" w:hAnsi="Arial" w:cs="Arial"/>
        </w:rPr>
      </w:pPr>
      <w:r w:rsidRPr="00685C4D">
        <w:rPr>
          <w:rFonts w:ascii="Arial" w:hAnsi="Arial" w:cs="Arial"/>
        </w:rPr>
        <w:t>Gonye, J., &amp; Moyo, N. (2018). African dance as an epistemic insurrection in postcolonial Zimbabwean arts education curriculum. </w:t>
      </w:r>
      <w:r w:rsidRPr="00685C4D">
        <w:rPr>
          <w:rFonts w:ascii="Arial" w:hAnsi="Arial" w:cs="Arial"/>
          <w:i/>
          <w:iCs/>
        </w:rPr>
        <w:t>The Palgrave handbook of race and the arts in education</w:t>
      </w:r>
      <w:r w:rsidRPr="00685C4D">
        <w:rPr>
          <w:rFonts w:ascii="Arial" w:hAnsi="Arial" w:cs="Arial"/>
        </w:rPr>
        <w:t>, 157-174.</w:t>
      </w:r>
    </w:p>
    <w:p w14:paraId="583F6661" w14:textId="77777777" w:rsidR="00961556" w:rsidRPr="0034329C" w:rsidRDefault="00961556" w:rsidP="0034329C">
      <w:pPr>
        <w:pStyle w:val="Body"/>
        <w:rPr>
          <w:rFonts w:ascii="Arial" w:hAnsi="Arial" w:cs="Arial"/>
        </w:rPr>
      </w:pPr>
      <w:r w:rsidRPr="0034329C">
        <w:rPr>
          <w:rFonts w:ascii="Arial" w:hAnsi="Arial" w:cs="Arial"/>
        </w:rPr>
        <w:t>Govender, S., &amp; Ajani, O. A. (2021). Monitoring and evaluation of teacher professional development for resourceful classroom practices.</w:t>
      </w:r>
      <w:r w:rsidRPr="0034329C">
        <w:rPr>
          <w:rFonts w:ascii="Arial" w:hAnsi="Arial" w:cs="Arial"/>
          <w:i/>
          <w:iCs/>
        </w:rPr>
        <w:t xml:space="preserve"> Universal Journal of Educational Research, 9</w:t>
      </w:r>
      <w:r w:rsidRPr="0034329C">
        <w:rPr>
          <w:rFonts w:ascii="Arial" w:hAnsi="Arial" w:cs="Arial"/>
        </w:rPr>
        <w:t xml:space="preserve">(4), 870-879. </w:t>
      </w:r>
      <w:hyperlink r:id="rId19" w:history="1">
        <w:r w:rsidRPr="0034329C">
          <w:rPr>
            <w:rStyle w:val="Hyperlink"/>
            <w:rFonts w:ascii="Arial" w:hAnsi="Arial" w:cs="Arial"/>
          </w:rPr>
          <w:t>https://doi.org/10.13189/ujer.2021.090421</w:t>
        </w:r>
      </w:hyperlink>
      <w:r w:rsidRPr="0034329C">
        <w:rPr>
          <w:rFonts w:ascii="Arial" w:hAnsi="Arial" w:cs="Arial"/>
        </w:rPr>
        <w:t xml:space="preserve">   </w:t>
      </w:r>
    </w:p>
    <w:p w14:paraId="1347762D" w14:textId="77777777" w:rsidR="00961556" w:rsidRPr="0034329C" w:rsidRDefault="00961556" w:rsidP="0034329C">
      <w:pPr>
        <w:pStyle w:val="Body"/>
        <w:rPr>
          <w:rFonts w:ascii="Arial" w:hAnsi="Arial" w:cs="Arial"/>
        </w:rPr>
      </w:pPr>
      <w:r w:rsidRPr="0034329C">
        <w:rPr>
          <w:rFonts w:ascii="Arial" w:hAnsi="Arial" w:cs="Arial"/>
        </w:rPr>
        <w:t>Holmgren, C. (2022). Empowering piano students of Western classical music: challenging teaching and learning of musical interpretation in higher education. </w:t>
      </w:r>
      <w:r w:rsidRPr="0034329C">
        <w:rPr>
          <w:rFonts w:ascii="Arial" w:hAnsi="Arial" w:cs="Arial"/>
          <w:i/>
          <w:iCs/>
        </w:rPr>
        <w:t>Music Education Research</w:t>
      </w:r>
      <w:r w:rsidRPr="0034329C">
        <w:rPr>
          <w:rFonts w:ascii="Arial" w:hAnsi="Arial" w:cs="Arial"/>
        </w:rPr>
        <w:t>, </w:t>
      </w:r>
      <w:r w:rsidRPr="0034329C">
        <w:rPr>
          <w:rFonts w:ascii="Arial" w:hAnsi="Arial" w:cs="Arial"/>
          <w:i/>
          <w:iCs/>
        </w:rPr>
        <w:t>24</w:t>
      </w:r>
      <w:r w:rsidRPr="0034329C">
        <w:rPr>
          <w:rFonts w:ascii="Arial" w:hAnsi="Arial" w:cs="Arial"/>
        </w:rPr>
        <w:t xml:space="preserve">(5), 574–587. </w:t>
      </w:r>
      <w:hyperlink r:id="rId20" w:history="1">
        <w:r w:rsidRPr="0034329C">
          <w:rPr>
            <w:rStyle w:val="Hyperlink"/>
            <w:rFonts w:ascii="Arial" w:hAnsi="Arial" w:cs="Arial"/>
          </w:rPr>
          <w:t>https://doi.org/10.1080/14613808.2022.2101632</w:t>
        </w:r>
      </w:hyperlink>
    </w:p>
    <w:p w14:paraId="378D5525" w14:textId="77777777" w:rsidR="00961556" w:rsidRPr="00685C4D" w:rsidRDefault="00961556" w:rsidP="00961556">
      <w:pPr>
        <w:pStyle w:val="Body"/>
        <w:rPr>
          <w:rFonts w:ascii="Arial" w:hAnsi="Arial" w:cs="Arial"/>
        </w:rPr>
      </w:pPr>
      <w:r w:rsidRPr="00685C4D">
        <w:rPr>
          <w:rFonts w:ascii="Arial" w:hAnsi="Arial" w:cs="Arial"/>
        </w:rPr>
        <w:t>Holochwost, S. J., Wolf, D. P., Fisher, K. R., O’Grady, K., &amp; Gagnier, K. M. (2018). The arts and socioemotional development: Evaluating a new mandate for arts education. </w:t>
      </w:r>
      <w:r w:rsidRPr="00685C4D">
        <w:rPr>
          <w:rFonts w:ascii="Arial" w:hAnsi="Arial" w:cs="Arial"/>
          <w:i/>
          <w:iCs/>
        </w:rPr>
        <w:t>Arts evaluation and assessment: Measuring impact in schools and communities</w:t>
      </w:r>
      <w:r w:rsidRPr="00685C4D">
        <w:rPr>
          <w:rFonts w:ascii="Arial" w:hAnsi="Arial" w:cs="Arial"/>
        </w:rPr>
        <w:t>, 147-180.</w:t>
      </w:r>
    </w:p>
    <w:p w14:paraId="7FC135EA" w14:textId="77777777" w:rsidR="006575CC" w:rsidRPr="00365A9A" w:rsidRDefault="006575CC" w:rsidP="006575CC">
      <w:pPr>
        <w:pStyle w:val="Body"/>
        <w:rPr>
          <w:rFonts w:ascii="Arial" w:hAnsi="Arial" w:cs="Arial"/>
        </w:rPr>
      </w:pPr>
      <w:r w:rsidRPr="00365A9A">
        <w:rPr>
          <w:rFonts w:ascii="Arial" w:hAnsi="Arial" w:cs="Arial"/>
        </w:rPr>
        <w:t>Jorgensen, E. R. (2003). Transforming music education. Indiana University Press.</w:t>
      </w:r>
    </w:p>
    <w:p w14:paraId="44083A24" w14:textId="77777777" w:rsidR="00961556" w:rsidRPr="0034329C" w:rsidRDefault="00961556" w:rsidP="0034329C">
      <w:pPr>
        <w:pStyle w:val="Body"/>
        <w:rPr>
          <w:rFonts w:ascii="Arial" w:hAnsi="Arial" w:cs="Arial"/>
        </w:rPr>
      </w:pPr>
      <w:proofErr w:type="spellStart"/>
      <w:r w:rsidRPr="0034329C">
        <w:rPr>
          <w:rFonts w:ascii="Arial" w:hAnsi="Arial" w:cs="Arial"/>
        </w:rPr>
        <w:t>Mallillin</w:t>
      </w:r>
      <w:proofErr w:type="spellEnd"/>
      <w:r w:rsidRPr="0034329C">
        <w:rPr>
          <w:rFonts w:ascii="Arial" w:hAnsi="Arial" w:cs="Arial"/>
        </w:rPr>
        <w:t>, L. L. D. (2021). Teacher theory and adaptable model: an application to teaching profession. </w:t>
      </w:r>
      <w:r w:rsidRPr="0034329C">
        <w:rPr>
          <w:rFonts w:ascii="Arial" w:hAnsi="Arial" w:cs="Arial"/>
          <w:i/>
          <w:iCs/>
        </w:rPr>
        <w:t>European Journal of Education Studies</w:t>
      </w:r>
      <w:r w:rsidRPr="0034329C">
        <w:rPr>
          <w:rFonts w:ascii="Arial" w:hAnsi="Arial" w:cs="Arial"/>
        </w:rPr>
        <w:t>, </w:t>
      </w:r>
      <w:r w:rsidRPr="0034329C">
        <w:rPr>
          <w:rFonts w:ascii="Arial" w:hAnsi="Arial" w:cs="Arial"/>
          <w:i/>
          <w:iCs/>
        </w:rPr>
        <w:t>8</w:t>
      </w:r>
      <w:r w:rsidRPr="0034329C">
        <w:rPr>
          <w:rFonts w:ascii="Arial" w:hAnsi="Arial" w:cs="Arial"/>
        </w:rPr>
        <w:t xml:space="preserve">(12). </w:t>
      </w:r>
      <w:hyperlink r:id="rId21" w:history="1">
        <w:r w:rsidRPr="0034329C">
          <w:rPr>
            <w:rStyle w:val="Hyperlink"/>
            <w:rFonts w:ascii="Arial" w:hAnsi="Arial" w:cs="Arial"/>
          </w:rPr>
          <w:t>http://dx.doi.org/10.46827/ejes.v8i12.4044</w:t>
        </w:r>
      </w:hyperlink>
      <w:r w:rsidRPr="0034329C">
        <w:rPr>
          <w:rFonts w:ascii="Arial" w:hAnsi="Arial" w:cs="Arial"/>
        </w:rPr>
        <w:t xml:space="preserve"> </w:t>
      </w:r>
    </w:p>
    <w:p w14:paraId="0AAB5EC8" w14:textId="77777777" w:rsidR="00961556" w:rsidRPr="0034329C" w:rsidRDefault="00961556" w:rsidP="0034329C">
      <w:pPr>
        <w:pStyle w:val="Body"/>
        <w:rPr>
          <w:rFonts w:ascii="Arial" w:hAnsi="Arial" w:cs="Arial"/>
        </w:rPr>
      </w:pPr>
      <w:proofErr w:type="spellStart"/>
      <w:r w:rsidRPr="0034329C">
        <w:rPr>
          <w:rFonts w:ascii="Arial" w:hAnsi="Arial" w:cs="Arial"/>
        </w:rPr>
        <w:t>Ogunode</w:t>
      </w:r>
      <w:proofErr w:type="spellEnd"/>
      <w:r w:rsidRPr="0034329C">
        <w:rPr>
          <w:rFonts w:ascii="Arial" w:hAnsi="Arial" w:cs="Arial"/>
        </w:rPr>
        <w:t xml:space="preserve">, N. J., </w:t>
      </w:r>
      <w:proofErr w:type="spellStart"/>
      <w:r w:rsidRPr="0034329C">
        <w:rPr>
          <w:rFonts w:ascii="Arial" w:hAnsi="Arial" w:cs="Arial"/>
        </w:rPr>
        <w:t>Ohibime</w:t>
      </w:r>
      <w:proofErr w:type="spellEnd"/>
      <w:r w:rsidRPr="0034329C">
        <w:rPr>
          <w:rFonts w:ascii="Arial" w:hAnsi="Arial" w:cs="Arial"/>
        </w:rPr>
        <w:t xml:space="preserve">, E. O., &amp; Oluwaseun, D. J. (2023). Core curriculum and Minimum Academic Standards (CCMAS) for Nigerian universities: Possible implementation problems and way forward. </w:t>
      </w:r>
      <w:r w:rsidRPr="0034329C">
        <w:rPr>
          <w:rFonts w:ascii="Arial" w:hAnsi="Arial" w:cs="Arial"/>
          <w:i/>
          <w:iCs/>
        </w:rPr>
        <w:t>Journal of Education, Ethics and Value, 2</w:t>
      </w:r>
      <w:r w:rsidRPr="0034329C">
        <w:rPr>
          <w:rFonts w:ascii="Arial" w:hAnsi="Arial" w:cs="Arial"/>
        </w:rPr>
        <w:t>(1), 24-37.</w:t>
      </w:r>
    </w:p>
    <w:p w14:paraId="6B5FE11E" w14:textId="77777777" w:rsidR="00961556" w:rsidRPr="0034329C" w:rsidRDefault="00961556" w:rsidP="0034329C">
      <w:pPr>
        <w:pStyle w:val="Body"/>
        <w:rPr>
          <w:rFonts w:ascii="Arial" w:hAnsi="Arial" w:cs="Arial"/>
        </w:rPr>
      </w:pPr>
      <w:proofErr w:type="spellStart"/>
      <w:r w:rsidRPr="0034329C">
        <w:rPr>
          <w:rFonts w:ascii="Arial" w:hAnsi="Arial" w:cs="Arial"/>
        </w:rPr>
        <w:t>Ohiare</w:t>
      </w:r>
      <w:proofErr w:type="spellEnd"/>
      <w:r w:rsidRPr="0034329C">
        <w:rPr>
          <w:rFonts w:ascii="Arial" w:hAnsi="Arial" w:cs="Arial"/>
        </w:rPr>
        <w:t xml:space="preserve"> MF. U., </w:t>
      </w:r>
      <w:proofErr w:type="spellStart"/>
      <w:r w:rsidRPr="0034329C">
        <w:rPr>
          <w:rFonts w:ascii="Arial" w:hAnsi="Arial" w:cs="Arial"/>
        </w:rPr>
        <w:t>Ogunode</w:t>
      </w:r>
      <w:proofErr w:type="spellEnd"/>
      <w:r w:rsidRPr="0034329C">
        <w:rPr>
          <w:rFonts w:ascii="Arial" w:hAnsi="Arial" w:cs="Arial"/>
        </w:rPr>
        <w:t xml:space="preserve">, N. J. &amp; </w:t>
      </w:r>
      <w:proofErr w:type="spellStart"/>
      <w:r w:rsidRPr="0034329C">
        <w:rPr>
          <w:rFonts w:ascii="Arial" w:hAnsi="Arial" w:cs="Arial"/>
        </w:rPr>
        <w:t>Sarafadeen</w:t>
      </w:r>
      <w:proofErr w:type="spellEnd"/>
      <w:r w:rsidRPr="0034329C">
        <w:rPr>
          <w:rFonts w:ascii="Arial" w:hAnsi="Arial" w:cs="Arial"/>
        </w:rPr>
        <w:t xml:space="preserve">, R. O. (2021). Implementation of curriculum </w:t>
      </w:r>
      <w:proofErr w:type="spellStart"/>
      <w:r w:rsidRPr="0034329C">
        <w:rPr>
          <w:rFonts w:ascii="Arial" w:hAnsi="Arial" w:cs="Arial"/>
        </w:rPr>
        <w:t>programme</w:t>
      </w:r>
      <w:proofErr w:type="spellEnd"/>
      <w:r w:rsidRPr="0034329C">
        <w:rPr>
          <w:rFonts w:ascii="Arial" w:hAnsi="Arial" w:cs="Arial"/>
        </w:rPr>
        <w:t xml:space="preserve"> in Nigerian higher institutions: Problems and way forward. </w:t>
      </w:r>
      <w:proofErr w:type="spellStart"/>
      <w:r w:rsidRPr="0034329C">
        <w:rPr>
          <w:rFonts w:ascii="Arial" w:hAnsi="Arial" w:cs="Arial"/>
          <w:i/>
          <w:iCs/>
        </w:rPr>
        <w:t>Academicia</w:t>
      </w:r>
      <w:proofErr w:type="spellEnd"/>
      <w:r w:rsidRPr="0034329C">
        <w:rPr>
          <w:rFonts w:ascii="Arial" w:hAnsi="Arial" w:cs="Arial"/>
          <w:i/>
          <w:iCs/>
        </w:rPr>
        <w:t xml:space="preserve"> Globe, 2</w:t>
      </w:r>
      <w:r w:rsidRPr="0034329C">
        <w:rPr>
          <w:rFonts w:ascii="Arial" w:hAnsi="Arial" w:cs="Arial"/>
        </w:rPr>
        <w:t xml:space="preserve">(6), 185-195. </w:t>
      </w:r>
      <w:hyperlink r:id="rId22" w:history="1">
        <w:r w:rsidRPr="0034329C">
          <w:rPr>
            <w:rStyle w:val="Hyperlink"/>
            <w:rFonts w:ascii="Arial" w:hAnsi="Arial" w:cs="Arial"/>
          </w:rPr>
          <w:t>https://media.neliti.com/media/publications/357979-implementation-of-curriculum-programme-i-403fc25b.pdf</w:t>
        </w:r>
      </w:hyperlink>
      <w:r w:rsidRPr="0034329C">
        <w:rPr>
          <w:rFonts w:ascii="Arial" w:hAnsi="Arial" w:cs="Arial"/>
        </w:rPr>
        <w:t xml:space="preserve"> </w:t>
      </w:r>
    </w:p>
    <w:p w14:paraId="584C1A28" w14:textId="77777777" w:rsidR="00961556" w:rsidRPr="0034329C" w:rsidRDefault="00961556" w:rsidP="0034329C">
      <w:pPr>
        <w:pStyle w:val="Body"/>
        <w:rPr>
          <w:rFonts w:ascii="Arial" w:hAnsi="Arial" w:cs="Arial"/>
        </w:rPr>
      </w:pPr>
      <w:r w:rsidRPr="0034329C">
        <w:rPr>
          <w:rFonts w:ascii="Arial" w:hAnsi="Arial" w:cs="Arial"/>
        </w:rPr>
        <w:t xml:space="preserve">Ojukwu, E. V., &amp; </w:t>
      </w:r>
      <w:proofErr w:type="spellStart"/>
      <w:r w:rsidRPr="0034329C">
        <w:rPr>
          <w:rFonts w:ascii="Arial" w:hAnsi="Arial" w:cs="Arial"/>
        </w:rPr>
        <w:t>Onyiuke</w:t>
      </w:r>
      <w:proofErr w:type="spellEnd"/>
      <w:r w:rsidRPr="0034329C">
        <w:rPr>
          <w:rFonts w:ascii="Arial" w:hAnsi="Arial" w:cs="Arial"/>
        </w:rPr>
        <w:t>, Y. S. (2021). Transformative instructional methodology for sustainable music education in Nigerian tertiary institutions.</w:t>
      </w:r>
      <w:r w:rsidRPr="0034329C">
        <w:rPr>
          <w:rFonts w:ascii="Arial" w:hAnsi="Arial" w:cs="Arial"/>
          <w:i/>
          <w:iCs/>
        </w:rPr>
        <w:t xml:space="preserve"> </w:t>
      </w:r>
      <w:proofErr w:type="spellStart"/>
      <w:r w:rsidRPr="0034329C">
        <w:rPr>
          <w:rFonts w:ascii="Arial" w:hAnsi="Arial" w:cs="Arial"/>
          <w:i/>
          <w:iCs/>
        </w:rPr>
        <w:t>Awka</w:t>
      </w:r>
      <w:proofErr w:type="spellEnd"/>
      <w:r w:rsidRPr="0034329C">
        <w:rPr>
          <w:rFonts w:ascii="Arial" w:hAnsi="Arial" w:cs="Arial"/>
          <w:i/>
          <w:iCs/>
        </w:rPr>
        <w:t xml:space="preserve"> Journal of Research in Music and Arts (AJRMA), 14.</w:t>
      </w:r>
      <w:r w:rsidRPr="0034329C">
        <w:rPr>
          <w:rFonts w:ascii="Arial" w:hAnsi="Arial" w:cs="Arial"/>
        </w:rPr>
        <w:t xml:space="preserve"> 1-23.</w:t>
      </w:r>
    </w:p>
    <w:p w14:paraId="7A945DD9" w14:textId="77777777" w:rsidR="00961556" w:rsidRDefault="00961556" w:rsidP="0034329C">
      <w:pPr>
        <w:pStyle w:val="Body"/>
        <w:rPr>
          <w:rFonts w:ascii="Arial" w:hAnsi="Arial" w:cs="Arial"/>
        </w:rPr>
      </w:pPr>
      <w:r w:rsidRPr="00DF4850">
        <w:rPr>
          <w:rFonts w:ascii="Arial" w:hAnsi="Arial" w:cs="Arial"/>
        </w:rPr>
        <w:t>Pinar, W. (20</w:t>
      </w:r>
      <w:r>
        <w:rPr>
          <w:rFonts w:ascii="Arial" w:hAnsi="Arial" w:cs="Arial"/>
        </w:rPr>
        <w:t>04</w:t>
      </w:r>
      <w:r w:rsidRPr="00DF4850">
        <w:rPr>
          <w:rFonts w:ascii="Arial" w:hAnsi="Arial" w:cs="Arial"/>
        </w:rPr>
        <w:t>). </w:t>
      </w:r>
      <w:r w:rsidRPr="00DF4850">
        <w:rPr>
          <w:rFonts w:ascii="Arial" w:hAnsi="Arial" w:cs="Arial"/>
          <w:i/>
          <w:iCs/>
        </w:rPr>
        <w:t>What is curriculum theory?</w:t>
      </w:r>
      <w:r w:rsidRPr="00DF4850">
        <w:rPr>
          <w:rFonts w:ascii="Arial" w:hAnsi="Arial" w:cs="Arial"/>
        </w:rPr>
        <w:t> Mahwah, NJ: L. Erlbaum Associates.</w:t>
      </w:r>
    </w:p>
    <w:p w14:paraId="28E14E90" w14:textId="77777777" w:rsidR="00961556" w:rsidRDefault="00961556" w:rsidP="0034329C">
      <w:pPr>
        <w:pStyle w:val="Body"/>
        <w:rPr>
          <w:rFonts w:ascii="Arial" w:hAnsi="Arial" w:cs="Arial"/>
        </w:rPr>
      </w:pPr>
      <w:r w:rsidRPr="00211BEE">
        <w:rPr>
          <w:rFonts w:ascii="Arial" w:hAnsi="Arial" w:cs="Arial"/>
        </w:rPr>
        <w:t xml:space="preserve">Pinar, W. F. (2022). </w:t>
      </w:r>
      <w:r w:rsidRPr="00685C4D">
        <w:rPr>
          <w:rFonts w:ascii="Arial" w:hAnsi="Arial" w:cs="Arial"/>
          <w:i/>
          <w:iCs/>
        </w:rPr>
        <w:t xml:space="preserve">A praxis of presence in curriculum theory: Advancing </w:t>
      </w:r>
      <w:proofErr w:type="spellStart"/>
      <w:r w:rsidRPr="00685C4D">
        <w:rPr>
          <w:rFonts w:ascii="Arial" w:hAnsi="Arial" w:cs="Arial"/>
          <w:i/>
          <w:iCs/>
        </w:rPr>
        <w:t>currere</w:t>
      </w:r>
      <w:proofErr w:type="spellEnd"/>
      <w:r w:rsidRPr="00685C4D">
        <w:rPr>
          <w:rFonts w:ascii="Arial" w:hAnsi="Arial" w:cs="Arial"/>
          <w:i/>
          <w:iCs/>
        </w:rPr>
        <w:t xml:space="preserve"> against cultural crises in</w:t>
      </w:r>
      <w:r w:rsidRPr="00685C4D">
        <w:rPr>
          <w:rFonts w:ascii="Arial" w:hAnsi="Arial" w:cs="Arial"/>
          <w:i/>
          <w:iCs/>
        </w:rPr>
        <w:br/>
        <w:t xml:space="preserve">education. </w:t>
      </w:r>
      <w:r w:rsidRPr="00211BEE">
        <w:rPr>
          <w:rFonts w:ascii="Arial" w:hAnsi="Arial" w:cs="Arial"/>
        </w:rPr>
        <w:t>Taylor &amp; Francis</w:t>
      </w:r>
    </w:p>
    <w:p w14:paraId="607350FD" w14:textId="77777777" w:rsidR="00F147ED" w:rsidRDefault="00F147ED" w:rsidP="0034329C">
      <w:pPr>
        <w:pStyle w:val="Body"/>
        <w:rPr>
          <w:rFonts w:ascii="Arial" w:hAnsi="Arial" w:cs="Arial"/>
        </w:rPr>
      </w:pPr>
      <w:r w:rsidRPr="00365A9A">
        <w:rPr>
          <w:rFonts w:ascii="Arial" w:hAnsi="Arial" w:cs="Arial"/>
        </w:rPr>
        <w:t>Pratt, D. D. (1998). Five perspectives on teaching in adult and higher education. Krieger Publishing Company</w:t>
      </w:r>
      <w:r>
        <w:rPr>
          <w:rFonts w:ascii="Arial" w:hAnsi="Arial" w:cs="Arial"/>
        </w:rPr>
        <w:t>.</w:t>
      </w:r>
    </w:p>
    <w:p w14:paraId="668FA02F" w14:textId="7ADBE1D3" w:rsidR="00961556" w:rsidRPr="0034329C" w:rsidRDefault="00961556" w:rsidP="0034329C">
      <w:pPr>
        <w:pStyle w:val="Body"/>
        <w:rPr>
          <w:rFonts w:ascii="Arial" w:hAnsi="Arial" w:cs="Arial"/>
        </w:rPr>
      </w:pPr>
      <w:proofErr w:type="spellStart"/>
      <w:r w:rsidRPr="0034329C">
        <w:rPr>
          <w:rFonts w:ascii="Arial" w:hAnsi="Arial" w:cs="Arial"/>
        </w:rPr>
        <w:t>Rinholm</w:t>
      </w:r>
      <w:proofErr w:type="spellEnd"/>
      <w:r w:rsidRPr="0034329C">
        <w:rPr>
          <w:rFonts w:ascii="Arial" w:hAnsi="Arial" w:cs="Arial"/>
        </w:rPr>
        <w:t xml:space="preserve">, H., Fredriksen, B., &amp; Onsrud, S. V. (2023). Critical reflection in music teacher education: Contradictions and dilemmas in theory, policy, and practice. </w:t>
      </w:r>
      <w:r w:rsidRPr="0034329C">
        <w:rPr>
          <w:rFonts w:ascii="Arial" w:hAnsi="Arial" w:cs="Arial"/>
          <w:i/>
          <w:iCs/>
        </w:rPr>
        <w:t>Action, Criticism, and Theory for Music Education, 22</w:t>
      </w:r>
      <w:r w:rsidRPr="0034329C">
        <w:rPr>
          <w:rFonts w:ascii="Arial" w:hAnsi="Arial" w:cs="Arial"/>
        </w:rPr>
        <w:t xml:space="preserve">(3). 41–72. </w:t>
      </w:r>
      <w:hyperlink r:id="rId23" w:history="1">
        <w:r w:rsidRPr="0034329C">
          <w:rPr>
            <w:rStyle w:val="Hyperlink"/>
            <w:rFonts w:ascii="Arial" w:hAnsi="Arial" w:cs="Arial"/>
          </w:rPr>
          <w:t>https://doi.org/10.22176/act22.3.41</w:t>
        </w:r>
      </w:hyperlink>
      <w:r w:rsidRPr="0034329C">
        <w:rPr>
          <w:rFonts w:ascii="Arial" w:hAnsi="Arial" w:cs="Arial"/>
        </w:rPr>
        <w:t xml:space="preserve"> </w:t>
      </w:r>
    </w:p>
    <w:p w14:paraId="2F011BEB" w14:textId="77777777" w:rsidR="00961556" w:rsidRPr="0034329C" w:rsidRDefault="00961556" w:rsidP="0034329C">
      <w:pPr>
        <w:pStyle w:val="Body"/>
        <w:rPr>
          <w:rFonts w:ascii="Arial" w:hAnsi="Arial" w:cs="Arial"/>
        </w:rPr>
      </w:pPr>
      <w:r w:rsidRPr="0034329C">
        <w:rPr>
          <w:rFonts w:ascii="Arial" w:hAnsi="Arial" w:cs="Arial"/>
        </w:rPr>
        <w:t xml:space="preserve">Sama, R., </w:t>
      </w:r>
      <w:proofErr w:type="spellStart"/>
      <w:r w:rsidRPr="0034329C">
        <w:rPr>
          <w:rFonts w:ascii="Arial" w:hAnsi="Arial" w:cs="Arial"/>
        </w:rPr>
        <w:t>Adegbuyi</w:t>
      </w:r>
      <w:proofErr w:type="spellEnd"/>
      <w:r w:rsidRPr="0034329C">
        <w:rPr>
          <w:rFonts w:ascii="Arial" w:hAnsi="Arial" w:cs="Arial"/>
        </w:rPr>
        <w:t xml:space="preserve">, J. Y., &amp; Ani, M. I. (2021). Teaching to the curriculum or teaching to the test. </w:t>
      </w:r>
      <w:r w:rsidRPr="0034329C">
        <w:rPr>
          <w:rFonts w:ascii="Arial" w:hAnsi="Arial" w:cs="Arial"/>
          <w:i/>
          <w:iCs/>
        </w:rPr>
        <w:t>Journal of Social, Humanity, and Education, 1</w:t>
      </w:r>
      <w:r w:rsidRPr="0034329C">
        <w:rPr>
          <w:rFonts w:ascii="Arial" w:hAnsi="Arial" w:cs="Arial"/>
        </w:rPr>
        <w:t xml:space="preserve">(2), 103-116. </w:t>
      </w:r>
      <w:hyperlink r:id="rId24" w:history="1">
        <w:r w:rsidRPr="0034329C">
          <w:rPr>
            <w:rStyle w:val="Hyperlink"/>
            <w:rFonts w:ascii="Arial" w:hAnsi="Arial" w:cs="Arial"/>
          </w:rPr>
          <w:t>https://doi.org/10.35912/jshe.v1i2.341</w:t>
        </w:r>
      </w:hyperlink>
      <w:r w:rsidRPr="0034329C">
        <w:rPr>
          <w:rFonts w:ascii="Arial" w:hAnsi="Arial" w:cs="Arial"/>
        </w:rPr>
        <w:t xml:space="preserve"> </w:t>
      </w:r>
    </w:p>
    <w:p w14:paraId="5898CEFA" w14:textId="77777777" w:rsidR="00961556" w:rsidRDefault="00961556" w:rsidP="0034329C">
      <w:pPr>
        <w:pStyle w:val="Body"/>
      </w:pPr>
      <w:r w:rsidRPr="0034329C">
        <w:rPr>
          <w:rFonts w:ascii="Arial" w:hAnsi="Arial" w:cs="Arial"/>
        </w:rPr>
        <w:lastRenderedPageBreak/>
        <w:t xml:space="preserve">Schendel, R., McCowan, T., Rolleston, C., Adu-Yeboah, C., </w:t>
      </w:r>
      <w:proofErr w:type="spellStart"/>
      <w:r w:rsidRPr="0034329C">
        <w:rPr>
          <w:rFonts w:ascii="Arial" w:hAnsi="Arial" w:cs="Arial"/>
        </w:rPr>
        <w:t>Omingo</w:t>
      </w:r>
      <w:proofErr w:type="spellEnd"/>
      <w:r w:rsidRPr="0034329C">
        <w:rPr>
          <w:rFonts w:ascii="Arial" w:hAnsi="Arial" w:cs="Arial"/>
        </w:rPr>
        <w:t xml:space="preserve">, M., &amp; </w:t>
      </w:r>
      <w:proofErr w:type="spellStart"/>
      <w:r w:rsidRPr="0034329C">
        <w:rPr>
          <w:rFonts w:ascii="Arial" w:hAnsi="Arial" w:cs="Arial"/>
        </w:rPr>
        <w:t>Tabulawa</w:t>
      </w:r>
      <w:proofErr w:type="spellEnd"/>
      <w:r w:rsidRPr="0034329C">
        <w:rPr>
          <w:rFonts w:ascii="Arial" w:hAnsi="Arial" w:cs="Arial"/>
        </w:rPr>
        <w:t xml:space="preserve">, R. (2023). Pedagogies for critical thinking at universities in Kenya, Ghana and Botswana: the importance of a collective ‘teaching culture'. </w:t>
      </w:r>
      <w:r w:rsidRPr="0034329C">
        <w:rPr>
          <w:rFonts w:ascii="Arial" w:hAnsi="Arial" w:cs="Arial"/>
          <w:i/>
          <w:iCs/>
        </w:rPr>
        <w:t>Teaching in Higher Education, 28</w:t>
      </w:r>
      <w:r w:rsidRPr="0034329C">
        <w:rPr>
          <w:rFonts w:ascii="Arial" w:hAnsi="Arial" w:cs="Arial"/>
        </w:rPr>
        <w:t xml:space="preserve">(4), 717-738. </w:t>
      </w:r>
      <w:hyperlink r:id="rId25" w:history="1">
        <w:r w:rsidRPr="0034329C">
          <w:rPr>
            <w:rStyle w:val="Hyperlink"/>
            <w:rFonts w:ascii="Arial" w:hAnsi="Arial" w:cs="Arial"/>
          </w:rPr>
          <w:t>https://doi.org/10.1080/13562517.2020.1852204</w:t>
        </w:r>
      </w:hyperlink>
    </w:p>
    <w:p w14:paraId="79492708" w14:textId="77777777" w:rsidR="00961556" w:rsidRPr="0034329C" w:rsidRDefault="00961556" w:rsidP="0034329C">
      <w:pPr>
        <w:pStyle w:val="Body"/>
        <w:rPr>
          <w:rFonts w:ascii="Arial" w:hAnsi="Arial" w:cs="Arial"/>
        </w:rPr>
      </w:pPr>
      <w:r w:rsidRPr="00617DBD">
        <w:rPr>
          <w:rFonts w:ascii="Arial" w:hAnsi="Arial" w:cs="Arial"/>
        </w:rPr>
        <w:t xml:space="preserve">Silverman, M., Davis, S. A., &amp; Elliott, D. J. (2014). </w:t>
      </w:r>
      <w:proofErr w:type="spellStart"/>
      <w:r w:rsidRPr="00617DBD">
        <w:rPr>
          <w:rFonts w:ascii="Arial" w:hAnsi="Arial" w:cs="Arial"/>
        </w:rPr>
        <w:t>Praxial</w:t>
      </w:r>
      <w:proofErr w:type="spellEnd"/>
      <w:r w:rsidRPr="00617DBD">
        <w:rPr>
          <w:rFonts w:ascii="Arial" w:hAnsi="Arial" w:cs="Arial"/>
        </w:rPr>
        <w:t xml:space="preserve"> music education: A critical analysis of critical commentaries. </w:t>
      </w:r>
      <w:r w:rsidRPr="00617DBD">
        <w:rPr>
          <w:rFonts w:ascii="Arial" w:hAnsi="Arial" w:cs="Arial"/>
          <w:i/>
          <w:iCs/>
        </w:rPr>
        <w:t>International journal of music education</w:t>
      </w:r>
      <w:r w:rsidRPr="00617DBD">
        <w:rPr>
          <w:rFonts w:ascii="Arial" w:hAnsi="Arial" w:cs="Arial"/>
        </w:rPr>
        <w:t>, </w:t>
      </w:r>
      <w:r w:rsidRPr="00617DBD">
        <w:rPr>
          <w:rFonts w:ascii="Arial" w:hAnsi="Arial" w:cs="Arial"/>
          <w:i/>
          <w:iCs/>
        </w:rPr>
        <w:t>32</w:t>
      </w:r>
      <w:r w:rsidRPr="00617DBD">
        <w:rPr>
          <w:rFonts w:ascii="Arial" w:hAnsi="Arial" w:cs="Arial"/>
        </w:rPr>
        <w:t>(1), 53-69.</w:t>
      </w:r>
      <w:r>
        <w:rPr>
          <w:rFonts w:ascii="Arial" w:hAnsi="Arial" w:cs="Arial"/>
        </w:rPr>
        <w:t xml:space="preserve"> </w:t>
      </w:r>
      <w:hyperlink r:id="rId26" w:history="1">
        <w:r w:rsidRPr="002069B2">
          <w:rPr>
            <w:rStyle w:val="Hyperlink"/>
            <w:rFonts w:ascii="Arial" w:hAnsi="Arial" w:cs="Arial"/>
          </w:rPr>
          <w:t>http://dx.doi.org/10.1177/0255761413488709</w:t>
        </w:r>
      </w:hyperlink>
      <w:r>
        <w:rPr>
          <w:rFonts w:ascii="Arial" w:hAnsi="Arial" w:cs="Arial"/>
        </w:rPr>
        <w:t xml:space="preserve"> </w:t>
      </w:r>
      <w:r w:rsidRPr="0034329C">
        <w:rPr>
          <w:rFonts w:ascii="Arial" w:hAnsi="Arial" w:cs="Arial"/>
        </w:rPr>
        <w:t xml:space="preserve"> </w:t>
      </w:r>
    </w:p>
    <w:p w14:paraId="066B526C" w14:textId="77777777" w:rsidR="00961556" w:rsidRPr="0034329C" w:rsidRDefault="00961556" w:rsidP="0034329C">
      <w:pPr>
        <w:pStyle w:val="Body"/>
        <w:rPr>
          <w:rFonts w:ascii="Arial" w:hAnsi="Arial" w:cs="Arial"/>
        </w:rPr>
      </w:pPr>
      <w:r w:rsidRPr="0034329C">
        <w:rPr>
          <w:rFonts w:ascii="Arial" w:hAnsi="Arial" w:cs="Arial"/>
        </w:rPr>
        <w:t xml:space="preserve">Stahnke, R., &amp; </w:t>
      </w:r>
      <w:proofErr w:type="spellStart"/>
      <w:r w:rsidRPr="0034329C">
        <w:rPr>
          <w:rFonts w:ascii="Arial" w:hAnsi="Arial" w:cs="Arial"/>
        </w:rPr>
        <w:t>Blömeke</w:t>
      </w:r>
      <w:proofErr w:type="spellEnd"/>
      <w:r w:rsidRPr="0034329C">
        <w:rPr>
          <w:rFonts w:ascii="Arial" w:hAnsi="Arial" w:cs="Arial"/>
        </w:rPr>
        <w:t xml:space="preserve">, S. (2021). Novice and expert teachers’ situation-specific skills regarding classroom management: What do they perceive, interpret and suggest? Teaching and Teacher Education, 98, 103243. </w:t>
      </w:r>
      <w:hyperlink r:id="rId27" w:history="1">
        <w:r w:rsidRPr="0034329C">
          <w:rPr>
            <w:rStyle w:val="Hyperlink"/>
            <w:rFonts w:ascii="Arial" w:hAnsi="Arial" w:cs="Arial"/>
          </w:rPr>
          <w:t>https://doi.org/10.1016/j.tate.2020.103243</w:t>
        </w:r>
      </w:hyperlink>
      <w:r w:rsidRPr="0034329C">
        <w:rPr>
          <w:rFonts w:ascii="Arial" w:hAnsi="Arial" w:cs="Arial"/>
        </w:rPr>
        <w:t xml:space="preserve"> </w:t>
      </w:r>
    </w:p>
    <w:p w14:paraId="5E45BE18" w14:textId="77777777" w:rsidR="00961556" w:rsidRPr="0034329C" w:rsidRDefault="00961556" w:rsidP="0034329C">
      <w:pPr>
        <w:pStyle w:val="Body"/>
        <w:rPr>
          <w:rFonts w:ascii="Arial" w:hAnsi="Arial" w:cs="Arial"/>
        </w:rPr>
      </w:pPr>
      <w:r w:rsidRPr="0034329C">
        <w:rPr>
          <w:rFonts w:ascii="Arial" w:hAnsi="Arial" w:cs="Arial"/>
        </w:rPr>
        <w:t xml:space="preserve">Stavrou, N. E., &amp; O'Connell, L. (2022). Music teachers at the crossroads: Navigating the curriculum as plan and lived. </w:t>
      </w:r>
      <w:r w:rsidRPr="0034329C">
        <w:rPr>
          <w:rFonts w:ascii="Arial" w:hAnsi="Arial" w:cs="Arial"/>
          <w:i/>
          <w:iCs/>
        </w:rPr>
        <w:t>Music Education Research, 24</w:t>
      </w:r>
      <w:r w:rsidRPr="0034329C">
        <w:rPr>
          <w:rFonts w:ascii="Arial" w:hAnsi="Arial" w:cs="Arial"/>
        </w:rPr>
        <w:t xml:space="preserve">(2), 166-179. </w:t>
      </w:r>
      <w:hyperlink r:id="rId28" w:history="1">
        <w:r w:rsidRPr="0034329C">
          <w:rPr>
            <w:rStyle w:val="Hyperlink"/>
            <w:rFonts w:ascii="Arial" w:hAnsi="Arial" w:cs="Arial"/>
          </w:rPr>
          <w:t>https://doi.org/10.1080/14613808.2022.2038109</w:t>
        </w:r>
      </w:hyperlink>
      <w:r w:rsidRPr="0034329C">
        <w:rPr>
          <w:rFonts w:ascii="Arial" w:hAnsi="Arial" w:cs="Arial"/>
        </w:rPr>
        <w:t xml:space="preserve"> </w:t>
      </w:r>
    </w:p>
    <w:p w14:paraId="349A75C9" w14:textId="77777777" w:rsidR="00961556" w:rsidRDefault="00961556" w:rsidP="00685C4D">
      <w:pPr>
        <w:spacing w:after="240"/>
        <w:rPr>
          <w:lang w:val="en-GB"/>
        </w:rPr>
      </w:pPr>
      <w:r w:rsidRPr="00B12C1E">
        <w:rPr>
          <w:lang w:val="en-GB"/>
        </w:rPr>
        <w:t>Volk, T. M. (2017). The history and development of multicultural music education as evidenced in the Music Educators Journal, 1967–1992. In Critical essays in music education (pp. 481-500). Routledge.</w:t>
      </w:r>
    </w:p>
    <w:p w14:paraId="24A57C68" w14:textId="77777777" w:rsidR="00961556" w:rsidRPr="00685C4D" w:rsidRDefault="00961556" w:rsidP="00685C4D">
      <w:pPr>
        <w:spacing w:after="240"/>
        <w:rPr>
          <w:lang w:val="en-GB"/>
        </w:rPr>
      </w:pPr>
      <w:r w:rsidRPr="0034329C">
        <w:rPr>
          <w:rFonts w:ascii="Arial" w:hAnsi="Arial" w:cs="Arial"/>
        </w:rPr>
        <w:t xml:space="preserve">West, J. J., &amp; Bautista, A. (2021). Greater than the sum of its parts: Promoting </w:t>
      </w:r>
      <w:proofErr w:type="spellStart"/>
      <w:r w:rsidRPr="0034329C">
        <w:rPr>
          <w:rFonts w:ascii="Arial" w:hAnsi="Arial" w:cs="Arial"/>
        </w:rPr>
        <w:t>systemness</w:t>
      </w:r>
      <w:proofErr w:type="spellEnd"/>
      <w:r w:rsidRPr="0034329C">
        <w:rPr>
          <w:rFonts w:ascii="Arial" w:hAnsi="Arial" w:cs="Arial"/>
        </w:rPr>
        <w:t xml:space="preserve"> in music and arts teacher professional development. </w:t>
      </w:r>
      <w:r w:rsidRPr="0034329C">
        <w:rPr>
          <w:rFonts w:ascii="Arial" w:hAnsi="Arial" w:cs="Arial"/>
          <w:i/>
          <w:iCs/>
        </w:rPr>
        <w:t>Arts Education Policy Review, 122</w:t>
      </w:r>
      <w:r w:rsidRPr="0034329C">
        <w:rPr>
          <w:rFonts w:ascii="Arial" w:hAnsi="Arial" w:cs="Arial"/>
        </w:rPr>
        <w:t xml:space="preserve">(1), 54-64. </w:t>
      </w:r>
      <w:hyperlink r:id="rId29" w:history="1">
        <w:r w:rsidRPr="0034329C">
          <w:rPr>
            <w:rStyle w:val="Hyperlink"/>
            <w:rFonts w:ascii="Arial" w:hAnsi="Arial" w:cs="Arial"/>
          </w:rPr>
          <w:t>https://doi.org/10.1080/10632913.2020.1746716</w:t>
        </w:r>
      </w:hyperlink>
      <w:r w:rsidRPr="0034329C">
        <w:rPr>
          <w:rFonts w:ascii="Arial" w:hAnsi="Arial" w:cs="Arial"/>
        </w:rPr>
        <w:t xml:space="preserve"> </w:t>
      </w:r>
    </w:p>
    <w:p w14:paraId="7BA27A31" w14:textId="77777777" w:rsidR="00961556" w:rsidRPr="0034329C" w:rsidRDefault="00961556" w:rsidP="0034329C">
      <w:pPr>
        <w:pStyle w:val="Body"/>
        <w:rPr>
          <w:rFonts w:ascii="Arial" w:hAnsi="Arial" w:cs="Arial"/>
        </w:rPr>
      </w:pPr>
      <w:r w:rsidRPr="0034329C">
        <w:rPr>
          <w:rFonts w:ascii="Arial" w:hAnsi="Arial" w:cs="Arial"/>
        </w:rPr>
        <w:t>Yang, Y. (2023). Assessing alignment between curriculum standards and teachers’ instructional practices in China’s school music education. </w:t>
      </w:r>
      <w:r w:rsidRPr="0034329C">
        <w:rPr>
          <w:rFonts w:ascii="Arial" w:hAnsi="Arial" w:cs="Arial"/>
          <w:i/>
          <w:iCs/>
        </w:rPr>
        <w:t>Research Studies in Music Education</w:t>
      </w:r>
      <w:r w:rsidRPr="0034329C">
        <w:rPr>
          <w:rFonts w:ascii="Arial" w:hAnsi="Arial" w:cs="Arial"/>
        </w:rPr>
        <w:t>, </w:t>
      </w:r>
      <w:r w:rsidRPr="0034329C">
        <w:rPr>
          <w:rFonts w:ascii="Arial" w:hAnsi="Arial" w:cs="Arial"/>
          <w:i/>
          <w:iCs/>
        </w:rPr>
        <w:t>45</w:t>
      </w:r>
      <w:r w:rsidRPr="0034329C">
        <w:rPr>
          <w:rFonts w:ascii="Arial" w:hAnsi="Arial" w:cs="Arial"/>
        </w:rPr>
        <w:t xml:space="preserve">(1), 56-76. </w:t>
      </w:r>
      <w:hyperlink r:id="rId30" w:history="1">
        <w:r w:rsidRPr="0034329C">
          <w:rPr>
            <w:rStyle w:val="Hyperlink"/>
            <w:rFonts w:ascii="Arial" w:hAnsi="Arial" w:cs="Arial"/>
          </w:rPr>
          <w:t>https://doi.org/10.1177/1321103X221099852</w:t>
        </w:r>
      </w:hyperlink>
      <w:r w:rsidRPr="0034329C">
        <w:rPr>
          <w:rFonts w:ascii="Arial" w:hAnsi="Arial" w:cs="Arial"/>
        </w:rPr>
        <w:t xml:space="preserve"> </w:t>
      </w:r>
    </w:p>
    <w:p w14:paraId="2336B6E5" w14:textId="77777777" w:rsidR="00961556" w:rsidRDefault="00961556" w:rsidP="00441B6F">
      <w:pPr>
        <w:pStyle w:val="Body"/>
        <w:spacing w:after="0"/>
        <w:rPr>
          <w:rFonts w:ascii="Arial" w:hAnsi="Arial" w:cs="Arial"/>
        </w:rPr>
      </w:pPr>
      <w:proofErr w:type="spellStart"/>
      <w:r w:rsidRPr="00CD1BE6">
        <w:rPr>
          <w:rFonts w:ascii="Arial" w:hAnsi="Arial" w:cs="Arial"/>
        </w:rPr>
        <w:t>Yuniarti</w:t>
      </w:r>
      <w:proofErr w:type="spellEnd"/>
      <w:r w:rsidRPr="00CD1BE6">
        <w:rPr>
          <w:rFonts w:ascii="Arial" w:hAnsi="Arial" w:cs="Arial"/>
        </w:rPr>
        <w:t xml:space="preserve"> </w:t>
      </w:r>
      <w:proofErr w:type="spellStart"/>
      <w:r w:rsidRPr="00CD1BE6">
        <w:rPr>
          <w:rFonts w:ascii="Arial" w:hAnsi="Arial" w:cs="Arial"/>
        </w:rPr>
        <w:t>Munaf</w:t>
      </w:r>
      <w:proofErr w:type="spellEnd"/>
      <w:r w:rsidRPr="00CD1BE6">
        <w:rPr>
          <w:rFonts w:ascii="Arial" w:hAnsi="Arial" w:cs="Arial"/>
        </w:rPr>
        <w:t xml:space="preserve">, R. P. A., Akmal, A., </w:t>
      </w:r>
      <w:proofErr w:type="spellStart"/>
      <w:r w:rsidRPr="00CD1BE6">
        <w:rPr>
          <w:rFonts w:ascii="Arial" w:hAnsi="Arial" w:cs="Arial"/>
        </w:rPr>
        <w:t>Iswandi</w:t>
      </w:r>
      <w:proofErr w:type="spellEnd"/>
      <w:r w:rsidRPr="00CD1BE6">
        <w:rPr>
          <w:rFonts w:ascii="Arial" w:hAnsi="Arial" w:cs="Arial"/>
        </w:rPr>
        <w:t xml:space="preserve">, A. E., &amp; </w:t>
      </w:r>
      <w:proofErr w:type="spellStart"/>
      <w:r w:rsidRPr="00CD1BE6">
        <w:rPr>
          <w:rFonts w:ascii="Arial" w:hAnsi="Arial" w:cs="Arial"/>
        </w:rPr>
        <w:t>Novaliendry</w:t>
      </w:r>
      <w:proofErr w:type="spellEnd"/>
      <w:r w:rsidRPr="00CD1BE6">
        <w:rPr>
          <w:rFonts w:ascii="Arial" w:hAnsi="Arial" w:cs="Arial"/>
        </w:rPr>
        <w:t>, D. (2025). Transforming Music Education: Evaluating the Impact of the Merdeka Curriculum in Arts Education. </w:t>
      </w:r>
      <w:r w:rsidRPr="00CD1BE6">
        <w:rPr>
          <w:rFonts w:ascii="Arial" w:hAnsi="Arial" w:cs="Arial"/>
          <w:i/>
          <w:iCs/>
        </w:rPr>
        <w:t>Educational Process: International Journal</w:t>
      </w:r>
      <w:r w:rsidRPr="00CD1BE6">
        <w:rPr>
          <w:rFonts w:ascii="Arial" w:hAnsi="Arial" w:cs="Arial"/>
        </w:rPr>
        <w:t>.</w:t>
      </w:r>
      <w:r w:rsidRPr="00E619E9">
        <w:t xml:space="preserve"> </w:t>
      </w:r>
      <w:hyperlink r:id="rId31" w:history="1">
        <w:r w:rsidRPr="002069B2">
          <w:rPr>
            <w:rStyle w:val="Hyperlink"/>
          </w:rPr>
          <w:t>https://doi.org/</w:t>
        </w:r>
        <w:r w:rsidRPr="002069B2">
          <w:rPr>
            <w:rStyle w:val="Hyperlink"/>
            <w:rFonts w:ascii="Arial" w:hAnsi="Arial" w:cs="Arial"/>
          </w:rPr>
          <w:t>10.22521/edupij.2025.14.62</w:t>
        </w:r>
      </w:hyperlink>
      <w:r>
        <w:rPr>
          <w:rFonts w:ascii="Arial" w:hAnsi="Arial" w:cs="Arial"/>
        </w:rPr>
        <w:t xml:space="preserve"> </w:t>
      </w:r>
    </w:p>
    <w:p w14:paraId="260635AE" w14:textId="77777777" w:rsidR="00DB43E6" w:rsidRDefault="00DB43E6" w:rsidP="00441B6F">
      <w:pPr>
        <w:pStyle w:val="Body"/>
        <w:spacing w:after="0"/>
        <w:rPr>
          <w:rFonts w:ascii="Arial" w:hAnsi="Arial" w:cs="Arial"/>
        </w:rPr>
      </w:pPr>
    </w:p>
    <w:p w14:paraId="13893C0E" w14:textId="77777777" w:rsidR="00DB43E6" w:rsidRPr="00D73F35" w:rsidRDefault="00DB43E6" w:rsidP="00DB43E6">
      <w:pPr>
        <w:pStyle w:val="Body"/>
        <w:rPr>
          <w:rFonts w:ascii="Arial" w:hAnsi="Arial" w:cs="Arial"/>
        </w:rPr>
      </w:pPr>
      <w:r w:rsidRPr="00547C43">
        <w:rPr>
          <w:rFonts w:ascii="Arial" w:hAnsi="Arial" w:cs="Arial"/>
        </w:rPr>
        <w:t>Babbie E. (2010). </w:t>
      </w:r>
      <w:r w:rsidRPr="00547C43">
        <w:rPr>
          <w:rFonts w:ascii="Arial" w:hAnsi="Arial" w:cs="Arial"/>
          <w:i/>
          <w:iCs/>
        </w:rPr>
        <w:t>The practice of social research</w:t>
      </w:r>
      <w:r w:rsidRPr="00547C43">
        <w:rPr>
          <w:rFonts w:ascii="Arial" w:hAnsi="Arial" w:cs="Arial"/>
        </w:rPr>
        <w:t> (12th ed.). Wadsworth.</w:t>
      </w:r>
    </w:p>
    <w:p w14:paraId="12D1A168" w14:textId="77777777" w:rsidR="00DB43E6" w:rsidRPr="00D73F35" w:rsidRDefault="00DB43E6" w:rsidP="00DB43E6">
      <w:pPr>
        <w:pStyle w:val="Body"/>
        <w:rPr>
          <w:rFonts w:ascii="Arial" w:hAnsi="Arial" w:cs="Arial"/>
        </w:rPr>
      </w:pPr>
      <w:r w:rsidRPr="0077169F">
        <w:rPr>
          <w:rFonts w:ascii="Arial" w:hAnsi="Arial" w:cs="Arial"/>
        </w:rPr>
        <w:t>Creswell, J. W., &amp; Creswell, J. D. (2017). Research design: Qualitative, quantitative, and mixed methods approaches. Sage publications.</w:t>
      </w:r>
    </w:p>
    <w:p w14:paraId="0F29CEBA" w14:textId="77777777" w:rsidR="00DB43E6" w:rsidRPr="00D73F35" w:rsidRDefault="00DB43E6" w:rsidP="00DB43E6">
      <w:pPr>
        <w:pStyle w:val="Body"/>
        <w:rPr>
          <w:rFonts w:ascii="Arial" w:hAnsi="Arial" w:cs="Arial"/>
        </w:rPr>
      </w:pPr>
      <w:r w:rsidRPr="0055336B">
        <w:rPr>
          <w:rFonts w:ascii="Arial" w:hAnsi="Arial" w:cs="Arial"/>
        </w:rPr>
        <w:t>Fraenkel, J., Wallen, N., &amp; Hyun, H. (1993). </w:t>
      </w:r>
      <w:r w:rsidRPr="0055336B">
        <w:rPr>
          <w:rFonts w:ascii="Arial" w:hAnsi="Arial" w:cs="Arial"/>
          <w:i/>
          <w:iCs/>
        </w:rPr>
        <w:t>How to Design and Evaluate Research in Education 10th ed</w:t>
      </w:r>
      <w:r w:rsidRPr="0055336B">
        <w:rPr>
          <w:rFonts w:ascii="Arial" w:hAnsi="Arial" w:cs="Arial"/>
        </w:rPr>
        <w:t>. McGraw-Hill Education.</w:t>
      </w:r>
    </w:p>
    <w:p w14:paraId="51EC7509" w14:textId="77777777" w:rsidR="00DB43E6" w:rsidRPr="00D73F35" w:rsidRDefault="00DB43E6" w:rsidP="00DB43E6">
      <w:pPr>
        <w:pStyle w:val="Body"/>
        <w:rPr>
          <w:rFonts w:ascii="Arial" w:hAnsi="Arial" w:cs="Arial"/>
        </w:rPr>
      </w:pPr>
      <w:r w:rsidRPr="00D73F35">
        <w:rPr>
          <w:rFonts w:ascii="Arial" w:hAnsi="Arial" w:cs="Arial"/>
        </w:rPr>
        <w:t>Patton, M. Q. (2015). Qualitative research and evaluation methods (4th ed.). Thousand Oaks, CA: Sage.</w:t>
      </w:r>
    </w:p>
    <w:p w14:paraId="7752AE56" w14:textId="77777777" w:rsidR="00DB43E6" w:rsidRPr="004B3972" w:rsidRDefault="00DB43E6" w:rsidP="00DB43E6">
      <w:pPr>
        <w:pStyle w:val="Body"/>
        <w:rPr>
          <w:rFonts w:ascii="Arial" w:hAnsi="Arial" w:cs="Arial"/>
        </w:rPr>
      </w:pPr>
      <w:r w:rsidRPr="00D73F35">
        <w:rPr>
          <w:rFonts w:ascii="Arial" w:hAnsi="Arial" w:cs="Arial"/>
        </w:rPr>
        <w:t>Yamane, T. (1967). Statistics: An introductory analysis (2nd ed.). New York: Harper &amp; Row.</w:t>
      </w:r>
    </w:p>
    <w:p w14:paraId="56FD3585" w14:textId="7E7072F0" w:rsidR="00C608DB" w:rsidRDefault="006826F8" w:rsidP="00441B6F">
      <w:pPr>
        <w:pStyle w:val="Body"/>
        <w:spacing w:after="0"/>
        <w:rPr>
          <w:rFonts w:ascii="Arial" w:hAnsi="Arial" w:cs="Arial"/>
        </w:rPr>
      </w:pPr>
      <w:r w:rsidRPr="006826F8">
        <w:rPr>
          <w:rFonts w:ascii="Arial" w:hAnsi="Arial" w:cs="Arial"/>
        </w:rPr>
        <w:t xml:space="preserve">Zajda, J. (2021). Constructivist Learning Theory and Creating Effective Learning Environments. In: </w:t>
      </w:r>
      <w:proofErr w:type="spellStart"/>
      <w:r w:rsidRPr="006826F8">
        <w:rPr>
          <w:rFonts w:ascii="Arial" w:hAnsi="Arial" w:cs="Arial"/>
        </w:rPr>
        <w:t>Globalisation</w:t>
      </w:r>
      <w:proofErr w:type="spellEnd"/>
      <w:r w:rsidRPr="006826F8">
        <w:rPr>
          <w:rFonts w:ascii="Arial" w:hAnsi="Arial" w:cs="Arial"/>
        </w:rPr>
        <w:t xml:space="preserve"> and Education Reforms. </w:t>
      </w:r>
      <w:proofErr w:type="spellStart"/>
      <w:r w:rsidRPr="006826F8">
        <w:rPr>
          <w:rFonts w:ascii="Arial" w:hAnsi="Arial" w:cs="Arial"/>
        </w:rPr>
        <w:t>Globalisation</w:t>
      </w:r>
      <w:proofErr w:type="spellEnd"/>
      <w:r w:rsidRPr="006826F8">
        <w:rPr>
          <w:rFonts w:ascii="Arial" w:hAnsi="Arial" w:cs="Arial"/>
        </w:rPr>
        <w:t xml:space="preserve">, Comparative Education and Policy Research, vol 25. Springer, Cham. </w:t>
      </w:r>
      <w:hyperlink r:id="rId32" w:history="1">
        <w:r w:rsidRPr="002069B2">
          <w:rPr>
            <w:rStyle w:val="Hyperlink"/>
            <w:rFonts w:ascii="Arial" w:hAnsi="Arial" w:cs="Arial"/>
          </w:rPr>
          <w:t>https://doi.org/10.1007/978-3-030-71575-5_3</w:t>
        </w:r>
      </w:hyperlink>
      <w:r>
        <w:rPr>
          <w:rFonts w:ascii="Arial" w:hAnsi="Arial" w:cs="Arial"/>
        </w:rPr>
        <w:t xml:space="preserve"> </w:t>
      </w:r>
    </w:p>
    <w:p w14:paraId="6BC203B4" w14:textId="77777777" w:rsidR="000D689F" w:rsidRDefault="000D689F" w:rsidP="00441B6F">
      <w:pPr>
        <w:pStyle w:val="Body"/>
        <w:spacing w:after="0"/>
      </w:pPr>
    </w:p>
    <w:p w14:paraId="422F9944" w14:textId="77777777" w:rsidR="00B01FCD" w:rsidRPr="00FB3A86" w:rsidRDefault="00B01FCD" w:rsidP="00441B6F">
      <w:pPr>
        <w:pStyle w:val="Appendix"/>
        <w:spacing w:after="0"/>
        <w:jc w:val="both"/>
        <w:rPr>
          <w:rFonts w:ascii="Arial" w:hAnsi="Arial" w:cs="Arial"/>
          <w:b w:val="0"/>
        </w:rPr>
      </w:pPr>
    </w:p>
    <w:sectPr w:rsidR="00B01FCD" w:rsidRPr="00FB3A86" w:rsidSect="00671F3A">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0ABEB" w14:textId="77777777" w:rsidR="00505302" w:rsidRDefault="00505302" w:rsidP="00C37E61">
      <w:r>
        <w:separator/>
      </w:r>
    </w:p>
  </w:endnote>
  <w:endnote w:type="continuationSeparator" w:id="0">
    <w:p w14:paraId="0105265F" w14:textId="77777777" w:rsidR="00505302" w:rsidRDefault="005053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C8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660B" w14:textId="77777777" w:rsidR="00505302" w:rsidRDefault="00505302" w:rsidP="00C37E61">
      <w:r>
        <w:separator/>
      </w:r>
    </w:p>
  </w:footnote>
  <w:footnote w:type="continuationSeparator" w:id="0">
    <w:p w14:paraId="1BF81F85" w14:textId="77777777" w:rsidR="00505302" w:rsidRDefault="005053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9B19" w14:textId="4239DC44" w:rsidR="005F4407" w:rsidRDefault="00505302">
    <w:pPr>
      <w:pStyle w:val="Header"/>
    </w:pPr>
    <w:r>
      <w:rPr>
        <w:noProof/>
      </w:rPr>
      <w:pict w14:anchorId="04AED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1BF7" w14:textId="556E4712" w:rsidR="005F4407" w:rsidRDefault="00505302">
    <w:pPr>
      <w:pStyle w:val="Header"/>
    </w:pPr>
    <w:r>
      <w:rPr>
        <w:noProof/>
      </w:rPr>
      <w:pict w14:anchorId="09DBE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84ED" w14:textId="3DD7A68B" w:rsidR="005F4407" w:rsidRDefault="00505302">
    <w:pPr>
      <w:pStyle w:val="Header"/>
    </w:pPr>
    <w:r>
      <w:rPr>
        <w:noProof/>
      </w:rPr>
      <w:pict w14:anchorId="4C3C3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53967"/>
    <w:multiLevelType w:val="multilevel"/>
    <w:tmpl w:val="BBAE96C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B42"/>
    <w:rsid w:val="00000F8F"/>
    <w:rsid w:val="000013D7"/>
    <w:rsid w:val="00002A3C"/>
    <w:rsid w:val="00002A41"/>
    <w:rsid w:val="00013884"/>
    <w:rsid w:val="000202A4"/>
    <w:rsid w:val="00022EE9"/>
    <w:rsid w:val="000254B7"/>
    <w:rsid w:val="00030174"/>
    <w:rsid w:val="0003067B"/>
    <w:rsid w:val="00030BD6"/>
    <w:rsid w:val="00036A78"/>
    <w:rsid w:val="0004579C"/>
    <w:rsid w:val="000457F5"/>
    <w:rsid w:val="0005338A"/>
    <w:rsid w:val="00054BD9"/>
    <w:rsid w:val="00061C4F"/>
    <w:rsid w:val="000702FB"/>
    <w:rsid w:val="000739D8"/>
    <w:rsid w:val="0007424E"/>
    <w:rsid w:val="00076757"/>
    <w:rsid w:val="00082A3A"/>
    <w:rsid w:val="000A23A7"/>
    <w:rsid w:val="000A47FA"/>
    <w:rsid w:val="000A5878"/>
    <w:rsid w:val="000A65D3"/>
    <w:rsid w:val="000B1E33"/>
    <w:rsid w:val="000C1800"/>
    <w:rsid w:val="000C1CCD"/>
    <w:rsid w:val="000C336E"/>
    <w:rsid w:val="000C7F6E"/>
    <w:rsid w:val="000D689F"/>
    <w:rsid w:val="000D75FD"/>
    <w:rsid w:val="000E214F"/>
    <w:rsid w:val="000E7B7B"/>
    <w:rsid w:val="000E7D62"/>
    <w:rsid w:val="000F4E57"/>
    <w:rsid w:val="00103357"/>
    <w:rsid w:val="001041FE"/>
    <w:rsid w:val="0012273B"/>
    <w:rsid w:val="001239C9"/>
    <w:rsid w:val="00123C9F"/>
    <w:rsid w:val="0012507C"/>
    <w:rsid w:val="00126170"/>
    <w:rsid w:val="00126190"/>
    <w:rsid w:val="00126930"/>
    <w:rsid w:val="00130F17"/>
    <w:rsid w:val="00131BE4"/>
    <w:rsid w:val="001320BF"/>
    <w:rsid w:val="001338F6"/>
    <w:rsid w:val="0013673D"/>
    <w:rsid w:val="00145E78"/>
    <w:rsid w:val="00147FF8"/>
    <w:rsid w:val="00151469"/>
    <w:rsid w:val="0015303C"/>
    <w:rsid w:val="00153051"/>
    <w:rsid w:val="001559FD"/>
    <w:rsid w:val="00155AD7"/>
    <w:rsid w:val="001608CD"/>
    <w:rsid w:val="00163BC4"/>
    <w:rsid w:val="001649F2"/>
    <w:rsid w:val="001651A6"/>
    <w:rsid w:val="00165F81"/>
    <w:rsid w:val="001847DA"/>
    <w:rsid w:val="00191062"/>
    <w:rsid w:val="00192B72"/>
    <w:rsid w:val="00193277"/>
    <w:rsid w:val="00194E8D"/>
    <w:rsid w:val="001A22EC"/>
    <w:rsid w:val="001A29D8"/>
    <w:rsid w:val="001A5CAA"/>
    <w:rsid w:val="001A658C"/>
    <w:rsid w:val="001A7167"/>
    <w:rsid w:val="001B0427"/>
    <w:rsid w:val="001B5B08"/>
    <w:rsid w:val="001D3A51"/>
    <w:rsid w:val="001D67B4"/>
    <w:rsid w:val="001D6A17"/>
    <w:rsid w:val="001E10D2"/>
    <w:rsid w:val="001E17B9"/>
    <w:rsid w:val="001E25B4"/>
    <w:rsid w:val="001E44FE"/>
    <w:rsid w:val="001F02FA"/>
    <w:rsid w:val="001F085E"/>
    <w:rsid w:val="001F1541"/>
    <w:rsid w:val="00200595"/>
    <w:rsid w:val="002009D1"/>
    <w:rsid w:val="00204835"/>
    <w:rsid w:val="00206B8B"/>
    <w:rsid w:val="00211BEE"/>
    <w:rsid w:val="00214F89"/>
    <w:rsid w:val="00217FD5"/>
    <w:rsid w:val="002209E8"/>
    <w:rsid w:val="00225B1B"/>
    <w:rsid w:val="00230CFC"/>
    <w:rsid w:val="00231920"/>
    <w:rsid w:val="0023195C"/>
    <w:rsid w:val="0024282C"/>
    <w:rsid w:val="00244C44"/>
    <w:rsid w:val="002460DC"/>
    <w:rsid w:val="00250985"/>
    <w:rsid w:val="002556F6"/>
    <w:rsid w:val="0026154D"/>
    <w:rsid w:val="00264925"/>
    <w:rsid w:val="0027000D"/>
    <w:rsid w:val="00276749"/>
    <w:rsid w:val="00280351"/>
    <w:rsid w:val="00283105"/>
    <w:rsid w:val="00284C4C"/>
    <w:rsid w:val="002863BB"/>
    <w:rsid w:val="00287E68"/>
    <w:rsid w:val="00290B6C"/>
    <w:rsid w:val="00293DCF"/>
    <w:rsid w:val="00296529"/>
    <w:rsid w:val="002A2659"/>
    <w:rsid w:val="002A2C56"/>
    <w:rsid w:val="002B27FB"/>
    <w:rsid w:val="002B685A"/>
    <w:rsid w:val="002C14DC"/>
    <w:rsid w:val="002C3FB6"/>
    <w:rsid w:val="002C57D2"/>
    <w:rsid w:val="002E0D56"/>
    <w:rsid w:val="002E374C"/>
    <w:rsid w:val="002E6E02"/>
    <w:rsid w:val="002F62E0"/>
    <w:rsid w:val="002F717D"/>
    <w:rsid w:val="00315186"/>
    <w:rsid w:val="00315329"/>
    <w:rsid w:val="0032412A"/>
    <w:rsid w:val="00326BF4"/>
    <w:rsid w:val="00330945"/>
    <w:rsid w:val="0033343E"/>
    <w:rsid w:val="00341412"/>
    <w:rsid w:val="0034329C"/>
    <w:rsid w:val="00343340"/>
    <w:rsid w:val="003512C2"/>
    <w:rsid w:val="00355D1C"/>
    <w:rsid w:val="00365A9A"/>
    <w:rsid w:val="00371FB6"/>
    <w:rsid w:val="00373001"/>
    <w:rsid w:val="00375E23"/>
    <w:rsid w:val="003763C1"/>
    <w:rsid w:val="00376BBE"/>
    <w:rsid w:val="00376D21"/>
    <w:rsid w:val="0039224F"/>
    <w:rsid w:val="0039700B"/>
    <w:rsid w:val="003A43A4"/>
    <w:rsid w:val="003A7E18"/>
    <w:rsid w:val="003B0276"/>
    <w:rsid w:val="003B1ED5"/>
    <w:rsid w:val="003C072D"/>
    <w:rsid w:val="003C4331"/>
    <w:rsid w:val="003C4C86"/>
    <w:rsid w:val="003C6258"/>
    <w:rsid w:val="003C76B9"/>
    <w:rsid w:val="003E22D8"/>
    <w:rsid w:val="003E2904"/>
    <w:rsid w:val="003E62A8"/>
    <w:rsid w:val="003F2F55"/>
    <w:rsid w:val="00401927"/>
    <w:rsid w:val="004072BA"/>
    <w:rsid w:val="0041027F"/>
    <w:rsid w:val="00410A7F"/>
    <w:rsid w:val="00412475"/>
    <w:rsid w:val="004145D5"/>
    <w:rsid w:val="00416FCE"/>
    <w:rsid w:val="00423789"/>
    <w:rsid w:val="00425231"/>
    <w:rsid w:val="00431BC5"/>
    <w:rsid w:val="00437886"/>
    <w:rsid w:val="00440F43"/>
    <w:rsid w:val="00441B6F"/>
    <w:rsid w:val="00444749"/>
    <w:rsid w:val="00446221"/>
    <w:rsid w:val="00450E62"/>
    <w:rsid w:val="00450EB9"/>
    <w:rsid w:val="004539DB"/>
    <w:rsid w:val="00456566"/>
    <w:rsid w:val="00463351"/>
    <w:rsid w:val="0046584A"/>
    <w:rsid w:val="00471A80"/>
    <w:rsid w:val="004802EA"/>
    <w:rsid w:val="0049237F"/>
    <w:rsid w:val="00494914"/>
    <w:rsid w:val="004B2FF8"/>
    <w:rsid w:val="004B3972"/>
    <w:rsid w:val="004B448B"/>
    <w:rsid w:val="004B4DB7"/>
    <w:rsid w:val="004B7462"/>
    <w:rsid w:val="004C0F1C"/>
    <w:rsid w:val="004C0FD2"/>
    <w:rsid w:val="004C2892"/>
    <w:rsid w:val="004D1139"/>
    <w:rsid w:val="004D305E"/>
    <w:rsid w:val="004D4277"/>
    <w:rsid w:val="004D4BD6"/>
    <w:rsid w:val="004E243B"/>
    <w:rsid w:val="004F42A8"/>
    <w:rsid w:val="00502516"/>
    <w:rsid w:val="005034BA"/>
    <w:rsid w:val="00505302"/>
    <w:rsid w:val="00505F06"/>
    <w:rsid w:val="005065C6"/>
    <w:rsid w:val="00506828"/>
    <w:rsid w:val="0051275A"/>
    <w:rsid w:val="005200EF"/>
    <w:rsid w:val="00522C84"/>
    <w:rsid w:val="00526A37"/>
    <w:rsid w:val="0053056E"/>
    <w:rsid w:val="00536D88"/>
    <w:rsid w:val="005443A7"/>
    <w:rsid w:val="00547C43"/>
    <w:rsid w:val="00552272"/>
    <w:rsid w:val="0055336B"/>
    <w:rsid w:val="00554FDA"/>
    <w:rsid w:val="00555C8A"/>
    <w:rsid w:val="00562B94"/>
    <w:rsid w:val="005654AC"/>
    <w:rsid w:val="005668C6"/>
    <w:rsid w:val="005842A3"/>
    <w:rsid w:val="00594361"/>
    <w:rsid w:val="00595E0C"/>
    <w:rsid w:val="005C784C"/>
    <w:rsid w:val="005D17F6"/>
    <w:rsid w:val="005D7849"/>
    <w:rsid w:val="005E5539"/>
    <w:rsid w:val="005F4407"/>
    <w:rsid w:val="005F45C2"/>
    <w:rsid w:val="006024EF"/>
    <w:rsid w:val="00602BF5"/>
    <w:rsid w:val="00616CF2"/>
    <w:rsid w:val="00617611"/>
    <w:rsid w:val="006176D0"/>
    <w:rsid w:val="00617DBD"/>
    <w:rsid w:val="00617FDD"/>
    <w:rsid w:val="0062083D"/>
    <w:rsid w:val="00622251"/>
    <w:rsid w:val="00623205"/>
    <w:rsid w:val="00627760"/>
    <w:rsid w:val="00627B66"/>
    <w:rsid w:val="00633614"/>
    <w:rsid w:val="00633F68"/>
    <w:rsid w:val="006348C5"/>
    <w:rsid w:val="00636EB2"/>
    <w:rsid w:val="006375B8"/>
    <w:rsid w:val="006575CC"/>
    <w:rsid w:val="00664E30"/>
    <w:rsid w:val="0066510A"/>
    <w:rsid w:val="00671F3A"/>
    <w:rsid w:val="00673F9F"/>
    <w:rsid w:val="00676226"/>
    <w:rsid w:val="00680A06"/>
    <w:rsid w:val="006826F8"/>
    <w:rsid w:val="00685C4D"/>
    <w:rsid w:val="00686953"/>
    <w:rsid w:val="00687DEA"/>
    <w:rsid w:val="00687E67"/>
    <w:rsid w:val="006967F7"/>
    <w:rsid w:val="006A250C"/>
    <w:rsid w:val="006A27D4"/>
    <w:rsid w:val="006A6C43"/>
    <w:rsid w:val="006B21D3"/>
    <w:rsid w:val="006B57D0"/>
    <w:rsid w:val="006B63C7"/>
    <w:rsid w:val="006C4F1F"/>
    <w:rsid w:val="006C615C"/>
    <w:rsid w:val="006C7D10"/>
    <w:rsid w:val="006D1F62"/>
    <w:rsid w:val="006D30FF"/>
    <w:rsid w:val="006D4153"/>
    <w:rsid w:val="006D6940"/>
    <w:rsid w:val="006D6D8B"/>
    <w:rsid w:val="006E0EE1"/>
    <w:rsid w:val="006E3843"/>
    <w:rsid w:val="006E491D"/>
    <w:rsid w:val="006E569F"/>
    <w:rsid w:val="006E7181"/>
    <w:rsid w:val="006E74DD"/>
    <w:rsid w:val="006F11EC"/>
    <w:rsid w:val="006F3A1B"/>
    <w:rsid w:val="006F3F0F"/>
    <w:rsid w:val="006F43D0"/>
    <w:rsid w:val="006F5E1C"/>
    <w:rsid w:val="0070082C"/>
    <w:rsid w:val="00721CF1"/>
    <w:rsid w:val="0072250D"/>
    <w:rsid w:val="007369E6"/>
    <w:rsid w:val="00742EE9"/>
    <w:rsid w:val="00745EAE"/>
    <w:rsid w:val="00746E59"/>
    <w:rsid w:val="0074742F"/>
    <w:rsid w:val="00747E73"/>
    <w:rsid w:val="007509D1"/>
    <w:rsid w:val="00752515"/>
    <w:rsid w:val="00754C9A"/>
    <w:rsid w:val="0075599A"/>
    <w:rsid w:val="00761D52"/>
    <w:rsid w:val="0077169F"/>
    <w:rsid w:val="0077749E"/>
    <w:rsid w:val="007815FC"/>
    <w:rsid w:val="00781FEA"/>
    <w:rsid w:val="00783059"/>
    <w:rsid w:val="00790ADA"/>
    <w:rsid w:val="0079141D"/>
    <w:rsid w:val="007A2433"/>
    <w:rsid w:val="007A66B1"/>
    <w:rsid w:val="007B1636"/>
    <w:rsid w:val="007C7802"/>
    <w:rsid w:val="007D2288"/>
    <w:rsid w:val="007E088F"/>
    <w:rsid w:val="007F3108"/>
    <w:rsid w:val="007F7B32"/>
    <w:rsid w:val="00800C01"/>
    <w:rsid w:val="00804491"/>
    <w:rsid w:val="00804BC2"/>
    <w:rsid w:val="00806206"/>
    <w:rsid w:val="00807A62"/>
    <w:rsid w:val="0081431A"/>
    <w:rsid w:val="00827ACE"/>
    <w:rsid w:val="00831901"/>
    <w:rsid w:val="0083216F"/>
    <w:rsid w:val="008463CB"/>
    <w:rsid w:val="008474DC"/>
    <w:rsid w:val="00860000"/>
    <w:rsid w:val="00861211"/>
    <w:rsid w:val="00863BD3"/>
    <w:rsid w:val="008641ED"/>
    <w:rsid w:val="00866107"/>
    <w:rsid w:val="00866D66"/>
    <w:rsid w:val="008671C6"/>
    <w:rsid w:val="008711D8"/>
    <w:rsid w:val="00875803"/>
    <w:rsid w:val="00883B6D"/>
    <w:rsid w:val="008934D4"/>
    <w:rsid w:val="00897937"/>
    <w:rsid w:val="008A051E"/>
    <w:rsid w:val="008A558B"/>
    <w:rsid w:val="008A787F"/>
    <w:rsid w:val="008B459E"/>
    <w:rsid w:val="008B4FA2"/>
    <w:rsid w:val="008B5585"/>
    <w:rsid w:val="008C5CBB"/>
    <w:rsid w:val="008D05AE"/>
    <w:rsid w:val="008D0E0E"/>
    <w:rsid w:val="008D20AE"/>
    <w:rsid w:val="008D416F"/>
    <w:rsid w:val="008E13AE"/>
    <w:rsid w:val="008E1506"/>
    <w:rsid w:val="008E710C"/>
    <w:rsid w:val="008F4A3C"/>
    <w:rsid w:val="008F673E"/>
    <w:rsid w:val="008F69D6"/>
    <w:rsid w:val="008F7216"/>
    <w:rsid w:val="008F723D"/>
    <w:rsid w:val="00901352"/>
    <w:rsid w:val="00901E2F"/>
    <w:rsid w:val="00902823"/>
    <w:rsid w:val="00906EAF"/>
    <w:rsid w:val="00906FAE"/>
    <w:rsid w:val="00910F3D"/>
    <w:rsid w:val="00913E18"/>
    <w:rsid w:val="0091459E"/>
    <w:rsid w:val="00915CA6"/>
    <w:rsid w:val="00917D37"/>
    <w:rsid w:val="00927834"/>
    <w:rsid w:val="009500A6"/>
    <w:rsid w:val="009507E6"/>
    <w:rsid w:val="00952B18"/>
    <w:rsid w:val="0095328C"/>
    <w:rsid w:val="00957C18"/>
    <w:rsid w:val="00961556"/>
    <w:rsid w:val="009659BA"/>
    <w:rsid w:val="00971177"/>
    <w:rsid w:val="0097362D"/>
    <w:rsid w:val="0097599F"/>
    <w:rsid w:val="00980BEF"/>
    <w:rsid w:val="00983040"/>
    <w:rsid w:val="0098323D"/>
    <w:rsid w:val="009968C8"/>
    <w:rsid w:val="009A1C18"/>
    <w:rsid w:val="009A2315"/>
    <w:rsid w:val="009A370F"/>
    <w:rsid w:val="009A3A92"/>
    <w:rsid w:val="009B07A5"/>
    <w:rsid w:val="009B3FB9"/>
    <w:rsid w:val="009C2465"/>
    <w:rsid w:val="009D35A0"/>
    <w:rsid w:val="009D7EB7"/>
    <w:rsid w:val="009E048A"/>
    <w:rsid w:val="009E08E9"/>
    <w:rsid w:val="009E3693"/>
    <w:rsid w:val="009E3DB9"/>
    <w:rsid w:val="009E5B1C"/>
    <w:rsid w:val="009E6E35"/>
    <w:rsid w:val="009F0C6F"/>
    <w:rsid w:val="009F0EDA"/>
    <w:rsid w:val="009F2E7C"/>
    <w:rsid w:val="009F43EB"/>
    <w:rsid w:val="009F5814"/>
    <w:rsid w:val="00A00576"/>
    <w:rsid w:val="00A016FF"/>
    <w:rsid w:val="00A03B96"/>
    <w:rsid w:val="00A05B19"/>
    <w:rsid w:val="00A1134E"/>
    <w:rsid w:val="00A160EC"/>
    <w:rsid w:val="00A24E7E"/>
    <w:rsid w:val="00A258C3"/>
    <w:rsid w:val="00A327F5"/>
    <w:rsid w:val="00A34758"/>
    <w:rsid w:val="00A347C0"/>
    <w:rsid w:val="00A35340"/>
    <w:rsid w:val="00A50287"/>
    <w:rsid w:val="00A51431"/>
    <w:rsid w:val="00A519C6"/>
    <w:rsid w:val="00A51BA3"/>
    <w:rsid w:val="00A539AD"/>
    <w:rsid w:val="00A610D6"/>
    <w:rsid w:val="00A7650F"/>
    <w:rsid w:val="00A92D46"/>
    <w:rsid w:val="00A94063"/>
    <w:rsid w:val="00AA3506"/>
    <w:rsid w:val="00AA3862"/>
    <w:rsid w:val="00AA6219"/>
    <w:rsid w:val="00AA74E0"/>
    <w:rsid w:val="00AB34A3"/>
    <w:rsid w:val="00AB4079"/>
    <w:rsid w:val="00AB6C4E"/>
    <w:rsid w:val="00AB703F"/>
    <w:rsid w:val="00AC1A2B"/>
    <w:rsid w:val="00AC6BB8"/>
    <w:rsid w:val="00AC6DA3"/>
    <w:rsid w:val="00AD35D6"/>
    <w:rsid w:val="00AE008F"/>
    <w:rsid w:val="00AE22E3"/>
    <w:rsid w:val="00AE3A63"/>
    <w:rsid w:val="00AE59A1"/>
    <w:rsid w:val="00AE6272"/>
    <w:rsid w:val="00AF20C2"/>
    <w:rsid w:val="00B00BB1"/>
    <w:rsid w:val="00B01FCD"/>
    <w:rsid w:val="00B04C70"/>
    <w:rsid w:val="00B1776C"/>
    <w:rsid w:val="00B21E36"/>
    <w:rsid w:val="00B311BA"/>
    <w:rsid w:val="00B373E8"/>
    <w:rsid w:val="00B428DA"/>
    <w:rsid w:val="00B43B59"/>
    <w:rsid w:val="00B519CB"/>
    <w:rsid w:val="00B52583"/>
    <w:rsid w:val="00B52896"/>
    <w:rsid w:val="00B55803"/>
    <w:rsid w:val="00B735D3"/>
    <w:rsid w:val="00B73C38"/>
    <w:rsid w:val="00B80E35"/>
    <w:rsid w:val="00B9063B"/>
    <w:rsid w:val="00B95236"/>
    <w:rsid w:val="00B96BD9"/>
    <w:rsid w:val="00B97190"/>
    <w:rsid w:val="00BA1B01"/>
    <w:rsid w:val="00BA2641"/>
    <w:rsid w:val="00BA2908"/>
    <w:rsid w:val="00BA31BD"/>
    <w:rsid w:val="00BB37AA"/>
    <w:rsid w:val="00BB4BDF"/>
    <w:rsid w:val="00BC2CEB"/>
    <w:rsid w:val="00BC53A0"/>
    <w:rsid w:val="00BD5CEB"/>
    <w:rsid w:val="00BE033E"/>
    <w:rsid w:val="00BE17B6"/>
    <w:rsid w:val="00BE62AD"/>
    <w:rsid w:val="00BF121F"/>
    <w:rsid w:val="00BF1F80"/>
    <w:rsid w:val="00BF3C45"/>
    <w:rsid w:val="00C13ED2"/>
    <w:rsid w:val="00C166EF"/>
    <w:rsid w:val="00C17EB0"/>
    <w:rsid w:val="00C27F5F"/>
    <w:rsid w:val="00C30A0F"/>
    <w:rsid w:val="00C338F6"/>
    <w:rsid w:val="00C37E61"/>
    <w:rsid w:val="00C415F4"/>
    <w:rsid w:val="00C50220"/>
    <w:rsid w:val="00C608DB"/>
    <w:rsid w:val="00C66932"/>
    <w:rsid w:val="00C70F1B"/>
    <w:rsid w:val="00C71A47"/>
    <w:rsid w:val="00C7464C"/>
    <w:rsid w:val="00C85588"/>
    <w:rsid w:val="00C86F63"/>
    <w:rsid w:val="00C90666"/>
    <w:rsid w:val="00CB2707"/>
    <w:rsid w:val="00CB34D5"/>
    <w:rsid w:val="00CC1AD4"/>
    <w:rsid w:val="00CC24E1"/>
    <w:rsid w:val="00CD1BE6"/>
    <w:rsid w:val="00CD59FB"/>
    <w:rsid w:val="00CD6324"/>
    <w:rsid w:val="00CD6755"/>
    <w:rsid w:val="00CD6856"/>
    <w:rsid w:val="00CE0089"/>
    <w:rsid w:val="00CE7256"/>
    <w:rsid w:val="00CE793C"/>
    <w:rsid w:val="00CF193C"/>
    <w:rsid w:val="00D00BB1"/>
    <w:rsid w:val="00D0273E"/>
    <w:rsid w:val="00D07F46"/>
    <w:rsid w:val="00D16719"/>
    <w:rsid w:val="00D173F1"/>
    <w:rsid w:val="00D20422"/>
    <w:rsid w:val="00D22670"/>
    <w:rsid w:val="00D30289"/>
    <w:rsid w:val="00D35FFD"/>
    <w:rsid w:val="00D401F3"/>
    <w:rsid w:val="00D44EE2"/>
    <w:rsid w:val="00D47BDF"/>
    <w:rsid w:val="00D60FC1"/>
    <w:rsid w:val="00D73F35"/>
    <w:rsid w:val="00D74CB0"/>
    <w:rsid w:val="00D8295D"/>
    <w:rsid w:val="00D83647"/>
    <w:rsid w:val="00D83F9A"/>
    <w:rsid w:val="00D84F76"/>
    <w:rsid w:val="00D86654"/>
    <w:rsid w:val="00DA15C3"/>
    <w:rsid w:val="00DA20C8"/>
    <w:rsid w:val="00DB43E6"/>
    <w:rsid w:val="00DC1AE8"/>
    <w:rsid w:val="00DC2A65"/>
    <w:rsid w:val="00DC68CA"/>
    <w:rsid w:val="00DC6A16"/>
    <w:rsid w:val="00DD7CE7"/>
    <w:rsid w:val="00DE15F0"/>
    <w:rsid w:val="00DE5663"/>
    <w:rsid w:val="00DE78AA"/>
    <w:rsid w:val="00DF4850"/>
    <w:rsid w:val="00E00D2E"/>
    <w:rsid w:val="00E0454B"/>
    <w:rsid w:val="00E053D0"/>
    <w:rsid w:val="00E140A1"/>
    <w:rsid w:val="00E15994"/>
    <w:rsid w:val="00E3114E"/>
    <w:rsid w:val="00E315BE"/>
    <w:rsid w:val="00E31A70"/>
    <w:rsid w:val="00E33C18"/>
    <w:rsid w:val="00E35631"/>
    <w:rsid w:val="00E35B02"/>
    <w:rsid w:val="00E619E9"/>
    <w:rsid w:val="00E637FA"/>
    <w:rsid w:val="00E66496"/>
    <w:rsid w:val="00E66B35"/>
    <w:rsid w:val="00E66E10"/>
    <w:rsid w:val="00E72C40"/>
    <w:rsid w:val="00E769F6"/>
    <w:rsid w:val="00E80CF3"/>
    <w:rsid w:val="00E8407C"/>
    <w:rsid w:val="00E84F3C"/>
    <w:rsid w:val="00E87F4A"/>
    <w:rsid w:val="00E907E8"/>
    <w:rsid w:val="00EA012C"/>
    <w:rsid w:val="00EA581E"/>
    <w:rsid w:val="00EB6ACA"/>
    <w:rsid w:val="00EC6A55"/>
    <w:rsid w:val="00EC7EB4"/>
    <w:rsid w:val="00ED0288"/>
    <w:rsid w:val="00EE0D0D"/>
    <w:rsid w:val="00EE52CB"/>
    <w:rsid w:val="00EF581D"/>
    <w:rsid w:val="00EF7CA9"/>
    <w:rsid w:val="00EF7FD8"/>
    <w:rsid w:val="00F00332"/>
    <w:rsid w:val="00F06EC1"/>
    <w:rsid w:val="00F06F59"/>
    <w:rsid w:val="00F10ABC"/>
    <w:rsid w:val="00F147ED"/>
    <w:rsid w:val="00F15CBE"/>
    <w:rsid w:val="00F17988"/>
    <w:rsid w:val="00F210AA"/>
    <w:rsid w:val="00F23115"/>
    <w:rsid w:val="00F27146"/>
    <w:rsid w:val="00F277F9"/>
    <w:rsid w:val="00F30F70"/>
    <w:rsid w:val="00F33E52"/>
    <w:rsid w:val="00F348B2"/>
    <w:rsid w:val="00F469F0"/>
    <w:rsid w:val="00F53273"/>
    <w:rsid w:val="00F6587B"/>
    <w:rsid w:val="00F65C1A"/>
    <w:rsid w:val="00F73DEE"/>
    <w:rsid w:val="00F755E4"/>
    <w:rsid w:val="00F7588A"/>
    <w:rsid w:val="00F76D28"/>
    <w:rsid w:val="00F77D02"/>
    <w:rsid w:val="00F91930"/>
    <w:rsid w:val="00F92A09"/>
    <w:rsid w:val="00FA1D12"/>
    <w:rsid w:val="00FA257C"/>
    <w:rsid w:val="00FA3524"/>
    <w:rsid w:val="00FB19A9"/>
    <w:rsid w:val="00FB3A86"/>
    <w:rsid w:val="00FB4272"/>
    <w:rsid w:val="00FC3AA0"/>
    <w:rsid w:val="00FD36C8"/>
    <w:rsid w:val="00FD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61A5F1"/>
  <w15:docId w15:val="{AE60941C-A9CE-4527-9EAC-753BF572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DA20C8"/>
    <w:rPr>
      <w:rFonts w:ascii="Helvetica" w:hAnsi="Helvetica"/>
    </w:rPr>
  </w:style>
  <w:style w:type="paragraph" w:styleId="CommentSubject">
    <w:name w:val="annotation subject"/>
    <w:basedOn w:val="CommentText"/>
    <w:next w:val="CommentText"/>
    <w:link w:val="CommentSubjectChar"/>
    <w:semiHidden/>
    <w:unhideWhenUsed/>
    <w:rsid w:val="00DA20C8"/>
    <w:rPr>
      <w:rFonts w:ascii="Helvetica" w:hAnsi="Helvetica"/>
      <w:b/>
      <w:bCs/>
      <w:lang w:val="en-US" w:eastAsia="en-US"/>
    </w:rPr>
  </w:style>
  <w:style w:type="character" w:customStyle="1" w:styleId="CommentSubjectChar">
    <w:name w:val="Comment Subject Char"/>
    <w:basedOn w:val="CommentTextChar"/>
    <w:link w:val="CommentSubject"/>
    <w:semiHidden/>
    <w:rsid w:val="00DA20C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233988">
      <w:bodyDiv w:val="1"/>
      <w:marLeft w:val="0"/>
      <w:marRight w:val="0"/>
      <w:marTop w:val="0"/>
      <w:marBottom w:val="0"/>
      <w:divBdr>
        <w:top w:val="none" w:sz="0" w:space="0" w:color="auto"/>
        <w:left w:val="none" w:sz="0" w:space="0" w:color="auto"/>
        <w:bottom w:val="none" w:sz="0" w:space="0" w:color="auto"/>
        <w:right w:val="none" w:sz="0" w:space="0" w:color="auto"/>
      </w:divBdr>
      <w:divsChild>
        <w:div w:id="1090542602">
          <w:marLeft w:val="0"/>
          <w:marRight w:val="0"/>
          <w:marTop w:val="0"/>
          <w:marBottom w:val="225"/>
          <w:divBdr>
            <w:top w:val="none" w:sz="0" w:space="0" w:color="auto"/>
            <w:left w:val="none" w:sz="0" w:space="0" w:color="auto"/>
            <w:bottom w:val="none" w:sz="0" w:space="0" w:color="auto"/>
            <w:right w:val="none" w:sz="0" w:space="0" w:color="auto"/>
          </w:divBdr>
          <w:divsChild>
            <w:div w:id="551620824">
              <w:marLeft w:val="0"/>
              <w:marRight w:val="0"/>
              <w:marTop w:val="0"/>
              <w:marBottom w:val="0"/>
              <w:divBdr>
                <w:top w:val="none" w:sz="0" w:space="0" w:color="auto"/>
                <w:left w:val="none" w:sz="0" w:space="0" w:color="auto"/>
                <w:bottom w:val="none" w:sz="0" w:space="0" w:color="auto"/>
                <w:right w:val="none" w:sz="0" w:space="0" w:color="auto"/>
              </w:divBdr>
              <w:divsChild>
                <w:div w:id="17204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6744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829607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2614283">
      <w:bodyDiv w:val="1"/>
      <w:marLeft w:val="0"/>
      <w:marRight w:val="0"/>
      <w:marTop w:val="0"/>
      <w:marBottom w:val="0"/>
      <w:divBdr>
        <w:top w:val="none" w:sz="0" w:space="0" w:color="auto"/>
        <w:left w:val="none" w:sz="0" w:space="0" w:color="auto"/>
        <w:bottom w:val="none" w:sz="0" w:space="0" w:color="auto"/>
        <w:right w:val="none" w:sz="0" w:space="0" w:color="auto"/>
      </w:divBdr>
      <w:divsChild>
        <w:div w:id="872693965">
          <w:marLeft w:val="0"/>
          <w:marRight w:val="0"/>
          <w:marTop w:val="0"/>
          <w:marBottom w:val="225"/>
          <w:divBdr>
            <w:top w:val="none" w:sz="0" w:space="0" w:color="auto"/>
            <w:left w:val="none" w:sz="0" w:space="0" w:color="auto"/>
            <w:bottom w:val="none" w:sz="0" w:space="0" w:color="auto"/>
            <w:right w:val="none" w:sz="0" w:space="0" w:color="auto"/>
          </w:divBdr>
          <w:divsChild>
            <w:div w:id="1557010305">
              <w:marLeft w:val="0"/>
              <w:marRight w:val="0"/>
              <w:marTop w:val="0"/>
              <w:marBottom w:val="0"/>
              <w:divBdr>
                <w:top w:val="none" w:sz="0" w:space="0" w:color="auto"/>
                <w:left w:val="none" w:sz="0" w:space="0" w:color="auto"/>
                <w:bottom w:val="none" w:sz="0" w:space="0" w:color="auto"/>
                <w:right w:val="none" w:sz="0" w:space="0" w:color="auto"/>
              </w:divBdr>
              <w:divsChild>
                <w:div w:id="2695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09875">
          <w:marLeft w:val="0"/>
          <w:marRight w:val="0"/>
          <w:marTop w:val="0"/>
          <w:marBottom w:val="0"/>
          <w:divBdr>
            <w:top w:val="none" w:sz="0" w:space="0" w:color="auto"/>
            <w:left w:val="none" w:sz="0" w:space="0" w:color="auto"/>
            <w:bottom w:val="none" w:sz="0" w:space="0" w:color="auto"/>
            <w:right w:val="none" w:sz="0" w:space="0" w:color="auto"/>
          </w:divBdr>
        </w:div>
      </w:divsChild>
    </w:div>
    <w:div w:id="44107338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45199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73761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992264">
      <w:bodyDiv w:val="1"/>
      <w:marLeft w:val="0"/>
      <w:marRight w:val="0"/>
      <w:marTop w:val="0"/>
      <w:marBottom w:val="0"/>
      <w:divBdr>
        <w:top w:val="none" w:sz="0" w:space="0" w:color="auto"/>
        <w:left w:val="none" w:sz="0" w:space="0" w:color="auto"/>
        <w:bottom w:val="none" w:sz="0" w:space="0" w:color="auto"/>
        <w:right w:val="none" w:sz="0" w:space="0" w:color="auto"/>
      </w:divBdr>
      <w:divsChild>
        <w:div w:id="679897227">
          <w:marLeft w:val="0"/>
          <w:marRight w:val="0"/>
          <w:marTop w:val="0"/>
          <w:marBottom w:val="0"/>
          <w:divBdr>
            <w:top w:val="none" w:sz="0" w:space="0" w:color="auto"/>
            <w:left w:val="none" w:sz="0" w:space="0" w:color="auto"/>
            <w:bottom w:val="none" w:sz="0" w:space="0" w:color="auto"/>
            <w:right w:val="none" w:sz="0" w:space="0" w:color="auto"/>
          </w:divBdr>
          <w:divsChild>
            <w:div w:id="1381661696">
              <w:marLeft w:val="0"/>
              <w:marRight w:val="0"/>
              <w:marTop w:val="0"/>
              <w:marBottom w:val="0"/>
              <w:divBdr>
                <w:top w:val="none" w:sz="0" w:space="0" w:color="auto"/>
                <w:left w:val="none" w:sz="0" w:space="0" w:color="auto"/>
                <w:bottom w:val="none" w:sz="0" w:space="0" w:color="auto"/>
                <w:right w:val="none" w:sz="0" w:space="0" w:color="auto"/>
              </w:divBdr>
              <w:divsChild>
                <w:div w:id="41486776">
                  <w:marLeft w:val="0"/>
                  <w:marRight w:val="0"/>
                  <w:marTop w:val="0"/>
                  <w:marBottom w:val="0"/>
                  <w:divBdr>
                    <w:top w:val="none" w:sz="0" w:space="0" w:color="auto"/>
                    <w:left w:val="none" w:sz="0" w:space="0" w:color="auto"/>
                    <w:bottom w:val="none" w:sz="0" w:space="0" w:color="auto"/>
                    <w:right w:val="none" w:sz="0" w:space="0" w:color="auto"/>
                  </w:divBdr>
                  <w:divsChild>
                    <w:div w:id="567302153">
                      <w:marLeft w:val="0"/>
                      <w:marRight w:val="0"/>
                      <w:marTop w:val="0"/>
                      <w:marBottom w:val="0"/>
                      <w:divBdr>
                        <w:top w:val="none" w:sz="0" w:space="0" w:color="auto"/>
                        <w:left w:val="none" w:sz="0" w:space="0" w:color="auto"/>
                        <w:bottom w:val="none" w:sz="0" w:space="0" w:color="auto"/>
                        <w:right w:val="none" w:sz="0" w:space="0" w:color="auto"/>
                      </w:divBdr>
                      <w:divsChild>
                        <w:div w:id="2056805393">
                          <w:marLeft w:val="0"/>
                          <w:marRight w:val="0"/>
                          <w:marTop w:val="0"/>
                          <w:marBottom w:val="0"/>
                          <w:divBdr>
                            <w:top w:val="none" w:sz="0" w:space="0" w:color="auto"/>
                            <w:left w:val="none" w:sz="0" w:space="0" w:color="auto"/>
                            <w:bottom w:val="none" w:sz="0" w:space="0" w:color="auto"/>
                            <w:right w:val="none" w:sz="0" w:space="0" w:color="auto"/>
                          </w:divBdr>
                          <w:divsChild>
                            <w:div w:id="45616239">
                              <w:marLeft w:val="0"/>
                              <w:marRight w:val="0"/>
                              <w:marTop w:val="0"/>
                              <w:marBottom w:val="0"/>
                              <w:divBdr>
                                <w:top w:val="none" w:sz="0" w:space="0" w:color="auto"/>
                                <w:left w:val="none" w:sz="0" w:space="0" w:color="auto"/>
                                <w:bottom w:val="none" w:sz="0" w:space="0" w:color="auto"/>
                                <w:right w:val="none" w:sz="0" w:space="0" w:color="auto"/>
                              </w:divBdr>
                              <w:divsChild>
                                <w:div w:id="1236865402">
                                  <w:marLeft w:val="0"/>
                                  <w:marRight w:val="0"/>
                                  <w:marTop w:val="0"/>
                                  <w:marBottom w:val="0"/>
                                  <w:divBdr>
                                    <w:top w:val="none" w:sz="0" w:space="0" w:color="auto"/>
                                    <w:left w:val="none" w:sz="0" w:space="0" w:color="auto"/>
                                    <w:bottom w:val="none" w:sz="0" w:space="0" w:color="auto"/>
                                    <w:right w:val="none" w:sz="0" w:space="0" w:color="auto"/>
                                  </w:divBdr>
                                  <w:divsChild>
                                    <w:div w:id="10341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718655">
      <w:bodyDiv w:val="1"/>
      <w:marLeft w:val="0"/>
      <w:marRight w:val="0"/>
      <w:marTop w:val="0"/>
      <w:marBottom w:val="0"/>
      <w:divBdr>
        <w:top w:val="none" w:sz="0" w:space="0" w:color="auto"/>
        <w:left w:val="none" w:sz="0" w:space="0" w:color="auto"/>
        <w:bottom w:val="none" w:sz="0" w:space="0" w:color="auto"/>
        <w:right w:val="none" w:sz="0" w:space="0" w:color="auto"/>
      </w:divBdr>
    </w:div>
    <w:div w:id="1226648094">
      <w:bodyDiv w:val="1"/>
      <w:marLeft w:val="0"/>
      <w:marRight w:val="0"/>
      <w:marTop w:val="0"/>
      <w:marBottom w:val="0"/>
      <w:divBdr>
        <w:top w:val="none" w:sz="0" w:space="0" w:color="auto"/>
        <w:left w:val="none" w:sz="0" w:space="0" w:color="auto"/>
        <w:bottom w:val="none" w:sz="0" w:space="0" w:color="auto"/>
        <w:right w:val="none" w:sz="0" w:space="0" w:color="auto"/>
      </w:divBdr>
      <w:divsChild>
        <w:div w:id="716317764">
          <w:marLeft w:val="0"/>
          <w:marRight w:val="0"/>
          <w:marTop w:val="0"/>
          <w:marBottom w:val="0"/>
          <w:divBdr>
            <w:top w:val="none" w:sz="0" w:space="0" w:color="auto"/>
            <w:left w:val="none" w:sz="0" w:space="0" w:color="auto"/>
            <w:bottom w:val="none" w:sz="0" w:space="0" w:color="auto"/>
            <w:right w:val="none" w:sz="0" w:space="0" w:color="auto"/>
          </w:divBdr>
          <w:divsChild>
            <w:div w:id="1087112300">
              <w:marLeft w:val="0"/>
              <w:marRight w:val="0"/>
              <w:marTop w:val="0"/>
              <w:marBottom w:val="0"/>
              <w:divBdr>
                <w:top w:val="none" w:sz="0" w:space="0" w:color="auto"/>
                <w:left w:val="none" w:sz="0" w:space="0" w:color="auto"/>
                <w:bottom w:val="none" w:sz="0" w:space="0" w:color="auto"/>
                <w:right w:val="none" w:sz="0" w:space="0" w:color="auto"/>
              </w:divBdr>
              <w:divsChild>
                <w:div w:id="725446102">
                  <w:marLeft w:val="0"/>
                  <w:marRight w:val="0"/>
                  <w:marTop w:val="0"/>
                  <w:marBottom w:val="0"/>
                  <w:divBdr>
                    <w:top w:val="none" w:sz="0" w:space="0" w:color="auto"/>
                    <w:left w:val="none" w:sz="0" w:space="0" w:color="auto"/>
                    <w:bottom w:val="none" w:sz="0" w:space="0" w:color="auto"/>
                    <w:right w:val="none" w:sz="0" w:space="0" w:color="auto"/>
                  </w:divBdr>
                  <w:divsChild>
                    <w:div w:id="1077749664">
                      <w:marLeft w:val="0"/>
                      <w:marRight w:val="0"/>
                      <w:marTop w:val="0"/>
                      <w:marBottom w:val="0"/>
                      <w:divBdr>
                        <w:top w:val="none" w:sz="0" w:space="0" w:color="auto"/>
                        <w:left w:val="none" w:sz="0" w:space="0" w:color="auto"/>
                        <w:bottom w:val="none" w:sz="0" w:space="0" w:color="auto"/>
                        <w:right w:val="none" w:sz="0" w:space="0" w:color="auto"/>
                      </w:divBdr>
                      <w:divsChild>
                        <w:div w:id="791902135">
                          <w:marLeft w:val="0"/>
                          <w:marRight w:val="0"/>
                          <w:marTop w:val="0"/>
                          <w:marBottom w:val="0"/>
                          <w:divBdr>
                            <w:top w:val="none" w:sz="0" w:space="0" w:color="auto"/>
                            <w:left w:val="none" w:sz="0" w:space="0" w:color="auto"/>
                            <w:bottom w:val="none" w:sz="0" w:space="0" w:color="auto"/>
                            <w:right w:val="none" w:sz="0" w:space="0" w:color="auto"/>
                          </w:divBdr>
                          <w:divsChild>
                            <w:div w:id="1479029424">
                              <w:marLeft w:val="0"/>
                              <w:marRight w:val="0"/>
                              <w:marTop w:val="0"/>
                              <w:marBottom w:val="0"/>
                              <w:divBdr>
                                <w:top w:val="none" w:sz="0" w:space="0" w:color="auto"/>
                                <w:left w:val="none" w:sz="0" w:space="0" w:color="auto"/>
                                <w:bottom w:val="none" w:sz="0" w:space="0" w:color="auto"/>
                                <w:right w:val="none" w:sz="0" w:space="0" w:color="auto"/>
                              </w:divBdr>
                              <w:divsChild>
                                <w:div w:id="2118871053">
                                  <w:marLeft w:val="0"/>
                                  <w:marRight w:val="0"/>
                                  <w:marTop w:val="0"/>
                                  <w:marBottom w:val="0"/>
                                  <w:divBdr>
                                    <w:top w:val="none" w:sz="0" w:space="0" w:color="auto"/>
                                    <w:left w:val="none" w:sz="0" w:space="0" w:color="auto"/>
                                    <w:bottom w:val="none" w:sz="0" w:space="0" w:color="auto"/>
                                    <w:right w:val="none" w:sz="0" w:space="0" w:color="auto"/>
                                  </w:divBdr>
                                  <w:divsChild>
                                    <w:div w:id="20201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125867">
      <w:bodyDiv w:val="1"/>
      <w:marLeft w:val="0"/>
      <w:marRight w:val="0"/>
      <w:marTop w:val="0"/>
      <w:marBottom w:val="0"/>
      <w:divBdr>
        <w:top w:val="none" w:sz="0" w:space="0" w:color="auto"/>
        <w:left w:val="none" w:sz="0" w:space="0" w:color="auto"/>
        <w:bottom w:val="none" w:sz="0" w:space="0" w:color="auto"/>
        <w:right w:val="none" w:sz="0" w:space="0" w:color="auto"/>
      </w:divBdr>
    </w:div>
    <w:div w:id="1406564695">
      <w:bodyDiv w:val="1"/>
      <w:marLeft w:val="0"/>
      <w:marRight w:val="0"/>
      <w:marTop w:val="0"/>
      <w:marBottom w:val="0"/>
      <w:divBdr>
        <w:top w:val="none" w:sz="0" w:space="0" w:color="auto"/>
        <w:left w:val="none" w:sz="0" w:space="0" w:color="auto"/>
        <w:bottom w:val="none" w:sz="0" w:space="0" w:color="auto"/>
        <w:right w:val="none" w:sz="0" w:space="0" w:color="auto"/>
      </w:divBdr>
    </w:div>
    <w:div w:id="16565639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470153">
      <w:bodyDiv w:val="1"/>
      <w:marLeft w:val="0"/>
      <w:marRight w:val="0"/>
      <w:marTop w:val="0"/>
      <w:marBottom w:val="0"/>
      <w:divBdr>
        <w:top w:val="none" w:sz="0" w:space="0" w:color="auto"/>
        <w:left w:val="none" w:sz="0" w:space="0" w:color="auto"/>
        <w:bottom w:val="none" w:sz="0" w:space="0" w:color="auto"/>
        <w:right w:val="none" w:sz="0" w:space="0" w:color="auto"/>
      </w:divBdr>
    </w:div>
    <w:div w:id="19493915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057925.2019.1593107" TargetMode="External"/><Relationship Id="rId18" Type="http://schemas.openxmlformats.org/officeDocument/2006/relationships/hyperlink" Target="https://nyctecenter.org/images/files/Publications/A_Comparative_Analysis_of_National_We_Survey_Data.pdf" TargetMode="External"/><Relationship Id="rId26" Type="http://schemas.openxmlformats.org/officeDocument/2006/relationships/hyperlink" Target="http://dx.doi.org/10.1177/0255761413488709" TargetMode="External"/><Relationship Id="rId21" Type="http://schemas.openxmlformats.org/officeDocument/2006/relationships/hyperlink" Target="http://dx.doi.org/10.46827/ejes.v8i12.404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rmg.um.edu.my/index.php/JIIE/article/view/41113/15400" TargetMode="External"/><Relationship Id="rId17" Type="http://schemas.openxmlformats.org/officeDocument/2006/relationships/hyperlink" Target="https://doi.org/10.3390/educsci13020107" TargetMode="External"/><Relationship Id="rId25" Type="http://schemas.openxmlformats.org/officeDocument/2006/relationships/hyperlink" Target="https://doi.org/10.1080/13562517.2020.1852204"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educsci13020107" TargetMode="External"/><Relationship Id="rId20" Type="http://schemas.openxmlformats.org/officeDocument/2006/relationships/hyperlink" Target="https://doi.org/10.1080/14613808.2022.2101632" TargetMode="External"/><Relationship Id="rId29" Type="http://schemas.openxmlformats.org/officeDocument/2006/relationships/hyperlink" Target="https://doi.org/10.1080/10632913.2020.1746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RJASS/2021/v13i430221" TargetMode="External"/><Relationship Id="rId24" Type="http://schemas.openxmlformats.org/officeDocument/2006/relationships/hyperlink" Target="https://doi.org/10.35912/jshe.v1i2.341" TargetMode="External"/><Relationship Id="rId32" Type="http://schemas.openxmlformats.org/officeDocument/2006/relationships/hyperlink" Target="https://doi.org/10.1007/978-3-030-71575-5_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4613808.2024.2434839" TargetMode="External"/><Relationship Id="rId23" Type="http://schemas.openxmlformats.org/officeDocument/2006/relationships/hyperlink" Target="https://doi.org/10.22176/act22.3.41" TargetMode="External"/><Relationship Id="rId28" Type="http://schemas.openxmlformats.org/officeDocument/2006/relationships/hyperlink" Target="https://doi.org/10.1080/14613808.2022.2038109" TargetMode="External"/><Relationship Id="rId36" Type="http://schemas.openxmlformats.org/officeDocument/2006/relationships/header" Target="header3.xml"/><Relationship Id="rId10" Type="http://schemas.openxmlformats.org/officeDocument/2006/relationships/hyperlink" Target="https://doi.org/10.30574/wjarr.2024.21.2.0490" TargetMode="External"/><Relationship Id="rId19" Type="http://schemas.openxmlformats.org/officeDocument/2006/relationships/hyperlink" Target="https://doi.org/10.13189/ujer.2021.090421" TargetMode="External"/><Relationship Id="rId31" Type="http://schemas.openxmlformats.org/officeDocument/2006/relationships/hyperlink" Target="https://doi.org/10.22521/edupij.2025.14.62" TargetMode="External"/><Relationship Id="rId4" Type="http://schemas.openxmlformats.org/officeDocument/2006/relationships/settings" Target="settings.xml"/><Relationship Id="rId9" Type="http://schemas.openxmlformats.org/officeDocument/2006/relationships/hyperlink" Target="https://doi.org/10.1177/1048371313478946" TargetMode="External"/><Relationship Id="rId14" Type="http://schemas.openxmlformats.org/officeDocument/2006/relationships/hyperlink" Target="https://doi.org/10.1080/10632913.2020.1746713" TargetMode="External"/><Relationship Id="rId22" Type="http://schemas.openxmlformats.org/officeDocument/2006/relationships/hyperlink" Target="https://media.neliti.com/media/publications/357979-implementation-of-curriculum-programme-i-403fc25b.pdf" TargetMode="External"/><Relationship Id="rId27" Type="http://schemas.openxmlformats.org/officeDocument/2006/relationships/hyperlink" Target="https://doi.org/10.1016/j.tate.2020.103243" TargetMode="External"/><Relationship Id="rId30" Type="http://schemas.openxmlformats.org/officeDocument/2006/relationships/hyperlink" Target="https://doi.org/10.1177/1321103X221099852" TargetMode="External"/><Relationship Id="rId35"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Sheet3!$A$2</c:f>
              <c:strCache>
                <c:ptCount val="1"/>
                <c:pt idx="0">
                  <c:v>Students</c:v>
                </c:pt>
              </c:strCache>
            </c:strRef>
          </c:tx>
          <c:spPr>
            <a:solidFill>
              <a:schemeClr val="accent1"/>
            </a:solidFill>
            <a:ln>
              <a:noFill/>
            </a:ln>
            <a:effectLst/>
          </c:spPr>
          <c:invertIfNegative val="0"/>
          <c:cat>
            <c:strRef>
              <c:f>Sheet3!$B$1:$C$1</c:f>
              <c:strCache>
                <c:ptCount val="2"/>
                <c:pt idx="0">
                  <c:v>Overall Mean</c:v>
                </c:pt>
                <c:pt idx="1">
                  <c:v>Overall SD</c:v>
                </c:pt>
              </c:strCache>
            </c:strRef>
          </c:cat>
          <c:val>
            <c:numRef>
              <c:f>Sheet3!$B$2:$C$2</c:f>
              <c:numCache>
                <c:formatCode>General</c:formatCode>
                <c:ptCount val="2"/>
                <c:pt idx="0">
                  <c:v>3.63</c:v>
                </c:pt>
                <c:pt idx="1">
                  <c:v>1.3</c:v>
                </c:pt>
              </c:numCache>
            </c:numRef>
          </c:val>
          <c:extLst>
            <c:ext xmlns:c16="http://schemas.microsoft.com/office/drawing/2014/chart" uri="{C3380CC4-5D6E-409C-BE32-E72D297353CC}">
              <c16:uniqueId val="{00000000-4F35-40C2-B997-B987DB28A7B2}"/>
            </c:ext>
          </c:extLst>
        </c:ser>
        <c:ser>
          <c:idx val="1"/>
          <c:order val="1"/>
          <c:tx>
            <c:strRef>
              <c:f>Sheet3!$A$3</c:f>
              <c:strCache>
                <c:ptCount val="1"/>
                <c:pt idx="0">
                  <c:v>Lecturers</c:v>
                </c:pt>
              </c:strCache>
            </c:strRef>
          </c:tx>
          <c:spPr>
            <a:solidFill>
              <a:schemeClr val="accent2"/>
            </a:solidFill>
            <a:ln>
              <a:noFill/>
            </a:ln>
            <a:effectLst/>
          </c:spPr>
          <c:invertIfNegative val="0"/>
          <c:cat>
            <c:strRef>
              <c:f>Sheet3!$B$1:$C$1</c:f>
              <c:strCache>
                <c:ptCount val="2"/>
                <c:pt idx="0">
                  <c:v>Overall Mean</c:v>
                </c:pt>
                <c:pt idx="1">
                  <c:v>Overall SD</c:v>
                </c:pt>
              </c:strCache>
            </c:strRef>
          </c:cat>
          <c:val>
            <c:numRef>
              <c:f>Sheet3!$B$3:$C$3</c:f>
              <c:numCache>
                <c:formatCode>General</c:formatCode>
                <c:ptCount val="2"/>
                <c:pt idx="0">
                  <c:v>4.4000000000000004</c:v>
                </c:pt>
                <c:pt idx="1">
                  <c:v>0.67</c:v>
                </c:pt>
              </c:numCache>
            </c:numRef>
          </c:val>
          <c:extLst>
            <c:ext xmlns:c16="http://schemas.microsoft.com/office/drawing/2014/chart" uri="{C3380CC4-5D6E-409C-BE32-E72D297353CC}">
              <c16:uniqueId val="{00000001-4F35-40C2-B997-B987DB28A7B2}"/>
            </c:ext>
          </c:extLst>
        </c:ser>
        <c:dLbls>
          <c:showLegendKey val="0"/>
          <c:showVal val="0"/>
          <c:showCatName val="0"/>
          <c:showSerName val="0"/>
          <c:showPercent val="0"/>
          <c:showBubbleSize val="0"/>
        </c:dLbls>
        <c:gapWidth val="219"/>
        <c:overlap val="-27"/>
        <c:axId val="313919920"/>
        <c:axId val="313941040"/>
      </c:barChart>
      <c:catAx>
        <c:axId val="313919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Respondent Group</a:t>
                </a:r>
              </a:p>
            </c:rich>
          </c:tx>
          <c:layout>
            <c:manualLayout>
              <c:xMode val="edge"/>
              <c:yMode val="edge"/>
              <c:x val="0.45226968503937015"/>
              <c:y val="0.879258530183726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941040"/>
        <c:crosses val="autoZero"/>
        <c:auto val="1"/>
        <c:lblAlgn val="ctr"/>
        <c:lblOffset val="100"/>
        <c:noMultiLvlLbl val="0"/>
      </c:catAx>
      <c:valAx>
        <c:axId val="313941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Mean Perception Group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919920"/>
        <c:crosses val="autoZero"/>
        <c:crossBetween val="between"/>
        <c:majorUnit val="1"/>
      </c:valAx>
      <c:spPr>
        <a:noFill/>
        <a:ln>
          <a:noFill/>
        </a:ln>
        <a:effectLst/>
      </c:spPr>
    </c:plotArea>
    <c:legend>
      <c:legendPos val="b"/>
      <c:layout>
        <c:manualLayout>
          <c:xMode val="edge"/>
          <c:yMode val="edge"/>
          <c:x val="0.38188604549431326"/>
          <c:y val="0.75983741615631384"/>
          <c:w val="0.34456102362204727"/>
          <c:h val="0.110532954214056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D6E3-405E-45F4-ACF4-325DB380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14</Pages>
  <Words>9070</Words>
  <Characters>51701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60650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1183</cp:lastModifiedBy>
  <cp:revision>6</cp:revision>
  <cp:lastPrinted>1999-07-06T11:00:00Z</cp:lastPrinted>
  <dcterms:created xsi:type="dcterms:W3CDTF">2025-06-16T17:20:00Z</dcterms:created>
  <dcterms:modified xsi:type="dcterms:W3CDTF">2025-06-17T11:51:00Z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6c89ade9-1630-426a-9af1-4c4ff121f919</vt:lpwstr>
  </property>
</Properties>
</file>