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1CEA" w14:textId="77777777" w:rsidR="00717F2E" w:rsidRDefault="00717F2E">
      <w:pPr>
        <w:pStyle w:val="Author"/>
        <w:spacing w:line="240" w:lineRule="auto"/>
        <w:jc w:val="left"/>
        <w:rPr>
          <w:rFonts w:ascii="Arial" w:hAnsi="Arial" w:cs="Arial"/>
          <w:bCs/>
          <w:iCs/>
          <w:kern w:val="28"/>
          <w:sz w:val="20"/>
        </w:rPr>
      </w:pPr>
    </w:p>
    <w:p w14:paraId="7CB558F0" w14:textId="60323BE0" w:rsidR="008C2F8C" w:rsidRDefault="001B0FAE" w:rsidP="001B0FAE">
      <w:pPr>
        <w:pStyle w:val="Author"/>
        <w:spacing w:line="240" w:lineRule="auto"/>
        <w:jc w:val="left"/>
        <w:rPr>
          <w:rFonts w:ascii="Arial" w:hAnsi="Arial" w:cs="Arial"/>
          <w:noProof/>
          <w:sz w:val="28"/>
          <w:szCs w:val="28"/>
          <w:lang w:val="en-PH" w:eastAsia="en-PH"/>
        </w:rPr>
      </w:pPr>
      <w:r w:rsidRPr="008C2F8C">
        <w:rPr>
          <w:rFonts w:ascii="Arial" w:hAnsi="Arial" w:cs="Arial"/>
          <w:noProof/>
          <w:sz w:val="28"/>
          <w:szCs w:val="28"/>
          <w:lang w:val="en-PH" w:eastAsia="en-PH"/>
        </w:rPr>
        <w:t xml:space="preserve">Administrative Decision Making </w:t>
      </w:r>
      <w:r>
        <w:rPr>
          <w:rFonts w:ascii="Arial" w:hAnsi="Arial" w:cs="Arial"/>
          <w:noProof/>
          <w:sz w:val="28"/>
          <w:szCs w:val="28"/>
          <w:lang w:val="en-PH" w:eastAsia="en-PH"/>
        </w:rPr>
        <w:t>a</w:t>
      </w:r>
      <w:r w:rsidRPr="008C2F8C">
        <w:rPr>
          <w:rFonts w:ascii="Arial" w:hAnsi="Arial" w:cs="Arial"/>
          <w:noProof/>
          <w:sz w:val="28"/>
          <w:szCs w:val="28"/>
          <w:lang w:val="en-PH" w:eastAsia="en-PH"/>
        </w:rPr>
        <w:t xml:space="preserve">nd Crisis Management </w:t>
      </w:r>
      <w:r>
        <w:rPr>
          <w:rFonts w:ascii="Arial" w:hAnsi="Arial" w:cs="Arial"/>
          <w:noProof/>
          <w:sz w:val="28"/>
          <w:szCs w:val="28"/>
          <w:lang w:val="en-PH" w:eastAsia="en-PH"/>
        </w:rPr>
        <w:t>i</w:t>
      </w:r>
      <w:r w:rsidRPr="008C2F8C">
        <w:rPr>
          <w:rFonts w:ascii="Arial" w:hAnsi="Arial" w:cs="Arial"/>
          <w:noProof/>
          <w:sz w:val="28"/>
          <w:szCs w:val="28"/>
          <w:lang w:val="en-PH" w:eastAsia="en-PH"/>
        </w:rPr>
        <w:t xml:space="preserve">n Education </w:t>
      </w:r>
      <w:r>
        <w:rPr>
          <w:rFonts w:ascii="Arial" w:hAnsi="Arial" w:cs="Arial"/>
          <w:noProof/>
          <w:sz w:val="28"/>
          <w:szCs w:val="28"/>
          <w:lang w:val="en-PH" w:eastAsia="en-PH"/>
        </w:rPr>
        <w:t>i</w:t>
      </w:r>
      <w:r w:rsidRPr="008C2F8C">
        <w:rPr>
          <w:rFonts w:ascii="Arial" w:hAnsi="Arial" w:cs="Arial"/>
          <w:noProof/>
          <w:sz w:val="28"/>
          <w:szCs w:val="28"/>
          <w:lang w:val="en-PH" w:eastAsia="en-PH"/>
        </w:rPr>
        <w:t>n Public Elementary Schools</w:t>
      </w:r>
    </w:p>
    <w:p w14:paraId="68936AD8" w14:textId="77777777" w:rsidR="00B34F25" w:rsidRDefault="00B34F25">
      <w:pPr>
        <w:pStyle w:val="Affiliation"/>
        <w:spacing w:after="0" w:line="240" w:lineRule="auto"/>
        <w:jc w:val="center"/>
        <w:rPr>
          <w:rFonts w:ascii="Arial" w:hAnsi="Arial" w:cs="Arial"/>
          <w:i/>
        </w:rPr>
      </w:pPr>
    </w:p>
    <w:p w14:paraId="4A0A3264" w14:textId="77777777" w:rsidR="00D26ED7" w:rsidRDefault="00D26ED7">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FE3FB8">
      <w:pPr>
        <w:pStyle w:val="Affiliation"/>
        <w:spacing w:line="240" w:lineRule="auto"/>
        <w:jc w:val="left"/>
        <w:rPr>
          <w:rFonts w:ascii="Arial" w:hAnsi="Arial" w:cs="Arial"/>
          <w:i/>
        </w:rPr>
        <w:sectPr w:rsidR="00717F2E" w:rsidSect="00D26ED7">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FE3FB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343A53">
        <w:trPr>
          <w:trHeight w:val="1025"/>
        </w:trPr>
        <w:tc>
          <w:tcPr>
            <w:tcW w:w="9576" w:type="dxa"/>
            <w:shd w:val="clear" w:color="auto" w:fill="F2F2F2"/>
          </w:tcPr>
          <w:p w14:paraId="758843AE" w14:textId="26D4BFE0" w:rsidR="00343A53" w:rsidRPr="00343A53" w:rsidRDefault="00343A53" w:rsidP="00343A53">
            <w:pPr>
              <w:jc w:val="both"/>
              <w:rPr>
                <w:rFonts w:ascii="Arial" w:hAnsi="Arial" w:cs="Arial"/>
                <w:iCs/>
                <w:highlight w:val="yellow"/>
              </w:rPr>
            </w:pPr>
            <w:r w:rsidRPr="00343A53">
              <w:rPr>
                <w:rFonts w:ascii="Arial" w:hAnsi="Arial" w:cs="Arial"/>
                <w:iCs/>
                <w:highlight w:val="yellow"/>
              </w:rPr>
              <w:t xml:space="preserve">This study described the administrative decision-making and crisis management in public elementary schools. It employed purposive sampling and a non-experimental quantitative research design using the correlational method. The respondents were 165 teachers from the </w:t>
            </w:r>
            <w:proofErr w:type="spellStart"/>
            <w:r w:rsidRPr="00343A53">
              <w:rPr>
                <w:rFonts w:ascii="Arial" w:hAnsi="Arial" w:cs="Arial"/>
                <w:iCs/>
                <w:highlight w:val="yellow"/>
              </w:rPr>
              <w:t>Tibungco</w:t>
            </w:r>
            <w:proofErr w:type="spellEnd"/>
            <w:r w:rsidRPr="00343A53">
              <w:rPr>
                <w:rFonts w:ascii="Arial" w:hAnsi="Arial" w:cs="Arial"/>
                <w:iCs/>
                <w:highlight w:val="yellow"/>
              </w:rPr>
              <w:t xml:space="preserve"> District, Division of Davao City. Statistical tools used included the mean, Pearson Product-Moment Correlation Coefficient (Pearson r), and multiple regression analysis. Findings revealed that the levels of administrative decision-making and crisis management were high and consistently demonstrated. Contributing factors included the administrators’ responsiveness, clear communication strategies, and adherence to established policies. Moreover, a significant relationship was found between administrative decision-making and crisis management, with the former significantly influencing the latter.</w:t>
            </w:r>
          </w:p>
          <w:p w14:paraId="10E1D353" w14:textId="4AD1C9F1" w:rsidR="00717F2E" w:rsidRPr="000763D2" w:rsidRDefault="00343A53" w:rsidP="00343A53">
            <w:pPr>
              <w:jc w:val="both"/>
              <w:rPr>
                <w:rFonts w:ascii="Arial" w:hAnsi="Arial" w:cs="Arial"/>
                <w:iCs/>
              </w:rPr>
            </w:pPr>
            <w:r w:rsidRPr="00343A53">
              <w:rPr>
                <w:rFonts w:ascii="Arial" w:hAnsi="Arial" w:cs="Arial"/>
                <w:iCs/>
                <w:highlight w:val="yellow"/>
              </w:rPr>
              <w:t>It is recommended that school administrators strengthen professional development programs that focus on strategic decision-making and proactive crisis management to enhance educational leadership in public elementary schools.</w:t>
            </w:r>
          </w:p>
        </w:tc>
      </w:tr>
    </w:tbl>
    <w:p w14:paraId="175A3F79" w14:textId="77777777" w:rsidR="00717F2E" w:rsidRDefault="00717F2E">
      <w:pPr>
        <w:pStyle w:val="Body"/>
        <w:spacing w:after="0"/>
        <w:rPr>
          <w:rFonts w:ascii="Arial" w:hAnsi="Arial" w:cs="Arial"/>
          <w:i/>
        </w:rPr>
      </w:pPr>
    </w:p>
    <w:p w14:paraId="7F28192F" w14:textId="5AAF8761" w:rsidR="00717F2E" w:rsidRPr="000763D2" w:rsidRDefault="00FE3FB8" w:rsidP="00A256AB">
      <w:pPr>
        <w:rPr>
          <w:rFonts w:ascii="Arial" w:hAnsi="Arial" w:cs="Arial"/>
          <w:iCs/>
        </w:rPr>
      </w:pPr>
      <w:r w:rsidRPr="000763D2">
        <w:rPr>
          <w:rFonts w:ascii="Arial" w:hAnsi="Arial" w:cs="Arial"/>
          <w:i/>
          <w:iCs/>
        </w:rPr>
        <w:t>Keywords</w:t>
      </w:r>
      <w:r>
        <w:rPr>
          <w:rFonts w:ascii="Arial" w:hAnsi="Arial" w:cs="Arial"/>
        </w:rPr>
        <w:t xml:space="preserve">: </w:t>
      </w:r>
      <w:r w:rsidR="00C23533">
        <w:rPr>
          <w:rFonts w:ascii="Arial" w:hAnsi="Arial" w:cs="Arial"/>
          <w:iCs/>
        </w:rPr>
        <w:t>Administrative decision making</w:t>
      </w:r>
      <w:r w:rsidR="00A256AB" w:rsidRPr="00A256AB">
        <w:rPr>
          <w:rFonts w:ascii="Arial" w:hAnsi="Arial" w:cs="Arial"/>
          <w:iCs/>
        </w:rPr>
        <w:t xml:space="preserve">, </w:t>
      </w:r>
      <w:r w:rsidR="00C23533">
        <w:rPr>
          <w:rFonts w:ascii="Arial" w:hAnsi="Arial" w:cs="Arial"/>
          <w:iCs/>
        </w:rPr>
        <w:t>crisis</w:t>
      </w:r>
      <w:r w:rsidR="00A256AB" w:rsidRPr="00A256AB">
        <w:rPr>
          <w:rFonts w:ascii="Arial" w:hAnsi="Arial" w:cs="Arial"/>
          <w:iCs/>
        </w:rPr>
        <w:t xml:space="preserve"> management</w:t>
      </w:r>
      <w:r w:rsidR="00A256AB">
        <w:rPr>
          <w:rFonts w:ascii="Arial" w:hAnsi="Arial" w:cs="Arial"/>
          <w:iCs/>
        </w:rPr>
        <w:t xml:space="preserve">, public elementary schools, </w:t>
      </w:r>
      <w:r w:rsidR="001B0FAE" w:rsidRPr="001B0FAE">
        <w:rPr>
          <w:rFonts w:ascii="Arial" w:hAnsi="Arial" w:cs="Arial"/>
          <w:iCs/>
        </w:rPr>
        <w:t>clear communication strategies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FE3FB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96C918" w14:textId="098374D9"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 xml:space="preserve">Crisis management in education has emerged as a crucial concern in the 21st century, particularly as schools face a range of unpredictable challenges including natural disasters, public health emergencies, and </w:t>
      </w:r>
      <w:r w:rsidR="009108A5">
        <w:rPr>
          <w:rFonts w:ascii="Arial" w:hAnsi="Arial"/>
          <w:b w:val="0"/>
          <w:caps w:val="0"/>
          <w:sz w:val="20"/>
        </w:rPr>
        <w:t>security threats (</w:t>
      </w:r>
      <w:proofErr w:type="spellStart"/>
      <w:r w:rsidR="009108A5" w:rsidRPr="009108A5">
        <w:rPr>
          <w:rFonts w:ascii="Arial" w:hAnsi="Arial"/>
          <w:b w:val="0"/>
          <w:caps w:val="0"/>
          <w:sz w:val="20"/>
        </w:rPr>
        <w:t>Chatzipanagiotou</w:t>
      </w:r>
      <w:proofErr w:type="spellEnd"/>
      <w:r w:rsidR="009108A5">
        <w:rPr>
          <w:rFonts w:ascii="Arial" w:hAnsi="Arial"/>
          <w:b w:val="0"/>
          <w:caps w:val="0"/>
          <w:sz w:val="20"/>
        </w:rPr>
        <w:t xml:space="preserve"> </w:t>
      </w:r>
      <w:r w:rsidR="009108A5" w:rsidRPr="009108A5">
        <w:rPr>
          <w:rFonts w:ascii="Arial" w:hAnsi="Arial"/>
          <w:b w:val="0"/>
          <w:caps w:val="0"/>
          <w:sz w:val="20"/>
        </w:rPr>
        <w:t xml:space="preserve">&amp; </w:t>
      </w:r>
      <w:proofErr w:type="spellStart"/>
      <w:r w:rsidR="009108A5" w:rsidRPr="009108A5">
        <w:rPr>
          <w:rFonts w:ascii="Arial" w:hAnsi="Arial"/>
          <w:b w:val="0"/>
          <w:caps w:val="0"/>
          <w:sz w:val="20"/>
        </w:rPr>
        <w:t>Katsarou</w:t>
      </w:r>
      <w:proofErr w:type="spellEnd"/>
      <w:r w:rsidR="009108A5">
        <w:rPr>
          <w:rFonts w:ascii="Arial" w:hAnsi="Arial"/>
          <w:b w:val="0"/>
          <w:caps w:val="0"/>
          <w:sz w:val="20"/>
        </w:rPr>
        <w:t xml:space="preserve">, 2023). </w:t>
      </w:r>
      <w:r w:rsidRPr="000E535A">
        <w:rPr>
          <w:rFonts w:ascii="Arial" w:hAnsi="Arial"/>
          <w:b w:val="0"/>
          <w:caps w:val="0"/>
          <w:sz w:val="20"/>
        </w:rPr>
        <w:t>Inadequate preparedness and poor decision-making during these crises often result in disrupted learning, psychological distress among students and staff, and a break</w:t>
      </w:r>
      <w:r w:rsidR="009108A5">
        <w:rPr>
          <w:rFonts w:ascii="Arial" w:hAnsi="Arial"/>
          <w:b w:val="0"/>
          <w:caps w:val="0"/>
          <w:sz w:val="20"/>
        </w:rPr>
        <w:t>down of basic school operations (</w:t>
      </w:r>
      <w:proofErr w:type="spellStart"/>
      <w:r w:rsidR="009108A5" w:rsidRPr="009108A5">
        <w:rPr>
          <w:rFonts w:ascii="Arial" w:hAnsi="Arial"/>
          <w:b w:val="0"/>
          <w:caps w:val="0"/>
          <w:sz w:val="20"/>
        </w:rPr>
        <w:t>Osegbue</w:t>
      </w:r>
      <w:proofErr w:type="spellEnd"/>
      <w:r w:rsidR="009108A5">
        <w:rPr>
          <w:rFonts w:ascii="Arial" w:hAnsi="Arial"/>
          <w:b w:val="0"/>
          <w:caps w:val="0"/>
          <w:sz w:val="20"/>
        </w:rPr>
        <w:t>, 2025).</w:t>
      </w:r>
      <w:r w:rsidRPr="000E535A">
        <w:rPr>
          <w:rFonts w:ascii="Arial" w:hAnsi="Arial"/>
          <w:b w:val="0"/>
          <w:caps w:val="0"/>
          <w:sz w:val="20"/>
        </w:rPr>
        <w:t xml:space="preserve"> In many instances, school leaders are caught unprepared, with no clear protocols or leadership strategies in place to </w:t>
      </w:r>
      <w:r w:rsidR="009108A5">
        <w:rPr>
          <w:rFonts w:ascii="Arial" w:hAnsi="Arial"/>
          <w:b w:val="0"/>
          <w:caps w:val="0"/>
          <w:sz w:val="20"/>
        </w:rPr>
        <w:t>address emergencies effectively (</w:t>
      </w:r>
      <w:r w:rsidR="009108A5" w:rsidRPr="009108A5">
        <w:rPr>
          <w:rFonts w:ascii="Arial" w:hAnsi="Arial"/>
          <w:b w:val="0"/>
          <w:caps w:val="0"/>
          <w:sz w:val="20"/>
        </w:rPr>
        <w:t>Atillo</w:t>
      </w:r>
      <w:r w:rsidR="009108A5">
        <w:rPr>
          <w:rFonts w:ascii="Arial" w:hAnsi="Arial"/>
          <w:b w:val="0"/>
          <w:caps w:val="0"/>
          <w:sz w:val="20"/>
        </w:rPr>
        <w:t xml:space="preserve"> et al., 2025).</w:t>
      </w:r>
    </w:p>
    <w:p w14:paraId="742812D2" w14:textId="7E25D13C"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Globally, education systems have been severely tested by crises such as the COVID-19 pandemic, armed conflicts</w:t>
      </w:r>
      <w:r w:rsidR="009108A5">
        <w:rPr>
          <w:rFonts w:ascii="Arial" w:hAnsi="Arial"/>
          <w:b w:val="0"/>
          <w:caps w:val="0"/>
          <w:sz w:val="20"/>
        </w:rPr>
        <w:t>, and climate-related disasters (</w:t>
      </w:r>
      <w:r w:rsidR="009108A5" w:rsidRPr="009108A5">
        <w:rPr>
          <w:rFonts w:ascii="Arial" w:hAnsi="Arial"/>
          <w:b w:val="0"/>
          <w:caps w:val="0"/>
          <w:sz w:val="20"/>
        </w:rPr>
        <w:t>Mohiuddin</w:t>
      </w:r>
      <w:r w:rsidR="009108A5">
        <w:rPr>
          <w:rFonts w:ascii="Arial" w:hAnsi="Arial"/>
          <w:b w:val="0"/>
          <w:caps w:val="0"/>
          <w:sz w:val="20"/>
        </w:rPr>
        <w:t>, 2023).</w:t>
      </w:r>
      <w:r w:rsidRPr="000E535A">
        <w:rPr>
          <w:rFonts w:ascii="Arial" w:hAnsi="Arial"/>
          <w:b w:val="0"/>
          <w:caps w:val="0"/>
          <w:sz w:val="20"/>
        </w:rPr>
        <w:t xml:space="preserve"> According to UNESCO (2022), millions of children were affected by prolonged school closures, revealing weaknesses in crisis response strategies across different nations. The lack of efficient administrative decision-making during these events exposed gaps in policy implementation, stakeholder communication</w:t>
      </w:r>
      <w:r w:rsidR="009108A5">
        <w:rPr>
          <w:rFonts w:ascii="Arial" w:hAnsi="Arial"/>
          <w:b w:val="0"/>
          <w:caps w:val="0"/>
          <w:sz w:val="20"/>
        </w:rPr>
        <w:t>, and continuity of instruction (</w:t>
      </w:r>
      <w:r w:rsidR="009108A5" w:rsidRPr="009108A5">
        <w:rPr>
          <w:rFonts w:ascii="Arial" w:hAnsi="Arial"/>
          <w:b w:val="0"/>
          <w:caps w:val="0"/>
          <w:sz w:val="20"/>
        </w:rPr>
        <w:t>Bozkurt</w:t>
      </w:r>
      <w:r w:rsidR="009108A5">
        <w:rPr>
          <w:rFonts w:ascii="Arial" w:hAnsi="Arial"/>
          <w:b w:val="0"/>
          <w:caps w:val="0"/>
          <w:sz w:val="20"/>
        </w:rPr>
        <w:t xml:space="preserve"> et al., 2020).</w:t>
      </w:r>
      <w:r w:rsidRPr="000E535A">
        <w:rPr>
          <w:rFonts w:ascii="Arial" w:hAnsi="Arial"/>
          <w:b w:val="0"/>
          <w:caps w:val="0"/>
          <w:sz w:val="20"/>
        </w:rPr>
        <w:t xml:space="preserve"> In low-resource countries, the impact was even more severe due to fragile infrastructures and limited access to em</w:t>
      </w:r>
      <w:r w:rsidR="009108A5">
        <w:rPr>
          <w:rFonts w:ascii="Arial" w:hAnsi="Arial"/>
          <w:b w:val="0"/>
          <w:caps w:val="0"/>
          <w:sz w:val="20"/>
        </w:rPr>
        <w:t>ergency training and technology (</w:t>
      </w:r>
      <w:proofErr w:type="spellStart"/>
      <w:r w:rsidR="009108A5" w:rsidRPr="009108A5">
        <w:rPr>
          <w:rFonts w:ascii="Arial" w:hAnsi="Arial"/>
          <w:b w:val="0"/>
          <w:caps w:val="0"/>
          <w:sz w:val="20"/>
        </w:rPr>
        <w:t>Alsabri</w:t>
      </w:r>
      <w:proofErr w:type="spellEnd"/>
      <w:r w:rsidR="009108A5">
        <w:rPr>
          <w:rFonts w:ascii="Arial" w:hAnsi="Arial"/>
          <w:b w:val="0"/>
          <w:caps w:val="0"/>
          <w:sz w:val="20"/>
        </w:rPr>
        <w:t xml:space="preserve"> et al., 2025).</w:t>
      </w:r>
    </w:p>
    <w:p w14:paraId="46879F2E" w14:textId="59531368"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In the Philippines, crisis management in education is a persistent issue, exacerbated by frequent typhoons, earthquakes, and socio-political conflicts in some regions. Public schools often struggle with insufficient resources, overcrowded classrooms, and limited administrative tra</w:t>
      </w:r>
      <w:r w:rsidR="009108A5">
        <w:rPr>
          <w:rFonts w:ascii="Arial" w:hAnsi="Arial"/>
          <w:b w:val="0"/>
          <w:caps w:val="0"/>
          <w:sz w:val="20"/>
        </w:rPr>
        <w:t>ining in crisis response (</w:t>
      </w:r>
      <w:r w:rsidR="009108A5" w:rsidRPr="009108A5">
        <w:rPr>
          <w:rFonts w:ascii="Arial" w:hAnsi="Arial"/>
          <w:b w:val="0"/>
          <w:caps w:val="0"/>
          <w:sz w:val="20"/>
        </w:rPr>
        <w:t>Moreno</w:t>
      </w:r>
      <w:r w:rsidR="009108A5">
        <w:rPr>
          <w:rFonts w:ascii="Arial" w:hAnsi="Arial"/>
          <w:b w:val="0"/>
          <w:caps w:val="0"/>
          <w:sz w:val="20"/>
        </w:rPr>
        <w:t xml:space="preserve"> and </w:t>
      </w:r>
      <w:proofErr w:type="spellStart"/>
      <w:r w:rsidR="009108A5" w:rsidRPr="009108A5">
        <w:rPr>
          <w:rFonts w:ascii="Arial" w:hAnsi="Arial"/>
          <w:b w:val="0"/>
          <w:caps w:val="0"/>
          <w:sz w:val="20"/>
        </w:rPr>
        <w:t>Sulasula</w:t>
      </w:r>
      <w:proofErr w:type="spellEnd"/>
      <w:r w:rsidR="009108A5">
        <w:rPr>
          <w:rFonts w:ascii="Arial" w:hAnsi="Arial"/>
          <w:b w:val="0"/>
          <w:caps w:val="0"/>
          <w:sz w:val="20"/>
        </w:rPr>
        <w:t>, 2024).</w:t>
      </w:r>
      <w:r w:rsidRPr="000E535A">
        <w:rPr>
          <w:rFonts w:ascii="Arial" w:hAnsi="Arial"/>
          <w:b w:val="0"/>
          <w:caps w:val="0"/>
          <w:sz w:val="20"/>
        </w:rPr>
        <w:t xml:space="preserve"> The Department of Education (DepEd) has issued policies and guidelines for disaster preparedness and risk reduction; </w:t>
      </w:r>
      <w:r w:rsidRPr="000E535A">
        <w:rPr>
          <w:rFonts w:ascii="Arial" w:hAnsi="Arial"/>
          <w:b w:val="0"/>
          <w:caps w:val="0"/>
          <w:sz w:val="20"/>
        </w:rPr>
        <w:lastRenderedPageBreak/>
        <w:t xml:space="preserve">however, these measures are not always effectively implemented at the school level. The COVID-19 pandemic further highlighted the urgency for robust administrative systems capable of navigating </w:t>
      </w:r>
      <w:r w:rsidR="009108A5">
        <w:rPr>
          <w:rFonts w:ascii="Arial" w:hAnsi="Arial"/>
          <w:b w:val="0"/>
          <w:caps w:val="0"/>
          <w:sz w:val="20"/>
        </w:rPr>
        <w:t>complex educational disruptions (</w:t>
      </w:r>
      <w:r w:rsidR="009108A5" w:rsidRPr="009108A5">
        <w:rPr>
          <w:rFonts w:ascii="Arial" w:hAnsi="Arial"/>
          <w:b w:val="0"/>
          <w:caps w:val="0"/>
          <w:sz w:val="20"/>
        </w:rPr>
        <w:t>Cruz</w:t>
      </w:r>
      <w:r w:rsidR="009108A5">
        <w:rPr>
          <w:rFonts w:ascii="Arial" w:hAnsi="Arial"/>
          <w:b w:val="0"/>
          <w:caps w:val="0"/>
          <w:sz w:val="20"/>
        </w:rPr>
        <w:t xml:space="preserve"> </w:t>
      </w:r>
      <w:r w:rsidR="009108A5" w:rsidRPr="009108A5">
        <w:rPr>
          <w:rFonts w:ascii="Arial" w:hAnsi="Arial"/>
          <w:b w:val="0"/>
          <w:caps w:val="0"/>
          <w:sz w:val="20"/>
        </w:rPr>
        <w:t xml:space="preserve">&amp; </w:t>
      </w:r>
      <w:proofErr w:type="spellStart"/>
      <w:r w:rsidR="009108A5" w:rsidRPr="009108A5">
        <w:rPr>
          <w:rFonts w:ascii="Arial" w:hAnsi="Arial"/>
          <w:b w:val="0"/>
          <w:caps w:val="0"/>
          <w:sz w:val="20"/>
        </w:rPr>
        <w:t>Ormilla</w:t>
      </w:r>
      <w:proofErr w:type="spellEnd"/>
      <w:r w:rsidR="009108A5">
        <w:rPr>
          <w:rFonts w:ascii="Arial" w:hAnsi="Arial"/>
          <w:b w:val="0"/>
          <w:caps w:val="0"/>
          <w:sz w:val="20"/>
        </w:rPr>
        <w:t>, 2022).</w:t>
      </w:r>
    </w:p>
    <w:p w14:paraId="03CAD418" w14:textId="38A52957"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 xml:space="preserve">Previous studies have explored the link between administrative decision-making and crisis management in educational settings. Research by </w:t>
      </w:r>
      <w:proofErr w:type="spellStart"/>
      <w:r w:rsidR="00130375" w:rsidRPr="00130375">
        <w:rPr>
          <w:rFonts w:ascii="Arial" w:hAnsi="Arial"/>
          <w:b w:val="0"/>
          <w:caps w:val="0"/>
          <w:sz w:val="20"/>
        </w:rPr>
        <w:t>Chatzipanagiotou</w:t>
      </w:r>
      <w:proofErr w:type="spellEnd"/>
      <w:r w:rsidR="00130375">
        <w:rPr>
          <w:rFonts w:ascii="Arial" w:hAnsi="Arial"/>
          <w:b w:val="0"/>
          <w:caps w:val="0"/>
          <w:sz w:val="20"/>
        </w:rPr>
        <w:t xml:space="preserve"> and </w:t>
      </w:r>
      <w:proofErr w:type="spellStart"/>
      <w:r w:rsidR="00130375" w:rsidRPr="00130375">
        <w:rPr>
          <w:rFonts w:ascii="Arial" w:hAnsi="Arial"/>
          <w:b w:val="0"/>
          <w:caps w:val="0"/>
          <w:sz w:val="20"/>
        </w:rPr>
        <w:t>Katsarou</w:t>
      </w:r>
      <w:proofErr w:type="spellEnd"/>
      <w:r w:rsidR="00130375" w:rsidRPr="00130375">
        <w:rPr>
          <w:rFonts w:ascii="Arial" w:hAnsi="Arial"/>
          <w:b w:val="0"/>
          <w:caps w:val="0"/>
          <w:sz w:val="20"/>
        </w:rPr>
        <w:t xml:space="preserve"> </w:t>
      </w:r>
      <w:r w:rsidR="00130375">
        <w:rPr>
          <w:rFonts w:ascii="Arial" w:hAnsi="Arial"/>
          <w:b w:val="0"/>
          <w:caps w:val="0"/>
          <w:sz w:val="20"/>
        </w:rPr>
        <w:t>(2023</w:t>
      </w:r>
      <w:r w:rsidRPr="000E535A">
        <w:rPr>
          <w:rFonts w:ascii="Arial" w:hAnsi="Arial"/>
          <w:b w:val="0"/>
          <w:caps w:val="0"/>
          <w:sz w:val="20"/>
        </w:rPr>
        <w:t xml:space="preserve">) emphasizes that effective crisis management is largely dependent on the quality of decisions made by school leaders before, during, and after a crisis. Similarly, a study by </w:t>
      </w:r>
      <w:proofErr w:type="spellStart"/>
      <w:r w:rsidR="00130375" w:rsidRPr="00130375">
        <w:rPr>
          <w:rFonts w:ascii="Arial" w:hAnsi="Arial"/>
          <w:b w:val="0"/>
          <w:caps w:val="0"/>
          <w:sz w:val="20"/>
        </w:rPr>
        <w:t>Osegbue</w:t>
      </w:r>
      <w:proofErr w:type="spellEnd"/>
      <w:r w:rsidR="00130375">
        <w:rPr>
          <w:rFonts w:ascii="Arial" w:hAnsi="Arial"/>
          <w:b w:val="0"/>
          <w:caps w:val="0"/>
          <w:sz w:val="20"/>
        </w:rPr>
        <w:t xml:space="preserve"> (2025</w:t>
      </w:r>
      <w:r w:rsidRPr="000E535A">
        <w:rPr>
          <w:rFonts w:ascii="Arial" w:hAnsi="Arial"/>
          <w:b w:val="0"/>
          <w:caps w:val="0"/>
          <w:sz w:val="20"/>
        </w:rPr>
        <w:t>) found that schools with structured and participatory decision-making frameworks were more capable of managing crises with minimal disruption. These findings suggest a potential correlation between how decisions are made by administrators and the overall effectiveness of crisis response in schools.</w:t>
      </w:r>
    </w:p>
    <w:p w14:paraId="3F6E46F3" w14:textId="0FC6ABE6"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Despite these findings, there remains a noticeable gap in localized research focusing on the interplay between administrative decision-making and crisis management in public elementary schools in the Philippine context. Most existing literature either centers on secondary education or broadly addresses school management without exploring specific decision-making practices that influence crisis outcomes. As such, there is a need to understand how administrative decisions at the grassroots level affect crisis management in basic education institutions, particularly in vulnerable districts.</w:t>
      </w:r>
    </w:p>
    <w:p w14:paraId="19A864A0" w14:textId="04A4AE26" w:rsidR="000763D2" w:rsidRDefault="000E535A" w:rsidP="000E535A">
      <w:pPr>
        <w:pStyle w:val="AbstHead"/>
        <w:spacing w:after="0"/>
        <w:jc w:val="both"/>
        <w:rPr>
          <w:rFonts w:ascii="Arial" w:hAnsi="Arial" w:cs="Arial"/>
          <w:sz w:val="20"/>
        </w:rPr>
      </w:pPr>
      <w:r w:rsidRPr="000E535A">
        <w:rPr>
          <w:rFonts w:ascii="Arial" w:hAnsi="Arial"/>
          <w:b w:val="0"/>
          <w:caps w:val="0"/>
          <w:sz w:val="20"/>
        </w:rPr>
        <w:t xml:space="preserve">This study aims to determine the relationship between administrative decision-making and crisis management in education among public elementary schools in the </w:t>
      </w:r>
      <w:proofErr w:type="spellStart"/>
      <w:r w:rsidRPr="000E535A">
        <w:rPr>
          <w:rFonts w:ascii="Arial" w:hAnsi="Arial"/>
          <w:b w:val="0"/>
          <w:caps w:val="0"/>
          <w:sz w:val="20"/>
        </w:rPr>
        <w:t>Tibungco</w:t>
      </w:r>
      <w:proofErr w:type="spellEnd"/>
      <w:r w:rsidRPr="000E535A">
        <w:rPr>
          <w:rFonts w:ascii="Arial" w:hAnsi="Arial"/>
          <w:b w:val="0"/>
          <w:caps w:val="0"/>
          <w:sz w:val="20"/>
        </w:rPr>
        <w:t xml:space="preserve"> District, Division of Davao City. Specifically, it seeks to describe the level of administrative decision-making and crisis management, assess the relationship between the two, and identify which domains of decision-making significantly influence crisis response. The findings of this study hope to contribute to evidence-based practices and policies that can enhance school readiness and resilience in the face of crises.</w:t>
      </w:r>
    </w:p>
    <w:p w14:paraId="7A2EA22B" w14:textId="48E8CEBD" w:rsidR="00717F2E" w:rsidRDefault="000763D2" w:rsidP="00B23383">
      <w:pPr>
        <w:ind w:firstLine="720"/>
        <w:jc w:val="both"/>
        <w:rPr>
          <w:noProof/>
        </w:rPr>
      </w:pPr>
      <w:r>
        <w:rPr>
          <w:rFonts w:ascii="Arial" w:eastAsia="MS Mincho" w:hAnsi="Arial" w:cs="Arial"/>
          <w:b/>
          <w:bCs/>
          <w:lang w:eastAsia="ja-JP"/>
        </w:rPr>
        <w:t xml:space="preserve"> </w:t>
      </w:r>
    </w:p>
    <w:p w14:paraId="625F7DF3" w14:textId="264FFEE8" w:rsidR="000E535A" w:rsidRDefault="00FD566D" w:rsidP="00B23383">
      <w:pPr>
        <w:ind w:firstLine="720"/>
        <w:jc w:val="both"/>
        <w:rPr>
          <w:rFonts w:ascii="Arial" w:eastAsia="MS Mincho" w:hAnsi="Arial" w:cs="Arial"/>
          <w:b/>
          <w:bCs/>
          <w:lang w:eastAsia="ja-JP"/>
        </w:rPr>
      </w:pPr>
      <w:r>
        <w:rPr>
          <w:noProof/>
        </w:rPr>
        <w:drawing>
          <wp:anchor distT="0" distB="0" distL="114300" distR="114300" simplePos="0" relativeHeight="251658240" behindDoc="0" locked="0" layoutInCell="1" allowOverlap="1" wp14:anchorId="5FAAA3C5" wp14:editId="124F523B">
            <wp:simplePos x="0" y="0"/>
            <wp:positionH relativeFrom="column">
              <wp:posOffset>1272540</wp:posOffset>
            </wp:positionH>
            <wp:positionV relativeFrom="paragraph">
              <wp:posOffset>73025</wp:posOffset>
            </wp:positionV>
            <wp:extent cx="2278380" cy="13335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7047" t="23912" r="29240" b="30604"/>
                    <a:stretch/>
                  </pic:blipFill>
                  <pic:spPr bwMode="auto">
                    <a:xfrm>
                      <a:off x="0" y="0"/>
                      <a:ext cx="227838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50A542DA" w14:textId="77777777" w:rsidR="00FD566D" w:rsidRDefault="00FD566D">
      <w:pPr>
        <w:jc w:val="center"/>
        <w:rPr>
          <w:rFonts w:ascii="Arial" w:eastAsia="MS Mincho" w:hAnsi="Arial" w:cs="Arial"/>
          <w:b/>
          <w:bCs/>
          <w:lang w:eastAsia="ja-JP"/>
        </w:rPr>
      </w:pPr>
    </w:p>
    <w:p w14:paraId="5B11F0BF" w14:textId="77777777" w:rsidR="00FD566D" w:rsidRDefault="00FD566D">
      <w:pPr>
        <w:jc w:val="center"/>
        <w:rPr>
          <w:rFonts w:ascii="Arial" w:eastAsia="MS Mincho" w:hAnsi="Arial" w:cs="Arial"/>
          <w:b/>
          <w:bCs/>
          <w:lang w:eastAsia="ja-JP"/>
        </w:rPr>
      </w:pPr>
    </w:p>
    <w:p w14:paraId="68D898A0" w14:textId="77777777" w:rsidR="00FD566D" w:rsidRDefault="00FD566D">
      <w:pPr>
        <w:jc w:val="center"/>
        <w:rPr>
          <w:rFonts w:ascii="Arial" w:eastAsia="MS Mincho" w:hAnsi="Arial" w:cs="Arial"/>
          <w:b/>
          <w:bCs/>
          <w:lang w:eastAsia="ja-JP"/>
        </w:rPr>
      </w:pPr>
    </w:p>
    <w:p w14:paraId="53A500A9" w14:textId="77777777" w:rsidR="00FD566D" w:rsidRDefault="00FD566D">
      <w:pPr>
        <w:jc w:val="center"/>
        <w:rPr>
          <w:rFonts w:ascii="Arial" w:eastAsia="MS Mincho" w:hAnsi="Arial" w:cs="Arial"/>
          <w:b/>
          <w:bCs/>
          <w:lang w:eastAsia="ja-JP"/>
        </w:rPr>
      </w:pPr>
    </w:p>
    <w:p w14:paraId="36575709" w14:textId="77777777" w:rsidR="00FD566D" w:rsidRDefault="00FD566D">
      <w:pPr>
        <w:jc w:val="center"/>
        <w:rPr>
          <w:rFonts w:ascii="Arial" w:eastAsia="MS Mincho" w:hAnsi="Arial" w:cs="Arial"/>
          <w:b/>
          <w:bCs/>
          <w:lang w:eastAsia="ja-JP"/>
        </w:rPr>
      </w:pPr>
    </w:p>
    <w:p w14:paraId="7BFCD7EF" w14:textId="77777777" w:rsidR="00FD566D" w:rsidRDefault="00FD566D">
      <w:pPr>
        <w:jc w:val="center"/>
        <w:rPr>
          <w:rFonts w:ascii="Arial" w:eastAsia="MS Mincho" w:hAnsi="Arial" w:cs="Arial"/>
          <w:b/>
          <w:bCs/>
          <w:lang w:eastAsia="ja-JP"/>
        </w:rPr>
      </w:pPr>
    </w:p>
    <w:p w14:paraId="170E9C83" w14:textId="77777777" w:rsidR="00FD566D" w:rsidRDefault="00FD566D">
      <w:pPr>
        <w:jc w:val="center"/>
        <w:rPr>
          <w:rFonts w:ascii="Arial" w:eastAsia="MS Mincho" w:hAnsi="Arial" w:cs="Arial"/>
          <w:b/>
          <w:bCs/>
          <w:lang w:eastAsia="ja-JP"/>
        </w:rPr>
      </w:pPr>
    </w:p>
    <w:p w14:paraId="388A769A" w14:textId="4E4A64EC" w:rsidR="00717F2E" w:rsidRDefault="00FE3FB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69376D31" w:rsidR="00717F2E" w:rsidRDefault="00717F2E">
      <w:pPr>
        <w:pStyle w:val="AbstHead"/>
        <w:spacing w:after="0"/>
        <w:jc w:val="both"/>
        <w:rPr>
          <w:rFonts w:ascii="Arial" w:hAnsi="Arial" w:cs="Arial"/>
          <w:sz w:val="20"/>
        </w:rPr>
      </w:pPr>
    </w:p>
    <w:p w14:paraId="0E64E95D" w14:textId="0BE24E60" w:rsidR="00FD566D" w:rsidRDefault="00FD566D">
      <w:pPr>
        <w:pStyle w:val="AbstHead"/>
        <w:spacing w:after="0"/>
        <w:jc w:val="both"/>
        <w:rPr>
          <w:rFonts w:ascii="Arial" w:hAnsi="Arial" w:cs="Arial"/>
          <w:sz w:val="20"/>
        </w:rPr>
      </w:pPr>
    </w:p>
    <w:p w14:paraId="03E56430" w14:textId="77777777" w:rsidR="00FD566D" w:rsidRDefault="00FD566D">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FE3FB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FE3FB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9DE75E7" w14:textId="25A2CF04" w:rsidR="002658ED" w:rsidRDefault="00FD566D" w:rsidP="00B23383">
      <w:pPr>
        <w:jc w:val="both"/>
        <w:rPr>
          <w:rFonts w:ascii="Arial" w:hAnsi="Arial" w:cs="Arial"/>
        </w:rPr>
      </w:pPr>
      <w:r w:rsidRPr="00FD566D">
        <w:rPr>
          <w:rFonts w:ascii="Arial" w:hAnsi="Arial" w:cs="Arial"/>
        </w:rPr>
        <w:t>This study employed a non-experimental quantitative research design utilizing a descriptive correlational method. Descriptive correlational research is a type of research design that seeks to describe the relationship between two or more variables without manipulating them. This method is used to examine whether and how variables are related, providing insights into the direction and strength of their associations (</w:t>
      </w:r>
      <w:r w:rsidR="00F961F0">
        <w:rPr>
          <w:rFonts w:ascii="Arial" w:hAnsi="Arial" w:cs="Arial"/>
        </w:rPr>
        <w:t>Baguio &amp; Baguio, 2025</w:t>
      </w:r>
      <w:r w:rsidRPr="00FD566D">
        <w:rPr>
          <w:rFonts w:ascii="Arial" w:hAnsi="Arial" w:cs="Arial"/>
        </w:rPr>
        <w:t xml:space="preserve">). This method was chosen </w:t>
      </w:r>
      <w:r w:rsidRPr="00FD566D">
        <w:rPr>
          <w:rFonts w:ascii="Arial" w:hAnsi="Arial" w:cs="Arial"/>
        </w:rPr>
        <w:lastRenderedPageBreak/>
        <w:t xml:space="preserve">because the variables in this study aim to measure the relationship between administrative decision-making and crisis management in education among teachers in public elementary schools in the </w:t>
      </w:r>
      <w:proofErr w:type="spellStart"/>
      <w:r w:rsidRPr="00FD566D">
        <w:rPr>
          <w:rFonts w:ascii="Arial" w:hAnsi="Arial" w:cs="Arial"/>
        </w:rPr>
        <w:t>Tibungco</w:t>
      </w:r>
      <w:proofErr w:type="spellEnd"/>
      <w:r w:rsidRPr="00FD566D">
        <w:rPr>
          <w:rFonts w:ascii="Arial" w:hAnsi="Arial" w:cs="Arial"/>
        </w:rPr>
        <w:t xml:space="preserve"> District, Division of Davao City. It also serves to describe the statistical association between these variables, offering a clearer understanding of how administrative decisions influence the management of crises in the educational setting.</w:t>
      </w:r>
    </w:p>
    <w:p w14:paraId="2B3493CC" w14:textId="77777777" w:rsidR="00A256AB" w:rsidRDefault="00A256AB" w:rsidP="00B23383">
      <w:pPr>
        <w:jc w:val="both"/>
        <w:rPr>
          <w:rFonts w:ascii="Arial" w:hAnsi="Arial" w:cs="Arial"/>
          <w:b/>
          <w:bCs/>
        </w:rPr>
      </w:pPr>
    </w:p>
    <w:p w14:paraId="318F0781" w14:textId="77777777" w:rsidR="00717F2E" w:rsidRDefault="00FE3FB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EBA515" w14:textId="00DA6DFD" w:rsidR="00951100" w:rsidRDefault="00FD566D" w:rsidP="00FD566D">
      <w:pPr>
        <w:jc w:val="both"/>
        <w:rPr>
          <w:rFonts w:ascii="Arial" w:hAnsi="Arial" w:cs="Arial"/>
        </w:rPr>
      </w:pPr>
      <w:r w:rsidRPr="00FD566D">
        <w:rPr>
          <w:rFonts w:ascii="Arial" w:hAnsi="Arial" w:cs="Arial"/>
        </w:rPr>
        <w:t xml:space="preserve">The respondents of the study were teachers from public elementary schools in the </w:t>
      </w:r>
      <w:proofErr w:type="spellStart"/>
      <w:r w:rsidRPr="00FD566D">
        <w:rPr>
          <w:rFonts w:ascii="Arial" w:hAnsi="Arial" w:cs="Arial"/>
        </w:rPr>
        <w:t>Tibungco</w:t>
      </w:r>
      <w:proofErr w:type="spellEnd"/>
      <w:r w:rsidRPr="00FD566D">
        <w:rPr>
          <w:rFonts w:ascii="Arial" w:hAnsi="Arial" w:cs="Arial"/>
        </w:rPr>
        <w:t xml:space="preserve"> District, Division of Davao City. Using Slovin’s formula with a 0.05 margin of error, a sample size of 141 was determined from a total population of 217 teachers. These respondents were selected to provide insights into the administrative decision-making and crisis management practices in their respective schools. The selection ensured that the sample was representative of the population. The study was conducted during the school year 2023–2024.</w:t>
      </w:r>
    </w:p>
    <w:p w14:paraId="56BA3DD7" w14:textId="77777777" w:rsidR="00FD566D" w:rsidRDefault="00FD566D">
      <w:pPr>
        <w:rPr>
          <w:rFonts w:ascii="Arial" w:hAnsi="Arial" w:cs="Arial"/>
          <w:b/>
          <w:bCs/>
        </w:rPr>
      </w:pPr>
    </w:p>
    <w:p w14:paraId="6BE2C45C" w14:textId="623BF6C7" w:rsidR="00717F2E" w:rsidRDefault="00FE3FB8">
      <w:pPr>
        <w:rPr>
          <w:rFonts w:ascii="Arial" w:hAnsi="Arial" w:cs="Arial"/>
          <w:b/>
          <w:bCs/>
        </w:rPr>
      </w:pPr>
      <w:r>
        <w:rPr>
          <w:rFonts w:ascii="Arial" w:hAnsi="Arial" w:cs="Arial"/>
          <w:b/>
          <w:bCs/>
        </w:rPr>
        <w:t>2.3 Research Instrument</w:t>
      </w:r>
    </w:p>
    <w:p w14:paraId="317708B6" w14:textId="77777777" w:rsidR="00FD566D" w:rsidRDefault="00FD566D">
      <w:pPr>
        <w:rPr>
          <w:rFonts w:ascii="Arial" w:hAnsi="Arial" w:cs="Arial"/>
          <w:b/>
          <w:bCs/>
        </w:rPr>
      </w:pPr>
    </w:p>
    <w:p w14:paraId="23B6D52A" w14:textId="77777777" w:rsidR="00FD566D" w:rsidRPr="00FD566D" w:rsidRDefault="00FD566D" w:rsidP="00FD566D">
      <w:pPr>
        <w:jc w:val="both"/>
        <w:rPr>
          <w:rFonts w:ascii="Arial" w:hAnsi="Arial" w:cs="Arial"/>
          <w:bCs/>
        </w:rPr>
      </w:pPr>
      <w:r w:rsidRPr="00FD566D">
        <w:rPr>
          <w:rFonts w:ascii="Arial" w:hAnsi="Arial" w:cs="Arial"/>
          <w:bCs/>
        </w:rPr>
        <w:t>The instruments used in this study consisted of two main parts: administrative decision-making and crisis management in education among teachers in public elementary schools. Each part was developed based on relevant literature and previous studies in the field of Educational Management. Prior to the administration of the instruments, the initial draft was evaluated for content validity and reliability by a panel of experts in educational leadership and research.</w:t>
      </w:r>
    </w:p>
    <w:p w14:paraId="381C6D26" w14:textId="77777777" w:rsidR="00FD566D" w:rsidRPr="00FD566D" w:rsidRDefault="00FD566D" w:rsidP="00FD566D">
      <w:pPr>
        <w:jc w:val="both"/>
        <w:rPr>
          <w:rFonts w:ascii="Arial" w:hAnsi="Arial" w:cs="Arial"/>
          <w:bCs/>
        </w:rPr>
      </w:pPr>
    </w:p>
    <w:p w14:paraId="171E153A" w14:textId="359409D2" w:rsidR="00717F2E" w:rsidRPr="00FD566D" w:rsidRDefault="00FD566D" w:rsidP="00FD566D">
      <w:pPr>
        <w:jc w:val="both"/>
        <w:rPr>
          <w:rFonts w:ascii="Arial" w:hAnsi="Arial" w:cs="Arial"/>
          <w:bCs/>
        </w:rPr>
      </w:pPr>
      <w:r w:rsidRPr="00FD566D">
        <w:rPr>
          <w:rFonts w:ascii="Arial" w:hAnsi="Arial" w:cs="Arial"/>
          <w:bCs/>
        </w:rPr>
        <w:t>Revisions were made based on their comments and suggestions to improve clarity and appropriateness. To assess the reliability and validity of the instruments, a pilot test was conducted with 30 teachers from a different school within the same district. The results confirmed the reliability of the instruments, with a Cronbach’s Alpha of 0.845 for administrative decision-making and 0.914 for crisis management.</w:t>
      </w:r>
    </w:p>
    <w:p w14:paraId="7CC471D3" w14:textId="77777777" w:rsidR="00FD566D" w:rsidRDefault="00FD566D">
      <w:pPr>
        <w:rPr>
          <w:rFonts w:ascii="Arial" w:hAnsi="Arial" w:cs="Arial"/>
          <w:b/>
          <w:bCs/>
        </w:rPr>
      </w:pPr>
    </w:p>
    <w:p w14:paraId="7821138E" w14:textId="0329FC65" w:rsidR="00717F2E" w:rsidRDefault="00FE3FB8">
      <w:pPr>
        <w:rPr>
          <w:rFonts w:ascii="Arial" w:hAnsi="Arial" w:cs="Arial"/>
          <w:b/>
          <w:bCs/>
        </w:rPr>
      </w:pPr>
      <w:r>
        <w:rPr>
          <w:rFonts w:ascii="Arial" w:hAnsi="Arial" w:cs="Arial"/>
          <w:b/>
          <w:bCs/>
        </w:rPr>
        <w:t>2.4 Data Gathering Procedure</w:t>
      </w:r>
    </w:p>
    <w:p w14:paraId="17549E07" w14:textId="4569F467" w:rsidR="00FD566D" w:rsidRPr="00FD566D" w:rsidRDefault="00FD566D" w:rsidP="00FD566D">
      <w:pPr>
        <w:pStyle w:val="Heading1"/>
        <w:jc w:val="both"/>
        <w:rPr>
          <w:rFonts w:cs="Arial"/>
          <w:b w:val="0"/>
          <w:kern w:val="0"/>
          <w:sz w:val="20"/>
        </w:rPr>
      </w:pPr>
      <w:r w:rsidRPr="00FD566D">
        <w:rPr>
          <w:rFonts w:cs="Arial"/>
          <w:b w:val="0"/>
          <w:kern w:val="0"/>
          <w:sz w:val="20"/>
        </w:rPr>
        <w:t>The data for this study were collected through a structured and sequential process. Initially, the researcher sought approval and endorsement from the Dean of the Graduate School at Rizal Memorial Colleges. After obtaining the Dean’s approval, the researcher then secured ethical clearance to ensure that all research procedures complied with ethical standards. With this clearance, a formal request was submitted to the Office of the Schools Division Superintendent to seek permission to conduct the study within the identified schools.</w:t>
      </w:r>
    </w:p>
    <w:p w14:paraId="2540A3E3" w14:textId="7EDEB6A9" w:rsidR="00FD566D" w:rsidRPr="00FD566D" w:rsidRDefault="00FD566D" w:rsidP="00FD566D">
      <w:pPr>
        <w:pStyle w:val="Heading1"/>
        <w:jc w:val="both"/>
        <w:rPr>
          <w:rFonts w:cs="Arial"/>
          <w:b w:val="0"/>
          <w:kern w:val="0"/>
          <w:sz w:val="20"/>
        </w:rPr>
      </w:pPr>
      <w:r w:rsidRPr="00FD566D">
        <w:rPr>
          <w:rFonts w:cs="Arial"/>
          <w:b w:val="0"/>
          <w:kern w:val="0"/>
          <w:sz w:val="20"/>
        </w:rPr>
        <w:t>Upon receiving approval from the Schools Division Superintendent, an endorsement letter was forwarded to the school heads, along with a formal request letter for permission to administer the survey instruments. Following these approvals, a schedule was arranged for the pilot testing phase, which aimed to evaluate the reliability and validity of the research instruments. The pilot test questionnaires included an overview of the study and clear instructions for participants.</w:t>
      </w:r>
    </w:p>
    <w:p w14:paraId="04AB054D" w14:textId="77777777" w:rsidR="00FD566D" w:rsidRDefault="00FD566D" w:rsidP="00FD566D">
      <w:pPr>
        <w:pStyle w:val="Heading1"/>
        <w:jc w:val="both"/>
        <w:rPr>
          <w:rFonts w:cs="Arial"/>
          <w:b w:val="0"/>
          <w:kern w:val="0"/>
          <w:sz w:val="20"/>
        </w:rPr>
      </w:pPr>
      <w:r w:rsidRPr="00FD566D">
        <w:rPr>
          <w:rFonts w:cs="Arial"/>
          <w:b w:val="0"/>
          <w:kern w:val="0"/>
          <w:sz w:val="20"/>
        </w:rPr>
        <w:t>After the pilot testing was completed and the instruments were confirmed to be reliable and valid, the finalized survey questionnaires were distributed to the selected respondents. Once all responses were collected, the researcher submitted the completed questionnaires to a statistician for analysis. The gathered data were then tallied, tabulated, analyzed, and interpreted accordingly.</w:t>
      </w:r>
    </w:p>
    <w:p w14:paraId="0B281753" w14:textId="3AEF2D56" w:rsidR="00717F2E" w:rsidRDefault="00FE3FB8" w:rsidP="00FD566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2C9F641E" w14:textId="3BF1A18B" w:rsidR="00FD566D" w:rsidRPr="00FD566D" w:rsidRDefault="00FD566D" w:rsidP="00FD566D">
      <w:pPr>
        <w:pStyle w:val="Head1"/>
        <w:jc w:val="both"/>
        <w:rPr>
          <w:rFonts w:ascii="Arial" w:hAnsi="Arial" w:cs="Arial"/>
          <w:b w:val="0"/>
          <w:caps w:val="0"/>
          <w:sz w:val="20"/>
        </w:rPr>
      </w:pPr>
      <w:r w:rsidRPr="00FD566D">
        <w:rPr>
          <w:rFonts w:ascii="Arial" w:hAnsi="Arial" w:cs="Arial"/>
          <w:b w:val="0"/>
          <w:caps w:val="0"/>
          <w:sz w:val="20"/>
        </w:rPr>
        <w:lastRenderedPageBreak/>
        <w:t>Mean. This was used to determine the level of administrative decision-making and crisis management among teachers in public elementary schools.</w:t>
      </w:r>
    </w:p>
    <w:p w14:paraId="53D3539A" w14:textId="1BB5308D" w:rsidR="00FD566D" w:rsidRPr="00FD566D" w:rsidRDefault="00FD566D" w:rsidP="00FD566D">
      <w:pPr>
        <w:pStyle w:val="Head1"/>
        <w:jc w:val="both"/>
        <w:rPr>
          <w:rFonts w:ascii="Arial" w:hAnsi="Arial" w:cs="Arial"/>
          <w:b w:val="0"/>
          <w:caps w:val="0"/>
          <w:sz w:val="20"/>
        </w:rPr>
      </w:pPr>
      <w:r w:rsidRPr="00FD566D">
        <w:rPr>
          <w:rFonts w:ascii="Arial" w:hAnsi="Arial" w:cs="Arial"/>
          <w:b w:val="0"/>
          <w:caps w:val="0"/>
          <w:sz w:val="20"/>
        </w:rPr>
        <w:t>Pearson Product-Moment Correlation Coefficient (Pearson r). This was used to examine the relationship between administrative decisi</w:t>
      </w:r>
      <w:r w:rsidR="00DB3BDD">
        <w:rPr>
          <w:rFonts w:ascii="Arial" w:hAnsi="Arial" w:cs="Arial"/>
          <w:b w:val="0"/>
          <w:caps w:val="0"/>
          <w:sz w:val="20"/>
        </w:rPr>
        <w:t xml:space="preserve">on-making and crisis management </w:t>
      </w:r>
      <w:r w:rsidR="00DB3BDD" w:rsidRPr="00FD566D">
        <w:rPr>
          <w:rFonts w:ascii="Arial" w:hAnsi="Arial" w:cs="Arial"/>
          <w:b w:val="0"/>
          <w:caps w:val="0"/>
          <w:sz w:val="20"/>
        </w:rPr>
        <w:t>in public elementary schools.</w:t>
      </w:r>
    </w:p>
    <w:p w14:paraId="1F8EEF63" w14:textId="2605C3DE" w:rsidR="0085294B" w:rsidRDefault="00FD566D" w:rsidP="00DB3BDD">
      <w:pPr>
        <w:pStyle w:val="Head1"/>
        <w:jc w:val="both"/>
        <w:rPr>
          <w:rFonts w:ascii="Arial" w:hAnsi="Arial" w:cs="Arial"/>
          <w:b w:val="0"/>
          <w:caps w:val="0"/>
          <w:sz w:val="20"/>
        </w:rPr>
      </w:pPr>
      <w:r w:rsidRPr="00FD566D">
        <w:rPr>
          <w:rFonts w:ascii="Arial" w:hAnsi="Arial" w:cs="Arial"/>
          <w:b w:val="0"/>
          <w:caps w:val="0"/>
          <w:sz w:val="20"/>
        </w:rPr>
        <w:t xml:space="preserve">Regression Analysis. This was utilized to identify which the domains of administrative decision-making </w:t>
      </w:r>
      <w:r w:rsidR="00DB3BDD">
        <w:rPr>
          <w:rFonts w:ascii="Arial" w:hAnsi="Arial" w:cs="Arial"/>
          <w:b w:val="0"/>
          <w:caps w:val="0"/>
          <w:sz w:val="20"/>
        </w:rPr>
        <w:t xml:space="preserve">that significantly </w:t>
      </w:r>
      <w:r w:rsidRPr="00FD566D">
        <w:rPr>
          <w:rFonts w:ascii="Arial" w:hAnsi="Arial" w:cs="Arial"/>
          <w:b w:val="0"/>
          <w:caps w:val="0"/>
          <w:sz w:val="20"/>
        </w:rPr>
        <w:t>influence</w:t>
      </w:r>
      <w:r w:rsidR="00DB3BDD">
        <w:rPr>
          <w:rFonts w:ascii="Arial" w:hAnsi="Arial" w:cs="Arial"/>
          <w:b w:val="0"/>
          <w:caps w:val="0"/>
          <w:sz w:val="20"/>
        </w:rPr>
        <w:t xml:space="preserve"> crisis management in education </w:t>
      </w:r>
      <w:r w:rsidR="00DB3BDD" w:rsidRPr="00FD566D">
        <w:rPr>
          <w:rFonts w:ascii="Arial" w:hAnsi="Arial" w:cs="Arial"/>
          <w:b w:val="0"/>
          <w:caps w:val="0"/>
          <w:sz w:val="20"/>
        </w:rPr>
        <w:t>in public elementary schools.</w:t>
      </w:r>
    </w:p>
    <w:p w14:paraId="40017656" w14:textId="77777777" w:rsidR="00FD566D" w:rsidRDefault="00FD566D" w:rsidP="00FD566D">
      <w:pPr>
        <w:pStyle w:val="Head1"/>
        <w:spacing w:after="0"/>
        <w:jc w:val="both"/>
        <w:rPr>
          <w:rFonts w:ascii="Arial" w:hAnsi="Arial" w:cs="Arial"/>
          <w:sz w:val="20"/>
        </w:rPr>
      </w:pPr>
    </w:p>
    <w:p w14:paraId="54D02440" w14:textId="77777777" w:rsidR="00717F2E" w:rsidRDefault="00FE3FB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DE18E32" w:rsidR="00717F2E" w:rsidRDefault="00FE3FB8" w:rsidP="00D453B9">
      <w:pPr>
        <w:suppressAutoHyphens/>
        <w:jc w:val="both"/>
        <w:rPr>
          <w:rFonts w:ascii="Arial" w:hAnsi="Arial" w:cs="Arial"/>
          <w:i/>
        </w:rPr>
      </w:pPr>
      <w:r>
        <w:rPr>
          <w:rFonts w:ascii="Arial" w:hAnsi="Arial" w:cs="Arial"/>
          <w:b/>
        </w:rPr>
        <w:t xml:space="preserve">3.1 </w:t>
      </w:r>
      <w:r w:rsidR="0085294B" w:rsidRPr="0085294B">
        <w:rPr>
          <w:rFonts w:ascii="Arial" w:hAnsi="Arial" w:cs="Arial"/>
          <w:b/>
        </w:rPr>
        <w:t xml:space="preserve">Level of </w:t>
      </w:r>
      <w:r w:rsidR="00014434">
        <w:rPr>
          <w:rFonts w:ascii="Arial" w:hAnsi="Arial" w:cs="Arial"/>
          <w:b/>
        </w:rPr>
        <w:t>Administrative Decision-Making</w:t>
      </w:r>
      <w:r w:rsidR="0085294B" w:rsidRPr="0085294B">
        <w:rPr>
          <w:rFonts w:ascii="Arial" w:hAnsi="Arial" w:cs="Arial"/>
          <w:b/>
        </w:rPr>
        <w:t xml:space="preserve"> </w:t>
      </w:r>
      <w:r w:rsidR="003248E3" w:rsidRPr="003248E3">
        <w:rPr>
          <w:rFonts w:ascii="Arial" w:hAnsi="Arial" w:cs="Arial"/>
          <w:b/>
        </w:rPr>
        <w:t>among Public Elementary School Teachers</w:t>
      </w:r>
    </w:p>
    <w:p w14:paraId="12FC6D5E" w14:textId="77777777" w:rsidR="00717F2E" w:rsidRDefault="00717F2E">
      <w:pPr>
        <w:suppressAutoHyphens/>
        <w:jc w:val="both"/>
        <w:rPr>
          <w:rFonts w:ascii="Arial" w:hAnsi="Arial" w:cs="Arial"/>
          <w:i/>
        </w:rPr>
      </w:pPr>
    </w:p>
    <w:p w14:paraId="1ED70019" w14:textId="0D0092CA" w:rsidR="00D453B9" w:rsidRDefault="00FE3FB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014434" w:rsidRPr="00014434">
        <w:rPr>
          <w:rFonts w:ascii="Arial" w:hAnsi="Arial" w:cs="Arial"/>
          <w:i/>
        </w:rPr>
        <w:t>Level of Administrative Decision-Making among Public Elementary School Teachers</w:t>
      </w:r>
    </w:p>
    <w:p w14:paraId="1EFD32C4" w14:textId="77777777" w:rsidR="0085294B" w:rsidRDefault="0085294B">
      <w:pPr>
        <w:suppressAutoHyphens/>
        <w:jc w:val="both"/>
        <w:rPr>
          <w:rFonts w:ascii="Arial" w:hAnsi="Arial" w:cs="Arial"/>
          <w:i/>
        </w:rPr>
      </w:pPr>
    </w:p>
    <w:tbl>
      <w:tblPr>
        <w:tblW w:w="0" w:type="auto"/>
        <w:tblInd w:w="198" w:type="dxa"/>
        <w:tblLook w:val="0000" w:firstRow="0" w:lastRow="0" w:firstColumn="0" w:lastColumn="0" w:noHBand="0" w:noVBand="0"/>
      </w:tblPr>
      <w:tblGrid>
        <w:gridCol w:w="768"/>
        <w:gridCol w:w="4544"/>
        <w:gridCol w:w="951"/>
        <w:gridCol w:w="1747"/>
      </w:tblGrid>
      <w:tr w:rsidR="0085294B" w:rsidRPr="0085294B" w14:paraId="0CD0C8B1" w14:textId="77777777" w:rsidTr="00014434">
        <w:trPr>
          <w:trHeight w:val="357"/>
        </w:trPr>
        <w:tc>
          <w:tcPr>
            <w:tcW w:w="768" w:type="dxa"/>
            <w:tcBorders>
              <w:top w:val="double" w:sz="4" w:space="0" w:color="auto"/>
              <w:bottom w:val="single" w:sz="4" w:space="0" w:color="auto"/>
            </w:tcBorders>
          </w:tcPr>
          <w:p w14:paraId="2DCC441B" w14:textId="77777777" w:rsidR="0085294B" w:rsidRPr="0085294B" w:rsidRDefault="0085294B" w:rsidP="00CD3671">
            <w:pPr>
              <w:rPr>
                <w:rFonts w:ascii="Arial" w:hAnsi="Arial" w:cs="Arial"/>
                <w:b/>
                <w:bCs/>
              </w:rPr>
            </w:pPr>
            <w:r w:rsidRPr="0085294B">
              <w:rPr>
                <w:rFonts w:ascii="Arial" w:hAnsi="Arial" w:cs="Arial"/>
                <w:b/>
                <w:bCs/>
              </w:rPr>
              <w:t>No.</w:t>
            </w:r>
          </w:p>
          <w:p w14:paraId="105D924F" w14:textId="77777777" w:rsidR="0085294B" w:rsidRPr="0085294B" w:rsidRDefault="0085294B" w:rsidP="00CD3671">
            <w:pPr>
              <w:jc w:val="center"/>
              <w:rPr>
                <w:rFonts w:ascii="Arial" w:hAnsi="Arial" w:cs="Arial"/>
                <w:b/>
                <w:bCs/>
              </w:rPr>
            </w:pPr>
          </w:p>
        </w:tc>
        <w:tc>
          <w:tcPr>
            <w:tcW w:w="4544" w:type="dxa"/>
            <w:tcBorders>
              <w:top w:val="double" w:sz="4" w:space="0" w:color="auto"/>
              <w:bottom w:val="single" w:sz="4" w:space="0" w:color="auto"/>
            </w:tcBorders>
          </w:tcPr>
          <w:p w14:paraId="70C293A6" w14:textId="5BB2E62B" w:rsidR="0085294B" w:rsidRPr="0085294B" w:rsidRDefault="0085294B" w:rsidP="00CD3671">
            <w:pPr>
              <w:jc w:val="center"/>
              <w:rPr>
                <w:rFonts w:ascii="Arial" w:hAnsi="Arial" w:cs="Arial"/>
                <w:b/>
                <w:bCs/>
              </w:rPr>
            </w:pPr>
            <w:r w:rsidRPr="0085294B">
              <w:rPr>
                <w:rFonts w:ascii="Arial" w:hAnsi="Arial" w:cs="Arial"/>
                <w:b/>
                <w:bCs/>
              </w:rPr>
              <w:t>Domains</w:t>
            </w:r>
          </w:p>
        </w:tc>
        <w:tc>
          <w:tcPr>
            <w:tcW w:w="951" w:type="dxa"/>
            <w:tcBorders>
              <w:top w:val="double" w:sz="4" w:space="0" w:color="auto"/>
              <w:bottom w:val="single" w:sz="4" w:space="0" w:color="auto"/>
            </w:tcBorders>
          </w:tcPr>
          <w:p w14:paraId="73A734EC" w14:textId="77777777" w:rsidR="0085294B" w:rsidRPr="0085294B" w:rsidRDefault="0085294B" w:rsidP="00CD3671">
            <w:pPr>
              <w:contextualSpacing/>
              <w:jc w:val="center"/>
              <w:rPr>
                <w:rFonts w:ascii="Arial" w:hAnsi="Arial" w:cs="Arial"/>
                <w:b/>
                <w:bCs/>
                <w:lang w:eastAsia="en-PH"/>
              </w:rPr>
            </w:pPr>
            <w:r w:rsidRPr="0085294B">
              <w:rPr>
                <w:rFonts w:ascii="Arial" w:hAnsi="Arial" w:cs="Arial"/>
                <w:b/>
                <w:bCs/>
                <w:lang w:eastAsia="en-PH"/>
              </w:rPr>
              <w:t>Mean</w:t>
            </w:r>
          </w:p>
          <w:p w14:paraId="70A6380B" w14:textId="77777777" w:rsidR="0085294B" w:rsidRPr="0085294B" w:rsidRDefault="0085294B" w:rsidP="00CD3671">
            <w:pPr>
              <w:contextualSpacing/>
              <w:jc w:val="center"/>
              <w:rPr>
                <w:rFonts w:ascii="Arial" w:hAnsi="Arial" w:cs="Arial"/>
                <w:b/>
                <w:bCs/>
              </w:rPr>
            </w:pPr>
            <w:r w:rsidRPr="0085294B">
              <w:rPr>
                <w:rFonts w:ascii="Arial" w:hAnsi="Arial" w:cs="Arial"/>
                <w:b/>
                <w:bCs/>
                <w:lang w:eastAsia="en-PH"/>
              </w:rPr>
              <w:t>(</w:t>
            </w:r>
            <w:r w:rsidRPr="0085294B">
              <w:rPr>
                <w:rFonts w:ascii="Arial" w:hAnsi="Arial" w:cs="Arial"/>
                <w:b/>
                <w:bCs/>
                <w:lang w:eastAsia="en-PH"/>
              </w:rPr>
              <w:fldChar w:fldCharType="begin"/>
            </w:r>
            <w:r w:rsidRPr="0085294B">
              <w:rPr>
                <w:rFonts w:ascii="Arial" w:hAnsi="Arial" w:cs="Arial"/>
                <w:b/>
                <w:bCs/>
                <w:lang w:eastAsia="en-PH"/>
              </w:rPr>
              <w:instrText xml:space="preserve"> QUOTE </w:instrText>
            </w:r>
            <w:r w:rsidR="001B0FAE">
              <w:rPr>
                <w:rFonts w:ascii="Arial" w:hAnsi="Arial" w:cs="Arial"/>
                <w:b/>
                <w:bCs/>
                <w:position w:val="-9"/>
              </w:rPr>
              <w:pict w14:anchorId="58287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pt;height:16.5pt">
                  <v:imagedata r:id="rId15" o:title="" chromakey="white"/>
                </v:shape>
              </w:pict>
            </w:r>
            <w:r w:rsidRPr="0085294B">
              <w:rPr>
                <w:rFonts w:ascii="Arial" w:hAnsi="Arial" w:cs="Arial"/>
                <w:b/>
                <w:bCs/>
                <w:lang w:eastAsia="en-PH"/>
              </w:rPr>
              <w:fldChar w:fldCharType="separate"/>
            </w:r>
            <w:r w:rsidR="001B0FAE">
              <w:rPr>
                <w:rFonts w:ascii="Arial" w:hAnsi="Arial" w:cs="Arial"/>
                <w:b/>
                <w:bCs/>
                <w:position w:val="-9"/>
              </w:rPr>
              <w:pict w14:anchorId="247EC159">
                <v:shape id="Picture 2" o:spid="_x0000_i1026" type="#_x0000_t75" style="width:6pt;height:16.5pt">
                  <v:imagedata r:id="rId15" o:title="" chromakey="white"/>
                </v:shape>
              </w:pict>
            </w:r>
            <w:r w:rsidRPr="0085294B">
              <w:rPr>
                <w:rFonts w:ascii="Arial" w:hAnsi="Arial" w:cs="Arial"/>
                <w:b/>
                <w:bCs/>
                <w:lang w:eastAsia="en-PH"/>
              </w:rPr>
              <w:fldChar w:fldCharType="end"/>
            </w:r>
            <w:r w:rsidRPr="0085294B">
              <w:rPr>
                <w:rFonts w:ascii="Arial" w:hAnsi="Arial" w:cs="Arial"/>
                <w:b/>
                <w:bCs/>
                <w:lang w:eastAsia="en-PH"/>
              </w:rPr>
              <w:t>)</w:t>
            </w:r>
          </w:p>
        </w:tc>
        <w:tc>
          <w:tcPr>
            <w:tcW w:w="1747" w:type="dxa"/>
            <w:tcBorders>
              <w:top w:val="double" w:sz="4" w:space="0" w:color="auto"/>
              <w:bottom w:val="single" w:sz="4" w:space="0" w:color="auto"/>
            </w:tcBorders>
          </w:tcPr>
          <w:p w14:paraId="33C0F702" w14:textId="77777777" w:rsidR="0085294B" w:rsidRPr="0085294B" w:rsidRDefault="0085294B" w:rsidP="00CD3671">
            <w:pPr>
              <w:jc w:val="center"/>
              <w:rPr>
                <w:rFonts w:ascii="Arial" w:hAnsi="Arial" w:cs="Arial"/>
                <w:b/>
                <w:bCs/>
              </w:rPr>
            </w:pPr>
            <w:r w:rsidRPr="0085294B">
              <w:rPr>
                <w:rFonts w:ascii="Arial" w:hAnsi="Arial" w:cs="Arial"/>
                <w:b/>
                <w:bCs/>
              </w:rPr>
              <w:t>Descriptive Equivalent</w:t>
            </w:r>
          </w:p>
        </w:tc>
      </w:tr>
      <w:tr w:rsidR="0085294B" w:rsidRPr="0085294B" w14:paraId="5D527F4E" w14:textId="77777777" w:rsidTr="00014434">
        <w:trPr>
          <w:trHeight w:val="242"/>
        </w:trPr>
        <w:tc>
          <w:tcPr>
            <w:tcW w:w="768" w:type="dxa"/>
            <w:tcBorders>
              <w:top w:val="single" w:sz="4" w:space="0" w:color="auto"/>
              <w:bottom w:val="nil"/>
            </w:tcBorders>
          </w:tcPr>
          <w:p w14:paraId="40AFF449" w14:textId="77777777" w:rsidR="0085294B" w:rsidRPr="0085294B" w:rsidRDefault="0085294B" w:rsidP="00CD3671">
            <w:pPr>
              <w:jc w:val="center"/>
              <w:rPr>
                <w:rFonts w:ascii="Arial" w:hAnsi="Arial" w:cs="Arial"/>
              </w:rPr>
            </w:pPr>
            <w:r w:rsidRPr="0085294B">
              <w:rPr>
                <w:rFonts w:ascii="Arial" w:hAnsi="Arial" w:cs="Arial"/>
              </w:rPr>
              <w:t>1</w:t>
            </w:r>
          </w:p>
        </w:tc>
        <w:tc>
          <w:tcPr>
            <w:tcW w:w="4544" w:type="dxa"/>
            <w:tcBorders>
              <w:top w:val="single" w:sz="4" w:space="0" w:color="auto"/>
              <w:bottom w:val="nil"/>
            </w:tcBorders>
          </w:tcPr>
          <w:p w14:paraId="393B6106" w14:textId="0C5E8F93" w:rsidR="0085294B" w:rsidRPr="0085294B" w:rsidRDefault="00014434" w:rsidP="00CD3671">
            <w:pPr>
              <w:tabs>
                <w:tab w:val="left" w:pos="720"/>
              </w:tabs>
              <w:rPr>
                <w:rFonts w:ascii="Arial" w:hAnsi="Arial" w:cs="Arial"/>
                <w:bCs/>
              </w:rPr>
            </w:pPr>
            <w:r>
              <w:rPr>
                <w:rFonts w:ascii="Arial" w:hAnsi="Arial" w:cs="Arial"/>
                <w:bCs/>
              </w:rPr>
              <w:t>division of work</w:t>
            </w:r>
          </w:p>
        </w:tc>
        <w:tc>
          <w:tcPr>
            <w:tcW w:w="951" w:type="dxa"/>
            <w:tcBorders>
              <w:top w:val="single" w:sz="4" w:space="0" w:color="auto"/>
              <w:bottom w:val="nil"/>
            </w:tcBorders>
            <w:vAlign w:val="center"/>
          </w:tcPr>
          <w:p w14:paraId="3605E81D" w14:textId="0C695207"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4.09</w:t>
            </w:r>
          </w:p>
        </w:tc>
        <w:tc>
          <w:tcPr>
            <w:tcW w:w="1747" w:type="dxa"/>
            <w:tcBorders>
              <w:top w:val="single" w:sz="4" w:space="0" w:color="auto"/>
              <w:bottom w:val="nil"/>
            </w:tcBorders>
          </w:tcPr>
          <w:p w14:paraId="1BA67E93"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22ED0446" w14:textId="77777777" w:rsidTr="00014434">
        <w:trPr>
          <w:trHeight w:val="278"/>
        </w:trPr>
        <w:tc>
          <w:tcPr>
            <w:tcW w:w="768" w:type="dxa"/>
          </w:tcPr>
          <w:p w14:paraId="40EAAC20" w14:textId="77777777" w:rsidR="0085294B" w:rsidRPr="0085294B" w:rsidRDefault="0085294B" w:rsidP="00CD3671">
            <w:pPr>
              <w:jc w:val="center"/>
              <w:rPr>
                <w:rFonts w:ascii="Arial" w:hAnsi="Arial" w:cs="Arial"/>
              </w:rPr>
            </w:pPr>
            <w:r w:rsidRPr="0085294B">
              <w:rPr>
                <w:rFonts w:ascii="Arial" w:hAnsi="Arial" w:cs="Arial"/>
              </w:rPr>
              <w:t>2</w:t>
            </w:r>
          </w:p>
        </w:tc>
        <w:tc>
          <w:tcPr>
            <w:tcW w:w="4544" w:type="dxa"/>
          </w:tcPr>
          <w:p w14:paraId="05DA2AD5" w14:textId="3789B5CF" w:rsidR="0085294B" w:rsidRPr="0085294B" w:rsidRDefault="00343A53" w:rsidP="00CD3671">
            <w:pPr>
              <w:tabs>
                <w:tab w:val="left" w:pos="720"/>
              </w:tabs>
              <w:rPr>
                <w:rFonts w:ascii="Arial" w:hAnsi="Arial" w:cs="Arial"/>
                <w:bCs/>
              </w:rPr>
            </w:pPr>
            <w:r>
              <w:rPr>
                <w:rFonts w:ascii="Arial" w:hAnsi="Arial" w:cs="Arial"/>
                <w:bCs/>
              </w:rPr>
              <w:t>I</w:t>
            </w:r>
            <w:r w:rsidR="00014434">
              <w:rPr>
                <w:rFonts w:ascii="Arial" w:hAnsi="Arial" w:cs="Arial"/>
                <w:bCs/>
              </w:rPr>
              <w:t>nitiative</w:t>
            </w:r>
          </w:p>
        </w:tc>
        <w:tc>
          <w:tcPr>
            <w:tcW w:w="951" w:type="dxa"/>
            <w:vAlign w:val="center"/>
          </w:tcPr>
          <w:p w14:paraId="1DA9F3BD" w14:textId="1F10C566"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4.02</w:t>
            </w:r>
          </w:p>
        </w:tc>
        <w:tc>
          <w:tcPr>
            <w:tcW w:w="1747" w:type="dxa"/>
          </w:tcPr>
          <w:p w14:paraId="1BF862A5"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0777D6E3" w14:textId="77777777" w:rsidTr="00014434">
        <w:trPr>
          <w:trHeight w:val="278"/>
        </w:trPr>
        <w:tc>
          <w:tcPr>
            <w:tcW w:w="768" w:type="dxa"/>
          </w:tcPr>
          <w:p w14:paraId="79C9AAF9" w14:textId="77777777" w:rsidR="0085294B" w:rsidRPr="0085294B" w:rsidRDefault="0085294B" w:rsidP="00CD3671">
            <w:pPr>
              <w:jc w:val="center"/>
              <w:rPr>
                <w:rFonts w:ascii="Arial" w:hAnsi="Arial" w:cs="Arial"/>
              </w:rPr>
            </w:pPr>
            <w:r w:rsidRPr="0085294B">
              <w:rPr>
                <w:rFonts w:ascii="Arial" w:hAnsi="Arial" w:cs="Arial"/>
              </w:rPr>
              <w:t>3</w:t>
            </w:r>
          </w:p>
        </w:tc>
        <w:tc>
          <w:tcPr>
            <w:tcW w:w="4544" w:type="dxa"/>
          </w:tcPr>
          <w:p w14:paraId="48B0FF7A" w14:textId="4F599FF9" w:rsidR="0085294B" w:rsidRPr="0085294B" w:rsidRDefault="00343A53" w:rsidP="00CD3671">
            <w:pPr>
              <w:tabs>
                <w:tab w:val="left" w:pos="720"/>
              </w:tabs>
              <w:rPr>
                <w:rFonts w:ascii="Arial" w:hAnsi="Arial" w:cs="Arial"/>
                <w:bCs/>
              </w:rPr>
            </w:pPr>
            <w:r>
              <w:rPr>
                <w:rFonts w:ascii="Arial" w:hAnsi="Arial" w:cs="Arial"/>
                <w:bCs/>
              </w:rPr>
              <w:t>O</w:t>
            </w:r>
            <w:r w:rsidR="00014434">
              <w:rPr>
                <w:rFonts w:ascii="Arial" w:hAnsi="Arial" w:cs="Arial"/>
                <w:bCs/>
              </w:rPr>
              <w:t>rder</w:t>
            </w:r>
          </w:p>
        </w:tc>
        <w:tc>
          <w:tcPr>
            <w:tcW w:w="951" w:type="dxa"/>
            <w:vAlign w:val="center"/>
          </w:tcPr>
          <w:p w14:paraId="4945D040" w14:textId="114D22B1" w:rsidR="0085294B" w:rsidRPr="0085294B" w:rsidRDefault="00014434" w:rsidP="00CD3671">
            <w:pPr>
              <w:pStyle w:val="NoSpacing"/>
              <w:jc w:val="center"/>
              <w:rPr>
                <w:rFonts w:ascii="Arial" w:hAnsi="Arial" w:cs="Arial"/>
                <w:sz w:val="20"/>
                <w:szCs w:val="20"/>
              </w:rPr>
            </w:pPr>
            <w:r>
              <w:rPr>
                <w:rFonts w:ascii="Arial" w:hAnsi="Arial" w:cs="Arial"/>
                <w:sz w:val="20"/>
                <w:szCs w:val="20"/>
              </w:rPr>
              <w:t>4.18</w:t>
            </w:r>
          </w:p>
        </w:tc>
        <w:tc>
          <w:tcPr>
            <w:tcW w:w="1747" w:type="dxa"/>
          </w:tcPr>
          <w:p w14:paraId="1652F46E"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038CBFF1" w14:textId="77777777" w:rsidTr="00014434">
        <w:trPr>
          <w:trHeight w:val="193"/>
        </w:trPr>
        <w:tc>
          <w:tcPr>
            <w:tcW w:w="5312" w:type="dxa"/>
            <w:gridSpan w:val="2"/>
            <w:tcBorders>
              <w:bottom w:val="double" w:sz="4" w:space="0" w:color="auto"/>
            </w:tcBorders>
          </w:tcPr>
          <w:p w14:paraId="55C90912" w14:textId="77777777" w:rsidR="0085294B" w:rsidRPr="0085294B" w:rsidRDefault="0085294B" w:rsidP="00CD3671">
            <w:pPr>
              <w:jc w:val="center"/>
              <w:rPr>
                <w:rFonts w:ascii="Arial" w:hAnsi="Arial" w:cs="Arial"/>
              </w:rPr>
            </w:pPr>
            <w:r w:rsidRPr="0085294B">
              <w:rPr>
                <w:rFonts w:ascii="Arial" w:hAnsi="Arial" w:cs="Arial"/>
              </w:rPr>
              <w:t>Overall Mean</w:t>
            </w:r>
          </w:p>
        </w:tc>
        <w:tc>
          <w:tcPr>
            <w:tcW w:w="951" w:type="dxa"/>
            <w:tcBorders>
              <w:bottom w:val="double" w:sz="4" w:space="0" w:color="auto"/>
            </w:tcBorders>
            <w:vAlign w:val="center"/>
          </w:tcPr>
          <w:p w14:paraId="1C6DC88A" w14:textId="67881D54" w:rsidR="0085294B" w:rsidRPr="0085294B" w:rsidRDefault="00014434" w:rsidP="00CD3671">
            <w:pPr>
              <w:pStyle w:val="TableContents"/>
              <w:snapToGrid w:val="0"/>
              <w:jc w:val="center"/>
              <w:rPr>
                <w:rFonts w:ascii="Arial" w:hAnsi="Arial" w:cs="Arial"/>
                <w:b/>
                <w:sz w:val="20"/>
                <w:szCs w:val="20"/>
              </w:rPr>
            </w:pPr>
            <w:r>
              <w:rPr>
                <w:rFonts w:ascii="Arial" w:hAnsi="Arial" w:cs="Arial"/>
                <w:b/>
                <w:sz w:val="20"/>
                <w:szCs w:val="20"/>
              </w:rPr>
              <w:t>4.10</w:t>
            </w:r>
          </w:p>
        </w:tc>
        <w:tc>
          <w:tcPr>
            <w:tcW w:w="1747" w:type="dxa"/>
            <w:tcBorders>
              <w:bottom w:val="double" w:sz="4" w:space="0" w:color="auto"/>
            </w:tcBorders>
            <w:vAlign w:val="center"/>
          </w:tcPr>
          <w:p w14:paraId="3AB3172C" w14:textId="77777777" w:rsidR="0085294B" w:rsidRPr="0085294B" w:rsidRDefault="0085294B" w:rsidP="00CD3671">
            <w:pPr>
              <w:pStyle w:val="TableContents"/>
              <w:snapToGrid w:val="0"/>
              <w:jc w:val="center"/>
              <w:rPr>
                <w:rFonts w:ascii="Arial" w:hAnsi="Arial" w:cs="Arial"/>
                <w:sz w:val="20"/>
                <w:szCs w:val="20"/>
              </w:rPr>
            </w:pPr>
            <w:r w:rsidRPr="0085294B">
              <w:rPr>
                <w:rFonts w:ascii="Arial" w:hAnsi="Arial" w:cs="Arial"/>
                <w:sz w:val="20"/>
                <w:szCs w:val="20"/>
              </w:rPr>
              <w:t xml:space="preserve">High  </w:t>
            </w:r>
          </w:p>
        </w:tc>
      </w:tr>
      <w:tr w:rsidR="0085294B" w:rsidRPr="0085294B" w14:paraId="047FB87F" w14:textId="77777777" w:rsidTr="00014434">
        <w:trPr>
          <w:trHeight w:val="115"/>
        </w:trPr>
        <w:tc>
          <w:tcPr>
            <w:tcW w:w="5312" w:type="dxa"/>
            <w:gridSpan w:val="2"/>
            <w:tcBorders>
              <w:top w:val="double" w:sz="4" w:space="0" w:color="auto"/>
            </w:tcBorders>
          </w:tcPr>
          <w:p w14:paraId="49AC2291" w14:textId="77777777" w:rsidR="0085294B" w:rsidRPr="0085294B" w:rsidRDefault="0085294B" w:rsidP="00CD3671">
            <w:pPr>
              <w:jc w:val="center"/>
              <w:rPr>
                <w:rFonts w:ascii="Arial" w:hAnsi="Arial" w:cs="Arial"/>
              </w:rPr>
            </w:pPr>
          </w:p>
        </w:tc>
        <w:tc>
          <w:tcPr>
            <w:tcW w:w="951" w:type="dxa"/>
            <w:tcBorders>
              <w:top w:val="double" w:sz="4" w:space="0" w:color="auto"/>
            </w:tcBorders>
          </w:tcPr>
          <w:p w14:paraId="6BB70058" w14:textId="77777777" w:rsidR="0085294B" w:rsidRPr="0085294B" w:rsidRDefault="0085294B" w:rsidP="00CD3671">
            <w:pPr>
              <w:jc w:val="center"/>
              <w:rPr>
                <w:rFonts w:ascii="Arial" w:hAnsi="Arial" w:cs="Arial"/>
              </w:rPr>
            </w:pPr>
          </w:p>
        </w:tc>
        <w:tc>
          <w:tcPr>
            <w:tcW w:w="1747" w:type="dxa"/>
            <w:tcBorders>
              <w:top w:val="double" w:sz="4" w:space="0" w:color="auto"/>
            </w:tcBorders>
          </w:tcPr>
          <w:p w14:paraId="669530D8" w14:textId="77777777" w:rsidR="0085294B" w:rsidRPr="0085294B" w:rsidRDefault="0085294B" w:rsidP="00CD3671">
            <w:pPr>
              <w:jc w:val="center"/>
              <w:rPr>
                <w:rFonts w:ascii="Arial" w:hAnsi="Arial" w:cs="Arial"/>
              </w:rPr>
            </w:pPr>
          </w:p>
        </w:tc>
      </w:tr>
    </w:tbl>
    <w:p w14:paraId="20CF6BE0" w14:textId="77777777" w:rsidR="00D453B9" w:rsidRDefault="00D453B9" w:rsidP="003248E3">
      <w:pPr>
        <w:jc w:val="both"/>
        <w:rPr>
          <w:rFonts w:ascii="Arial" w:hAnsi="Arial" w:cs="Arial"/>
        </w:rPr>
      </w:pPr>
    </w:p>
    <w:p w14:paraId="7AA382AC" w14:textId="77777777" w:rsidR="00343A53" w:rsidRPr="00343A53" w:rsidRDefault="00343A53" w:rsidP="00343A53">
      <w:pPr>
        <w:jc w:val="both"/>
        <w:rPr>
          <w:rFonts w:ascii="Arial" w:hAnsi="Arial" w:cs="Arial"/>
        </w:rPr>
      </w:pPr>
      <w:r w:rsidRPr="00343A53">
        <w:rPr>
          <w:rFonts w:ascii="Arial" w:hAnsi="Arial" w:cs="Arial"/>
          <w:highlight w:val="yellow"/>
        </w:rPr>
        <w:t>The results revealed that the level of administrative decision-making among public elementary school teachers was high, with an overall mean score of 4.10. Among the domains, order recorded the highest mean (4.18), followed by division of work (4.09), and initiative (4.02), all categorized as high. These findings suggest that teachers consistently demonstrate strong administrative practices, particularly in maintaining structured environments, delegating tasks effectively, and taking initiative in managing responsibilities. Such competencies are crucial for ensuring school stability, promoting organizational efficiency, and supporting effective crisis response strategies.</w:t>
      </w:r>
    </w:p>
    <w:p w14:paraId="1FCB62DC" w14:textId="77777777" w:rsidR="00B45A26" w:rsidRPr="00B45A26" w:rsidRDefault="00B45A26" w:rsidP="00B45A26">
      <w:pPr>
        <w:jc w:val="both"/>
        <w:rPr>
          <w:rFonts w:ascii="Arial" w:hAnsi="Arial" w:cs="Arial"/>
        </w:rPr>
      </w:pPr>
    </w:p>
    <w:p w14:paraId="6F9A7F13" w14:textId="3B16E7B0" w:rsidR="002658ED" w:rsidRDefault="00B45A26" w:rsidP="00B45A26">
      <w:pPr>
        <w:jc w:val="both"/>
        <w:rPr>
          <w:rFonts w:ascii="Arial" w:hAnsi="Arial" w:cs="Arial"/>
        </w:rPr>
      </w:pPr>
      <w:r w:rsidRPr="005812D4">
        <w:rPr>
          <w:rFonts w:ascii="Arial" w:hAnsi="Arial" w:cs="Arial"/>
          <w:highlight w:val="yellow"/>
        </w:rPr>
        <w:t>This finding implies that public elementary school teachers consistently exhibit effective administrative decision-making practices, particularly in maintaining order within their schools. Their high score in division of work suggests a clear understanding and execution of task delegation and role distribution among staff. The strong rating in initiative reflects teachers’ willingness to take proactive steps in addressing administrative responsibilities. Collectively, these high scores indicate that teachers are well-equipped to contribute to organized, efficient, and responsive school environments, which are essential for sustaining quality education and managing daily operational demands.</w:t>
      </w:r>
    </w:p>
    <w:p w14:paraId="78C32A52" w14:textId="77777777" w:rsidR="00B45A26" w:rsidRPr="002658ED" w:rsidRDefault="00B45A26" w:rsidP="00B45A26">
      <w:pPr>
        <w:jc w:val="both"/>
        <w:rPr>
          <w:rFonts w:ascii="Arial" w:hAnsi="Arial" w:cs="Arial"/>
        </w:rPr>
      </w:pPr>
    </w:p>
    <w:p w14:paraId="47AABB42" w14:textId="38F72BCD" w:rsidR="003248E3" w:rsidRDefault="00142BC2">
      <w:pPr>
        <w:jc w:val="both"/>
        <w:rPr>
          <w:rFonts w:ascii="Arial" w:hAnsi="Arial" w:cs="Arial"/>
        </w:rPr>
      </w:pPr>
      <w:r w:rsidRPr="00142BC2">
        <w:rPr>
          <w:rFonts w:ascii="Arial" w:hAnsi="Arial" w:cs="Arial"/>
        </w:rPr>
        <w:t xml:space="preserve">This finding aligns with the study by </w:t>
      </w:r>
      <w:r w:rsidR="00942A77" w:rsidRPr="00942A77">
        <w:rPr>
          <w:rFonts w:ascii="Arial" w:hAnsi="Arial" w:cs="Arial"/>
        </w:rPr>
        <w:t>Addo-</w:t>
      </w:r>
      <w:proofErr w:type="spellStart"/>
      <w:r w:rsidR="00942A77" w:rsidRPr="00942A77">
        <w:rPr>
          <w:rFonts w:ascii="Arial" w:hAnsi="Arial" w:cs="Arial"/>
        </w:rPr>
        <w:t>Fordwuor</w:t>
      </w:r>
      <w:proofErr w:type="spellEnd"/>
      <w:r w:rsidR="00942A77">
        <w:rPr>
          <w:rFonts w:ascii="Arial" w:hAnsi="Arial" w:cs="Arial"/>
        </w:rPr>
        <w:t xml:space="preserve"> et al. (2024</w:t>
      </w:r>
      <w:r w:rsidRPr="00142BC2">
        <w:rPr>
          <w:rFonts w:ascii="Arial" w:hAnsi="Arial" w:cs="Arial"/>
        </w:rPr>
        <w:t xml:space="preserve">), which emphasized that high levels of administrative decision-making contribute significantly to effective school governance, particularly when leaders ensure clarity in task delegation and policy implementation. Similarly, the research by </w:t>
      </w:r>
      <w:proofErr w:type="spellStart"/>
      <w:r w:rsidR="00667B01" w:rsidRPr="00667B01">
        <w:rPr>
          <w:rFonts w:ascii="Arial" w:hAnsi="Arial" w:cs="Arial"/>
        </w:rPr>
        <w:t>Jhonshon</w:t>
      </w:r>
      <w:proofErr w:type="spellEnd"/>
      <w:r w:rsidR="00667B01" w:rsidRPr="00667B01">
        <w:rPr>
          <w:rFonts w:ascii="Arial" w:hAnsi="Arial" w:cs="Arial"/>
        </w:rPr>
        <w:t xml:space="preserve"> </w:t>
      </w:r>
      <w:r w:rsidR="00667B01">
        <w:rPr>
          <w:rFonts w:ascii="Arial" w:hAnsi="Arial" w:cs="Arial"/>
        </w:rPr>
        <w:t>et al. (2024</w:t>
      </w:r>
      <w:r w:rsidRPr="00142BC2">
        <w:rPr>
          <w:rFonts w:ascii="Arial" w:hAnsi="Arial" w:cs="Arial"/>
        </w:rPr>
        <w:t xml:space="preserve">) highlighted that administrators who engage in strategic and participative decision-making practices foster a more collaborative and productive school environment. Furthermore, the study of </w:t>
      </w:r>
      <w:r w:rsidR="00531D3E" w:rsidRPr="00531D3E">
        <w:rPr>
          <w:rFonts w:ascii="Arial" w:hAnsi="Arial" w:cs="Arial"/>
        </w:rPr>
        <w:t>Kumar</w:t>
      </w:r>
      <w:r w:rsidR="00531D3E">
        <w:rPr>
          <w:rFonts w:ascii="Arial" w:hAnsi="Arial" w:cs="Arial"/>
        </w:rPr>
        <w:t xml:space="preserve"> and </w:t>
      </w:r>
      <w:proofErr w:type="spellStart"/>
      <w:r w:rsidR="00531D3E" w:rsidRPr="00531D3E">
        <w:rPr>
          <w:rFonts w:ascii="Arial" w:hAnsi="Arial" w:cs="Arial"/>
        </w:rPr>
        <w:t>Limbachiya</w:t>
      </w:r>
      <w:proofErr w:type="spellEnd"/>
      <w:r w:rsidRPr="00142BC2">
        <w:rPr>
          <w:rFonts w:ascii="Arial" w:hAnsi="Arial" w:cs="Arial"/>
        </w:rPr>
        <w:t xml:space="preserve"> (2023) revealed that strong administrative decision-making, especially in terms of </w:t>
      </w:r>
      <w:r w:rsidRPr="00142BC2">
        <w:rPr>
          <w:rFonts w:ascii="Arial" w:hAnsi="Arial" w:cs="Arial"/>
        </w:rPr>
        <w:lastRenderedPageBreak/>
        <w:t>planning, organizing, and managing school resources, leads to improved institutional performance and enhances the responsiveness of schools to emerging challenges.</w:t>
      </w:r>
    </w:p>
    <w:p w14:paraId="63EFA426" w14:textId="77777777" w:rsidR="00142BC2" w:rsidRPr="00E2395E" w:rsidRDefault="00142BC2">
      <w:pPr>
        <w:jc w:val="both"/>
        <w:rPr>
          <w:rFonts w:ascii="Arial" w:hAnsi="Arial" w:cs="Arial"/>
        </w:rPr>
      </w:pPr>
    </w:p>
    <w:p w14:paraId="73523F39" w14:textId="091EFAF1" w:rsidR="00717F2E" w:rsidRDefault="00FE3FB8"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014434">
        <w:rPr>
          <w:rFonts w:ascii="Arial" w:hAnsi="Arial" w:cs="Arial"/>
          <w:b/>
        </w:rPr>
        <w:t>Crisis</w:t>
      </w:r>
      <w:r w:rsidR="0085294B">
        <w:rPr>
          <w:rFonts w:ascii="Arial" w:hAnsi="Arial" w:cs="Arial"/>
          <w:b/>
        </w:rPr>
        <w:t xml:space="preserve"> Management</w:t>
      </w:r>
      <w:r w:rsidR="0073677C" w:rsidRPr="0073677C">
        <w:rPr>
          <w:rFonts w:ascii="Arial" w:hAnsi="Arial" w:cs="Arial"/>
          <w:b/>
        </w:rPr>
        <w:t xml:space="preserve"> among Public Elementary School Teachers</w:t>
      </w:r>
    </w:p>
    <w:p w14:paraId="55F82C25" w14:textId="77777777" w:rsidR="0073677C" w:rsidRDefault="0073677C" w:rsidP="00781D5E">
      <w:pPr>
        <w:jc w:val="both"/>
        <w:rPr>
          <w:rFonts w:ascii="Arial" w:hAnsi="Arial" w:cs="Arial"/>
        </w:rPr>
      </w:pPr>
    </w:p>
    <w:p w14:paraId="35505C3A" w14:textId="5221F1E9" w:rsidR="00717F2E" w:rsidRPr="00781D5E" w:rsidRDefault="00FE3FB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5294B" w:rsidRPr="0085294B">
        <w:rPr>
          <w:rFonts w:ascii="Arial" w:hAnsi="Arial" w:cs="Arial"/>
          <w:i/>
        </w:rPr>
        <w:t>Level of School Plant Management among Public Elementary School Teachers</w:t>
      </w:r>
    </w:p>
    <w:p w14:paraId="2745F126" w14:textId="77777777"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0" w:type="auto"/>
        <w:tblInd w:w="198" w:type="dxa"/>
        <w:tblLook w:val="0000" w:firstRow="0" w:lastRow="0" w:firstColumn="0" w:lastColumn="0" w:noHBand="0" w:noVBand="0"/>
      </w:tblPr>
      <w:tblGrid>
        <w:gridCol w:w="767"/>
        <w:gridCol w:w="4548"/>
        <w:gridCol w:w="950"/>
        <w:gridCol w:w="1745"/>
      </w:tblGrid>
      <w:tr w:rsidR="0085294B" w:rsidRPr="0085294B" w14:paraId="7C5D424C" w14:textId="77777777" w:rsidTr="00014434">
        <w:trPr>
          <w:trHeight w:val="357"/>
        </w:trPr>
        <w:tc>
          <w:tcPr>
            <w:tcW w:w="767" w:type="dxa"/>
            <w:tcBorders>
              <w:top w:val="double" w:sz="4" w:space="0" w:color="auto"/>
              <w:bottom w:val="single" w:sz="4" w:space="0" w:color="auto"/>
            </w:tcBorders>
          </w:tcPr>
          <w:p w14:paraId="6723C98E" w14:textId="77777777" w:rsidR="0085294B" w:rsidRPr="0085294B" w:rsidRDefault="0085294B" w:rsidP="00CD3671">
            <w:pPr>
              <w:rPr>
                <w:rFonts w:ascii="Arial" w:hAnsi="Arial" w:cs="Arial"/>
                <w:b/>
                <w:bCs/>
              </w:rPr>
            </w:pPr>
            <w:r w:rsidRPr="0085294B">
              <w:rPr>
                <w:rFonts w:ascii="Arial" w:hAnsi="Arial" w:cs="Arial"/>
                <w:b/>
                <w:bCs/>
              </w:rPr>
              <w:t>No.</w:t>
            </w:r>
          </w:p>
          <w:p w14:paraId="62F82AEB" w14:textId="77777777" w:rsidR="0085294B" w:rsidRPr="0085294B" w:rsidRDefault="0085294B" w:rsidP="00CD3671">
            <w:pPr>
              <w:jc w:val="center"/>
              <w:rPr>
                <w:rFonts w:ascii="Arial" w:hAnsi="Arial" w:cs="Arial"/>
                <w:b/>
                <w:bCs/>
              </w:rPr>
            </w:pPr>
          </w:p>
        </w:tc>
        <w:tc>
          <w:tcPr>
            <w:tcW w:w="4548" w:type="dxa"/>
            <w:tcBorders>
              <w:top w:val="double" w:sz="4" w:space="0" w:color="auto"/>
              <w:bottom w:val="single" w:sz="4" w:space="0" w:color="auto"/>
            </w:tcBorders>
          </w:tcPr>
          <w:p w14:paraId="65936D82" w14:textId="2F1727B7" w:rsidR="0085294B" w:rsidRPr="0085294B" w:rsidRDefault="0085294B" w:rsidP="00CD3671">
            <w:pPr>
              <w:jc w:val="center"/>
              <w:rPr>
                <w:rFonts w:ascii="Arial" w:hAnsi="Arial" w:cs="Arial"/>
                <w:b/>
                <w:bCs/>
              </w:rPr>
            </w:pPr>
            <w:r w:rsidRPr="0085294B">
              <w:rPr>
                <w:rFonts w:ascii="Arial" w:hAnsi="Arial" w:cs="Arial"/>
                <w:b/>
                <w:bCs/>
              </w:rPr>
              <w:t>Domains</w:t>
            </w:r>
          </w:p>
        </w:tc>
        <w:tc>
          <w:tcPr>
            <w:tcW w:w="950" w:type="dxa"/>
            <w:tcBorders>
              <w:top w:val="double" w:sz="4" w:space="0" w:color="auto"/>
              <w:bottom w:val="single" w:sz="4" w:space="0" w:color="auto"/>
            </w:tcBorders>
          </w:tcPr>
          <w:p w14:paraId="63DD02E5" w14:textId="77777777" w:rsidR="0085294B" w:rsidRPr="0085294B" w:rsidRDefault="0085294B" w:rsidP="00CD3671">
            <w:pPr>
              <w:contextualSpacing/>
              <w:jc w:val="center"/>
              <w:rPr>
                <w:rFonts w:ascii="Arial" w:hAnsi="Arial" w:cs="Arial"/>
                <w:b/>
                <w:bCs/>
                <w:lang w:eastAsia="en-PH"/>
              </w:rPr>
            </w:pPr>
            <w:r w:rsidRPr="0085294B">
              <w:rPr>
                <w:rFonts w:ascii="Arial" w:hAnsi="Arial" w:cs="Arial"/>
                <w:b/>
                <w:bCs/>
                <w:lang w:eastAsia="en-PH"/>
              </w:rPr>
              <w:t>Mean</w:t>
            </w:r>
          </w:p>
          <w:p w14:paraId="30C4EFE5" w14:textId="77777777" w:rsidR="0085294B" w:rsidRPr="0085294B" w:rsidRDefault="0085294B" w:rsidP="00CD3671">
            <w:pPr>
              <w:contextualSpacing/>
              <w:jc w:val="center"/>
              <w:rPr>
                <w:rFonts w:ascii="Arial" w:hAnsi="Arial" w:cs="Arial"/>
                <w:b/>
                <w:bCs/>
              </w:rPr>
            </w:pPr>
            <w:r w:rsidRPr="0085294B">
              <w:rPr>
                <w:rFonts w:ascii="Arial" w:hAnsi="Arial" w:cs="Arial"/>
                <w:b/>
                <w:bCs/>
                <w:lang w:eastAsia="en-PH"/>
              </w:rPr>
              <w:t>(</w:t>
            </w:r>
            <w:r w:rsidRPr="0085294B">
              <w:rPr>
                <w:rFonts w:ascii="Arial" w:hAnsi="Arial" w:cs="Arial"/>
                <w:b/>
                <w:bCs/>
                <w:lang w:eastAsia="en-PH"/>
              </w:rPr>
              <w:fldChar w:fldCharType="begin"/>
            </w:r>
            <w:r w:rsidRPr="0085294B">
              <w:rPr>
                <w:rFonts w:ascii="Arial" w:hAnsi="Arial" w:cs="Arial"/>
                <w:b/>
                <w:bCs/>
                <w:lang w:eastAsia="en-PH"/>
              </w:rPr>
              <w:instrText xml:space="preserve"> QUOTE </w:instrText>
            </w:r>
            <w:r w:rsidR="001B0FAE">
              <w:rPr>
                <w:rFonts w:ascii="Arial" w:hAnsi="Arial" w:cs="Arial"/>
                <w:b/>
                <w:bCs/>
                <w:position w:val="-9"/>
              </w:rPr>
              <w:pict w14:anchorId="21ABE48B">
                <v:shape id="Picture 3" o:spid="_x0000_i1027" type="#_x0000_t75" style="width:6pt;height:16.5pt">
                  <v:imagedata r:id="rId15" o:title="" chromakey="white"/>
                </v:shape>
              </w:pict>
            </w:r>
            <w:r w:rsidRPr="0085294B">
              <w:rPr>
                <w:rFonts w:ascii="Arial" w:hAnsi="Arial" w:cs="Arial"/>
                <w:b/>
                <w:bCs/>
                <w:lang w:eastAsia="en-PH"/>
              </w:rPr>
              <w:fldChar w:fldCharType="separate"/>
            </w:r>
            <w:r w:rsidR="001B0FAE">
              <w:rPr>
                <w:rFonts w:ascii="Arial" w:hAnsi="Arial" w:cs="Arial"/>
                <w:b/>
                <w:bCs/>
                <w:position w:val="-9"/>
              </w:rPr>
              <w:pict w14:anchorId="5A6B72E6">
                <v:shape id="Picture 4" o:spid="_x0000_i1028" type="#_x0000_t75" style="width:6pt;height:16.5pt">
                  <v:imagedata r:id="rId15" o:title="" chromakey="white"/>
                </v:shape>
              </w:pict>
            </w:r>
            <w:r w:rsidRPr="0085294B">
              <w:rPr>
                <w:rFonts w:ascii="Arial" w:hAnsi="Arial" w:cs="Arial"/>
                <w:b/>
                <w:bCs/>
                <w:lang w:eastAsia="en-PH"/>
              </w:rPr>
              <w:fldChar w:fldCharType="end"/>
            </w:r>
            <w:r w:rsidRPr="0085294B">
              <w:rPr>
                <w:rFonts w:ascii="Arial" w:hAnsi="Arial" w:cs="Arial"/>
                <w:b/>
                <w:bCs/>
                <w:lang w:eastAsia="en-PH"/>
              </w:rPr>
              <w:t>)</w:t>
            </w:r>
          </w:p>
        </w:tc>
        <w:tc>
          <w:tcPr>
            <w:tcW w:w="1745" w:type="dxa"/>
            <w:tcBorders>
              <w:top w:val="double" w:sz="4" w:space="0" w:color="auto"/>
              <w:bottom w:val="single" w:sz="4" w:space="0" w:color="auto"/>
            </w:tcBorders>
          </w:tcPr>
          <w:p w14:paraId="0E3402D4" w14:textId="77777777" w:rsidR="0085294B" w:rsidRPr="0085294B" w:rsidRDefault="0085294B" w:rsidP="00CD3671">
            <w:pPr>
              <w:jc w:val="center"/>
              <w:rPr>
                <w:rFonts w:ascii="Arial" w:hAnsi="Arial" w:cs="Arial"/>
                <w:b/>
                <w:bCs/>
              </w:rPr>
            </w:pPr>
            <w:r w:rsidRPr="0085294B">
              <w:rPr>
                <w:rFonts w:ascii="Arial" w:hAnsi="Arial" w:cs="Arial"/>
                <w:b/>
                <w:bCs/>
              </w:rPr>
              <w:t>Descriptive Equivalent</w:t>
            </w:r>
          </w:p>
        </w:tc>
      </w:tr>
      <w:tr w:rsidR="0085294B" w:rsidRPr="0085294B" w14:paraId="6FF1B11D" w14:textId="77777777" w:rsidTr="00014434">
        <w:trPr>
          <w:trHeight w:val="242"/>
        </w:trPr>
        <w:tc>
          <w:tcPr>
            <w:tcW w:w="767" w:type="dxa"/>
            <w:tcBorders>
              <w:top w:val="single" w:sz="4" w:space="0" w:color="auto"/>
              <w:bottom w:val="nil"/>
            </w:tcBorders>
          </w:tcPr>
          <w:p w14:paraId="20C56229" w14:textId="77777777" w:rsidR="0085294B" w:rsidRPr="0085294B" w:rsidRDefault="0085294B" w:rsidP="00CD3671">
            <w:pPr>
              <w:jc w:val="center"/>
              <w:rPr>
                <w:rFonts w:ascii="Arial" w:hAnsi="Arial" w:cs="Arial"/>
              </w:rPr>
            </w:pPr>
            <w:r w:rsidRPr="0085294B">
              <w:rPr>
                <w:rFonts w:ascii="Arial" w:hAnsi="Arial" w:cs="Arial"/>
              </w:rPr>
              <w:t>1</w:t>
            </w:r>
          </w:p>
        </w:tc>
        <w:tc>
          <w:tcPr>
            <w:tcW w:w="4548" w:type="dxa"/>
            <w:tcBorders>
              <w:top w:val="single" w:sz="4" w:space="0" w:color="auto"/>
              <w:bottom w:val="nil"/>
            </w:tcBorders>
          </w:tcPr>
          <w:p w14:paraId="4F537ECF" w14:textId="3D4F5724" w:rsidR="0085294B" w:rsidRPr="0085294B" w:rsidRDefault="00014434" w:rsidP="00CD3671">
            <w:pPr>
              <w:tabs>
                <w:tab w:val="left" w:pos="720"/>
              </w:tabs>
              <w:rPr>
                <w:rFonts w:ascii="Arial" w:hAnsi="Arial" w:cs="Arial"/>
                <w:bCs/>
              </w:rPr>
            </w:pPr>
            <w:r>
              <w:rPr>
                <w:rFonts w:ascii="Arial" w:hAnsi="Arial" w:cs="Arial"/>
              </w:rPr>
              <w:t>human factors</w:t>
            </w:r>
          </w:p>
        </w:tc>
        <w:tc>
          <w:tcPr>
            <w:tcW w:w="950" w:type="dxa"/>
            <w:tcBorders>
              <w:top w:val="single" w:sz="4" w:space="0" w:color="auto"/>
              <w:bottom w:val="nil"/>
            </w:tcBorders>
            <w:vAlign w:val="center"/>
          </w:tcPr>
          <w:p w14:paraId="5134A2B7" w14:textId="7D2EFB39"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4.09</w:t>
            </w:r>
          </w:p>
        </w:tc>
        <w:tc>
          <w:tcPr>
            <w:tcW w:w="1745" w:type="dxa"/>
            <w:tcBorders>
              <w:top w:val="single" w:sz="4" w:space="0" w:color="auto"/>
              <w:bottom w:val="nil"/>
            </w:tcBorders>
          </w:tcPr>
          <w:p w14:paraId="6B532650" w14:textId="77777777" w:rsidR="0085294B" w:rsidRPr="0085294B" w:rsidRDefault="0085294B" w:rsidP="00CD3671">
            <w:pPr>
              <w:jc w:val="center"/>
              <w:rPr>
                <w:rFonts w:ascii="Arial" w:hAnsi="Arial" w:cs="Arial"/>
              </w:rPr>
            </w:pPr>
            <w:r w:rsidRPr="0085294B">
              <w:rPr>
                <w:rFonts w:ascii="Arial" w:hAnsi="Arial" w:cs="Arial"/>
              </w:rPr>
              <w:t>High</w:t>
            </w:r>
          </w:p>
        </w:tc>
      </w:tr>
      <w:tr w:rsidR="00014434" w:rsidRPr="0085294B" w14:paraId="5AD7DB8D" w14:textId="77777777" w:rsidTr="00014434">
        <w:trPr>
          <w:trHeight w:val="278"/>
        </w:trPr>
        <w:tc>
          <w:tcPr>
            <w:tcW w:w="767" w:type="dxa"/>
          </w:tcPr>
          <w:p w14:paraId="26248EA9" w14:textId="77777777" w:rsidR="00014434" w:rsidRPr="0085294B" w:rsidRDefault="00014434" w:rsidP="00014434">
            <w:pPr>
              <w:jc w:val="center"/>
              <w:rPr>
                <w:rFonts w:ascii="Arial" w:hAnsi="Arial" w:cs="Arial"/>
              </w:rPr>
            </w:pPr>
            <w:r w:rsidRPr="0085294B">
              <w:rPr>
                <w:rFonts w:ascii="Arial" w:hAnsi="Arial" w:cs="Arial"/>
              </w:rPr>
              <w:t>2</w:t>
            </w:r>
          </w:p>
        </w:tc>
        <w:tc>
          <w:tcPr>
            <w:tcW w:w="4548" w:type="dxa"/>
          </w:tcPr>
          <w:p w14:paraId="6381BD3D" w14:textId="39D16B18" w:rsidR="00014434" w:rsidRPr="0085294B" w:rsidRDefault="00014434" w:rsidP="00014434">
            <w:pPr>
              <w:tabs>
                <w:tab w:val="left" w:pos="720"/>
              </w:tabs>
              <w:rPr>
                <w:rFonts w:ascii="Arial" w:hAnsi="Arial" w:cs="Arial"/>
                <w:bCs/>
              </w:rPr>
            </w:pPr>
            <w:r>
              <w:rPr>
                <w:rFonts w:ascii="Arial" w:hAnsi="Arial" w:cs="Arial"/>
              </w:rPr>
              <w:t>Processes</w:t>
            </w:r>
          </w:p>
        </w:tc>
        <w:tc>
          <w:tcPr>
            <w:tcW w:w="950" w:type="dxa"/>
            <w:vAlign w:val="center"/>
          </w:tcPr>
          <w:p w14:paraId="0345B0D2" w14:textId="6D6868E5" w:rsidR="00014434" w:rsidRPr="0085294B" w:rsidRDefault="00014434" w:rsidP="00014434">
            <w:pPr>
              <w:pStyle w:val="TableContents"/>
              <w:snapToGrid w:val="0"/>
              <w:jc w:val="center"/>
              <w:rPr>
                <w:rFonts w:ascii="Arial" w:hAnsi="Arial" w:cs="Arial"/>
                <w:sz w:val="20"/>
                <w:szCs w:val="20"/>
              </w:rPr>
            </w:pPr>
            <w:r>
              <w:rPr>
                <w:rFonts w:ascii="Arial" w:hAnsi="Arial" w:cs="Arial"/>
                <w:sz w:val="20"/>
                <w:szCs w:val="20"/>
              </w:rPr>
              <w:t>4.15</w:t>
            </w:r>
          </w:p>
        </w:tc>
        <w:tc>
          <w:tcPr>
            <w:tcW w:w="1745" w:type="dxa"/>
          </w:tcPr>
          <w:p w14:paraId="239D0BBB" w14:textId="206281BA" w:rsidR="00014434" w:rsidRPr="0085294B" w:rsidRDefault="00014434" w:rsidP="00014434">
            <w:pPr>
              <w:jc w:val="center"/>
              <w:rPr>
                <w:rFonts w:ascii="Arial" w:hAnsi="Arial" w:cs="Arial"/>
              </w:rPr>
            </w:pPr>
            <w:r w:rsidRPr="007641E2">
              <w:rPr>
                <w:rFonts w:ascii="Arial" w:hAnsi="Arial" w:cs="Arial"/>
              </w:rPr>
              <w:t>High</w:t>
            </w:r>
          </w:p>
        </w:tc>
      </w:tr>
      <w:tr w:rsidR="00014434" w:rsidRPr="0085294B" w14:paraId="7917A39C" w14:textId="77777777" w:rsidTr="00014434">
        <w:trPr>
          <w:trHeight w:val="278"/>
        </w:trPr>
        <w:tc>
          <w:tcPr>
            <w:tcW w:w="767" w:type="dxa"/>
          </w:tcPr>
          <w:p w14:paraId="260EA02B" w14:textId="77777777" w:rsidR="00014434" w:rsidRPr="0085294B" w:rsidRDefault="00014434" w:rsidP="00014434">
            <w:pPr>
              <w:jc w:val="center"/>
              <w:rPr>
                <w:rFonts w:ascii="Arial" w:hAnsi="Arial" w:cs="Arial"/>
              </w:rPr>
            </w:pPr>
            <w:r w:rsidRPr="0085294B">
              <w:rPr>
                <w:rFonts w:ascii="Arial" w:hAnsi="Arial" w:cs="Arial"/>
              </w:rPr>
              <w:t>3</w:t>
            </w:r>
          </w:p>
        </w:tc>
        <w:tc>
          <w:tcPr>
            <w:tcW w:w="4548" w:type="dxa"/>
          </w:tcPr>
          <w:p w14:paraId="1A235356" w14:textId="56DC8A1B" w:rsidR="00014434" w:rsidRPr="0085294B" w:rsidRDefault="00014434" w:rsidP="00014434">
            <w:pPr>
              <w:tabs>
                <w:tab w:val="left" w:pos="720"/>
              </w:tabs>
              <w:rPr>
                <w:rFonts w:ascii="Arial" w:hAnsi="Arial" w:cs="Arial"/>
                <w:bCs/>
              </w:rPr>
            </w:pPr>
            <w:r>
              <w:rPr>
                <w:rFonts w:ascii="Arial" w:hAnsi="Arial" w:cs="Arial"/>
              </w:rPr>
              <w:t>Technology</w:t>
            </w:r>
          </w:p>
        </w:tc>
        <w:tc>
          <w:tcPr>
            <w:tcW w:w="950" w:type="dxa"/>
            <w:vAlign w:val="center"/>
          </w:tcPr>
          <w:p w14:paraId="5840C92E" w14:textId="268E7E2F" w:rsidR="00014434" w:rsidRPr="0085294B" w:rsidRDefault="006139CD" w:rsidP="00014434">
            <w:pPr>
              <w:pStyle w:val="NoSpacing"/>
              <w:jc w:val="center"/>
              <w:rPr>
                <w:rFonts w:ascii="Arial" w:hAnsi="Arial" w:cs="Arial"/>
                <w:sz w:val="20"/>
                <w:szCs w:val="20"/>
              </w:rPr>
            </w:pPr>
            <w:r>
              <w:rPr>
                <w:rFonts w:ascii="Arial" w:hAnsi="Arial" w:cs="Arial"/>
                <w:sz w:val="20"/>
                <w:szCs w:val="20"/>
              </w:rPr>
              <w:t>4.06</w:t>
            </w:r>
          </w:p>
        </w:tc>
        <w:tc>
          <w:tcPr>
            <w:tcW w:w="1745" w:type="dxa"/>
          </w:tcPr>
          <w:p w14:paraId="4872D9BB" w14:textId="658802AA" w:rsidR="00014434" w:rsidRPr="0085294B" w:rsidRDefault="00014434" w:rsidP="00014434">
            <w:pPr>
              <w:jc w:val="center"/>
              <w:rPr>
                <w:rFonts w:ascii="Arial" w:hAnsi="Arial" w:cs="Arial"/>
              </w:rPr>
            </w:pPr>
            <w:r w:rsidRPr="007641E2">
              <w:rPr>
                <w:rFonts w:ascii="Arial" w:hAnsi="Arial" w:cs="Arial"/>
              </w:rPr>
              <w:t>High</w:t>
            </w:r>
          </w:p>
        </w:tc>
      </w:tr>
      <w:tr w:rsidR="00014434" w:rsidRPr="0085294B" w14:paraId="457645EE" w14:textId="77777777" w:rsidTr="00014434">
        <w:trPr>
          <w:trHeight w:val="278"/>
        </w:trPr>
        <w:tc>
          <w:tcPr>
            <w:tcW w:w="767" w:type="dxa"/>
          </w:tcPr>
          <w:p w14:paraId="1AEC9F38" w14:textId="77777777" w:rsidR="00014434" w:rsidRPr="0085294B" w:rsidRDefault="00014434" w:rsidP="00014434">
            <w:pPr>
              <w:jc w:val="center"/>
              <w:rPr>
                <w:rFonts w:ascii="Arial" w:hAnsi="Arial" w:cs="Arial"/>
              </w:rPr>
            </w:pPr>
            <w:r w:rsidRPr="0085294B">
              <w:rPr>
                <w:rFonts w:ascii="Arial" w:hAnsi="Arial" w:cs="Arial"/>
              </w:rPr>
              <w:t>4</w:t>
            </w:r>
          </w:p>
        </w:tc>
        <w:tc>
          <w:tcPr>
            <w:tcW w:w="4548" w:type="dxa"/>
          </w:tcPr>
          <w:p w14:paraId="02A4F174" w14:textId="38DDFC09" w:rsidR="00014434" w:rsidRPr="0085294B" w:rsidRDefault="00014434" w:rsidP="00014434">
            <w:pPr>
              <w:tabs>
                <w:tab w:val="left" w:pos="720"/>
              </w:tabs>
              <w:rPr>
                <w:rFonts w:ascii="Arial" w:hAnsi="Arial" w:cs="Arial"/>
              </w:rPr>
            </w:pPr>
            <w:r>
              <w:rPr>
                <w:rFonts w:ascii="Arial" w:hAnsi="Arial" w:cs="Arial"/>
              </w:rPr>
              <w:t>Regulations</w:t>
            </w:r>
          </w:p>
        </w:tc>
        <w:tc>
          <w:tcPr>
            <w:tcW w:w="950" w:type="dxa"/>
            <w:vAlign w:val="center"/>
          </w:tcPr>
          <w:p w14:paraId="0CCF94E8" w14:textId="590A51FA" w:rsidR="00014434" w:rsidRPr="0085294B" w:rsidRDefault="00014434" w:rsidP="00014434">
            <w:pPr>
              <w:pStyle w:val="NoSpacing"/>
              <w:jc w:val="center"/>
              <w:rPr>
                <w:rFonts w:ascii="Arial" w:hAnsi="Arial" w:cs="Arial"/>
                <w:sz w:val="20"/>
                <w:szCs w:val="20"/>
              </w:rPr>
            </w:pPr>
            <w:r>
              <w:rPr>
                <w:rFonts w:ascii="Arial" w:hAnsi="Arial" w:cs="Arial"/>
                <w:sz w:val="20"/>
                <w:szCs w:val="20"/>
              </w:rPr>
              <w:t>4.13</w:t>
            </w:r>
          </w:p>
        </w:tc>
        <w:tc>
          <w:tcPr>
            <w:tcW w:w="1745" w:type="dxa"/>
          </w:tcPr>
          <w:p w14:paraId="129050BE" w14:textId="4BE9C71C" w:rsidR="00014434" w:rsidRPr="0085294B" w:rsidRDefault="00014434" w:rsidP="00014434">
            <w:pPr>
              <w:jc w:val="center"/>
              <w:rPr>
                <w:rFonts w:ascii="Arial" w:hAnsi="Arial" w:cs="Arial"/>
              </w:rPr>
            </w:pPr>
            <w:r w:rsidRPr="007641E2">
              <w:rPr>
                <w:rFonts w:ascii="Arial" w:hAnsi="Arial" w:cs="Arial"/>
              </w:rPr>
              <w:t>High</w:t>
            </w:r>
          </w:p>
        </w:tc>
      </w:tr>
      <w:tr w:rsidR="0085294B" w:rsidRPr="0085294B" w14:paraId="2215D7BE" w14:textId="77777777" w:rsidTr="00014434">
        <w:trPr>
          <w:trHeight w:val="193"/>
        </w:trPr>
        <w:tc>
          <w:tcPr>
            <w:tcW w:w="5315" w:type="dxa"/>
            <w:gridSpan w:val="2"/>
            <w:tcBorders>
              <w:bottom w:val="double" w:sz="4" w:space="0" w:color="auto"/>
            </w:tcBorders>
          </w:tcPr>
          <w:p w14:paraId="65659FE6" w14:textId="77777777" w:rsidR="0085294B" w:rsidRPr="0085294B" w:rsidRDefault="0085294B" w:rsidP="00CD3671">
            <w:pPr>
              <w:jc w:val="center"/>
              <w:rPr>
                <w:rFonts w:ascii="Arial" w:hAnsi="Arial" w:cs="Arial"/>
              </w:rPr>
            </w:pPr>
            <w:r w:rsidRPr="0085294B">
              <w:rPr>
                <w:rFonts w:ascii="Arial" w:hAnsi="Arial" w:cs="Arial"/>
              </w:rPr>
              <w:t>Overall Mean</w:t>
            </w:r>
          </w:p>
        </w:tc>
        <w:tc>
          <w:tcPr>
            <w:tcW w:w="950" w:type="dxa"/>
            <w:tcBorders>
              <w:bottom w:val="double" w:sz="4" w:space="0" w:color="auto"/>
            </w:tcBorders>
            <w:vAlign w:val="center"/>
          </w:tcPr>
          <w:p w14:paraId="06B43A63" w14:textId="7F1E7ADA" w:rsidR="0085294B" w:rsidRPr="0085294B" w:rsidRDefault="00014434" w:rsidP="00CD3671">
            <w:pPr>
              <w:pStyle w:val="TableContents"/>
              <w:snapToGrid w:val="0"/>
              <w:jc w:val="center"/>
              <w:rPr>
                <w:rFonts w:ascii="Arial" w:hAnsi="Arial" w:cs="Arial"/>
                <w:b/>
                <w:sz w:val="20"/>
                <w:szCs w:val="20"/>
              </w:rPr>
            </w:pPr>
            <w:r>
              <w:rPr>
                <w:rFonts w:ascii="Arial" w:hAnsi="Arial" w:cs="Arial"/>
                <w:b/>
                <w:sz w:val="20"/>
                <w:szCs w:val="20"/>
              </w:rPr>
              <w:t>4.1</w:t>
            </w:r>
            <w:r w:rsidR="006139CD">
              <w:rPr>
                <w:rFonts w:ascii="Arial" w:hAnsi="Arial" w:cs="Arial"/>
                <w:b/>
                <w:sz w:val="20"/>
                <w:szCs w:val="20"/>
              </w:rPr>
              <w:t>1</w:t>
            </w:r>
          </w:p>
        </w:tc>
        <w:tc>
          <w:tcPr>
            <w:tcW w:w="1745" w:type="dxa"/>
            <w:tcBorders>
              <w:bottom w:val="double" w:sz="4" w:space="0" w:color="auto"/>
            </w:tcBorders>
            <w:vAlign w:val="center"/>
          </w:tcPr>
          <w:p w14:paraId="4B3096CB" w14:textId="0EEF22DC" w:rsidR="0085294B" w:rsidRPr="0085294B" w:rsidRDefault="00014434" w:rsidP="00CD3671">
            <w:pPr>
              <w:pStyle w:val="TableContents"/>
              <w:snapToGrid w:val="0"/>
              <w:jc w:val="center"/>
              <w:rPr>
                <w:rFonts w:ascii="Arial" w:hAnsi="Arial" w:cs="Arial"/>
                <w:sz w:val="20"/>
                <w:szCs w:val="20"/>
              </w:rPr>
            </w:pPr>
            <w:r w:rsidRPr="00014434">
              <w:rPr>
                <w:rFonts w:ascii="Arial" w:hAnsi="Arial" w:cs="Arial"/>
                <w:sz w:val="20"/>
                <w:szCs w:val="20"/>
              </w:rPr>
              <w:t>High</w:t>
            </w:r>
          </w:p>
        </w:tc>
      </w:tr>
      <w:tr w:rsidR="0085294B" w:rsidRPr="0085294B" w14:paraId="7A8CA46A" w14:textId="77777777" w:rsidTr="00014434">
        <w:trPr>
          <w:trHeight w:val="115"/>
        </w:trPr>
        <w:tc>
          <w:tcPr>
            <w:tcW w:w="5315" w:type="dxa"/>
            <w:gridSpan w:val="2"/>
            <w:tcBorders>
              <w:top w:val="double" w:sz="4" w:space="0" w:color="auto"/>
            </w:tcBorders>
          </w:tcPr>
          <w:p w14:paraId="3B026060" w14:textId="77777777" w:rsidR="0085294B" w:rsidRPr="0085294B" w:rsidRDefault="0085294B" w:rsidP="00CD3671">
            <w:pPr>
              <w:jc w:val="center"/>
              <w:rPr>
                <w:rFonts w:ascii="Arial" w:hAnsi="Arial" w:cs="Arial"/>
              </w:rPr>
            </w:pPr>
          </w:p>
        </w:tc>
        <w:tc>
          <w:tcPr>
            <w:tcW w:w="950" w:type="dxa"/>
            <w:tcBorders>
              <w:top w:val="double" w:sz="4" w:space="0" w:color="auto"/>
            </w:tcBorders>
          </w:tcPr>
          <w:p w14:paraId="6538203C" w14:textId="77777777" w:rsidR="0085294B" w:rsidRPr="0085294B" w:rsidRDefault="0085294B" w:rsidP="00CD3671">
            <w:pPr>
              <w:jc w:val="center"/>
              <w:rPr>
                <w:rFonts w:ascii="Arial" w:hAnsi="Arial" w:cs="Arial"/>
              </w:rPr>
            </w:pPr>
          </w:p>
        </w:tc>
        <w:tc>
          <w:tcPr>
            <w:tcW w:w="1745" w:type="dxa"/>
            <w:tcBorders>
              <w:top w:val="double" w:sz="4" w:space="0" w:color="auto"/>
            </w:tcBorders>
          </w:tcPr>
          <w:p w14:paraId="35398413" w14:textId="77777777" w:rsidR="0085294B" w:rsidRPr="0085294B" w:rsidRDefault="0085294B" w:rsidP="00CD3671">
            <w:pPr>
              <w:jc w:val="center"/>
              <w:rPr>
                <w:rFonts w:ascii="Arial" w:hAnsi="Arial" w:cs="Arial"/>
              </w:rPr>
            </w:pPr>
          </w:p>
        </w:tc>
      </w:tr>
    </w:tbl>
    <w:p w14:paraId="21ED3F61" w14:textId="77777777" w:rsidR="0073677C" w:rsidRDefault="0073677C" w:rsidP="0073677C">
      <w:pPr>
        <w:jc w:val="both"/>
        <w:rPr>
          <w:rFonts w:ascii="Arial" w:hAnsi="Arial" w:cs="Arial"/>
        </w:rPr>
      </w:pPr>
    </w:p>
    <w:p w14:paraId="053DD7CD" w14:textId="77777777" w:rsidR="005812D4" w:rsidRPr="005812D4" w:rsidRDefault="005812D4" w:rsidP="005812D4">
      <w:pPr>
        <w:jc w:val="both"/>
        <w:rPr>
          <w:rFonts w:ascii="Arial" w:hAnsi="Arial" w:cs="Arial"/>
          <w:highlight w:val="yellow"/>
        </w:rPr>
      </w:pPr>
      <w:r w:rsidRPr="005812D4">
        <w:rPr>
          <w:rFonts w:ascii="Arial" w:hAnsi="Arial" w:cs="Arial"/>
          <w:highlight w:val="yellow"/>
        </w:rPr>
        <w:t>Presented in Table 2 is the level of school plant management among public elementary school teachers. The table includes the domains of human factors, processes, technology, and regulations, along with their respective mean scores and descriptive equivalents. Among these, the processes domain recorded the highest mean score of 4.15, categorized as high. This was followed by regulations with a mean of 4.13, also described as high. The domains of human factors and technology had mean scores of 4.09 and 4.06, respectively, both likewise categorized as high. The overall mean score of 4.11, also rated high, indicates a generally strong level of school plant management exhibited by the respondents.</w:t>
      </w:r>
    </w:p>
    <w:p w14:paraId="308C8620" w14:textId="77777777" w:rsidR="005812D4" w:rsidRPr="005812D4" w:rsidRDefault="005812D4" w:rsidP="005812D4">
      <w:pPr>
        <w:jc w:val="both"/>
        <w:rPr>
          <w:rFonts w:ascii="Arial" w:hAnsi="Arial" w:cs="Arial"/>
          <w:highlight w:val="yellow"/>
        </w:rPr>
      </w:pPr>
    </w:p>
    <w:p w14:paraId="1A024B60" w14:textId="77777777" w:rsidR="005812D4" w:rsidRPr="005812D4" w:rsidRDefault="005812D4" w:rsidP="005812D4">
      <w:pPr>
        <w:jc w:val="both"/>
        <w:rPr>
          <w:rFonts w:ascii="Arial" w:hAnsi="Arial" w:cs="Arial"/>
        </w:rPr>
      </w:pPr>
      <w:r w:rsidRPr="005812D4">
        <w:rPr>
          <w:rFonts w:ascii="Arial" w:hAnsi="Arial" w:cs="Arial"/>
          <w:highlight w:val="yellow"/>
        </w:rPr>
        <w:t>These findings suggest that public elementary school teachers consistently demonstrate effective facility management practices, with particular strengths in structured operational processes and regulatory compliance. The high score in the processes domain reflects the presence of clear, efficient procedures supporting the maintenance and use of physical resources. The strong rating in regulations indicates that schools adhere to established safety and resource-use policies. Additionally, the consistently high scores in human factors and technology highlight the importance placed on skilled personnel and the integration of appropriate technological tools. Collectively, these results point to a comprehensive and well-coordinated approach to school plant management that fosters a safe, functional, and conducive learning environment.</w:t>
      </w:r>
    </w:p>
    <w:p w14:paraId="72E2D0A9" w14:textId="77777777" w:rsidR="00B45A26" w:rsidRPr="002658ED" w:rsidRDefault="00B45A26" w:rsidP="00B45A26">
      <w:pPr>
        <w:jc w:val="both"/>
        <w:rPr>
          <w:rFonts w:ascii="Arial" w:hAnsi="Arial" w:cs="Arial"/>
        </w:rPr>
      </w:pPr>
    </w:p>
    <w:p w14:paraId="3E314ADC" w14:textId="03828717" w:rsidR="0073677C" w:rsidRDefault="00142BC2" w:rsidP="0073677C">
      <w:pPr>
        <w:jc w:val="both"/>
        <w:rPr>
          <w:rFonts w:ascii="Arial" w:hAnsi="Arial" w:cs="Arial"/>
        </w:rPr>
      </w:pPr>
      <w:r w:rsidRPr="00142BC2">
        <w:rPr>
          <w:rFonts w:ascii="Arial" w:hAnsi="Arial" w:cs="Arial"/>
        </w:rPr>
        <w:t xml:space="preserve">This finding aligns with the study by </w:t>
      </w:r>
      <w:r w:rsidR="00E9289E" w:rsidRPr="00E9289E">
        <w:rPr>
          <w:rFonts w:ascii="Arial" w:hAnsi="Arial" w:cs="Arial"/>
        </w:rPr>
        <w:t xml:space="preserve">Heisel </w:t>
      </w:r>
      <w:r w:rsidR="00E9289E">
        <w:rPr>
          <w:rFonts w:ascii="Arial" w:hAnsi="Arial" w:cs="Arial"/>
        </w:rPr>
        <w:t>(2024</w:t>
      </w:r>
      <w:r w:rsidRPr="00142BC2">
        <w:rPr>
          <w:rFonts w:ascii="Arial" w:hAnsi="Arial" w:cs="Arial"/>
        </w:rPr>
        <w:t xml:space="preserve">), which emphasized that high levels of crisis management in schools are essential for maintaining stability and ensuring continuity of learning during emergencies. Their research highlighted that well-prepared school systems with strong crisis protocols are more capable of minimizing disruption and protecting both staff and students. Similarly, the study by </w:t>
      </w:r>
      <w:proofErr w:type="spellStart"/>
      <w:r w:rsidR="002E74E4" w:rsidRPr="002E74E4">
        <w:rPr>
          <w:rFonts w:ascii="Arial" w:hAnsi="Arial" w:cs="Arial"/>
        </w:rPr>
        <w:t>Mizrak</w:t>
      </w:r>
      <w:proofErr w:type="spellEnd"/>
      <w:r w:rsidR="002E74E4" w:rsidRPr="002E74E4">
        <w:rPr>
          <w:rFonts w:ascii="Arial" w:hAnsi="Arial" w:cs="Arial"/>
        </w:rPr>
        <w:t xml:space="preserve"> </w:t>
      </w:r>
      <w:r w:rsidR="002E74E4">
        <w:rPr>
          <w:rFonts w:ascii="Arial" w:hAnsi="Arial" w:cs="Arial"/>
        </w:rPr>
        <w:t>(2024</w:t>
      </w:r>
      <w:r w:rsidRPr="00142BC2">
        <w:rPr>
          <w:rFonts w:ascii="Arial" w:hAnsi="Arial" w:cs="Arial"/>
        </w:rPr>
        <w:t>) found that schools with proactiv</w:t>
      </w:r>
      <w:r>
        <w:rPr>
          <w:rFonts w:ascii="Arial" w:hAnsi="Arial" w:cs="Arial"/>
        </w:rPr>
        <w:t>e crisis management strategies, p</w:t>
      </w:r>
      <w:r w:rsidRPr="00142BC2">
        <w:rPr>
          <w:rFonts w:ascii="Arial" w:hAnsi="Arial" w:cs="Arial"/>
        </w:rPr>
        <w:t>articularly those involving human factors, techno</w:t>
      </w:r>
      <w:r>
        <w:rPr>
          <w:rFonts w:ascii="Arial" w:hAnsi="Arial" w:cs="Arial"/>
        </w:rPr>
        <w:t xml:space="preserve">logy, and regulatory compliance, </w:t>
      </w:r>
      <w:r w:rsidRPr="00142BC2">
        <w:rPr>
          <w:rFonts w:ascii="Arial" w:hAnsi="Arial" w:cs="Arial"/>
        </w:rPr>
        <w:t xml:space="preserve">were better equipped to respond effectively to unforeseen events. Additionally, research by </w:t>
      </w:r>
      <w:r w:rsidR="00EB37DF" w:rsidRPr="00EB37DF">
        <w:rPr>
          <w:rFonts w:ascii="Arial" w:hAnsi="Arial" w:cs="Arial"/>
        </w:rPr>
        <w:t xml:space="preserve">Stephen </w:t>
      </w:r>
      <w:r w:rsidR="00EB37DF">
        <w:rPr>
          <w:rFonts w:ascii="Arial" w:hAnsi="Arial" w:cs="Arial"/>
        </w:rPr>
        <w:t>(2024</w:t>
      </w:r>
      <w:r w:rsidRPr="00142BC2">
        <w:rPr>
          <w:rFonts w:ascii="Arial" w:hAnsi="Arial" w:cs="Arial"/>
        </w:rPr>
        <w:t>) supported the idea that schools demonstrating high crisis readiness often exhibit stronger leadership coordination, effective communication systems, and adaptive problem-solving skills, all of which contribute to resilience and recovery during times of crisis.</w:t>
      </w:r>
    </w:p>
    <w:p w14:paraId="357F9EE5" w14:textId="77777777" w:rsidR="0073677C" w:rsidRDefault="0073677C" w:rsidP="0073677C">
      <w:pPr>
        <w:jc w:val="both"/>
        <w:rPr>
          <w:rFonts w:ascii="Arial" w:hAnsi="Arial" w:cs="Arial"/>
        </w:rPr>
      </w:pPr>
    </w:p>
    <w:p w14:paraId="72DE4777" w14:textId="1EA3DDED" w:rsidR="0085294B" w:rsidRDefault="00781D5E">
      <w:pPr>
        <w:rPr>
          <w:rFonts w:ascii="Arial" w:hAnsi="Arial" w:cs="Arial"/>
          <w:b/>
          <w:bCs/>
          <w:iCs/>
        </w:rPr>
      </w:pPr>
      <w:r>
        <w:rPr>
          <w:rFonts w:ascii="Arial" w:hAnsi="Arial" w:cs="Arial"/>
          <w:b/>
          <w:bCs/>
          <w:iCs/>
        </w:rPr>
        <w:t xml:space="preserve">3.3 </w:t>
      </w:r>
      <w:r w:rsidR="0085294B" w:rsidRPr="0085294B">
        <w:rPr>
          <w:rFonts w:ascii="Arial" w:hAnsi="Arial" w:cs="Arial"/>
          <w:b/>
          <w:bCs/>
          <w:iCs/>
        </w:rPr>
        <w:t>Significance o</w:t>
      </w:r>
      <w:r w:rsidR="0085294B">
        <w:rPr>
          <w:rFonts w:ascii="Arial" w:hAnsi="Arial" w:cs="Arial"/>
          <w:b/>
          <w:bCs/>
          <w:iCs/>
        </w:rPr>
        <w:t>f</w:t>
      </w:r>
      <w:r w:rsidR="0085294B" w:rsidRPr="0085294B">
        <w:rPr>
          <w:rFonts w:ascii="Arial" w:hAnsi="Arial" w:cs="Arial"/>
          <w:b/>
          <w:bCs/>
          <w:iCs/>
        </w:rPr>
        <w:t xml:space="preserve"> the Relationship Between the </w:t>
      </w:r>
      <w:r w:rsidR="00014434" w:rsidRPr="00014434">
        <w:rPr>
          <w:rFonts w:ascii="Arial" w:hAnsi="Arial" w:cs="Arial"/>
          <w:b/>
          <w:bCs/>
          <w:iCs/>
        </w:rPr>
        <w:t xml:space="preserve">Administrative Decision-Making </w:t>
      </w:r>
      <w:r w:rsidR="0085294B" w:rsidRPr="0085294B">
        <w:rPr>
          <w:rFonts w:ascii="Arial" w:hAnsi="Arial" w:cs="Arial"/>
          <w:b/>
          <w:bCs/>
          <w:iCs/>
        </w:rPr>
        <w:t xml:space="preserve">and </w:t>
      </w:r>
      <w:r w:rsidR="00014434">
        <w:rPr>
          <w:rFonts w:ascii="Arial" w:hAnsi="Arial" w:cs="Arial"/>
          <w:b/>
          <w:bCs/>
          <w:iCs/>
        </w:rPr>
        <w:t>Crises</w:t>
      </w:r>
      <w:r w:rsidR="0085294B" w:rsidRPr="0085294B">
        <w:rPr>
          <w:rFonts w:ascii="Arial" w:hAnsi="Arial" w:cs="Arial"/>
          <w:b/>
          <w:bCs/>
          <w:iCs/>
        </w:rPr>
        <w:t xml:space="preserve"> Management </w:t>
      </w:r>
    </w:p>
    <w:p w14:paraId="012D3D88" w14:textId="77777777" w:rsidR="0085294B" w:rsidRDefault="0085294B">
      <w:pPr>
        <w:rPr>
          <w:rFonts w:ascii="Arial" w:hAnsi="Arial" w:cs="Arial"/>
          <w:b/>
          <w:bCs/>
          <w:iCs/>
        </w:rPr>
      </w:pPr>
    </w:p>
    <w:p w14:paraId="6F013CCC" w14:textId="29EFBA35" w:rsidR="00717F2E" w:rsidRPr="006139CD" w:rsidRDefault="00FE3FB8" w:rsidP="006139CD">
      <w:pPr>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6139CD" w:rsidRPr="006139CD">
        <w:rPr>
          <w:rFonts w:ascii="Arial" w:hAnsi="Arial" w:cs="Arial"/>
          <w:i/>
        </w:rPr>
        <w:t>Significance of the Relationship Between the Administ</w:t>
      </w:r>
      <w:r w:rsidR="006139CD">
        <w:rPr>
          <w:rFonts w:ascii="Arial" w:hAnsi="Arial" w:cs="Arial"/>
          <w:i/>
        </w:rPr>
        <w:t>rative Decision-Making and Crisi</w:t>
      </w:r>
      <w:r w:rsidR="006139CD" w:rsidRPr="006139CD">
        <w:rPr>
          <w:rFonts w:ascii="Arial" w:hAnsi="Arial" w:cs="Arial"/>
          <w:i/>
        </w:rPr>
        <w:t>s Management</w:t>
      </w:r>
    </w:p>
    <w:p w14:paraId="7E2C54BF" w14:textId="77777777" w:rsidR="00781D5E" w:rsidRDefault="00781D5E">
      <w:pPr>
        <w:rPr>
          <w:rFonts w:ascii="Arial" w:hAnsi="Arial" w:cs="Arial"/>
          <w:iCs/>
        </w:rPr>
      </w:pPr>
    </w:p>
    <w:tbl>
      <w:tblPr>
        <w:tblW w:w="0" w:type="auto"/>
        <w:tblBorders>
          <w:top w:val="single" w:sz="4" w:space="0" w:color="auto"/>
          <w:bottom w:val="single" w:sz="4" w:space="0" w:color="auto"/>
        </w:tblBorders>
        <w:tblLook w:val="0000" w:firstRow="0" w:lastRow="0" w:firstColumn="0" w:lastColumn="0" w:noHBand="0" w:noVBand="0"/>
      </w:tblPr>
      <w:tblGrid>
        <w:gridCol w:w="1472"/>
        <w:gridCol w:w="668"/>
        <w:gridCol w:w="716"/>
        <w:gridCol w:w="870"/>
        <w:gridCol w:w="1283"/>
        <w:gridCol w:w="1977"/>
        <w:gridCol w:w="1222"/>
      </w:tblGrid>
      <w:tr w:rsidR="002658ED" w14:paraId="689177C6" w14:textId="77777777" w:rsidTr="00CD3671">
        <w:tc>
          <w:tcPr>
            <w:tcW w:w="1368" w:type="dxa"/>
            <w:tcBorders>
              <w:top w:val="single" w:sz="4" w:space="0" w:color="auto"/>
              <w:bottom w:val="single" w:sz="4" w:space="0" w:color="auto"/>
            </w:tcBorders>
          </w:tcPr>
          <w:p w14:paraId="08DD369F" w14:textId="468C2BA1" w:rsidR="0085294B" w:rsidRPr="0085294B" w:rsidRDefault="0085294B" w:rsidP="0085294B">
            <w:pPr>
              <w:jc w:val="center"/>
              <w:rPr>
                <w:rFonts w:ascii="Arial" w:hAnsi="Arial" w:cs="Arial"/>
                <w:b/>
              </w:rPr>
            </w:pPr>
          </w:p>
          <w:p w14:paraId="29853473" w14:textId="77777777" w:rsidR="0085294B" w:rsidRPr="0085294B" w:rsidRDefault="0085294B" w:rsidP="0085294B">
            <w:pPr>
              <w:jc w:val="center"/>
              <w:rPr>
                <w:rFonts w:ascii="Arial" w:hAnsi="Arial" w:cs="Arial"/>
                <w:b/>
              </w:rPr>
            </w:pPr>
            <w:r w:rsidRPr="0085294B">
              <w:rPr>
                <w:rFonts w:ascii="Arial" w:hAnsi="Arial" w:cs="Arial"/>
                <w:b/>
              </w:rPr>
              <w:t>Variables</w:t>
            </w:r>
          </w:p>
        </w:tc>
        <w:tc>
          <w:tcPr>
            <w:tcW w:w="720" w:type="dxa"/>
            <w:tcBorders>
              <w:top w:val="single" w:sz="4" w:space="0" w:color="auto"/>
              <w:bottom w:val="single" w:sz="4" w:space="0" w:color="auto"/>
            </w:tcBorders>
          </w:tcPr>
          <w:p w14:paraId="7639EC93" w14:textId="77777777" w:rsidR="0085294B" w:rsidRPr="0085294B" w:rsidRDefault="0085294B" w:rsidP="0085294B">
            <w:pPr>
              <w:jc w:val="center"/>
              <w:rPr>
                <w:rFonts w:ascii="Arial" w:hAnsi="Arial" w:cs="Arial"/>
                <w:b/>
              </w:rPr>
            </w:pPr>
          </w:p>
          <w:p w14:paraId="2735CA93" w14:textId="77777777" w:rsidR="0085294B" w:rsidRPr="0085294B" w:rsidRDefault="0085294B" w:rsidP="0085294B">
            <w:pPr>
              <w:jc w:val="center"/>
              <w:rPr>
                <w:rFonts w:ascii="Arial" w:hAnsi="Arial" w:cs="Arial"/>
                <w:b/>
              </w:rPr>
            </w:pPr>
            <w:r w:rsidRPr="0085294B">
              <w:rPr>
                <w:rFonts w:ascii="Arial" w:hAnsi="Arial" w:cs="Arial"/>
                <w:b/>
              </w:rPr>
              <w:t>X</w:t>
            </w:r>
          </w:p>
        </w:tc>
        <w:tc>
          <w:tcPr>
            <w:tcW w:w="810" w:type="dxa"/>
            <w:tcBorders>
              <w:top w:val="single" w:sz="4" w:space="0" w:color="auto"/>
              <w:bottom w:val="single" w:sz="4" w:space="0" w:color="auto"/>
            </w:tcBorders>
          </w:tcPr>
          <w:p w14:paraId="55A936F4" w14:textId="77777777" w:rsidR="0085294B" w:rsidRPr="0085294B" w:rsidRDefault="0085294B" w:rsidP="0085294B">
            <w:pPr>
              <w:jc w:val="center"/>
              <w:rPr>
                <w:rFonts w:ascii="Arial" w:hAnsi="Arial" w:cs="Arial"/>
                <w:b/>
              </w:rPr>
            </w:pPr>
          </w:p>
          <w:p w14:paraId="57AE0867" w14:textId="77777777" w:rsidR="0085294B" w:rsidRPr="0085294B" w:rsidRDefault="0085294B" w:rsidP="0085294B">
            <w:pPr>
              <w:jc w:val="center"/>
              <w:rPr>
                <w:rFonts w:ascii="Arial" w:hAnsi="Arial" w:cs="Arial"/>
                <w:b/>
              </w:rPr>
            </w:pPr>
            <w:r w:rsidRPr="0085294B">
              <w:rPr>
                <w:rFonts w:ascii="Arial" w:hAnsi="Arial" w:cs="Arial"/>
                <w:b/>
              </w:rPr>
              <w:t>Y</w:t>
            </w:r>
          </w:p>
        </w:tc>
        <w:tc>
          <w:tcPr>
            <w:tcW w:w="990" w:type="dxa"/>
            <w:tcBorders>
              <w:top w:val="single" w:sz="4" w:space="0" w:color="auto"/>
              <w:bottom w:val="single" w:sz="4" w:space="0" w:color="auto"/>
            </w:tcBorders>
          </w:tcPr>
          <w:p w14:paraId="4A85487C" w14:textId="77777777" w:rsidR="0085294B" w:rsidRPr="0085294B" w:rsidRDefault="0085294B" w:rsidP="0085294B">
            <w:pPr>
              <w:jc w:val="center"/>
              <w:rPr>
                <w:rFonts w:ascii="Arial" w:hAnsi="Arial" w:cs="Arial"/>
                <w:b/>
              </w:rPr>
            </w:pPr>
          </w:p>
          <w:p w14:paraId="763A9A8E" w14:textId="77777777" w:rsidR="0085294B" w:rsidRPr="0085294B" w:rsidRDefault="0085294B" w:rsidP="0085294B">
            <w:pPr>
              <w:jc w:val="center"/>
              <w:rPr>
                <w:rFonts w:ascii="Arial" w:hAnsi="Arial" w:cs="Arial"/>
                <w:b/>
              </w:rPr>
            </w:pPr>
            <w:r w:rsidRPr="0085294B">
              <w:rPr>
                <w:rFonts w:ascii="Arial" w:hAnsi="Arial" w:cs="Arial"/>
                <w:b/>
              </w:rPr>
              <w:t>r-value</w:t>
            </w:r>
          </w:p>
        </w:tc>
        <w:tc>
          <w:tcPr>
            <w:tcW w:w="1283" w:type="dxa"/>
            <w:tcBorders>
              <w:top w:val="single" w:sz="4" w:space="0" w:color="auto"/>
              <w:bottom w:val="single" w:sz="4" w:space="0" w:color="auto"/>
            </w:tcBorders>
          </w:tcPr>
          <w:p w14:paraId="41482DCD" w14:textId="77777777" w:rsidR="0085294B" w:rsidRPr="0085294B" w:rsidRDefault="0085294B" w:rsidP="0085294B">
            <w:pPr>
              <w:jc w:val="center"/>
              <w:rPr>
                <w:rFonts w:ascii="Arial" w:hAnsi="Arial" w:cs="Arial"/>
                <w:b/>
              </w:rPr>
            </w:pPr>
            <w:r w:rsidRPr="0085294B">
              <w:rPr>
                <w:rFonts w:ascii="Arial" w:hAnsi="Arial" w:cs="Arial"/>
                <w:b/>
              </w:rPr>
              <w:t>Degree of Correlation</w:t>
            </w:r>
          </w:p>
        </w:tc>
        <w:tc>
          <w:tcPr>
            <w:tcW w:w="3037" w:type="dxa"/>
            <w:tcBorders>
              <w:top w:val="single" w:sz="4" w:space="0" w:color="auto"/>
              <w:bottom w:val="single" w:sz="4" w:space="0" w:color="auto"/>
            </w:tcBorders>
          </w:tcPr>
          <w:p w14:paraId="0911E0D3" w14:textId="77777777" w:rsidR="0085294B" w:rsidRPr="0085294B" w:rsidRDefault="0085294B" w:rsidP="0085294B">
            <w:pPr>
              <w:jc w:val="center"/>
              <w:rPr>
                <w:rFonts w:ascii="Arial" w:hAnsi="Arial" w:cs="Arial"/>
              </w:rPr>
            </w:pPr>
            <w:r w:rsidRPr="0085294B">
              <w:rPr>
                <w:rFonts w:ascii="Arial" w:hAnsi="Arial" w:cs="Arial"/>
                <w:b/>
              </w:rPr>
              <w:t>p-value</w:t>
            </w:r>
          </w:p>
        </w:tc>
        <w:tc>
          <w:tcPr>
            <w:tcW w:w="1368" w:type="dxa"/>
            <w:tcBorders>
              <w:top w:val="single" w:sz="4" w:space="0" w:color="auto"/>
              <w:bottom w:val="single" w:sz="4" w:space="0" w:color="auto"/>
            </w:tcBorders>
          </w:tcPr>
          <w:p w14:paraId="0DEABFD8" w14:textId="77777777" w:rsidR="0085294B" w:rsidRPr="0085294B" w:rsidRDefault="0085294B" w:rsidP="0085294B">
            <w:pPr>
              <w:jc w:val="center"/>
              <w:rPr>
                <w:rFonts w:ascii="Arial" w:hAnsi="Arial" w:cs="Arial"/>
                <w:b/>
              </w:rPr>
            </w:pPr>
            <w:r w:rsidRPr="0085294B">
              <w:rPr>
                <w:rFonts w:ascii="Arial" w:hAnsi="Arial" w:cs="Arial"/>
                <w:b/>
              </w:rPr>
              <w:t>Decision</w:t>
            </w:r>
          </w:p>
          <w:p w14:paraId="01CE75FF" w14:textId="77777777" w:rsidR="0085294B" w:rsidRPr="0085294B" w:rsidRDefault="0085294B" w:rsidP="0085294B">
            <w:pPr>
              <w:jc w:val="center"/>
              <w:rPr>
                <w:rFonts w:ascii="Arial" w:hAnsi="Arial" w:cs="Arial"/>
              </w:rPr>
            </w:pPr>
            <w:r w:rsidRPr="0085294B">
              <w:rPr>
                <w:rFonts w:ascii="Arial" w:hAnsi="Arial" w:cs="Arial"/>
                <w:b/>
              </w:rPr>
              <w:t>(Ho)</w:t>
            </w:r>
          </w:p>
        </w:tc>
      </w:tr>
      <w:tr w:rsidR="002658ED" w14:paraId="05A8539A" w14:textId="77777777" w:rsidTr="00CD3671">
        <w:tc>
          <w:tcPr>
            <w:tcW w:w="1368" w:type="dxa"/>
            <w:tcBorders>
              <w:top w:val="single" w:sz="4" w:space="0" w:color="auto"/>
            </w:tcBorders>
          </w:tcPr>
          <w:p w14:paraId="14350E2C" w14:textId="5D4DDC39" w:rsidR="0085294B" w:rsidRPr="0085294B" w:rsidRDefault="006139CD" w:rsidP="00CD3671">
            <w:pPr>
              <w:rPr>
                <w:rFonts w:ascii="Arial" w:hAnsi="Arial" w:cs="Arial"/>
              </w:rPr>
            </w:pPr>
            <w:r w:rsidRPr="006139CD">
              <w:rPr>
                <w:rFonts w:ascii="Arial" w:hAnsi="Arial" w:cs="Arial"/>
              </w:rPr>
              <w:t xml:space="preserve">Administrative Decision-Making </w:t>
            </w:r>
          </w:p>
          <w:p w14:paraId="526D65BB" w14:textId="77777777" w:rsidR="0085294B" w:rsidRPr="0085294B" w:rsidRDefault="0085294B" w:rsidP="00CD3671">
            <w:pPr>
              <w:rPr>
                <w:rFonts w:ascii="Arial" w:hAnsi="Arial" w:cs="Arial"/>
              </w:rPr>
            </w:pPr>
          </w:p>
          <w:p w14:paraId="49E4962B" w14:textId="77777777" w:rsidR="0085294B" w:rsidRPr="0085294B" w:rsidRDefault="0085294B" w:rsidP="00CD3671">
            <w:pPr>
              <w:rPr>
                <w:rFonts w:ascii="Arial" w:hAnsi="Arial" w:cs="Arial"/>
              </w:rPr>
            </w:pPr>
          </w:p>
          <w:p w14:paraId="6161C44A" w14:textId="77777777" w:rsidR="0085294B" w:rsidRPr="0085294B" w:rsidRDefault="0085294B" w:rsidP="00CD3671">
            <w:pPr>
              <w:rPr>
                <w:rFonts w:ascii="Arial" w:hAnsi="Arial" w:cs="Arial"/>
              </w:rPr>
            </w:pPr>
          </w:p>
          <w:p w14:paraId="7EB42E76" w14:textId="2DCF4BB4" w:rsidR="0085294B" w:rsidRPr="0085294B" w:rsidRDefault="006139CD" w:rsidP="00CD3671">
            <w:pPr>
              <w:rPr>
                <w:rFonts w:ascii="Arial" w:hAnsi="Arial" w:cs="Arial"/>
                <w:i/>
              </w:rPr>
            </w:pPr>
            <w:r w:rsidRPr="006139CD">
              <w:rPr>
                <w:rFonts w:ascii="Arial" w:hAnsi="Arial" w:cs="Arial"/>
              </w:rPr>
              <w:t>Crisis Management</w:t>
            </w:r>
          </w:p>
        </w:tc>
        <w:tc>
          <w:tcPr>
            <w:tcW w:w="720" w:type="dxa"/>
            <w:tcBorders>
              <w:top w:val="single" w:sz="4" w:space="0" w:color="auto"/>
            </w:tcBorders>
          </w:tcPr>
          <w:p w14:paraId="61674E11" w14:textId="77777777" w:rsidR="0085294B" w:rsidRPr="0085294B" w:rsidRDefault="0085294B" w:rsidP="00CD3671">
            <w:pPr>
              <w:rPr>
                <w:rFonts w:ascii="Arial" w:hAnsi="Arial" w:cs="Arial"/>
              </w:rPr>
            </w:pPr>
          </w:p>
          <w:p w14:paraId="532ABCEA" w14:textId="6E5EC195" w:rsidR="0085294B" w:rsidRPr="0085294B" w:rsidRDefault="003D2B0B" w:rsidP="00CD3671">
            <w:pPr>
              <w:rPr>
                <w:rFonts w:ascii="Arial" w:hAnsi="Arial" w:cs="Arial"/>
              </w:rPr>
            </w:pPr>
            <w:r>
              <w:rPr>
                <w:rFonts w:ascii="Arial" w:hAnsi="Arial" w:cs="Arial"/>
              </w:rPr>
              <w:t>4.10</w:t>
            </w:r>
          </w:p>
          <w:p w14:paraId="299E3593" w14:textId="77777777" w:rsidR="0085294B" w:rsidRPr="0085294B" w:rsidRDefault="0085294B" w:rsidP="00CD3671">
            <w:pPr>
              <w:jc w:val="center"/>
              <w:rPr>
                <w:rFonts w:ascii="Arial" w:hAnsi="Arial" w:cs="Arial"/>
              </w:rPr>
            </w:pPr>
          </w:p>
          <w:p w14:paraId="357A16B4" w14:textId="77777777" w:rsidR="0085294B" w:rsidRPr="0085294B" w:rsidRDefault="0085294B" w:rsidP="00CD3671">
            <w:pPr>
              <w:jc w:val="center"/>
              <w:rPr>
                <w:rFonts w:ascii="Arial" w:hAnsi="Arial" w:cs="Arial"/>
              </w:rPr>
            </w:pPr>
          </w:p>
          <w:p w14:paraId="27C5CA1D" w14:textId="77777777" w:rsidR="0085294B" w:rsidRPr="0085294B" w:rsidRDefault="0085294B" w:rsidP="00CD3671">
            <w:pPr>
              <w:jc w:val="center"/>
              <w:rPr>
                <w:rFonts w:ascii="Arial" w:hAnsi="Arial" w:cs="Arial"/>
              </w:rPr>
            </w:pPr>
          </w:p>
        </w:tc>
        <w:tc>
          <w:tcPr>
            <w:tcW w:w="810" w:type="dxa"/>
            <w:tcBorders>
              <w:top w:val="single" w:sz="4" w:space="0" w:color="auto"/>
            </w:tcBorders>
          </w:tcPr>
          <w:p w14:paraId="69E78264" w14:textId="77777777" w:rsidR="0085294B" w:rsidRPr="0085294B" w:rsidRDefault="0085294B" w:rsidP="00CD3671">
            <w:pPr>
              <w:jc w:val="center"/>
              <w:rPr>
                <w:rFonts w:ascii="Arial" w:hAnsi="Arial" w:cs="Arial"/>
              </w:rPr>
            </w:pPr>
          </w:p>
          <w:p w14:paraId="71821795" w14:textId="77777777" w:rsidR="0085294B" w:rsidRPr="0085294B" w:rsidRDefault="0085294B" w:rsidP="00CD3671">
            <w:pPr>
              <w:jc w:val="center"/>
              <w:rPr>
                <w:rFonts w:ascii="Arial" w:hAnsi="Arial" w:cs="Arial"/>
              </w:rPr>
            </w:pPr>
          </w:p>
          <w:p w14:paraId="26CFA67E" w14:textId="77777777" w:rsidR="0085294B" w:rsidRPr="0085294B" w:rsidRDefault="0085294B" w:rsidP="00CD3671">
            <w:pPr>
              <w:jc w:val="center"/>
              <w:rPr>
                <w:rFonts w:ascii="Arial" w:hAnsi="Arial" w:cs="Arial"/>
              </w:rPr>
            </w:pPr>
          </w:p>
          <w:p w14:paraId="0732F0E4" w14:textId="77777777" w:rsidR="0085294B" w:rsidRPr="0085294B" w:rsidRDefault="0085294B" w:rsidP="00CD3671">
            <w:pPr>
              <w:rPr>
                <w:rFonts w:ascii="Arial" w:hAnsi="Arial" w:cs="Arial"/>
              </w:rPr>
            </w:pPr>
          </w:p>
          <w:p w14:paraId="3111943E" w14:textId="77777777" w:rsidR="002658ED" w:rsidRDefault="002658ED" w:rsidP="002658ED">
            <w:pPr>
              <w:jc w:val="center"/>
              <w:rPr>
                <w:rFonts w:ascii="Arial" w:hAnsi="Arial" w:cs="Arial"/>
              </w:rPr>
            </w:pPr>
          </w:p>
          <w:p w14:paraId="29D2F099" w14:textId="77777777" w:rsidR="002658ED" w:rsidRDefault="002658ED" w:rsidP="002658ED">
            <w:pPr>
              <w:jc w:val="center"/>
              <w:rPr>
                <w:rFonts w:ascii="Arial" w:hAnsi="Arial" w:cs="Arial"/>
              </w:rPr>
            </w:pPr>
          </w:p>
          <w:p w14:paraId="1A2D3F38" w14:textId="77777777" w:rsidR="002658ED" w:rsidRDefault="002658ED" w:rsidP="002658ED">
            <w:pPr>
              <w:jc w:val="center"/>
              <w:rPr>
                <w:rFonts w:ascii="Arial" w:hAnsi="Arial" w:cs="Arial"/>
              </w:rPr>
            </w:pPr>
          </w:p>
          <w:p w14:paraId="48500862" w14:textId="5B8D23C4" w:rsidR="0085294B" w:rsidRPr="0085294B" w:rsidRDefault="003D2B0B" w:rsidP="002658ED">
            <w:pPr>
              <w:jc w:val="center"/>
              <w:rPr>
                <w:rFonts w:ascii="Arial" w:hAnsi="Arial" w:cs="Arial"/>
              </w:rPr>
            </w:pPr>
            <w:r>
              <w:rPr>
                <w:rFonts w:ascii="Arial" w:hAnsi="Arial" w:cs="Arial"/>
              </w:rPr>
              <w:t>4.11</w:t>
            </w:r>
          </w:p>
        </w:tc>
        <w:tc>
          <w:tcPr>
            <w:tcW w:w="990" w:type="dxa"/>
            <w:tcBorders>
              <w:top w:val="single" w:sz="4" w:space="0" w:color="auto"/>
            </w:tcBorders>
          </w:tcPr>
          <w:p w14:paraId="415E823A" w14:textId="77777777" w:rsidR="0085294B" w:rsidRPr="0085294B" w:rsidRDefault="0085294B" w:rsidP="00CD3671">
            <w:pPr>
              <w:rPr>
                <w:rFonts w:ascii="Arial" w:hAnsi="Arial" w:cs="Arial"/>
              </w:rPr>
            </w:pPr>
          </w:p>
          <w:p w14:paraId="61B6B0C0" w14:textId="77777777" w:rsidR="0085294B" w:rsidRPr="0085294B" w:rsidRDefault="0085294B" w:rsidP="00CD3671">
            <w:pPr>
              <w:rPr>
                <w:rFonts w:ascii="Arial" w:hAnsi="Arial" w:cs="Arial"/>
              </w:rPr>
            </w:pPr>
          </w:p>
          <w:p w14:paraId="38A7B31B" w14:textId="7AC7604B" w:rsidR="0085294B" w:rsidRPr="0085294B" w:rsidRDefault="0085294B" w:rsidP="00CD3671">
            <w:pPr>
              <w:jc w:val="center"/>
              <w:rPr>
                <w:rFonts w:ascii="Arial" w:hAnsi="Arial" w:cs="Arial"/>
              </w:rPr>
            </w:pPr>
            <w:r w:rsidRPr="0085294B">
              <w:rPr>
                <w:rFonts w:ascii="Arial" w:hAnsi="Arial" w:cs="Arial"/>
              </w:rPr>
              <w:t>0.</w:t>
            </w:r>
            <w:r w:rsidRPr="0085294B">
              <w:rPr>
                <w:rFonts w:ascii="Arial" w:hAnsi="Arial" w:cs="Arial"/>
                <w:b/>
              </w:rPr>
              <w:t xml:space="preserve"> </w:t>
            </w:r>
            <w:r w:rsidR="003D2B0B">
              <w:rPr>
                <w:rFonts w:ascii="Arial" w:hAnsi="Arial" w:cs="Arial"/>
              </w:rPr>
              <w:t>810</w:t>
            </w:r>
          </w:p>
          <w:p w14:paraId="148EE83B" w14:textId="77777777" w:rsidR="0085294B" w:rsidRPr="0085294B" w:rsidRDefault="0085294B" w:rsidP="00CD3671">
            <w:pPr>
              <w:rPr>
                <w:rFonts w:ascii="Arial" w:hAnsi="Arial" w:cs="Arial"/>
              </w:rPr>
            </w:pPr>
          </w:p>
        </w:tc>
        <w:tc>
          <w:tcPr>
            <w:tcW w:w="1283" w:type="dxa"/>
            <w:tcBorders>
              <w:top w:val="single" w:sz="4" w:space="0" w:color="auto"/>
            </w:tcBorders>
          </w:tcPr>
          <w:p w14:paraId="496FD59B" w14:textId="77777777" w:rsidR="0085294B" w:rsidRPr="0085294B" w:rsidRDefault="0085294B" w:rsidP="00CD3671">
            <w:pPr>
              <w:rPr>
                <w:rFonts w:ascii="Arial" w:hAnsi="Arial" w:cs="Arial"/>
              </w:rPr>
            </w:pPr>
          </w:p>
          <w:p w14:paraId="626281A9" w14:textId="77777777" w:rsidR="0085294B" w:rsidRPr="0085294B" w:rsidRDefault="0085294B" w:rsidP="00CD3671">
            <w:pPr>
              <w:rPr>
                <w:rFonts w:ascii="Arial" w:hAnsi="Arial" w:cs="Arial"/>
              </w:rPr>
            </w:pPr>
          </w:p>
          <w:p w14:paraId="78150EE0" w14:textId="77777777" w:rsidR="0085294B" w:rsidRPr="0085294B" w:rsidRDefault="0085294B" w:rsidP="00CD3671">
            <w:pPr>
              <w:jc w:val="center"/>
              <w:rPr>
                <w:rFonts w:ascii="Arial" w:hAnsi="Arial" w:cs="Arial"/>
              </w:rPr>
            </w:pPr>
          </w:p>
          <w:p w14:paraId="5AE8A973" w14:textId="77777777" w:rsidR="0085294B" w:rsidRPr="0085294B" w:rsidRDefault="0085294B" w:rsidP="00CD3671">
            <w:pPr>
              <w:jc w:val="center"/>
              <w:rPr>
                <w:rFonts w:ascii="Arial" w:hAnsi="Arial" w:cs="Arial"/>
              </w:rPr>
            </w:pPr>
            <w:r w:rsidRPr="0085294B">
              <w:rPr>
                <w:rFonts w:ascii="Arial" w:hAnsi="Arial" w:cs="Arial"/>
              </w:rPr>
              <w:t>High</w:t>
            </w:r>
          </w:p>
          <w:p w14:paraId="2AB98735" w14:textId="77777777" w:rsidR="0085294B" w:rsidRPr="0085294B" w:rsidRDefault="0085294B" w:rsidP="00CD3671">
            <w:pPr>
              <w:jc w:val="center"/>
              <w:rPr>
                <w:rFonts w:ascii="Arial" w:hAnsi="Arial" w:cs="Arial"/>
              </w:rPr>
            </w:pPr>
            <w:r w:rsidRPr="0085294B">
              <w:rPr>
                <w:rFonts w:ascii="Arial" w:hAnsi="Arial" w:cs="Arial"/>
              </w:rPr>
              <w:t>Correlation</w:t>
            </w:r>
          </w:p>
          <w:p w14:paraId="2A84BB58" w14:textId="77777777" w:rsidR="0085294B" w:rsidRPr="0085294B" w:rsidRDefault="0085294B" w:rsidP="00CD3671">
            <w:pPr>
              <w:rPr>
                <w:rFonts w:ascii="Arial" w:hAnsi="Arial" w:cs="Arial"/>
              </w:rPr>
            </w:pPr>
          </w:p>
        </w:tc>
        <w:tc>
          <w:tcPr>
            <w:tcW w:w="3037" w:type="dxa"/>
            <w:tcBorders>
              <w:top w:val="single" w:sz="4" w:space="0" w:color="auto"/>
            </w:tcBorders>
          </w:tcPr>
          <w:p w14:paraId="4113F68F" w14:textId="77777777" w:rsidR="0085294B" w:rsidRPr="0085294B" w:rsidRDefault="0085294B" w:rsidP="00CD3671">
            <w:pPr>
              <w:jc w:val="center"/>
              <w:rPr>
                <w:rFonts w:ascii="Arial" w:hAnsi="Arial" w:cs="Arial"/>
              </w:rPr>
            </w:pPr>
          </w:p>
          <w:p w14:paraId="35E6B2C0" w14:textId="77777777" w:rsidR="0085294B" w:rsidRPr="0085294B" w:rsidRDefault="0085294B" w:rsidP="00CD3671">
            <w:pPr>
              <w:rPr>
                <w:rFonts w:ascii="Arial" w:hAnsi="Arial" w:cs="Arial"/>
              </w:rPr>
            </w:pPr>
          </w:p>
          <w:p w14:paraId="6E6451AE" w14:textId="77777777" w:rsidR="0085294B" w:rsidRPr="0085294B" w:rsidRDefault="0085294B" w:rsidP="00CD3671">
            <w:pPr>
              <w:jc w:val="center"/>
              <w:rPr>
                <w:rFonts w:ascii="Arial" w:hAnsi="Arial" w:cs="Arial"/>
              </w:rPr>
            </w:pPr>
          </w:p>
          <w:p w14:paraId="199E6990" w14:textId="77777777" w:rsidR="0085294B" w:rsidRPr="0085294B" w:rsidRDefault="0085294B" w:rsidP="00CD3671">
            <w:pPr>
              <w:jc w:val="center"/>
              <w:rPr>
                <w:rFonts w:ascii="Arial" w:hAnsi="Arial" w:cs="Arial"/>
              </w:rPr>
            </w:pPr>
            <w:r w:rsidRPr="0085294B">
              <w:rPr>
                <w:rFonts w:ascii="Arial" w:hAnsi="Arial" w:cs="Arial"/>
              </w:rPr>
              <w:t>0.000</w:t>
            </w:r>
          </w:p>
          <w:p w14:paraId="6D447BC5" w14:textId="77777777" w:rsidR="0085294B" w:rsidRPr="0085294B" w:rsidRDefault="0085294B" w:rsidP="00CD3671">
            <w:pPr>
              <w:rPr>
                <w:rFonts w:ascii="Arial" w:hAnsi="Arial" w:cs="Arial"/>
              </w:rPr>
            </w:pPr>
          </w:p>
        </w:tc>
        <w:tc>
          <w:tcPr>
            <w:tcW w:w="1368" w:type="dxa"/>
            <w:tcBorders>
              <w:top w:val="single" w:sz="4" w:space="0" w:color="auto"/>
            </w:tcBorders>
          </w:tcPr>
          <w:p w14:paraId="774D3930" w14:textId="77777777" w:rsidR="0085294B" w:rsidRPr="0085294B" w:rsidRDefault="0085294B" w:rsidP="00CD3671">
            <w:pPr>
              <w:rPr>
                <w:rFonts w:ascii="Arial" w:hAnsi="Arial" w:cs="Arial"/>
              </w:rPr>
            </w:pPr>
          </w:p>
          <w:p w14:paraId="6897D3C1" w14:textId="77777777" w:rsidR="0085294B" w:rsidRPr="0085294B" w:rsidRDefault="0085294B" w:rsidP="00CD3671">
            <w:pPr>
              <w:rPr>
                <w:rFonts w:ascii="Arial" w:hAnsi="Arial" w:cs="Arial"/>
              </w:rPr>
            </w:pPr>
          </w:p>
          <w:p w14:paraId="23A393EB" w14:textId="77777777" w:rsidR="0085294B" w:rsidRPr="0085294B" w:rsidRDefault="0085294B" w:rsidP="00CD3671">
            <w:pPr>
              <w:rPr>
                <w:rFonts w:ascii="Arial" w:hAnsi="Arial" w:cs="Arial"/>
              </w:rPr>
            </w:pPr>
          </w:p>
          <w:p w14:paraId="556E5B10" w14:textId="77777777" w:rsidR="0085294B" w:rsidRPr="0085294B" w:rsidRDefault="0085294B" w:rsidP="00CD3671">
            <w:pPr>
              <w:rPr>
                <w:rFonts w:ascii="Arial" w:hAnsi="Arial" w:cs="Arial"/>
              </w:rPr>
            </w:pPr>
            <w:r w:rsidRPr="0085294B">
              <w:rPr>
                <w:rFonts w:ascii="Arial" w:hAnsi="Arial" w:cs="Arial"/>
              </w:rPr>
              <w:t>Rejected</w:t>
            </w:r>
          </w:p>
        </w:tc>
      </w:tr>
    </w:tbl>
    <w:p w14:paraId="1BDBE2B2" w14:textId="77777777" w:rsidR="00717F2E" w:rsidRDefault="00717F2E">
      <w:pPr>
        <w:jc w:val="both"/>
        <w:rPr>
          <w:rFonts w:ascii="Arial" w:hAnsi="Arial" w:cs="Arial"/>
        </w:rPr>
      </w:pPr>
    </w:p>
    <w:p w14:paraId="201B4977" w14:textId="77777777" w:rsidR="00B45A26" w:rsidRPr="00B45A26" w:rsidRDefault="00B45A26" w:rsidP="00B45A26">
      <w:pPr>
        <w:jc w:val="both"/>
        <w:rPr>
          <w:rFonts w:ascii="Arial" w:hAnsi="Arial" w:cs="Arial"/>
        </w:rPr>
      </w:pPr>
      <w:r w:rsidRPr="00B45A26">
        <w:rPr>
          <w:rFonts w:ascii="Arial" w:hAnsi="Arial" w:cs="Arial"/>
        </w:rPr>
        <w:t>Presented in Table 3 is the correlation analysis between administrative decision-making and crisis management among public elementary school teachers. The relationship between administrative decision-making and crisis management has a correlation coefficient (</w:t>
      </w:r>
      <w:proofErr w:type="spellStart"/>
      <w:r w:rsidRPr="00B45A26">
        <w:rPr>
          <w:rFonts w:ascii="Arial" w:hAnsi="Arial" w:cs="Arial"/>
        </w:rPr>
        <w:t>r-value</w:t>
      </w:r>
      <w:proofErr w:type="spellEnd"/>
      <w:r w:rsidRPr="00B45A26">
        <w:rPr>
          <w:rFonts w:ascii="Arial" w:hAnsi="Arial" w:cs="Arial"/>
        </w:rPr>
        <w:t xml:space="preserve">) of 0.810, indicating a high degree of correlation, and a p-value of 0.000, which is below the 0.05 significance level. This signifies a strong and statistically significant positive relationship between administrative decision-making and crisis management. The </w:t>
      </w:r>
      <w:proofErr w:type="spellStart"/>
      <w:r w:rsidRPr="00B45A26">
        <w:rPr>
          <w:rFonts w:ascii="Arial" w:hAnsi="Arial" w:cs="Arial"/>
        </w:rPr>
        <w:t>r-value</w:t>
      </w:r>
      <w:proofErr w:type="spellEnd"/>
      <w:r w:rsidRPr="00B45A26">
        <w:rPr>
          <w:rFonts w:ascii="Arial" w:hAnsi="Arial" w:cs="Arial"/>
        </w:rPr>
        <w:t xml:space="preserve"> of 0.810 suggests that effective administrative decision-making is closely associated with proficient crisis management in the schools studied.</w:t>
      </w:r>
    </w:p>
    <w:p w14:paraId="51DE290E" w14:textId="77777777" w:rsidR="00B45A26" w:rsidRPr="00B45A26" w:rsidRDefault="00B45A26" w:rsidP="00B45A26">
      <w:pPr>
        <w:jc w:val="both"/>
        <w:rPr>
          <w:rFonts w:ascii="Arial" w:hAnsi="Arial" w:cs="Arial"/>
        </w:rPr>
      </w:pPr>
    </w:p>
    <w:p w14:paraId="52D9DB39" w14:textId="77777777" w:rsidR="00B45A26" w:rsidRPr="00B45A26" w:rsidRDefault="00B45A26" w:rsidP="00B45A26">
      <w:pPr>
        <w:jc w:val="both"/>
        <w:rPr>
          <w:rFonts w:ascii="Arial" w:hAnsi="Arial" w:cs="Arial"/>
        </w:rPr>
      </w:pPr>
      <w:r w:rsidRPr="00B45A26">
        <w:rPr>
          <w:rFonts w:ascii="Arial" w:hAnsi="Arial" w:cs="Arial"/>
        </w:rPr>
        <w:t>Since the p-value is less than 0.05, the null hypothesis (Ho) is rejected, confirming that there is a significant relationship between administrative decision-making and crisis management. This indicates that when school administrators make sound decisions in areas such as division of work, initiative, and order, it positively influences the school’s ability to manage crises effectively. These findings underscore the critical role of administrative leadership in enhancing the preparedness and responsiveness of schools during emergency situations.</w:t>
      </w:r>
    </w:p>
    <w:p w14:paraId="68786998" w14:textId="77777777" w:rsidR="00274703" w:rsidRPr="00274703" w:rsidRDefault="00274703" w:rsidP="00274703">
      <w:pPr>
        <w:jc w:val="both"/>
        <w:rPr>
          <w:rFonts w:ascii="Arial" w:hAnsi="Arial" w:cs="Arial"/>
        </w:rPr>
      </w:pPr>
    </w:p>
    <w:p w14:paraId="48F3CE0B" w14:textId="56C68B5A" w:rsidR="00B45A26" w:rsidRDefault="00C302F4" w:rsidP="00274703">
      <w:pPr>
        <w:jc w:val="both"/>
        <w:rPr>
          <w:rFonts w:ascii="Arial" w:hAnsi="Arial" w:cs="Arial"/>
        </w:rPr>
      </w:pPr>
      <w:r w:rsidRPr="00C302F4">
        <w:rPr>
          <w:rFonts w:ascii="Arial" w:hAnsi="Arial" w:cs="Arial"/>
        </w:rPr>
        <w:t xml:space="preserve">This finding aligns with the research of </w:t>
      </w:r>
      <w:r w:rsidR="007C6038" w:rsidRPr="007C6038">
        <w:rPr>
          <w:rFonts w:ascii="Arial" w:hAnsi="Arial" w:cs="Arial"/>
        </w:rPr>
        <w:t xml:space="preserve">Freeman </w:t>
      </w:r>
      <w:r w:rsidR="007C6038">
        <w:rPr>
          <w:rFonts w:ascii="Arial" w:hAnsi="Arial" w:cs="Arial"/>
        </w:rPr>
        <w:t xml:space="preserve">et al. </w:t>
      </w:r>
      <w:r w:rsidRPr="00C302F4">
        <w:rPr>
          <w:rFonts w:ascii="Arial" w:hAnsi="Arial" w:cs="Arial"/>
        </w:rPr>
        <w:t xml:space="preserve">(2021), who emphasized that effective administrative decision-making significantly enhances an organization’s ability to respond to crises. Their study found that schools with strong decision-making frameworks were more agile and better equipped to manage emergency situations through clear delegation, structured protocols, and timely interventions. Similarly, the work of </w:t>
      </w:r>
      <w:r w:rsidR="007C6038" w:rsidRPr="007C6038">
        <w:rPr>
          <w:rFonts w:ascii="Arial" w:hAnsi="Arial" w:cs="Arial"/>
        </w:rPr>
        <w:t>Grissom</w:t>
      </w:r>
      <w:r w:rsidR="007C6038">
        <w:rPr>
          <w:rFonts w:ascii="Arial" w:hAnsi="Arial" w:cs="Arial"/>
        </w:rPr>
        <w:t xml:space="preserve"> and </w:t>
      </w:r>
      <w:r w:rsidR="007C6038" w:rsidRPr="007C6038">
        <w:rPr>
          <w:rFonts w:ascii="Arial" w:hAnsi="Arial" w:cs="Arial"/>
        </w:rPr>
        <w:t xml:space="preserve">Condon </w:t>
      </w:r>
      <w:r w:rsidR="007C6038">
        <w:rPr>
          <w:rFonts w:ascii="Arial" w:hAnsi="Arial" w:cs="Arial"/>
        </w:rPr>
        <w:t>(2021</w:t>
      </w:r>
      <w:r w:rsidRPr="00C302F4">
        <w:rPr>
          <w:rFonts w:ascii="Arial" w:hAnsi="Arial" w:cs="Arial"/>
        </w:rPr>
        <w:t xml:space="preserve">) highlighted that when school leaders demonstrate sound judgment and strategic planning, it leads to more coordinated and efficient crisis responses, ultimately reducing the negative impact on school operations. Additionally, the study by </w:t>
      </w:r>
      <w:proofErr w:type="spellStart"/>
      <w:r w:rsidR="00D80DDE" w:rsidRPr="00D80DDE">
        <w:rPr>
          <w:rFonts w:ascii="Arial" w:hAnsi="Arial" w:cs="Arial"/>
        </w:rPr>
        <w:t>Mizrak</w:t>
      </w:r>
      <w:proofErr w:type="spellEnd"/>
      <w:r w:rsidR="00D80DDE" w:rsidRPr="00D80DDE">
        <w:rPr>
          <w:rFonts w:ascii="Arial" w:hAnsi="Arial" w:cs="Arial"/>
        </w:rPr>
        <w:t xml:space="preserve"> </w:t>
      </w:r>
      <w:r w:rsidR="00D80DDE">
        <w:rPr>
          <w:rFonts w:ascii="Arial" w:hAnsi="Arial" w:cs="Arial"/>
        </w:rPr>
        <w:t>(2024</w:t>
      </w:r>
      <w:r w:rsidRPr="00C302F4">
        <w:rPr>
          <w:rFonts w:ascii="Arial" w:hAnsi="Arial" w:cs="Arial"/>
        </w:rPr>
        <w:t>) confirmed that a significant relationship exists between leadership decision-making and institutional crisis management, stressing that proactive and organized decision-making processes contribute to heightened preparedness, faster recovery, and improved stakeholder confidence during critical events.</w:t>
      </w:r>
    </w:p>
    <w:p w14:paraId="0BC2EB0D" w14:textId="77777777" w:rsidR="008204D0" w:rsidRDefault="008204D0" w:rsidP="008204D0">
      <w:pPr>
        <w:jc w:val="both"/>
        <w:rPr>
          <w:rFonts w:ascii="Arial" w:hAnsi="Arial" w:cs="Arial"/>
        </w:rPr>
      </w:pPr>
    </w:p>
    <w:p w14:paraId="28FB30C1" w14:textId="5F0DE665" w:rsidR="00717F2E" w:rsidRDefault="00665D1C" w:rsidP="0085294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5294B" w:rsidRPr="0085294B">
        <w:rPr>
          <w:rFonts w:ascii="Arial" w:hAnsi="Arial" w:cs="Arial"/>
          <w:b/>
          <w:bCs/>
          <w:iCs/>
        </w:rPr>
        <w:t xml:space="preserve">The Domains of </w:t>
      </w:r>
      <w:r w:rsidR="003D2B0B">
        <w:rPr>
          <w:rFonts w:ascii="Arial" w:hAnsi="Arial" w:cs="Arial"/>
          <w:b/>
          <w:bCs/>
          <w:iCs/>
        </w:rPr>
        <w:t>Administrative Decision Making</w:t>
      </w:r>
      <w:r w:rsidR="0085294B">
        <w:rPr>
          <w:rFonts w:ascii="Arial" w:hAnsi="Arial" w:cs="Arial"/>
          <w:b/>
          <w:bCs/>
          <w:iCs/>
        </w:rPr>
        <w:t xml:space="preserve"> that</w:t>
      </w:r>
      <w:r w:rsidR="0085294B" w:rsidRPr="0085294B">
        <w:rPr>
          <w:rFonts w:ascii="Arial" w:hAnsi="Arial" w:cs="Arial"/>
          <w:b/>
          <w:bCs/>
          <w:iCs/>
        </w:rPr>
        <w:t xml:space="preserve"> </w:t>
      </w:r>
      <w:r w:rsidR="0085294B">
        <w:rPr>
          <w:rFonts w:ascii="Arial" w:hAnsi="Arial" w:cs="Arial"/>
          <w:b/>
          <w:bCs/>
          <w:iCs/>
        </w:rPr>
        <w:t>S</w:t>
      </w:r>
      <w:r w:rsidR="0085294B" w:rsidRPr="0085294B">
        <w:rPr>
          <w:rFonts w:ascii="Arial" w:hAnsi="Arial" w:cs="Arial"/>
          <w:b/>
          <w:bCs/>
          <w:iCs/>
        </w:rPr>
        <w:t xml:space="preserve">ignificantly </w:t>
      </w:r>
      <w:r w:rsidR="0085294B">
        <w:rPr>
          <w:rFonts w:ascii="Arial" w:hAnsi="Arial" w:cs="Arial"/>
          <w:b/>
          <w:bCs/>
          <w:iCs/>
        </w:rPr>
        <w:t>I</w:t>
      </w:r>
      <w:r w:rsidR="0085294B" w:rsidRPr="0085294B">
        <w:rPr>
          <w:rFonts w:ascii="Arial" w:hAnsi="Arial" w:cs="Arial"/>
          <w:b/>
          <w:bCs/>
          <w:iCs/>
        </w:rPr>
        <w:t xml:space="preserve">nfluence the </w:t>
      </w:r>
      <w:r w:rsidR="003D2B0B">
        <w:rPr>
          <w:rFonts w:ascii="Arial" w:hAnsi="Arial" w:cs="Arial"/>
          <w:b/>
          <w:bCs/>
          <w:iCs/>
        </w:rPr>
        <w:t xml:space="preserve">Crisis </w:t>
      </w:r>
      <w:r w:rsidR="0085294B">
        <w:rPr>
          <w:rFonts w:ascii="Arial" w:hAnsi="Arial" w:cs="Arial"/>
          <w:b/>
          <w:bCs/>
          <w:iCs/>
        </w:rPr>
        <w:t>M</w:t>
      </w:r>
      <w:r w:rsidR="0085294B" w:rsidRPr="0085294B">
        <w:rPr>
          <w:rFonts w:ascii="Arial" w:hAnsi="Arial" w:cs="Arial"/>
          <w:b/>
          <w:bCs/>
          <w:iCs/>
        </w:rPr>
        <w:t>anagement</w:t>
      </w:r>
    </w:p>
    <w:p w14:paraId="5314F880" w14:textId="77777777" w:rsidR="00B364F1" w:rsidRDefault="00B364F1" w:rsidP="00665D1C">
      <w:pPr>
        <w:rPr>
          <w:rFonts w:ascii="Arial" w:hAnsi="Arial" w:cs="Arial"/>
          <w:b/>
          <w:bCs/>
          <w:iCs/>
        </w:rPr>
      </w:pPr>
    </w:p>
    <w:p w14:paraId="5F4D2CD3" w14:textId="2A15A6AD" w:rsidR="00B364F1" w:rsidRDefault="00B364F1" w:rsidP="00B364F1">
      <w:pPr>
        <w:jc w:val="both"/>
        <w:rPr>
          <w:rFonts w:ascii="Arial" w:eastAsia="Arial" w:hAnsi="Arial"/>
        </w:rPr>
      </w:pPr>
      <w:r w:rsidRPr="00B364F1">
        <w:rPr>
          <w:rFonts w:ascii="Arial" w:eastAsia="Arial" w:hAnsi="Arial"/>
          <w:b/>
        </w:rPr>
        <w:t xml:space="preserve">Table 4. </w:t>
      </w:r>
      <w:r w:rsidR="003D2B0B" w:rsidRPr="003D2B0B">
        <w:rPr>
          <w:rFonts w:ascii="Arial" w:eastAsia="Arial" w:hAnsi="Arial"/>
          <w:i/>
          <w:iCs/>
        </w:rPr>
        <w:t>The Domains of Administrative Decision Making that Significantly Influence the Crisis Management</w:t>
      </w:r>
    </w:p>
    <w:p w14:paraId="05C8BBC0" w14:textId="77777777" w:rsidR="0085294B" w:rsidRPr="00B364F1" w:rsidRDefault="0085294B"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85294B">
        <w:trPr>
          <w:trHeight w:val="336"/>
        </w:trPr>
        <w:tc>
          <w:tcPr>
            <w:tcW w:w="1783" w:type="dxa"/>
            <w:tcBorders>
              <w:top w:val="single" w:sz="4" w:space="0" w:color="000000"/>
              <w:bottom w:val="single" w:sz="4" w:space="0" w:color="000000"/>
            </w:tcBorders>
          </w:tcPr>
          <w:p w14:paraId="2EBD781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Domains</w:t>
            </w:r>
          </w:p>
        </w:tc>
        <w:tc>
          <w:tcPr>
            <w:tcW w:w="944" w:type="dxa"/>
            <w:tcBorders>
              <w:top w:val="single" w:sz="4" w:space="0" w:color="000000"/>
              <w:bottom w:val="single" w:sz="4" w:space="0" w:color="000000"/>
            </w:tcBorders>
          </w:tcPr>
          <w:p w14:paraId="35B4D13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p-value</w:t>
            </w:r>
          </w:p>
        </w:tc>
        <w:tc>
          <w:tcPr>
            <w:tcW w:w="1443" w:type="dxa"/>
            <w:tcBorders>
              <w:top w:val="single" w:sz="4" w:space="0" w:color="000000"/>
              <w:bottom w:val="single" w:sz="4" w:space="0" w:color="000000"/>
            </w:tcBorders>
          </w:tcPr>
          <w:p w14:paraId="2C53CFF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85294B">
        <w:trPr>
          <w:trHeight w:val="120"/>
        </w:trPr>
        <w:tc>
          <w:tcPr>
            <w:tcW w:w="1783" w:type="dxa"/>
            <w:tcBorders>
              <w:top w:val="single" w:sz="4" w:space="0" w:color="000000"/>
            </w:tcBorders>
          </w:tcPr>
          <w:p w14:paraId="00B484F8"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lastRenderedPageBreak/>
              <w:t>Constant</w:t>
            </w:r>
          </w:p>
        </w:tc>
        <w:tc>
          <w:tcPr>
            <w:tcW w:w="944" w:type="dxa"/>
            <w:tcBorders>
              <w:top w:val="single" w:sz="4" w:space="0" w:color="000000"/>
            </w:tcBorders>
          </w:tcPr>
          <w:p w14:paraId="285DD551" w14:textId="204C4DA4" w:rsidR="00B364F1" w:rsidRPr="00B364F1" w:rsidRDefault="003D2B0B" w:rsidP="003D2B0B">
            <w:pPr>
              <w:widowControl w:val="0"/>
              <w:spacing w:after="240"/>
              <w:jc w:val="center"/>
              <w:rPr>
                <w:rFonts w:ascii="Arial" w:eastAsia="Arial" w:hAnsi="Arial"/>
              </w:rPr>
            </w:pPr>
            <w:r>
              <w:rPr>
                <w:rFonts w:ascii="Arial" w:eastAsia="Arial" w:hAnsi="Arial"/>
              </w:rPr>
              <w:t>2</w:t>
            </w:r>
            <w:r w:rsidR="00B364F1" w:rsidRPr="00B364F1">
              <w:rPr>
                <w:rFonts w:ascii="Arial" w:eastAsia="Arial" w:hAnsi="Arial"/>
              </w:rPr>
              <w:t>.</w:t>
            </w:r>
            <w:r w:rsidR="0085294B">
              <w:rPr>
                <w:rFonts w:ascii="Arial" w:eastAsia="Arial" w:hAnsi="Arial"/>
              </w:rPr>
              <w:t>82</w:t>
            </w:r>
          </w:p>
        </w:tc>
        <w:tc>
          <w:tcPr>
            <w:tcW w:w="994" w:type="dxa"/>
            <w:tcBorders>
              <w:top w:val="single" w:sz="4" w:space="0" w:color="000000"/>
            </w:tcBorders>
          </w:tcPr>
          <w:p w14:paraId="32CD593F" w14:textId="2C1099B7" w:rsidR="00B364F1" w:rsidRPr="00B364F1" w:rsidRDefault="003D2B0B" w:rsidP="003D2B0B">
            <w:pPr>
              <w:widowControl w:val="0"/>
              <w:spacing w:after="240"/>
              <w:jc w:val="center"/>
              <w:rPr>
                <w:rFonts w:ascii="Arial" w:eastAsia="Arial" w:hAnsi="Arial"/>
              </w:rPr>
            </w:pPr>
            <w:r>
              <w:rPr>
                <w:rFonts w:ascii="Arial" w:eastAsia="Arial" w:hAnsi="Arial"/>
              </w:rPr>
              <w:t>0.6</w:t>
            </w:r>
            <w:r w:rsidR="00B364F1" w:rsidRPr="00B364F1">
              <w:rPr>
                <w:rFonts w:ascii="Arial" w:eastAsia="Arial" w:hAnsi="Arial"/>
              </w:rPr>
              <w:t>0</w:t>
            </w:r>
          </w:p>
        </w:tc>
        <w:tc>
          <w:tcPr>
            <w:tcW w:w="1044" w:type="dxa"/>
            <w:tcBorders>
              <w:top w:val="single" w:sz="4" w:space="0" w:color="000000"/>
            </w:tcBorders>
          </w:tcPr>
          <w:p w14:paraId="0AE59C8B" w14:textId="77777777" w:rsidR="00B364F1" w:rsidRPr="00B364F1" w:rsidRDefault="00B364F1" w:rsidP="003D2B0B">
            <w:pPr>
              <w:widowControl w:val="0"/>
              <w:spacing w:after="240"/>
              <w:jc w:val="center"/>
              <w:rPr>
                <w:rFonts w:ascii="Arial" w:eastAsia="Arial" w:hAnsi="Arial"/>
              </w:rPr>
            </w:pPr>
          </w:p>
        </w:tc>
        <w:tc>
          <w:tcPr>
            <w:tcW w:w="1014" w:type="dxa"/>
            <w:tcBorders>
              <w:top w:val="single" w:sz="4" w:space="0" w:color="000000"/>
            </w:tcBorders>
          </w:tcPr>
          <w:p w14:paraId="25B349BE" w14:textId="2D84511B" w:rsidR="00B364F1" w:rsidRPr="00B364F1" w:rsidRDefault="003D2B0B" w:rsidP="003D2B0B">
            <w:pPr>
              <w:widowControl w:val="0"/>
              <w:spacing w:after="240"/>
              <w:jc w:val="center"/>
              <w:rPr>
                <w:rFonts w:ascii="Arial" w:eastAsia="Arial" w:hAnsi="Arial"/>
              </w:rPr>
            </w:pPr>
            <w:r>
              <w:rPr>
                <w:rFonts w:ascii="Arial" w:eastAsia="Arial" w:hAnsi="Arial"/>
              </w:rPr>
              <w:t>4</w:t>
            </w:r>
            <w:r w:rsidR="00B364F1" w:rsidRPr="00B364F1">
              <w:rPr>
                <w:rFonts w:ascii="Arial" w:eastAsia="Arial" w:hAnsi="Arial"/>
              </w:rPr>
              <w:t>.36</w:t>
            </w:r>
          </w:p>
        </w:tc>
        <w:tc>
          <w:tcPr>
            <w:tcW w:w="1069" w:type="dxa"/>
            <w:tcBorders>
              <w:top w:val="single" w:sz="4" w:space="0" w:color="000000"/>
            </w:tcBorders>
          </w:tcPr>
          <w:p w14:paraId="6A20B38F"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0395599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3D2B0B" w:rsidRPr="00B364F1" w14:paraId="7A5E351A" w14:textId="77777777" w:rsidTr="0085294B">
        <w:trPr>
          <w:trHeight w:val="196"/>
        </w:trPr>
        <w:tc>
          <w:tcPr>
            <w:tcW w:w="1783" w:type="dxa"/>
          </w:tcPr>
          <w:p w14:paraId="5AADE0BD" w14:textId="01EC313D" w:rsidR="003D2B0B" w:rsidRPr="0085294B" w:rsidRDefault="003D2B0B" w:rsidP="003D2B0B">
            <w:pPr>
              <w:widowControl w:val="0"/>
              <w:spacing w:after="240"/>
              <w:jc w:val="center"/>
              <w:rPr>
                <w:rFonts w:ascii="Arial" w:eastAsia="Arial" w:hAnsi="Arial"/>
              </w:rPr>
            </w:pPr>
            <w:r>
              <w:rPr>
                <w:rFonts w:ascii="Arial" w:hAnsi="Arial" w:cs="Arial"/>
                <w:bCs/>
              </w:rPr>
              <w:t>division of work</w:t>
            </w:r>
          </w:p>
        </w:tc>
        <w:tc>
          <w:tcPr>
            <w:tcW w:w="944" w:type="dxa"/>
          </w:tcPr>
          <w:p w14:paraId="5B93A5E6" w14:textId="7F5D148A" w:rsidR="003D2B0B" w:rsidRPr="00B364F1" w:rsidRDefault="003D2B0B" w:rsidP="003D2B0B">
            <w:pPr>
              <w:widowControl w:val="0"/>
              <w:spacing w:after="240"/>
              <w:jc w:val="center"/>
              <w:rPr>
                <w:rFonts w:ascii="Arial" w:eastAsia="Arial" w:hAnsi="Arial"/>
              </w:rPr>
            </w:pPr>
            <w:r>
              <w:rPr>
                <w:rFonts w:ascii="Arial" w:eastAsia="Arial" w:hAnsi="Arial"/>
              </w:rPr>
              <w:t>0.70</w:t>
            </w:r>
          </w:p>
        </w:tc>
        <w:tc>
          <w:tcPr>
            <w:tcW w:w="994" w:type="dxa"/>
          </w:tcPr>
          <w:p w14:paraId="4A505054" w14:textId="29E3330F" w:rsidR="003D2B0B" w:rsidRPr="00B364F1" w:rsidRDefault="003D2B0B" w:rsidP="003D2B0B">
            <w:pPr>
              <w:widowControl w:val="0"/>
              <w:spacing w:after="240"/>
              <w:jc w:val="center"/>
              <w:rPr>
                <w:rFonts w:ascii="Arial" w:eastAsia="Arial" w:hAnsi="Arial"/>
              </w:rPr>
            </w:pPr>
            <w:r>
              <w:rPr>
                <w:rFonts w:ascii="Arial" w:eastAsia="Arial" w:hAnsi="Arial"/>
              </w:rPr>
              <w:t>0.5</w:t>
            </w:r>
            <w:r w:rsidRPr="00B364F1">
              <w:rPr>
                <w:rFonts w:ascii="Arial" w:eastAsia="Arial" w:hAnsi="Arial"/>
              </w:rPr>
              <w:t>8</w:t>
            </w:r>
          </w:p>
        </w:tc>
        <w:tc>
          <w:tcPr>
            <w:tcW w:w="1044" w:type="dxa"/>
          </w:tcPr>
          <w:p w14:paraId="06269650" w14:textId="044C6707" w:rsidR="003D2B0B" w:rsidRPr="00B364F1" w:rsidRDefault="003D2B0B" w:rsidP="003D2B0B">
            <w:pPr>
              <w:widowControl w:val="0"/>
              <w:spacing w:after="240"/>
              <w:jc w:val="center"/>
              <w:rPr>
                <w:rFonts w:ascii="Arial" w:eastAsia="Arial" w:hAnsi="Arial"/>
              </w:rPr>
            </w:pPr>
            <w:r>
              <w:rPr>
                <w:rFonts w:ascii="Arial" w:eastAsia="Arial" w:hAnsi="Arial"/>
              </w:rPr>
              <w:t>0.4</w:t>
            </w:r>
            <w:r w:rsidRPr="00B364F1">
              <w:rPr>
                <w:rFonts w:ascii="Arial" w:eastAsia="Arial" w:hAnsi="Arial"/>
              </w:rPr>
              <w:t>8</w:t>
            </w:r>
          </w:p>
        </w:tc>
        <w:tc>
          <w:tcPr>
            <w:tcW w:w="1014" w:type="dxa"/>
          </w:tcPr>
          <w:p w14:paraId="11612ED7" w14:textId="46339B2C" w:rsidR="003D2B0B" w:rsidRPr="00B364F1" w:rsidRDefault="003D2B0B" w:rsidP="003D2B0B">
            <w:pPr>
              <w:widowControl w:val="0"/>
              <w:spacing w:after="240"/>
              <w:jc w:val="center"/>
              <w:rPr>
                <w:rFonts w:ascii="Arial" w:eastAsia="Arial" w:hAnsi="Arial"/>
              </w:rPr>
            </w:pPr>
            <w:r>
              <w:rPr>
                <w:rFonts w:ascii="Arial" w:eastAsia="Arial" w:hAnsi="Arial"/>
              </w:rPr>
              <w:t>4</w:t>
            </w:r>
            <w:r w:rsidRPr="00B364F1">
              <w:rPr>
                <w:rFonts w:ascii="Arial" w:eastAsia="Arial" w:hAnsi="Arial"/>
              </w:rPr>
              <w:t>.24</w:t>
            </w:r>
          </w:p>
        </w:tc>
        <w:tc>
          <w:tcPr>
            <w:tcW w:w="1069" w:type="dxa"/>
          </w:tcPr>
          <w:p w14:paraId="584EB549" w14:textId="77777777" w:rsidR="003D2B0B" w:rsidRPr="00B364F1" w:rsidRDefault="003D2B0B" w:rsidP="003D2B0B">
            <w:pPr>
              <w:widowControl w:val="0"/>
              <w:spacing w:after="240"/>
              <w:jc w:val="center"/>
              <w:rPr>
                <w:rFonts w:ascii="Arial" w:eastAsia="Arial" w:hAnsi="Arial"/>
              </w:rPr>
            </w:pPr>
            <w:r w:rsidRPr="00B364F1">
              <w:rPr>
                <w:rFonts w:ascii="Arial" w:eastAsia="Arial" w:hAnsi="Arial"/>
              </w:rPr>
              <w:t>0.000</w:t>
            </w:r>
          </w:p>
        </w:tc>
        <w:tc>
          <w:tcPr>
            <w:tcW w:w="1443" w:type="dxa"/>
          </w:tcPr>
          <w:p w14:paraId="5E8DA0C9" w14:textId="77777777" w:rsidR="003D2B0B" w:rsidRPr="00B364F1" w:rsidRDefault="003D2B0B" w:rsidP="003D2B0B">
            <w:pPr>
              <w:widowControl w:val="0"/>
              <w:spacing w:after="240"/>
              <w:jc w:val="both"/>
              <w:rPr>
                <w:rFonts w:ascii="Arial" w:eastAsia="Arial" w:hAnsi="Arial"/>
              </w:rPr>
            </w:pPr>
            <w:r w:rsidRPr="00B364F1">
              <w:rPr>
                <w:rFonts w:ascii="Arial" w:eastAsia="Arial" w:hAnsi="Arial"/>
              </w:rPr>
              <w:t>Significant</w:t>
            </w:r>
          </w:p>
        </w:tc>
      </w:tr>
      <w:tr w:rsidR="003D2B0B" w:rsidRPr="00B364F1" w14:paraId="6C9130B8" w14:textId="77777777" w:rsidTr="0085294B">
        <w:trPr>
          <w:trHeight w:val="272"/>
        </w:trPr>
        <w:tc>
          <w:tcPr>
            <w:tcW w:w="1783" w:type="dxa"/>
          </w:tcPr>
          <w:p w14:paraId="0B2830D7" w14:textId="5FC66963" w:rsidR="003D2B0B" w:rsidRPr="0085294B" w:rsidRDefault="00966023" w:rsidP="003D2B0B">
            <w:pPr>
              <w:widowControl w:val="0"/>
              <w:spacing w:after="240"/>
              <w:jc w:val="center"/>
              <w:rPr>
                <w:rFonts w:ascii="Arial" w:eastAsia="Arial" w:hAnsi="Arial"/>
              </w:rPr>
            </w:pPr>
            <w:r>
              <w:rPr>
                <w:rFonts w:ascii="Arial" w:hAnsi="Arial" w:cs="Arial"/>
                <w:bCs/>
              </w:rPr>
              <w:t>I</w:t>
            </w:r>
            <w:r w:rsidR="003D2B0B">
              <w:rPr>
                <w:rFonts w:ascii="Arial" w:hAnsi="Arial" w:cs="Arial"/>
                <w:bCs/>
              </w:rPr>
              <w:t>nitiative</w:t>
            </w:r>
          </w:p>
        </w:tc>
        <w:tc>
          <w:tcPr>
            <w:tcW w:w="944" w:type="dxa"/>
          </w:tcPr>
          <w:p w14:paraId="1FE66E77" w14:textId="0D71CC3C" w:rsidR="003D2B0B" w:rsidRPr="00B364F1" w:rsidRDefault="003D2B0B" w:rsidP="003D2B0B">
            <w:pPr>
              <w:widowControl w:val="0"/>
              <w:spacing w:after="240"/>
              <w:jc w:val="center"/>
              <w:rPr>
                <w:rFonts w:ascii="Arial" w:eastAsia="Arial" w:hAnsi="Arial"/>
              </w:rPr>
            </w:pPr>
            <w:r w:rsidRPr="00B364F1">
              <w:rPr>
                <w:rFonts w:ascii="Arial" w:eastAsia="Arial" w:hAnsi="Arial"/>
              </w:rPr>
              <w:t>0.6</w:t>
            </w:r>
            <w:r>
              <w:rPr>
                <w:rFonts w:ascii="Arial" w:eastAsia="Arial" w:hAnsi="Arial"/>
              </w:rPr>
              <w:t>8</w:t>
            </w:r>
          </w:p>
        </w:tc>
        <w:tc>
          <w:tcPr>
            <w:tcW w:w="994" w:type="dxa"/>
          </w:tcPr>
          <w:p w14:paraId="66289435" w14:textId="106439E1" w:rsidR="003D2B0B" w:rsidRPr="00B364F1" w:rsidRDefault="003D2B0B" w:rsidP="003D2B0B">
            <w:pPr>
              <w:widowControl w:val="0"/>
              <w:spacing w:after="240"/>
              <w:jc w:val="center"/>
              <w:rPr>
                <w:rFonts w:ascii="Arial" w:eastAsia="Arial" w:hAnsi="Arial"/>
              </w:rPr>
            </w:pPr>
            <w:r>
              <w:rPr>
                <w:rFonts w:ascii="Arial" w:eastAsia="Arial" w:hAnsi="Arial"/>
              </w:rPr>
              <w:t>0.5</w:t>
            </w:r>
            <w:r w:rsidRPr="00B364F1">
              <w:rPr>
                <w:rFonts w:ascii="Arial" w:eastAsia="Arial" w:hAnsi="Arial"/>
              </w:rPr>
              <w:t>4</w:t>
            </w:r>
          </w:p>
        </w:tc>
        <w:tc>
          <w:tcPr>
            <w:tcW w:w="1044" w:type="dxa"/>
          </w:tcPr>
          <w:p w14:paraId="3DCAB24F" w14:textId="4601EA09" w:rsidR="003D2B0B" w:rsidRPr="00B364F1" w:rsidRDefault="003D2B0B" w:rsidP="003D2B0B">
            <w:pPr>
              <w:widowControl w:val="0"/>
              <w:spacing w:after="240"/>
              <w:jc w:val="center"/>
              <w:rPr>
                <w:rFonts w:ascii="Arial" w:eastAsia="Arial" w:hAnsi="Arial"/>
              </w:rPr>
            </w:pPr>
            <w:r>
              <w:rPr>
                <w:rFonts w:ascii="Arial" w:eastAsia="Arial" w:hAnsi="Arial"/>
              </w:rPr>
              <w:t>0.4</w:t>
            </w:r>
            <w:r w:rsidRPr="00B364F1">
              <w:rPr>
                <w:rFonts w:ascii="Arial" w:eastAsia="Arial" w:hAnsi="Arial"/>
              </w:rPr>
              <w:t>5</w:t>
            </w:r>
          </w:p>
        </w:tc>
        <w:tc>
          <w:tcPr>
            <w:tcW w:w="1014" w:type="dxa"/>
          </w:tcPr>
          <w:p w14:paraId="2427609C" w14:textId="4FE43858" w:rsidR="003D2B0B" w:rsidRPr="00B364F1" w:rsidRDefault="003D2B0B" w:rsidP="003D2B0B">
            <w:pPr>
              <w:widowControl w:val="0"/>
              <w:spacing w:after="240"/>
              <w:jc w:val="center"/>
              <w:rPr>
                <w:rFonts w:ascii="Arial" w:eastAsia="Arial" w:hAnsi="Arial"/>
              </w:rPr>
            </w:pPr>
            <w:r>
              <w:rPr>
                <w:rFonts w:ascii="Arial" w:eastAsia="Arial" w:hAnsi="Arial"/>
              </w:rPr>
              <w:t>4</w:t>
            </w:r>
            <w:r w:rsidRPr="00B364F1">
              <w:rPr>
                <w:rFonts w:ascii="Arial" w:eastAsia="Arial" w:hAnsi="Arial"/>
              </w:rPr>
              <w:t>.20</w:t>
            </w:r>
          </w:p>
        </w:tc>
        <w:tc>
          <w:tcPr>
            <w:tcW w:w="1069" w:type="dxa"/>
          </w:tcPr>
          <w:p w14:paraId="15B20755" w14:textId="77777777" w:rsidR="003D2B0B" w:rsidRPr="00B364F1" w:rsidRDefault="003D2B0B" w:rsidP="003D2B0B">
            <w:pPr>
              <w:widowControl w:val="0"/>
              <w:spacing w:after="240"/>
              <w:jc w:val="center"/>
              <w:rPr>
                <w:rFonts w:ascii="Arial" w:eastAsia="Arial" w:hAnsi="Arial"/>
              </w:rPr>
            </w:pPr>
            <w:r w:rsidRPr="00B364F1">
              <w:rPr>
                <w:rFonts w:ascii="Arial" w:eastAsia="Arial" w:hAnsi="Arial"/>
              </w:rPr>
              <w:t>0.000</w:t>
            </w:r>
          </w:p>
        </w:tc>
        <w:tc>
          <w:tcPr>
            <w:tcW w:w="1443" w:type="dxa"/>
          </w:tcPr>
          <w:p w14:paraId="69D0065E" w14:textId="77777777" w:rsidR="003D2B0B" w:rsidRPr="00B364F1" w:rsidRDefault="003D2B0B" w:rsidP="003D2B0B">
            <w:pPr>
              <w:widowControl w:val="0"/>
              <w:spacing w:after="240"/>
              <w:jc w:val="both"/>
              <w:rPr>
                <w:rFonts w:ascii="Arial" w:eastAsia="Arial" w:hAnsi="Arial"/>
              </w:rPr>
            </w:pPr>
            <w:r w:rsidRPr="00B364F1">
              <w:rPr>
                <w:rFonts w:ascii="Arial" w:eastAsia="Arial" w:hAnsi="Arial"/>
              </w:rPr>
              <w:t>Significant</w:t>
            </w:r>
          </w:p>
        </w:tc>
      </w:tr>
      <w:tr w:rsidR="003D2B0B" w:rsidRPr="00B364F1" w14:paraId="01498200" w14:textId="77777777" w:rsidTr="0085294B">
        <w:trPr>
          <w:trHeight w:val="543"/>
        </w:trPr>
        <w:tc>
          <w:tcPr>
            <w:tcW w:w="1783" w:type="dxa"/>
          </w:tcPr>
          <w:p w14:paraId="1906E441" w14:textId="18A6904D" w:rsidR="003D2B0B" w:rsidRPr="0085294B" w:rsidRDefault="00966023" w:rsidP="003D2B0B">
            <w:pPr>
              <w:widowControl w:val="0"/>
              <w:spacing w:after="240"/>
              <w:jc w:val="center"/>
              <w:rPr>
                <w:rFonts w:ascii="Arial" w:eastAsia="Arial" w:hAnsi="Arial"/>
              </w:rPr>
            </w:pPr>
            <w:r>
              <w:rPr>
                <w:rFonts w:ascii="Arial" w:hAnsi="Arial" w:cs="Arial"/>
                <w:bCs/>
              </w:rPr>
              <w:t>O</w:t>
            </w:r>
            <w:r w:rsidR="003D2B0B">
              <w:rPr>
                <w:rFonts w:ascii="Arial" w:hAnsi="Arial" w:cs="Arial"/>
                <w:bCs/>
              </w:rPr>
              <w:t>rder</w:t>
            </w:r>
          </w:p>
        </w:tc>
        <w:tc>
          <w:tcPr>
            <w:tcW w:w="944" w:type="dxa"/>
          </w:tcPr>
          <w:p w14:paraId="386F4A2F" w14:textId="49034341" w:rsidR="003D2B0B" w:rsidRPr="00B364F1" w:rsidRDefault="003D2B0B" w:rsidP="003D2B0B">
            <w:pPr>
              <w:widowControl w:val="0"/>
              <w:spacing w:after="240" w:line="480" w:lineRule="auto"/>
              <w:jc w:val="center"/>
              <w:rPr>
                <w:rFonts w:ascii="Arial" w:eastAsia="Arial" w:hAnsi="Arial"/>
              </w:rPr>
            </w:pPr>
            <w:r w:rsidRPr="00B364F1">
              <w:rPr>
                <w:rFonts w:ascii="Arial" w:eastAsia="Arial" w:hAnsi="Arial"/>
              </w:rPr>
              <w:t>0.</w:t>
            </w:r>
            <w:r>
              <w:rPr>
                <w:rFonts w:ascii="Arial" w:eastAsia="Arial" w:hAnsi="Arial"/>
              </w:rPr>
              <w:t>64</w:t>
            </w:r>
          </w:p>
        </w:tc>
        <w:tc>
          <w:tcPr>
            <w:tcW w:w="994" w:type="dxa"/>
          </w:tcPr>
          <w:p w14:paraId="207DCC3C" w14:textId="4BB1DAA1" w:rsidR="003D2B0B" w:rsidRPr="00B364F1" w:rsidRDefault="003D2B0B" w:rsidP="003D2B0B">
            <w:pPr>
              <w:widowControl w:val="0"/>
              <w:spacing w:after="240" w:line="480" w:lineRule="auto"/>
              <w:jc w:val="center"/>
              <w:rPr>
                <w:rFonts w:ascii="Arial" w:eastAsia="Arial" w:hAnsi="Arial"/>
              </w:rPr>
            </w:pPr>
            <w:r>
              <w:rPr>
                <w:rFonts w:ascii="Arial" w:eastAsia="Arial" w:hAnsi="Arial"/>
              </w:rPr>
              <w:t>0.5</w:t>
            </w:r>
            <w:r w:rsidRPr="00B364F1">
              <w:rPr>
                <w:rFonts w:ascii="Arial" w:eastAsia="Arial" w:hAnsi="Arial"/>
              </w:rPr>
              <w:t>0</w:t>
            </w:r>
          </w:p>
        </w:tc>
        <w:tc>
          <w:tcPr>
            <w:tcW w:w="1044" w:type="dxa"/>
          </w:tcPr>
          <w:p w14:paraId="1510E780" w14:textId="1A174090" w:rsidR="003D2B0B" w:rsidRPr="00B364F1" w:rsidRDefault="003D2B0B" w:rsidP="003D2B0B">
            <w:pPr>
              <w:widowControl w:val="0"/>
              <w:spacing w:after="240" w:line="480" w:lineRule="auto"/>
              <w:jc w:val="center"/>
              <w:rPr>
                <w:rFonts w:ascii="Arial" w:eastAsia="Arial" w:hAnsi="Arial"/>
              </w:rPr>
            </w:pPr>
            <w:r>
              <w:rPr>
                <w:rFonts w:ascii="Arial" w:eastAsia="Arial" w:hAnsi="Arial"/>
              </w:rPr>
              <w:t>0.4</w:t>
            </w:r>
            <w:r w:rsidRPr="00B364F1">
              <w:rPr>
                <w:rFonts w:ascii="Arial" w:eastAsia="Arial" w:hAnsi="Arial"/>
              </w:rPr>
              <w:t>0</w:t>
            </w:r>
          </w:p>
        </w:tc>
        <w:tc>
          <w:tcPr>
            <w:tcW w:w="1014" w:type="dxa"/>
          </w:tcPr>
          <w:p w14:paraId="448DDAD6" w14:textId="45DDC057" w:rsidR="003D2B0B" w:rsidRPr="00B364F1" w:rsidRDefault="003D2B0B" w:rsidP="003D2B0B">
            <w:pPr>
              <w:widowControl w:val="0"/>
              <w:spacing w:after="240" w:line="480" w:lineRule="auto"/>
              <w:jc w:val="center"/>
              <w:rPr>
                <w:rFonts w:ascii="Arial" w:eastAsia="Arial" w:hAnsi="Arial"/>
              </w:rPr>
            </w:pPr>
            <w:r>
              <w:rPr>
                <w:rFonts w:ascii="Arial" w:eastAsia="Arial" w:hAnsi="Arial"/>
              </w:rPr>
              <w:t>4</w:t>
            </w:r>
            <w:r w:rsidRPr="00B364F1">
              <w:rPr>
                <w:rFonts w:ascii="Arial" w:eastAsia="Arial" w:hAnsi="Arial"/>
              </w:rPr>
              <w:t>.18</w:t>
            </w:r>
          </w:p>
        </w:tc>
        <w:tc>
          <w:tcPr>
            <w:tcW w:w="1069" w:type="dxa"/>
          </w:tcPr>
          <w:p w14:paraId="11112C92" w14:textId="77777777" w:rsidR="003D2B0B" w:rsidRPr="00B364F1" w:rsidRDefault="003D2B0B" w:rsidP="003D2B0B">
            <w:pPr>
              <w:widowControl w:val="0"/>
              <w:spacing w:after="240" w:line="480" w:lineRule="auto"/>
              <w:jc w:val="center"/>
              <w:rPr>
                <w:rFonts w:ascii="Arial" w:eastAsia="Arial" w:hAnsi="Arial"/>
              </w:rPr>
            </w:pPr>
            <w:r w:rsidRPr="00B364F1">
              <w:rPr>
                <w:rFonts w:ascii="Arial" w:eastAsia="Arial" w:hAnsi="Arial"/>
              </w:rPr>
              <w:t>0.000</w:t>
            </w:r>
          </w:p>
        </w:tc>
        <w:tc>
          <w:tcPr>
            <w:tcW w:w="1443" w:type="dxa"/>
          </w:tcPr>
          <w:p w14:paraId="5AE794EF" w14:textId="77777777" w:rsidR="003D2B0B" w:rsidRPr="00B364F1" w:rsidRDefault="003D2B0B" w:rsidP="003D2B0B">
            <w:pPr>
              <w:widowControl w:val="0"/>
              <w:spacing w:after="240" w:line="480" w:lineRule="auto"/>
              <w:jc w:val="both"/>
              <w:rPr>
                <w:rFonts w:ascii="Arial" w:eastAsia="Arial" w:hAnsi="Arial"/>
              </w:rPr>
            </w:pPr>
            <w:r w:rsidRPr="00B364F1">
              <w:rPr>
                <w:rFonts w:ascii="Arial" w:eastAsia="Arial" w:hAnsi="Arial"/>
              </w:rPr>
              <w:t>Significant</w:t>
            </w:r>
          </w:p>
        </w:tc>
      </w:tr>
      <w:tr w:rsidR="003D2B0B" w:rsidRPr="00B364F1" w14:paraId="3B7EA17B" w14:textId="77777777" w:rsidTr="00187299">
        <w:trPr>
          <w:trHeight w:val="279"/>
        </w:trPr>
        <w:tc>
          <w:tcPr>
            <w:tcW w:w="8291" w:type="dxa"/>
            <w:gridSpan w:val="7"/>
          </w:tcPr>
          <w:p w14:paraId="6B01B4B6" w14:textId="77777777" w:rsidR="003D2B0B" w:rsidRPr="00B364F1" w:rsidRDefault="003D2B0B" w:rsidP="003D2B0B">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3D2B0B" w:rsidRPr="00B364F1" w14:paraId="68C2E207" w14:textId="77777777" w:rsidTr="002F33C5">
        <w:trPr>
          <w:trHeight w:val="279"/>
        </w:trPr>
        <w:tc>
          <w:tcPr>
            <w:tcW w:w="8291" w:type="dxa"/>
            <w:gridSpan w:val="7"/>
          </w:tcPr>
          <w:p w14:paraId="0405ACCD" w14:textId="61956576" w:rsidR="003D2B0B" w:rsidRPr="00B364F1" w:rsidRDefault="002F33C5" w:rsidP="002F33C5">
            <w:pPr>
              <w:widowControl w:val="0"/>
              <w:jc w:val="both"/>
              <w:rPr>
                <w:rFonts w:ascii="Arial" w:eastAsia="Arial" w:hAnsi="Arial"/>
              </w:rPr>
            </w:pPr>
            <w:r w:rsidRPr="002F33C5">
              <w:rPr>
                <w:rFonts w:ascii="Arial" w:eastAsia="Arial" w:hAnsi="Arial"/>
              </w:rPr>
              <w:t xml:space="preserve">Administrative Decision Making </w:t>
            </w:r>
            <w:r>
              <w:rPr>
                <w:rFonts w:ascii="Arial" w:eastAsia="Arial" w:hAnsi="Arial"/>
              </w:rPr>
              <w:t>2</w:t>
            </w:r>
            <w:r w:rsidR="003D2B0B" w:rsidRPr="00B364F1">
              <w:rPr>
                <w:rFonts w:ascii="Arial" w:eastAsia="Arial" w:hAnsi="Arial"/>
              </w:rPr>
              <w:t>.</w:t>
            </w:r>
            <w:r w:rsidR="003D2B0B">
              <w:rPr>
                <w:rFonts w:ascii="Arial" w:eastAsia="Arial" w:hAnsi="Arial"/>
              </w:rPr>
              <w:t>82</w:t>
            </w:r>
            <w:r>
              <w:rPr>
                <w:rFonts w:ascii="Arial" w:eastAsia="Arial" w:hAnsi="Arial"/>
              </w:rPr>
              <w:t xml:space="preserve"> + 0.70</w:t>
            </w:r>
            <w:r w:rsidR="003D2B0B" w:rsidRPr="00B364F1">
              <w:rPr>
                <w:rFonts w:ascii="Arial" w:eastAsia="Arial" w:hAnsi="Arial"/>
              </w:rPr>
              <w:t xml:space="preserve"> (</w:t>
            </w:r>
            <w:r w:rsidRPr="002F33C5">
              <w:rPr>
                <w:rFonts w:ascii="Arial" w:eastAsia="Arial" w:hAnsi="Arial"/>
              </w:rPr>
              <w:t>division of work</w:t>
            </w:r>
            <w:r w:rsidR="003D2B0B" w:rsidRPr="00B364F1">
              <w:rPr>
                <w:rFonts w:ascii="Arial" w:eastAsia="Arial" w:hAnsi="Arial"/>
              </w:rPr>
              <w:t>) + 0.6</w:t>
            </w:r>
            <w:r>
              <w:rPr>
                <w:rFonts w:ascii="Arial" w:eastAsia="Arial" w:hAnsi="Arial"/>
              </w:rPr>
              <w:t>8</w:t>
            </w:r>
            <w:r w:rsidR="003D2B0B" w:rsidRPr="00B364F1">
              <w:rPr>
                <w:rFonts w:ascii="Arial" w:eastAsia="Arial" w:hAnsi="Arial"/>
              </w:rPr>
              <w:t xml:space="preserve"> (</w:t>
            </w:r>
            <w:r>
              <w:rPr>
                <w:rFonts w:ascii="Arial" w:eastAsia="Arial" w:hAnsi="Arial"/>
              </w:rPr>
              <w:t>initiative</w:t>
            </w:r>
            <w:r w:rsidR="003D2B0B" w:rsidRPr="00B364F1">
              <w:rPr>
                <w:rFonts w:ascii="Arial" w:eastAsia="Arial" w:hAnsi="Arial"/>
              </w:rPr>
              <w:t>) + 0.</w:t>
            </w:r>
            <w:r w:rsidR="003D2B0B">
              <w:rPr>
                <w:rFonts w:ascii="Arial" w:eastAsia="Arial" w:hAnsi="Arial"/>
              </w:rPr>
              <w:t>64</w:t>
            </w:r>
            <w:r w:rsidR="003D2B0B" w:rsidRPr="00B364F1">
              <w:rPr>
                <w:rFonts w:ascii="Arial" w:eastAsia="Arial" w:hAnsi="Arial"/>
              </w:rPr>
              <w:t xml:space="preserve"> (</w:t>
            </w:r>
            <w:r>
              <w:rPr>
                <w:rFonts w:ascii="Arial" w:eastAsia="Arial" w:hAnsi="Arial"/>
              </w:rPr>
              <w:t>order</w:t>
            </w:r>
            <w:r w:rsidR="003D2B0B" w:rsidRPr="00B364F1">
              <w:rPr>
                <w:rFonts w:ascii="Arial" w:eastAsia="Arial" w:hAnsi="Arial"/>
              </w:rPr>
              <w:t xml:space="preserve">) </w:t>
            </w:r>
          </w:p>
        </w:tc>
      </w:tr>
      <w:tr w:rsidR="003D2B0B" w:rsidRPr="00B364F1" w14:paraId="41AD644E" w14:textId="77777777" w:rsidTr="00B364F1">
        <w:trPr>
          <w:trHeight w:val="82"/>
        </w:trPr>
        <w:tc>
          <w:tcPr>
            <w:tcW w:w="8291" w:type="dxa"/>
            <w:gridSpan w:val="7"/>
          </w:tcPr>
          <w:p w14:paraId="1766112B" w14:textId="4F790CB3" w:rsidR="003D2B0B" w:rsidRPr="00B364F1" w:rsidRDefault="002F33C5" w:rsidP="003D2B0B">
            <w:pPr>
              <w:widowControl w:val="0"/>
              <w:spacing w:line="276" w:lineRule="auto"/>
              <w:jc w:val="both"/>
              <w:rPr>
                <w:rFonts w:ascii="Arial" w:eastAsia="Arial" w:hAnsi="Arial"/>
              </w:rPr>
            </w:pPr>
            <w:r>
              <w:rPr>
                <w:rFonts w:ascii="Arial" w:eastAsia="Arial" w:hAnsi="Arial"/>
              </w:rPr>
              <w:t>R=0.850; R²=0.722</w:t>
            </w:r>
            <w:r w:rsidR="003D2B0B" w:rsidRPr="00B364F1">
              <w:rPr>
                <w:rFonts w:ascii="Arial" w:eastAsia="Arial" w:hAnsi="Arial"/>
              </w:rPr>
              <w:t>; F=</w:t>
            </w:r>
            <w:r>
              <w:rPr>
                <w:rFonts w:ascii="Arial" w:eastAsia="Arial" w:hAnsi="Arial"/>
              </w:rPr>
              <w:t>9</w:t>
            </w:r>
            <w:r w:rsidR="003D2B0B">
              <w:rPr>
                <w:rFonts w:ascii="Arial" w:eastAsia="Arial" w:hAnsi="Arial"/>
              </w:rPr>
              <w:t>4</w:t>
            </w:r>
            <w:r w:rsidR="003D2B0B" w:rsidRPr="00B364F1">
              <w:rPr>
                <w:rFonts w:ascii="Arial" w:eastAsia="Arial" w:hAnsi="Arial"/>
              </w:rPr>
              <w:t>.</w:t>
            </w:r>
            <w:r>
              <w:rPr>
                <w:rFonts w:ascii="Arial" w:eastAsia="Arial" w:hAnsi="Arial"/>
              </w:rPr>
              <w:t>08</w:t>
            </w:r>
            <w:r w:rsidR="003D2B0B" w:rsidRPr="00B364F1">
              <w:rPr>
                <w:rFonts w:ascii="Arial" w:eastAsia="Arial" w:hAnsi="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1531E8F" w14:textId="7E10BE52" w:rsidR="00B45A26" w:rsidRPr="00B45A26" w:rsidRDefault="00B45A26" w:rsidP="00B45A26">
      <w:pPr>
        <w:pStyle w:val="ConcHead"/>
        <w:jc w:val="both"/>
        <w:rPr>
          <w:rFonts w:ascii="Arial" w:hAnsi="Arial" w:cs="Arial"/>
          <w:b w:val="0"/>
          <w:caps w:val="0"/>
          <w:sz w:val="20"/>
        </w:rPr>
      </w:pPr>
      <w:r w:rsidRPr="00B45A26">
        <w:rPr>
          <w:rFonts w:ascii="Arial" w:hAnsi="Arial" w:cs="Arial"/>
          <w:b w:val="0"/>
          <w:caps w:val="0"/>
          <w:sz w:val="20"/>
        </w:rPr>
        <w:t>Presented in Table 4 is the regression analysis examining how the different domains of administrative decision-making significantly influence crisis management among public elementary school teachers. The regression model reveals that division of work, initiative, and order all significantly influence crisis management. Specifically, division of work (B = 0.70, Beta = 0.48), initiative (B = 0.68, Beta = 0.45), and order (B = 0.64, Beta = 0.40) all have positive and significant effects. The t-values range from 4.18 to 4.24, and all p-values are below 0.05, indicating statistical significance. The regression equation is as follows: Crisis Management = 2.82 + 0.70 (division of work) + 0.68 (initiative) + 0.64 (order). The model explains 72.2% of the variance in crisis management (R² = 0.722). Moreover, the F-value of 94.08 with a p-value of 0.000 indicates that the model is statistically significant.</w:t>
      </w:r>
    </w:p>
    <w:p w14:paraId="3034E7FA" w14:textId="77777777" w:rsidR="00B45A26" w:rsidRDefault="00B45A26" w:rsidP="00B45A26">
      <w:pPr>
        <w:pStyle w:val="ConcHead"/>
        <w:spacing w:after="0"/>
        <w:jc w:val="both"/>
        <w:rPr>
          <w:rFonts w:ascii="Arial" w:hAnsi="Arial" w:cs="Arial"/>
          <w:b w:val="0"/>
          <w:caps w:val="0"/>
          <w:sz w:val="20"/>
        </w:rPr>
      </w:pPr>
      <w:r w:rsidRPr="00B45A26">
        <w:rPr>
          <w:rFonts w:ascii="Arial" w:hAnsi="Arial" w:cs="Arial"/>
          <w:b w:val="0"/>
          <w:caps w:val="0"/>
          <w:sz w:val="20"/>
        </w:rPr>
        <w:t>This finding implies that the domains of administrative decision-making positively and significantly influence crisis management in public elementary schools. The strongest influence comes from division of work, suggesting that clear delegation and organization of tasks play a critical role in enhancing a school’s ability to manage crises effectively. Initiative and order also contribute significantly, highlighting the importance of proactive leadership and maintaining systematic procedures in crisis situations. Together, these domains emphasize the need for well-structured administrative practices to promote a resilient and prepared school environment.</w:t>
      </w:r>
    </w:p>
    <w:p w14:paraId="35DADB9D" w14:textId="77777777" w:rsidR="00B45A26" w:rsidRDefault="00B45A26" w:rsidP="00B45A26">
      <w:pPr>
        <w:pStyle w:val="ConcHead"/>
        <w:spacing w:after="0"/>
        <w:jc w:val="both"/>
        <w:rPr>
          <w:rFonts w:ascii="Arial" w:hAnsi="Arial" w:cs="Arial"/>
          <w:b w:val="0"/>
          <w:caps w:val="0"/>
          <w:sz w:val="20"/>
        </w:rPr>
      </w:pPr>
    </w:p>
    <w:p w14:paraId="20DDDC4C" w14:textId="39BD779A" w:rsidR="00966023" w:rsidRPr="00966023" w:rsidRDefault="00966023" w:rsidP="00966023">
      <w:pPr>
        <w:pStyle w:val="ConcHead"/>
        <w:jc w:val="both"/>
        <w:rPr>
          <w:rFonts w:ascii="Arial" w:hAnsi="Arial" w:cs="Arial"/>
          <w:b w:val="0"/>
          <w:caps w:val="0"/>
          <w:sz w:val="20"/>
        </w:rPr>
      </w:pPr>
      <w:r w:rsidRPr="00966023">
        <w:rPr>
          <w:rFonts w:ascii="Arial" w:hAnsi="Arial" w:cs="Arial"/>
          <w:b w:val="0"/>
          <w:caps w:val="0"/>
          <w:sz w:val="20"/>
        </w:rPr>
        <w:t xml:space="preserve">This finding aligns with the research of </w:t>
      </w:r>
      <w:r w:rsidR="009663BA">
        <w:rPr>
          <w:rFonts w:ascii="Arial" w:hAnsi="Arial" w:cs="Arial"/>
          <w:b w:val="0"/>
          <w:caps w:val="0"/>
          <w:sz w:val="20"/>
        </w:rPr>
        <w:t>Carter (2024</w:t>
      </w:r>
      <w:r w:rsidRPr="00966023">
        <w:rPr>
          <w:rFonts w:ascii="Arial" w:hAnsi="Arial" w:cs="Arial"/>
          <w:b w:val="0"/>
          <w:caps w:val="0"/>
          <w:sz w:val="20"/>
        </w:rPr>
        <w:t>), who emphasized that specific domains of</w:t>
      </w:r>
      <w:r w:rsidR="009663BA">
        <w:rPr>
          <w:rFonts w:ascii="Arial" w:hAnsi="Arial" w:cs="Arial"/>
          <w:b w:val="0"/>
          <w:caps w:val="0"/>
          <w:sz w:val="20"/>
        </w:rPr>
        <w:t xml:space="preserve"> administrative decision-making, </w:t>
      </w:r>
      <w:r w:rsidRPr="00966023">
        <w:rPr>
          <w:rFonts w:ascii="Arial" w:hAnsi="Arial" w:cs="Arial"/>
          <w:b w:val="0"/>
          <w:caps w:val="0"/>
          <w:sz w:val="20"/>
        </w:rPr>
        <w:t>such as division</w:t>
      </w:r>
      <w:r w:rsidR="009663BA">
        <w:rPr>
          <w:rFonts w:ascii="Arial" w:hAnsi="Arial" w:cs="Arial"/>
          <w:b w:val="0"/>
          <w:caps w:val="0"/>
          <w:sz w:val="20"/>
        </w:rPr>
        <w:t xml:space="preserve"> of work, initiative, and order, </w:t>
      </w:r>
      <w:r w:rsidRPr="00966023">
        <w:rPr>
          <w:rFonts w:ascii="Arial" w:hAnsi="Arial" w:cs="Arial"/>
          <w:b w:val="0"/>
          <w:caps w:val="0"/>
          <w:sz w:val="20"/>
        </w:rPr>
        <w:t xml:space="preserve">are critical in enhancing a school’s capacity to manage crises effectively. Their study found that when school leaders clearly delegate responsibilities and maintain organizational structure, they create an environment where swift and organized crisis responses are possible. Similarly, </w:t>
      </w:r>
      <w:r w:rsidR="009B6548" w:rsidRPr="009B6548">
        <w:rPr>
          <w:rFonts w:ascii="Arial" w:hAnsi="Arial" w:cs="Arial"/>
          <w:b w:val="0"/>
          <w:caps w:val="0"/>
          <w:sz w:val="20"/>
        </w:rPr>
        <w:t xml:space="preserve">Fagel </w:t>
      </w:r>
      <w:r w:rsidR="009B6548">
        <w:rPr>
          <w:rFonts w:ascii="Arial" w:hAnsi="Arial" w:cs="Arial"/>
          <w:b w:val="0"/>
          <w:caps w:val="0"/>
          <w:sz w:val="20"/>
        </w:rPr>
        <w:t>et al. (2021</w:t>
      </w:r>
      <w:r w:rsidRPr="00966023">
        <w:rPr>
          <w:rFonts w:ascii="Arial" w:hAnsi="Arial" w:cs="Arial"/>
          <w:b w:val="0"/>
          <w:caps w:val="0"/>
          <w:sz w:val="20"/>
        </w:rPr>
        <w:t xml:space="preserve">) highlighted that proactive leadership, particularly in initiating timely actions and maintaining order, significantly reduces confusion and facilitates smoother coordination during emergencies. Additionally, the study of </w:t>
      </w:r>
      <w:r w:rsidR="00BF6808">
        <w:rPr>
          <w:rFonts w:ascii="Arial" w:hAnsi="Arial" w:cs="Arial"/>
          <w:b w:val="0"/>
          <w:caps w:val="0"/>
          <w:sz w:val="20"/>
        </w:rPr>
        <w:t>Greenwood et al. (2023</w:t>
      </w:r>
      <w:r w:rsidRPr="00966023">
        <w:rPr>
          <w:rFonts w:ascii="Arial" w:hAnsi="Arial" w:cs="Arial"/>
          <w:b w:val="0"/>
          <w:caps w:val="0"/>
          <w:sz w:val="20"/>
        </w:rPr>
        <w:t>) argued that comprehensive administrative planning that integrates clear task distribution and procedural consistency builds institutional resilience, enabling schools to withstand and recover more effectively from disruptive events. These findings collectively suggest that the strength of a school’s crisis management heavily relies on the strategic implementation of administrative decision-making practices.</w:t>
      </w:r>
    </w:p>
    <w:p w14:paraId="45967042" w14:textId="1B472EAD" w:rsidR="00274703" w:rsidRDefault="00274703" w:rsidP="00274703">
      <w:pPr>
        <w:pStyle w:val="ConcHead"/>
        <w:spacing w:after="0"/>
        <w:jc w:val="both"/>
        <w:rPr>
          <w:rFonts w:ascii="Arial" w:hAnsi="Arial" w:cs="Arial"/>
          <w:b w:val="0"/>
          <w:caps w:val="0"/>
          <w:sz w:val="20"/>
        </w:rPr>
      </w:pPr>
    </w:p>
    <w:p w14:paraId="016D2A79" w14:textId="40B2AF79" w:rsidR="00717F2E" w:rsidRDefault="00187299" w:rsidP="00B364F1">
      <w:pPr>
        <w:pStyle w:val="Body"/>
        <w:rPr>
          <w:rFonts w:ascii="Arial" w:hAnsi="Arial" w:cs="Arial"/>
        </w:rPr>
      </w:pPr>
      <w:r>
        <w:rPr>
          <w:rFonts w:ascii="Arial" w:hAnsi="Arial" w:cs="Arial"/>
          <w:b/>
          <w:bCs/>
        </w:rPr>
        <w:t>4</w:t>
      </w:r>
      <w:r w:rsidR="00FE3FB8">
        <w:rPr>
          <w:rFonts w:ascii="Arial" w:hAnsi="Arial" w:cs="Arial"/>
          <w:b/>
          <w:bCs/>
        </w:rPr>
        <w:t xml:space="preserve">. </w:t>
      </w:r>
      <w:r w:rsidR="00B364F1">
        <w:rPr>
          <w:rFonts w:ascii="Arial" w:hAnsi="Arial" w:cs="Arial"/>
          <w:b/>
          <w:bCs/>
        </w:rPr>
        <w:t>CONCLUSIONS</w:t>
      </w:r>
    </w:p>
    <w:p w14:paraId="0AB159C2" w14:textId="731B9AA3"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lastRenderedPageBreak/>
        <w:t>Based on the findings of the study, it is concluded that the level of administrative decision-maki</w:t>
      </w:r>
      <w:r>
        <w:rPr>
          <w:rFonts w:ascii="Arial" w:hAnsi="Arial" w:cs="Arial"/>
          <w:b w:val="0"/>
          <w:caps w:val="0"/>
          <w:sz w:val="20"/>
        </w:rPr>
        <w:t xml:space="preserve">ng in public elementary schools, </w:t>
      </w:r>
      <w:r w:rsidRPr="00187299">
        <w:rPr>
          <w:rFonts w:ascii="Arial" w:hAnsi="Arial" w:cs="Arial"/>
          <w:b w:val="0"/>
          <w:caps w:val="0"/>
          <w:sz w:val="20"/>
        </w:rPr>
        <w:t>particularly in terms of division of work, initiative, and order—is very high and consistently manifested by teachers. This implies that school administrators are effectively implementing management principles that allow for clear delineation of roles and responsibilities, encourage teachers to take initiative in their tasks, and ensure that school operations are organized and systematic. Such practices create a structured working environment where teachers are empowered and guided, contributing to overall school efficiency and preparedness during times of uncertainty or disruption.</w:t>
      </w:r>
    </w:p>
    <w:p w14:paraId="6702FAA6" w14:textId="2BBEB4EF"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Furthermore, it is concluded that the level of crisis management in public elementary schools is also very high, particularly in the domains of human factors, processes, technology, and regulations. This means that schools have put in place effective crisis response mechanisms involving capable and well-informed personnel, streamlined procedures, relevant technological tools, and strict adherence to policies and guidelines. As a result, teachers are confident in their ability to respond to crises, and the school system is able to maintain continuity of education and safety for both learners and staff even in the face of challenges.</w:t>
      </w:r>
    </w:p>
    <w:p w14:paraId="2CBE086F" w14:textId="10205E3A"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The study also found a significant relationship between administrative decision-making and crisis management. This means that schools with strong decision-making practices among administrators tend to also demonstrate strong crisis management capacities. Effective decision-making supports the timely identification of problems, appropriate resource allocation, and the coordination of emergency responses, which are all crucial during crisis situations. It reflects how leadership actions directly shape the school’s ability to manage disruptions effectively.</w:t>
      </w:r>
    </w:p>
    <w:p w14:paraId="1FB35B06" w14:textId="530629C5" w:rsidR="007C1709" w:rsidRDefault="00187299" w:rsidP="00187299">
      <w:pPr>
        <w:pStyle w:val="ReferHead"/>
        <w:spacing w:after="0"/>
        <w:jc w:val="both"/>
        <w:rPr>
          <w:rFonts w:ascii="Arial" w:hAnsi="Arial" w:cs="Arial"/>
          <w:b w:val="0"/>
          <w:caps w:val="0"/>
          <w:sz w:val="20"/>
        </w:rPr>
      </w:pPr>
      <w:r w:rsidRPr="00187299">
        <w:rPr>
          <w:rFonts w:ascii="Arial" w:hAnsi="Arial" w:cs="Arial"/>
          <w:b w:val="0"/>
          <w:caps w:val="0"/>
          <w:sz w:val="20"/>
        </w:rPr>
        <w:t>Moreover, it is concluded that administrative decision-making significantly influences crisis management in public elementary schools. This indicates that the way school leaders make and implement decisions—especially in planning, organizing, leading, and controlling—has a direct impact on how well schools prepare for, respond to, and recover from crises. When administrators are strategic, proactive, and collaborative in their decision-making, it enhances the school’s resilience and ability to protect both the learning process and the welfare of the school community during critical events.</w:t>
      </w:r>
    </w:p>
    <w:p w14:paraId="2E7D5ACF" w14:textId="77777777" w:rsidR="00187299" w:rsidRDefault="00187299" w:rsidP="00187299">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BB01A6A" w14:textId="361AABC1"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Based on the findings and conclusions of this study, the following recommendations are offered to enhance administrative decision-making and crisis management in public elementary schools:</w:t>
      </w:r>
    </w:p>
    <w:p w14:paraId="2FA6958B" w14:textId="3291B775"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Teachers may sustain their active involvement in administrative processes and crisis management efforts within their schools. They may continue to demonstrate initiative, follow established procedures, and collaborate with school leaders in implementing crisis response plans. Engaging in continuous professional development through seminars and training on crisis preparedness, safety protocols, and leadership skills may strengthen their ability to respond effectively during emergencies.</w:t>
      </w:r>
    </w:p>
    <w:p w14:paraId="076BC29E" w14:textId="2FB566B2"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 xml:space="preserve">School heads may further enhance their administrative decision-making by adopting participative and evidence-based approaches. Emphasizing clear delegation of tasks, encouraging staff initiative, and maintaining an organized school environment may help sustain high levels of operational efficiency. In addition, school heads may lead the development and regular updating of school-based crisis management plans and conduct </w:t>
      </w:r>
      <w:r w:rsidRPr="00187299">
        <w:rPr>
          <w:rFonts w:ascii="Arial" w:hAnsi="Arial" w:cs="Arial"/>
          <w:b w:val="0"/>
          <w:caps w:val="0"/>
          <w:sz w:val="20"/>
        </w:rPr>
        <w:lastRenderedPageBreak/>
        <w:t>drills or simulations to ensure readiness. Investing in leadership training and crisis response frameworks may significantly contribute to the school’s resilience.</w:t>
      </w:r>
    </w:p>
    <w:p w14:paraId="7B165097" w14:textId="373E56A1"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The Department of Education (DepEd) may provide more structured and continuous capacity-building programs focused on administrative leadership and crisis management. Developing a standardized framework for school-level crisis response, aligned with national policies, may help ensure consistency across schools. Furthermore, DepEd may consider integrating administrative decision-making and emergency preparedness into performance reviews and school improvement plans to institutionalize these practices as key components of school leadership.</w:t>
      </w:r>
    </w:p>
    <w:p w14:paraId="221EAC0A" w14:textId="77777777"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Future researchers may explore similar studies in other districts, regions, or educational levels to validate and compare findings. They may also consider using qualitative or mixed-method approaches to gain deeper insights into the specific practices, challenges, and lived experiences of educators during crisis situations. Expanding the scope of study to include perspectives from students, parents, or community stakeholders may provide a more holistic understanding of crisis management in education.</w:t>
      </w:r>
    </w:p>
    <w:p w14:paraId="680C3BCB" w14:textId="77777777" w:rsidR="007C1709" w:rsidRDefault="007C1709" w:rsidP="007C1709">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55960876" w:rsidR="00717F2E" w:rsidRDefault="001B0FAE">
      <w:pPr>
        <w:pStyle w:val="ReferHead"/>
        <w:spacing w:after="0"/>
        <w:jc w:val="both"/>
        <w:rPr>
          <w:rFonts w:ascii="Arial" w:hAnsi="Arial" w:cs="Arial"/>
          <w:bCs/>
          <w:sz w:val="20"/>
        </w:rPr>
      </w:pPr>
      <w:r>
        <w:rPr>
          <w:rFonts w:ascii="Arial" w:hAnsi="Arial" w:cs="Arial"/>
          <w:bCs/>
          <w:sz w:val="20"/>
        </w:rPr>
        <w:t xml:space="preserve">Ethical approval and </w:t>
      </w:r>
      <w:r w:rsidR="00FE3FB8">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6B6241ED" w14:textId="20DE8F8E" w:rsidR="002F6764" w:rsidRPr="002F6764" w:rsidRDefault="002F6764" w:rsidP="002F6764">
      <w:pPr>
        <w:pStyle w:val="ReferHead"/>
        <w:jc w:val="both"/>
        <w:rPr>
          <w:rFonts w:ascii="Arial" w:hAnsi="Arial" w:cs="Arial"/>
          <w:b w:val="0"/>
          <w:caps w:val="0"/>
          <w:sz w:val="20"/>
        </w:rPr>
      </w:pPr>
      <w:r w:rsidRPr="002F6764">
        <w:rPr>
          <w:rFonts w:ascii="Arial" w:hAnsi="Arial" w:cs="Arial"/>
          <w:b w:val="0"/>
          <w:caps w:val="0"/>
          <w:sz w:val="20"/>
        </w:rPr>
        <w:t xml:space="preserve">Ethical considerations were diligently observed throughout the duration of this study to protect the rights, privacy, and well-being of all participants. Prior to data collection, the researcher secured the necessary permissions from the appropriate authorities, including an endorsement from the Dean of the Graduate School and the issuance of ethical clearance from the institution. The study adhered to the ethical guidelines outlined by </w:t>
      </w:r>
      <w:proofErr w:type="spellStart"/>
      <w:r w:rsidRPr="002F6764">
        <w:rPr>
          <w:rFonts w:ascii="Arial" w:hAnsi="Arial" w:cs="Arial"/>
          <w:b w:val="0"/>
          <w:caps w:val="0"/>
          <w:sz w:val="20"/>
        </w:rPr>
        <w:t>Pregoner</w:t>
      </w:r>
      <w:proofErr w:type="spellEnd"/>
      <w:r w:rsidRPr="002F6764">
        <w:rPr>
          <w:rFonts w:ascii="Arial" w:hAnsi="Arial" w:cs="Arial"/>
          <w:b w:val="0"/>
          <w:caps w:val="0"/>
          <w:sz w:val="20"/>
        </w:rPr>
        <w:t xml:space="preserve"> et al. (2025), ensuring strict compliance with current standards for conducting research involving human subjects, particularly in educational and social science contexts.</w:t>
      </w:r>
    </w:p>
    <w:p w14:paraId="35D6F465" w14:textId="59421876" w:rsidR="006543BB" w:rsidRDefault="002F6764" w:rsidP="002F6764">
      <w:pPr>
        <w:pStyle w:val="ReferHead"/>
        <w:spacing w:after="0"/>
        <w:jc w:val="both"/>
        <w:rPr>
          <w:rFonts w:ascii="Arial" w:hAnsi="Arial" w:cs="Arial"/>
          <w:b w:val="0"/>
          <w:caps w:val="0"/>
          <w:sz w:val="20"/>
        </w:rPr>
      </w:pPr>
      <w:r w:rsidRPr="002F6764">
        <w:rPr>
          <w:rFonts w:ascii="Arial" w:hAnsi="Arial" w:cs="Arial"/>
          <w:b w:val="0"/>
          <w:caps w:val="0"/>
          <w:sz w:val="20"/>
        </w:rPr>
        <w:t>Participation in the study was entirely voluntary. Respondents were thoroughly briefed on the purpose of the research, the procedures involved, and their right to withdraw at any time without any negative consequences. Informed consent was obtained from each participant, indicating their full understanding and agreement to be involved in the study. Confidentiality and anonymity were rigorously maintained, with no personal identifiers included in the data or the final presentation of findings. All information gathered was used exclusively for academic purposes and was treated with the utmost respect and discretion. This ethical approach ensured the research was conducted responsibly, transparently, and in accordance with established academic and professional ethical norms.</w:t>
      </w:r>
    </w:p>
    <w:p w14:paraId="57B1577C" w14:textId="49760A1C" w:rsidR="001A1A50" w:rsidRDefault="001A1A50" w:rsidP="002F6764">
      <w:pPr>
        <w:pStyle w:val="ReferHead"/>
        <w:spacing w:after="0"/>
        <w:jc w:val="both"/>
        <w:rPr>
          <w:rFonts w:ascii="Arial" w:hAnsi="Arial" w:cs="Arial"/>
          <w:b w:val="0"/>
          <w:caps w:val="0"/>
          <w:sz w:val="20"/>
        </w:rPr>
      </w:pPr>
    </w:p>
    <w:p w14:paraId="506EBABF" w14:textId="42FF24C7" w:rsidR="001A1A50" w:rsidRDefault="001A1A50" w:rsidP="002F6764">
      <w:pPr>
        <w:pStyle w:val="ReferHead"/>
        <w:spacing w:after="0"/>
        <w:jc w:val="both"/>
        <w:rPr>
          <w:rFonts w:ascii="Arial" w:hAnsi="Arial" w:cs="Arial"/>
          <w:b w:val="0"/>
          <w:caps w:val="0"/>
          <w:sz w:val="20"/>
        </w:rPr>
      </w:pPr>
    </w:p>
    <w:p w14:paraId="27BEE80B" w14:textId="77777777" w:rsidR="00AE4D8F" w:rsidRPr="001B0FAE" w:rsidRDefault="00AE4D8F" w:rsidP="00AE4D8F">
      <w:pPr>
        <w:pStyle w:val="ReferHead"/>
        <w:spacing w:after="0"/>
        <w:jc w:val="both"/>
        <w:rPr>
          <w:rFonts w:ascii="Arial" w:hAnsi="Arial" w:cs="Arial"/>
          <w:caps w:val="0"/>
          <w:sz w:val="20"/>
          <w:highlight w:val="yellow"/>
        </w:rPr>
      </w:pPr>
      <w:bookmarkStart w:id="0" w:name="_GoBack"/>
      <w:r w:rsidRPr="001B0FAE">
        <w:rPr>
          <w:rFonts w:ascii="Arial" w:hAnsi="Arial" w:cs="Arial"/>
          <w:caps w:val="0"/>
          <w:sz w:val="20"/>
          <w:highlight w:val="yellow"/>
        </w:rPr>
        <w:t>Disclaimer (Artificial Intelligence)</w:t>
      </w:r>
    </w:p>
    <w:bookmarkEnd w:id="0"/>
    <w:p w14:paraId="61D8AEF5" w14:textId="77777777" w:rsidR="00AE4D8F" w:rsidRDefault="00AE4D8F" w:rsidP="00AE4D8F">
      <w:pPr>
        <w:pStyle w:val="ReferHead"/>
        <w:spacing w:after="0"/>
        <w:jc w:val="both"/>
        <w:rPr>
          <w:rFonts w:ascii="Arial" w:hAnsi="Arial" w:cs="Arial"/>
          <w:b w:val="0"/>
          <w:caps w:val="0"/>
          <w:sz w:val="20"/>
          <w:highlight w:val="yellow"/>
        </w:rPr>
      </w:pPr>
    </w:p>
    <w:p w14:paraId="50BCD959" w14:textId="77777777" w:rsidR="00AE4D8F" w:rsidRDefault="00AE4D8F" w:rsidP="00AE4D8F">
      <w:pPr>
        <w:pStyle w:val="ReferHead"/>
        <w:spacing w:after="0"/>
        <w:jc w:val="both"/>
        <w:rPr>
          <w:rFonts w:ascii="Arial" w:hAnsi="Arial" w:cs="Arial"/>
          <w:b w:val="0"/>
          <w:caps w:val="0"/>
          <w:sz w:val="20"/>
          <w:highlight w:val="yellow"/>
        </w:rPr>
      </w:pPr>
    </w:p>
    <w:p w14:paraId="77EB1E32" w14:textId="77777777" w:rsidR="00AE4D8F" w:rsidRDefault="00AE4D8F" w:rsidP="00AE4D8F">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11F24F77" w14:textId="77777777" w:rsidR="00AE4D8F" w:rsidRDefault="00AE4D8F" w:rsidP="00AE4D8F">
      <w:pPr>
        <w:jc w:val="both"/>
        <w:rPr>
          <w:rFonts w:ascii="Arial" w:eastAsia="Calibri" w:hAnsi="Arial" w:cs="Arial"/>
          <w:kern w:val="2"/>
          <w:highlight w:val="yellow"/>
        </w:rPr>
      </w:pPr>
    </w:p>
    <w:p w14:paraId="17DF3FE8" w14:textId="77777777" w:rsidR="00AE4D8F" w:rsidRDefault="00AE4D8F" w:rsidP="00AE4D8F">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6AA3592E" w14:textId="77777777" w:rsidR="00AE4D8F" w:rsidRDefault="00AE4D8F" w:rsidP="00AE4D8F">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5132B5A4" w14:textId="77777777" w:rsidR="001A1A50" w:rsidRDefault="001A1A50" w:rsidP="002F6764">
      <w:pPr>
        <w:pStyle w:val="ReferHead"/>
        <w:spacing w:after="0"/>
        <w:jc w:val="both"/>
        <w:rPr>
          <w:rFonts w:ascii="Arial" w:hAnsi="Arial" w:cs="Arial"/>
          <w:b w:val="0"/>
          <w:caps w:val="0"/>
          <w:sz w:val="20"/>
        </w:rPr>
      </w:pPr>
    </w:p>
    <w:p w14:paraId="40F4038D" w14:textId="6D13B174" w:rsidR="002F6764" w:rsidRDefault="002F6764" w:rsidP="002F6764">
      <w:pPr>
        <w:pStyle w:val="ReferHead"/>
        <w:spacing w:after="0"/>
        <w:jc w:val="both"/>
        <w:rPr>
          <w:rFonts w:ascii="Arial" w:hAnsi="Arial" w:cs="Arial"/>
          <w:b w:val="0"/>
          <w:caps w:val="0"/>
          <w:sz w:val="20"/>
        </w:rPr>
      </w:pPr>
    </w:p>
    <w:p w14:paraId="278BA48E" w14:textId="77777777" w:rsidR="002F6764" w:rsidRDefault="002F6764" w:rsidP="002F6764">
      <w:pPr>
        <w:pStyle w:val="ReferHead"/>
        <w:spacing w:after="0"/>
        <w:jc w:val="both"/>
        <w:rPr>
          <w:rFonts w:ascii="Arial" w:hAnsi="Arial" w:cs="Arial"/>
          <w:b w:val="0"/>
          <w:caps w:val="0"/>
          <w:sz w:val="20"/>
        </w:rPr>
      </w:pPr>
    </w:p>
    <w:p w14:paraId="6BABA7FA" w14:textId="7BD25B37" w:rsidR="006543BB" w:rsidRPr="006543BB" w:rsidRDefault="00FE3FB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5EA09A97" w14:textId="77777777" w:rsidR="00165110" w:rsidRDefault="00165110" w:rsidP="00165110">
      <w:pPr>
        <w:ind w:left="720" w:hanging="720"/>
        <w:rPr>
          <w:rFonts w:ascii="Arial" w:hAnsi="Arial" w:cs="Arial"/>
          <w:color w:val="222222"/>
          <w:shd w:val="clear" w:color="auto" w:fill="FFFFFF"/>
        </w:rPr>
      </w:pPr>
    </w:p>
    <w:p w14:paraId="52577430" w14:textId="77777777" w:rsidR="00165110" w:rsidRDefault="00165110" w:rsidP="00165110">
      <w:pPr>
        <w:ind w:left="720" w:hanging="720"/>
      </w:pPr>
    </w:p>
    <w:p w14:paraId="00112D68"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Addo-</w:t>
      </w:r>
      <w:proofErr w:type="spellStart"/>
      <w:r>
        <w:rPr>
          <w:rFonts w:ascii="Arial" w:hAnsi="Arial" w:cs="Arial"/>
          <w:color w:val="222222"/>
          <w:shd w:val="clear" w:color="auto" w:fill="FFFFFF"/>
        </w:rPr>
        <w:t>Fordwuor</w:t>
      </w:r>
      <w:proofErr w:type="spellEnd"/>
      <w:r>
        <w:rPr>
          <w:rFonts w:ascii="Arial" w:hAnsi="Arial" w:cs="Arial"/>
          <w:color w:val="222222"/>
          <w:shd w:val="clear" w:color="auto" w:fill="FFFFFF"/>
        </w:rPr>
        <w:t>, C., Addo, A. O., &amp; Amouzou, F. D. (2024). Optimizing Educational Leadership: Identifying the Advantages of Delegating Authority in School Administration. </w:t>
      </w:r>
      <w:r>
        <w:rPr>
          <w:rFonts w:ascii="Arial" w:hAnsi="Arial" w:cs="Arial"/>
          <w:i/>
          <w:iCs/>
          <w:color w:val="222222"/>
          <w:shd w:val="clear" w:color="auto" w:fill="FFFFFF"/>
        </w:rPr>
        <w:t>Convergence Chronicles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293-300. </w:t>
      </w:r>
      <w:hyperlink r:id="rId16" w:history="1">
        <w:r w:rsidRPr="00E42C41">
          <w:rPr>
            <w:rStyle w:val="Hyperlink"/>
            <w:rFonts w:ascii="Arial" w:hAnsi="Arial" w:cs="Arial"/>
            <w:shd w:val="clear" w:color="auto" w:fill="FFFFFF"/>
          </w:rPr>
          <w:t>https://globalweb1.com/index.php/ojs/article/download/122/144</w:t>
        </w:r>
      </w:hyperlink>
    </w:p>
    <w:p w14:paraId="2E07ABB3"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Alsabri</w:t>
      </w:r>
      <w:proofErr w:type="spellEnd"/>
      <w:r>
        <w:rPr>
          <w:rFonts w:ascii="Arial" w:hAnsi="Arial" w:cs="Arial"/>
          <w:color w:val="222222"/>
          <w:shd w:val="clear" w:color="auto" w:fill="FFFFFF"/>
        </w:rPr>
        <w:t xml:space="preserve">, M., Oboli, V. N., Rath, S., Tsoi, V., Del Castillo Miranda, J. C., </w:t>
      </w:r>
      <w:proofErr w:type="spellStart"/>
      <w:r>
        <w:rPr>
          <w:rFonts w:ascii="Arial" w:hAnsi="Arial" w:cs="Arial"/>
          <w:color w:val="222222"/>
          <w:shd w:val="clear" w:color="auto" w:fill="FFFFFF"/>
        </w:rPr>
        <w:t>Alagarswamy</w:t>
      </w:r>
      <w:proofErr w:type="spellEnd"/>
      <w:r>
        <w:rPr>
          <w:rFonts w:ascii="Arial" w:hAnsi="Arial" w:cs="Arial"/>
          <w:color w:val="222222"/>
          <w:shd w:val="clear" w:color="auto" w:fill="FFFFFF"/>
        </w:rPr>
        <w:t>, K., &amp; Shehada, W. (2025). Bridging the Gap: Lessons from Low-Resource Pediatric Emergency Medicine for High-Resource Settings. </w:t>
      </w:r>
      <w:r>
        <w:rPr>
          <w:rFonts w:ascii="Arial" w:hAnsi="Arial" w:cs="Arial"/>
          <w:i/>
          <w:iCs/>
          <w:color w:val="222222"/>
          <w:shd w:val="clear" w:color="auto" w:fill="FFFFFF"/>
        </w:rPr>
        <w:t>Current emergency and hospital medicine reports</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(1), 10. </w:t>
      </w:r>
      <w:hyperlink r:id="rId17" w:history="1">
        <w:r w:rsidRPr="00E42C41">
          <w:rPr>
            <w:rStyle w:val="Hyperlink"/>
            <w:rFonts w:ascii="Arial" w:hAnsi="Arial" w:cs="Arial"/>
            <w:shd w:val="clear" w:color="auto" w:fill="FFFFFF"/>
          </w:rPr>
          <w:t>https://link.springer.com/article/10.1007/s40138-025-00315-z</w:t>
        </w:r>
      </w:hyperlink>
    </w:p>
    <w:p w14:paraId="7752BF5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Atillo, F. F., </w:t>
      </w:r>
      <w:proofErr w:type="spellStart"/>
      <w:r>
        <w:rPr>
          <w:rFonts w:ascii="Arial" w:hAnsi="Arial" w:cs="Arial"/>
          <w:color w:val="222222"/>
          <w:shd w:val="clear" w:color="auto" w:fill="FFFFFF"/>
        </w:rPr>
        <w:t>Batao</w:t>
      </w:r>
      <w:proofErr w:type="spellEnd"/>
      <w:r>
        <w:rPr>
          <w:rFonts w:ascii="Arial" w:hAnsi="Arial" w:cs="Arial"/>
          <w:color w:val="222222"/>
          <w:shd w:val="clear" w:color="auto" w:fill="FFFFFF"/>
        </w:rPr>
        <w:t xml:space="preserve">, H. S., Giger, V. M. D., &amp; </w:t>
      </w:r>
      <w:proofErr w:type="spellStart"/>
      <w:r>
        <w:rPr>
          <w:rFonts w:ascii="Arial" w:hAnsi="Arial" w:cs="Arial"/>
          <w:color w:val="222222"/>
          <w:shd w:val="clear" w:color="auto" w:fill="FFFFFF"/>
        </w:rPr>
        <w:t>Elesio</w:t>
      </w:r>
      <w:proofErr w:type="spellEnd"/>
      <w:r>
        <w:rPr>
          <w:rFonts w:ascii="Arial" w:hAnsi="Arial" w:cs="Arial"/>
          <w:color w:val="222222"/>
          <w:shd w:val="clear" w:color="auto" w:fill="FFFFFF"/>
        </w:rPr>
        <w:t>, J. M. (2025). School Heads' Crisis Leadership: Experiences in Managing Natural Disasters and School Emergencies. </w:t>
      </w:r>
      <w:r>
        <w:rPr>
          <w:rFonts w:ascii="Arial" w:hAnsi="Arial" w:cs="Arial"/>
          <w:i/>
          <w:iCs/>
          <w:color w:val="222222"/>
          <w:shd w:val="clear" w:color="auto" w:fill="FFFFFF"/>
        </w:rPr>
        <w:t>School Heads' Crisis Leadership: Experiences in Managing Natural Disasters and School Emergencies</w:t>
      </w:r>
      <w:r>
        <w:rPr>
          <w:rFonts w:ascii="Arial" w:hAnsi="Arial" w:cs="Arial"/>
          <w:color w:val="222222"/>
          <w:shd w:val="clear" w:color="auto" w:fill="FFFFFF"/>
        </w:rPr>
        <w:t>, </w:t>
      </w:r>
      <w:r>
        <w:rPr>
          <w:rFonts w:ascii="Arial" w:hAnsi="Arial" w:cs="Arial"/>
          <w:i/>
          <w:iCs/>
          <w:color w:val="222222"/>
          <w:shd w:val="clear" w:color="auto" w:fill="FFFFFF"/>
        </w:rPr>
        <w:t>165</w:t>
      </w:r>
      <w:r>
        <w:rPr>
          <w:rFonts w:ascii="Arial" w:hAnsi="Arial" w:cs="Arial"/>
          <w:color w:val="222222"/>
          <w:shd w:val="clear" w:color="auto" w:fill="FFFFFF"/>
        </w:rPr>
        <w:t xml:space="preserve">(1), 14-14. </w:t>
      </w:r>
      <w:hyperlink r:id="rId18" w:history="1">
        <w:r w:rsidRPr="00E42C41">
          <w:rPr>
            <w:rStyle w:val="Hyperlink"/>
            <w:rFonts w:ascii="Arial" w:hAnsi="Arial" w:cs="Arial"/>
            <w:shd w:val="clear" w:color="auto" w:fill="FFFFFF"/>
          </w:rPr>
          <w:t>https://www.researchgate.net/profile/John-Mart-Elesio/publication/388304307_School_Heads'_Crisis_Leadership_Experiences_in_Managing_Natural_Disasters_and_School_Emergencies/links/679a07004c479b26c9bf89b3/School-Heads-Crisis-Leadership-Experiences-in-Managing-Natural-Disasters-and-School-Emergencies.pdf</w:t>
        </w:r>
      </w:hyperlink>
    </w:p>
    <w:p w14:paraId="3C83D88E"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9" w:history="1">
        <w:r w:rsidRPr="00E42C41">
          <w:rPr>
            <w:rStyle w:val="Hyperlink"/>
            <w:rFonts w:ascii="Arial" w:hAnsi="Arial" w:cs="Arial"/>
            <w:shd w:val="clear" w:color="auto" w:fill="FFFFFF"/>
          </w:rPr>
          <w:t>https://hal.science/hal-04894432/</w:t>
        </w:r>
      </w:hyperlink>
    </w:p>
    <w:p w14:paraId="291798F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Bozkurt, A., Jung, I., Xiao, J., </w:t>
      </w:r>
      <w:proofErr w:type="spellStart"/>
      <w:r>
        <w:rPr>
          <w:rFonts w:ascii="Arial" w:hAnsi="Arial" w:cs="Arial"/>
          <w:color w:val="222222"/>
          <w:shd w:val="clear" w:color="auto" w:fill="FFFFFF"/>
        </w:rPr>
        <w:t>Vladimirschi</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Schuwer</w:t>
      </w:r>
      <w:proofErr w:type="spellEnd"/>
      <w:r>
        <w:rPr>
          <w:rFonts w:ascii="Arial" w:hAnsi="Arial" w:cs="Arial"/>
          <w:color w:val="222222"/>
          <w:shd w:val="clear" w:color="auto" w:fill="FFFFFF"/>
        </w:rPr>
        <w:t xml:space="preserve">, R., Egorov, G., ... &amp; </w:t>
      </w:r>
      <w:proofErr w:type="spellStart"/>
      <w:r>
        <w:rPr>
          <w:rFonts w:ascii="Arial" w:hAnsi="Arial" w:cs="Arial"/>
          <w:color w:val="222222"/>
          <w:shd w:val="clear" w:color="auto" w:fill="FFFFFF"/>
        </w:rPr>
        <w:t>Paskevicius</w:t>
      </w:r>
      <w:proofErr w:type="spellEnd"/>
      <w:r>
        <w:rPr>
          <w:rFonts w:ascii="Arial" w:hAnsi="Arial" w:cs="Arial"/>
          <w:color w:val="222222"/>
          <w:shd w:val="clear" w:color="auto" w:fill="FFFFFF"/>
        </w:rPr>
        <w:t>, M. (2020). A global outlook to the interruption of education due to COVID-19 pandemic: Navigating in a time of uncertainty and crisis. </w:t>
      </w:r>
      <w:r>
        <w:rPr>
          <w:rFonts w:ascii="Arial" w:hAnsi="Arial" w:cs="Arial"/>
          <w:i/>
          <w:iCs/>
          <w:color w:val="222222"/>
          <w:shd w:val="clear" w:color="auto" w:fill="FFFFFF"/>
        </w:rPr>
        <w:t>Asian journal of distance education</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 1-126. </w:t>
      </w:r>
      <w:hyperlink r:id="rId20" w:history="1">
        <w:r w:rsidRPr="00E42C41">
          <w:rPr>
            <w:rStyle w:val="Hyperlink"/>
            <w:rFonts w:ascii="Arial" w:hAnsi="Arial" w:cs="Arial"/>
            <w:shd w:val="clear" w:color="auto" w:fill="FFFFFF"/>
          </w:rPr>
          <w:t>http://www.asianjde.com/ojs/index.php/asianjde/article/view/462</w:t>
        </w:r>
      </w:hyperlink>
    </w:p>
    <w:p w14:paraId="09547D0D"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Carter, L. C. (2024). </w:t>
      </w:r>
      <w:r>
        <w:rPr>
          <w:rFonts w:ascii="Arial" w:hAnsi="Arial" w:cs="Arial"/>
          <w:i/>
          <w:iCs/>
          <w:color w:val="222222"/>
          <w:shd w:val="clear" w:color="auto" w:fill="FFFFFF"/>
        </w:rPr>
        <w:t>Organizational Structure and Functional Teams as a Mediator of Organizational Resilience While Navigating a School Crisis</w:t>
      </w:r>
      <w:r>
        <w:rPr>
          <w:rFonts w:ascii="Arial" w:hAnsi="Arial" w:cs="Arial"/>
          <w:color w:val="222222"/>
          <w:shd w:val="clear" w:color="auto" w:fill="FFFFFF"/>
        </w:rPr>
        <w:t xml:space="preserve"> (Doctoral dissertation, Southeastern Louisiana University). </w:t>
      </w:r>
      <w:hyperlink r:id="rId21" w:history="1">
        <w:r w:rsidRPr="00E42C41">
          <w:rPr>
            <w:rStyle w:val="Hyperlink"/>
            <w:rFonts w:ascii="Arial" w:hAnsi="Arial" w:cs="Arial"/>
            <w:shd w:val="clear" w:color="auto" w:fill="FFFFFF"/>
          </w:rPr>
          <w:t>https://search.proquest.com/openview/e15a6c0fb38ba955c0d107b6972762ea/1?pq-origsite=gscholar&amp;cbl=18750&amp;diss=y</w:t>
        </w:r>
      </w:hyperlink>
    </w:p>
    <w:p w14:paraId="094E011E"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Chatzipanagiotou</w:t>
      </w:r>
      <w:proofErr w:type="spellEnd"/>
      <w:r>
        <w:rPr>
          <w:rFonts w:ascii="Arial" w:hAnsi="Arial" w:cs="Arial"/>
          <w:color w:val="222222"/>
          <w:shd w:val="clear" w:color="auto" w:fill="FFFFFF"/>
        </w:rPr>
        <w:t>, P., &amp; Katsarou, E. (2023). Crisis management, school leadership in disruptive times and the recovery of schools in the post COVID-19 era: A systematic literature review.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(2), 118. </w:t>
      </w:r>
      <w:hyperlink r:id="rId22" w:history="1">
        <w:r w:rsidRPr="00E42C41">
          <w:rPr>
            <w:rStyle w:val="Hyperlink"/>
            <w:rFonts w:ascii="Arial" w:hAnsi="Arial" w:cs="Arial"/>
            <w:shd w:val="clear" w:color="auto" w:fill="FFFFFF"/>
          </w:rPr>
          <w:t>https://www.mdpi.com/2227-7102/13/2/118</w:t>
        </w:r>
      </w:hyperlink>
    </w:p>
    <w:p w14:paraId="108D8184"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Cruz, R. D. D., &amp; </w:t>
      </w:r>
      <w:proofErr w:type="spellStart"/>
      <w:r>
        <w:rPr>
          <w:rFonts w:ascii="Arial" w:hAnsi="Arial" w:cs="Arial"/>
          <w:color w:val="222222"/>
          <w:shd w:val="clear" w:color="auto" w:fill="FFFFFF"/>
        </w:rPr>
        <w:t>Ormilla</w:t>
      </w:r>
      <w:proofErr w:type="spellEnd"/>
      <w:r>
        <w:rPr>
          <w:rFonts w:ascii="Arial" w:hAnsi="Arial" w:cs="Arial"/>
          <w:color w:val="222222"/>
          <w:shd w:val="clear" w:color="auto" w:fill="FFFFFF"/>
        </w:rPr>
        <w:t>, R. C. G. (2022). Disaster risk reduction management implementation in the public elementary schools of the department of education, Philippines. </w:t>
      </w:r>
      <w:r>
        <w:rPr>
          <w:rFonts w:ascii="Arial" w:hAnsi="Arial" w:cs="Arial"/>
          <w:i/>
          <w:iCs/>
          <w:color w:val="222222"/>
          <w:shd w:val="clear" w:color="auto" w:fill="FFFFFF"/>
        </w:rPr>
        <w:t>International Journal of Disaster Risk Management</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(2), 1-15. </w:t>
      </w:r>
      <w:hyperlink r:id="rId23" w:history="1">
        <w:r w:rsidRPr="00E42C41">
          <w:rPr>
            <w:rStyle w:val="Hyperlink"/>
            <w:rFonts w:ascii="Arial" w:hAnsi="Arial" w:cs="Arial"/>
            <w:shd w:val="clear" w:color="auto" w:fill="FFFFFF"/>
          </w:rPr>
          <w:t>https://www.ceeol.com/search/article-detail?id=1087257</w:t>
        </w:r>
      </w:hyperlink>
    </w:p>
    <w:p w14:paraId="1FAE5F79"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Fagel, M. J., Mathews, R. C., &amp; Murphy, J. H. (Eds.). (2021). </w:t>
      </w:r>
      <w:r>
        <w:rPr>
          <w:rFonts w:ascii="Arial" w:hAnsi="Arial" w:cs="Arial"/>
          <w:i/>
          <w:iCs/>
          <w:color w:val="222222"/>
          <w:shd w:val="clear" w:color="auto" w:fill="FFFFFF"/>
        </w:rPr>
        <w:t>Principles of emergency management and emergency operations centers (EOC)</w:t>
      </w:r>
      <w:r>
        <w:rPr>
          <w:rFonts w:ascii="Arial" w:hAnsi="Arial" w:cs="Arial"/>
          <w:color w:val="222222"/>
          <w:shd w:val="clear" w:color="auto" w:fill="FFFFFF"/>
        </w:rPr>
        <w:t xml:space="preserve">. CRC press. </w:t>
      </w:r>
      <w:hyperlink r:id="rId24" w:history="1">
        <w:r w:rsidRPr="00E42C41">
          <w:rPr>
            <w:rStyle w:val="Hyperlink"/>
            <w:rFonts w:ascii="Arial" w:hAnsi="Arial" w:cs="Arial"/>
            <w:shd w:val="clear" w:color="auto" w:fill="FFFFFF"/>
          </w:rPr>
          <w:t>https://books.google.com/books?hl=en&amp;lr=&amp;id=45dBEAAAQBAJ&amp;oi=fnd&amp;pg=PT12&amp;dq=proactive+leadership,+particularly+in+initiating+timely+actions+and+maintaining+order,+significantly+reduces+confusion+and+facilitates+smoother+coordination+during+emergencies.&amp;ots=AdFX60QNBi&amp;sig=Z6EC74mo6J7JAmZHxc2isRoF9pM</w:t>
        </w:r>
      </w:hyperlink>
    </w:p>
    <w:p w14:paraId="7F917979"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Freeman, B., </w:t>
      </w:r>
      <w:proofErr w:type="spellStart"/>
      <w:r>
        <w:rPr>
          <w:rFonts w:ascii="Arial" w:hAnsi="Arial" w:cs="Arial"/>
          <w:color w:val="222222"/>
          <w:shd w:val="clear" w:color="auto" w:fill="FFFFFF"/>
        </w:rPr>
        <w:t>Leihy</w:t>
      </w:r>
      <w:proofErr w:type="spellEnd"/>
      <w:r>
        <w:rPr>
          <w:rFonts w:ascii="Arial" w:hAnsi="Arial" w:cs="Arial"/>
          <w:color w:val="222222"/>
          <w:shd w:val="clear" w:color="auto" w:fill="FFFFFF"/>
        </w:rPr>
        <w:t xml:space="preserve">, P., Teo, I., &amp; Kim, D. K. (2021). Rapid, </w:t>
      </w:r>
      <w:proofErr w:type="spellStart"/>
      <w:r>
        <w:rPr>
          <w:rFonts w:ascii="Arial" w:hAnsi="Arial" w:cs="Arial"/>
          <w:color w:val="222222"/>
          <w:shd w:val="clear" w:color="auto" w:fill="FFFFFF"/>
        </w:rPr>
        <w:t>centralised</w:t>
      </w:r>
      <w:proofErr w:type="spellEnd"/>
      <w:r>
        <w:rPr>
          <w:rFonts w:ascii="Arial" w:hAnsi="Arial" w:cs="Arial"/>
          <w:color w:val="222222"/>
          <w:shd w:val="clear" w:color="auto" w:fill="FFFFFF"/>
        </w:rPr>
        <w:t xml:space="preserve"> decision-making in a higher education emergency. </w:t>
      </w:r>
      <w:r>
        <w:rPr>
          <w:rFonts w:ascii="Arial" w:hAnsi="Arial" w:cs="Arial"/>
          <w:i/>
          <w:iCs/>
          <w:color w:val="222222"/>
          <w:shd w:val="clear" w:color="auto" w:fill="FFFFFF"/>
        </w:rPr>
        <w:t>Quality Assurance in Education</w:t>
      </w:r>
      <w:r>
        <w:rPr>
          <w:rFonts w:ascii="Arial" w:hAnsi="Arial" w:cs="Arial"/>
          <w:color w:val="222222"/>
          <w:shd w:val="clear" w:color="auto" w:fill="FFFFFF"/>
        </w:rPr>
        <w:t>, </w:t>
      </w:r>
      <w:r>
        <w:rPr>
          <w:rFonts w:ascii="Arial" w:hAnsi="Arial" w:cs="Arial"/>
          <w:i/>
          <w:iCs/>
          <w:color w:val="222222"/>
          <w:shd w:val="clear" w:color="auto" w:fill="FFFFFF"/>
        </w:rPr>
        <w:t>29</w:t>
      </w:r>
      <w:r>
        <w:rPr>
          <w:rFonts w:ascii="Arial" w:hAnsi="Arial" w:cs="Arial"/>
          <w:color w:val="222222"/>
          <w:shd w:val="clear" w:color="auto" w:fill="FFFFFF"/>
        </w:rPr>
        <w:t xml:space="preserve">(4), 393-407. </w:t>
      </w:r>
      <w:hyperlink r:id="rId25" w:history="1">
        <w:r w:rsidRPr="00E42C41">
          <w:rPr>
            <w:rStyle w:val="Hyperlink"/>
            <w:rFonts w:ascii="Arial" w:hAnsi="Arial" w:cs="Arial"/>
            <w:shd w:val="clear" w:color="auto" w:fill="FFFFFF"/>
          </w:rPr>
          <w:t>https://www.researchgate.net/profile/Brigid-Freeman/publication/354123073_Rapid_centralised_decision-making_in_a_higher_education_emergency/links/6131ea2c2b40ec7d8be0290f/Rapid-centralised-decision-making-in-a-higher-education-emergency.pdf</w:t>
        </w:r>
      </w:hyperlink>
    </w:p>
    <w:p w14:paraId="0AEE12F8"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Greenwood, L. L., Hess, D., Abraham, Y., &amp; Schneider, J. (2023). Capacity Building for Organizational Resilience: Integrating Standards on Risk, Disruption and Continuity in the Curriculum. </w:t>
      </w:r>
      <w:r>
        <w:rPr>
          <w:rFonts w:ascii="Arial" w:hAnsi="Arial" w:cs="Arial"/>
          <w:i/>
          <w:iCs/>
          <w:color w:val="222222"/>
          <w:shd w:val="clear" w:color="auto" w:fill="FFFFFF"/>
        </w:rPr>
        <w:t>International Journal on Social and Education Sciences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(2), 327-340. </w:t>
      </w:r>
      <w:hyperlink r:id="rId26" w:history="1">
        <w:r w:rsidRPr="00E42C41">
          <w:rPr>
            <w:rStyle w:val="Hyperlink"/>
            <w:rFonts w:ascii="Arial" w:hAnsi="Arial" w:cs="Arial"/>
            <w:shd w:val="clear" w:color="auto" w:fill="FFFFFF"/>
          </w:rPr>
          <w:t>https://eric.ed.gov/?id=EJ1393718</w:t>
        </w:r>
      </w:hyperlink>
    </w:p>
    <w:p w14:paraId="6A5A58E2"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Grissom, J. A., &amp; Condon, L. (2021). Leading schools and districts in times of crisis. </w:t>
      </w:r>
      <w:r>
        <w:rPr>
          <w:rFonts w:ascii="Arial" w:hAnsi="Arial" w:cs="Arial"/>
          <w:i/>
          <w:iCs/>
          <w:color w:val="222222"/>
          <w:shd w:val="clear" w:color="auto" w:fill="FFFFFF"/>
        </w:rPr>
        <w:t>Educational Researcher</w:t>
      </w:r>
      <w:r>
        <w:rPr>
          <w:rFonts w:ascii="Arial" w:hAnsi="Arial" w:cs="Arial"/>
          <w:color w:val="222222"/>
          <w:shd w:val="clear" w:color="auto" w:fill="FFFFFF"/>
        </w:rPr>
        <w:t>, </w:t>
      </w:r>
      <w:r>
        <w:rPr>
          <w:rFonts w:ascii="Arial" w:hAnsi="Arial" w:cs="Arial"/>
          <w:i/>
          <w:iCs/>
          <w:color w:val="222222"/>
          <w:shd w:val="clear" w:color="auto" w:fill="FFFFFF"/>
        </w:rPr>
        <w:t>50</w:t>
      </w:r>
      <w:r>
        <w:rPr>
          <w:rFonts w:ascii="Arial" w:hAnsi="Arial" w:cs="Arial"/>
          <w:color w:val="222222"/>
          <w:shd w:val="clear" w:color="auto" w:fill="FFFFFF"/>
        </w:rPr>
        <w:t xml:space="preserve">(5), 315-324. </w:t>
      </w:r>
      <w:hyperlink r:id="rId27" w:history="1">
        <w:r w:rsidRPr="00E42C41">
          <w:rPr>
            <w:rStyle w:val="Hyperlink"/>
            <w:rFonts w:ascii="Arial" w:hAnsi="Arial" w:cs="Arial"/>
            <w:shd w:val="clear" w:color="auto" w:fill="FFFFFF"/>
          </w:rPr>
          <w:t>https://journals.sagepub.com/doi/abs/10.3102/0013189X211023112</w:t>
        </w:r>
      </w:hyperlink>
    </w:p>
    <w:p w14:paraId="2710B710"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Heisel, S. (2024). </w:t>
      </w:r>
      <w:r>
        <w:rPr>
          <w:rFonts w:ascii="Arial" w:hAnsi="Arial" w:cs="Arial"/>
          <w:i/>
          <w:iCs/>
          <w:color w:val="222222"/>
          <w:shd w:val="clear" w:color="auto" w:fill="FFFFFF"/>
        </w:rPr>
        <w:t>CRISIS RESPONSE AND LEADERSHIP IN RURAL SCHOOL DISTRICTS: NAVIGATING SOCIOECONOMIC DISPARITIES AND EMERGENCY PREPAREDNESS</w:t>
      </w:r>
      <w:r>
        <w:rPr>
          <w:rFonts w:ascii="Arial" w:hAnsi="Arial" w:cs="Arial"/>
          <w:color w:val="222222"/>
          <w:shd w:val="clear" w:color="auto" w:fill="FFFFFF"/>
        </w:rPr>
        <w:t xml:space="preserve"> (Doctoral dissertation). </w:t>
      </w:r>
      <w:hyperlink r:id="rId28" w:history="1">
        <w:r w:rsidRPr="00E42C41">
          <w:rPr>
            <w:rStyle w:val="Hyperlink"/>
            <w:rFonts w:ascii="Arial" w:hAnsi="Arial" w:cs="Arial"/>
            <w:shd w:val="clear" w:color="auto" w:fill="FFFFFF"/>
          </w:rPr>
          <w:t>https://wtamu-ir.tdl.org/bitstreams/ecb2dde1-0aed-449b-883b-6e950e9ca65b/download</w:t>
        </w:r>
      </w:hyperlink>
    </w:p>
    <w:p w14:paraId="474B95F0"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Jhonshon</w:t>
      </w:r>
      <w:proofErr w:type="spellEnd"/>
      <w:r>
        <w:rPr>
          <w:rFonts w:ascii="Arial" w:hAnsi="Arial" w:cs="Arial"/>
          <w:color w:val="222222"/>
          <w:shd w:val="clear" w:color="auto" w:fill="FFFFFF"/>
        </w:rPr>
        <w:t xml:space="preserve">, E., Mendoza, C., &amp; </w:t>
      </w:r>
      <w:proofErr w:type="spellStart"/>
      <w:r>
        <w:rPr>
          <w:rFonts w:ascii="Arial" w:hAnsi="Arial" w:cs="Arial"/>
          <w:color w:val="222222"/>
          <w:shd w:val="clear" w:color="auto" w:fill="FFFFFF"/>
        </w:rPr>
        <w:t>Sobirin</w:t>
      </w:r>
      <w:proofErr w:type="spellEnd"/>
      <w:r>
        <w:rPr>
          <w:rFonts w:ascii="Arial" w:hAnsi="Arial" w:cs="Arial"/>
          <w:color w:val="222222"/>
          <w:shd w:val="clear" w:color="auto" w:fill="FFFFFF"/>
        </w:rPr>
        <w:t xml:space="preserve">, M. S. (2024). Strategies of School Principals in Improving Educational Quality </w:t>
      </w:r>
      <w:proofErr w:type="gramStart"/>
      <w:r>
        <w:rPr>
          <w:rFonts w:ascii="Arial" w:hAnsi="Arial" w:cs="Arial"/>
          <w:color w:val="222222"/>
          <w:shd w:val="clear" w:color="auto" w:fill="FFFFFF"/>
        </w:rPr>
        <w:t>An</w:t>
      </w:r>
      <w:proofErr w:type="gramEnd"/>
      <w:r>
        <w:rPr>
          <w:rFonts w:ascii="Arial" w:hAnsi="Arial" w:cs="Arial"/>
          <w:color w:val="222222"/>
          <w:shd w:val="clear" w:color="auto" w:fill="FFFFFF"/>
        </w:rPr>
        <w:t xml:space="preserve"> Analysis of Best Practices in American Schools. </w:t>
      </w:r>
      <w:r>
        <w:rPr>
          <w:rFonts w:ascii="Arial" w:hAnsi="Arial" w:cs="Arial"/>
          <w:i/>
          <w:iCs/>
          <w:color w:val="222222"/>
          <w:shd w:val="clear" w:color="auto" w:fill="FFFFFF"/>
        </w:rPr>
        <w:t xml:space="preserve">JMPI: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Manajemen</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Pemikiran</w:t>
      </w:r>
      <w:proofErr w:type="spellEnd"/>
      <w:r>
        <w:rPr>
          <w:rFonts w:ascii="Arial" w:hAnsi="Arial" w:cs="Arial"/>
          <w:i/>
          <w:iCs/>
          <w:color w:val="222222"/>
          <w:shd w:val="clear" w:color="auto" w:fill="FFFFFF"/>
        </w:rPr>
        <w:t xml:space="preserve"> Islam</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112-124. </w:t>
      </w:r>
      <w:hyperlink r:id="rId29" w:history="1">
        <w:r w:rsidRPr="00E42C41">
          <w:rPr>
            <w:rStyle w:val="Hyperlink"/>
            <w:rFonts w:ascii="Arial" w:hAnsi="Arial" w:cs="Arial"/>
            <w:shd w:val="clear" w:color="auto" w:fill="FFFFFF"/>
          </w:rPr>
          <w:t>https://journal.as-salafiyah.id/index.php/jmpi/article/view/84</w:t>
        </w:r>
      </w:hyperlink>
    </w:p>
    <w:p w14:paraId="39C3E9B6"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Kumar, D., &amp; </w:t>
      </w:r>
      <w:proofErr w:type="spellStart"/>
      <w:r>
        <w:rPr>
          <w:rFonts w:ascii="Arial" w:hAnsi="Arial" w:cs="Arial"/>
          <w:color w:val="222222"/>
          <w:shd w:val="clear" w:color="auto" w:fill="FFFFFF"/>
        </w:rPr>
        <w:t>Limbachiya</w:t>
      </w:r>
      <w:proofErr w:type="spellEnd"/>
      <w:r>
        <w:rPr>
          <w:rFonts w:ascii="Arial" w:hAnsi="Arial" w:cs="Arial"/>
          <w:color w:val="222222"/>
          <w:shd w:val="clear" w:color="auto" w:fill="FFFFFF"/>
        </w:rPr>
        <w:t>, H. (2023). Role of Administrative Department in Education with reference to Schools and Universities. </w:t>
      </w:r>
      <w:proofErr w:type="spellStart"/>
      <w:r>
        <w:rPr>
          <w:rFonts w:ascii="Arial" w:hAnsi="Arial" w:cs="Arial"/>
          <w:i/>
          <w:iCs/>
          <w:color w:val="222222"/>
          <w:shd w:val="clear" w:color="auto" w:fill="FFFFFF"/>
        </w:rPr>
        <w:t>Revista</w:t>
      </w:r>
      <w:proofErr w:type="spellEnd"/>
      <w:r>
        <w:rPr>
          <w:rFonts w:ascii="Arial" w:hAnsi="Arial" w:cs="Arial"/>
          <w:i/>
          <w:iCs/>
          <w:color w:val="222222"/>
          <w:shd w:val="clear" w:color="auto" w:fill="FFFFFF"/>
        </w:rPr>
        <w:t xml:space="preserve"> Review Index Journal of Multidisciplinary</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(3), 18-22. </w:t>
      </w:r>
      <w:hyperlink r:id="rId30" w:history="1">
        <w:r w:rsidRPr="00E42C41">
          <w:rPr>
            <w:rStyle w:val="Hyperlink"/>
            <w:rFonts w:ascii="Arial" w:hAnsi="Arial" w:cs="Arial"/>
            <w:shd w:val="clear" w:color="auto" w:fill="FFFFFF"/>
          </w:rPr>
          <w:t>http://rrijm.com/index.php/RRIJM/article/view/52</w:t>
        </w:r>
      </w:hyperlink>
    </w:p>
    <w:p w14:paraId="2BE9B692"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Mizrak</w:t>
      </w:r>
      <w:proofErr w:type="spellEnd"/>
      <w:r>
        <w:rPr>
          <w:rFonts w:ascii="Arial" w:hAnsi="Arial" w:cs="Arial"/>
          <w:color w:val="222222"/>
          <w:shd w:val="clear" w:color="auto" w:fill="FFFFFF"/>
        </w:rPr>
        <w:t>, K. C. (2024). Crisis management and risk mitigation: Strategies for effective response and resilience. </w:t>
      </w:r>
      <w:r>
        <w:rPr>
          <w:rFonts w:ascii="Arial" w:hAnsi="Arial" w:cs="Arial"/>
          <w:i/>
          <w:iCs/>
          <w:color w:val="222222"/>
          <w:shd w:val="clear" w:color="auto" w:fill="FFFFFF"/>
        </w:rPr>
        <w:t>Trends, challenges, and practices in contemporary strategic management</w:t>
      </w:r>
      <w:r>
        <w:rPr>
          <w:rFonts w:ascii="Arial" w:hAnsi="Arial" w:cs="Arial"/>
          <w:color w:val="222222"/>
          <w:shd w:val="clear" w:color="auto" w:fill="FFFFFF"/>
        </w:rPr>
        <w:t xml:space="preserve">, 254-278. </w:t>
      </w:r>
      <w:hyperlink r:id="rId31" w:history="1">
        <w:r w:rsidRPr="00E42C41">
          <w:rPr>
            <w:rStyle w:val="Hyperlink"/>
            <w:rFonts w:ascii="Arial" w:hAnsi="Arial" w:cs="Arial"/>
            <w:shd w:val="clear" w:color="auto" w:fill="FFFFFF"/>
          </w:rPr>
          <w:t>https://www.igi-global.com/chapter/crisis-management-and-risk-mitigation/336799</w:t>
        </w:r>
      </w:hyperlink>
    </w:p>
    <w:p w14:paraId="400DD582"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Mizrak</w:t>
      </w:r>
      <w:proofErr w:type="spellEnd"/>
      <w:r>
        <w:rPr>
          <w:rFonts w:ascii="Arial" w:hAnsi="Arial" w:cs="Arial"/>
          <w:color w:val="222222"/>
          <w:shd w:val="clear" w:color="auto" w:fill="FFFFFF"/>
        </w:rPr>
        <w:t>, K. C. (2024). Crisis management and risk mitigation: Strategies for effective response and resilience. </w:t>
      </w:r>
      <w:r>
        <w:rPr>
          <w:rFonts w:ascii="Arial" w:hAnsi="Arial" w:cs="Arial"/>
          <w:i/>
          <w:iCs/>
          <w:color w:val="222222"/>
          <w:shd w:val="clear" w:color="auto" w:fill="FFFFFF"/>
        </w:rPr>
        <w:t>Trends, challenges, and practices in contemporary strategic management</w:t>
      </w:r>
      <w:r>
        <w:rPr>
          <w:rFonts w:ascii="Arial" w:hAnsi="Arial" w:cs="Arial"/>
          <w:color w:val="222222"/>
          <w:shd w:val="clear" w:color="auto" w:fill="FFFFFF"/>
        </w:rPr>
        <w:t xml:space="preserve">, 254-278. </w:t>
      </w:r>
      <w:hyperlink r:id="rId32" w:history="1">
        <w:r w:rsidRPr="00E42C41">
          <w:rPr>
            <w:rStyle w:val="Hyperlink"/>
            <w:rFonts w:ascii="Arial" w:hAnsi="Arial" w:cs="Arial"/>
            <w:shd w:val="clear" w:color="auto" w:fill="FFFFFF"/>
          </w:rPr>
          <w:t>https://www.researchgate.net/profile/Kagan-Mizrak/publication/378432533_Crisis_Management_and_Risk_Mitigation_Strategies_for_Effective_Response_and_Resilience/links/65ee0f699ab2af0ef8aea46c/Crisis-Management-and-Risk-Mitigation-Strategies-for-Effective-Response-and-Resilience.pdf</w:t>
        </w:r>
      </w:hyperlink>
    </w:p>
    <w:p w14:paraId="6DC4A73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Mohiuddin, A. K. (2023). Escalation of war and conflicts among the COVID-19 pandemic, natural disasters, and economic crises: A global health concern. </w:t>
      </w:r>
      <w:r>
        <w:rPr>
          <w:rFonts w:ascii="Arial" w:hAnsi="Arial" w:cs="Arial"/>
          <w:i/>
          <w:iCs/>
          <w:color w:val="222222"/>
          <w:shd w:val="clear" w:color="auto" w:fill="FFFFFF"/>
        </w:rPr>
        <w:t xml:space="preserve">American Journal of </w:t>
      </w:r>
      <w:proofErr w:type="spellStart"/>
      <w:r>
        <w:rPr>
          <w:rFonts w:ascii="Arial" w:hAnsi="Arial" w:cs="Arial"/>
          <w:i/>
          <w:iCs/>
          <w:color w:val="222222"/>
          <w:shd w:val="clear" w:color="auto" w:fill="FFFFFF"/>
        </w:rPr>
        <w:t>Biopharmacy</w:t>
      </w:r>
      <w:proofErr w:type="spellEnd"/>
      <w:r>
        <w:rPr>
          <w:rFonts w:ascii="Arial" w:hAnsi="Arial" w:cs="Arial"/>
          <w:i/>
          <w:iCs/>
          <w:color w:val="222222"/>
          <w:shd w:val="clear" w:color="auto" w:fill="FFFFFF"/>
        </w:rPr>
        <w:t xml:space="preserve"> and Pharmaceutical Sciences</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 </w:t>
      </w:r>
      <w:hyperlink r:id="rId33" w:history="1">
        <w:r w:rsidRPr="00E42C41">
          <w:rPr>
            <w:rStyle w:val="Hyperlink"/>
            <w:rFonts w:ascii="Arial" w:hAnsi="Arial" w:cs="Arial"/>
            <w:shd w:val="clear" w:color="auto" w:fill="FFFFFF"/>
          </w:rPr>
          <w:t>https://ajbps.org/escalation-of-war-and-conflicts-among-the-covid-19-pandemic-natural-disasters-and-economic-crises-a-global-health-concern/</w:t>
        </w:r>
      </w:hyperlink>
    </w:p>
    <w:p w14:paraId="2C505575"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Moreno, F., &amp; </w:t>
      </w:r>
      <w:proofErr w:type="spellStart"/>
      <w:r>
        <w:rPr>
          <w:rFonts w:ascii="Arial" w:hAnsi="Arial" w:cs="Arial"/>
          <w:color w:val="222222"/>
          <w:shd w:val="clear" w:color="auto" w:fill="FFFFFF"/>
        </w:rPr>
        <w:t>Sulasula</w:t>
      </w:r>
      <w:proofErr w:type="spellEnd"/>
      <w:r>
        <w:rPr>
          <w:rFonts w:ascii="Arial" w:hAnsi="Arial" w:cs="Arial"/>
          <w:color w:val="222222"/>
          <w:shd w:val="clear" w:color="auto" w:fill="FFFFFF"/>
        </w:rPr>
        <w:t xml:space="preserve">, J. (2024). An Economic Analysis of State of Emergency After Catastrophe in the Zamboanga Peninsula Region, Philippines. </w:t>
      </w:r>
      <w:hyperlink r:id="rId34" w:history="1">
        <w:r w:rsidRPr="00E42C41">
          <w:rPr>
            <w:rStyle w:val="Hyperlink"/>
            <w:rFonts w:ascii="Arial" w:hAnsi="Arial" w:cs="Arial"/>
            <w:shd w:val="clear" w:color="auto" w:fill="FFFFFF"/>
          </w:rPr>
          <w:t>https://mpra.ub.uni-muenchen.de/id/eprint/123051</w:t>
        </w:r>
      </w:hyperlink>
    </w:p>
    <w:p w14:paraId="20EB26DF"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Osegbue</w:t>
      </w:r>
      <w:proofErr w:type="spellEnd"/>
      <w:r>
        <w:rPr>
          <w:rFonts w:ascii="Arial" w:hAnsi="Arial" w:cs="Arial"/>
          <w:color w:val="222222"/>
          <w:shd w:val="clear" w:color="auto" w:fill="FFFFFF"/>
        </w:rPr>
        <w:t>, G. C. (2025). Crisis intervention and response in educational institutions: developing and implementing plans in developing countries. </w:t>
      </w:r>
      <w:r>
        <w:rPr>
          <w:rFonts w:ascii="Arial" w:hAnsi="Arial" w:cs="Arial"/>
          <w:i/>
          <w:iCs/>
          <w:color w:val="222222"/>
          <w:shd w:val="clear" w:color="auto" w:fill="FFFFFF"/>
        </w:rPr>
        <w:t>African Journal of Educational Management, Teaching and Entrepreneurship Studies</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 </w:t>
      </w:r>
      <w:hyperlink r:id="rId35" w:history="1">
        <w:r w:rsidRPr="00E42C41">
          <w:rPr>
            <w:rStyle w:val="Hyperlink"/>
            <w:rFonts w:ascii="Arial" w:hAnsi="Arial" w:cs="Arial"/>
            <w:shd w:val="clear" w:color="auto" w:fill="FFFFFF"/>
          </w:rPr>
          <w:t>https://www.ajemates.org/index.php/ajemates/article/view/724</w:t>
        </w:r>
      </w:hyperlink>
    </w:p>
    <w:p w14:paraId="783F09C8"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6" w:history="1">
        <w:r w:rsidRPr="00E42C41">
          <w:rPr>
            <w:rStyle w:val="Hyperlink"/>
            <w:rFonts w:ascii="Arial" w:hAnsi="Arial" w:cs="Arial"/>
            <w:shd w:val="clear" w:color="auto" w:fill="FFFFFF"/>
          </w:rPr>
          <w:t>https://hal.science/hal-05073466/</w:t>
        </w:r>
      </w:hyperlink>
    </w:p>
    <w:p w14:paraId="25673684"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Stephen, R. (2024). </w:t>
      </w:r>
      <w:r>
        <w:rPr>
          <w:rFonts w:ascii="Arial" w:hAnsi="Arial" w:cs="Arial"/>
          <w:i/>
          <w:iCs/>
          <w:color w:val="222222"/>
          <w:shd w:val="clear" w:color="auto" w:fill="FFFFFF"/>
        </w:rPr>
        <w:t>Leading through crisis: Preparation, perception, and coping skills of secondary principals</w:t>
      </w:r>
      <w:r>
        <w:rPr>
          <w:rFonts w:ascii="Arial" w:hAnsi="Arial" w:cs="Arial"/>
          <w:color w:val="222222"/>
          <w:shd w:val="clear" w:color="auto" w:fill="FFFFFF"/>
        </w:rPr>
        <w:t xml:space="preserve"> (Doctoral dissertation). </w:t>
      </w:r>
      <w:hyperlink r:id="rId37" w:history="1">
        <w:r w:rsidRPr="00E42C41">
          <w:rPr>
            <w:rStyle w:val="Hyperlink"/>
            <w:rFonts w:ascii="Arial" w:hAnsi="Arial" w:cs="Arial"/>
            <w:shd w:val="clear" w:color="auto" w:fill="FFFFFF"/>
          </w:rPr>
          <w:t>https://uh-ir.tdl.org/bitstreams/ad668c60-f3f0-473a-a981-3c008b38f975/download</w:t>
        </w:r>
      </w:hyperlink>
    </w:p>
    <w:p w14:paraId="48559E6B" w14:textId="77777777" w:rsidR="00824EAD" w:rsidRDefault="00824EAD" w:rsidP="00824EAD">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D26ED7">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F389" w14:textId="77777777" w:rsidR="006C7796" w:rsidRDefault="006C7796">
      <w:r>
        <w:separator/>
      </w:r>
    </w:p>
  </w:endnote>
  <w:endnote w:type="continuationSeparator" w:id="0">
    <w:p w14:paraId="655DF5D5" w14:textId="77777777" w:rsidR="006C7796" w:rsidRDefault="006C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79B0" w14:textId="77777777" w:rsidR="00D26ED7" w:rsidRDefault="00D2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625B" w14:textId="77777777" w:rsidR="00D26ED7" w:rsidRDefault="00D2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146E349E" w:rsidR="00717F2E" w:rsidRPr="00D26ED7" w:rsidRDefault="00717F2E" w:rsidP="00D26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FADB" w14:textId="77777777" w:rsidR="006C7796" w:rsidRDefault="006C7796">
      <w:r>
        <w:separator/>
      </w:r>
    </w:p>
  </w:footnote>
  <w:footnote w:type="continuationSeparator" w:id="0">
    <w:p w14:paraId="1466C803" w14:textId="77777777" w:rsidR="006C7796" w:rsidRDefault="006C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C374" w14:textId="5F0B5697" w:rsidR="00D26ED7" w:rsidRDefault="006C7796">
    <w:pPr>
      <w:pStyle w:val="Header"/>
    </w:pPr>
    <w:r>
      <w:rPr>
        <w:noProof/>
      </w:rPr>
      <w:pict w14:anchorId="41D9E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F181" w14:textId="38166F69" w:rsidR="00D26ED7" w:rsidRDefault="006C7796">
    <w:pPr>
      <w:pStyle w:val="Header"/>
    </w:pPr>
    <w:r>
      <w:rPr>
        <w:noProof/>
      </w:rPr>
      <w:pict w14:anchorId="70AD0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D168645" w:rsidR="00717F2E" w:rsidRDefault="006C7796">
    <w:pPr>
      <w:ind w:left="2160"/>
      <w:jc w:val="center"/>
      <w:rPr>
        <w:rFonts w:ascii="Times New Roman" w:eastAsia="Calibri" w:hAnsi="Times New Roman"/>
        <w:i/>
        <w:sz w:val="18"/>
        <w:szCs w:val="22"/>
      </w:rPr>
    </w:pPr>
    <w:r>
      <w:rPr>
        <w:noProof/>
      </w:rPr>
      <w:pict w14:anchorId="249BE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FE3FB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FE3FB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FE3FB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FE3FB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FE3FB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FE3FB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9401" w14:textId="49EEB556" w:rsidR="00D26ED7" w:rsidRDefault="006C7796">
    <w:pPr>
      <w:pStyle w:val="Header"/>
    </w:pPr>
    <w:r>
      <w:rPr>
        <w:noProof/>
      </w:rPr>
      <w:pict w14:anchorId="34DE2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E2AA" w14:textId="4FA55301" w:rsidR="00D26ED7" w:rsidRDefault="006C7796">
    <w:pPr>
      <w:pStyle w:val="Header"/>
    </w:pPr>
    <w:r>
      <w:rPr>
        <w:noProof/>
      </w:rPr>
      <w:pict w14:anchorId="219E4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E688" w14:textId="5577E5A0" w:rsidR="00D26ED7" w:rsidRDefault="006C7796">
    <w:pPr>
      <w:pStyle w:val="Header"/>
    </w:pPr>
    <w:r>
      <w:rPr>
        <w:noProof/>
      </w:rPr>
      <w:pict w14:anchorId="0DB43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4095"/>
    <w:rsid w:val="00014434"/>
    <w:rsid w:val="00015C44"/>
    <w:rsid w:val="000166F6"/>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86F59"/>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763"/>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35A"/>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375"/>
    <w:rsid w:val="00130F17"/>
    <w:rsid w:val="001320BF"/>
    <w:rsid w:val="00141329"/>
    <w:rsid w:val="001419F5"/>
    <w:rsid w:val="00142BC2"/>
    <w:rsid w:val="00143F8B"/>
    <w:rsid w:val="00146358"/>
    <w:rsid w:val="00147E94"/>
    <w:rsid w:val="00147F5C"/>
    <w:rsid w:val="001542F7"/>
    <w:rsid w:val="001568A2"/>
    <w:rsid w:val="0016056F"/>
    <w:rsid w:val="00162528"/>
    <w:rsid w:val="001627B6"/>
    <w:rsid w:val="00163510"/>
    <w:rsid w:val="00163988"/>
    <w:rsid w:val="00163BC4"/>
    <w:rsid w:val="00165110"/>
    <w:rsid w:val="001746F8"/>
    <w:rsid w:val="00176FD0"/>
    <w:rsid w:val="00177A80"/>
    <w:rsid w:val="00180B05"/>
    <w:rsid w:val="00180F6F"/>
    <w:rsid w:val="00182742"/>
    <w:rsid w:val="001834E1"/>
    <w:rsid w:val="00185183"/>
    <w:rsid w:val="001858C3"/>
    <w:rsid w:val="00187299"/>
    <w:rsid w:val="00191062"/>
    <w:rsid w:val="00192B72"/>
    <w:rsid w:val="0019304D"/>
    <w:rsid w:val="001A18F4"/>
    <w:rsid w:val="001A1A50"/>
    <w:rsid w:val="001A23A3"/>
    <w:rsid w:val="001A29D8"/>
    <w:rsid w:val="001A5CAA"/>
    <w:rsid w:val="001B0427"/>
    <w:rsid w:val="001B0FAE"/>
    <w:rsid w:val="001B1ACC"/>
    <w:rsid w:val="001B41D7"/>
    <w:rsid w:val="001B785F"/>
    <w:rsid w:val="001C12F6"/>
    <w:rsid w:val="001C2FC3"/>
    <w:rsid w:val="001C4AD5"/>
    <w:rsid w:val="001C572B"/>
    <w:rsid w:val="001C637F"/>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658ED"/>
    <w:rsid w:val="00271F07"/>
    <w:rsid w:val="00274703"/>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1B1"/>
    <w:rsid w:val="002C57D2"/>
    <w:rsid w:val="002C6217"/>
    <w:rsid w:val="002D194A"/>
    <w:rsid w:val="002D2A9F"/>
    <w:rsid w:val="002D3AE7"/>
    <w:rsid w:val="002D53D9"/>
    <w:rsid w:val="002D7B25"/>
    <w:rsid w:val="002E0D56"/>
    <w:rsid w:val="002E3D6C"/>
    <w:rsid w:val="002E74E4"/>
    <w:rsid w:val="002F2031"/>
    <w:rsid w:val="002F2D06"/>
    <w:rsid w:val="002F33C5"/>
    <w:rsid w:val="002F42EB"/>
    <w:rsid w:val="002F5E64"/>
    <w:rsid w:val="002F67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3A53"/>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B0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253A4"/>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81D"/>
    <w:rsid w:val="004F7E11"/>
    <w:rsid w:val="00500D35"/>
    <w:rsid w:val="00502516"/>
    <w:rsid w:val="00502C0C"/>
    <w:rsid w:val="00502D46"/>
    <w:rsid w:val="00503ADC"/>
    <w:rsid w:val="00504CAB"/>
    <w:rsid w:val="00505F06"/>
    <w:rsid w:val="00506828"/>
    <w:rsid w:val="0050761B"/>
    <w:rsid w:val="00507A73"/>
    <w:rsid w:val="00516317"/>
    <w:rsid w:val="00523F46"/>
    <w:rsid w:val="00524ED0"/>
    <w:rsid w:val="0053056E"/>
    <w:rsid w:val="00531D3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12D4"/>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4CA6"/>
    <w:rsid w:val="005E5539"/>
    <w:rsid w:val="005F3517"/>
    <w:rsid w:val="005F3FD1"/>
    <w:rsid w:val="005F5CD3"/>
    <w:rsid w:val="005F7B39"/>
    <w:rsid w:val="006013F0"/>
    <w:rsid w:val="00602BF5"/>
    <w:rsid w:val="006039E7"/>
    <w:rsid w:val="00604A7A"/>
    <w:rsid w:val="0060632C"/>
    <w:rsid w:val="00606EB7"/>
    <w:rsid w:val="00611918"/>
    <w:rsid w:val="0061357D"/>
    <w:rsid w:val="006139C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7B01"/>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2D0D"/>
    <w:rsid w:val="006A6872"/>
    <w:rsid w:val="006A68BD"/>
    <w:rsid w:val="006B0BD5"/>
    <w:rsid w:val="006B21D3"/>
    <w:rsid w:val="006B57D0"/>
    <w:rsid w:val="006B77F3"/>
    <w:rsid w:val="006C24B2"/>
    <w:rsid w:val="006C294F"/>
    <w:rsid w:val="006C3422"/>
    <w:rsid w:val="006C7796"/>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039"/>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709"/>
    <w:rsid w:val="007C3792"/>
    <w:rsid w:val="007C4C8B"/>
    <w:rsid w:val="007C4E84"/>
    <w:rsid w:val="007C6038"/>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4EAD"/>
    <w:rsid w:val="00826162"/>
    <w:rsid w:val="00830F00"/>
    <w:rsid w:val="00831639"/>
    <w:rsid w:val="00831C82"/>
    <w:rsid w:val="0083216F"/>
    <w:rsid w:val="00834274"/>
    <w:rsid w:val="00836887"/>
    <w:rsid w:val="00836A23"/>
    <w:rsid w:val="00844419"/>
    <w:rsid w:val="008453DD"/>
    <w:rsid w:val="00847952"/>
    <w:rsid w:val="00851CF6"/>
    <w:rsid w:val="0085294B"/>
    <w:rsid w:val="0085546E"/>
    <w:rsid w:val="0085657A"/>
    <w:rsid w:val="00860000"/>
    <w:rsid w:val="00862163"/>
    <w:rsid w:val="00863BD3"/>
    <w:rsid w:val="00866D66"/>
    <w:rsid w:val="008671C6"/>
    <w:rsid w:val="00872099"/>
    <w:rsid w:val="00872C97"/>
    <w:rsid w:val="00875803"/>
    <w:rsid w:val="00877D36"/>
    <w:rsid w:val="008832A2"/>
    <w:rsid w:val="0088785F"/>
    <w:rsid w:val="008945A3"/>
    <w:rsid w:val="00896524"/>
    <w:rsid w:val="00897FB9"/>
    <w:rsid w:val="008A09AF"/>
    <w:rsid w:val="008A7E29"/>
    <w:rsid w:val="008B29D3"/>
    <w:rsid w:val="008B459E"/>
    <w:rsid w:val="008B6AE3"/>
    <w:rsid w:val="008C2330"/>
    <w:rsid w:val="008C2F8C"/>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08A5"/>
    <w:rsid w:val="00912783"/>
    <w:rsid w:val="00914956"/>
    <w:rsid w:val="00915CA6"/>
    <w:rsid w:val="00915CD7"/>
    <w:rsid w:val="009205F6"/>
    <w:rsid w:val="00922FF1"/>
    <w:rsid w:val="00924904"/>
    <w:rsid w:val="00925012"/>
    <w:rsid w:val="00926B4B"/>
    <w:rsid w:val="00927834"/>
    <w:rsid w:val="009316B6"/>
    <w:rsid w:val="00932889"/>
    <w:rsid w:val="00936FCF"/>
    <w:rsid w:val="00940320"/>
    <w:rsid w:val="00942A77"/>
    <w:rsid w:val="009500A6"/>
    <w:rsid w:val="00951100"/>
    <w:rsid w:val="00952916"/>
    <w:rsid w:val="00957C18"/>
    <w:rsid w:val="00957C4C"/>
    <w:rsid w:val="00962B44"/>
    <w:rsid w:val="00962C41"/>
    <w:rsid w:val="009648BB"/>
    <w:rsid w:val="009659BA"/>
    <w:rsid w:val="00966023"/>
    <w:rsid w:val="009663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3E6E"/>
    <w:rsid w:val="009A4B52"/>
    <w:rsid w:val="009A5463"/>
    <w:rsid w:val="009A5ABF"/>
    <w:rsid w:val="009B02B2"/>
    <w:rsid w:val="009B2A64"/>
    <w:rsid w:val="009B3FB9"/>
    <w:rsid w:val="009B4BA0"/>
    <w:rsid w:val="009B614E"/>
    <w:rsid w:val="009B6548"/>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6AB"/>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D8F"/>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4F25"/>
    <w:rsid w:val="00B35A5F"/>
    <w:rsid w:val="00B364F1"/>
    <w:rsid w:val="00B37CEB"/>
    <w:rsid w:val="00B44933"/>
    <w:rsid w:val="00B45A26"/>
    <w:rsid w:val="00B52896"/>
    <w:rsid w:val="00B549CE"/>
    <w:rsid w:val="00B55B85"/>
    <w:rsid w:val="00B55D37"/>
    <w:rsid w:val="00B55FCC"/>
    <w:rsid w:val="00B57599"/>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4335"/>
    <w:rsid w:val="00BE62AD"/>
    <w:rsid w:val="00BF121F"/>
    <w:rsid w:val="00BF1F80"/>
    <w:rsid w:val="00BF2939"/>
    <w:rsid w:val="00BF6808"/>
    <w:rsid w:val="00BF7728"/>
    <w:rsid w:val="00C01D17"/>
    <w:rsid w:val="00C05B06"/>
    <w:rsid w:val="00C06CEA"/>
    <w:rsid w:val="00C07CB7"/>
    <w:rsid w:val="00C11D4D"/>
    <w:rsid w:val="00C13D7A"/>
    <w:rsid w:val="00C13DDA"/>
    <w:rsid w:val="00C15151"/>
    <w:rsid w:val="00C15F69"/>
    <w:rsid w:val="00C166EF"/>
    <w:rsid w:val="00C17EB0"/>
    <w:rsid w:val="00C20AB9"/>
    <w:rsid w:val="00C23533"/>
    <w:rsid w:val="00C237B6"/>
    <w:rsid w:val="00C24DF4"/>
    <w:rsid w:val="00C275A8"/>
    <w:rsid w:val="00C27F5F"/>
    <w:rsid w:val="00C302F4"/>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26ED7"/>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7D7"/>
    <w:rsid w:val="00D62A6B"/>
    <w:rsid w:val="00D64B9B"/>
    <w:rsid w:val="00D66561"/>
    <w:rsid w:val="00D668D6"/>
    <w:rsid w:val="00D67D5C"/>
    <w:rsid w:val="00D717BB"/>
    <w:rsid w:val="00D72CC0"/>
    <w:rsid w:val="00D772CA"/>
    <w:rsid w:val="00D77F8D"/>
    <w:rsid w:val="00D77FBA"/>
    <w:rsid w:val="00D80DDE"/>
    <w:rsid w:val="00D8295D"/>
    <w:rsid w:val="00D83D9C"/>
    <w:rsid w:val="00D927CC"/>
    <w:rsid w:val="00D92CBE"/>
    <w:rsid w:val="00D95C45"/>
    <w:rsid w:val="00DA28B7"/>
    <w:rsid w:val="00DA3D24"/>
    <w:rsid w:val="00DB03BF"/>
    <w:rsid w:val="00DB0B12"/>
    <w:rsid w:val="00DB0B8E"/>
    <w:rsid w:val="00DB27EE"/>
    <w:rsid w:val="00DB3BDD"/>
    <w:rsid w:val="00DC09E0"/>
    <w:rsid w:val="00DC0BFC"/>
    <w:rsid w:val="00DC2A65"/>
    <w:rsid w:val="00DD0B2B"/>
    <w:rsid w:val="00DD1370"/>
    <w:rsid w:val="00DD1EA9"/>
    <w:rsid w:val="00DD420D"/>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289E"/>
    <w:rsid w:val="00E9718F"/>
    <w:rsid w:val="00EA012C"/>
    <w:rsid w:val="00EA70C1"/>
    <w:rsid w:val="00EB1D47"/>
    <w:rsid w:val="00EB2E0E"/>
    <w:rsid w:val="00EB37DF"/>
    <w:rsid w:val="00EB7104"/>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24A"/>
    <w:rsid w:val="00F06386"/>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961F0"/>
    <w:rsid w:val="00FA0D6E"/>
    <w:rsid w:val="00FA2543"/>
    <w:rsid w:val="00FB2E01"/>
    <w:rsid w:val="00FB3A86"/>
    <w:rsid w:val="00FB469D"/>
    <w:rsid w:val="00FB7F6C"/>
    <w:rsid w:val="00FC4F69"/>
    <w:rsid w:val="00FD227E"/>
    <w:rsid w:val="00FD270D"/>
    <w:rsid w:val="00FD2B99"/>
    <w:rsid w:val="00FD36C8"/>
    <w:rsid w:val="00FD5070"/>
    <w:rsid w:val="00FD566D"/>
    <w:rsid w:val="00FE32B3"/>
    <w:rsid w:val="00FE3FB8"/>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John-Mart-Elesio/publication/388304307_School_Heads'_Crisis_Leadership_Experiences_in_Managing_Natural_Disasters_and_School_Emergencies/links/679a07004c479b26c9bf89b3/School-Heads-Crisis-Leadership-Experiences-in-Managing-Natural-Disasters-and-School-Emergencies.pdf" TargetMode="External"/><Relationship Id="rId26" Type="http://schemas.openxmlformats.org/officeDocument/2006/relationships/hyperlink" Target="https://eric.ed.gov/?id=EJ1393718" TargetMode="External"/><Relationship Id="rId39" Type="http://schemas.openxmlformats.org/officeDocument/2006/relationships/header" Target="header5.xml"/><Relationship Id="rId21" Type="http://schemas.openxmlformats.org/officeDocument/2006/relationships/hyperlink" Target="https://search.proquest.com/openview/e15a6c0fb38ba955c0d107b6972762ea/1?pq-origsite=gscholar&amp;cbl=18750&amp;diss=y" TargetMode="External"/><Relationship Id="rId34" Type="http://schemas.openxmlformats.org/officeDocument/2006/relationships/hyperlink" Target="https://mpra.ub.uni-muenchen.de/id/eprint/12305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lobalweb1.com/index.php/ojs/article/download/122/144" TargetMode="External"/><Relationship Id="rId20" Type="http://schemas.openxmlformats.org/officeDocument/2006/relationships/hyperlink" Target="http://www.asianjde.com/ojs/index.php/asianjde/article/view/462" TargetMode="External"/><Relationship Id="rId29" Type="http://schemas.openxmlformats.org/officeDocument/2006/relationships/hyperlink" Target="https://journal.as-salafiyah.id/index.php/jmpi/article/view/84"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ooks.google.com/books?hl=en&amp;lr=&amp;id=45dBEAAAQBAJ&amp;oi=fnd&amp;pg=PT12&amp;dq=proactive+leadership,+particularly+in+initiating+timely+actions+and+maintaining+order,+significantly+reduces+confusion+and+facilitates+smoother+coordination+during+emergencies.&amp;ots=AdFX60QNBi&amp;sig=Z6EC74mo6J7JAmZHxc2isRoF9pM" TargetMode="External"/><Relationship Id="rId32" Type="http://schemas.openxmlformats.org/officeDocument/2006/relationships/hyperlink" Target="https://www.researchgate.net/profile/Kagan-Mizrak/publication/378432533_Crisis_Management_and_Risk_Mitigation_Strategies_for_Effective_Response_and_Resilience/links/65ee0f699ab2af0ef8aea46c/Crisis-Management-and-Risk-Mitigation-Strategies-for-Effective-Response-and-Resilience.pdf" TargetMode="External"/><Relationship Id="rId37" Type="http://schemas.openxmlformats.org/officeDocument/2006/relationships/hyperlink" Target="https://uh-ir.tdl.org/bitstreams/ad668c60-f3f0-473a-a981-3c008b38f975/download"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eeol.com/search/article-detail?id=1087257" TargetMode="External"/><Relationship Id="rId28" Type="http://schemas.openxmlformats.org/officeDocument/2006/relationships/hyperlink" Target="https://wtamu-ir.tdl.org/bitstreams/ecb2dde1-0aed-449b-883b-6e950e9ca65b/download" TargetMode="External"/><Relationship Id="rId36" Type="http://schemas.openxmlformats.org/officeDocument/2006/relationships/hyperlink" Target="https://hal.science/hal-05073466/" TargetMode="External"/><Relationship Id="rId10" Type="http://schemas.openxmlformats.org/officeDocument/2006/relationships/footer" Target="footer1.xml"/><Relationship Id="rId19" Type="http://schemas.openxmlformats.org/officeDocument/2006/relationships/hyperlink" Target="https://hal.science/hal-04894432/" TargetMode="External"/><Relationship Id="rId31" Type="http://schemas.openxmlformats.org/officeDocument/2006/relationships/hyperlink" Target="https://www.igi-global.com/chapter/crisis-management-and-risk-mitigation/3367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dpi.com/2227-7102/13/2/118" TargetMode="External"/><Relationship Id="rId27" Type="http://schemas.openxmlformats.org/officeDocument/2006/relationships/hyperlink" Target="https://journals.sagepub.com/doi/abs/10.3102/0013189X211023112" TargetMode="External"/><Relationship Id="rId30" Type="http://schemas.openxmlformats.org/officeDocument/2006/relationships/hyperlink" Target="http://rrijm.com/index.php/RRIJM/article/view/52" TargetMode="External"/><Relationship Id="rId35" Type="http://schemas.openxmlformats.org/officeDocument/2006/relationships/hyperlink" Target="https://www.ajemates.org/index.php/ajemates/article/view/724"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ink.springer.com/article/10.1007/s40138-025-00315-z" TargetMode="External"/><Relationship Id="rId25" Type="http://schemas.openxmlformats.org/officeDocument/2006/relationships/hyperlink" Target="https://www.researchgate.net/profile/Brigid-Freeman/publication/354123073_Rapid_centralised_decision-making_in_a_higher_education_emergency/links/6131ea2c2b40ec7d8be0290f/Rapid-centralised-decision-making-in-a-higher-education-emergency.pdf" TargetMode="External"/><Relationship Id="rId33" Type="http://schemas.openxmlformats.org/officeDocument/2006/relationships/hyperlink" Target="https://ajbps.org/escalation-of-war-and-conflicts-among-the-covid-19-pandemic-natural-disasters-and-economic-crises-a-global-health-concern/"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12</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92</cp:revision>
  <cp:lastPrinted>2024-10-20T02:52:00Z</cp:lastPrinted>
  <dcterms:created xsi:type="dcterms:W3CDTF">2025-06-08T05:39:00Z</dcterms:created>
  <dcterms:modified xsi:type="dcterms:W3CDTF">2025-06-13T06:58:00Z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