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06FA1" w14:textId="4F732682" w:rsidR="000260E3" w:rsidRDefault="000260E3" w:rsidP="000260E3">
      <w:pPr>
        <w:pStyle w:val="Author"/>
        <w:jc w:val="both"/>
        <w:rPr>
          <w:rFonts w:ascii="Arial" w:hAnsi="Arial" w:cs="Arial"/>
          <w:bCs/>
          <w:iCs/>
          <w:kern w:val="28"/>
          <w:sz w:val="20"/>
        </w:rPr>
      </w:pPr>
    </w:p>
    <w:p w14:paraId="0850013F" w14:textId="77777777" w:rsidR="000260E3" w:rsidRDefault="000260E3" w:rsidP="000260E3">
      <w:pPr>
        <w:pStyle w:val="Author"/>
        <w:jc w:val="both"/>
        <w:rPr>
          <w:rFonts w:ascii="Arial" w:hAnsi="Arial" w:cs="Arial"/>
          <w:bCs/>
          <w:iCs/>
          <w:kern w:val="28"/>
          <w:sz w:val="20"/>
        </w:rPr>
      </w:pPr>
    </w:p>
    <w:p w14:paraId="74B7D6CC" w14:textId="21085C17" w:rsidR="003979B3" w:rsidRDefault="004B5E92" w:rsidP="004B5E92">
      <w:pPr>
        <w:pStyle w:val="Author"/>
        <w:rPr>
          <w:rFonts w:ascii="Arial" w:hAnsi="Arial" w:cs="Arial"/>
          <w:noProof/>
          <w:sz w:val="28"/>
          <w:szCs w:val="28"/>
          <w:lang w:val="en-PH" w:eastAsia="en-PH"/>
        </w:rPr>
      </w:pPr>
      <w:r w:rsidRPr="003979B3">
        <w:rPr>
          <w:rFonts w:ascii="Arial" w:hAnsi="Arial" w:cs="Arial"/>
          <w:noProof/>
          <w:sz w:val="28"/>
          <w:szCs w:val="28"/>
          <w:lang w:val="en-PH" w:eastAsia="en-PH"/>
        </w:rPr>
        <w:t>Works</w:t>
      </w:r>
      <w:r>
        <w:rPr>
          <w:rFonts w:ascii="Arial" w:hAnsi="Arial" w:cs="Arial"/>
          <w:noProof/>
          <w:sz w:val="28"/>
          <w:szCs w:val="28"/>
          <w:lang w:val="en-PH" w:eastAsia="en-PH"/>
        </w:rPr>
        <w:t xml:space="preserve">tation culture and professional accountability </w:t>
      </w:r>
      <w:r w:rsidRPr="003979B3">
        <w:rPr>
          <w:rFonts w:ascii="Arial" w:hAnsi="Arial" w:cs="Arial"/>
          <w:noProof/>
          <w:sz w:val="28"/>
          <w:szCs w:val="28"/>
          <w:lang w:val="en-PH" w:eastAsia="en-PH"/>
        </w:rPr>
        <w:t>of public</w:t>
      </w:r>
      <w:r>
        <w:rPr>
          <w:rFonts w:ascii="Arial" w:hAnsi="Arial" w:cs="Arial"/>
          <w:noProof/>
          <w:sz w:val="28"/>
          <w:szCs w:val="28"/>
          <w:lang w:val="en-PH" w:eastAsia="en-PH"/>
        </w:rPr>
        <w:t xml:space="preserve"> </w:t>
      </w:r>
      <w:r w:rsidRPr="003979B3">
        <w:rPr>
          <w:rFonts w:ascii="Arial" w:hAnsi="Arial" w:cs="Arial"/>
          <w:noProof/>
          <w:sz w:val="28"/>
          <w:szCs w:val="28"/>
          <w:lang w:val="en-PH" w:eastAsia="en-PH"/>
        </w:rPr>
        <w:t xml:space="preserve">elementary School teachers </w:t>
      </w:r>
    </w:p>
    <w:p w14:paraId="35AEC27E" w14:textId="77777777" w:rsidR="00781766" w:rsidRDefault="00781766">
      <w:pPr>
        <w:pStyle w:val="Affiliation"/>
        <w:spacing w:after="0" w:line="240" w:lineRule="auto"/>
        <w:jc w:val="center"/>
        <w:rPr>
          <w:rFonts w:ascii="Arial" w:hAnsi="Arial" w:cs="Arial"/>
          <w:i/>
        </w:rPr>
      </w:pPr>
    </w:p>
    <w:p w14:paraId="42A19F81" w14:textId="77777777" w:rsidR="00DD11ED" w:rsidRDefault="00DD11ED">
      <w:pPr>
        <w:pStyle w:val="Affiliation"/>
        <w:spacing w:after="0" w:line="240" w:lineRule="auto"/>
        <w:jc w:val="center"/>
        <w:rPr>
          <w:rFonts w:ascii="Arial" w:hAnsi="Arial" w:cs="Arial"/>
          <w:i/>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276D1">
      <w:pPr>
        <w:pStyle w:val="Affiliation"/>
        <w:spacing w:line="240" w:lineRule="auto"/>
        <w:jc w:val="left"/>
        <w:rPr>
          <w:rFonts w:ascii="Arial" w:hAnsi="Arial" w:cs="Arial"/>
          <w:i/>
        </w:rPr>
        <w:sectPr w:rsidR="00717F2E" w:rsidSect="00DD11ED">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276D1">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D4936">
        <w:trPr>
          <w:trHeight w:val="197"/>
        </w:trPr>
        <w:tc>
          <w:tcPr>
            <w:tcW w:w="9576" w:type="dxa"/>
            <w:shd w:val="clear" w:color="auto" w:fill="F2F2F2"/>
          </w:tcPr>
          <w:p w14:paraId="10E1D353" w14:textId="5CE7C845" w:rsidR="00717F2E" w:rsidRPr="00335B70" w:rsidRDefault="00335B70">
            <w:pPr>
              <w:jc w:val="both"/>
              <w:rPr>
                <w:rFonts w:ascii="Arial" w:hAnsi="Arial" w:cs="Arial"/>
                <w:iCs/>
              </w:rPr>
            </w:pPr>
            <w:r w:rsidRPr="00335B70">
              <w:rPr>
                <w:rFonts w:ascii="Arial" w:hAnsi="Arial" w:cs="Arial"/>
                <w:bCs/>
                <w:iCs/>
              </w:rPr>
              <w:t xml:space="preserve">This study aimed to investigate the workstation culture and professional accountability of public elementary school teachers in </w:t>
            </w:r>
            <w:proofErr w:type="spellStart"/>
            <w:r w:rsidRPr="00335B70">
              <w:rPr>
                <w:rFonts w:ascii="Arial" w:hAnsi="Arial" w:cs="Arial"/>
                <w:bCs/>
                <w:iCs/>
              </w:rPr>
              <w:t>Dujali</w:t>
            </w:r>
            <w:proofErr w:type="spellEnd"/>
            <w:r w:rsidRPr="00335B70">
              <w:rPr>
                <w:rFonts w:ascii="Arial" w:hAnsi="Arial" w:cs="Arial"/>
                <w:bCs/>
                <w:iCs/>
              </w:rPr>
              <w:t xml:space="preserve"> Districts, Division of Davao Del Norte. This utilized the non-experimental quantitative research design employing correlational method leading to regression analysis. The respondents of this were composed of 137 teachers of public secondary school teachers using the universal sampling. The statistical tools was used were the Mean, Pearson Product Moment Coefficient Correlation or (Pearson r) and Regression Analysis. The workstation culture and professional accountability in public elementary school is high and manifested oftentimes by the teachers. There was a significant relationship of workstation culture and professional accountability of p</w:t>
            </w:r>
            <w:r w:rsidR="00877DC1">
              <w:rPr>
                <w:rFonts w:ascii="Arial" w:hAnsi="Arial" w:cs="Arial"/>
                <w:bCs/>
                <w:iCs/>
              </w:rPr>
              <w:t xml:space="preserve">ublic secondary school teachers </w:t>
            </w:r>
            <w:r w:rsidR="00877DC1" w:rsidRPr="00877DC1">
              <w:rPr>
                <w:rFonts w:ascii="Arial" w:hAnsi="Arial" w:cs="Arial"/>
                <w:bCs/>
                <w:iCs/>
                <w:highlight w:val="yellow"/>
              </w:rPr>
              <w:t>(p=0.000).</w:t>
            </w:r>
            <w:r w:rsidRPr="00335B70">
              <w:rPr>
                <w:rFonts w:ascii="Arial" w:hAnsi="Arial" w:cs="Arial"/>
                <w:bCs/>
                <w:iCs/>
              </w:rPr>
              <w:t xml:space="preserve"> The domains of workstation culture </w:t>
            </w:r>
            <w:proofErr w:type="gramStart"/>
            <w:r w:rsidRPr="00335B70">
              <w:rPr>
                <w:rFonts w:ascii="Arial" w:hAnsi="Arial" w:cs="Arial"/>
                <w:bCs/>
                <w:iCs/>
              </w:rPr>
              <w:t>was</w:t>
            </w:r>
            <w:proofErr w:type="gramEnd"/>
            <w:r w:rsidRPr="00335B70">
              <w:rPr>
                <w:rFonts w:ascii="Arial" w:hAnsi="Arial" w:cs="Arial"/>
                <w:bCs/>
                <w:iCs/>
              </w:rPr>
              <w:t xml:space="preserve"> significantly influence to professional accountability of pu</w:t>
            </w:r>
            <w:r w:rsidR="00877DC1">
              <w:rPr>
                <w:rFonts w:ascii="Arial" w:hAnsi="Arial" w:cs="Arial"/>
                <w:bCs/>
                <w:iCs/>
              </w:rPr>
              <w:t xml:space="preserve">blic elementary school teachers </w:t>
            </w:r>
            <w:r w:rsidR="00877DC1" w:rsidRPr="00877DC1">
              <w:rPr>
                <w:rFonts w:ascii="Arial" w:hAnsi="Arial" w:cs="Arial"/>
                <w:bCs/>
                <w:iCs/>
                <w:highlight w:val="yellow"/>
              </w:rPr>
              <w:t>(p=0.000).</w:t>
            </w:r>
            <w:r w:rsidR="00877DC1" w:rsidRPr="00335B70">
              <w:rPr>
                <w:rFonts w:ascii="Arial" w:hAnsi="Arial" w:cs="Arial"/>
                <w:bCs/>
                <w:iCs/>
              </w:rPr>
              <w:t xml:space="preserve"> </w:t>
            </w:r>
            <w:r w:rsidRPr="00335B70">
              <w:rPr>
                <w:rFonts w:ascii="Arial" w:hAnsi="Arial" w:cs="Arial"/>
                <w:bCs/>
                <w:iCs/>
              </w:rPr>
              <w:t xml:space="preserve"> The result of this study may serve as basis for the guide of the Department of Education in evaluating the school improvement to enhance the present workstation culture and professional accountability of public school teachers to protect the students from failure, removing all temptations and distractions from their environment and requiring the students to read written feedback responses.</w:t>
            </w:r>
          </w:p>
        </w:tc>
      </w:tr>
    </w:tbl>
    <w:p w14:paraId="175A3F79" w14:textId="77777777" w:rsidR="00717F2E" w:rsidRDefault="00717F2E">
      <w:pPr>
        <w:pStyle w:val="Body"/>
        <w:spacing w:after="0"/>
        <w:rPr>
          <w:rFonts w:ascii="Arial" w:hAnsi="Arial" w:cs="Arial"/>
          <w:i/>
        </w:rPr>
      </w:pPr>
    </w:p>
    <w:p w14:paraId="02A1992A" w14:textId="38BA776F" w:rsidR="00717F2E" w:rsidRDefault="001276D1" w:rsidP="008D6E31">
      <w:pPr>
        <w:jc w:val="both"/>
        <w:rPr>
          <w:rFonts w:ascii="Arial" w:hAnsi="Arial" w:cs="Arial"/>
          <w:iCs/>
        </w:rPr>
      </w:pPr>
      <w:r w:rsidRPr="00877DC1">
        <w:rPr>
          <w:rFonts w:ascii="Arial" w:hAnsi="Arial" w:cs="Arial"/>
          <w:i/>
          <w:iCs/>
          <w:highlight w:val="yellow"/>
        </w:rPr>
        <w:t>Keywords</w:t>
      </w:r>
      <w:r w:rsidRPr="00877DC1">
        <w:rPr>
          <w:rFonts w:ascii="Arial" w:hAnsi="Arial" w:cs="Arial"/>
          <w:highlight w:val="yellow"/>
        </w:rPr>
        <w:t xml:space="preserve">: </w:t>
      </w:r>
      <w:r w:rsidR="00335B70" w:rsidRPr="00877DC1">
        <w:rPr>
          <w:rFonts w:ascii="Arial" w:hAnsi="Arial" w:cs="Arial"/>
          <w:iCs/>
          <w:highlight w:val="yellow"/>
        </w:rPr>
        <w:t>Workstation Culture, Professional Accountability</w:t>
      </w:r>
      <w:r w:rsidR="005F4312" w:rsidRPr="00877DC1">
        <w:rPr>
          <w:rFonts w:ascii="Arial" w:hAnsi="Arial" w:cs="Arial"/>
          <w:iCs/>
          <w:highlight w:val="yellow"/>
        </w:rPr>
        <w:t>, Pub</w:t>
      </w:r>
      <w:r w:rsidR="00877DC1" w:rsidRPr="00877DC1">
        <w:rPr>
          <w:rFonts w:ascii="Arial" w:hAnsi="Arial" w:cs="Arial"/>
          <w:iCs/>
          <w:highlight w:val="yellow"/>
        </w:rPr>
        <w:t>lic Elementary School Teachers</w:t>
      </w:r>
      <w:r w:rsidR="005F4312" w:rsidRPr="00877DC1">
        <w:rPr>
          <w:rFonts w:ascii="Arial" w:hAnsi="Arial" w:cs="Arial"/>
          <w:iCs/>
          <w:highlight w:val="yellow"/>
        </w:rPr>
        <w:t>, Education</w:t>
      </w:r>
    </w:p>
    <w:p w14:paraId="1FDC1513" w14:textId="77777777" w:rsidR="008D6E31" w:rsidRDefault="008D6E31" w:rsidP="008D6E31">
      <w:pPr>
        <w:jc w:val="both"/>
        <w:rPr>
          <w:rFonts w:ascii="Arial" w:hAnsi="Arial" w:cs="Arial"/>
        </w:rPr>
      </w:pPr>
    </w:p>
    <w:p w14:paraId="0C7D9A8E" w14:textId="77777777" w:rsidR="00717F2E" w:rsidRDefault="001276D1">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23679EF2" w14:textId="251B3C6C" w:rsidR="00855DB8" w:rsidRPr="00855DB8" w:rsidRDefault="00855DB8" w:rsidP="00855DB8">
      <w:pPr>
        <w:pStyle w:val="AbstHead"/>
        <w:jc w:val="both"/>
        <w:rPr>
          <w:rFonts w:ascii="Arial" w:hAnsi="Arial"/>
          <w:b w:val="0"/>
          <w:caps w:val="0"/>
          <w:sz w:val="20"/>
        </w:rPr>
      </w:pPr>
      <w:r w:rsidRPr="00855DB8">
        <w:rPr>
          <w:rFonts w:ascii="Arial" w:hAnsi="Arial"/>
          <w:b w:val="0"/>
          <w:caps w:val="0"/>
          <w:sz w:val="20"/>
        </w:rPr>
        <w:t>Professional accountability among teachers is a critical element of educational quality, yet it remains a persistent concern in many school systems. Teachers are expected to adhere to professional standards, fulfill instructional responsibilitie</w:t>
      </w:r>
      <w:r w:rsidR="002A7B61">
        <w:rPr>
          <w:rFonts w:ascii="Arial" w:hAnsi="Arial"/>
          <w:b w:val="0"/>
          <w:caps w:val="0"/>
          <w:sz w:val="20"/>
        </w:rPr>
        <w:t>s, and maintain ethical conduct (</w:t>
      </w:r>
      <w:r w:rsidR="002A7B61" w:rsidRPr="002A7B61">
        <w:rPr>
          <w:rFonts w:ascii="Arial" w:hAnsi="Arial"/>
          <w:b w:val="0"/>
          <w:caps w:val="0"/>
          <w:sz w:val="20"/>
        </w:rPr>
        <w:t>Darling-Hammond</w:t>
      </w:r>
      <w:r w:rsidR="002A7B61">
        <w:rPr>
          <w:rFonts w:ascii="Arial" w:hAnsi="Arial"/>
          <w:b w:val="0"/>
          <w:caps w:val="0"/>
          <w:sz w:val="20"/>
        </w:rPr>
        <w:t>, 2020).</w:t>
      </w:r>
      <w:r w:rsidRPr="00855DB8">
        <w:rPr>
          <w:rFonts w:ascii="Arial" w:hAnsi="Arial"/>
          <w:b w:val="0"/>
          <w:caps w:val="0"/>
          <w:sz w:val="20"/>
        </w:rPr>
        <w:t xml:space="preserve"> However, varying interpretations of accountability, lack of clear benchmarks, insufficient support, and inconsistent evaluations have made it challenging for educators to fully embody professional accountability. This inconsistency often leads to disparities in teaching effectiveness, reduced motivation, and limited career development, ultimately affecting the learning outc</w:t>
      </w:r>
      <w:r w:rsidR="002A7B61">
        <w:rPr>
          <w:rFonts w:ascii="Arial" w:hAnsi="Arial"/>
          <w:b w:val="0"/>
          <w:caps w:val="0"/>
          <w:sz w:val="20"/>
        </w:rPr>
        <w:t>omes of students (</w:t>
      </w:r>
      <w:proofErr w:type="spellStart"/>
      <w:r w:rsidR="002A7B61">
        <w:rPr>
          <w:rFonts w:ascii="Arial" w:hAnsi="Arial"/>
          <w:b w:val="0"/>
          <w:caps w:val="0"/>
          <w:sz w:val="20"/>
        </w:rPr>
        <w:t>Lillejord</w:t>
      </w:r>
      <w:proofErr w:type="spellEnd"/>
      <w:r w:rsidR="002A7B61">
        <w:rPr>
          <w:rFonts w:ascii="Arial" w:hAnsi="Arial"/>
          <w:b w:val="0"/>
          <w:caps w:val="0"/>
          <w:sz w:val="20"/>
        </w:rPr>
        <w:t xml:space="preserve"> </w:t>
      </w:r>
      <w:r w:rsidR="002A7B61" w:rsidRPr="002A7B61">
        <w:rPr>
          <w:rFonts w:ascii="Arial" w:hAnsi="Arial"/>
          <w:b w:val="0"/>
          <w:caps w:val="0"/>
          <w:sz w:val="20"/>
        </w:rPr>
        <w:t xml:space="preserve">&amp; </w:t>
      </w:r>
      <w:proofErr w:type="spellStart"/>
      <w:r w:rsidR="002A7B61" w:rsidRPr="002A7B61">
        <w:rPr>
          <w:rFonts w:ascii="Arial" w:hAnsi="Arial"/>
          <w:b w:val="0"/>
          <w:caps w:val="0"/>
          <w:sz w:val="20"/>
        </w:rPr>
        <w:t>Børte</w:t>
      </w:r>
      <w:proofErr w:type="spellEnd"/>
      <w:r w:rsidR="002A7B61">
        <w:rPr>
          <w:rFonts w:ascii="Arial" w:hAnsi="Arial"/>
          <w:b w:val="0"/>
          <w:caps w:val="0"/>
          <w:sz w:val="20"/>
        </w:rPr>
        <w:t>, 2020).</w:t>
      </w:r>
    </w:p>
    <w:p w14:paraId="72A1282E" w14:textId="53FA493E" w:rsidR="00855DB8" w:rsidRPr="00855DB8" w:rsidRDefault="00855DB8" w:rsidP="00855DB8">
      <w:pPr>
        <w:pStyle w:val="AbstHead"/>
        <w:jc w:val="both"/>
        <w:rPr>
          <w:rFonts w:ascii="Arial" w:hAnsi="Arial"/>
          <w:b w:val="0"/>
          <w:caps w:val="0"/>
          <w:sz w:val="20"/>
        </w:rPr>
      </w:pPr>
      <w:r w:rsidRPr="00855DB8">
        <w:rPr>
          <w:rFonts w:ascii="Arial" w:hAnsi="Arial"/>
          <w:b w:val="0"/>
          <w:caps w:val="0"/>
          <w:sz w:val="20"/>
        </w:rPr>
        <w:t>Globally, the issue of professional accountability is closely linked to the broader challenges in teacher governance and educational reform. In countries such as the United States, United Kingdom, and Australia, increased policy demands, standardized testing, and performance-based evaluations have placed pressure on educators, often resulting in stre</w:t>
      </w:r>
      <w:r w:rsidR="002A7B61">
        <w:rPr>
          <w:rFonts w:ascii="Arial" w:hAnsi="Arial"/>
          <w:b w:val="0"/>
          <w:caps w:val="0"/>
          <w:sz w:val="20"/>
        </w:rPr>
        <w:t>ss and reduced job satisfaction (</w:t>
      </w:r>
      <w:r w:rsidR="002A7B61" w:rsidRPr="002A7B61">
        <w:rPr>
          <w:rFonts w:ascii="Arial" w:hAnsi="Arial"/>
          <w:b w:val="0"/>
          <w:caps w:val="0"/>
          <w:sz w:val="20"/>
        </w:rPr>
        <w:t>Smith</w:t>
      </w:r>
      <w:r w:rsidR="002A7B61">
        <w:rPr>
          <w:rFonts w:ascii="Arial" w:hAnsi="Arial"/>
          <w:b w:val="0"/>
          <w:caps w:val="0"/>
          <w:sz w:val="20"/>
        </w:rPr>
        <w:t xml:space="preserve"> et al., 2020).</w:t>
      </w:r>
      <w:r w:rsidRPr="00855DB8">
        <w:rPr>
          <w:rFonts w:ascii="Arial" w:hAnsi="Arial"/>
          <w:b w:val="0"/>
          <w:caps w:val="0"/>
          <w:sz w:val="20"/>
        </w:rPr>
        <w:t xml:space="preserve"> According to OECD reports, while accountability measures aim to improve teaching quality, they may also contribute to burnout and teacher attrition when not balanced with support systems. Moreover, cultural and systemic differences across </w:t>
      </w:r>
      <w:r w:rsidRPr="00855DB8">
        <w:rPr>
          <w:rFonts w:ascii="Arial" w:hAnsi="Arial"/>
          <w:b w:val="0"/>
          <w:caps w:val="0"/>
          <w:sz w:val="20"/>
        </w:rPr>
        <w:lastRenderedPageBreak/>
        <w:t>nations make it difficult to implement a universal model of accountability that is f</w:t>
      </w:r>
      <w:r w:rsidR="002A7B61">
        <w:rPr>
          <w:rFonts w:ascii="Arial" w:hAnsi="Arial"/>
          <w:b w:val="0"/>
          <w:caps w:val="0"/>
          <w:sz w:val="20"/>
        </w:rPr>
        <w:t>air, effective, and sustainable (</w:t>
      </w:r>
      <w:r w:rsidR="002A7B61" w:rsidRPr="002A7B61">
        <w:rPr>
          <w:rFonts w:ascii="Arial" w:hAnsi="Arial"/>
          <w:b w:val="0"/>
          <w:caps w:val="0"/>
          <w:sz w:val="20"/>
        </w:rPr>
        <w:t>Alberts</w:t>
      </w:r>
      <w:r w:rsidR="002A7B61">
        <w:rPr>
          <w:rFonts w:ascii="Arial" w:hAnsi="Arial"/>
          <w:b w:val="0"/>
          <w:caps w:val="0"/>
          <w:sz w:val="20"/>
        </w:rPr>
        <w:t>, 2024).</w:t>
      </w:r>
    </w:p>
    <w:p w14:paraId="38E79808" w14:textId="614FBFFF" w:rsidR="00855DB8" w:rsidRPr="00855DB8" w:rsidRDefault="00855DB8" w:rsidP="00855DB8">
      <w:pPr>
        <w:pStyle w:val="AbstHead"/>
        <w:jc w:val="both"/>
        <w:rPr>
          <w:rFonts w:ascii="Arial" w:hAnsi="Arial"/>
          <w:b w:val="0"/>
          <w:caps w:val="0"/>
          <w:sz w:val="20"/>
        </w:rPr>
      </w:pPr>
      <w:r w:rsidRPr="00855DB8">
        <w:rPr>
          <w:rFonts w:ascii="Arial" w:hAnsi="Arial"/>
          <w:b w:val="0"/>
          <w:caps w:val="0"/>
          <w:sz w:val="20"/>
        </w:rPr>
        <w:t>In the Philippine education system, professional accountability is influenced by bureaucratic processes, overloaded responsibilities, and limited institutional support. Teachers are often burdened with both academic and administrative duties, making it difficult to fo</w:t>
      </w:r>
      <w:r w:rsidR="00AB02AE">
        <w:rPr>
          <w:rFonts w:ascii="Arial" w:hAnsi="Arial"/>
          <w:b w:val="0"/>
          <w:caps w:val="0"/>
          <w:sz w:val="20"/>
        </w:rPr>
        <w:t>cus on instructional excellence (</w:t>
      </w:r>
      <w:proofErr w:type="spellStart"/>
      <w:r w:rsidR="00AB02AE" w:rsidRPr="00AB02AE">
        <w:rPr>
          <w:rFonts w:ascii="Arial" w:hAnsi="Arial"/>
          <w:b w:val="0"/>
          <w:caps w:val="0"/>
          <w:sz w:val="20"/>
        </w:rPr>
        <w:t>Sulasula</w:t>
      </w:r>
      <w:proofErr w:type="spellEnd"/>
      <w:r w:rsidR="00AB02AE" w:rsidRPr="00AB02AE">
        <w:rPr>
          <w:rFonts w:ascii="Arial" w:hAnsi="Arial"/>
          <w:b w:val="0"/>
          <w:caps w:val="0"/>
          <w:sz w:val="20"/>
        </w:rPr>
        <w:t>, J., &amp; Moreno</w:t>
      </w:r>
      <w:r w:rsidR="00AB02AE">
        <w:rPr>
          <w:rFonts w:ascii="Arial" w:hAnsi="Arial"/>
          <w:b w:val="0"/>
          <w:caps w:val="0"/>
          <w:sz w:val="20"/>
        </w:rPr>
        <w:t>, 2023).</w:t>
      </w:r>
      <w:r w:rsidRPr="00855DB8">
        <w:rPr>
          <w:rFonts w:ascii="Arial" w:hAnsi="Arial"/>
          <w:b w:val="0"/>
          <w:caps w:val="0"/>
          <w:sz w:val="20"/>
        </w:rPr>
        <w:t xml:space="preserve"> DepEd policies and performance-based assessments, while intended to improve standards, sometimes lack clear guidelines or fail to consider contextual realities in public schools. This disconnect between policy and practice results in challenges in maintaining consistent teacher accountability and professional growth, particularly in</w:t>
      </w:r>
      <w:r w:rsidR="00AB02AE">
        <w:rPr>
          <w:rFonts w:ascii="Arial" w:hAnsi="Arial"/>
          <w:b w:val="0"/>
          <w:caps w:val="0"/>
          <w:sz w:val="20"/>
        </w:rPr>
        <w:t xml:space="preserve"> under-resourced or rural areas (</w:t>
      </w:r>
      <w:proofErr w:type="spellStart"/>
      <w:r w:rsidR="00AB02AE" w:rsidRPr="00AB02AE">
        <w:rPr>
          <w:rFonts w:ascii="Arial" w:hAnsi="Arial"/>
          <w:b w:val="0"/>
          <w:caps w:val="0"/>
          <w:sz w:val="20"/>
        </w:rPr>
        <w:t>Ormilla</w:t>
      </w:r>
      <w:proofErr w:type="spellEnd"/>
      <w:r w:rsidR="00AB02AE">
        <w:rPr>
          <w:rFonts w:ascii="Arial" w:hAnsi="Arial"/>
          <w:b w:val="0"/>
          <w:caps w:val="0"/>
          <w:sz w:val="20"/>
        </w:rPr>
        <w:t>, 2021).</w:t>
      </w:r>
    </w:p>
    <w:p w14:paraId="13B5E09C" w14:textId="514AB1E6" w:rsidR="00855DB8" w:rsidRPr="00855DB8" w:rsidRDefault="00855DB8" w:rsidP="00855DB8">
      <w:pPr>
        <w:pStyle w:val="AbstHead"/>
        <w:jc w:val="both"/>
        <w:rPr>
          <w:rFonts w:ascii="Arial" w:hAnsi="Arial"/>
          <w:b w:val="0"/>
          <w:caps w:val="0"/>
          <w:sz w:val="20"/>
        </w:rPr>
      </w:pPr>
      <w:r w:rsidRPr="00855DB8">
        <w:rPr>
          <w:rFonts w:ascii="Arial" w:hAnsi="Arial"/>
          <w:b w:val="0"/>
          <w:caps w:val="0"/>
          <w:sz w:val="20"/>
        </w:rPr>
        <w:t>Within the Philippine public school context, the issue of professional accountability is compounded by challenges in workstation culture, such as unclear job expectations, lack of mentorship, limited professional development opportunities, and i</w:t>
      </w:r>
      <w:r w:rsidR="00AB02AE">
        <w:rPr>
          <w:rFonts w:ascii="Arial" w:hAnsi="Arial"/>
          <w:b w:val="0"/>
          <w:caps w:val="0"/>
          <w:sz w:val="20"/>
        </w:rPr>
        <w:t>nsufficient peer collaboration (</w:t>
      </w:r>
      <w:r w:rsidR="00AB02AE" w:rsidRPr="00AB02AE">
        <w:rPr>
          <w:rFonts w:ascii="Arial" w:hAnsi="Arial"/>
          <w:b w:val="0"/>
          <w:caps w:val="0"/>
          <w:sz w:val="20"/>
        </w:rPr>
        <w:t>Pantaleon</w:t>
      </w:r>
      <w:r w:rsidR="00AB02AE">
        <w:rPr>
          <w:rFonts w:ascii="Arial" w:hAnsi="Arial"/>
          <w:b w:val="0"/>
          <w:caps w:val="0"/>
          <w:sz w:val="20"/>
        </w:rPr>
        <w:t xml:space="preserve">, 2024).  </w:t>
      </w:r>
      <w:r w:rsidRPr="00855DB8">
        <w:rPr>
          <w:rFonts w:ascii="Arial" w:hAnsi="Arial"/>
          <w:b w:val="0"/>
          <w:caps w:val="0"/>
          <w:sz w:val="20"/>
        </w:rPr>
        <w:t>Many teachers report feeling unsupported by leadership or disconnected from decision-making processes, contributing to low morale and inconsistent adhe</w:t>
      </w:r>
      <w:r w:rsidR="00AB02AE">
        <w:rPr>
          <w:rFonts w:ascii="Arial" w:hAnsi="Arial"/>
          <w:b w:val="0"/>
          <w:caps w:val="0"/>
          <w:sz w:val="20"/>
        </w:rPr>
        <w:t>rence to professional standards (</w:t>
      </w:r>
      <w:r w:rsidR="00AB02AE" w:rsidRPr="00AB02AE">
        <w:rPr>
          <w:rFonts w:ascii="Arial" w:hAnsi="Arial"/>
          <w:b w:val="0"/>
          <w:caps w:val="0"/>
          <w:sz w:val="20"/>
        </w:rPr>
        <w:t>Herring</w:t>
      </w:r>
      <w:r w:rsidR="00AB02AE">
        <w:rPr>
          <w:rFonts w:ascii="Arial" w:hAnsi="Arial"/>
          <w:b w:val="0"/>
          <w:caps w:val="0"/>
          <w:sz w:val="20"/>
        </w:rPr>
        <w:t>, 2023).</w:t>
      </w:r>
      <w:r w:rsidRPr="00855DB8">
        <w:rPr>
          <w:rFonts w:ascii="Arial" w:hAnsi="Arial"/>
          <w:b w:val="0"/>
          <w:caps w:val="0"/>
          <w:sz w:val="20"/>
        </w:rPr>
        <w:t xml:space="preserve"> Despite the presence of frameworks like the Philippine Professional Standards for Teachers (PPST), implementation gaps persist, particularly in areas with limit</w:t>
      </w:r>
      <w:r w:rsidR="00AB02AE">
        <w:rPr>
          <w:rFonts w:ascii="Arial" w:hAnsi="Arial"/>
          <w:b w:val="0"/>
          <w:caps w:val="0"/>
          <w:sz w:val="20"/>
        </w:rPr>
        <w:t>ed training and resource access (</w:t>
      </w:r>
      <w:r w:rsidR="00AB02AE" w:rsidRPr="00AB02AE">
        <w:rPr>
          <w:rFonts w:ascii="Arial" w:hAnsi="Arial"/>
          <w:b w:val="0"/>
          <w:caps w:val="0"/>
          <w:sz w:val="20"/>
        </w:rPr>
        <w:t>Herrera</w:t>
      </w:r>
      <w:r w:rsidR="00AB02AE">
        <w:rPr>
          <w:rFonts w:ascii="Arial" w:hAnsi="Arial"/>
          <w:b w:val="0"/>
          <w:caps w:val="0"/>
          <w:sz w:val="20"/>
        </w:rPr>
        <w:t>, 2024).</w:t>
      </w:r>
    </w:p>
    <w:p w14:paraId="31921024" w14:textId="6F1EB91D" w:rsidR="00855DB8" w:rsidRPr="00855DB8" w:rsidRDefault="00855DB8" w:rsidP="00855DB8">
      <w:pPr>
        <w:pStyle w:val="AbstHead"/>
        <w:jc w:val="both"/>
        <w:rPr>
          <w:rFonts w:ascii="Arial" w:hAnsi="Arial"/>
          <w:b w:val="0"/>
          <w:caps w:val="0"/>
          <w:sz w:val="20"/>
        </w:rPr>
      </w:pPr>
      <w:r w:rsidRPr="00855DB8">
        <w:rPr>
          <w:rFonts w:ascii="Arial" w:hAnsi="Arial"/>
          <w:b w:val="0"/>
          <w:caps w:val="0"/>
          <w:sz w:val="20"/>
        </w:rPr>
        <w:t>While numerous studies have examined teacher performance, leadership, and instructional quality, there remains a significant gap in literature exploring the influence of workstation culture and professional accountability, particularly in the context of public secondary schools in the Philippines. Most research tends to isolate either teacher motivation or organizational structure, leaving a limited understanding of how school environment and accountability interact to shape teacher performance and behavior. This study seeks to fill that gap by providing an integrated perspective.</w:t>
      </w:r>
    </w:p>
    <w:p w14:paraId="4B821609" w14:textId="22580CB7" w:rsidR="00855DB8" w:rsidRPr="00855DB8" w:rsidRDefault="00CC367E" w:rsidP="00855DB8">
      <w:pPr>
        <w:pStyle w:val="AbstHead"/>
        <w:jc w:val="both"/>
        <w:rPr>
          <w:rFonts w:ascii="Arial" w:hAnsi="Arial"/>
          <w:b w:val="0"/>
          <w:caps w:val="0"/>
          <w:sz w:val="20"/>
        </w:rPr>
      </w:pPr>
      <w:r>
        <w:rPr>
          <w:rFonts w:ascii="Arial" w:hAnsi="Arial"/>
          <w:b w:val="0"/>
          <w:caps w:val="0"/>
          <w:sz w:val="20"/>
        </w:rPr>
        <w:t>This study aimed</w:t>
      </w:r>
      <w:r w:rsidR="00855DB8" w:rsidRPr="00855DB8">
        <w:rPr>
          <w:rFonts w:ascii="Arial" w:hAnsi="Arial"/>
          <w:b w:val="0"/>
          <w:caps w:val="0"/>
          <w:sz w:val="20"/>
        </w:rPr>
        <w:t xml:space="preserve"> to investigate the relationship between workstation culture and the professional accountability of teachers in public secondary schools. It seeks to understand how school environment, administrative support, peer relationships, and organizational policies influence teachers' sense of responsibility and performance. By exploring these factors, the study aspires to offer insights that can inform policies and practices aimed at enhancing teacher effectiveness, job satisfaction, and overall school performance.</w:t>
      </w:r>
    </w:p>
    <w:p w14:paraId="191F7E9E" w14:textId="77777777" w:rsidR="005F4312" w:rsidRDefault="005F4312" w:rsidP="005F4312">
      <w:pPr>
        <w:pStyle w:val="AbstHead"/>
        <w:spacing w:after="0"/>
        <w:jc w:val="both"/>
        <w:rPr>
          <w:rFonts w:ascii="Arial" w:hAnsi="Arial" w:cs="Arial"/>
          <w:sz w:val="20"/>
        </w:rPr>
      </w:pPr>
    </w:p>
    <w:p w14:paraId="52B07EAE" w14:textId="2E245028" w:rsidR="00D5414B" w:rsidRDefault="0013132C" w:rsidP="005D71AE">
      <w:pPr>
        <w:ind w:firstLine="720"/>
        <w:jc w:val="center"/>
        <w:rPr>
          <w:rFonts w:ascii="Arial" w:eastAsia="MS Mincho" w:hAnsi="Arial" w:cs="Arial"/>
          <w:b/>
          <w:bCs/>
          <w:lang w:eastAsia="ja-JP"/>
        </w:rPr>
      </w:pPr>
      <w:r>
        <w:rPr>
          <w:noProof/>
        </w:rPr>
        <w:drawing>
          <wp:inline distT="0" distB="0" distL="0" distR="0" wp14:anchorId="4223D2B7" wp14:editId="0168CB44">
            <wp:extent cx="2804160" cy="225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532" t="22093" r="30263" b="20467"/>
                    <a:stretch/>
                  </pic:blipFill>
                  <pic:spPr bwMode="auto">
                    <a:xfrm>
                      <a:off x="0" y="0"/>
                      <a:ext cx="2818121" cy="2264745"/>
                    </a:xfrm>
                    <a:prstGeom prst="rect">
                      <a:avLst/>
                    </a:prstGeom>
                    <a:ln>
                      <a:noFill/>
                    </a:ln>
                    <a:extLst>
                      <a:ext uri="{53640926-AAD7-44D8-BBD7-CCE9431645EC}">
                        <a14:shadowObscured xmlns:a14="http://schemas.microsoft.com/office/drawing/2010/main"/>
                      </a:ext>
                    </a:extLst>
                  </pic:spPr>
                </pic:pic>
              </a:graphicData>
            </a:graphic>
          </wp:inline>
        </w:drawing>
      </w:r>
    </w:p>
    <w:p w14:paraId="77AB5763" w14:textId="77777777" w:rsidR="00D5414B" w:rsidRDefault="00D5414B">
      <w:pPr>
        <w:jc w:val="center"/>
        <w:rPr>
          <w:rFonts w:ascii="Arial" w:eastAsia="MS Mincho" w:hAnsi="Arial" w:cs="Arial"/>
          <w:b/>
          <w:bCs/>
          <w:lang w:eastAsia="ja-JP"/>
        </w:rPr>
      </w:pPr>
    </w:p>
    <w:p w14:paraId="70BF97C8" w14:textId="438A40A6" w:rsidR="00717F2E" w:rsidRPr="00323BB4" w:rsidRDefault="001276D1" w:rsidP="00323BB4">
      <w:pPr>
        <w:jc w:val="center"/>
        <w:rPr>
          <w:rFonts w:ascii="Arial" w:eastAsia="MS Mincho" w:hAnsi="Arial" w:cs="Arial"/>
          <w:lang w:eastAsia="ja-JP"/>
        </w:rPr>
      </w:pPr>
      <w:r>
        <w:rPr>
          <w:rFonts w:ascii="Arial" w:eastAsia="MS Mincho" w:hAnsi="Arial" w:cs="Arial"/>
          <w:b/>
          <w:bCs/>
          <w:lang w:eastAsia="ja-JP"/>
        </w:rPr>
        <w:lastRenderedPageBreak/>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1276D1">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276D1">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534D3276" w14:textId="4C422784" w:rsidR="0013132C" w:rsidRPr="0013132C" w:rsidRDefault="0013132C" w:rsidP="0013132C">
      <w:pPr>
        <w:jc w:val="both"/>
        <w:rPr>
          <w:rFonts w:ascii="Arial" w:hAnsi="Arial" w:cs="Arial"/>
        </w:rPr>
      </w:pPr>
      <w:r w:rsidRPr="0013132C">
        <w:rPr>
          <w:rFonts w:ascii="Arial" w:hAnsi="Arial" w:cs="Arial"/>
        </w:rPr>
        <w:t>This study employed a descriptive-correlational research design, which is used to describe existing conditions and examine the relationship between two or more variables without manipulating them. This method allows researchers to observe and analyze patterns as they naturally occ</w:t>
      </w:r>
      <w:r w:rsidR="00D577D0">
        <w:rPr>
          <w:rFonts w:ascii="Arial" w:hAnsi="Arial" w:cs="Arial"/>
        </w:rPr>
        <w:t>ur within a specific population (Baguio &amp; Baguio, 2025).</w:t>
      </w:r>
      <w:r w:rsidRPr="0013132C">
        <w:rPr>
          <w:rFonts w:ascii="Arial" w:hAnsi="Arial" w:cs="Arial"/>
        </w:rPr>
        <w:t xml:space="preserve"> In the context of this research, the descriptive aspect was used to outline the current state of workstation culture and professional accountability among public elementary school teachers. The correlational component, on the other hand, aimed to determine whether a significant relationship exists between these two variables. This design was appropriate since the study aimed to examine the significant relationship between workstation culture and professional accountability of public elementary school teachers, providing both a comprehensive description and analytical insight into their connection.</w:t>
      </w:r>
    </w:p>
    <w:p w14:paraId="632478A7" w14:textId="34044BC7" w:rsidR="00A919E7" w:rsidRPr="005F4312" w:rsidRDefault="00A919E7" w:rsidP="005F4312">
      <w:pPr>
        <w:jc w:val="both"/>
        <w:rPr>
          <w:rFonts w:ascii="Arial" w:hAnsi="Arial" w:cs="Arial"/>
        </w:rPr>
      </w:pPr>
    </w:p>
    <w:p w14:paraId="2F88E919" w14:textId="77777777" w:rsidR="005D71AE" w:rsidRDefault="005D71AE" w:rsidP="005D71AE">
      <w:pPr>
        <w:jc w:val="both"/>
        <w:rPr>
          <w:rFonts w:ascii="Arial" w:hAnsi="Arial" w:cs="Arial"/>
          <w:b/>
          <w:bCs/>
        </w:rPr>
      </w:pPr>
    </w:p>
    <w:p w14:paraId="318F0781" w14:textId="77777777" w:rsidR="00717F2E" w:rsidRDefault="001276D1">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3305DE61" w14:textId="77777777" w:rsidR="0013132C" w:rsidRDefault="0013132C" w:rsidP="005D71AE">
      <w:pPr>
        <w:jc w:val="both"/>
        <w:rPr>
          <w:rFonts w:ascii="Arial" w:hAnsi="Arial" w:cs="Arial"/>
        </w:rPr>
      </w:pPr>
      <w:r w:rsidRPr="0013132C">
        <w:rPr>
          <w:rFonts w:ascii="Arial" w:hAnsi="Arial" w:cs="Arial"/>
        </w:rPr>
        <w:t xml:space="preserve">The respondents of this study were composed of 137 public elementary school teachers from the </w:t>
      </w:r>
      <w:proofErr w:type="spellStart"/>
      <w:r w:rsidRPr="0013132C">
        <w:rPr>
          <w:rFonts w:ascii="Arial" w:hAnsi="Arial" w:cs="Arial"/>
        </w:rPr>
        <w:t>Dujali</w:t>
      </w:r>
      <w:proofErr w:type="spellEnd"/>
      <w:r w:rsidRPr="0013132C">
        <w:rPr>
          <w:rFonts w:ascii="Arial" w:hAnsi="Arial" w:cs="Arial"/>
        </w:rPr>
        <w:t xml:space="preserve"> District, Division of Davao del Norte. They were selected because they were considered knowledgeable and capable of providing accurate responses to the survey questionnaire based on the objectives of the study. Furthermore, all respondents had been connected to public schools for at least three years, ensuring relevant experience and familiarity with the variables under investigation. The researcher employed universal sampling, meaning the entire population was considered as potential respondents. However, due to feasibility considerations, Slovin’s formula was utilized to determine the appropriate sample size. From a total population of 208 public elementary school teachers, a sample of 137 was drawn for the school year 2022–2023.</w:t>
      </w:r>
    </w:p>
    <w:p w14:paraId="45EA929B" w14:textId="2F783E96" w:rsidR="00951100" w:rsidRDefault="00D57184" w:rsidP="005D71AE">
      <w:pPr>
        <w:jc w:val="both"/>
        <w:rPr>
          <w:rFonts w:ascii="Arial" w:hAnsi="Arial" w:cs="Arial"/>
        </w:rPr>
      </w:pPr>
      <w:r w:rsidRPr="00D57184">
        <w:rPr>
          <w:rFonts w:ascii="Arial" w:hAnsi="Arial" w:cs="Arial"/>
        </w:rPr>
        <w:tab/>
      </w:r>
    </w:p>
    <w:p w14:paraId="1EEBA515" w14:textId="77777777" w:rsidR="00951100" w:rsidRDefault="00951100">
      <w:pPr>
        <w:rPr>
          <w:rFonts w:ascii="Arial" w:hAnsi="Arial" w:cs="Arial"/>
          <w:b/>
          <w:bCs/>
        </w:rPr>
      </w:pPr>
    </w:p>
    <w:p w14:paraId="6BE2C45C" w14:textId="77777777" w:rsidR="00717F2E" w:rsidRDefault="001276D1">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196801D" w14:textId="77777777" w:rsidR="00B24487" w:rsidRPr="00B24487" w:rsidRDefault="00B24487" w:rsidP="00B24487">
      <w:pPr>
        <w:jc w:val="both"/>
        <w:rPr>
          <w:rFonts w:ascii="Arial" w:hAnsi="Arial" w:cs="Arial"/>
        </w:rPr>
      </w:pPr>
      <w:r w:rsidRPr="00B24487">
        <w:rPr>
          <w:rFonts w:ascii="Arial" w:hAnsi="Arial" w:cs="Arial"/>
        </w:rPr>
        <w:t xml:space="preserve">The instrument used to gather data was adapted from various authors within the local setting and was subjected to content validation by three experts in the field of Doctor of Educational Management. Following the validation process, the researcher conducted a pilot test involving 30 public elementary school teachers from the </w:t>
      </w:r>
      <w:proofErr w:type="spellStart"/>
      <w:r w:rsidRPr="00B24487">
        <w:rPr>
          <w:rFonts w:ascii="Arial" w:hAnsi="Arial" w:cs="Arial"/>
        </w:rPr>
        <w:t>Dujali</w:t>
      </w:r>
      <w:proofErr w:type="spellEnd"/>
      <w:r w:rsidRPr="00B24487">
        <w:rPr>
          <w:rFonts w:ascii="Arial" w:hAnsi="Arial" w:cs="Arial"/>
        </w:rPr>
        <w:t xml:space="preserve"> District, Division of Davao del Norte. The results of the pilot test yielded a Cronbach’s Alpha of 0.850 for the workstation culture scale and 0.902 for the professional accountability scale, indicating high reliability.</w:t>
      </w:r>
    </w:p>
    <w:p w14:paraId="15BDB992" w14:textId="77777777" w:rsidR="00B24487" w:rsidRPr="00B24487" w:rsidRDefault="00B24487" w:rsidP="00B24487">
      <w:pPr>
        <w:jc w:val="both"/>
        <w:rPr>
          <w:rFonts w:ascii="Arial" w:hAnsi="Arial" w:cs="Arial"/>
        </w:rPr>
      </w:pPr>
    </w:p>
    <w:p w14:paraId="171E153A" w14:textId="43EC02C1" w:rsidR="00717F2E" w:rsidRDefault="00B24487" w:rsidP="00B24487">
      <w:pPr>
        <w:jc w:val="both"/>
        <w:rPr>
          <w:rFonts w:ascii="Arial" w:hAnsi="Arial" w:cs="Arial"/>
        </w:rPr>
      </w:pPr>
      <w:r w:rsidRPr="00B24487">
        <w:rPr>
          <w:rFonts w:ascii="Arial" w:hAnsi="Arial" w:cs="Arial"/>
        </w:rPr>
        <w:t>This part of the research involved the construction and validation of the questionnaire, which was composed of two parts. Part I focused on the workstation culture of public elementary school teachers in terms of human relations, decision-making, control domain, and conflict indicators. Part II assessed the professional accountability of public elementary school teachers in terms of commitment to excellence, honesty and integrity, respect for others, and compassion and social responsibility. The finalized questionnaire consisted of 45 items, which were initially drafted and modified by the researcher, then submitted to the research adviser for comments and suggestions. After incorporating the adviser’s feedback, the revised instrument was submitted to the panel members for further validation. All comments and recommendations provided by the experts were carefully considered and integrated into the final version of the questionnaire.</w:t>
      </w:r>
      <w:r>
        <w:rPr>
          <w:rFonts w:ascii="Arial" w:hAnsi="Arial" w:cs="Arial"/>
        </w:rPr>
        <w:t xml:space="preserve"> </w:t>
      </w:r>
      <w:r w:rsidRPr="00B24487">
        <w:rPr>
          <w:rFonts w:ascii="Arial" w:hAnsi="Arial" w:cs="Arial"/>
        </w:rPr>
        <w:t xml:space="preserve">A five-point Likert scale was used to measure the responses </w:t>
      </w:r>
      <w:r w:rsidRPr="00B24487">
        <w:rPr>
          <w:rFonts w:ascii="Arial" w:hAnsi="Arial" w:cs="Arial"/>
        </w:rPr>
        <w:lastRenderedPageBreak/>
        <w:t>related to workstation culture and professional accountability of public elementary school teachers</w:t>
      </w:r>
    </w:p>
    <w:p w14:paraId="0372C77F" w14:textId="77777777" w:rsidR="00B24487" w:rsidRDefault="00B24487" w:rsidP="00B24487">
      <w:pPr>
        <w:rPr>
          <w:rFonts w:ascii="Arial" w:hAnsi="Arial" w:cs="Arial"/>
          <w:b/>
          <w:bCs/>
        </w:rPr>
      </w:pPr>
    </w:p>
    <w:p w14:paraId="27C6641A" w14:textId="17E20B45" w:rsidR="005D71AE" w:rsidRPr="005D71AE" w:rsidRDefault="001276D1" w:rsidP="005D71AE">
      <w:pPr>
        <w:rPr>
          <w:rFonts w:ascii="Arial" w:hAnsi="Arial" w:cs="Arial"/>
          <w:b/>
          <w:bCs/>
        </w:rPr>
      </w:pPr>
      <w:r>
        <w:rPr>
          <w:rFonts w:ascii="Arial" w:hAnsi="Arial" w:cs="Arial"/>
          <w:b/>
          <w:bCs/>
        </w:rPr>
        <w:t>2.4 Data Gathering Procedure</w:t>
      </w:r>
    </w:p>
    <w:p w14:paraId="3FCC15A5" w14:textId="77777777" w:rsidR="00360BB6" w:rsidRDefault="00360BB6" w:rsidP="005D71AE">
      <w:pPr>
        <w:rPr>
          <w:rFonts w:ascii="Arial" w:hAnsi="Arial" w:cs="Arial"/>
        </w:rPr>
      </w:pPr>
    </w:p>
    <w:p w14:paraId="61FBA3AE" w14:textId="77777777" w:rsidR="00360BB6" w:rsidRDefault="00360BB6" w:rsidP="005D71AE">
      <w:pPr>
        <w:rPr>
          <w:rFonts w:ascii="Arial" w:hAnsi="Arial" w:cs="Arial"/>
        </w:rPr>
      </w:pPr>
    </w:p>
    <w:p w14:paraId="07DD5BB0" w14:textId="77777777" w:rsidR="00B24487" w:rsidRPr="00B24487" w:rsidRDefault="00B24487" w:rsidP="0050758D">
      <w:pPr>
        <w:jc w:val="both"/>
        <w:rPr>
          <w:rFonts w:ascii="Arial" w:hAnsi="Arial" w:cs="Arial"/>
        </w:rPr>
      </w:pPr>
      <w:r w:rsidRPr="00B24487">
        <w:rPr>
          <w:rFonts w:ascii="Arial" w:hAnsi="Arial" w:cs="Arial"/>
        </w:rPr>
        <w:t xml:space="preserve">The data were gathered through the following procedures. First, the researcher sought and obtained approval and an endorsement letter from the Dean of the Graduate School. Following this, an ethical clearance was secured to ensure that the study adhered to the ethical standards required for conducting research involving human participants. A formal letter of permission was then prepared and submitted to the Schools Division Superintendent and to the school principals, requesting approval to conduct the study on the level of workstation culture and professional accountability of public elementary school teachers in </w:t>
      </w:r>
      <w:proofErr w:type="spellStart"/>
      <w:r w:rsidRPr="00B24487">
        <w:rPr>
          <w:rFonts w:ascii="Arial" w:hAnsi="Arial" w:cs="Arial"/>
        </w:rPr>
        <w:t>Dujali</w:t>
      </w:r>
      <w:proofErr w:type="spellEnd"/>
      <w:r w:rsidRPr="00B24487">
        <w:rPr>
          <w:rFonts w:ascii="Arial" w:hAnsi="Arial" w:cs="Arial"/>
        </w:rPr>
        <w:t xml:space="preserve"> District, Division of Davao del Norte.</w:t>
      </w:r>
    </w:p>
    <w:p w14:paraId="521326FC" w14:textId="77777777" w:rsidR="00B24487" w:rsidRPr="00B24487" w:rsidRDefault="00B24487" w:rsidP="0050758D">
      <w:pPr>
        <w:jc w:val="both"/>
        <w:rPr>
          <w:rFonts w:ascii="Arial" w:hAnsi="Arial" w:cs="Arial"/>
        </w:rPr>
      </w:pPr>
    </w:p>
    <w:p w14:paraId="43CB664A" w14:textId="77777777" w:rsidR="00B24487" w:rsidRPr="00B24487" w:rsidRDefault="00B24487" w:rsidP="0050758D">
      <w:pPr>
        <w:jc w:val="both"/>
        <w:rPr>
          <w:rFonts w:ascii="Arial" w:hAnsi="Arial" w:cs="Arial"/>
        </w:rPr>
      </w:pPr>
      <w:r w:rsidRPr="00B24487">
        <w:rPr>
          <w:rFonts w:ascii="Arial" w:hAnsi="Arial" w:cs="Arial"/>
        </w:rPr>
        <w:t>After obtaining the necessary approvals, the researcher modified the questionnaire for each variable. The initial version of the questionnaire was reviewed by the research adviser prior to producing copies for validation. The final version, incorporating the suggestions and revisions from the adviser, was then approved for reproduction. Upon receiving the adviser’s go-signal, adequate and clear copies of the questionnaire were printed to ensure smooth administration.</w:t>
      </w:r>
    </w:p>
    <w:p w14:paraId="6D200F6E" w14:textId="77777777" w:rsidR="00B24487" w:rsidRPr="00B24487" w:rsidRDefault="00B24487" w:rsidP="0050758D">
      <w:pPr>
        <w:jc w:val="both"/>
        <w:rPr>
          <w:rFonts w:ascii="Arial" w:hAnsi="Arial" w:cs="Arial"/>
        </w:rPr>
      </w:pPr>
    </w:p>
    <w:p w14:paraId="6F79FDE0" w14:textId="01FCD40B" w:rsidR="00360BB6" w:rsidRPr="005D71AE" w:rsidRDefault="00B24487" w:rsidP="0050758D">
      <w:pPr>
        <w:jc w:val="both"/>
      </w:pPr>
      <w:r w:rsidRPr="00B24487">
        <w:rPr>
          <w:rFonts w:ascii="Arial" w:hAnsi="Arial" w:cs="Arial"/>
        </w:rPr>
        <w:t>The researcher personally distributed the questionnaires to the respondents and requested them to answer honestly and accurately to ensure valid and reliable data. All questionnaires were successfully retrieved, resulting in a 100% response rate. The gathered responses were then carefully collated and tabulated for statistical treatment. Finally, the results were analyzed and interpreted in alignment with the objectives of the study.</w:t>
      </w:r>
    </w:p>
    <w:p w14:paraId="1C13872C" w14:textId="1B7D6D44" w:rsidR="00717F2E" w:rsidRPr="005D71AE" w:rsidRDefault="001276D1" w:rsidP="005D71AE">
      <w:pPr>
        <w:pStyle w:val="Heading1"/>
        <w:rPr>
          <w:rFonts w:cs="Arial"/>
          <w:sz w:val="20"/>
        </w:rPr>
      </w:pPr>
      <w:r>
        <w:rPr>
          <w:rFonts w:cs="Arial"/>
          <w:sz w:val="20"/>
        </w:rPr>
        <w:t>2.5 Data Analysis</w:t>
      </w:r>
    </w:p>
    <w:p w14:paraId="3CB0DE7E" w14:textId="77777777" w:rsidR="005D71AE" w:rsidRDefault="005D71AE" w:rsidP="00304469">
      <w:pPr>
        <w:pStyle w:val="Head1"/>
        <w:jc w:val="both"/>
        <w:rPr>
          <w:rFonts w:ascii="Arial" w:hAnsi="Arial" w:cs="Arial"/>
          <w:b w:val="0"/>
          <w:caps w:val="0"/>
          <w:sz w:val="20"/>
        </w:rPr>
      </w:pPr>
    </w:p>
    <w:p w14:paraId="0A8C3418" w14:textId="40C0D487" w:rsidR="000D57CE" w:rsidRPr="000D57CE" w:rsidRDefault="000D57CE" w:rsidP="000D57CE">
      <w:pPr>
        <w:pStyle w:val="Head1"/>
        <w:jc w:val="both"/>
        <w:rPr>
          <w:rFonts w:ascii="Arial" w:hAnsi="Arial" w:cs="Arial"/>
          <w:b w:val="0"/>
          <w:caps w:val="0"/>
          <w:sz w:val="20"/>
        </w:rPr>
      </w:pPr>
      <w:r w:rsidRPr="000D57CE">
        <w:rPr>
          <w:rFonts w:ascii="Arial" w:hAnsi="Arial" w:cs="Arial"/>
          <w:b w:val="0"/>
          <w:caps w:val="0"/>
          <w:sz w:val="20"/>
        </w:rPr>
        <w:t>The following statistical tools with their corresponding justifications was</w:t>
      </w:r>
      <w:r>
        <w:rPr>
          <w:rFonts w:ascii="Arial" w:hAnsi="Arial" w:cs="Arial"/>
          <w:b w:val="0"/>
          <w:caps w:val="0"/>
          <w:sz w:val="20"/>
        </w:rPr>
        <w:t xml:space="preserve"> </w:t>
      </w:r>
      <w:r w:rsidRPr="000D57CE">
        <w:rPr>
          <w:rFonts w:ascii="Arial" w:hAnsi="Arial" w:cs="Arial"/>
          <w:b w:val="0"/>
          <w:caps w:val="0"/>
          <w:sz w:val="20"/>
        </w:rPr>
        <w:t>used in the conduct of the study:</w:t>
      </w:r>
    </w:p>
    <w:p w14:paraId="3FB72794" w14:textId="454965C5" w:rsidR="000D57CE" w:rsidRPr="000D57CE" w:rsidRDefault="000D57CE" w:rsidP="000D57CE">
      <w:pPr>
        <w:pStyle w:val="Head1"/>
        <w:jc w:val="both"/>
        <w:rPr>
          <w:rFonts w:ascii="Arial" w:hAnsi="Arial" w:cs="Arial"/>
          <w:b w:val="0"/>
          <w:caps w:val="0"/>
          <w:sz w:val="20"/>
        </w:rPr>
      </w:pPr>
      <w:r w:rsidRPr="000D57CE">
        <w:rPr>
          <w:rFonts w:ascii="Arial" w:hAnsi="Arial" w:cs="Arial"/>
          <w:b w:val="0"/>
          <w:i/>
          <w:caps w:val="0"/>
          <w:sz w:val="20"/>
        </w:rPr>
        <w:t>Mean.</w:t>
      </w:r>
      <w:r>
        <w:rPr>
          <w:rFonts w:ascii="Arial" w:hAnsi="Arial" w:cs="Arial"/>
          <w:b w:val="0"/>
          <w:caps w:val="0"/>
          <w:sz w:val="20"/>
        </w:rPr>
        <w:t xml:space="preserve"> </w:t>
      </w:r>
      <w:r w:rsidRPr="000D57CE">
        <w:rPr>
          <w:rFonts w:ascii="Arial" w:hAnsi="Arial" w:cs="Arial"/>
          <w:b w:val="0"/>
          <w:caps w:val="0"/>
          <w:sz w:val="20"/>
        </w:rPr>
        <w:t xml:space="preserve">This was utilized to determine the level of workstation culture and professional accountability of </w:t>
      </w:r>
      <w:r>
        <w:rPr>
          <w:rFonts w:ascii="Arial" w:hAnsi="Arial" w:cs="Arial"/>
          <w:b w:val="0"/>
          <w:caps w:val="0"/>
          <w:sz w:val="20"/>
        </w:rPr>
        <w:t>teachers.</w:t>
      </w:r>
    </w:p>
    <w:p w14:paraId="70762EB5" w14:textId="57C3862A" w:rsidR="000D57CE" w:rsidRPr="000D57CE" w:rsidRDefault="000D57CE" w:rsidP="000D57CE">
      <w:pPr>
        <w:pStyle w:val="Head1"/>
        <w:jc w:val="both"/>
        <w:rPr>
          <w:rFonts w:ascii="Arial" w:hAnsi="Arial" w:cs="Arial"/>
          <w:b w:val="0"/>
          <w:caps w:val="0"/>
          <w:sz w:val="20"/>
        </w:rPr>
      </w:pPr>
      <w:r w:rsidRPr="000D57CE">
        <w:rPr>
          <w:rFonts w:ascii="Arial" w:hAnsi="Arial" w:cs="Arial"/>
          <w:b w:val="0"/>
          <w:i/>
          <w:caps w:val="0"/>
          <w:sz w:val="20"/>
        </w:rPr>
        <w:t>Pearson Product Moment Coefficient Correlation or (</w:t>
      </w:r>
      <w:proofErr w:type="gramStart"/>
      <w:r w:rsidRPr="000D57CE">
        <w:rPr>
          <w:rFonts w:ascii="Arial" w:hAnsi="Arial" w:cs="Arial"/>
          <w:b w:val="0"/>
          <w:i/>
          <w:caps w:val="0"/>
          <w:sz w:val="20"/>
        </w:rPr>
        <w:t>Pearson  r</w:t>
      </w:r>
      <w:proofErr w:type="gramEnd"/>
      <w:r w:rsidRPr="000D57CE">
        <w:rPr>
          <w:rFonts w:ascii="Arial" w:hAnsi="Arial" w:cs="Arial"/>
          <w:b w:val="0"/>
          <w:i/>
          <w:caps w:val="0"/>
          <w:sz w:val="20"/>
        </w:rPr>
        <w:t xml:space="preserve"> ).</w:t>
      </w:r>
      <w:r w:rsidRPr="000D57CE">
        <w:rPr>
          <w:rFonts w:ascii="Arial" w:hAnsi="Arial" w:cs="Arial"/>
          <w:b w:val="0"/>
          <w:caps w:val="0"/>
          <w:sz w:val="20"/>
        </w:rPr>
        <w:t xml:space="preserve">This was used to determine the significant relationship between the workstation culture and professional accountability of </w:t>
      </w:r>
      <w:r>
        <w:rPr>
          <w:rFonts w:ascii="Arial" w:hAnsi="Arial" w:cs="Arial"/>
          <w:b w:val="0"/>
          <w:caps w:val="0"/>
          <w:sz w:val="20"/>
        </w:rPr>
        <w:t>teachers.</w:t>
      </w:r>
    </w:p>
    <w:p w14:paraId="4B3A1DD0" w14:textId="4AD7B105" w:rsidR="00304469" w:rsidRDefault="000D57CE" w:rsidP="000D57CE">
      <w:pPr>
        <w:pStyle w:val="Head1"/>
        <w:spacing w:after="0"/>
        <w:jc w:val="both"/>
        <w:rPr>
          <w:rFonts w:ascii="Arial" w:hAnsi="Arial" w:cs="Arial"/>
          <w:b w:val="0"/>
          <w:caps w:val="0"/>
          <w:sz w:val="20"/>
        </w:rPr>
      </w:pPr>
      <w:r w:rsidRPr="000D57CE">
        <w:rPr>
          <w:rFonts w:ascii="Arial" w:hAnsi="Arial" w:cs="Arial"/>
          <w:b w:val="0"/>
          <w:i/>
          <w:caps w:val="0"/>
          <w:sz w:val="20"/>
        </w:rPr>
        <w:t>Regression Analysis.</w:t>
      </w:r>
      <w:r w:rsidRPr="000D57CE">
        <w:rPr>
          <w:rFonts w:ascii="Arial" w:hAnsi="Arial" w:cs="Arial"/>
          <w:b w:val="0"/>
          <w:caps w:val="0"/>
          <w:sz w:val="20"/>
        </w:rPr>
        <w:t xml:space="preserve"> This was used to determine the significant influence between the workstation culture and professional accountability of </w:t>
      </w:r>
      <w:r>
        <w:rPr>
          <w:rFonts w:ascii="Arial" w:hAnsi="Arial" w:cs="Arial"/>
          <w:b w:val="0"/>
          <w:caps w:val="0"/>
          <w:sz w:val="20"/>
        </w:rPr>
        <w:t>teachers.</w:t>
      </w:r>
    </w:p>
    <w:p w14:paraId="31C2F70C" w14:textId="77777777" w:rsidR="000D57CE" w:rsidRDefault="000D57CE" w:rsidP="000D57CE">
      <w:pPr>
        <w:pStyle w:val="Head1"/>
        <w:spacing w:after="0"/>
        <w:jc w:val="both"/>
        <w:rPr>
          <w:rFonts w:ascii="Arial" w:hAnsi="Arial" w:cs="Arial"/>
          <w:sz w:val="20"/>
        </w:rPr>
      </w:pPr>
    </w:p>
    <w:p w14:paraId="54D02440" w14:textId="77777777" w:rsidR="00717F2E" w:rsidRDefault="001276D1">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52ECD5C2" w:rsidR="005D71AE" w:rsidRDefault="001276D1">
      <w:pPr>
        <w:suppressAutoHyphens/>
        <w:jc w:val="both"/>
        <w:rPr>
          <w:rFonts w:ascii="Arial" w:hAnsi="Arial" w:cs="Arial"/>
          <w:b/>
        </w:rPr>
      </w:pPr>
      <w:r>
        <w:rPr>
          <w:rFonts w:ascii="Arial" w:hAnsi="Arial" w:cs="Arial"/>
          <w:b/>
        </w:rPr>
        <w:t xml:space="preserve">3.1 </w:t>
      </w:r>
      <w:r w:rsidR="00A47F96" w:rsidRPr="00A47F96">
        <w:rPr>
          <w:rFonts w:ascii="Arial" w:hAnsi="Arial" w:cs="Arial"/>
          <w:b/>
        </w:rPr>
        <w:t xml:space="preserve">Level of Workstation Culture of Teachers </w:t>
      </w:r>
    </w:p>
    <w:p w14:paraId="1DF55D87" w14:textId="77777777" w:rsidR="005D71AE" w:rsidRDefault="005D71AE">
      <w:pPr>
        <w:suppressAutoHyphens/>
        <w:jc w:val="both"/>
        <w:rPr>
          <w:rFonts w:ascii="Arial" w:hAnsi="Arial" w:cs="Arial"/>
          <w:b/>
        </w:rPr>
      </w:pPr>
    </w:p>
    <w:p w14:paraId="1ED70019" w14:textId="522F55A1" w:rsidR="00D453B9" w:rsidRPr="00A47F96" w:rsidRDefault="001276D1">
      <w:pPr>
        <w:suppressAutoHyphens/>
        <w:jc w:val="both"/>
        <w:rPr>
          <w:rFonts w:ascii="Arial" w:hAnsi="Arial" w:cs="Arial"/>
          <w:i/>
        </w:rPr>
      </w:pPr>
      <w:r w:rsidRPr="00781D5E">
        <w:rPr>
          <w:rFonts w:ascii="Arial" w:hAnsi="Arial" w:cs="Arial"/>
          <w:iCs/>
        </w:rPr>
        <w:t>Table 1</w:t>
      </w:r>
      <w:r w:rsidR="00A47F96">
        <w:rPr>
          <w:rFonts w:ascii="Arial" w:hAnsi="Arial" w:cs="Arial"/>
          <w:iCs/>
        </w:rPr>
        <w:t>.</w:t>
      </w:r>
      <w:r w:rsidR="00A47F96" w:rsidRPr="00A47F96">
        <w:t xml:space="preserve"> </w:t>
      </w:r>
      <w:r w:rsidR="00A47F96" w:rsidRPr="00A47F96">
        <w:rPr>
          <w:rFonts w:ascii="Arial" w:hAnsi="Arial" w:cs="Arial"/>
          <w:i/>
          <w:iCs/>
        </w:rPr>
        <w:t xml:space="preserve">Level of Workstation Culture of Teachers </w:t>
      </w:r>
    </w:p>
    <w:p w14:paraId="69D23EB0" w14:textId="77777777" w:rsidR="008927A1" w:rsidRPr="00A47F96" w:rsidRDefault="008927A1">
      <w:pPr>
        <w:suppressAutoHyphens/>
        <w:jc w:val="both"/>
        <w:rPr>
          <w:rFonts w:ascii="Arial" w:hAnsi="Arial" w:cs="Arial"/>
          <w:i/>
        </w:rPr>
      </w:pPr>
    </w:p>
    <w:p w14:paraId="20CF6BE0" w14:textId="77777777" w:rsidR="00D453B9" w:rsidRDefault="00D453B9" w:rsidP="003248E3">
      <w:pPr>
        <w:jc w:val="both"/>
        <w:rPr>
          <w:rFonts w:ascii="Arial" w:hAnsi="Arial" w:cs="Arial"/>
        </w:rPr>
      </w:pPr>
    </w:p>
    <w:tbl>
      <w:tblPr>
        <w:tblW w:w="0" w:type="auto"/>
        <w:tblInd w:w="198" w:type="dxa"/>
        <w:tblLook w:val="04A0" w:firstRow="1" w:lastRow="0" w:firstColumn="1" w:lastColumn="0" w:noHBand="0" w:noVBand="1"/>
      </w:tblPr>
      <w:tblGrid>
        <w:gridCol w:w="767"/>
        <w:gridCol w:w="4554"/>
        <w:gridCol w:w="951"/>
        <w:gridCol w:w="1738"/>
      </w:tblGrid>
      <w:tr w:rsidR="00A47F96" w:rsidRPr="00AF2837" w14:paraId="608D006C" w14:textId="77777777" w:rsidTr="00AF2837">
        <w:trPr>
          <w:trHeight w:val="357"/>
        </w:trPr>
        <w:tc>
          <w:tcPr>
            <w:tcW w:w="767" w:type="dxa"/>
            <w:tcBorders>
              <w:top w:val="double" w:sz="4" w:space="0" w:color="auto"/>
              <w:bottom w:val="single" w:sz="4" w:space="0" w:color="auto"/>
            </w:tcBorders>
          </w:tcPr>
          <w:p w14:paraId="6AB222F5" w14:textId="77777777" w:rsidR="00A47F96" w:rsidRPr="00AF2837" w:rsidRDefault="00A47F96" w:rsidP="006A6642">
            <w:pPr>
              <w:rPr>
                <w:rFonts w:ascii="Arial" w:hAnsi="Arial" w:cs="Arial"/>
              </w:rPr>
            </w:pPr>
            <w:r w:rsidRPr="00AF2837">
              <w:rPr>
                <w:rFonts w:ascii="Arial" w:hAnsi="Arial" w:cs="Arial"/>
              </w:rPr>
              <w:t>No.</w:t>
            </w:r>
          </w:p>
          <w:p w14:paraId="4EF41421" w14:textId="77777777" w:rsidR="00A47F96" w:rsidRPr="00AF2837" w:rsidRDefault="00A47F96" w:rsidP="006A6642">
            <w:pPr>
              <w:jc w:val="center"/>
              <w:rPr>
                <w:rFonts w:ascii="Arial" w:hAnsi="Arial" w:cs="Arial"/>
              </w:rPr>
            </w:pPr>
          </w:p>
        </w:tc>
        <w:tc>
          <w:tcPr>
            <w:tcW w:w="4554" w:type="dxa"/>
            <w:tcBorders>
              <w:top w:val="double" w:sz="4" w:space="0" w:color="auto"/>
              <w:bottom w:val="single" w:sz="4" w:space="0" w:color="auto"/>
            </w:tcBorders>
          </w:tcPr>
          <w:p w14:paraId="04B50AE3" w14:textId="770968E1" w:rsidR="00A47F96" w:rsidRPr="00AF2837" w:rsidRDefault="00A47F96" w:rsidP="006A6642">
            <w:pPr>
              <w:jc w:val="center"/>
              <w:rPr>
                <w:rFonts w:ascii="Arial" w:hAnsi="Arial" w:cs="Arial"/>
              </w:rPr>
            </w:pPr>
            <w:r w:rsidRPr="00AF2837">
              <w:rPr>
                <w:rFonts w:ascii="Arial" w:hAnsi="Arial" w:cs="Arial"/>
              </w:rPr>
              <w:t>Domains</w:t>
            </w:r>
          </w:p>
        </w:tc>
        <w:tc>
          <w:tcPr>
            <w:tcW w:w="951" w:type="dxa"/>
            <w:tcBorders>
              <w:top w:val="double" w:sz="4" w:space="0" w:color="auto"/>
              <w:bottom w:val="single" w:sz="4" w:space="0" w:color="auto"/>
            </w:tcBorders>
          </w:tcPr>
          <w:p w14:paraId="306F5239" w14:textId="77777777" w:rsidR="00A47F96" w:rsidRPr="00AF2837" w:rsidRDefault="00A47F96" w:rsidP="006A6642">
            <w:pPr>
              <w:contextualSpacing/>
              <w:jc w:val="center"/>
              <w:rPr>
                <w:rFonts w:ascii="Arial" w:hAnsi="Arial" w:cs="Arial"/>
                <w:lang w:eastAsia="en-PH"/>
              </w:rPr>
            </w:pPr>
            <w:r w:rsidRPr="00AF2837">
              <w:rPr>
                <w:rFonts w:ascii="Arial" w:hAnsi="Arial" w:cs="Arial"/>
                <w:lang w:eastAsia="en-PH"/>
              </w:rPr>
              <w:t>Mean</w:t>
            </w:r>
          </w:p>
          <w:p w14:paraId="39B2318B" w14:textId="77777777" w:rsidR="00A47F96" w:rsidRPr="00AF2837" w:rsidRDefault="00A47F96" w:rsidP="006A6642">
            <w:pPr>
              <w:contextualSpacing/>
              <w:jc w:val="center"/>
              <w:rPr>
                <w:rFonts w:ascii="Arial" w:hAnsi="Arial" w:cs="Arial"/>
              </w:rPr>
            </w:pPr>
            <w:r w:rsidRPr="00AF2837">
              <w:rPr>
                <w:rFonts w:ascii="Arial" w:hAnsi="Arial" w:cs="Arial"/>
                <w:lang w:eastAsia="en-PH"/>
              </w:rPr>
              <w:t>(</w:t>
            </w:r>
            <w:r w:rsidRPr="00AF2837">
              <w:rPr>
                <w:rFonts w:ascii="Arial" w:hAnsi="Arial" w:cs="Arial"/>
                <w:lang w:eastAsia="en-PH"/>
              </w:rPr>
              <w:fldChar w:fldCharType="begin"/>
            </w:r>
            <w:r w:rsidRPr="00AF2837">
              <w:rPr>
                <w:rFonts w:ascii="Arial" w:hAnsi="Arial" w:cs="Arial"/>
                <w:lang w:eastAsia="en-PH"/>
              </w:rPr>
              <w:instrText xml:space="preserve"> QUOTE </w:instrText>
            </w:r>
            <w:r w:rsidR="004B5E92">
              <w:rPr>
                <w:rFonts w:ascii="Arial" w:hAnsi="Arial" w:cs="Arial"/>
                <w:position w:val="-9"/>
              </w:rPr>
              <w:pict w14:anchorId="76C56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75pt" equationxml="&lt;">
                  <v:imagedata r:id="rId15" o:title="" chromakey="white"/>
                </v:shape>
              </w:pict>
            </w:r>
            <w:r w:rsidRPr="00AF2837">
              <w:rPr>
                <w:rFonts w:ascii="Arial" w:hAnsi="Arial" w:cs="Arial"/>
                <w:lang w:eastAsia="en-PH"/>
              </w:rPr>
              <w:fldChar w:fldCharType="separate"/>
            </w:r>
            <w:r w:rsidR="004B5E92">
              <w:rPr>
                <w:rFonts w:ascii="Arial" w:hAnsi="Arial" w:cs="Arial"/>
                <w:position w:val="-9"/>
              </w:rPr>
              <w:pict w14:anchorId="0ECD07D5">
                <v:shape id="_x0000_i1026" type="#_x0000_t75" style="width:6pt;height:15.75pt" equationxml="&lt;">
                  <v:imagedata r:id="rId15" o:title="" chromakey="white"/>
                </v:shape>
              </w:pict>
            </w:r>
            <w:r w:rsidRPr="00AF2837">
              <w:rPr>
                <w:rFonts w:ascii="Arial" w:hAnsi="Arial" w:cs="Arial"/>
                <w:lang w:eastAsia="en-PH"/>
              </w:rPr>
              <w:fldChar w:fldCharType="end"/>
            </w:r>
            <w:r w:rsidRPr="00AF2837">
              <w:rPr>
                <w:rFonts w:ascii="Arial" w:hAnsi="Arial" w:cs="Arial"/>
                <w:lang w:eastAsia="en-PH"/>
              </w:rPr>
              <w:t>)</w:t>
            </w:r>
          </w:p>
        </w:tc>
        <w:tc>
          <w:tcPr>
            <w:tcW w:w="1738" w:type="dxa"/>
            <w:tcBorders>
              <w:top w:val="double" w:sz="4" w:space="0" w:color="auto"/>
              <w:bottom w:val="single" w:sz="4" w:space="0" w:color="auto"/>
            </w:tcBorders>
          </w:tcPr>
          <w:p w14:paraId="04237D5D" w14:textId="77777777" w:rsidR="00A47F96" w:rsidRPr="00AF2837" w:rsidRDefault="00A47F96" w:rsidP="006A6642">
            <w:pPr>
              <w:jc w:val="center"/>
              <w:rPr>
                <w:rFonts w:ascii="Arial" w:hAnsi="Arial" w:cs="Arial"/>
              </w:rPr>
            </w:pPr>
            <w:r w:rsidRPr="00AF2837">
              <w:rPr>
                <w:rFonts w:ascii="Arial" w:hAnsi="Arial" w:cs="Arial"/>
              </w:rPr>
              <w:t>Descriptive Equivalent</w:t>
            </w:r>
          </w:p>
        </w:tc>
      </w:tr>
      <w:tr w:rsidR="00AF2837" w:rsidRPr="00AF2837" w14:paraId="7E5E37D0" w14:textId="77777777" w:rsidTr="00AF2837">
        <w:trPr>
          <w:trHeight w:val="242"/>
        </w:trPr>
        <w:tc>
          <w:tcPr>
            <w:tcW w:w="767" w:type="dxa"/>
            <w:tcBorders>
              <w:top w:val="single" w:sz="4" w:space="0" w:color="auto"/>
              <w:bottom w:val="nil"/>
            </w:tcBorders>
          </w:tcPr>
          <w:p w14:paraId="1C560C73" w14:textId="77777777" w:rsidR="00AF2837" w:rsidRPr="00AF2837" w:rsidRDefault="00AF2837" w:rsidP="00AF2837">
            <w:pPr>
              <w:jc w:val="center"/>
              <w:rPr>
                <w:rFonts w:ascii="Arial" w:hAnsi="Arial" w:cs="Arial"/>
              </w:rPr>
            </w:pPr>
            <w:r w:rsidRPr="00AF2837">
              <w:rPr>
                <w:rFonts w:ascii="Arial" w:hAnsi="Arial" w:cs="Arial"/>
              </w:rPr>
              <w:lastRenderedPageBreak/>
              <w:t>1</w:t>
            </w:r>
          </w:p>
        </w:tc>
        <w:tc>
          <w:tcPr>
            <w:tcW w:w="4554" w:type="dxa"/>
            <w:tcBorders>
              <w:top w:val="single" w:sz="4" w:space="0" w:color="auto"/>
              <w:bottom w:val="nil"/>
            </w:tcBorders>
          </w:tcPr>
          <w:p w14:paraId="2C2849C2" w14:textId="77777777" w:rsidR="00AF2837" w:rsidRPr="00AF2837" w:rsidRDefault="00AF2837" w:rsidP="00AF2837">
            <w:pPr>
              <w:jc w:val="both"/>
              <w:rPr>
                <w:rFonts w:ascii="Arial" w:hAnsi="Arial" w:cs="Arial"/>
              </w:rPr>
            </w:pPr>
            <w:r w:rsidRPr="00AF2837">
              <w:rPr>
                <w:rFonts w:ascii="Arial" w:hAnsi="Arial" w:cs="Arial"/>
              </w:rPr>
              <w:t>human relations</w:t>
            </w:r>
          </w:p>
        </w:tc>
        <w:tc>
          <w:tcPr>
            <w:tcW w:w="951" w:type="dxa"/>
            <w:tcBorders>
              <w:top w:val="single" w:sz="4" w:space="0" w:color="auto"/>
              <w:bottom w:val="nil"/>
            </w:tcBorders>
          </w:tcPr>
          <w:p w14:paraId="20A250E0" w14:textId="77777777" w:rsidR="00AF2837" w:rsidRPr="00AF2837" w:rsidRDefault="00AF2837" w:rsidP="00AF2837">
            <w:pPr>
              <w:jc w:val="center"/>
              <w:rPr>
                <w:rFonts w:ascii="Arial" w:hAnsi="Arial" w:cs="Arial"/>
              </w:rPr>
            </w:pPr>
            <w:r w:rsidRPr="00AF2837">
              <w:rPr>
                <w:rFonts w:ascii="Arial" w:hAnsi="Arial" w:cs="Arial"/>
              </w:rPr>
              <w:t>3.30</w:t>
            </w:r>
          </w:p>
        </w:tc>
        <w:tc>
          <w:tcPr>
            <w:tcW w:w="1738" w:type="dxa"/>
            <w:tcBorders>
              <w:top w:val="single" w:sz="4" w:space="0" w:color="auto"/>
              <w:bottom w:val="nil"/>
            </w:tcBorders>
          </w:tcPr>
          <w:p w14:paraId="0E055A19" w14:textId="64AC08D8" w:rsidR="00AF2837" w:rsidRPr="00AF2837" w:rsidRDefault="00AF2837" w:rsidP="00AF2837">
            <w:pPr>
              <w:jc w:val="center"/>
              <w:rPr>
                <w:rFonts w:ascii="Arial" w:hAnsi="Arial" w:cs="Arial"/>
              </w:rPr>
            </w:pPr>
            <w:r w:rsidRPr="00644B3F">
              <w:rPr>
                <w:rFonts w:ascii="Arial" w:hAnsi="Arial" w:cs="Arial"/>
              </w:rPr>
              <w:t>High</w:t>
            </w:r>
          </w:p>
        </w:tc>
      </w:tr>
      <w:tr w:rsidR="00AF2837" w:rsidRPr="00AF2837" w14:paraId="45CAB671" w14:textId="77777777" w:rsidTr="00AF2837">
        <w:trPr>
          <w:trHeight w:val="278"/>
        </w:trPr>
        <w:tc>
          <w:tcPr>
            <w:tcW w:w="767" w:type="dxa"/>
          </w:tcPr>
          <w:p w14:paraId="7F901261" w14:textId="77777777" w:rsidR="00AF2837" w:rsidRPr="00AF2837" w:rsidRDefault="00AF2837" w:rsidP="00AF2837">
            <w:pPr>
              <w:jc w:val="center"/>
              <w:rPr>
                <w:rFonts w:ascii="Arial" w:hAnsi="Arial" w:cs="Arial"/>
              </w:rPr>
            </w:pPr>
            <w:r w:rsidRPr="00AF2837">
              <w:rPr>
                <w:rFonts w:ascii="Arial" w:hAnsi="Arial" w:cs="Arial"/>
              </w:rPr>
              <w:t>2</w:t>
            </w:r>
          </w:p>
        </w:tc>
        <w:tc>
          <w:tcPr>
            <w:tcW w:w="4554" w:type="dxa"/>
          </w:tcPr>
          <w:p w14:paraId="551E2220" w14:textId="77777777" w:rsidR="00AF2837" w:rsidRPr="00AF2837" w:rsidRDefault="00AF2837" w:rsidP="00AF2837">
            <w:pPr>
              <w:jc w:val="both"/>
              <w:rPr>
                <w:rFonts w:ascii="Arial" w:hAnsi="Arial" w:cs="Arial"/>
              </w:rPr>
            </w:pPr>
            <w:r w:rsidRPr="00AF2837">
              <w:rPr>
                <w:rFonts w:ascii="Arial" w:hAnsi="Arial" w:cs="Arial"/>
              </w:rPr>
              <w:t>decision-making</w:t>
            </w:r>
          </w:p>
        </w:tc>
        <w:tc>
          <w:tcPr>
            <w:tcW w:w="951" w:type="dxa"/>
          </w:tcPr>
          <w:p w14:paraId="00100E74" w14:textId="77777777" w:rsidR="00AF2837" w:rsidRPr="00AF2837" w:rsidRDefault="00AF2837" w:rsidP="00AF2837">
            <w:pPr>
              <w:jc w:val="center"/>
              <w:rPr>
                <w:rFonts w:ascii="Arial" w:hAnsi="Arial" w:cs="Arial"/>
              </w:rPr>
            </w:pPr>
            <w:r w:rsidRPr="00AF2837">
              <w:rPr>
                <w:rFonts w:ascii="Arial" w:hAnsi="Arial" w:cs="Arial"/>
              </w:rPr>
              <w:t>3.71</w:t>
            </w:r>
          </w:p>
        </w:tc>
        <w:tc>
          <w:tcPr>
            <w:tcW w:w="1738" w:type="dxa"/>
          </w:tcPr>
          <w:p w14:paraId="0307300B" w14:textId="36714121" w:rsidR="00AF2837" w:rsidRPr="00AF2837" w:rsidRDefault="00AF2837" w:rsidP="00AF2837">
            <w:pPr>
              <w:jc w:val="center"/>
              <w:rPr>
                <w:rFonts w:ascii="Arial" w:hAnsi="Arial" w:cs="Arial"/>
              </w:rPr>
            </w:pPr>
            <w:r w:rsidRPr="00644B3F">
              <w:rPr>
                <w:rFonts w:ascii="Arial" w:hAnsi="Arial" w:cs="Arial"/>
              </w:rPr>
              <w:t>High</w:t>
            </w:r>
          </w:p>
        </w:tc>
      </w:tr>
      <w:tr w:rsidR="00AF2837" w:rsidRPr="00AF2837" w14:paraId="110332BD" w14:textId="77777777" w:rsidTr="00AF2837">
        <w:trPr>
          <w:trHeight w:val="242"/>
        </w:trPr>
        <w:tc>
          <w:tcPr>
            <w:tcW w:w="767" w:type="dxa"/>
          </w:tcPr>
          <w:p w14:paraId="0CC5E723" w14:textId="77777777" w:rsidR="00AF2837" w:rsidRPr="00AF2837" w:rsidRDefault="00AF2837" w:rsidP="00AF2837">
            <w:pPr>
              <w:jc w:val="center"/>
              <w:rPr>
                <w:rFonts w:ascii="Arial" w:hAnsi="Arial" w:cs="Arial"/>
              </w:rPr>
            </w:pPr>
            <w:r w:rsidRPr="00AF2837">
              <w:rPr>
                <w:rFonts w:ascii="Arial" w:hAnsi="Arial" w:cs="Arial"/>
              </w:rPr>
              <w:t>3</w:t>
            </w:r>
          </w:p>
        </w:tc>
        <w:tc>
          <w:tcPr>
            <w:tcW w:w="4554" w:type="dxa"/>
          </w:tcPr>
          <w:p w14:paraId="1F40E210" w14:textId="77777777" w:rsidR="00AF2837" w:rsidRPr="00AF2837" w:rsidRDefault="00AF2837" w:rsidP="00AF2837">
            <w:pPr>
              <w:jc w:val="both"/>
              <w:rPr>
                <w:rFonts w:ascii="Arial" w:hAnsi="Arial" w:cs="Arial"/>
              </w:rPr>
            </w:pPr>
            <w:r w:rsidRPr="00AF2837">
              <w:rPr>
                <w:rFonts w:ascii="Arial" w:hAnsi="Arial" w:cs="Arial"/>
              </w:rPr>
              <w:t>control domain</w:t>
            </w:r>
          </w:p>
        </w:tc>
        <w:tc>
          <w:tcPr>
            <w:tcW w:w="951" w:type="dxa"/>
          </w:tcPr>
          <w:p w14:paraId="172D4A12" w14:textId="77777777" w:rsidR="00AF2837" w:rsidRPr="00AF2837" w:rsidRDefault="00AF2837" w:rsidP="00AF2837">
            <w:pPr>
              <w:jc w:val="center"/>
              <w:rPr>
                <w:rFonts w:ascii="Arial" w:hAnsi="Arial" w:cs="Arial"/>
              </w:rPr>
            </w:pPr>
            <w:r w:rsidRPr="00AF2837">
              <w:rPr>
                <w:rFonts w:ascii="Arial" w:hAnsi="Arial" w:cs="Arial"/>
              </w:rPr>
              <w:t>3.28</w:t>
            </w:r>
          </w:p>
        </w:tc>
        <w:tc>
          <w:tcPr>
            <w:tcW w:w="1738" w:type="dxa"/>
          </w:tcPr>
          <w:p w14:paraId="3F7F483D" w14:textId="6F86207F" w:rsidR="00AF2837" w:rsidRPr="00AF2837" w:rsidRDefault="00AF2837" w:rsidP="00AF2837">
            <w:pPr>
              <w:jc w:val="center"/>
              <w:rPr>
                <w:rFonts w:ascii="Arial" w:hAnsi="Arial" w:cs="Arial"/>
              </w:rPr>
            </w:pPr>
            <w:r w:rsidRPr="00644B3F">
              <w:rPr>
                <w:rFonts w:ascii="Arial" w:hAnsi="Arial" w:cs="Arial"/>
              </w:rPr>
              <w:t>High</w:t>
            </w:r>
          </w:p>
        </w:tc>
      </w:tr>
      <w:tr w:rsidR="00AF2837" w:rsidRPr="00AF2837" w14:paraId="55169119" w14:textId="77777777" w:rsidTr="00AF2837">
        <w:tc>
          <w:tcPr>
            <w:tcW w:w="767" w:type="dxa"/>
          </w:tcPr>
          <w:p w14:paraId="42BE49B0" w14:textId="77777777" w:rsidR="00AF2837" w:rsidRPr="00AF2837" w:rsidRDefault="00AF2837" w:rsidP="00AF2837">
            <w:pPr>
              <w:jc w:val="center"/>
              <w:rPr>
                <w:rFonts w:ascii="Arial" w:hAnsi="Arial" w:cs="Arial"/>
              </w:rPr>
            </w:pPr>
            <w:r w:rsidRPr="00AF2837">
              <w:rPr>
                <w:rFonts w:ascii="Arial" w:hAnsi="Arial" w:cs="Arial"/>
              </w:rPr>
              <w:t>4</w:t>
            </w:r>
          </w:p>
        </w:tc>
        <w:tc>
          <w:tcPr>
            <w:tcW w:w="4554" w:type="dxa"/>
          </w:tcPr>
          <w:p w14:paraId="191DB44A" w14:textId="0FB46B5A" w:rsidR="00AF2837" w:rsidRPr="00AF2837" w:rsidRDefault="002C36E6" w:rsidP="00AF2837">
            <w:pPr>
              <w:jc w:val="both"/>
              <w:rPr>
                <w:rFonts w:ascii="Arial" w:hAnsi="Arial" w:cs="Arial"/>
              </w:rPr>
            </w:pPr>
            <w:r w:rsidRPr="00AF2837">
              <w:rPr>
                <w:rFonts w:ascii="Arial" w:hAnsi="Arial" w:cs="Arial"/>
              </w:rPr>
              <w:t>C</w:t>
            </w:r>
            <w:r w:rsidR="00AF2837" w:rsidRPr="00AF2837">
              <w:rPr>
                <w:rFonts w:ascii="Arial" w:hAnsi="Arial" w:cs="Arial"/>
              </w:rPr>
              <w:t>onflict</w:t>
            </w:r>
          </w:p>
        </w:tc>
        <w:tc>
          <w:tcPr>
            <w:tcW w:w="951" w:type="dxa"/>
          </w:tcPr>
          <w:p w14:paraId="239A3C13" w14:textId="77777777" w:rsidR="00AF2837" w:rsidRPr="00AF2837" w:rsidRDefault="00AF2837" w:rsidP="00AF2837">
            <w:pPr>
              <w:jc w:val="center"/>
              <w:rPr>
                <w:rFonts w:ascii="Arial" w:hAnsi="Arial" w:cs="Arial"/>
              </w:rPr>
            </w:pPr>
            <w:r w:rsidRPr="00AF2837">
              <w:rPr>
                <w:rFonts w:ascii="Arial" w:hAnsi="Arial" w:cs="Arial"/>
              </w:rPr>
              <w:t>3.38</w:t>
            </w:r>
          </w:p>
        </w:tc>
        <w:tc>
          <w:tcPr>
            <w:tcW w:w="1738" w:type="dxa"/>
          </w:tcPr>
          <w:p w14:paraId="6EFF596D" w14:textId="29F084FB" w:rsidR="00AF2837" w:rsidRPr="00AF2837" w:rsidRDefault="00AF2837" w:rsidP="00AF2837">
            <w:pPr>
              <w:jc w:val="center"/>
              <w:rPr>
                <w:rFonts w:ascii="Arial" w:hAnsi="Arial" w:cs="Arial"/>
              </w:rPr>
            </w:pPr>
            <w:r w:rsidRPr="00644B3F">
              <w:rPr>
                <w:rFonts w:ascii="Arial" w:hAnsi="Arial" w:cs="Arial"/>
              </w:rPr>
              <w:t>High</w:t>
            </w:r>
          </w:p>
        </w:tc>
      </w:tr>
      <w:tr w:rsidR="00A47F96" w:rsidRPr="00AF2837" w14:paraId="4D2DAB7F" w14:textId="77777777" w:rsidTr="00AF2837">
        <w:trPr>
          <w:trHeight w:val="193"/>
        </w:trPr>
        <w:tc>
          <w:tcPr>
            <w:tcW w:w="5321" w:type="dxa"/>
            <w:gridSpan w:val="2"/>
            <w:tcBorders>
              <w:bottom w:val="double" w:sz="4" w:space="0" w:color="auto"/>
            </w:tcBorders>
          </w:tcPr>
          <w:p w14:paraId="5DC95880" w14:textId="77777777" w:rsidR="00A47F96" w:rsidRPr="00AF2837" w:rsidRDefault="00A47F96" w:rsidP="006A6642">
            <w:pPr>
              <w:jc w:val="center"/>
              <w:rPr>
                <w:rFonts w:ascii="Arial" w:hAnsi="Arial" w:cs="Arial"/>
                <w:b/>
              </w:rPr>
            </w:pPr>
            <w:r w:rsidRPr="00AF2837">
              <w:rPr>
                <w:rFonts w:ascii="Arial" w:hAnsi="Arial" w:cs="Arial"/>
                <w:b/>
              </w:rPr>
              <w:t>Overall Mean</w:t>
            </w:r>
          </w:p>
        </w:tc>
        <w:tc>
          <w:tcPr>
            <w:tcW w:w="951" w:type="dxa"/>
            <w:tcBorders>
              <w:bottom w:val="double" w:sz="4" w:space="0" w:color="auto"/>
            </w:tcBorders>
          </w:tcPr>
          <w:p w14:paraId="10552056" w14:textId="77777777" w:rsidR="00A47F96" w:rsidRPr="00AF2837" w:rsidRDefault="00A47F96" w:rsidP="006A6642">
            <w:pPr>
              <w:jc w:val="center"/>
              <w:rPr>
                <w:rFonts w:ascii="Arial" w:hAnsi="Arial" w:cs="Arial"/>
              </w:rPr>
            </w:pPr>
            <w:r w:rsidRPr="00AF2837">
              <w:rPr>
                <w:rFonts w:ascii="Arial" w:hAnsi="Arial" w:cs="Arial"/>
              </w:rPr>
              <w:t>3.42</w:t>
            </w:r>
          </w:p>
        </w:tc>
        <w:tc>
          <w:tcPr>
            <w:tcW w:w="1738" w:type="dxa"/>
            <w:tcBorders>
              <w:bottom w:val="double" w:sz="4" w:space="0" w:color="auto"/>
            </w:tcBorders>
          </w:tcPr>
          <w:p w14:paraId="2CC6440F" w14:textId="77777777" w:rsidR="00A47F96" w:rsidRPr="00AF2837" w:rsidRDefault="00A47F96" w:rsidP="006A6642">
            <w:pPr>
              <w:jc w:val="center"/>
              <w:rPr>
                <w:rFonts w:ascii="Arial" w:hAnsi="Arial" w:cs="Arial"/>
              </w:rPr>
            </w:pPr>
            <w:r w:rsidRPr="00AF2837">
              <w:rPr>
                <w:rFonts w:ascii="Arial" w:hAnsi="Arial" w:cs="Arial"/>
              </w:rPr>
              <w:t>High</w:t>
            </w:r>
          </w:p>
        </w:tc>
      </w:tr>
      <w:tr w:rsidR="00A47F96" w:rsidRPr="00AF2837" w14:paraId="213C0270" w14:textId="77777777" w:rsidTr="00AF2837">
        <w:trPr>
          <w:trHeight w:val="115"/>
        </w:trPr>
        <w:tc>
          <w:tcPr>
            <w:tcW w:w="5321" w:type="dxa"/>
            <w:gridSpan w:val="2"/>
            <w:tcBorders>
              <w:top w:val="double" w:sz="4" w:space="0" w:color="auto"/>
            </w:tcBorders>
          </w:tcPr>
          <w:p w14:paraId="6C18FBE1" w14:textId="77777777" w:rsidR="00A47F96" w:rsidRPr="00AF2837" w:rsidRDefault="00A47F96" w:rsidP="006A6642">
            <w:pPr>
              <w:jc w:val="center"/>
              <w:rPr>
                <w:rFonts w:ascii="Arial" w:hAnsi="Arial" w:cs="Arial"/>
              </w:rPr>
            </w:pPr>
          </w:p>
        </w:tc>
        <w:tc>
          <w:tcPr>
            <w:tcW w:w="951" w:type="dxa"/>
            <w:tcBorders>
              <w:top w:val="double" w:sz="4" w:space="0" w:color="auto"/>
            </w:tcBorders>
          </w:tcPr>
          <w:p w14:paraId="1583D14A" w14:textId="77777777" w:rsidR="00A47F96" w:rsidRPr="00AF2837" w:rsidRDefault="00A47F96" w:rsidP="006A6642">
            <w:pPr>
              <w:jc w:val="center"/>
              <w:rPr>
                <w:rFonts w:ascii="Arial" w:hAnsi="Arial" w:cs="Arial"/>
              </w:rPr>
            </w:pPr>
          </w:p>
        </w:tc>
        <w:tc>
          <w:tcPr>
            <w:tcW w:w="1738" w:type="dxa"/>
            <w:tcBorders>
              <w:top w:val="double" w:sz="4" w:space="0" w:color="auto"/>
            </w:tcBorders>
          </w:tcPr>
          <w:p w14:paraId="7D00C2BF" w14:textId="77777777" w:rsidR="00A47F96" w:rsidRPr="00AF2837" w:rsidRDefault="00A47F96" w:rsidP="006A6642">
            <w:pPr>
              <w:jc w:val="center"/>
              <w:rPr>
                <w:rFonts w:ascii="Arial" w:hAnsi="Arial" w:cs="Arial"/>
              </w:rPr>
            </w:pPr>
          </w:p>
        </w:tc>
      </w:tr>
    </w:tbl>
    <w:p w14:paraId="33FE1028" w14:textId="77777777" w:rsidR="00B6361C" w:rsidRDefault="00B6361C" w:rsidP="003248E3">
      <w:pPr>
        <w:jc w:val="both"/>
        <w:rPr>
          <w:rFonts w:ascii="Arial" w:hAnsi="Arial" w:cs="Arial"/>
        </w:rPr>
      </w:pPr>
    </w:p>
    <w:p w14:paraId="659BEB17" w14:textId="77777777" w:rsidR="002F7F07" w:rsidRDefault="002F7F07" w:rsidP="008F0E58">
      <w:pPr>
        <w:jc w:val="both"/>
        <w:rPr>
          <w:rFonts w:ascii="Arial" w:hAnsi="Arial" w:cs="Arial"/>
        </w:rPr>
      </w:pPr>
      <w:r w:rsidRPr="002F7F07">
        <w:rPr>
          <w:rFonts w:ascii="Arial" w:hAnsi="Arial" w:cs="Arial"/>
        </w:rPr>
        <w:t>Presented in Table 1 is the level of workstation culture of teachers in public elementary schools across four domains: human relations, decision-making, control domain, and conflict, based on the computed mean scores. Among these, decision-making received the highest mean score of 3.71, categorized as high, followed by conflict with a mean of 3.38, human relations with 3.30, and control domain with 3.28, all also rated as high. The overall mean of 3.42 indicates a high level of workstation culture among teachers.</w:t>
      </w:r>
    </w:p>
    <w:p w14:paraId="2619CDE7" w14:textId="77777777" w:rsidR="002F7F07" w:rsidRDefault="002F7F07" w:rsidP="008F0E58">
      <w:pPr>
        <w:jc w:val="both"/>
        <w:rPr>
          <w:rFonts w:ascii="Arial" w:hAnsi="Arial" w:cs="Arial"/>
        </w:rPr>
      </w:pPr>
    </w:p>
    <w:p w14:paraId="772391E3" w14:textId="514E2769" w:rsidR="008F0E58" w:rsidRDefault="002F7F07" w:rsidP="008F0E58">
      <w:pPr>
        <w:jc w:val="both"/>
        <w:rPr>
          <w:rFonts w:ascii="Arial" w:hAnsi="Arial" w:cs="Arial"/>
        </w:rPr>
      </w:pPr>
      <w:r w:rsidRPr="002F7F07">
        <w:rPr>
          <w:rFonts w:ascii="Arial" w:hAnsi="Arial" w:cs="Arial"/>
        </w:rPr>
        <w:t>This finding suggests that public elementary school teachers demonstrate a high level of overall workstation culture. The consistently high scores across all domains indicate that the teachers operate within a supportive and well-structured work environment. Such a positive workstation culture is characterized by strong interpersonal relationships, clear communication channels, inclusive decision-making, effective organizational controls, and constructive approaches to managing conflicts. These elements collectively contribute to fostering a collaborative and motivating atmosphere where teachers feel valued and empowered. A robust workstation culture not only enhances teachers’ job satisfaction and professional commitment but also positively impacts their performance and, ultimately, the quality of education delivered to students. By maintaining and further strengthening this culture, schools can create an environment that supports continuous growth, teamwork, and a shared dedication to educational excellence.</w:t>
      </w:r>
    </w:p>
    <w:p w14:paraId="3E4AC375" w14:textId="77777777" w:rsidR="00D577D0" w:rsidRPr="008F0E58" w:rsidRDefault="00D577D0" w:rsidP="008F0E58">
      <w:pPr>
        <w:jc w:val="both"/>
        <w:rPr>
          <w:rFonts w:ascii="Arial" w:hAnsi="Arial" w:cs="Arial"/>
        </w:rPr>
      </w:pPr>
    </w:p>
    <w:p w14:paraId="366810DC" w14:textId="5B37225A" w:rsidR="008F0E58" w:rsidRDefault="002C36E6" w:rsidP="008F0E58">
      <w:pPr>
        <w:jc w:val="both"/>
        <w:rPr>
          <w:rFonts w:ascii="Arial" w:hAnsi="Arial" w:cs="Arial"/>
        </w:rPr>
      </w:pPr>
      <w:r w:rsidRPr="002C36E6">
        <w:rPr>
          <w:rFonts w:ascii="Arial" w:hAnsi="Arial" w:cs="Arial"/>
        </w:rPr>
        <w:t xml:space="preserve">This result is supported by the findings of </w:t>
      </w:r>
      <w:proofErr w:type="spellStart"/>
      <w:proofErr w:type="gramStart"/>
      <w:r w:rsidR="00D577D0" w:rsidRPr="00D577D0">
        <w:rPr>
          <w:rFonts w:ascii="Arial" w:hAnsi="Arial" w:cs="Arial"/>
        </w:rPr>
        <w:t>Tinapay</w:t>
      </w:r>
      <w:proofErr w:type="spellEnd"/>
      <w:r w:rsidR="00D577D0" w:rsidRPr="00D577D0">
        <w:rPr>
          <w:rFonts w:ascii="Arial" w:hAnsi="Arial" w:cs="Arial"/>
        </w:rPr>
        <w:t xml:space="preserve"> </w:t>
      </w:r>
      <w:r w:rsidR="00D577D0">
        <w:rPr>
          <w:rFonts w:ascii="Arial" w:hAnsi="Arial" w:cs="Arial"/>
        </w:rPr>
        <w:t xml:space="preserve"> et al.</w:t>
      </w:r>
      <w:proofErr w:type="gramEnd"/>
      <w:r w:rsidR="00D577D0">
        <w:rPr>
          <w:rFonts w:ascii="Arial" w:hAnsi="Arial" w:cs="Arial"/>
        </w:rPr>
        <w:t xml:space="preserve"> (2024</w:t>
      </w:r>
      <w:r w:rsidRPr="002C36E6">
        <w:rPr>
          <w:rFonts w:ascii="Arial" w:hAnsi="Arial" w:cs="Arial"/>
        </w:rPr>
        <w:t xml:space="preserve">), who highlighted that high levels of professional accountability among teachers are closely linked to their dedication to upholding ethical standards, continuous improvement, and student-centered practices. In the same way, </w:t>
      </w:r>
      <w:r w:rsidR="00D577D0">
        <w:rPr>
          <w:rFonts w:ascii="Arial" w:hAnsi="Arial" w:cs="Arial"/>
        </w:rPr>
        <w:t>Kumar (2024</w:t>
      </w:r>
      <w:r w:rsidRPr="002C36E6">
        <w:rPr>
          <w:rFonts w:ascii="Arial" w:hAnsi="Arial" w:cs="Arial"/>
        </w:rPr>
        <w:t>) asserted that when teachers demonstrate strong personal respons</w:t>
      </w:r>
      <w:r>
        <w:rPr>
          <w:rFonts w:ascii="Arial" w:hAnsi="Arial" w:cs="Arial"/>
        </w:rPr>
        <w:t xml:space="preserve">ibility and professional ethics, </w:t>
      </w:r>
      <w:r w:rsidRPr="002C36E6">
        <w:rPr>
          <w:rFonts w:ascii="Arial" w:hAnsi="Arial" w:cs="Arial"/>
        </w:rPr>
        <w:t>such as honesty, compassion, and social responsibilit</w:t>
      </w:r>
      <w:r>
        <w:rPr>
          <w:rFonts w:ascii="Arial" w:hAnsi="Arial" w:cs="Arial"/>
        </w:rPr>
        <w:t xml:space="preserve">y, </w:t>
      </w:r>
      <w:r w:rsidRPr="002C36E6">
        <w:rPr>
          <w:rFonts w:ascii="Arial" w:hAnsi="Arial" w:cs="Arial"/>
        </w:rPr>
        <w:t xml:space="preserve">it positively impacts school culture and student outcomes. Furthermore, the finding aligns with the conclusion of </w:t>
      </w:r>
      <w:r w:rsidR="006B165B" w:rsidRPr="006B165B">
        <w:rPr>
          <w:rFonts w:ascii="Arial" w:hAnsi="Arial" w:cs="Arial"/>
        </w:rPr>
        <w:t>Okechukwu</w:t>
      </w:r>
      <w:r w:rsidR="006B165B">
        <w:rPr>
          <w:rFonts w:ascii="Arial" w:hAnsi="Arial" w:cs="Arial"/>
        </w:rPr>
        <w:t xml:space="preserve"> (2025</w:t>
      </w:r>
      <w:r w:rsidRPr="002C36E6">
        <w:rPr>
          <w:rFonts w:ascii="Arial" w:hAnsi="Arial" w:cs="Arial"/>
        </w:rPr>
        <w:t>), who emphasized that schools fostering a sense of moral obligation and shared responsibility among educators create environments where trust, respect, and high expectations flourish. The high level of professional accountability in this study suggests that teachers not only value their roles as educators but also actively uphold principles that support the well-being of their learners and the integrity of the profession.</w:t>
      </w:r>
    </w:p>
    <w:p w14:paraId="4D340C85" w14:textId="77777777" w:rsidR="005D71AE" w:rsidRDefault="005D71AE" w:rsidP="005D71AE">
      <w:pPr>
        <w:jc w:val="both"/>
        <w:rPr>
          <w:rFonts w:ascii="Arial" w:hAnsi="Arial" w:cs="Arial"/>
        </w:rPr>
      </w:pPr>
    </w:p>
    <w:p w14:paraId="73523F39" w14:textId="1285855A" w:rsidR="00717F2E" w:rsidRDefault="001276D1" w:rsidP="005D71AE">
      <w:pPr>
        <w:jc w:val="both"/>
        <w:rPr>
          <w:rFonts w:ascii="Arial" w:hAnsi="Arial" w:cs="Arial"/>
          <w:b/>
        </w:rPr>
      </w:pPr>
      <w:r>
        <w:rPr>
          <w:rFonts w:ascii="Arial" w:hAnsi="Arial" w:cs="Arial"/>
          <w:b/>
        </w:rPr>
        <w:t xml:space="preserve">3.2 </w:t>
      </w:r>
      <w:r w:rsidR="00AF2837" w:rsidRPr="00AF2837">
        <w:rPr>
          <w:rFonts w:ascii="Arial" w:hAnsi="Arial" w:cs="Arial"/>
          <w:b/>
        </w:rPr>
        <w:t>Level of Professional Accountability of Teachers</w:t>
      </w:r>
    </w:p>
    <w:p w14:paraId="55F82C25" w14:textId="77777777" w:rsidR="0073677C" w:rsidRDefault="0073677C" w:rsidP="00781D5E">
      <w:pPr>
        <w:jc w:val="both"/>
        <w:rPr>
          <w:rFonts w:ascii="Arial" w:hAnsi="Arial" w:cs="Arial"/>
        </w:rPr>
      </w:pPr>
    </w:p>
    <w:p w14:paraId="58FA531C" w14:textId="08F8C008" w:rsidR="00781D5E" w:rsidRDefault="001276D1"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555852" w:rsidRPr="00555852">
        <w:rPr>
          <w:rFonts w:ascii="Arial" w:hAnsi="Arial" w:cs="Arial"/>
          <w:i/>
        </w:rPr>
        <w:t xml:space="preserve">Level of </w:t>
      </w:r>
      <w:r w:rsidR="00A47F96" w:rsidRPr="00A47F96">
        <w:rPr>
          <w:rFonts w:ascii="Arial" w:hAnsi="Arial" w:cs="Arial"/>
          <w:i/>
        </w:rPr>
        <w:t xml:space="preserve">Professional Accountability </w:t>
      </w:r>
      <w:r w:rsidR="00B6361C" w:rsidRPr="00B6361C">
        <w:rPr>
          <w:rFonts w:ascii="Arial" w:hAnsi="Arial" w:cs="Arial"/>
          <w:i/>
        </w:rPr>
        <w:t>of Teachers</w:t>
      </w:r>
    </w:p>
    <w:p w14:paraId="6A41A5E6" w14:textId="77777777" w:rsidR="00B6361C" w:rsidRDefault="00B6361C" w:rsidP="0073677C">
      <w:pPr>
        <w:jc w:val="both"/>
        <w:rPr>
          <w:rFonts w:ascii="Arial" w:hAnsi="Arial" w:cs="Arial"/>
        </w:rPr>
      </w:pPr>
    </w:p>
    <w:tbl>
      <w:tblPr>
        <w:tblW w:w="0" w:type="auto"/>
        <w:tblInd w:w="198" w:type="dxa"/>
        <w:tblLook w:val="04A0" w:firstRow="1" w:lastRow="0" w:firstColumn="1" w:lastColumn="0" w:noHBand="0" w:noVBand="1"/>
      </w:tblPr>
      <w:tblGrid>
        <w:gridCol w:w="765"/>
        <w:gridCol w:w="4565"/>
        <w:gridCol w:w="948"/>
        <w:gridCol w:w="1732"/>
      </w:tblGrid>
      <w:tr w:rsidR="00AF2837" w:rsidRPr="00AF2837" w14:paraId="3D4308A4" w14:textId="77777777" w:rsidTr="006A6642">
        <w:trPr>
          <w:trHeight w:val="357"/>
        </w:trPr>
        <w:tc>
          <w:tcPr>
            <w:tcW w:w="801" w:type="dxa"/>
            <w:tcBorders>
              <w:top w:val="double" w:sz="4" w:space="0" w:color="auto"/>
              <w:bottom w:val="single" w:sz="4" w:space="0" w:color="auto"/>
            </w:tcBorders>
          </w:tcPr>
          <w:p w14:paraId="0406D5C7" w14:textId="77777777" w:rsidR="00AF2837" w:rsidRPr="00AF2837" w:rsidRDefault="00AF2837" w:rsidP="00AF2837">
            <w:pPr>
              <w:jc w:val="center"/>
              <w:rPr>
                <w:rFonts w:ascii="Arial" w:hAnsi="Arial" w:cs="Arial"/>
              </w:rPr>
            </w:pPr>
            <w:r w:rsidRPr="00AF2837">
              <w:rPr>
                <w:rFonts w:ascii="Arial" w:hAnsi="Arial" w:cs="Arial"/>
              </w:rPr>
              <w:t>No.</w:t>
            </w:r>
          </w:p>
          <w:p w14:paraId="1543DCF5" w14:textId="77777777" w:rsidR="00AF2837" w:rsidRPr="00AF2837" w:rsidRDefault="00AF2837" w:rsidP="00AF2837">
            <w:pPr>
              <w:jc w:val="center"/>
              <w:rPr>
                <w:rFonts w:ascii="Arial" w:hAnsi="Arial" w:cs="Arial"/>
              </w:rPr>
            </w:pPr>
          </w:p>
        </w:tc>
        <w:tc>
          <w:tcPr>
            <w:tcW w:w="5059" w:type="dxa"/>
            <w:tcBorders>
              <w:top w:val="double" w:sz="4" w:space="0" w:color="auto"/>
              <w:bottom w:val="single" w:sz="4" w:space="0" w:color="auto"/>
            </w:tcBorders>
          </w:tcPr>
          <w:p w14:paraId="6780562E" w14:textId="3E4B5C55" w:rsidR="00AF2837" w:rsidRPr="00AF2837" w:rsidRDefault="00AF2837" w:rsidP="00AF2837">
            <w:pPr>
              <w:jc w:val="center"/>
              <w:rPr>
                <w:rFonts w:ascii="Arial" w:hAnsi="Arial" w:cs="Arial"/>
              </w:rPr>
            </w:pPr>
            <w:r>
              <w:rPr>
                <w:rFonts w:ascii="Arial" w:hAnsi="Arial" w:cs="Arial"/>
              </w:rPr>
              <w:t>Domains</w:t>
            </w:r>
          </w:p>
        </w:tc>
        <w:tc>
          <w:tcPr>
            <w:tcW w:w="984" w:type="dxa"/>
            <w:tcBorders>
              <w:top w:val="double" w:sz="4" w:space="0" w:color="auto"/>
              <w:bottom w:val="single" w:sz="4" w:space="0" w:color="auto"/>
            </w:tcBorders>
          </w:tcPr>
          <w:p w14:paraId="4176FEDF" w14:textId="77777777" w:rsidR="00AF2837" w:rsidRPr="00AF2837" w:rsidRDefault="00AF2837" w:rsidP="00AF2837">
            <w:pPr>
              <w:contextualSpacing/>
              <w:jc w:val="center"/>
              <w:rPr>
                <w:rFonts w:ascii="Arial" w:hAnsi="Arial" w:cs="Arial"/>
                <w:lang w:eastAsia="en-PH"/>
              </w:rPr>
            </w:pPr>
            <w:r w:rsidRPr="00AF2837">
              <w:rPr>
                <w:rFonts w:ascii="Arial" w:hAnsi="Arial" w:cs="Arial"/>
                <w:lang w:eastAsia="en-PH"/>
              </w:rPr>
              <w:t>Mean</w:t>
            </w:r>
          </w:p>
          <w:p w14:paraId="0D1C9AE4" w14:textId="77777777" w:rsidR="00AF2837" w:rsidRPr="00AF2837" w:rsidRDefault="00AF2837" w:rsidP="00AF2837">
            <w:pPr>
              <w:contextualSpacing/>
              <w:jc w:val="center"/>
              <w:rPr>
                <w:rFonts w:ascii="Arial" w:hAnsi="Arial" w:cs="Arial"/>
              </w:rPr>
            </w:pPr>
            <w:r w:rsidRPr="00AF2837">
              <w:rPr>
                <w:rFonts w:ascii="Arial" w:hAnsi="Arial" w:cs="Arial"/>
                <w:lang w:eastAsia="en-PH"/>
              </w:rPr>
              <w:t>(</w:t>
            </w:r>
            <w:r w:rsidRPr="00AF2837">
              <w:rPr>
                <w:rFonts w:ascii="Arial" w:hAnsi="Arial" w:cs="Arial"/>
                <w:lang w:eastAsia="en-PH"/>
              </w:rPr>
              <w:fldChar w:fldCharType="begin"/>
            </w:r>
            <w:r w:rsidRPr="00AF2837">
              <w:rPr>
                <w:rFonts w:ascii="Arial" w:hAnsi="Arial" w:cs="Arial"/>
                <w:lang w:eastAsia="en-PH"/>
              </w:rPr>
              <w:instrText xml:space="preserve"> QUOTE </w:instrText>
            </w:r>
            <w:r w:rsidR="004B5E92">
              <w:rPr>
                <w:rFonts w:ascii="Arial" w:hAnsi="Arial" w:cs="Arial"/>
                <w:position w:val="-9"/>
              </w:rPr>
              <w:pict w14:anchorId="2BA9BFCC">
                <v:shape id="_x0000_i1027" type="#_x0000_t75" style="width:6pt;height:15.75pt" equationxml="&lt;">
                  <v:imagedata r:id="rId15" o:title="" chromakey="white"/>
                </v:shape>
              </w:pict>
            </w:r>
            <w:r w:rsidRPr="00AF2837">
              <w:rPr>
                <w:rFonts w:ascii="Arial" w:hAnsi="Arial" w:cs="Arial"/>
                <w:lang w:eastAsia="en-PH"/>
              </w:rPr>
              <w:fldChar w:fldCharType="separate"/>
            </w:r>
            <w:r w:rsidR="004B5E92">
              <w:rPr>
                <w:rFonts w:ascii="Arial" w:hAnsi="Arial" w:cs="Arial"/>
                <w:position w:val="-9"/>
              </w:rPr>
              <w:pict w14:anchorId="2A2FBA32">
                <v:shape id="_x0000_i1028" type="#_x0000_t75" style="width:6pt;height:15.75pt" equationxml="&lt;">
                  <v:imagedata r:id="rId15" o:title="" chromakey="white"/>
                </v:shape>
              </w:pict>
            </w:r>
            <w:r w:rsidRPr="00AF2837">
              <w:rPr>
                <w:rFonts w:ascii="Arial" w:hAnsi="Arial" w:cs="Arial"/>
                <w:lang w:eastAsia="en-PH"/>
              </w:rPr>
              <w:fldChar w:fldCharType="end"/>
            </w:r>
            <w:r w:rsidRPr="00AF2837">
              <w:rPr>
                <w:rFonts w:ascii="Arial" w:hAnsi="Arial" w:cs="Arial"/>
                <w:lang w:eastAsia="en-PH"/>
              </w:rPr>
              <w:t>)</w:t>
            </w:r>
          </w:p>
        </w:tc>
        <w:tc>
          <w:tcPr>
            <w:tcW w:w="1814" w:type="dxa"/>
            <w:tcBorders>
              <w:top w:val="double" w:sz="4" w:space="0" w:color="auto"/>
              <w:bottom w:val="single" w:sz="4" w:space="0" w:color="auto"/>
            </w:tcBorders>
          </w:tcPr>
          <w:p w14:paraId="1D6EC332" w14:textId="77777777" w:rsidR="00AF2837" w:rsidRPr="00AF2837" w:rsidRDefault="00AF2837" w:rsidP="00AF2837">
            <w:pPr>
              <w:jc w:val="center"/>
              <w:rPr>
                <w:rFonts w:ascii="Arial" w:hAnsi="Arial" w:cs="Arial"/>
              </w:rPr>
            </w:pPr>
            <w:r w:rsidRPr="00AF2837">
              <w:rPr>
                <w:rFonts w:ascii="Arial" w:hAnsi="Arial" w:cs="Arial"/>
              </w:rPr>
              <w:t>Descriptive Equivalent</w:t>
            </w:r>
          </w:p>
        </w:tc>
      </w:tr>
      <w:tr w:rsidR="00AF2837" w:rsidRPr="00AF2837" w14:paraId="4B982043" w14:textId="77777777" w:rsidTr="006A6642">
        <w:trPr>
          <w:trHeight w:val="143"/>
        </w:trPr>
        <w:tc>
          <w:tcPr>
            <w:tcW w:w="801" w:type="dxa"/>
            <w:tcBorders>
              <w:top w:val="single" w:sz="4" w:space="0" w:color="auto"/>
              <w:bottom w:val="nil"/>
            </w:tcBorders>
          </w:tcPr>
          <w:p w14:paraId="133369A4" w14:textId="08D746E0" w:rsidR="00AF2837" w:rsidRPr="00AF2837" w:rsidRDefault="00AF2837" w:rsidP="00AF2837">
            <w:pPr>
              <w:jc w:val="center"/>
              <w:rPr>
                <w:rFonts w:ascii="Arial" w:hAnsi="Arial" w:cs="Arial"/>
              </w:rPr>
            </w:pPr>
            <w:r w:rsidRPr="00AF2837">
              <w:rPr>
                <w:rFonts w:ascii="Arial" w:hAnsi="Arial" w:cs="Arial"/>
              </w:rPr>
              <w:t>1</w:t>
            </w:r>
          </w:p>
        </w:tc>
        <w:tc>
          <w:tcPr>
            <w:tcW w:w="5059" w:type="dxa"/>
            <w:tcBorders>
              <w:top w:val="single" w:sz="4" w:space="0" w:color="auto"/>
              <w:bottom w:val="nil"/>
            </w:tcBorders>
          </w:tcPr>
          <w:p w14:paraId="366886CE" w14:textId="77777777" w:rsidR="00AF2837" w:rsidRPr="00AF2837" w:rsidRDefault="00AF2837" w:rsidP="006A6642">
            <w:pPr>
              <w:rPr>
                <w:rFonts w:ascii="Arial" w:hAnsi="Arial" w:cs="Arial"/>
              </w:rPr>
            </w:pPr>
            <w:r w:rsidRPr="00AF2837">
              <w:rPr>
                <w:rFonts w:ascii="Arial" w:hAnsi="Arial" w:cs="Arial"/>
              </w:rPr>
              <w:t xml:space="preserve">commitment to excellence </w:t>
            </w:r>
          </w:p>
        </w:tc>
        <w:tc>
          <w:tcPr>
            <w:tcW w:w="984" w:type="dxa"/>
            <w:tcBorders>
              <w:top w:val="single" w:sz="4" w:space="0" w:color="auto"/>
              <w:bottom w:val="nil"/>
            </w:tcBorders>
          </w:tcPr>
          <w:p w14:paraId="63085896" w14:textId="77777777" w:rsidR="00AF2837" w:rsidRPr="00AF2837" w:rsidRDefault="00AF2837" w:rsidP="006A6642">
            <w:pPr>
              <w:jc w:val="center"/>
              <w:rPr>
                <w:rFonts w:ascii="Arial" w:hAnsi="Arial" w:cs="Arial"/>
              </w:rPr>
            </w:pPr>
            <w:r w:rsidRPr="00AF2837">
              <w:rPr>
                <w:rFonts w:ascii="Arial" w:hAnsi="Arial" w:cs="Arial"/>
              </w:rPr>
              <w:t>3.36</w:t>
            </w:r>
          </w:p>
        </w:tc>
        <w:tc>
          <w:tcPr>
            <w:tcW w:w="1814" w:type="dxa"/>
            <w:tcBorders>
              <w:top w:val="single" w:sz="4" w:space="0" w:color="auto"/>
              <w:bottom w:val="nil"/>
            </w:tcBorders>
          </w:tcPr>
          <w:p w14:paraId="523B64D5" w14:textId="77777777" w:rsidR="00AF2837" w:rsidRPr="00AF2837" w:rsidRDefault="00AF2837" w:rsidP="006A6642">
            <w:pPr>
              <w:jc w:val="center"/>
              <w:rPr>
                <w:rFonts w:ascii="Arial" w:hAnsi="Arial" w:cs="Arial"/>
              </w:rPr>
            </w:pPr>
            <w:r w:rsidRPr="00AF2837">
              <w:rPr>
                <w:rFonts w:ascii="Arial" w:hAnsi="Arial" w:cs="Arial"/>
              </w:rPr>
              <w:t>Moderate</w:t>
            </w:r>
          </w:p>
        </w:tc>
      </w:tr>
      <w:tr w:rsidR="00AF2837" w:rsidRPr="00AF2837" w14:paraId="7D4CFF0D" w14:textId="77777777" w:rsidTr="006A6642">
        <w:trPr>
          <w:trHeight w:val="252"/>
        </w:trPr>
        <w:tc>
          <w:tcPr>
            <w:tcW w:w="801" w:type="dxa"/>
          </w:tcPr>
          <w:p w14:paraId="261A7EDC" w14:textId="77777777" w:rsidR="00AF2837" w:rsidRPr="00AF2837" w:rsidRDefault="00AF2837" w:rsidP="006A6642">
            <w:pPr>
              <w:jc w:val="center"/>
              <w:rPr>
                <w:rFonts w:ascii="Arial" w:hAnsi="Arial" w:cs="Arial"/>
              </w:rPr>
            </w:pPr>
            <w:r w:rsidRPr="00AF2837">
              <w:rPr>
                <w:rFonts w:ascii="Arial" w:hAnsi="Arial" w:cs="Arial"/>
              </w:rPr>
              <w:t>2</w:t>
            </w:r>
          </w:p>
        </w:tc>
        <w:tc>
          <w:tcPr>
            <w:tcW w:w="5059" w:type="dxa"/>
          </w:tcPr>
          <w:p w14:paraId="61819390" w14:textId="77777777" w:rsidR="00AF2837" w:rsidRPr="00AF2837" w:rsidRDefault="00AF2837" w:rsidP="006A6642">
            <w:pPr>
              <w:rPr>
                <w:rFonts w:ascii="Arial" w:hAnsi="Arial" w:cs="Arial"/>
              </w:rPr>
            </w:pPr>
            <w:r w:rsidRPr="00AF2837">
              <w:rPr>
                <w:rFonts w:ascii="Arial" w:hAnsi="Arial" w:cs="Arial"/>
              </w:rPr>
              <w:t>honesty and integrity</w:t>
            </w:r>
          </w:p>
        </w:tc>
        <w:tc>
          <w:tcPr>
            <w:tcW w:w="984" w:type="dxa"/>
          </w:tcPr>
          <w:p w14:paraId="4306ECC1" w14:textId="77777777" w:rsidR="00AF2837" w:rsidRPr="00AF2837" w:rsidRDefault="00AF2837" w:rsidP="006A6642">
            <w:pPr>
              <w:jc w:val="center"/>
              <w:rPr>
                <w:rFonts w:ascii="Arial" w:hAnsi="Arial" w:cs="Arial"/>
              </w:rPr>
            </w:pPr>
            <w:r w:rsidRPr="00AF2837">
              <w:rPr>
                <w:rFonts w:ascii="Arial" w:hAnsi="Arial" w:cs="Arial"/>
              </w:rPr>
              <w:t>3.22</w:t>
            </w:r>
          </w:p>
        </w:tc>
        <w:tc>
          <w:tcPr>
            <w:tcW w:w="1814" w:type="dxa"/>
          </w:tcPr>
          <w:p w14:paraId="7BB58219" w14:textId="77777777" w:rsidR="00AF2837" w:rsidRPr="00AF2837" w:rsidRDefault="00AF2837" w:rsidP="006A6642">
            <w:pPr>
              <w:jc w:val="center"/>
              <w:rPr>
                <w:rFonts w:ascii="Arial" w:hAnsi="Arial" w:cs="Arial"/>
              </w:rPr>
            </w:pPr>
            <w:r w:rsidRPr="00AF2837">
              <w:rPr>
                <w:rFonts w:ascii="Arial" w:hAnsi="Arial" w:cs="Arial"/>
              </w:rPr>
              <w:t>Moderate</w:t>
            </w:r>
          </w:p>
        </w:tc>
      </w:tr>
      <w:tr w:rsidR="00AF2837" w:rsidRPr="00AF2837" w14:paraId="275CC996" w14:textId="77777777" w:rsidTr="006A6642">
        <w:trPr>
          <w:trHeight w:val="242"/>
        </w:trPr>
        <w:tc>
          <w:tcPr>
            <w:tcW w:w="801" w:type="dxa"/>
          </w:tcPr>
          <w:p w14:paraId="0DE18D3D" w14:textId="77777777" w:rsidR="00AF2837" w:rsidRPr="00AF2837" w:rsidRDefault="00AF2837" w:rsidP="006A6642">
            <w:pPr>
              <w:jc w:val="center"/>
              <w:rPr>
                <w:rFonts w:ascii="Arial" w:hAnsi="Arial" w:cs="Arial"/>
              </w:rPr>
            </w:pPr>
            <w:r w:rsidRPr="00AF2837">
              <w:rPr>
                <w:rFonts w:ascii="Arial" w:hAnsi="Arial" w:cs="Arial"/>
              </w:rPr>
              <w:t>3</w:t>
            </w:r>
          </w:p>
        </w:tc>
        <w:tc>
          <w:tcPr>
            <w:tcW w:w="5059" w:type="dxa"/>
          </w:tcPr>
          <w:p w14:paraId="20F405D9" w14:textId="77777777" w:rsidR="00AF2837" w:rsidRPr="00AF2837" w:rsidRDefault="00AF2837" w:rsidP="006A6642">
            <w:pPr>
              <w:rPr>
                <w:rFonts w:ascii="Arial" w:hAnsi="Arial" w:cs="Arial"/>
              </w:rPr>
            </w:pPr>
            <w:r w:rsidRPr="00AF2837">
              <w:rPr>
                <w:rFonts w:ascii="Arial" w:hAnsi="Arial" w:cs="Arial"/>
              </w:rPr>
              <w:t>respect for others</w:t>
            </w:r>
          </w:p>
        </w:tc>
        <w:tc>
          <w:tcPr>
            <w:tcW w:w="984" w:type="dxa"/>
          </w:tcPr>
          <w:p w14:paraId="4C912182" w14:textId="77777777" w:rsidR="00AF2837" w:rsidRPr="00AF2837" w:rsidRDefault="00AF2837" w:rsidP="006A6642">
            <w:pPr>
              <w:jc w:val="center"/>
              <w:rPr>
                <w:rFonts w:ascii="Arial" w:hAnsi="Arial" w:cs="Arial"/>
              </w:rPr>
            </w:pPr>
            <w:r w:rsidRPr="00AF2837">
              <w:rPr>
                <w:rFonts w:ascii="Arial" w:hAnsi="Arial" w:cs="Arial"/>
              </w:rPr>
              <w:t>3.45</w:t>
            </w:r>
          </w:p>
        </w:tc>
        <w:tc>
          <w:tcPr>
            <w:tcW w:w="1814" w:type="dxa"/>
          </w:tcPr>
          <w:p w14:paraId="76BF6399" w14:textId="77777777" w:rsidR="00AF2837" w:rsidRPr="00AF2837" w:rsidRDefault="00AF2837" w:rsidP="006A6642">
            <w:pPr>
              <w:jc w:val="center"/>
              <w:rPr>
                <w:rFonts w:ascii="Arial" w:hAnsi="Arial" w:cs="Arial"/>
              </w:rPr>
            </w:pPr>
            <w:r w:rsidRPr="00AF2837">
              <w:rPr>
                <w:rFonts w:ascii="Arial" w:hAnsi="Arial" w:cs="Arial"/>
              </w:rPr>
              <w:t>High</w:t>
            </w:r>
          </w:p>
        </w:tc>
      </w:tr>
      <w:tr w:rsidR="00AF2837" w:rsidRPr="00AF2837" w14:paraId="7FC937CE" w14:textId="77777777" w:rsidTr="006A6642">
        <w:trPr>
          <w:trHeight w:val="242"/>
        </w:trPr>
        <w:tc>
          <w:tcPr>
            <w:tcW w:w="801" w:type="dxa"/>
          </w:tcPr>
          <w:p w14:paraId="2DAE53A3" w14:textId="77777777" w:rsidR="00AF2837" w:rsidRPr="00AF2837" w:rsidRDefault="00AF2837" w:rsidP="006A6642">
            <w:pPr>
              <w:jc w:val="center"/>
              <w:rPr>
                <w:rFonts w:ascii="Arial" w:hAnsi="Arial" w:cs="Arial"/>
              </w:rPr>
            </w:pPr>
            <w:r w:rsidRPr="00AF2837">
              <w:rPr>
                <w:rFonts w:ascii="Arial" w:hAnsi="Arial" w:cs="Arial"/>
              </w:rPr>
              <w:t>4</w:t>
            </w:r>
          </w:p>
        </w:tc>
        <w:tc>
          <w:tcPr>
            <w:tcW w:w="5059" w:type="dxa"/>
          </w:tcPr>
          <w:p w14:paraId="13CB6D62" w14:textId="77777777" w:rsidR="00AF2837" w:rsidRPr="00AF2837" w:rsidRDefault="00AF2837" w:rsidP="006A6642">
            <w:pPr>
              <w:rPr>
                <w:rFonts w:ascii="Arial" w:hAnsi="Arial" w:cs="Arial"/>
              </w:rPr>
            </w:pPr>
            <w:r w:rsidRPr="00AF2837">
              <w:rPr>
                <w:rFonts w:ascii="Arial" w:hAnsi="Arial" w:cs="Arial"/>
              </w:rPr>
              <w:t xml:space="preserve">compassion </w:t>
            </w:r>
          </w:p>
        </w:tc>
        <w:tc>
          <w:tcPr>
            <w:tcW w:w="984" w:type="dxa"/>
          </w:tcPr>
          <w:p w14:paraId="12C692DA" w14:textId="7667EAFC" w:rsidR="00AF2837" w:rsidRPr="00AF2837" w:rsidRDefault="00AF2837" w:rsidP="00AF2837">
            <w:pPr>
              <w:pStyle w:val="NoSpacing"/>
              <w:jc w:val="center"/>
              <w:rPr>
                <w:rFonts w:ascii="Arial" w:hAnsi="Arial" w:cs="Arial"/>
                <w:sz w:val="20"/>
                <w:szCs w:val="20"/>
              </w:rPr>
            </w:pPr>
            <w:r w:rsidRPr="00AF2837">
              <w:rPr>
                <w:rFonts w:ascii="Arial" w:hAnsi="Arial" w:cs="Arial"/>
                <w:sz w:val="20"/>
                <w:szCs w:val="20"/>
              </w:rPr>
              <w:t>3.53</w:t>
            </w:r>
          </w:p>
        </w:tc>
        <w:tc>
          <w:tcPr>
            <w:tcW w:w="1814" w:type="dxa"/>
          </w:tcPr>
          <w:p w14:paraId="66FC800C" w14:textId="77777777" w:rsidR="00AF2837" w:rsidRPr="00AF2837" w:rsidRDefault="00AF2837" w:rsidP="006A6642">
            <w:pPr>
              <w:jc w:val="center"/>
            </w:pPr>
            <w:r w:rsidRPr="00AF2837">
              <w:rPr>
                <w:rFonts w:ascii="Arial" w:hAnsi="Arial" w:cs="Arial"/>
              </w:rPr>
              <w:t>High</w:t>
            </w:r>
          </w:p>
        </w:tc>
      </w:tr>
      <w:tr w:rsidR="00AF2837" w:rsidRPr="00AF2837" w14:paraId="14AD6EE5" w14:textId="77777777" w:rsidTr="00AF2837">
        <w:trPr>
          <w:trHeight w:val="68"/>
        </w:trPr>
        <w:tc>
          <w:tcPr>
            <w:tcW w:w="801" w:type="dxa"/>
          </w:tcPr>
          <w:p w14:paraId="656EC5CE" w14:textId="466925F2" w:rsidR="00AF2837" w:rsidRPr="00AF2837" w:rsidRDefault="00AF2837" w:rsidP="00AF2837">
            <w:pPr>
              <w:jc w:val="center"/>
              <w:rPr>
                <w:rFonts w:ascii="Arial" w:hAnsi="Arial" w:cs="Arial"/>
              </w:rPr>
            </w:pPr>
            <w:r w:rsidRPr="00AF2837">
              <w:rPr>
                <w:rFonts w:ascii="Arial" w:hAnsi="Arial" w:cs="Arial"/>
              </w:rPr>
              <w:t>5</w:t>
            </w:r>
          </w:p>
        </w:tc>
        <w:tc>
          <w:tcPr>
            <w:tcW w:w="5059" w:type="dxa"/>
          </w:tcPr>
          <w:p w14:paraId="65A7664C" w14:textId="49B5807C" w:rsidR="00AF2837" w:rsidRPr="00AF2837" w:rsidRDefault="00AF2837" w:rsidP="006A6642">
            <w:pPr>
              <w:rPr>
                <w:rFonts w:ascii="Arial" w:hAnsi="Arial" w:cs="Arial"/>
              </w:rPr>
            </w:pPr>
            <w:r w:rsidRPr="00AF2837">
              <w:rPr>
                <w:rFonts w:ascii="Arial" w:hAnsi="Arial" w:cs="Arial"/>
              </w:rPr>
              <w:t>social responsibility</w:t>
            </w:r>
          </w:p>
        </w:tc>
        <w:tc>
          <w:tcPr>
            <w:tcW w:w="984" w:type="dxa"/>
          </w:tcPr>
          <w:p w14:paraId="0DB720F1" w14:textId="6FBD898A" w:rsidR="00AF2837" w:rsidRPr="00AF2837" w:rsidRDefault="00AF2837" w:rsidP="00AF2837">
            <w:pPr>
              <w:pStyle w:val="NoSpacing"/>
              <w:jc w:val="center"/>
              <w:rPr>
                <w:rFonts w:ascii="Arial" w:hAnsi="Arial" w:cs="Arial"/>
                <w:sz w:val="20"/>
                <w:szCs w:val="20"/>
              </w:rPr>
            </w:pPr>
            <w:r w:rsidRPr="00AF2837">
              <w:rPr>
                <w:rFonts w:ascii="Arial" w:hAnsi="Arial" w:cs="Arial"/>
                <w:sz w:val="20"/>
                <w:szCs w:val="20"/>
              </w:rPr>
              <w:t>3.80</w:t>
            </w:r>
          </w:p>
        </w:tc>
        <w:tc>
          <w:tcPr>
            <w:tcW w:w="1814" w:type="dxa"/>
          </w:tcPr>
          <w:p w14:paraId="45778170" w14:textId="3D9C17D5" w:rsidR="00AF2837" w:rsidRPr="00AF2837" w:rsidRDefault="00AF2837" w:rsidP="00AF2837">
            <w:pPr>
              <w:jc w:val="center"/>
              <w:rPr>
                <w:rFonts w:ascii="Arial" w:hAnsi="Arial" w:cs="Arial"/>
              </w:rPr>
            </w:pPr>
            <w:r w:rsidRPr="00AF2837">
              <w:rPr>
                <w:rFonts w:ascii="Arial" w:hAnsi="Arial" w:cs="Arial"/>
              </w:rPr>
              <w:t>High</w:t>
            </w:r>
          </w:p>
        </w:tc>
      </w:tr>
      <w:tr w:rsidR="00AF2837" w:rsidRPr="00AF2837" w14:paraId="6D2DF8FE" w14:textId="77777777" w:rsidTr="006A6642">
        <w:trPr>
          <w:trHeight w:val="193"/>
        </w:trPr>
        <w:tc>
          <w:tcPr>
            <w:tcW w:w="5860" w:type="dxa"/>
            <w:gridSpan w:val="2"/>
            <w:tcBorders>
              <w:bottom w:val="double" w:sz="4" w:space="0" w:color="auto"/>
            </w:tcBorders>
          </w:tcPr>
          <w:p w14:paraId="5C840C6C" w14:textId="77777777" w:rsidR="00AF2837" w:rsidRPr="00AF2837" w:rsidRDefault="00AF2837" w:rsidP="006A6642">
            <w:pPr>
              <w:jc w:val="center"/>
              <w:rPr>
                <w:rFonts w:ascii="Arial" w:hAnsi="Arial" w:cs="Arial"/>
                <w:b/>
              </w:rPr>
            </w:pPr>
            <w:r w:rsidRPr="00AF2837">
              <w:rPr>
                <w:rFonts w:ascii="Arial" w:hAnsi="Arial" w:cs="Arial"/>
                <w:b/>
              </w:rPr>
              <w:t>Overall Mean</w:t>
            </w:r>
          </w:p>
        </w:tc>
        <w:tc>
          <w:tcPr>
            <w:tcW w:w="984" w:type="dxa"/>
            <w:tcBorders>
              <w:bottom w:val="double" w:sz="4" w:space="0" w:color="auto"/>
            </w:tcBorders>
          </w:tcPr>
          <w:p w14:paraId="50DD8524" w14:textId="77777777" w:rsidR="00AF2837" w:rsidRPr="00AF2837" w:rsidRDefault="00AF2837" w:rsidP="006A6642">
            <w:pPr>
              <w:jc w:val="center"/>
              <w:rPr>
                <w:rFonts w:ascii="Arial" w:hAnsi="Arial" w:cs="Arial"/>
                <w:b/>
              </w:rPr>
            </w:pPr>
            <w:r w:rsidRPr="00AF2837">
              <w:rPr>
                <w:rFonts w:ascii="Arial" w:hAnsi="Arial" w:cs="Arial"/>
              </w:rPr>
              <w:t>3.47</w:t>
            </w:r>
          </w:p>
        </w:tc>
        <w:tc>
          <w:tcPr>
            <w:tcW w:w="1814" w:type="dxa"/>
            <w:tcBorders>
              <w:bottom w:val="double" w:sz="4" w:space="0" w:color="auto"/>
            </w:tcBorders>
          </w:tcPr>
          <w:p w14:paraId="5D49A439" w14:textId="77777777" w:rsidR="00AF2837" w:rsidRPr="00AF2837" w:rsidRDefault="00AF2837" w:rsidP="006A6642">
            <w:pPr>
              <w:jc w:val="center"/>
              <w:rPr>
                <w:rFonts w:ascii="Arial" w:hAnsi="Arial" w:cs="Arial"/>
              </w:rPr>
            </w:pPr>
            <w:r w:rsidRPr="00AF2837">
              <w:rPr>
                <w:rFonts w:ascii="Arial" w:hAnsi="Arial" w:cs="Arial"/>
              </w:rPr>
              <w:t>High</w:t>
            </w:r>
          </w:p>
        </w:tc>
      </w:tr>
      <w:tr w:rsidR="00AF2837" w:rsidRPr="00AF2837" w14:paraId="61219935" w14:textId="77777777" w:rsidTr="006A6642">
        <w:trPr>
          <w:trHeight w:val="115"/>
        </w:trPr>
        <w:tc>
          <w:tcPr>
            <w:tcW w:w="5860" w:type="dxa"/>
            <w:gridSpan w:val="2"/>
            <w:tcBorders>
              <w:top w:val="double" w:sz="4" w:space="0" w:color="auto"/>
            </w:tcBorders>
          </w:tcPr>
          <w:p w14:paraId="17B623C2" w14:textId="77777777" w:rsidR="00AF2837" w:rsidRPr="00AF2837" w:rsidRDefault="00AF2837" w:rsidP="006A6642">
            <w:pPr>
              <w:jc w:val="center"/>
              <w:rPr>
                <w:rFonts w:ascii="Arial" w:hAnsi="Arial" w:cs="Arial"/>
              </w:rPr>
            </w:pPr>
          </w:p>
        </w:tc>
        <w:tc>
          <w:tcPr>
            <w:tcW w:w="984" w:type="dxa"/>
            <w:tcBorders>
              <w:top w:val="double" w:sz="4" w:space="0" w:color="auto"/>
            </w:tcBorders>
          </w:tcPr>
          <w:p w14:paraId="41868A24" w14:textId="77777777" w:rsidR="00AF2837" w:rsidRPr="00AF2837" w:rsidRDefault="00AF2837" w:rsidP="006A6642">
            <w:pPr>
              <w:jc w:val="center"/>
              <w:rPr>
                <w:rFonts w:ascii="Arial" w:hAnsi="Arial" w:cs="Arial"/>
              </w:rPr>
            </w:pPr>
          </w:p>
        </w:tc>
        <w:tc>
          <w:tcPr>
            <w:tcW w:w="1814" w:type="dxa"/>
            <w:tcBorders>
              <w:top w:val="double" w:sz="4" w:space="0" w:color="auto"/>
            </w:tcBorders>
          </w:tcPr>
          <w:p w14:paraId="616E578D" w14:textId="77777777" w:rsidR="00AF2837" w:rsidRPr="00AF2837" w:rsidRDefault="00AF2837" w:rsidP="006A6642">
            <w:pPr>
              <w:jc w:val="center"/>
              <w:rPr>
                <w:rFonts w:ascii="Arial" w:hAnsi="Arial" w:cs="Arial"/>
              </w:rPr>
            </w:pPr>
          </w:p>
        </w:tc>
      </w:tr>
    </w:tbl>
    <w:p w14:paraId="21ED3F61" w14:textId="77777777" w:rsidR="0073677C" w:rsidRDefault="0073677C" w:rsidP="0073677C">
      <w:pPr>
        <w:jc w:val="both"/>
        <w:rPr>
          <w:rFonts w:ascii="Arial" w:hAnsi="Arial" w:cs="Arial"/>
        </w:rPr>
      </w:pPr>
    </w:p>
    <w:p w14:paraId="198DB202" w14:textId="77777777" w:rsidR="002F7F07" w:rsidRPr="002F7F07" w:rsidRDefault="002F7F07" w:rsidP="002F7F07">
      <w:pPr>
        <w:jc w:val="both"/>
        <w:rPr>
          <w:rFonts w:ascii="Arial" w:hAnsi="Arial" w:cs="Arial"/>
        </w:rPr>
      </w:pPr>
      <w:r w:rsidRPr="002F7F07">
        <w:rPr>
          <w:rFonts w:ascii="Arial" w:hAnsi="Arial" w:cs="Arial"/>
        </w:rPr>
        <w:t>Presented in Table 2 is the level of professional accountability of teachers in public elementary schools across five domains: commitment to excellence, honesty and integrity, respect for others, compassion, and social responsibility, based on the computed mean scores. Among these, social responsibility received the highest mean score of 3.80, categorized as high, followed by compassion with a mean of 3.53, respect for others with 3.45, both also rated as high. Commitment to excellence and honesty and integrity scored 3.36 and 3.22 respectively, both described as moderate. The overall mean of 3.47 indicates a high level of professional accountability among teachers.</w:t>
      </w:r>
    </w:p>
    <w:p w14:paraId="6BF2BF54" w14:textId="77777777" w:rsidR="002F7F07" w:rsidRPr="002F7F07" w:rsidRDefault="002F7F07" w:rsidP="002F7F07">
      <w:pPr>
        <w:jc w:val="both"/>
        <w:rPr>
          <w:rFonts w:ascii="Arial" w:hAnsi="Arial" w:cs="Arial"/>
        </w:rPr>
      </w:pPr>
    </w:p>
    <w:p w14:paraId="18BC6891" w14:textId="77FC3B1B" w:rsidR="00D607E8" w:rsidRDefault="002F7F07" w:rsidP="002F7F07">
      <w:pPr>
        <w:jc w:val="both"/>
        <w:rPr>
          <w:rFonts w:ascii="Arial" w:hAnsi="Arial" w:cs="Arial"/>
        </w:rPr>
      </w:pPr>
      <w:r w:rsidRPr="002F7F07">
        <w:rPr>
          <w:rFonts w:ascii="Arial" w:hAnsi="Arial" w:cs="Arial"/>
        </w:rPr>
        <w:t>This finding suggests that public elementary school teachers generally exhibit a high level of professional accountability. The strong performance in domains such as social responsibility, compassion, and respect for others reflects teachers’ dedication to ethical behavior, empathy, and positive social interactions within the school community. Although commitment to excellence and honesty and integrity received moderate ratings, these areas still demonstrate a considerable level of responsibility and professionalism. Overall, this high level of accountability among teachers contributes significantly to fostering trust, reliability, and a positive educational environment that supports student growth and academic success. Encouraging further development in all areas will help sustain and enhance the quality of teaching and learning in schools.</w:t>
      </w:r>
    </w:p>
    <w:p w14:paraId="22746309" w14:textId="77777777" w:rsidR="002F7F07" w:rsidRPr="00D607E8" w:rsidRDefault="002F7F07" w:rsidP="002F7F07">
      <w:pPr>
        <w:jc w:val="both"/>
        <w:rPr>
          <w:rFonts w:ascii="Arial" w:hAnsi="Arial" w:cs="Arial"/>
        </w:rPr>
      </w:pPr>
    </w:p>
    <w:p w14:paraId="519ACA0D" w14:textId="56D217FB" w:rsidR="00AF2837" w:rsidRDefault="00FD08B9" w:rsidP="00555852">
      <w:pPr>
        <w:jc w:val="both"/>
        <w:rPr>
          <w:rFonts w:ascii="Arial" w:hAnsi="Arial" w:cs="Arial"/>
        </w:rPr>
      </w:pPr>
      <w:r w:rsidRPr="00FD08B9">
        <w:rPr>
          <w:rFonts w:ascii="Arial" w:hAnsi="Arial" w:cs="Arial"/>
        </w:rPr>
        <w:t xml:space="preserve">This result aligns with the study of </w:t>
      </w:r>
      <w:r w:rsidR="00A8769D" w:rsidRPr="00A8769D">
        <w:rPr>
          <w:rFonts w:ascii="Arial" w:hAnsi="Arial" w:cs="Arial"/>
        </w:rPr>
        <w:t>Chinwe</w:t>
      </w:r>
      <w:r w:rsidR="00A8769D">
        <w:rPr>
          <w:rFonts w:ascii="Arial" w:hAnsi="Arial" w:cs="Arial"/>
        </w:rPr>
        <w:t xml:space="preserve"> and </w:t>
      </w:r>
      <w:r w:rsidR="00A8769D" w:rsidRPr="00A8769D">
        <w:rPr>
          <w:rFonts w:ascii="Arial" w:hAnsi="Arial" w:cs="Arial"/>
        </w:rPr>
        <w:t xml:space="preserve">Chukwuemeka </w:t>
      </w:r>
      <w:r w:rsidR="00A8769D">
        <w:rPr>
          <w:rFonts w:ascii="Arial" w:hAnsi="Arial" w:cs="Arial"/>
        </w:rPr>
        <w:t>(2024</w:t>
      </w:r>
      <w:r w:rsidRPr="00FD08B9">
        <w:rPr>
          <w:rFonts w:ascii="Arial" w:hAnsi="Arial" w:cs="Arial"/>
        </w:rPr>
        <w:t xml:space="preserve">), who emphasized that professional accountability is anchored in a teacher’s commitment to ethical standards, dedication to student learning, and continuous personal and professional growth. Similarly, </w:t>
      </w:r>
      <w:r w:rsidR="00C247FE" w:rsidRPr="00C247FE">
        <w:rPr>
          <w:rFonts w:ascii="Arial" w:hAnsi="Arial" w:cs="Arial"/>
        </w:rPr>
        <w:t>Bashir</w:t>
      </w:r>
      <w:r w:rsidR="00C247FE">
        <w:rPr>
          <w:rFonts w:ascii="Arial" w:hAnsi="Arial" w:cs="Arial"/>
        </w:rPr>
        <w:t xml:space="preserve"> and </w:t>
      </w:r>
      <w:r w:rsidR="00C247FE" w:rsidRPr="00C247FE">
        <w:rPr>
          <w:rFonts w:ascii="Arial" w:hAnsi="Arial" w:cs="Arial"/>
        </w:rPr>
        <w:t xml:space="preserve">McTaggart </w:t>
      </w:r>
      <w:r w:rsidR="00C247FE">
        <w:rPr>
          <w:rFonts w:ascii="Arial" w:hAnsi="Arial" w:cs="Arial"/>
        </w:rPr>
        <w:t>(2024</w:t>
      </w:r>
      <w:r w:rsidRPr="00FD08B9">
        <w:rPr>
          <w:rFonts w:ascii="Arial" w:hAnsi="Arial" w:cs="Arial"/>
        </w:rPr>
        <w:t xml:space="preserve">) pointed out that teachers with high professional accountability consistently demonstrate responsibility, integrity, and a deep sense of purpose in their instructional roles. Additionally, </w:t>
      </w:r>
      <w:proofErr w:type="spellStart"/>
      <w:r w:rsidR="000D1CDB" w:rsidRPr="000D1CDB">
        <w:rPr>
          <w:rFonts w:ascii="Arial" w:hAnsi="Arial" w:cs="Arial"/>
        </w:rPr>
        <w:t>Lægreid</w:t>
      </w:r>
      <w:proofErr w:type="spellEnd"/>
      <w:r w:rsidR="000D1CDB">
        <w:rPr>
          <w:rFonts w:ascii="Arial" w:hAnsi="Arial" w:cs="Arial"/>
        </w:rPr>
        <w:t xml:space="preserve"> and </w:t>
      </w:r>
      <w:proofErr w:type="spellStart"/>
      <w:r w:rsidR="000D1CDB" w:rsidRPr="000D1CDB">
        <w:rPr>
          <w:rFonts w:ascii="Arial" w:hAnsi="Arial" w:cs="Arial"/>
        </w:rPr>
        <w:t>Rykkja</w:t>
      </w:r>
      <w:proofErr w:type="spellEnd"/>
      <w:r w:rsidR="000D1CDB" w:rsidRPr="000D1CDB">
        <w:rPr>
          <w:rFonts w:ascii="Arial" w:hAnsi="Arial" w:cs="Arial"/>
        </w:rPr>
        <w:t xml:space="preserve"> </w:t>
      </w:r>
      <w:r w:rsidRPr="00FD08B9">
        <w:rPr>
          <w:rFonts w:ascii="Arial" w:hAnsi="Arial" w:cs="Arial"/>
        </w:rPr>
        <w:t>(2023) asserted that professional accountability is shaped not only by internal values but also by institutional support, collaborative work environments, and clear expectations. These findings affirm that high levels of professional accountability among teachers contribute to a culture of excellence, where educators are motivated to uphold quality standards, foster trust, and ensure student success.</w:t>
      </w:r>
    </w:p>
    <w:p w14:paraId="3B24D5D6" w14:textId="77777777" w:rsidR="00FD08B9" w:rsidRDefault="00FD08B9" w:rsidP="00555852">
      <w:pPr>
        <w:jc w:val="both"/>
        <w:rPr>
          <w:rFonts w:ascii="Arial" w:hAnsi="Arial" w:cs="Arial"/>
        </w:rPr>
      </w:pPr>
    </w:p>
    <w:p w14:paraId="553FC244" w14:textId="00E2589C" w:rsidR="00B6361C" w:rsidRPr="00AF2837" w:rsidRDefault="00781D5E" w:rsidP="00AF2837">
      <w:pPr>
        <w:jc w:val="both"/>
        <w:rPr>
          <w:rFonts w:ascii="Arial" w:hAnsi="Arial" w:cs="Arial"/>
          <w:b/>
          <w:bCs/>
          <w:iCs/>
        </w:rPr>
      </w:pPr>
      <w:r>
        <w:rPr>
          <w:rFonts w:ascii="Arial" w:hAnsi="Arial" w:cs="Arial"/>
          <w:b/>
          <w:bCs/>
          <w:iCs/>
        </w:rPr>
        <w:t xml:space="preserve">3.3 </w:t>
      </w:r>
      <w:r w:rsidR="00AF2837">
        <w:rPr>
          <w:rFonts w:ascii="Arial" w:hAnsi="Arial" w:cs="Arial"/>
          <w:b/>
          <w:bCs/>
          <w:iCs/>
        </w:rPr>
        <w:t>Significance of</w:t>
      </w:r>
      <w:r w:rsidR="00AF2837" w:rsidRPr="00AF2837">
        <w:rPr>
          <w:rFonts w:ascii="Arial" w:hAnsi="Arial" w:cs="Arial"/>
          <w:b/>
          <w:bCs/>
          <w:iCs/>
        </w:rPr>
        <w:t xml:space="preserve"> the Relationship Between Workstation Culture and Professional Accountability</w:t>
      </w:r>
      <w:r w:rsidR="00AF2837">
        <w:rPr>
          <w:rFonts w:ascii="Arial" w:hAnsi="Arial" w:cs="Arial"/>
          <w:b/>
          <w:bCs/>
          <w:iCs/>
        </w:rPr>
        <w:t xml:space="preserve"> of Teachers</w:t>
      </w:r>
    </w:p>
    <w:p w14:paraId="1514842F" w14:textId="77777777" w:rsidR="00AF2837" w:rsidRDefault="00AF2837">
      <w:pPr>
        <w:rPr>
          <w:rFonts w:ascii="Arial" w:hAnsi="Arial" w:cs="Arial"/>
          <w:iCs/>
        </w:rPr>
      </w:pPr>
    </w:p>
    <w:p w14:paraId="54A19FA6" w14:textId="014D69E1" w:rsidR="00DE3EAB" w:rsidRDefault="001276D1">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AF2837" w:rsidRPr="00AF2837">
        <w:rPr>
          <w:rFonts w:ascii="Arial" w:hAnsi="Arial" w:cs="Arial"/>
          <w:i/>
        </w:rPr>
        <w:t>Significance of the Relationship Between Workstation Culture and Professional Accountability of Teachers</w:t>
      </w:r>
    </w:p>
    <w:p w14:paraId="58EEB6F5" w14:textId="77777777" w:rsidR="00B6361C" w:rsidRDefault="00B6361C">
      <w:pPr>
        <w:rPr>
          <w:rFonts w:ascii="Arial" w:hAnsi="Arial" w:cs="Arial"/>
          <w:iCs/>
        </w:rPr>
      </w:pPr>
    </w:p>
    <w:tbl>
      <w:tblPr>
        <w:tblStyle w:val="TableGrid"/>
        <w:tblW w:w="0" w:type="auto"/>
        <w:tblLook w:val="04A0" w:firstRow="1" w:lastRow="0" w:firstColumn="1" w:lastColumn="0" w:noHBand="0" w:noVBand="1"/>
      </w:tblPr>
      <w:tblGrid>
        <w:gridCol w:w="1450"/>
        <w:gridCol w:w="668"/>
        <w:gridCol w:w="717"/>
        <w:gridCol w:w="871"/>
        <w:gridCol w:w="1283"/>
        <w:gridCol w:w="1986"/>
        <w:gridCol w:w="1223"/>
      </w:tblGrid>
      <w:tr w:rsidR="00AF2837" w14:paraId="30AAD32D" w14:textId="77777777" w:rsidTr="006A6642">
        <w:tc>
          <w:tcPr>
            <w:tcW w:w="1368" w:type="dxa"/>
          </w:tcPr>
          <w:p w14:paraId="6895A433" w14:textId="77777777" w:rsidR="00AF2837" w:rsidRDefault="00AF2837" w:rsidP="006A6642">
            <w:pPr>
              <w:jc w:val="center"/>
              <w:rPr>
                <w:rFonts w:ascii="Arial" w:eastAsia="Calibri" w:hAnsi="Arial" w:cs="Arial"/>
                <w:b/>
                <w:sz w:val="20"/>
                <w:szCs w:val="20"/>
              </w:rPr>
            </w:pPr>
            <w:r>
              <w:rPr>
                <w:rFonts w:ascii="Arial" w:eastAsia="Calibri" w:hAnsi="Arial" w:cs="Arial"/>
                <w:b/>
                <w:i/>
                <w:sz w:val="20"/>
                <w:szCs w:val="20"/>
              </w:rPr>
              <w:tab/>
            </w:r>
            <w:r>
              <w:rPr>
                <w:rFonts w:ascii="Arial" w:eastAsia="Calibri" w:hAnsi="Arial" w:cs="Arial"/>
                <w:b/>
                <w:i/>
                <w:sz w:val="20"/>
                <w:szCs w:val="20"/>
              </w:rPr>
              <w:tab/>
            </w:r>
          </w:p>
          <w:p w14:paraId="4FC92E17" w14:textId="77777777" w:rsidR="00AF2837" w:rsidRDefault="00AF2837" w:rsidP="006A6642">
            <w:pPr>
              <w:jc w:val="center"/>
              <w:rPr>
                <w:rFonts w:ascii="Arial" w:eastAsia="Calibri" w:hAnsi="Arial" w:cs="Arial"/>
                <w:b/>
                <w:sz w:val="20"/>
                <w:szCs w:val="20"/>
              </w:rPr>
            </w:pPr>
            <w:r>
              <w:rPr>
                <w:rFonts w:ascii="Arial" w:eastAsia="Calibri" w:hAnsi="Arial" w:cs="Arial"/>
                <w:b/>
                <w:sz w:val="20"/>
                <w:szCs w:val="20"/>
              </w:rPr>
              <w:t>Variables</w:t>
            </w:r>
          </w:p>
        </w:tc>
        <w:tc>
          <w:tcPr>
            <w:tcW w:w="720" w:type="dxa"/>
          </w:tcPr>
          <w:p w14:paraId="73FA01F8" w14:textId="77777777" w:rsidR="00AF2837" w:rsidRDefault="00AF2837" w:rsidP="006A6642">
            <w:pPr>
              <w:jc w:val="center"/>
              <w:rPr>
                <w:rFonts w:ascii="Arial" w:eastAsia="Calibri" w:hAnsi="Arial" w:cs="Arial"/>
                <w:b/>
                <w:sz w:val="20"/>
                <w:szCs w:val="20"/>
              </w:rPr>
            </w:pPr>
          </w:p>
          <w:p w14:paraId="592A6A39" w14:textId="77777777" w:rsidR="00AF2837" w:rsidRDefault="00AF2837" w:rsidP="006A6642">
            <w:pPr>
              <w:rPr>
                <w:rFonts w:ascii="Arial" w:eastAsia="Calibri" w:hAnsi="Arial" w:cs="Arial"/>
                <w:b/>
                <w:sz w:val="20"/>
                <w:szCs w:val="20"/>
              </w:rPr>
            </w:pPr>
            <w:r>
              <w:rPr>
                <w:rFonts w:ascii="Arial" w:eastAsia="Calibri" w:hAnsi="Arial" w:cs="Arial"/>
                <w:b/>
                <w:sz w:val="20"/>
                <w:szCs w:val="20"/>
              </w:rPr>
              <w:t>X</w:t>
            </w:r>
          </w:p>
        </w:tc>
        <w:tc>
          <w:tcPr>
            <w:tcW w:w="810" w:type="dxa"/>
          </w:tcPr>
          <w:p w14:paraId="4B39F289" w14:textId="77777777" w:rsidR="00AF2837" w:rsidRDefault="00AF2837" w:rsidP="006A6642">
            <w:pPr>
              <w:jc w:val="center"/>
              <w:rPr>
                <w:rFonts w:ascii="Arial" w:eastAsia="Calibri" w:hAnsi="Arial" w:cs="Arial"/>
                <w:b/>
                <w:sz w:val="20"/>
                <w:szCs w:val="20"/>
              </w:rPr>
            </w:pPr>
          </w:p>
          <w:p w14:paraId="091A45D8" w14:textId="77777777" w:rsidR="00AF2837" w:rsidRDefault="00AF2837" w:rsidP="006A6642">
            <w:pPr>
              <w:rPr>
                <w:rFonts w:ascii="Arial" w:eastAsia="Calibri" w:hAnsi="Arial" w:cs="Arial"/>
                <w:b/>
                <w:sz w:val="20"/>
                <w:szCs w:val="20"/>
              </w:rPr>
            </w:pPr>
            <w:r>
              <w:rPr>
                <w:rFonts w:ascii="Arial" w:eastAsia="Calibri" w:hAnsi="Arial" w:cs="Arial"/>
                <w:b/>
                <w:sz w:val="20"/>
                <w:szCs w:val="20"/>
              </w:rPr>
              <w:t>Y</w:t>
            </w:r>
          </w:p>
        </w:tc>
        <w:tc>
          <w:tcPr>
            <w:tcW w:w="990" w:type="dxa"/>
          </w:tcPr>
          <w:p w14:paraId="4FF61B4D" w14:textId="77777777" w:rsidR="00AF2837" w:rsidRDefault="00AF2837" w:rsidP="006A6642">
            <w:pPr>
              <w:jc w:val="center"/>
              <w:rPr>
                <w:rFonts w:ascii="Arial" w:eastAsia="Calibri" w:hAnsi="Arial" w:cs="Arial"/>
                <w:b/>
                <w:sz w:val="20"/>
                <w:szCs w:val="20"/>
              </w:rPr>
            </w:pPr>
          </w:p>
          <w:p w14:paraId="2F823CC7" w14:textId="77777777" w:rsidR="00AF2837" w:rsidRDefault="00AF2837" w:rsidP="006A6642">
            <w:pPr>
              <w:rPr>
                <w:rFonts w:ascii="Arial" w:eastAsia="Calibri" w:hAnsi="Arial" w:cs="Arial"/>
                <w:b/>
                <w:sz w:val="20"/>
                <w:szCs w:val="20"/>
              </w:rPr>
            </w:pPr>
            <w:proofErr w:type="spellStart"/>
            <w:r>
              <w:rPr>
                <w:rFonts w:ascii="Arial" w:eastAsia="Calibri" w:hAnsi="Arial" w:cs="Arial"/>
                <w:b/>
                <w:sz w:val="20"/>
                <w:szCs w:val="20"/>
              </w:rPr>
              <w:t>r-value</w:t>
            </w:r>
            <w:proofErr w:type="spellEnd"/>
          </w:p>
        </w:tc>
        <w:tc>
          <w:tcPr>
            <w:tcW w:w="1283" w:type="dxa"/>
          </w:tcPr>
          <w:p w14:paraId="32627609" w14:textId="77777777" w:rsidR="00AF2837" w:rsidRDefault="00AF2837" w:rsidP="006A6642">
            <w:pPr>
              <w:rPr>
                <w:rFonts w:ascii="Arial" w:eastAsia="Calibri" w:hAnsi="Arial" w:cs="Arial"/>
                <w:b/>
                <w:sz w:val="20"/>
                <w:szCs w:val="20"/>
              </w:rPr>
            </w:pPr>
            <w:r>
              <w:rPr>
                <w:rFonts w:ascii="Arial" w:eastAsia="Calibri" w:hAnsi="Arial" w:cs="Arial"/>
                <w:b/>
                <w:sz w:val="20"/>
                <w:szCs w:val="20"/>
              </w:rPr>
              <w:t>Degree of Correlation</w:t>
            </w:r>
          </w:p>
        </w:tc>
        <w:tc>
          <w:tcPr>
            <w:tcW w:w="3037" w:type="dxa"/>
          </w:tcPr>
          <w:p w14:paraId="538064A1" w14:textId="080BE455" w:rsidR="00AF2837" w:rsidRPr="00AF2837" w:rsidRDefault="00AF2837" w:rsidP="00AF2837">
            <w:pPr>
              <w:jc w:val="center"/>
              <w:rPr>
                <w:rFonts w:ascii="Arial" w:eastAsia="Calibri" w:hAnsi="Arial" w:cs="Arial"/>
                <w:b/>
                <w:sz w:val="20"/>
                <w:szCs w:val="20"/>
              </w:rPr>
            </w:pPr>
            <w:r>
              <w:rPr>
                <w:rFonts w:ascii="Arial" w:eastAsia="Calibri" w:hAnsi="Arial" w:cs="Arial"/>
                <w:b/>
                <w:sz w:val="20"/>
                <w:szCs w:val="20"/>
              </w:rPr>
              <w:t>p-value</w:t>
            </w:r>
          </w:p>
        </w:tc>
        <w:tc>
          <w:tcPr>
            <w:tcW w:w="1368" w:type="dxa"/>
          </w:tcPr>
          <w:p w14:paraId="7FA15E95" w14:textId="77777777" w:rsidR="00AF2837" w:rsidRDefault="00AF2837" w:rsidP="006A6642">
            <w:pPr>
              <w:jc w:val="center"/>
              <w:rPr>
                <w:rFonts w:ascii="Arial" w:eastAsia="Calibri" w:hAnsi="Arial" w:cs="Arial"/>
                <w:b/>
                <w:sz w:val="20"/>
                <w:szCs w:val="20"/>
              </w:rPr>
            </w:pPr>
            <w:r>
              <w:rPr>
                <w:rFonts w:ascii="Arial" w:eastAsia="Calibri" w:hAnsi="Arial" w:cs="Arial"/>
                <w:b/>
                <w:sz w:val="20"/>
                <w:szCs w:val="20"/>
              </w:rPr>
              <w:t>Decision</w:t>
            </w:r>
          </w:p>
          <w:p w14:paraId="6CB6821F" w14:textId="77777777" w:rsidR="00AF2837" w:rsidRDefault="00AF2837" w:rsidP="006A6642">
            <w:pPr>
              <w:rPr>
                <w:rFonts w:ascii="Calibri" w:eastAsia="Calibri" w:hAnsi="Calibri"/>
                <w:sz w:val="20"/>
                <w:szCs w:val="20"/>
              </w:rPr>
            </w:pPr>
            <w:r>
              <w:rPr>
                <w:rFonts w:ascii="Arial" w:eastAsia="Calibri" w:hAnsi="Arial" w:cs="Arial"/>
                <w:b/>
                <w:sz w:val="20"/>
                <w:szCs w:val="20"/>
              </w:rPr>
              <w:t>(Ho)</w:t>
            </w:r>
          </w:p>
        </w:tc>
      </w:tr>
      <w:tr w:rsidR="00AF2837" w14:paraId="3289666E" w14:textId="77777777" w:rsidTr="006A6642">
        <w:tc>
          <w:tcPr>
            <w:tcW w:w="1368" w:type="dxa"/>
          </w:tcPr>
          <w:p w14:paraId="24743F30" w14:textId="77777777" w:rsidR="00AF2837" w:rsidRPr="00AF2837" w:rsidRDefault="00AF2837" w:rsidP="006A6642">
            <w:pPr>
              <w:rPr>
                <w:rFonts w:ascii="Arial" w:eastAsia="Calibri" w:hAnsi="Arial" w:cs="Arial"/>
                <w:sz w:val="18"/>
                <w:szCs w:val="20"/>
              </w:rPr>
            </w:pPr>
            <w:r w:rsidRPr="00AF2837">
              <w:rPr>
                <w:rFonts w:ascii="Arial" w:eastAsia="Calibri" w:hAnsi="Arial" w:cs="Arial"/>
                <w:sz w:val="20"/>
              </w:rPr>
              <w:t>Workstation Culture</w:t>
            </w:r>
            <w:r w:rsidRPr="00AF2837">
              <w:rPr>
                <w:rFonts w:ascii="Arial" w:eastAsia="Calibri" w:hAnsi="Arial" w:cs="Arial"/>
                <w:sz w:val="18"/>
                <w:szCs w:val="20"/>
              </w:rPr>
              <w:t xml:space="preserve"> </w:t>
            </w:r>
          </w:p>
          <w:p w14:paraId="1AA8E61D" w14:textId="77777777" w:rsidR="00AF2837" w:rsidRPr="00AF2837" w:rsidRDefault="00AF2837" w:rsidP="006A6642">
            <w:pPr>
              <w:rPr>
                <w:rFonts w:ascii="Arial" w:eastAsia="Calibri" w:hAnsi="Arial" w:cs="Arial"/>
                <w:sz w:val="18"/>
                <w:szCs w:val="20"/>
              </w:rPr>
            </w:pPr>
          </w:p>
          <w:p w14:paraId="5C90998F" w14:textId="77777777" w:rsidR="00AF2837" w:rsidRPr="00AF2837" w:rsidRDefault="00AF2837" w:rsidP="006A6642">
            <w:pPr>
              <w:rPr>
                <w:rFonts w:ascii="Arial" w:eastAsia="Calibri" w:hAnsi="Arial" w:cs="Arial"/>
                <w:sz w:val="18"/>
                <w:szCs w:val="20"/>
              </w:rPr>
            </w:pPr>
          </w:p>
          <w:p w14:paraId="325FF78A" w14:textId="77777777" w:rsidR="00AF2837" w:rsidRPr="00AF2837" w:rsidRDefault="00AF2837" w:rsidP="006A6642">
            <w:pPr>
              <w:rPr>
                <w:rFonts w:ascii="Arial" w:eastAsia="Calibri" w:hAnsi="Arial" w:cs="Arial"/>
                <w:sz w:val="18"/>
                <w:szCs w:val="20"/>
              </w:rPr>
            </w:pPr>
            <w:r w:rsidRPr="00AF2837">
              <w:rPr>
                <w:rFonts w:ascii="Arial" w:eastAsia="Calibri" w:hAnsi="Arial" w:cs="Arial"/>
                <w:sz w:val="20"/>
              </w:rPr>
              <w:t xml:space="preserve"> </w:t>
            </w:r>
          </w:p>
          <w:p w14:paraId="26A834E3" w14:textId="77777777" w:rsidR="00AF2837" w:rsidRDefault="00AF2837" w:rsidP="006A6642">
            <w:pPr>
              <w:rPr>
                <w:rFonts w:ascii="Arial" w:eastAsia="Calibri" w:hAnsi="Arial" w:cs="Arial"/>
                <w:b/>
                <w:sz w:val="20"/>
                <w:szCs w:val="20"/>
              </w:rPr>
            </w:pPr>
            <w:r w:rsidRPr="00AF2837">
              <w:rPr>
                <w:rFonts w:ascii="Arial" w:eastAsia="Calibri" w:hAnsi="Arial" w:cs="Arial"/>
                <w:sz w:val="20"/>
              </w:rPr>
              <w:t>Professional Accountability</w:t>
            </w:r>
          </w:p>
        </w:tc>
        <w:tc>
          <w:tcPr>
            <w:tcW w:w="720" w:type="dxa"/>
          </w:tcPr>
          <w:p w14:paraId="1E01B472" w14:textId="77777777" w:rsidR="00AF2837" w:rsidRDefault="00AF2837" w:rsidP="006A6642">
            <w:pPr>
              <w:jc w:val="center"/>
              <w:rPr>
                <w:rFonts w:ascii="Arial" w:eastAsia="Calibri" w:hAnsi="Arial" w:cs="Arial"/>
                <w:sz w:val="20"/>
                <w:szCs w:val="20"/>
              </w:rPr>
            </w:pPr>
          </w:p>
          <w:p w14:paraId="427433EF" w14:textId="44046F7F" w:rsidR="00AF2837" w:rsidRDefault="00AF2837" w:rsidP="006A6642">
            <w:pPr>
              <w:rPr>
                <w:rFonts w:ascii="Arial" w:eastAsia="Calibri" w:hAnsi="Arial" w:cs="Arial"/>
                <w:sz w:val="20"/>
                <w:szCs w:val="20"/>
              </w:rPr>
            </w:pPr>
            <w:r>
              <w:rPr>
                <w:rFonts w:ascii="Arial" w:eastAsia="Calibri" w:hAnsi="Arial" w:cs="Arial"/>
                <w:sz w:val="20"/>
                <w:szCs w:val="20"/>
              </w:rPr>
              <w:t>3.42</w:t>
            </w:r>
          </w:p>
          <w:p w14:paraId="7EF92C57" w14:textId="77777777" w:rsidR="00AF2837" w:rsidRDefault="00AF2837" w:rsidP="006A6642">
            <w:pPr>
              <w:jc w:val="center"/>
              <w:rPr>
                <w:rFonts w:ascii="Arial" w:eastAsia="Calibri" w:hAnsi="Arial" w:cs="Arial"/>
                <w:sz w:val="20"/>
                <w:szCs w:val="20"/>
              </w:rPr>
            </w:pPr>
          </w:p>
          <w:p w14:paraId="3827019D" w14:textId="77777777" w:rsidR="00AF2837" w:rsidRDefault="00AF2837" w:rsidP="006A6642">
            <w:pPr>
              <w:jc w:val="center"/>
              <w:rPr>
                <w:rFonts w:ascii="Arial" w:eastAsia="Calibri" w:hAnsi="Arial" w:cs="Arial"/>
                <w:sz w:val="20"/>
                <w:szCs w:val="20"/>
              </w:rPr>
            </w:pPr>
          </w:p>
          <w:p w14:paraId="4B75AF30" w14:textId="77777777" w:rsidR="00AF2837" w:rsidRDefault="00AF2837" w:rsidP="006A6642">
            <w:pPr>
              <w:jc w:val="center"/>
              <w:rPr>
                <w:rFonts w:ascii="Arial" w:eastAsia="Calibri" w:hAnsi="Arial" w:cs="Arial"/>
                <w:sz w:val="20"/>
                <w:szCs w:val="20"/>
              </w:rPr>
            </w:pPr>
          </w:p>
        </w:tc>
        <w:tc>
          <w:tcPr>
            <w:tcW w:w="810" w:type="dxa"/>
          </w:tcPr>
          <w:p w14:paraId="7CCEA564" w14:textId="77777777" w:rsidR="00AF2837" w:rsidRDefault="00AF2837" w:rsidP="006A6642">
            <w:pPr>
              <w:jc w:val="center"/>
              <w:rPr>
                <w:rFonts w:ascii="Arial" w:eastAsia="Calibri" w:hAnsi="Arial" w:cs="Arial"/>
                <w:sz w:val="20"/>
                <w:szCs w:val="20"/>
              </w:rPr>
            </w:pPr>
          </w:p>
          <w:p w14:paraId="1EABEF2E" w14:textId="77777777" w:rsidR="00AF2837" w:rsidRDefault="00AF2837" w:rsidP="006A6642">
            <w:pPr>
              <w:jc w:val="center"/>
              <w:rPr>
                <w:rFonts w:ascii="Arial" w:eastAsia="Calibri" w:hAnsi="Arial" w:cs="Arial"/>
                <w:sz w:val="20"/>
                <w:szCs w:val="20"/>
              </w:rPr>
            </w:pPr>
          </w:p>
          <w:p w14:paraId="4503894F" w14:textId="77777777" w:rsidR="00AF2837" w:rsidRDefault="00AF2837" w:rsidP="006A6642">
            <w:pPr>
              <w:jc w:val="center"/>
              <w:rPr>
                <w:rFonts w:ascii="Arial" w:eastAsia="Calibri" w:hAnsi="Arial" w:cs="Arial"/>
                <w:sz w:val="20"/>
                <w:szCs w:val="20"/>
              </w:rPr>
            </w:pPr>
          </w:p>
          <w:p w14:paraId="33B76E1F" w14:textId="77777777" w:rsidR="00AF2837" w:rsidRDefault="00AF2837" w:rsidP="006A6642">
            <w:pPr>
              <w:jc w:val="center"/>
              <w:rPr>
                <w:rFonts w:ascii="Arial" w:eastAsia="Calibri" w:hAnsi="Arial" w:cs="Arial"/>
                <w:sz w:val="20"/>
                <w:szCs w:val="20"/>
              </w:rPr>
            </w:pPr>
          </w:p>
          <w:p w14:paraId="1F086D9C" w14:textId="77777777" w:rsidR="00AF2837" w:rsidRDefault="00AF2837" w:rsidP="006A6642">
            <w:pPr>
              <w:jc w:val="center"/>
              <w:rPr>
                <w:rFonts w:ascii="Arial" w:eastAsia="Calibri" w:hAnsi="Arial" w:cs="Arial"/>
                <w:sz w:val="20"/>
                <w:szCs w:val="20"/>
              </w:rPr>
            </w:pPr>
          </w:p>
          <w:p w14:paraId="2161C50D" w14:textId="77777777" w:rsidR="00AF2837" w:rsidRDefault="00AF2837" w:rsidP="006A6642">
            <w:pPr>
              <w:rPr>
                <w:rFonts w:ascii="Arial" w:eastAsia="Calibri" w:hAnsi="Arial" w:cs="Arial"/>
                <w:sz w:val="20"/>
                <w:szCs w:val="20"/>
              </w:rPr>
            </w:pPr>
          </w:p>
          <w:p w14:paraId="3ED15339" w14:textId="095058DF" w:rsidR="00AF2837" w:rsidRDefault="00AF2837" w:rsidP="006A6642">
            <w:pPr>
              <w:jc w:val="center"/>
              <w:rPr>
                <w:rFonts w:ascii="Arial" w:eastAsia="Calibri" w:hAnsi="Arial" w:cs="Arial"/>
                <w:sz w:val="20"/>
                <w:szCs w:val="20"/>
              </w:rPr>
            </w:pPr>
            <w:r>
              <w:rPr>
                <w:rFonts w:ascii="Arial" w:eastAsia="Calibri" w:hAnsi="Arial" w:cs="Arial"/>
                <w:sz w:val="20"/>
                <w:szCs w:val="20"/>
              </w:rPr>
              <w:t>3.47</w:t>
            </w:r>
          </w:p>
        </w:tc>
        <w:tc>
          <w:tcPr>
            <w:tcW w:w="990" w:type="dxa"/>
          </w:tcPr>
          <w:p w14:paraId="7F7280D4" w14:textId="77777777" w:rsidR="00AF2837" w:rsidRDefault="00AF2837" w:rsidP="006A6642">
            <w:pPr>
              <w:rPr>
                <w:rFonts w:ascii="Arial" w:eastAsia="Calibri" w:hAnsi="Arial" w:cs="Arial"/>
                <w:sz w:val="20"/>
                <w:szCs w:val="20"/>
              </w:rPr>
            </w:pPr>
          </w:p>
          <w:p w14:paraId="66C53E06" w14:textId="77777777" w:rsidR="00AF2837" w:rsidRDefault="00AF2837" w:rsidP="006A6642">
            <w:pPr>
              <w:rPr>
                <w:rFonts w:ascii="Arial" w:eastAsia="Calibri" w:hAnsi="Arial" w:cs="Arial"/>
                <w:sz w:val="20"/>
                <w:szCs w:val="20"/>
              </w:rPr>
            </w:pPr>
          </w:p>
          <w:p w14:paraId="37E95382" w14:textId="77777777" w:rsidR="00AF2837" w:rsidRDefault="00AF2837" w:rsidP="006A6642">
            <w:pPr>
              <w:rPr>
                <w:rFonts w:ascii="Arial" w:eastAsia="Calibri" w:hAnsi="Arial" w:cs="Arial"/>
                <w:sz w:val="20"/>
                <w:szCs w:val="20"/>
              </w:rPr>
            </w:pPr>
          </w:p>
          <w:p w14:paraId="0D356837" w14:textId="730E53B7" w:rsidR="00AF2837" w:rsidRDefault="00AF2837" w:rsidP="006A6642">
            <w:pPr>
              <w:jc w:val="center"/>
              <w:rPr>
                <w:rFonts w:ascii="Arial" w:eastAsia="Calibri" w:hAnsi="Arial" w:cs="Arial"/>
                <w:sz w:val="20"/>
                <w:szCs w:val="20"/>
              </w:rPr>
            </w:pPr>
            <w:r>
              <w:rPr>
                <w:rFonts w:ascii="Arial" w:eastAsia="Calibri" w:hAnsi="Arial" w:cs="Arial"/>
                <w:sz w:val="20"/>
                <w:szCs w:val="20"/>
              </w:rPr>
              <w:t>0.</w:t>
            </w:r>
            <w:r>
              <w:rPr>
                <w:rFonts w:ascii="Arial" w:eastAsia="Calibri" w:hAnsi="Arial" w:cs="Arial"/>
                <w:b/>
                <w:sz w:val="20"/>
                <w:szCs w:val="20"/>
              </w:rPr>
              <w:t xml:space="preserve"> </w:t>
            </w:r>
            <w:r>
              <w:rPr>
                <w:rFonts w:ascii="Arial" w:eastAsia="Calibri" w:hAnsi="Arial" w:cs="Arial"/>
                <w:sz w:val="20"/>
                <w:szCs w:val="20"/>
              </w:rPr>
              <w:t>678</w:t>
            </w:r>
          </w:p>
          <w:p w14:paraId="54EBAC1E" w14:textId="77777777" w:rsidR="00AF2837" w:rsidRDefault="00AF2837" w:rsidP="006A6642">
            <w:pPr>
              <w:rPr>
                <w:rFonts w:ascii="Arial" w:eastAsia="Calibri" w:hAnsi="Arial" w:cs="Arial"/>
                <w:sz w:val="20"/>
                <w:szCs w:val="20"/>
              </w:rPr>
            </w:pPr>
          </w:p>
        </w:tc>
        <w:tc>
          <w:tcPr>
            <w:tcW w:w="1283" w:type="dxa"/>
          </w:tcPr>
          <w:p w14:paraId="7036E631" w14:textId="77777777" w:rsidR="00AF2837" w:rsidRDefault="00AF2837" w:rsidP="006A6642">
            <w:pPr>
              <w:rPr>
                <w:rFonts w:ascii="Arial" w:eastAsia="Calibri" w:hAnsi="Arial" w:cs="Arial"/>
                <w:sz w:val="20"/>
                <w:szCs w:val="20"/>
              </w:rPr>
            </w:pPr>
          </w:p>
          <w:p w14:paraId="0529EA34" w14:textId="77777777" w:rsidR="00AF2837" w:rsidRDefault="00AF2837" w:rsidP="006A6642">
            <w:pPr>
              <w:rPr>
                <w:rFonts w:ascii="Arial" w:eastAsia="Calibri" w:hAnsi="Arial" w:cs="Arial"/>
                <w:sz w:val="20"/>
                <w:szCs w:val="20"/>
              </w:rPr>
            </w:pPr>
          </w:p>
          <w:p w14:paraId="340A7EDE" w14:textId="77777777" w:rsidR="00AF2837" w:rsidRDefault="00AF2837" w:rsidP="006A6642">
            <w:pPr>
              <w:rPr>
                <w:rFonts w:ascii="Arial" w:eastAsia="Calibri" w:hAnsi="Arial" w:cs="Arial"/>
                <w:sz w:val="20"/>
                <w:szCs w:val="20"/>
              </w:rPr>
            </w:pPr>
          </w:p>
          <w:p w14:paraId="11B1EA69" w14:textId="77777777" w:rsidR="00AF2837" w:rsidRDefault="00AF2837" w:rsidP="006A6642">
            <w:pPr>
              <w:jc w:val="center"/>
              <w:rPr>
                <w:rFonts w:ascii="Arial" w:eastAsia="Calibri" w:hAnsi="Arial" w:cs="Arial"/>
                <w:sz w:val="20"/>
                <w:szCs w:val="20"/>
              </w:rPr>
            </w:pPr>
            <w:r>
              <w:rPr>
                <w:rFonts w:ascii="Arial" w:eastAsia="Calibri" w:hAnsi="Arial" w:cs="Arial"/>
                <w:sz w:val="20"/>
                <w:szCs w:val="20"/>
              </w:rPr>
              <w:t>High</w:t>
            </w:r>
          </w:p>
          <w:p w14:paraId="717A76DD" w14:textId="77777777" w:rsidR="00AF2837" w:rsidRDefault="00AF2837" w:rsidP="006A6642">
            <w:pPr>
              <w:jc w:val="center"/>
              <w:rPr>
                <w:rFonts w:ascii="Arial" w:eastAsia="Calibri" w:hAnsi="Arial" w:cs="Arial"/>
                <w:sz w:val="20"/>
                <w:szCs w:val="20"/>
              </w:rPr>
            </w:pPr>
            <w:r>
              <w:rPr>
                <w:rFonts w:ascii="Arial" w:eastAsia="Calibri" w:hAnsi="Arial" w:cs="Arial"/>
                <w:sz w:val="20"/>
                <w:szCs w:val="20"/>
              </w:rPr>
              <w:t>Correlation</w:t>
            </w:r>
          </w:p>
          <w:p w14:paraId="022EE963" w14:textId="77777777" w:rsidR="00AF2837" w:rsidRDefault="00AF2837" w:rsidP="006A6642">
            <w:pPr>
              <w:rPr>
                <w:rFonts w:ascii="Arial" w:eastAsia="Calibri" w:hAnsi="Arial" w:cs="Arial"/>
                <w:sz w:val="20"/>
                <w:szCs w:val="20"/>
              </w:rPr>
            </w:pPr>
          </w:p>
        </w:tc>
        <w:tc>
          <w:tcPr>
            <w:tcW w:w="3037" w:type="dxa"/>
          </w:tcPr>
          <w:p w14:paraId="5CBC1A0F" w14:textId="77777777" w:rsidR="00AF2837" w:rsidRDefault="00AF2837" w:rsidP="006A6642">
            <w:pPr>
              <w:jc w:val="center"/>
              <w:rPr>
                <w:rFonts w:ascii="Arial" w:eastAsia="Calibri" w:hAnsi="Arial" w:cs="Arial"/>
                <w:sz w:val="20"/>
                <w:szCs w:val="20"/>
              </w:rPr>
            </w:pPr>
          </w:p>
          <w:p w14:paraId="374099E7" w14:textId="77777777" w:rsidR="00AF2837" w:rsidRDefault="00AF2837" w:rsidP="006A6642">
            <w:pPr>
              <w:jc w:val="center"/>
              <w:rPr>
                <w:rFonts w:ascii="Arial" w:eastAsia="Calibri" w:hAnsi="Arial" w:cs="Arial"/>
                <w:sz w:val="20"/>
                <w:szCs w:val="20"/>
              </w:rPr>
            </w:pPr>
          </w:p>
          <w:p w14:paraId="445D0557" w14:textId="77777777" w:rsidR="00AF2837" w:rsidRDefault="00AF2837" w:rsidP="006A6642">
            <w:pPr>
              <w:rPr>
                <w:rFonts w:ascii="Arial" w:eastAsia="Calibri" w:hAnsi="Arial" w:cs="Arial"/>
                <w:sz w:val="20"/>
                <w:szCs w:val="20"/>
              </w:rPr>
            </w:pPr>
          </w:p>
          <w:p w14:paraId="3FA2ACF4" w14:textId="10DECE05" w:rsidR="00AF2837" w:rsidRDefault="00AF2837" w:rsidP="006A6642">
            <w:pPr>
              <w:jc w:val="center"/>
              <w:rPr>
                <w:rFonts w:ascii="Arial" w:eastAsia="Calibri" w:hAnsi="Arial" w:cs="Arial"/>
                <w:sz w:val="20"/>
                <w:szCs w:val="20"/>
              </w:rPr>
            </w:pPr>
            <w:r>
              <w:rPr>
                <w:rFonts w:ascii="Arial" w:eastAsia="Calibri" w:hAnsi="Arial" w:cs="Arial"/>
                <w:sz w:val="20"/>
                <w:szCs w:val="20"/>
              </w:rPr>
              <w:t>0.000</w:t>
            </w:r>
          </w:p>
          <w:p w14:paraId="5ED1D804" w14:textId="77777777" w:rsidR="00AF2837" w:rsidRDefault="00AF2837" w:rsidP="006A6642">
            <w:pPr>
              <w:jc w:val="center"/>
              <w:rPr>
                <w:rFonts w:ascii="Arial" w:eastAsia="Calibri" w:hAnsi="Arial" w:cs="Arial"/>
                <w:sz w:val="20"/>
                <w:szCs w:val="20"/>
              </w:rPr>
            </w:pPr>
          </w:p>
          <w:p w14:paraId="33590751" w14:textId="77777777" w:rsidR="00AF2837" w:rsidRDefault="00AF2837" w:rsidP="006A6642">
            <w:pPr>
              <w:jc w:val="center"/>
              <w:rPr>
                <w:rFonts w:ascii="Arial" w:eastAsia="Calibri" w:hAnsi="Arial" w:cs="Arial"/>
                <w:sz w:val="20"/>
                <w:szCs w:val="20"/>
              </w:rPr>
            </w:pPr>
          </w:p>
          <w:p w14:paraId="797A7D8C" w14:textId="77777777" w:rsidR="00AF2837" w:rsidRDefault="00AF2837" w:rsidP="006A6642">
            <w:pPr>
              <w:jc w:val="center"/>
              <w:rPr>
                <w:rFonts w:ascii="Arial" w:eastAsia="Calibri" w:hAnsi="Arial" w:cs="Arial"/>
                <w:sz w:val="20"/>
                <w:szCs w:val="20"/>
              </w:rPr>
            </w:pPr>
          </w:p>
        </w:tc>
        <w:tc>
          <w:tcPr>
            <w:tcW w:w="1368" w:type="dxa"/>
          </w:tcPr>
          <w:p w14:paraId="6B2F5CDE" w14:textId="77777777" w:rsidR="00AF2837" w:rsidRDefault="00AF2837" w:rsidP="006A6642">
            <w:pPr>
              <w:rPr>
                <w:rFonts w:ascii="Arial" w:eastAsia="Calibri" w:hAnsi="Arial" w:cs="Arial"/>
                <w:sz w:val="20"/>
                <w:szCs w:val="20"/>
              </w:rPr>
            </w:pPr>
          </w:p>
          <w:p w14:paraId="130A97FA" w14:textId="77777777" w:rsidR="00AF2837" w:rsidRDefault="00AF2837" w:rsidP="006A6642">
            <w:pPr>
              <w:rPr>
                <w:rFonts w:ascii="Arial" w:eastAsia="Calibri" w:hAnsi="Arial" w:cs="Arial"/>
                <w:sz w:val="20"/>
                <w:szCs w:val="20"/>
              </w:rPr>
            </w:pPr>
          </w:p>
          <w:p w14:paraId="187517E2" w14:textId="77777777" w:rsidR="00AF2837" w:rsidRDefault="00AF2837" w:rsidP="006A6642">
            <w:pPr>
              <w:rPr>
                <w:rFonts w:ascii="Arial" w:eastAsia="Calibri" w:hAnsi="Arial" w:cs="Arial"/>
                <w:sz w:val="20"/>
                <w:szCs w:val="20"/>
              </w:rPr>
            </w:pPr>
          </w:p>
          <w:p w14:paraId="5F21E635" w14:textId="77777777" w:rsidR="00AF2837" w:rsidRDefault="00AF2837" w:rsidP="006A6642">
            <w:pPr>
              <w:rPr>
                <w:rFonts w:ascii="Calibri" w:eastAsia="Calibri" w:hAnsi="Calibri"/>
                <w:sz w:val="20"/>
                <w:szCs w:val="20"/>
              </w:rPr>
            </w:pPr>
            <w:r>
              <w:rPr>
                <w:rFonts w:ascii="Arial" w:eastAsia="Calibri" w:hAnsi="Arial" w:cs="Arial"/>
                <w:sz w:val="20"/>
                <w:szCs w:val="20"/>
              </w:rPr>
              <w:t>Rejected</w:t>
            </w:r>
          </w:p>
        </w:tc>
      </w:tr>
    </w:tbl>
    <w:p w14:paraId="1BDBE2B2" w14:textId="77777777" w:rsidR="00717F2E" w:rsidRDefault="00717F2E">
      <w:pPr>
        <w:jc w:val="both"/>
        <w:rPr>
          <w:rFonts w:ascii="Arial" w:hAnsi="Arial" w:cs="Arial"/>
        </w:rPr>
      </w:pPr>
    </w:p>
    <w:p w14:paraId="7F5C114D" w14:textId="77777777" w:rsidR="002F7F07" w:rsidRPr="002F7F07" w:rsidRDefault="002F7F07" w:rsidP="002F7F07">
      <w:pPr>
        <w:jc w:val="both"/>
        <w:rPr>
          <w:rFonts w:ascii="Arial" w:hAnsi="Arial" w:cs="Arial"/>
        </w:rPr>
      </w:pPr>
      <w:r w:rsidRPr="002F7F07">
        <w:rPr>
          <w:rFonts w:ascii="Arial" w:hAnsi="Arial" w:cs="Arial"/>
        </w:rPr>
        <w:t xml:space="preserve">Presented in Table 3 is the correlation analysis between workstation culture and professional accountability of teachers in public elementary schools. The relationship between these two variables has a correlation coefficient (r) of 0.678 with a p-value of 0.000, which is less than the 0.05 significance level. This indicates a high and statistically significant positive </w:t>
      </w:r>
      <w:r w:rsidRPr="002F7F07">
        <w:rPr>
          <w:rFonts w:ascii="Arial" w:hAnsi="Arial" w:cs="Arial"/>
        </w:rPr>
        <w:lastRenderedPageBreak/>
        <w:t>relationship between workstation culture and professional accountability. The p-value of 0.000 suggests that the null hypothesis (Ho) is rejected, supporting the claim that workstation culture is significantly related to the professional accountability of teachers.</w:t>
      </w:r>
    </w:p>
    <w:p w14:paraId="0A10AA97" w14:textId="77777777" w:rsidR="002F7F07" w:rsidRPr="002F7F07" w:rsidRDefault="002F7F07" w:rsidP="002F7F07">
      <w:pPr>
        <w:jc w:val="both"/>
        <w:rPr>
          <w:rFonts w:ascii="Arial" w:hAnsi="Arial" w:cs="Arial"/>
        </w:rPr>
      </w:pPr>
    </w:p>
    <w:p w14:paraId="084758E6" w14:textId="092B48C3" w:rsidR="00D607E8" w:rsidRDefault="002F7F07" w:rsidP="002F7F07">
      <w:pPr>
        <w:jc w:val="both"/>
        <w:rPr>
          <w:rFonts w:ascii="Arial" w:hAnsi="Arial" w:cs="Arial"/>
        </w:rPr>
      </w:pPr>
      <w:r w:rsidRPr="002F7F07">
        <w:rPr>
          <w:rFonts w:ascii="Arial" w:hAnsi="Arial" w:cs="Arial"/>
        </w:rPr>
        <w:t>This finding suggests that a stronger workstation culture—characterized by effective human relations, decision-making, control domain, and conflict management—is associated with higher professional accountability among teachers. A positive workstation culture fosters an environment where teachers feel supported and motivated to uphold their commitments to excellence, integrity, respect, compassion, and social responsibility. This relationship underscores the importance of cultivating a healthy and collaborative workplace culture to enhance teachers’ professional behaviors and ultimately improve educational outcomes.</w:t>
      </w:r>
    </w:p>
    <w:p w14:paraId="5C930F98" w14:textId="77777777" w:rsidR="002F7F07" w:rsidRPr="00D607E8" w:rsidRDefault="002F7F07" w:rsidP="002F7F07">
      <w:pPr>
        <w:jc w:val="both"/>
        <w:rPr>
          <w:rFonts w:ascii="Arial" w:hAnsi="Arial" w:cs="Arial"/>
        </w:rPr>
      </w:pPr>
    </w:p>
    <w:p w14:paraId="08138AF1" w14:textId="538916F3" w:rsidR="00E34EA8" w:rsidRDefault="0004038B" w:rsidP="00DE3EAB">
      <w:pPr>
        <w:jc w:val="both"/>
        <w:rPr>
          <w:rFonts w:ascii="Arial" w:hAnsi="Arial" w:cs="Arial"/>
        </w:rPr>
      </w:pPr>
      <w:r w:rsidRPr="0004038B">
        <w:rPr>
          <w:rFonts w:ascii="Arial" w:hAnsi="Arial" w:cs="Arial"/>
        </w:rPr>
        <w:t xml:space="preserve">This result aligns with the study of </w:t>
      </w:r>
      <w:proofErr w:type="spellStart"/>
      <w:r w:rsidR="000D1CDB" w:rsidRPr="000D1CDB">
        <w:rPr>
          <w:rFonts w:ascii="Arial" w:hAnsi="Arial" w:cs="Arial"/>
        </w:rPr>
        <w:t>Brigue</w:t>
      </w:r>
      <w:proofErr w:type="spellEnd"/>
      <w:r w:rsidR="000D1CDB">
        <w:rPr>
          <w:rFonts w:ascii="Arial" w:hAnsi="Arial" w:cs="Arial"/>
        </w:rPr>
        <w:t xml:space="preserve"> and</w:t>
      </w:r>
      <w:r w:rsidR="000D1CDB" w:rsidRPr="000D1CDB">
        <w:rPr>
          <w:rFonts w:ascii="Arial" w:hAnsi="Arial" w:cs="Arial"/>
        </w:rPr>
        <w:t xml:space="preserve"> Orlu </w:t>
      </w:r>
      <w:r w:rsidR="000D1CDB">
        <w:rPr>
          <w:rFonts w:ascii="Arial" w:hAnsi="Arial" w:cs="Arial"/>
        </w:rPr>
        <w:t>(2023</w:t>
      </w:r>
      <w:r w:rsidRPr="0004038B">
        <w:rPr>
          <w:rFonts w:ascii="Arial" w:hAnsi="Arial" w:cs="Arial"/>
        </w:rPr>
        <w:t xml:space="preserve">), who emphasized that a positive workstation culture plays a vital role in fostering professional accountability among teachers. When educators operate in an environment that promotes collaboration, shared leadership, and mutual respect, they are more likely to uphold high standards of commitment, integrity, and responsibility. Similarly, </w:t>
      </w:r>
      <w:r w:rsidR="000D1CDB" w:rsidRPr="000D1CDB">
        <w:rPr>
          <w:rFonts w:ascii="Arial" w:hAnsi="Arial" w:cs="Arial"/>
        </w:rPr>
        <w:t xml:space="preserve">Katel </w:t>
      </w:r>
      <w:r w:rsidRPr="0004038B">
        <w:rPr>
          <w:rFonts w:ascii="Arial" w:hAnsi="Arial" w:cs="Arial"/>
        </w:rPr>
        <w:t>(202</w:t>
      </w:r>
      <w:r w:rsidR="000D1CDB">
        <w:rPr>
          <w:rFonts w:ascii="Arial" w:hAnsi="Arial" w:cs="Arial"/>
        </w:rPr>
        <w:t>3</w:t>
      </w:r>
      <w:r w:rsidRPr="0004038B">
        <w:rPr>
          <w:rFonts w:ascii="Arial" w:hAnsi="Arial" w:cs="Arial"/>
        </w:rPr>
        <w:t xml:space="preserve">) highlighted that a well-structured workstation culture enhances teachers’ motivation and ethical behavior, reinforcing their sense of accountability to both students and the institution. Additionally, </w:t>
      </w:r>
      <w:proofErr w:type="spellStart"/>
      <w:r w:rsidR="000D1CDB" w:rsidRPr="000D1CDB">
        <w:rPr>
          <w:rFonts w:ascii="Arial" w:hAnsi="Arial" w:cs="Arial"/>
        </w:rPr>
        <w:t>Fajinmi</w:t>
      </w:r>
      <w:proofErr w:type="spellEnd"/>
      <w:r w:rsidR="000D1CDB">
        <w:rPr>
          <w:rFonts w:ascii="Arial" w:hAnsi="Arial" w:cs="Arial"/>
        </w:rPr>
        <w:t xml:space="preserve"> and </w:t>
      </w:r>
      <w:proofErr w:type="spellStart"/>
      <w:r w:rsidR="000D1CDB" w:rsidRPr="000D1CDB">
        <w:rPr>
          <w:rFonts w:ascii="Arial" w:hAnsi="Arial" w:cs="Arial"/>
        </w:rPr>
        <w:t>Oloyede</w:t>
      </w:r>
      <w:proofErr w:type="spellEnd"/>
      <w:r w:rsidR="000D1CDB" w:rsidRPr="000D1CDB">
        <w:rPr>
          <w:rFonts w:ascii="Arial" w:hAnsi="Arial" w:cs="Arial"/>
        </w:rPr>
        <w:t xml:space="preserve"> </w:t>
      </w:r>
      <w:r w:rsidR="000D1CDB">
        <w:rPr>
          <w:rFonts w:ascii="Arial" w:hAnsi="Arial" w:cs="Arial"/>
        </w:rPr>
        <w:t>(2025</w:t>
      </w:r>
      <w:r w:rsidRPr="0004038B">
        <w:rPr>
          <w:rFonts w:ascii="Arial" w:hAnsi="Arial" w:cs="Arial"/>
        </w:rPr>
        <w:t>) found that effective w</w:t>
      </w:r>
      <w:r w:rsidR="000D1CDB">
        <w:rPr>
          <w:rFonts w:ascii="Arial" w:hAnsi="Arial" w:cs="Arial"/>
        </w:rPr>
        <w:t xml:space="preserve">orkplace dynamics, </w:t>
      </w:r>
      <w:r w:rsidRPr="0004038B">
        <w:rPr>
          <w:rFonts w:ascii="Arial" w:hAnsi="Arial" w:cs="Arial"/>
        </w:rPr>
        <w:t>such as open communication, inclusive decision-making, an</w:t>
      </w:r>
      <w:r w:rsidR="000D1CDB">
        <w:rPr>
          <w:rFonts w:ascii="Arial" w:hAnsi="Arial" w:cs="Arial"/>
        </w:rPr>
        <w:t xml:space="preserve">d proactive conflict management, </w:t>
      </w:r>
      <w:r w:rsidRPr="0004038B">
        <w:rPr>
          <w:rFonts w:ascii="Arial" w:hAnsi="Arial" w:cs="Arial"/>
        </w:rPr>
        <w:t>significantly shape teachers’ professional behavior and commitment. These findings affirm that a strong relationship exists between workstation culture and professional accountability, and strengthening this culture can lead to improved educational outcomes and teacher effectiveness.</w:t>
      </w:r>
    </w:p>
    <w:p w14:paraId="603D7B3D" w14:textId="77777777" w:rsidR="0004038B" w:rsidRDefault="0004038B" w:rsidP="00DE3EAB">
      <w:pPr>
        <w:jc w:val="both"/>
        <w:rPr>
          <w:rFonts w:ascii="Arial" w:hAnsi="Arial" w:cs="Arial"/>
        </w:rPr>
      </w:pPr>
    </w:p>
    <w:p w14:paraId="01C75831" w14:textId="672EEA79" w:rsidR="00107572" w:rsidRPr="00107572" w:rsidRDefault="00665D1C" w:rsidP="00B6361C">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AF2837" w:rsidRPr="00AF2837">
        <w:rPr>
          <w:rFonts w:ascii="Arial" w:hAnsi="Arial" w:cs="Arial"/>
          <w:b/>
          <w:bCs/>
          <w:iCs/>
        </w:rPr>
        <w:t xml:space="preserve">The Domains of Workstation Culture </w:t>
      </w:r>
      <w:r w:rsidR="00AF2837">
        <w:rPr>
          <w:rFonts w:ascii="Arial" w:hAnsi="Arial" w:cs="Arial"/>
          <w:b/>
          <w:bCs/>
          <w:iCs/>
        </w:rPr>
        <w:t xml:space="preserve">that </w:t>
      </w:r>
      <w:r w:rsidR="00AF2837" w:rsidRPr="00AF2837">
        <w:rPr>
          <w:rFonts w:ascii="Arial" w:hAnsi="Arial" w:cs="Arial"/>
          <w:b/>
          <w:bCs/>
          <w:iCs/>
        </w:rPr>
        <w:t>Significantly Influence Professional Accountability</w:t>
      </w:r>
      <w:r w:rsidR="00AF2837">
        <w:rPr>
          <w:rFonts w:ascii="Arial" w:hAnsi="Arial" w:cs="Arial"/>
          <w:b/>
          <w:bCs/>
          <w:iCs/>
        </w:rPr>
        <w:t xml:space="preserve"> of</w:t>
      </w:r>
      <w:r w:rsidR="00AF2837" w:rsidRPr="00AF2837">
        <w:rPr>
          <w:rFonts w:ascii="Arial" w:hAnsi="Arial" w:cs="Arial"/>
          <w:b/>
          <w:bCs/>
          <w:iCs/>
        </w:rPr>
        <w:t xml:space="preserve"> Teachers</w:t>
      </w:r>
    </w:p>
    <w:p w14:paraId="5314F880" w14:textId="578F1243" w:rsidR="00B364F1" w:rsidRDefault="00B364F1" w:rsidP="00665D1C">
      <w:pPr>
        <w:rPr>
          <w:rFonts w:ascii="Arial" w:hAnsi="Arial" w:cs="Arial"/>
          <w:b/>
          <w:bCs/>
          <w:iCs/>
        </w:rPr>
      </w:pPr>
    </w:p>
    <w:p w14:paraId="15CB40A1" w14:textId="53D752B0" w:rsidR="00AF2837" w:rsidRPr="00B6361C" w:rsidRDefault="00B364F1" w:rsidP="00B364F1">
      <w:pPr>
        <w:jc w:val="both"/>
        <w:rPr>
          <w:rFonts w:ascii="Arial" w:eastAsia="Arial" w:hAnsi="Arial"/>
          <w:i/>
          <w:iCs/>
        </w:rPr>
      </w:pPr>
      <w:r w:rsidRPr="00B364F1">
        <w:rPr>
          <w:rFonts w:ascii="Arial" w:eastAsia="Arial" w:hAnsi="Arial"/>
          <w:b/>
        </w:rPr>
        <w:t xml:space="preserve">Table 4. </w:t>
      </w:r>
      <w:r w:rsidR="00AF2837" w:rsidRPr="00AF2837">
        <w:rPr>
          <w:rFonts w:ascii="Arial" w:eastAsia="Arial" w:hAnsi="Arial"/>
          <w:i/>
          <w:iCs/>
        </w:rPr>
        <w:t>The Domains of Workstation Culture that Significantly Influence Professional Accountability of Teachers</w:t>
      </w:r>
    </w:p>
    <w:p w14:paraId="5635BDF1" w14:textId="77777777" w:rsidR="00B6361C" w:rsidRPr="00B364F1" w:rsidRDefault="00B6361C" w:rsidP="00B364F1">
      <w:pPr>
        <w:jc w:val="both"/>
        <w:rPr>
          <w:rFonts w:ascii="Arial" w:eastAsia="Arial" w:hAnsi="Arial"/>
          <w:i/>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1573"/>
        <w:gridCol w:w="1251"/>
        <w:gridCol w:w="1230"/>
        <w:gridCol w:w="1252"/>
        <w:gridCol w:w="1263"/>
      </w:tblGrid>
      <w:tr w:rsidR="00B6361C" w14:paraId="39CCA0B3" w14:textId="77777777" w:rsidTr="00B6361C">
        <w:trPr>
          <w:trHeight w:val="576"/>
        </w:trPr>
        <w:tc>
          <w:tcPr>
            <w:tcW w:w="3212" w:type="dxa"/>
            <w:gridSpan w:val="2"/>
            <w:tcBorders>
              <w:top w:val="nil"/>
              <w:bottom w:val="single" w:sz="4" w:space="0" w:color="auto"/>
            </w:tcBorders>
            <w:vAlign w:val="center"/>
          </w:tcPr>
          <w:p w14:paraId="7F03EF2F" w14:textId="560FF06D" w:rsidR="00B6361C" w:rsidRPr="008F0E58" w:rsidRDefault="00AF2837" w:rsidP="00B6361C">
            <w:pPr>
              <w:rPr>
                <w:rFonts w:ascii="Arial" w:hAnsi="Arial" w:cs="Arial"/>
                <w:iCs/>
                <w:sz w:val="20"/>
                <w:szCs w:val="20"/>
              </w:rPr>
            </w:pPr>
            <w:r w:rsidRPr="00AF2837">
              <w:rPr>
                <w:rStyle w:val="Strong"/>
                <w:rFonts w:ascii="Arial" w:eastAsia="Calibri" w:hAnsi="Arial" w:cs="Arial"/>
                <w:iCs/>
                <w:sz w:val="20"/>
                <w:szCs w:val="20"/>
              </w:rPr>
              <w:t>Workstation Culture</w:t>
            </w:r>
          </w:p>
        </w:tc>
        <w:tc>
          <w:tcPr>
            <w:tcW w:w="1251" w:type="dxa"/>
            <w:tcBorders>
              <w:top w:val="nil"/>
              <w:bottom w:val="single" w:sz="4" w:space="0" w:color="auto"/>
            </w:tcBorders>
            <w:vAlign w:val="center"/>
          </w:tcPr>
          <w:p w14:paraId="54FBDC41"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B</w:t>
            </w:r>
          </w:p>
        </w:tc>
        <w:tc>
          <w:tcPr>
            <w:tcW w:w="1230" w:type="dxa"/>
            <w:tcBorders>
              <w:top w:val="nil"/>
              <w:bottom w:val="single" w:sz="4" w:space="0" w:color="auto"/>
            </w:tcBorders>
            <w:vAlign w:val="center"/>
          </w:tcPr>
          <w:p w14:paraId="5D3D7EF5" w14:textId="1B8BACA9" w:rsidR="00B6361C" w:rsidRPr="008F0E58" w:rsidRDefault="00A35F70" w:rsidP="00944B3C">
            <w:pPr>
              <w:jc w:val="center"/>
              <w:rPr>
                <w:rFonts w:ascii="Arial" w:hAnsi="Arial" w:cs="Arial"/>
                <w:sz w:val="20"/>
                <w:szCs w:val="20"/>
              </w:rPr>
            </w:pPr>
            <w:r w:rsidRPr="008F0E58">
              <w:rPr>
                <w:rFonts w:ascii="Arial" w:hAnsi="Arial" w:cs="Arial"/>
                <w:sz w:val="20"/>
                <w:szCs w:val="20"/>
              </w:rPr>
              <w:t>Β</w:t>
            </w:r>
          </w:p>
        </w:tc>
        <w:tc>
          <w:tcPr>
            <w:tcW w:w="1252" w:type="dxa"/>
            <w:tcBorders>
              <w:top w:val="nil"/>
              <w:bottom w:val="single" w:sz="4" w:space="0" w:color="auto"/>
            </w:tcBorders>
            <w:vAlign w:val="center"/>
          </w:tcPr>
          <w:p w14:paraId="1B3C5293"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t</w:t>
            </w:r>
          </w:p>
        </w:tc>
        <w:tc>
          <w:tcPr>
            <w:tcW w:w="1263" w:type="dxa"/>
            <w:tcBorders>
              <w:top w:val="nil"/>
              <w:bottom w:val="single" w:sz="4" w:space="0" w:color="auto"/>
            </w:tcBorders>
            <w:vAlign w:val="center"/>
          </w:tcPr>
          <w:p w14:paraId="74389582"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Sig.</w:t>
            </w:r>
          </w:p>
        </w:tc>
      </w:tr>
      <w:tr w:rsidR="008F0E58" w14:paraId="47F8C8B4" w14:textId="77777777" w:rsidTr="00A80944">
        <w:trPr>
          <w:trHeight w:val="576"/>
        </w:trPr>
        <w:tc>
          <w:tcPr>
            <w:tcW w:w="3212" w:type="dxa"/>
            <w:gridSpan w:val="2"/>
            <w:tcBorders>
              <w:top w:val="nil"/>
              <w:bottom w:val="single" w:sz="4" w:space="0" w:color="auto"/>
            </w:tcBorders>
          </w:tcPr>
          <w:p w14:paraId="4718F465" w14:textId="1609191B" w:rsidR="008F0E58" w:rsidRPr="008F0E58" w:rsidRDefault="008F0E58" w:rsidP="008F0E58">
            <w:pPr>
              <w:rPr>
                <w:rStyle w:val="Strong"/>
                <w:rFonts w:ascii="Arial" w:eastAsia="Calibri" w:hAnsi="Arial" w:cs="Arial"/>
                <w:iCs/>
                <w:sz w:val="20"/>
                <w:szCs w:val="20"/>
              </w:rPr>
            </w:pPr>
            <w:r w:rsidRPr="008F0E58">
              <w:rPr>
                <w:rFonts w:ascii="Arial" w:eastAsia="Arial" w:hAnsi="Arial" w:cs="Arial"/>
                <w:sz w:val="20"/>
                <w:szCs w:val="20"/>
              </w:rPr>
              <w:t>Constant</w:t>
            </w:r>
          </w:p>
        </w:tc>
        <w:tc>
          <w:tcPr>
            <w:tcW w:w="1251" w:type="dxa"/>
            <w:tcBorders>
              <w:top w:val="nil"/>
              <w:bottom w:val="single" w:sz="4" w:space="0" w:color="auto"/>
            </w:tcBorders>
            <w:vAlign w:val="center"/>
          </w:tcPr>
          <w:p w14:paraId="2364A3FB" w14:textId="5B2D3AD1" w:rsidR="008F0E58" w:rsidRPr="008F0E58" w:rsidRDefault="00A1288B" w:rsidP="008F0E58">
            <w:pPr>
              <w:jc w:val="center"/>
              <w:rPr>
                <w:rFonts w:ascii="Arial" w:hAnsi="Arial" w:cs="Arial"/>
                <w:sz w:val="20"/>
                <w:szCs w:val="20"/>
              </w:rPr>
            </w:pPr>
            <w:r>
              <w:rPr>
                <w:rFonts w:ascii="Arial" w:hAnsi="Arial" w:cs="Arial"/>
                <w:color w:val="000000"/>
                <w:sz w:val="20"/>
                <w:szCs w:val="20"/>
              </w:rPr>
              <w:t>1.9</w:t>
            </w:r>
            <w:r w:rsidR="008F0E58" w:rsidRPr="008F0E58">
              <w:rPr>
                <w:rFonts w:ascii="Arial" w:hAnsi="Arial" w:cs="Arial"/>
                <w:color w:val="000000"/>
                <w:sz w:val="20"/>
                <w:szCs w:val="20"/>
              </w:rPr>
              <w:t>4</w:t>
            </w:r>
            <w:r w:rsidR="002F7F07">
              <w:rPr>
                <w:rFonts w:ascii="Arial" w:hAnsi="Arial" w:cs="Arial"/>
                <w:color w:val="000000"/>
                <w:sz w:val="20"/>
                <w:szCs w:val="20"/>
              </w:rPr>
              <w:t>8</w:t>
            </w:r>
          </w:p>
        </w:tc>
        <w:tc>
          <w:tcPr>
            <w:tcW w:w="1230" w:type="dxa"/>
            <w:tcBorders>
              <w:top w:val="nil"/>
              <w:bottom w:val="single" w:sz="4" w:space="0" w:color="auto"/>
            </w:tcBorders>
            <w:vAlign w:val="center"/>
          </w:tcPr>
          <w:p w14:paraId="66F38D21" w14:textId="27E63C64" w:rsidR="008F0E58" w:rsidRPr="008F0E58" w:rsidRDefault="008F0E58" w:rsidP="008F0E58">
            <w:pPr>
              <w:jc w:val="center"/>
              <w:rPr>
                <w:rFonts w:ascii="Arial" w:hAnsi="Arial" w:cs="Arial"/>
                <w:sz w:val="20"/>
                <w:szCs w:val="20"/>
              </w:rPr>
            </w:pPr>
            <w:r w:rsidRPr="008F0E58">
              <w:rPr>
                <w:rFonts w:ascii="Arial" w:hAnsi="Arial" w:cs="Arial"/>
                <w:color w:val="000000"/>
                <w:sz w:val="20"/>
                <w:szCs w:val="20"/>
              </w:rPr>
              <w:t>0.45</w:t>
            </w:r>
            <w:r w:rsidR="00D6111D">
              <w:rPr>
                <w:rFonts w:ascii="Arial" w:hAnsi="Arial" w:cs="Arial"/>
                <w:color w:val="000000"/>
                <w:sz w:val="20"/>
                <w:szCs w:val="20"/>
              </w:rPr>
              <w:t>2</w:t>
            </w:r>
          </w:p>
        </w:tc>
        <w:tc>
          <w:tcPr>
            <w:tcW w:w="1252" w:type="dxa"/>
            <w:tcBorders>
              <w:top w:val="nil"/>
              <w:bottom w:val="single" w:sz="4" w:space="0" w:color="auto"/>
            </w:tcBorders>
            <w:vAlign w:val="center"/>
          </w:tcPr>
          <w:p w14:paraId="287A06A1" w14:textId="57AA5270" w:rsidR="008F0E58" w:rsidRPr="008F0E58" w:rsidRDefault="00A1288B" w:rsidP="008F0E58">
            <w:pPr>
              <w:jc w:val="center"/>
              <w:rPr>
                <w:rFonts w:ascii="Arial" w:hAnsi="Arial" w:cs="Arial"/>
                <w:sz w:val="20"/>
                <w:szCs w:val="20"/>
              </w:rPr>
            </w:pPr>
            <w:r>
              <w:rPr>
                <w:rFonts w:ascii="Arial" w:hAnsi="Arial" w:cs="Arial"/>
                <w:color w:val="000000"/>
                <w:sz w:val="20"/>
                <w:szCs w:val="20"/>
              </w:rPr>
              <w:t>0.560</w:t>
            </w:r>
          </w:p>
        </w:tc>
        <w:tc>
          <w:tcPr>
            <w:tcW w:w="1263" w:type="dxa"/>
            <w:tcBorders>
              <w:top w:val="nil"/>
              <w:bottom w:val="single" w:sz="4" w:space="0" w:color="auto"/>
            </w:tcBorders>
            <w:vAlign w:val="center"/>
          </w:tcPr>
          <w:p w14:paraId="6C5D0795" w14:textId="6A0A1A94" w:rsidR="008F0E58" w:rsidRPr="008F0E58" w:rsidRDefault="00A1288B" w:rsidP="008F0E58">
            <w:pPr>
              <w:jc w:val="center"/>
              <w:rPr>
                <w:rFonts w:ascii="Arial" w:hAnsi="Arial" w:cs="Arial"/>
                <w:sz w:val="20"/>
                <w:szCs w:val="20"/>
              </w:rPr>
            </w:pPr>
            <w:r>
              <w:rPr>
                <w:rFonts w:ascii="Arial" w:hAnsi="Arial" w:cs="Arial"/>
                <w:sz w:val="20"/>
                <w:szCs w:val="20"/>
              </w:rPr>
              <w:t>0</w:t>
            </w:r>
            <w:r w:rsidR="008F0E58" w:rsidRPr="008F0E58">
              <w:rPr>
                <w:rFonts w:ascii="Arial" w:hAnsi="Arial" w:cs="Arial"/>
                <w:sz w:val="20"/>
                <w:szCs w:val="20"/>
              </w:rPr>
              <w:t>.000</w:t>
            </w:r>
          </w:p>
        </w:tc>
      </w:tr>
      <w:tr w:rsidR="00AF2837" w14:paraId="54BE23C9" w14:textId="77777777" w:rsidTr="00B6361C">
        <w:trPr>
          <w:trHeight w:val="432"/>
        </w:trPr>
        <w:tc>
          <w:tcPr>
            <w:tcW w:w="3212" w:type="dxa"/>
            <w:gridSpan w:val="2"/>
            <w:tcBorders>
              <w:top w:val="single" w:sz="4" w:space="0" w:color="auto"/>
            </w:tcBorders>
          </w:tcPr>
          <w:p w14:paraId="30B82903" w14:textId="46E3969E" w:rsidR="00AF2837" w:rsidRPr="008F0E58" w:rsidRDefault="00AF2837" w:rsidP="00AF2837">
            <w:pPr>
              <w:tabs>
                <w:tab w:val="left" w:pos="720"/>
              </w:tabs>
              <w:jc w:val="both"/>
              <w:rPr>
                <w:rFonts w:ascii="Arial" w:hAnsi="Arial" w:cs="Arial"/>
                <w:sz w:val="20"/>
                <w:szCs w:val="20"/>
              </w:rPr>
            </w:pPr>
            <w:r w:rsidRPr="00AF2837">
              <w:rPr>
                <w:rFonts w:ascii="Arial" w:hAnsi="Arial" w:cs="Arial"/>
                <w:sz w:val="20"/>
                <w:szCs w:val="20"/>
              </w:rPr>
              <w:t>human relations</w:t>
            </w:r>
          </w:p>
        </w:tc>
        <w:tc>
          <w:tcPr>
            <w:tcW w:w="1251" w:type="dxa"/>
            <w:tcBorders>
              <w:top w:val="single" w:sz="4" w:space="0" w:color="auto"/>
            </w:tcBorders>
            <w:vAlign w:val="center"/>
          </w:tcPr>
          <w:p w14:paraId="240A1575" w14:textId="74D31479" w:rsidR="00AF2837" w:rsidRPr="008F0E58" w:rsidRDefault="002F7F07" w:rsidP="00AF2837">
            <w:pPr>
              <w:jc w:val="center"/>
              <w:rPr>
                <w:rFonts w:ascii="Arial" w:hAnsi="Arial" w:cs="Arial"/>
                <w:sz w:val="20"/>
                <w:szCs w:val="20"/>
              </w:rPr>
            </w:pPr>
            <w:r>
              <w:rPr>
                <w:rFonts w:ascii="Arial" w:hAnsi="Arial" w:cs="Arial"/>
                <w:sz w:val="20"/>
                <w:szCs w:val="20"/>
              </w:rPr>
              <w:t>0</w:t>
            </w:r>
            <w:r w:rsidR="00A1288B">
              <w:rPr>
                <w:rFonts w:ascii="Arial" w:hAnsi="Arial" w:cs="Arial"/>
                <w:sz w:val="20"/>
                <w:szCs w:val="20"/>
              </w:rPr>
              <w:t>.092</w:t>
            </w:r>
          </w:p>
        </w:tc>
        <w:tc>
          <w:tcPr>
            <w:tcW w:w="1230" w:type="dxa"/>
            <w:tcBorders>
              <w:top w:val="single" w:sz="4" w:space="0" w:color="auto"/>
            </w:tcBorders>
            <w:vAlign w:val="center"/>
          </w:tcPr>
          <w:p w14:paraId="31E5FA47" w14:textId="23FEC24A"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.056</w:t>
            </w:r>
          </w:p>
        </w:tc>
        <w:tc>
          <w:tcPr>
            <w:tcW w:w="1252" w:type="dxa"/>
            <w:tcBorders>
              <w:top w:val="single" w:sz="4" w:space="0" w:color="auto"/>
            </w:tcBorders>
            <w:vAlign w:val="center"/>
          </w:tcPr>
          <w:p w14:paraId="5EBF484A" w14:textId="7FEC0F0B" w:rsidR="00AF2837" w:rsidRPr="008F0E58" w:rsidRDefault="00A1288B" w:rsidP="00AF2837">
            <w:pPr>
              <w:jc w:val="center"/>
              <w:rPr>
                <w:rFonts w:ascii="Arial" w:hAnsi="Arial" w:cs="Arial"/>
                <w:sz w:val="20"/>
                <w:szCs w:val="20"/>
              </w:rPr>
            </w:pPr>
            <w:r>
              <w:rPr>
                <w:rFonts w:ascii="Arial" w:hAnsi="Arial" w:cs="Arial"/>
                <w:sz w:val="20"/>
                <w:szCs w:val="20"/>
              </w:rPr>
              <w:t>0.4</w:t>
            </w:r>
            <w:r w:rsidR="00AF2837" w:rsidRPr="008F0E58">
              <w:rPr>
                <w:rFonts w:ascii="Arial" w:hAnsi="Arial" w:cs="Arial"/>
                <w:sz w:val="20"/>
                <w:szCs w:val="20"/>
              </w:rPr>
              <w:t>03</w:t>
            </w:r>
          </w:p>
        </w:tc>
        <w:tc>
          <w:tcPr>
            <w:tcW w:w="1263" w:type="dxa"/>
            <w:tcBorders>
              <w:top w:val="single" w:sz="4" w:space="0" w:color="auto"/>
            </w:tcBorders>
            <w:vAlign w:val="center"/>
          </w:tcPr>
          <w:p w14:paraId="6B451832" w14:textId="260D5BB4"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.00</w:t>
            </w:r>
            <w:r>
              <w:rPr>
                <w:rFonts w:ascii="Arial" w:hAnsi="Arial" w:cs="Arial"/>
                <w:sz w:val="20"/>
                <w:szCs w:val="20"/>
              </w:rPr>
              <w:t>0</w:t>
            </w:r>
          </w:p>
        </w:tc>
      </w:tr>
      <w:tr w:rsidR="00AF2837" w14:paraId="0136E059" w14:textId="77777777" w:rsidTr="00E8237A">
        <w:trPr>
          <w:trHeight w:val="432"/>
        </w:trPr>
        <w:tc>
          <w:tcPr>
            <w:tcW w:w="3212" w:type="dxa"/>
            <w:gridSpan w:val="2"/>
          </w:tcPr>
          <w:p w14:paraId="5F3EEDAA" w14:textId="7C10241D" w:rsidR="00AF2837" w:rsidRPr="008F0E58" w:rsidRDefault="00AF2837" w:rsidP="00AF2837">
            <w:pPr>
              <w:tabs>
                <w:tab w:val="left" w:pos="720"/>
              </w:tabs>
              <w:jc w:val="both"/>
              <w:rPr>
                <w:rFonts w:ascii="Arial" w:hAnsi="Arial" w:cs="Arial"/>
                <w:sz w:val="20"/>
                <w:szCs w:val="20"/>
              </w:rPr>
            </w:pPr>
            <w:r w:rsidRPr="00AF2837">
              <w:rPr>
                <w:rFonts w:ascii="Arial" w:hAnsi="Arial" w:cs="Arial"/>
                <w:sz w:val="20"/>
                <w:szCs w:val="20"/>
              </w:rPr>
              <w:t>decision-making</w:t>
            </w:r>
          </w:p>
        </w:tc>
        <w:tc>
          <w:tcPr>
            <w:tcW w:w="1251" w:type="dxa"/>
            <w:vAlign w:val="center"/>
          </w:tcPr>
          <w:p w14:paraId="0C30730B" w14:textId="60C553E0" w:rsidR="00AF2837" w:rsidRPr="008F0E58" w:rsidRDefault="002F7F07"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.01</w:t>
            </w:r>
            <w:r w:rsidR="00A1288B">
              <w:rPr>
                <w:rFonts w:ascii="Arial" w:hAnsi="Arial" w:cs="Arial"/>
                <w:sz w:val="20"/>
                <w:szCs w:val="20"/>
              </w:rPr>
              <w:t>9</w:t>
            </w:r>
          </w:p>
        </w:tc>
        <w:tc>
          <w:tcPr>
            <w:tcW w:w="1230" w:type="dxa"/>
            <w:vAlign w:val="center"/>
          </w:tcPr>
          <w:p w14:paraId="39BA3022" w14:textId="55D08E31"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.012</w:t>
            </w:r>
          </w:p>
        </w:tc>
        <w:tc>
          <w:tcPr>
            <w:tcW w:w="1252" w:type="dxa"/>
            <w:vAlign w:val="center"/>
          </w:tcPr>
          <w:p w14:paraId="36D5589A" w14:textId="59627D53"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.125</w:t>
            </w:r>
          </w:p>
        </w:tc>
        <w:tc>
          <w:tcPr>
            <w:tcW w:w="1263" w:type="dxa"/>
            <w:vAlign w:val="center"/>
          </w:tcPr>
          <w:p w14:paraId="31B4D407" w14:textId="6983BE43"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.000</w:t>
            </w:r>
          </w:p>
        </w:tc>
      </w:tr>
      <w:tr w:rsidR="00AF2837" w14:paraId="365EFCA9" w14:textId="77777777" w:rsidTr="004D4204">
        <w:trPr>
          <w:trHeight w:val="432"/>
        </w:trPr>
        <w:tc>
          <w:tcPr>
            <w:tcW w:w="3212" w:type="dxa"/>
            <w:gridSpan w:val="2"/>
          </w:tcPr>
          <w:p w14:paraId="653F8078" w14:textId="313C9233" w:rsidR="00AF2837" w:rsidRPr="008F0E58" w:rsidRDefault="00AF2837" w:rsidP="00AF2837">
            <w:pPr>
              <w:tabs>
                <w:tab w:val="left" w:pos="720"/>
              </w:tabs>
              <w:jc w:val="both"/>
              <w:rPr>
                <w:rFonts w:ascii="Arial" w:hAnsi="Arial" w:cs="Arial"/>
                <w:bCs/>
                <w:sz w:val="20"/>
                <w:szCs w:val="20"/>
              </w:rPr>
            </w:pPr>
            <w:r w:rsidRPr="00AF2837">
              <w:rPr>
                <w:rFonts w:ascii="Arial" w:hAnsi="Arial" w:cs="Arial"/>
                <w:sz w:val="20"/>
                <w:szCs w:val="20"/>
              </w:rPr>
              <w:t>control domain</w:t>
            </w:r>
          </w:p>
        </w:tc>
        <w:tc>
          <w:tcPr>
            <w:tcW w:w="1251" w:type="dxa"/>
            <w:vAlign w:val="center"/>
          </w:tcPr>
          <w:p w14:paraId="50306FD8" w14:textId="0D2FA433" w:rsidR="00AF2837" w:rsidRPr="008F0E58" w:rsidRDefault="002F7F07" w:rsidP="00AF2837">
            <w:pPr>
              <w:jc w:val="center"/>
              <w:rPr>
                <w:rFonts w:ascii="Arial" w:hAnsi="Arial" w:cs="Arial"/>
                <w:sz w:val="20"/>
                <w:szCs w:val="20"/>
              </w:rPr>
            </w:pPr>
            <w:r>
              <w:rPr>
                <w:rFonts w:ascii="Arial" w:hAnsi="Arial" w:cs="Arial"/>
                <w:sz w:val="20"/>
                <w:szCs w:val="20"/>
              </w:rPr>
              <w:t>0</w:t>
            </w:r>
            <w:r w:rsidR="00A1288B">
              <w:rPr>
                <w:rFonts w:ascii="Arial" w:hAnsi="Arial" w:cs="Arial"/>
                <w:sz w:val="20"/>
                <w:szCs w:val="20"/>
              </w:rPr>
              <w:t>.230</w:t>
            </w:r>
          </w:p>
        </w:tc>
        <w:tc>
          <w:tcPr>
            <w:tcW w:w="1230" w:type="dxa"/>
            <w:vAlign w:val="center"/>
          </w:tcPr>
          <w:p w14:paraId="6D3F975E" w14:textId="3CEBD880"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.205</w:t>
            </w:r>
          </w:p>
        </w:tc>
        <w:tc>
          <w:tcPr>
            <w:tcW w:w="1252" w:type="dxa"/>
            <w:vAlign w:val="center"/>
          </w:tcPr>
          <w:p w14:paraId="3B9EF28D" w14:textId="35A4FD00" w:rsidR="00AF2837" w:rsidRPr="008F0E58" w:rsidRDefault="00A1288B" w:rsidP="00AF2837">
            <w:pPr>
              <w:jc w:val="center"/>
              <w:rPr>
                <w:rFonts w:ascii="Arial" w:hAnsi="Arial" w:cs="Arial"/>
                <w:sz w:val="20"/>
                <w:szCs w:val="20"/>
              </w:rPr>
            </w:pPr>
            <w:r>
              <w:rPr>
                <w:rFonts w:ascii="Arial" w:hAnsi="Arial" w:cs="Arial"/>
                <w:sz w:val="20"/>
                <w:szCs w:val="20"/>
              </w:rPr>
              <w:t>1.92</w:t>
            </w:r>
            <w:r w:rsidR="00AF2837" w:rsidRPr="008F0E58">
              <w:rPr>
                <w:rFonts w:ascii="Arial" w:hAnsi="Arial" w:cs="Arial"/>
                <w:sz w:val="20"/>
                <w:szCs w:val="20"/>
              </w:rPr>
              <w:t>7</w:t>
            </w:r>
          </w:p>
        </w:tc>
        <w:tc>
          <w:tcPr>
            <w:tcW w:w="1263" w:type="dxa"/>
            <w:vAlign w:val="center"/>
          </w:tcPr>
          <w:p w14:paraId="5BCBD95F" w14:textId="7E27012E"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.000</w:t>
            </w:r>
          </w:p>
        </w:tc>
      </w:tr>
      <w:tr w:rsidR="00AF2837" w14:paraId="6FCB9B3A" w14:textId="77777777" w:rsidTr="00D14D71">
        <w:trPr>
          <w:trHeight w:val="432"/>
        </w:trPr>
        <w:tc>
          <w:tcPr>
            <w:tcW w:w="3212" w:type="dxa"/>
            <w:gridSpan w:val="2"/>
          </w:tcPr>
          <w:p w14:paraId="75CC5547" w14:textId="4AFDEB4B" w:rsidR="00AF2837" w:rsidRPr="008F0E58" w:rsidRDefault="00AF2837" w:rsidP="00AF2837">
            <w:pPr>
              <w:rPr>
                <w:sz w:val="20"/>
                <w:szCs w:val="20"/>
              </w:rPr>
            </w:pPr>
            <w:r w:rsidRPr="00AF2837">
              <w:rPr>
                <w:rFonts w:ascii="Arial" w:hAnsi="Arial" w:cs="Arial"/>
                <w:sz w:val="20"/>
                <w:szCs w:val="20"/>
              </w:rPr>
              <w:t>conflict</w:t>
            </w:r>
          </w:p>
        </w:tc>
        <w:tc>
          <w:tcPr>
            <w:tcW w:w="1251" w:type="dxa"/>
            <w:vAlign w:val="center"/>
          </w:tcPr>
          <w:p w14:paraId="3AF08333" w14:textId="77BAFA9C" w:rsidR="00AF2837" w:rsidRPr="008F0E58" w:rsidRDefault="002F7F07" w:rsidP="00AF2837">
            <w:pPr>
              <w:jc w:val="center"/>
              <w:rPr>
                <w:rFonts w:ascii="Arial" w:hAnsi="Arial" w:cs="Arial"/>
                <w:sz w:val="20"/>
                <w:szCs w:val="20"/>
              </w:rPr>
            </w:pPr>
            <w:r>
              <w:rPr>
                <w:rFonts w:ascii="Arial" w:hAnsi="Arial" w:cs="Arial"/>
                <w:sz w:val="20"/>
                <w:szCs w:val="20"/>
              </w:rPr>
              <w:t>0</w:t>
            </w:r>
            <w:r w:rsidR="00A1288B">
              <w:rPr>
                <w:rFonts w:ascii="Arial" w:hAnsi="Arial" w:cs="Arial"/>
                <w:sz w:val="20"/>
                <w:szCs w:val="20"/>
              </w:rPr>
              <w:t>.092</w:t>
            </w:r>
          </w:p>
        </w:tc>
        <w:tc>
          <w:tcPr>
            <w:tcW w:w="1230" w:type="dxa"/>
            <w:vAlign w:val="center"/>
          </w:tcPr>
          <w:p w14:paraId="37E5FF7D" w14:textId="3EDD7327"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.057</w:t>
            </w:r>
          </w:p>
        </w:tc>
        <w:tc>
          <w:tcPr>
            <w:tcW w:w="1252" w:type="dxa"/>
            <w:vAlign w:val="center"/>
          </w:tcPr>
          <w:p w14:paraId="0D872E96" w14:textId="326EBF95"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.502</w:t>
            </w:r>
          </w:p>
        </w:tc>
        <w:tc>
          <w:tcPr>
            <w:tcW w:w="1263" w:type="dxa"/>
            <w:vAlign w:val="center"/>
          </w:tcPr>
          <w:p w14:paraId="1612F19C" w14:textId="396530AE" w:rsidR="00AF2837" w:rsidRPr="008F0E58" w:rsidRDefault="00A1288B" w:rsidP="00AF2837">
            <w:pPr>
              <w:jc w:val="center"/>
              <w:rPr>
                <w:rFonts w:ascii="Arial" w:hAnsi="Arial" w:cs="Arial"/>
                <w:sz w:val="20"/>
                <w:szCs w:val="20"/>
              </w:rPr>
            </w:pPr>
            <w:r>
              <w:rPr>
                <w:rFonts w:ascii="Arial" w:hAnsi="Arial" w:cs="Arial"/>
                <w:sz w:val="20"/>
                <w:szCs w:val="20"/>
              </w:rPr>
              <w:t>0.000</w:t>
            </w:r>
          </w:p>
        </w:tc>
      </w:tr>
      <w:tr w:rsidR="00B6361C" w14:paraId="5FDC3FA9" w14:textId="77777777" w:rsidTr="00B6361C">
        <w:trPr>
          <w:trHeight w:val="432"/>
        </w:trPr>
        <w:tc>
          <w:tcPr>
            <w:tcW w:w="1639" w:type="dxa"/>
            <w:vAlign w:val="center"/>
          </w:tcPr>
          <w:p w14:paraId="5A5FB03F"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R</w:t>
            </w:r>
          </w:p>
        </w:tc>
        <w:tc>
          <w:tcPr>
            <w:tcW w:w="1573" w:type="dxa"/>
            <w:vAlign w:val="center"/>
          </w:tcPr>
          <w:p w14:paraId="23F937F5" w14:textId="4D13AA10" w:rsidR="00B6361C" w:rsidRPr="008F0E58" w:rsidRDefault="00AF2837" w:rsidP="00944B3C">
            <w:pPr>
              <w:jc w:val="center"/>
              <w:rPr>
                <w:rFonts w:ascii="Arial" w:hAnsi="Arial" w:cs="Arial"/>
                <w:sz w:val="20"/>
                <w:szCs w:val="20"/>
              </w:rPr>
            </w:pPr>
            <w:r>
              <w:rPr>
                <w:rFonts w:ascii="Arial" w:hAnsi="Arial" w:cs="Arial"/>
                <w:sz w:val="20"/>
                <w:szCs w:val="20"/>
              </w:rPr>
              <w:t>0.740</w:t>
            </w:r>
          </w:p>
        </w:tc>
        <w:tc>
          <w:tcPr>
            <w:tcW w:w="1251" w:type="dxa"/>
            <w:vAlign w:val="center"/>
          </w:tcPr>
          <w:p w14:paraId="2AE46807" w14:textId="77777777" w:rsidR="00B6361C" w:rsidRPr="008F0E58" w:rsidRDefault="00B6361C" w:rsidP="00944B3C">
            <w:pPr>
              <w:jc w:val="center"/>
              <w:rPr>
                <w:rFonts w:ascii="Arial" w:hAnsi="Arial" w:cs="Arial"/>
                <w:sz w:val="20"/>
                <w:szCs w:val="20"/>
              </w:rPr>
            </w:pPr>
          </w:p>
        </w:tc>
        <w:tc>
          <w:tcPr>
            <w:tcW w:w="1230" w:type="dxa"/>
          </w:tcPr>
          <w:p w14:paraId="1777ACF6" w14:textId="77777777" w:rsidR="00B6361C" w:rsidRPr="008F0E58" w:rsidRDefault="00B6361C" w:rsidP="00944B3C">
            <w:pPr>
              <w:jc w:val="center"/>
              <w:rPr>
                <w:rFonts w:ascii="Arial" w:hAnsi="Arial" w:cs="Arial"/>
                <w:sz w:val="20"/>
                <w:szCs w:val="20"/>
              </w:rPr>
            </w:pPr>
          </w:p>
        </w:tc>
        <w:tc>
          <w:tcPr>
            <w:tcW w:w="1252" w:type="dxa"/>
          </w:tcPr>
          <w:p w14:paraId="653319BB" w14:textId="77777777" w:rsidR="00B6361C" w:rsidRPr="008F0E58" w:rsidRDefault="00B6361C" w:rsidP="00944B3C">
            <w:pPr>
              <w:jc w:val="center"/>
              <w:rPr>
                <w:rFonts w:ascii="Arial" w:hAnsi="Arial" w:cs="Arial"/>
                <w:sz w:val="20"/>
                <w:szCs w:val="20"/>
              </w:rPr>
            </w:pPr>
          </w:p>
        </w:tc>
        <w:tc>
          <w:tcPr>
            <w:tcW w:w="1263" w:type="dxa"/>
          </w:tcPr>
          <w:p w14:paraId="746EF5E5" w14:textId="77777777" w:rsidR="00B6361C" w:rsidRPr="008F0E58" w:rsidRDefault="00B6361C" w:rsidP="00944B3C">
            <w:pPr>
              <w:jc w:val="center"/>
              <w:rPr>
                <w:rFonts w:ascii="Arial" w:hAnsi="Arial" w:cs="Arial"/>
                <w:sz w:val="20"/>
                <w:szCs w:val="20"/>
              </w:rPr>
            </w:pPr>
          </w:p>
        </w:tc>
      </w:tr>
      <w:tr w:rsidR="00B6361C" w14:paraId="41B5FC12" w14:textId="77777777" w:rsidTr="00B6361C">
        <w:trPr>
          <w:trHeight w:val="432"/>
        </w:trPr>
        <w:tc>
          <w:tcPr>
            <w:tcW w:w="1639" w:type="dxa"/>
            <w:vAlign w:val="center"/>
          </w:tcPr>
          <w:p w14:paraId="1F831EC6" w14:textId="77777777" w:rsidR="00B6361C" w:rsidRPr="008F0E58" w:rsidRDefault="00B6361C" w:rsidP="00944B3C">
            <w:pPr>
              <w:jc w:val="center"/>
              <w:rPr>
                <w:rFonts w:ascii="Arial" w:hAnsi="Arial" w:cs="Arial"/>
                <w:sz w:val="20"/>
                <w:szCs w:val="20"/>
                <w:vertAlign w:val="superscript"/>
              </w:rPr>
            </w:pPr>
            <w:r w:rsidRPr="008F0E58">
              <w:rPr>
                <w:rFonts w:ascii="Arial" w:hAnsi="Arial" w:cs="Arial"/>
                <w:sz w:val="20"/>
                <w:szCs w:val="20"/>
              </w:rPr>
              <w:t>R</w:t>
            </w:r>
            <w:r w:rsidRPr="008F0E58">
              <w:rPr>
                <w:rFonts w:ascii="Arial" w:hAnsi="Arial" w:cs="Arial"/>
                <w:sz w:val="20"/>
                <w:szCs w:val="20"/>
                <w:vertAlign w:val="superscript"/>
              </w:rPr>
              <w:t>2</w:t>
            </w:r>
          </w:p>
        </w:tc>
        <w:tc>
          <w:tcPr>
            <w:tcW w:w="1573" w:type="dxa"/>
            <w:vAlign w:val="center"/>
          </w:tcPr>
          <w:p w14:paraId="04404662" w14:textId="206EEE96" w:rsidR="00B6361C" w:rsidRPr="008F0E58" w:rsidRDefault="00E5795E" w:rsidP="00944B3C">
            <w:pPr>
              <w:jc w:val="center"/>
              <w:rPr>
                <w:rFonts w:ascii="Arial" w:hAnsi="Arial" w:cs="Arial"/>
                <w:sz w:val="20"/>
                <w:szCs w:val="20"/>
              </w:rPr>
            </w:pPr>
            <w:r>
              <w:rPr>
                <w:rFonts w:ascii="Arial" w:hAnsi="Arial" w:cs="Arial"/>
                <w:sz w:val="20"/>
                <w:szCs w:val="20"/>
              </w:rPr>
              <w:t>0.547</w:t>
            </w:r>
          </w:p>
        </w:tc>
        <w:tc>
          <w:tcPr>
            <w:tcW w:w="1251" w:type="dxa"/>
            <w:vAlign w:val="center"/>
          </w:tcPr>
          <w:p w14:paraId="30D8D6C6" w14:textId="77777777" w:rsidR="00B6361C" w:rsidRPr="008F0E58" w:rsidRDefault="00B6361C" w:rsidP="00944B3C">
            <w:pPr>
              <w:jc w:val="center"/>
              <w:rPr>
                <w:rFonts w:ascii="Arial" w:hAnsi="Arial" w:cs="Arial"/>
                <w:sz w:val="20"/>
                <w:szCs w:val="20"/>
              </w:rPr>
            </w:pPr>
          </w:p>
        </w:tc>
        <w:tc>
          <w:tcPr>
            <w:tcW w:w="1230" w:type="dxa"/>
          </w:tcPr>
          <w:p w14:paraId="09B4341D" w14:textId="77777777" w:rsidR="00B6361C" w:rsidRPr="008F0E58" w:rsidRDefault="00B6361C" w:rsidP="00944B3C">
            <w:pPr>
              <w:jc w:val="center"/>
              <w:rPr>
                <w:rFonts w:ascii="Arial" w:hAnsi="Arial" w:cs="Arial"/>
                <w:sz w:val="20"/>
                <w:szCs w:val="20"/>
              </w:rPr>
            </w:pPr>
          </w:p>
        </w:tc>
        <w:tc>
          <w:tcPr>
            <w:tcW w:w="1252" w:type="dxa"/>
          </w:tcPr>
          <w:p w14:paraId="613FE944" w14:textId="77777777" w:rsidR="00B6361C" w:rsidRPr="008F0E58" w:rsidRDefault="00B6361C" w:rsidP="00944B3C">
            <w:pPr>
              <w:jc w:val="center"/>
              <w:rPr>
                <w:rFonts w:ascii="Arial" w:hAnsi="Arial" w:cs="Arial"/>
                <w:sz w:val="20"/>
                <w:szCs w:val="20"/>
              </w:rPr>
            </w:pPr>
          </w:p>
        </w:tc>
        <w:tc>
          <w:tcPr>
            <w:tcW w:w="1263" w:type="dxa"/>
          </w:tcPr>
          <w:p w14:paraId="6BE4C066" w14:textId="77777777" w:rsidR="00B6361C" w:rsidRPr="008F0E58" w:rsidRDefault="00B6361C" w:rsidP="00944B3C">
            <w:pPr>
              <w:jc w:val="center"/>
              <w:rPr>
                <w:rFonts w:ascii="Arial" w:hAnsi="Arial" w:cs="Arial"/>
                <w:sz w:val="20"/>
                <w:szCs w:val="20"/>
              </w:rPr>
            </w:pPr>
          </w:p>
        </w:tc>
      </w:tr>
      <w:tr w:rsidR="00B6361C" w14:paraId="0B4CBA1F" w14:textId="77777777" w:rsidTr="00B6361C">
        <w:trPr>
          <w:trHeight w:val="432"/>
        </w:trPr>
        <w:tc>
          <w:tcPr>
            <w:tcW w:w="1639" w:type="dxa"/>
            <w:vAlign w:val="center"/>
          </w:tcPr>
          <w:p w14:paraId="7D94117B"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F</w:t>
            </w:r>
          </w:p>
        </w:tc>
        <w:tc>
          <w:tcPr>
            <w:tcW w:w="1573" w:type="dxa"/>
            <w:vAlign w:val="center"/>
          </w:tcPr>
          <w:p w14:paraId="346F9ECF" w14:textId="0D6CD899" w:rsidR="00B6361C" w:rsidRPr="008F0E58" w:rsidRDefault="00E5795E" w:rsidP="00944B3C">
            <w:pPr>
              <w:jc w:val="center"/>
              <w:rPr>
                <w:rFonts w:ascii="Arial" w:hAnsi="Arial" w:cs="Arial"/>
                <w:sz w:val="20"/>
                <w:szCs w:val="20"/>
              </w:rPr>
            </w:pPr>
            <w:r>
              <w:rPr>
                <w:rFonts w:ascii="Arial" w:hAnsi="Arial" w:cs="Arial"/>
                <w:sz w:val="20"/>
                <w:szCs w:val="20"/>
              </w:rPr>
              <w:t>90.050</w:t>
            </w:r>
          </w:p>
        </w:tc>
        <w:tc>
          <w:tcPr>
            <w:tcW w:w="1251" w:type="dxa"/>
            <w:vAlign w:val="center"/>
          </w:tcPr>
          <w:p w14:paraId="392C403E" w14:textId="77777777" w:rsidR="00B6361C" w:rsidRPr="008F0E58" w:rsidRDefault="00B6361C" w:rsidP="00944B3C">
            <w:pPr>
              <w:jc w:val="center"/>
              <w:rPr>
                <w:rFonts w:ascii="Arial" w:hAnsi="Arial" w:cs="Arial"/>
                <w:sz w:val="20"/>
                <w:szCs w:val="20"/>
              </w:rPr>
            </w:pPr>
          </w:p>
        </w:tc>
        <w:tc>
          <w:tcPr>
            <w:tcW w:w="1230" w:type="dxa"/>
          </w:tcPr>
          <w:p w14:paraId="71A96A94" w14:textId="77777777" w:rsidR="00B6361C" w:rsidRPr="008F0E58" w:rsidRDefault="00B6361C" w:rsidP="00944B3C">
            <w:pPr>
              <w:jc w:val="center"/>
              <w:rPr>
                <w:rFonts w:ascii="Arial" w:hAnsi="Arial" w:cs="Arial"/>
                <w:sz w:val="20"/>
                <w:szCs w:val="20"/>
              </w:rPr>
            </w:pPr>
          </w:p>
        </w:tc>
        <w:tc>
          <w:tcPr>
            <w:tcW w:w="1252" w:type="dxa"/>
          </w:tcPr>
          <w:p w14:paraId="0B6AAABA" w14:textId="77777777" w:rsidR="00B6361C" w:rsidRPr="008F0E58" w:rsidRDefault="00B6361C" w:rsidP="00944B3C">
            <w:pPr>
              <w:jc w:val="center"/>
              <w:rPr>
                <w:rFonts w:ascii="Arial" w:hAnsi="Arial" w:cs="Arial"/>
                <w:sz w:val="20"/>
                <w:szCs w:val="20"/>
              </w:rPr>
            </w:pPr>
          </w:p>
        </w:tc>
        <w:tc>
          <w:tcPr>
            <w:tcW w:w="1263" w:type="dxa"/>
          </w:tcPr>
          <w:p w14:paraId="162457E5" w14:textId="77777777" w:rsidR="00B6361C" w:rsidRPr="008F0E58" w:rsidRDefault="00B6361C" w:rsidP="00944B3C">
            <w:pPr>
              <w:jc w:val="center"/>
              <w:rPr>
                <w:rFonts w:ascii="Arial" w:hAnsi="Arial" w:cs="Arial"/>
                <w:sz w:val="20"/>
                <w:szCs w:val="20"/>
              </w:rPr>
            </w:pPr>
          </w:p>
        </w:tc>
      </w:tr>
      <w:tr w:rsidR="00B6361C" w14:paraId="259C7D4A" w14:textId="77777777" w:rsidTr="00B6361C">
        <w:trPr>
          <w:trHeight w:val="432"/>
        </w:trPr>
        <w:tc>
          <w:tcPr>
            <w:tcW w:w="1639" w:type="dxa"/>
            <w:vAlign w:val="center"/>
          </w:tcPr>
          <w:p w14:paraId="198CE725"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Ρ</w:t>
            </w:r>
          </w:p>
        </w:tc>
        <w:tc>
          <w:tcPr>
            <w:tcW w:w="1573" w:type="dxa"/>
            <w:vAlign w:val="center"/>
          </w:tcPr>
          <w:p w14:paraId="4D8C2C8A" w14:textId="1E6623F2" w:rsidR="00B6361C" w:rsidRPr="008F0E58" w:rsidRDefault="00B6361C" w:rsidP="00944B3C">
            <w:pPr>
              <w:jc w:val="center"/>
              <w:rPr>
                <w:rFonts w:ascii="Arial" w:hAnsi="Arial" w:cs="Arial"/>
                <w:sz w:val="20"/>
                <w:szCs w:val="20"/>
              </w:rPr>
            </w:pPr>
            <w:r w:rsidRPr="008F0E58">
              <w:rPr>
                <w:rFonts w:ascii="Arial" w:hAnsi="Arial" w:cs="Arial"/>
                <w:sz w:val="20"/>
                <w:szCs w:val="20"/>
              </w:rPr>
              <w:t>0.00</w:t>
            </w:r>
            <w:r w:rsidR="00E5795E">
              <w:rPr>
                <w:rFonts w:ascii="Arial" w:hAnsi="Arial" w:cs="Arial"/>
                <w:sz w:val="20"/>
                <w:szCs w:val="20"/>
              </w:rPr>
              <w:t>0</w:t>
            </w:r>
          </w:p>
        </w:tc>
        <w:tc>
          <w:tcPr>
            <w:tcW w:w="1251" w:type="dxa"/>
            <w:vAlign w:val="center"/>
          </w:tcPr>
          <w:p w14:paraId="15958985" w14:textId="77777777" w:rsidR="00B6361C" w:rsidRPr="008F0E58" w:rsidRDefault="00B6361C" w:rsidP="00944B3C">
            <w:pPr>
              <w:jc w:val="center"/>
              <w:rPr>
                <w:rFonts w:ascii="Arial" w:hAnsi="Arial" w:cs="Arial"/>
                <w:sz w:val="20"/>
                <w:szCs w:val="20"/>
              </w:rPr>
            </w:pPr>
          </w:p>
        </w:tc>
        <w:tc>
          <w:tcPr>
            <w:tcW w:w="1230" w:type="dxa"/>
          </w:tcPr>
          <w:p w14:paraId="24C96F90" w14:textId="77777777" w:rsidR="00B6361C" w:rsidRPr="008F0E58" w:rsidRDefault="00B6361C" w:rsidP="00944B3C">
            <w:pPr>
              <w:jc w:val="center"/>
              <w:rPr>
                <w:rFonts w:ascii="Arial" w:hAnsi="Arial" w:cs="Arial"/>
                <w:sz w:val="20"/>
                <w:szCs w:val="20"/>
              </w:rPr>
            </w:pPr>
          </w:p>
        </w:tc>
        <w:tc>
          <w:tcPr>
            <w:tcW w:w="1252" w:type="dxa"/>
          </w:tcPr>
          <w:p w14:paraId="5EC99C49" w14:textId="77777777" w:rsidR="00B6361C" w:rsidRPr="008F0E58" w:rsidRDefault="00B6361C" w:rsidP="00944B3C">
            <w:pPr>
              <w:jc w:val="center"/>
              <w:rPr>
                <w:rFonts w:ascii="Arial" w:hAnsi="Arial" w:cs="Arial"/>
                <w:sz w:val="20"/>
                <w:szCs w:val="20"/>
              </w:rPr>
            </w:pPr>
          </w:p>
        </w:tc>
        <w:tc>
          <w:tcPr>
            <w:tcW w:w="1263" w:type="dxa"/>
          </w:tcPr>
          <w:p w14:paraId="777D8677" w14:textId="77777777" w:rsidR="00B6361C" w:rsidRPr="008F0E58" w:rsidRDefault="00B6361C" w:rsidP="00944B3C">
            <w:pPr>
              <w:jc w:val="center"/>
              <w:rPr>
                <w:rFonts w:ascii="Arial" w:hAnsi="Arial" w:cs="Arial"/>
                <w:sz w:val="20"/>
                <w:szCs w:val="20"/>
              </w:rPr>
            </w:pP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7D457B51" w14:textId="3AFB202F" w:rsidR="002C36E6" w:rsidRPr="002C36E6" w:rsidRDefault="002C36E6" w:rsidP="002C36E6">
      <w:pPr>
        <w:pStyle w:val="ConcHead"/>
        <w:jc w:val="both"/>
        <w:rPr>
          <w:rFonts w:ascii="Arial" w:hAnsi="Arial" w:cs="Arial"/>
          <w:b w:val="0"/>
          <w:caps w:val="0"/>
          <w:sz w:val="20"/>
        </w:rPr>
      </w:pPr>
      <w:r w:rsidRPr="002C36E6">
        <w:rPr>
          <w:rFonts w:ascii="Arial" w:hAnsi="Arial" w:cs="Arial"/>
          <w:b w:val="0"/>
          <w:caps w:val="0"/>
          <w:sz w:val="20"/>
        </w:rPr>
        <w:lastRenderedPageBreak/>
        <w:t>Presented in Table 4 is the regression analysis examining how different domains of workstation culture—human relations, decision-making, control domain, and conflict—significantly influence the professional accountability of teachers in public elementary schools. The regression model shows that all four domains positively contribute to professional accountability. Among these, the control domain (B = 0.230, Beta = 0.205) has the strongest influence, followed by human relations (B = 0.092, Beta = 0.056), conflict (B = 0.092, Beta = 0.057), and decision-making (B = 0.019, Beta = 0.012). The t-values for each domain, ranging from 0.125 to 1.927, with corresponding significance values of 0.000, indicate that these influences are statistically significant.</w:t>
      </w:r>
    </w:p>
    <w:p w14:paraId="57DA7DEA" w14:textId="7AC8BB9C" w:rsidR="002C36E6" w:rsidRDefault="002C36E6" w:rsidP="0004038B">
      <w:pPr>
        <w:pStyle w:val="ConcHead"/>
        <w:jc w:val="both"/>
        <w:rPr>
          <w:rFonts w:ascii="Arial" w:hAnsi="Arial" w:cs="Arial"/>
          <w:b w:val="0"/>
          <w:caps w:val="0"/>
          <w:sz w:val="20"/>
        </w:rPr>
      </w:pPr>
      <w:r w:rsidRPr="002C36E6">
        <w:rPr>
          <w:rFonts w:ascii="Arial" w:hAnsi="Arial" w:cs="Arial"/>
          <w:b w:val="0"/>
          <w:caps w:val="0"/>
          <w:sz w:val="20"/>
        </w:rPr>
        <w:t>The regression model explains 54.7% of the variance in professional accountability (R² = 0.547). Furthermore, the model’s F-value of 90.05 and p-value of 0.000 confirm that the model is statistically significant. These findings suggest that the domains of workstation culture, particularly the control domain, play a crucial role in shaping the professional accountability of teachers. Enhancing these aspects of workstation culture is likely to strengthen teachers’ commitment to ethical standards, responsibility, and overall professional behavior, contributing positively to the school environment and educational outcomes.</w:t>
      </w:r>
    </w:p>
    <w:p w14:paraId="0DA901E2" w14:textId="228BB778" w:rsidR="00D607E8" w:rsidRDefault="006932A7" w:rsidP="00D607E8">
      <w:pPr>
        <w:pStyle w:val="ConcHead"/>
        <w:spacing w:after="0"/>
        <w:jc w:val="both"/>
        <w:rPr>
          <w:rFonts w:ascii="Arial" w:hAnsi="Arial" w:cs="Arial"/>
          <w:b w:val="0"/>
          <w:caps w:val="0"/>
          <w:sz w:val="20"/>
        </w:rPr>
      </w:pPr>
      <w:r w:rsidRPr="006932A7">
        <w:rPr>
          <w:rFonts w:ascii="Arial" w:hAnsi="Arial" w:cs="Arial"/>
          <w:b w:val="0"/>
          <w:caps w:val="0"/>
          <w:sz w:val="20"/>
        </w:rPr>
        <w:t xml:space="preserve">This result aligns with the findings of </w:t>
      </w:r>
      <w:r w:rsidR="00CB44D3" w:rsidRPr="00CB44D3">
        <w:rPr>
          <w:rFonts w:ascii="Arial" w:hAnsi="Arial" w:cs="Arial"/>
          <w:b w:val="0"/>
          <w:caps w:val="0"/>
          <w:sz w:val="20"/>
        </w:rPr>
        <w:t>Slim</w:t>
      </w:r>
      <w:r w:rsidR="00CB44D3">
        <w:rPr>
          <w:rFonts w:ascii="Arial" w:hAnsi="Arial" w:cs="Arial"/>
          <w:b w:val="0"/>
          <w:caps w:val="0"/>
          <w:sz w:val="20"/>
        </w:rPr>
        <w:t xml:space="preserve"> and </w:t>
      </w:r>
      <w:r w:rsidR="00CB44D3" w:rsidRPr="00CB44D3">
        <w:rPr>
          <w:rFonts w:ascii="Arial" w:hAnsi="Arial" w:cs="Arial"/>
          <w:b w:val="0"/>
          <w:caps w:val="0"/>
          <w:sz w:val="20"/>
        </w:rPr>
        <w:t xml:space="preserve">Reuter-Yuill </w:t>
      </w:r>
      <w:r w:rsidR="00CB44D3">
        <w:rPr>
          <w:rFonts w:ascii="Arial" w:hAnsi="Arial" w:cs="Arial"/>
          <w:b w:val="0"/>
          <w:caps w:val="0"/>
          <w:sz w:val="20"/>
        </w:rPr>
        <w:t>(2021</w:t>
      </w:r>
      <w:r w:rsidRPr="006932A7">
        <w:rPr>
          <w:rFonts w:ascii="Arial" w:hAnsi="Arial" w:cs="Arial"/>
          <w:b w:val="0"/>
          <w:caps w:val="0"/>
          <w:sz w:val="20"/>
        </w:rPr>
        <w:t>), who emphasized that distinct domains of a supp</w:t>
      </w:r>
      <w:r>
        <w:rPr>
          <w:rFonts w:ascii="Arial" w:hAnsi="Arial" w:cs="Arial"/>
          <w:b w:val="0"/>
          <w:caps w:val="0"/>
          <w:sz w:val="20"/>
        </w:rPr>
        <w:t xml:space="preserve">ortive workstation culture, </w:t>
      </w:r>
      <w:r w:rsidRPr="006932A7">
        <w:rPr>
          <w:rFonts w:ascii="Arial" w:hAnsi="Arial" w:cs="Arial"/>
          <w:b w:val="0"/>
          <w:caps w:val="0"/>
          <w:sz w:val="20"/>
        </w:rPr>
        <w:t>such as collaborative decision-making, effective communicat</w:t>
      </w:r>
      <w:r>
        <w:rPr>
          <w:rFonts w:ascii="Arial" w:hAnsi="Arial" w:cs="Arial"/>
          <w:b w:val="0"/>
          <w:caps w:val="0"/>
          <w:sz w:val="20"/>
        </w:rPr>
        <w:t xml:space="preserve">ion, and organizational control, </w:t>
      </w:r>
      <w:r w:rsidRPr="006932A7">
        <w:rPr>
          <w:rFonts w:ascii="Arial" w:hAnsi="Arial" w:cs="Arial"/>
          <w:b w:val="0"/>
          <w:caps w:val="0"/>
          <w:sz w:val="20"/>
        </w:rPr>
        <w:t xml:space="preserve">significantly contribute to strengthening professional accountability among educators. These domains enable teachers to engage meaningfully in their roles, reinforcing their sense of responsibility and ethical conduct. Similarly, </w:t>
      </w:r>
      <w:r w:rsidR="009F1D86" w:rsidRPr="009F1D86">
        <w:rPr>
          <w:rFonts w:ascii="Arial" w:hAnsi="Arial" w:cs="Arial"/>
          <w:b w:val="0"/>
          <w:caps w:val="0"/>
          <w:sz w:val="20"/>
        </w:rPr>
        <w:t xml:space="preserve">Fudge </w:t>
      </w:r>
      <w:r w:rsidR="009F1D86">
        <w:rPr>
          <w:rFonts w:ascii="Arial" w:hAnsi="Arial" w:cs="Arial"/>
          <w:b w:val="0"/>
          <w:caps w:val="0"/>
          <w:sz w:val="20"/>
        </w:rPr>
        <w:t>et al. (2022</w:t>
      </w:r>
      <w:r w:rsidRPr="006932A7">
        <w:rPr>
          <w:rFonts w:ascii="Arial" w:hAnsi="Arial" w:cs="Arial"/>
          <w:b w:val="0"/>
          <w:caps w:val="0"/>
          <w:sz w:val="20"/>
        </w:rPr>
        <w:t>) underscored that environments fostering mutual respect, transparency in decision-making, and consistent conflict management provide a foundation for high levels of accountability. When teachers feel heard, supported, and guided by clear organizational structures, they are more likely to commit to professional standards and uphold educational values. Thus, the domains of workstation culture not only shape daily work interactions but also serve as key predictors of professional behavior, integrity, and overall commitment to teaching excellence.</w:t>
      </w:r>
    </w:p>
    <w:p w14:paraId="050053B0" w14:textId="77777777" w:rsidR="003B3DC3" w:rsidRDefault="003B3DC3" w:rsidP="00D607E8">
      <w:pPr>
        <w:pStyle w:val="ConcHead"/>
        <w:spacing w:after="0"/>
        <w:jc w:val="both"/>
        <w:rPr>
          <w:rFonts w:ascii="Arial" w:hAnsi="Arial" w:cs="Arial"/>
          <w:b w:val="0"/>
          <w:caps w:val="0"/>
          <w:sz w:val="20"/>
        </w:rPr>
      </w:pPr>
    </w:p>
    <w:p w14:paraId="016D2A79" w14:textId="3AE93493" w:rsidR="00717F2E" w:rsidRDefault="00AF0248" w:rsidP="00B364F1">
      <w:pPr>
        <w:pStyle w:val="Body"/>
        <w:rPr>
          <w:rFonts w:ascii="Arial" w:hAnsi="Arial" w:cs="Arial"/>
        </w:rPr>
      </w:pPr>
      <w:r>
        <w:rPr>
          <w:rFonts w:ascii="Arial" w:hAnsi="Arial" w:cs="Arial"/>
          <w:b/>
          <w:bCs/>
        </w:rPr>
        <w:t>4</w:t>
      </w:r>
      <w:r w:rsidR="001276D1">
        <w:rPr>
          <w:rFonts w:ascii="Arial" w:hAnsi="Arial" w:cs="Arial"/>
          <w:b/>
          <w:bCs/>
        </w:rPr>
        <w:t xml:space="preserve">. </w:t>
      </w:r>
      <w:r w:rsidR="00B364F1">
        <w:rPr>
          <w:rFonts w:ascii="Arial" w:hAnsi="Arial" w:cs="Arial"/>
          <w:b/>
          <w:bCs/>
        </w:rPr>
        <w:t>CONCLUSIONS</w:t>
      </w:r>
    </w:p>
    <w:p w14:paraId="223941BB" w14:textId="071F5424"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Based on the findings obtained in this study, the following conclus</w:t>
      </w:r>
      <w:r w:rsidR="00DC0291">
        <w:rPr>
          <w:rFonts w:ascii="Arial" w:hAnsi="Arial" w:cs="Arial"/>
          <w:b w:val="0"/>
          <w:caps w:val="0"/>
          <w:sz w:val="20"/>
        </w:rPr>
        <w:t>ions we</w:t>
      </w:r>
      <w:r w:rsidRPr="00552085">
        <w:rPr>
          <w:rFonts w:ascii="Arial" w:hAnsi="Arial" w:cs="Arial"/>
          <w:b w:val="0"/>
          <w:caps w:val="0"/>
          <w:sz w:val="20"/>
        </w:rPr>
        <w:t>re drawn:</w:t>
      </w:r>
    </w:p>
    <w:p w14:paraId="2B064103" w14:textId="7217971E"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It is concluded that the level of workstation culture among public elementary school teachers—in terms of human relations, decision-making, control domain, and conflict management—is high. This suggests that teachers in these schools generally experience a positive working environment where interpersonal relationships are supportive and respectful. Decision-making processes are inclusive, allowing teachers to participate and have a voice in matters affecting their work. The presence of clear policies and structures within the control domain provides stability and guidance, while conflicts are managed constructively, preventing negative impacts on morale and productivity. Such an environment likely contributes to teachers feeling valued and motivated in their professional roles.</w:t>
      </w:r>
    </w:p>
    <w:p w14:paraId="49EEA6C4" w14:textId="09B6FD7A"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 xml:space="preserve">It is determined that the level of professional accountability among public elementary school </w:t>
      </w:r>
      <w:r w:rsidRPr="00877DC1">
        <w:rPr>
          <w:rFonts w:ascii="Arial" w:hAnsi="Arial" w:cs="Arial"/>
          <w:b w:val="0"/>
          <w:caps w:val="0"/>
          <w:sz w:val="20"/>
          <w:highlight w:val="yellow"/>
        </w:rPr>
        <w:t>teachers</w:t>
      </w:r>
      <w:r w:rsidR="00877DC1" w:rsidRPr="00877DC1">
        <w:rPr>
          <w:rFonts w:ascii="Arial" w:hAnsi="Arial" w:cs="Arial"/>
          <w:b w:val="0"/>
          <w:caps w:val="0"/>
          <w:sz w:val="20"/>
          <w:highlight w:val="yellow"/>
        </w:rPr>
        <w:t xml:space="preserve">, </w:t>
      </w:r>
      <w:r w:rsidRPr="00877DC1">
        <w:rPr>
          <w:rFonts w:ascii="Arial" w:hAnsi="Arial" w:cs="Arial"/>
          <w:b w:val="0"/>
          <w:caps w:val="0"/>
          <w:sz w:val="20"/>
          <w:highlight w:val="yellow"/>
        </w:rPr>
        <w:t>measured through</w:t>
      </w:r>
      <w:r w:rsidRPr="00552085">
        <w:rPr>
          <w:rFonts w:ascii="Arial" w:hAnsi="Arial" w:cs="Arial"/>
          <w:b w:val="0"/>
          <w:caps w:val="0"/>
          <w:sz w:val="20"/>
        </w:rPr>
        <w:t xml:space="preserve"> commitment to excellence, honesty and integrity, respect for others, as well as compa</w:t>
      </w:r>
      <w:r w:rsidR="00877DC1">
        <w:rPr>
          <w:rFonts w:ascii="Arial" w:hAnsi="Arial" w:cs="Arial"/>
          <w:b w:val="0"/>
          <w:caps w:val="0"/>
          <w:sz w:val="20"/>
        </w:rPr>
        <w:t xml:space="preserve">ssion </w:t>
      </w:r>
      <w:r w:rsidR="00877DC1" w:rsidRPr="00877DC1">
        <w:rPr>
          <w:rFonts w:ascii="Arial" w:hAnsi="Arial" w:cs="Arial"/>
          <w:b w:val="0"/>
          <w:caps w:val="0"/>
          <w:sz w:val="20"/>
          <w:highlight w:val="yellow"/>
        </w:rPr>
        <w:t xml:space="preserve">and social responsibility </w:t>
      </w:r>
      <w:r w:rsidRPr="00877DC1">
        <w:rPr>
          <w:rFonts w:ascii="Arial" w:hAnsi="Arial" w:cs="Arial"/>
          <w:b w:val="0"/>
          <w:caps w:val="0"/>
          <w:sz w:val="20"/>
          <w:highlight w:val="yellow"/>
        </w:rPr>
        <w:t>is high.</w:t>
      </w:r>
      <w:r w:rsidRPr="00552085">
        <w:rPr>
          <w:rFonts w:ascii="Arial" w:hAnsi="Arial" w:cs="Arial"/>
          <w:b w:val="0"/>
          <w:caps w:val="0"/>
          <w:sz w:val="20"/>
        </w:rPr>
        <w:t xml:space="preserve"> This reflects that teachers are dedicated to maintaining high professional standards and ethical behavior in their daily duties. They demonstrate a strong commitment to delivering quality education, uphold honesty in their interactions, and treat colleagues and students with respect and care. This high level of </w:t>
      </w:r>
      <w:r w:rsidRPr="00552085">
        <w:rPr>
          <w:rFonts w:ascii="Arial" w:hAnsi="Arial" w:cs="Arial"/>
          <w:b w:val="0"/>
          <w:caps w:val="0"/>
          <w:sz w:val="20"/>
        </w:rPr>
        <w:lastRenderedPageBreak/>
        <w:t>accountability indicates that teachers take their roles seriously and recognize their responsibilities not only to their students but also to the wider school community and society.</w:t>
      </w:r>
    </w:p>
    <w:p w14:paraId="6380908E" w14:textId="77777777"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It is confirmed in this study that there is a significant positive relationship between workstation culture and professional accountability among public elementary school teachers. This finding means that the nature of the working environment, including the quality of relationships, decision-making practices, control mechanisms, and conflict management, directly influences how accoun</w:t>
      </w:r>
      <w:bookmarkStart w:id="0" w:name="_GoBack"/>
      <w:r w:rsidRPr="00552085">
        <w:rPr>
          <w:rFonts w:ascii="Arial" w:hAnsi="Arial" w:cs="Arial"/>
          <w:b w:val="0"/>
          <w:caps w:val="0"/>
          <w:sz w:val="20"/>
        </w:rPr>
        <w:t>table</w:t>
      </w:r>
      <w:bookmarkEnd w:id="0"/>
      <w:r w:rsidRPr="00552085">
        <w:rPr>
          <w:rFonts w:ascii="Arial" w:hAnsi="Arial" w:cs="Arial"/>
          <w:b w:val="0"/>
          <w:caps w:val="0"/>
          <w:sz w:val="20"/>
        </w:rPr>
        <w:t xml:space="preserve"> teachers feel and act in their professional roles. When teachers perceive their workstation culture as supportive and well-managed, they are more likely to exhibit higher levels of responsibility, ethical behavior, and commitment to their work.</w:t>
      </w:r>
    </w:p>
    <w:p w14:paraId="5636923E" w14:textId="77777777" w:rsidR="00552085" w:rsidRPr="00552085" w:rsidRDefault="00552085" w:rsidP="00552085">
      <w:pPr>
        <w:pStyle w:val="ReferHead"/>
        <w:jc w:val="both"/>
        <w:rPr>
          <w:rFonts w:ascii="Arial" w:hAnsi="Arial" w:cs="Arial"/>
          <w:b w:val="0"/>
          <w:caps w:val="0"/>
          <w:sz w:val="20"/>
        </w:rPr>
      </w:pPr>
    </w:p>
    <w:p w14:paraId="44FE22E3" w14:textId="398B6080" w:rsidR="00276854" w:rsidRDefault="00552085" w:rsidP="00552085">
      <w:pPr>
        <w:pStyle w:val="ReferHead"/>
        <w:spacing w:after="0"/>
        <w:jc w:val="both"/>
        <w:rPr>
          <w:rFonts w:ascii="Arial" w:hAnsi="Arial" w:cs="Arial"/>
          <w:b w:val="0"/>
          <w:caps w:val="0"/>
          <w:sz w:val="20"/>
        </w:rPr>
      </w:pPr>
      <w:r w:rsidRPr="00552085">
        <w:rPr>
          <w:rFonts w:ascii="Arial" w:hAnsi="Arial" w:cs="Arial"/>
          <w:b w:val="0"/>
          <w:caps w:val="0"/>
          <w:sz w:val="20"/>
        </w:rPr>
        <w:t>Furthermore, it is concluded that the specific domains of workstation culture significantly influence the professional accountability of public elementary school teachers. This implies that each element—positive human relations, participative decision-making, clear control structures, and effective conflict resolution—plays a crucial role in shaping teachers’ attitudes and behaviors towards their professional duties. Schools that foster strong interpersonal connections, involve teachers in decisions, provide clear guidelines and support, and handle conflicts fairly create an environment that nurtures and reinforces teachers’ professional accountability. This highlights the importance of school leaders and administrators in creating and maintaining a positive workstation culture to enhance teacher performance and commitment.</w:t>
      </w:r>
    </w:p>
    <w:p w14:paraId="3301DE00" w14:textId="77777777" w:rsidR="00552085" w:rsidRDefault="00552085" w:rsidP="00552085">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4CE3AAA1" w14:textId="40911D24"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Based on the findings and conclusions of this study, several recommendations are put forward to enhance workstation culture and professional accountability among public elementary school teachers.</w:t>
      </w:r>
    </w:p>
    <w:p w14:paraId="3E3A1070" w14:textId="6A761655"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Teachers are encouraged to actively foster positive relationships within their schools by promoting collaboration, open communication, and mutual respect with colleagues and administrators. They should take an active role in decision-making processes to share their insights and advocate for their professional needs. Continuing to uphold high standards of commitment, honesty, integrity, and social responsibility is essential. Additionally, teachers are advised to seek professional development opportunities that improve their skills in conflict management and leadership, thereby strengthening both their work environment and sense of accountability.</w:t>
      </w:r>
    </w:p>
    <w:p w14:paraId="039C9F20" w14:textId="4B11067E"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School heads have a vital role in creating a supportive and inclusive working environment. They should implement transparent decision-making practices that involve teachers and staff, ensuring their perspectives are valued. Establishing clear policies and control mechanisms to guide professional conduct while providing consistent support is important. Addressing conflicts promptly and fairly will help maintain a positive school climate. Furthermore, school leaders should facilitate ongoing professional development programs focused on ethics, accountability, and interpersonal skills to empower teachers effectively.</w:t>
      </w:r>
    </w:p>
    <w:p w14:paraId="2176930F" w14:textId="3649542A"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 xml:space="preserve">The Department of Education is encouraged to strengthen policies that promote a healthy workstation culture and professional accountability. This could involve providing frameworks that encourage participative leadership, clear governance, and effective conflict resolution at the school level. Supporting professional development programs that emphasize ethics, integrity, and social responsibility is also essential. Moreover, introducing regular monitoring </w:t>
      </w:r>
      <w:r w:rsidRPr="00552085">
        <w:rPr>
          <w:rFonts w:ascii="Arial" w:hAnsi="Arial" w:cs="Arial"/>
          <w:b w:val="0"/>
          <w:caps w:val="0"/>
          <w:sz w:val="20"/>
        </w:rPr>
        <w:lastRenderedPageBreak/>
        <w:t>systems to assess workstation culture and accountability will help ensure these factors contribute to better teacher performance and student outcomes.</w:t>
      </w:r>
    </w:p>
    <w:p w14:paraId="4391F361" w14:textId="5CF470ED" w:rsidR="00276854" w:rsidRDefault="00552085" w:rsidP="00552085">
      <w:pPr>
        <w:pStyle w:val="ReferHead"/>
        <w:spacing w:after="0"/>
        <w:jc w:val="both"/>
        <w:rPr>
          <w:rFonts w:ascii="Arial" w:hAnsi="Arial" w:cs="Arial"/>
          <w:b w:val="0"/>
          <w:caps w:val="0"/>
          <w:sz w:val="20"/>
        </w:rPr>
      </w:pPr>
      <w:r w:rsidRPr="00552085">
        <w:rPr>
          <w:rFonts w:ascii="Arial" w:hAnsi="Arial" w:cs="Arial"/>
          <w:b w:val="0"/>
          <w:caps w:val="0"/>
          <w:sz w:val="20"/>
        </w:rPr>
        <w:t>Future researchers may build upon this study by examining the relationship between workstation culture and professional accountability in different educational settings, such as secondary or private schools, to see if similar trends emerge. Conducting longitudinal studies to observe changes over time and the effects of interventions aimed at improving these variables would be valuable. Qualitative research could also offer deeper insights into teachers’ and school leaders’ personal experiences related to workstation culture and accountability. Additionally, exploring other influencing factors like organizational culture or community involvement would further enrich understanding in this area.</w:t>
      </w:r>
    </w:p>
    <w:p w14:paraId="149160E4" w14:textId="77777777" w:rsidR="00276854" w:rsidRDefault="00276854" w:rsidP="0027685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4ED263B9" w:rsidR="00717F2E" w:rsidRDefault="004B5E92">
      <w:pPr>
        <w:pStyle w:val="ReferHead"/>
        <w:spacing w:after="0"/>
        <w:jc w:val="both"/>
        <w:rPr>
          <w:rFonts w:ascii="Arial" w:hAnsi="Arial" w:cs="Arial"/>
          <w:bCs/>
          <w:sz w:val="20"/>
        </w:rPr>
      </w:pPr>
      <w:r>
        <w:rPr>
          <w:rFonts w:ascii="Arial" w:hAnsi="Arial" w:cs="Arial"/>
          <w:bCs/>
          <w:sz w:val="20"/>
        </w:rPr>
        <w:t xml:space="preserve">Ethical approval and </w:t>
      </w:r>
      <w:r w:rsidR="001276D1">
        <w:rPr>
          <w:rFonts w:ascii="Arial" w:hAnsi="Arial" w:cs="Arial"/>
          <w:bCs/>
          <w:sz w:val="20"/>
        </w:rPr>
        <w:t xml:space="preserve">Consent </w:t>
      </w:r>
    </w:p>
    <w:p w14:paraId="67F05F0C" w14:textId="77777777" w:rsidR="00717F2E" w:rsidRDefault="00717F2E">
      <w:pPr>
        <w:pStyle w:val="ReferHead"/>
        <w:spacing w:after="0"/>
        <w:jc w:val="both"/>
        <w:rPr>
          <w:rFonts w:ascii="Arial" w:hAnsi="Arial" w:cs="Arial"/>
          <w:bCs/>
          <w:sz w:val="20"/>
        </w:rPr>
      </w:pPr>
    </w:p>
    <w:p w14:paraId="35D6F465" w14:textId="63B0F641" w:rsidR="006543BB" w:rsidRDefault="005E0D43" w:rsidP="005E0D43">
      <w:pPr>
        <w:pStyle w:val="ReferHead"/>
        <w:jc w:val="both"/>
        <w:rPr>
          <w:rFonts w:ascii="Arial" w:hAnsi="Arial" w:cs="Arial"/>
          <w:b w:val="0"/>
          <w:caps w:val="0"/>
          <w:sz w:val="20"/>
        </w:rPr>
      </w:pPr>
      <w:r w:rsidRPr="005E0D43">
        <w:rPr>
          <w:rFonts w:ascii="Arial" w:hAnsi="Arial" w:cs="Arial"/>
          <w:b w:val="0"/>
          <w:caps w:val="0"/>
          <w:sz w:val="20"/>
        </w:rPr>
        <w:t xml:space="preserve">Throughout the entire study, ethical standards were diligently observed to protect the rights, privacy, and well-being of all participants. Prior to data collection, the researcher secured the necessary approvals from relevant authorities, including an endorsement from the Dean of the Graduate School and ethical clearance from the institution. The research process was conducted in accordance with the ethical guidelines set forth by </w:t>
      </w:r>
      <w:proofErr w:type="spellStart"/>
      <w:r w:rsidRPr="005E0D43">
        <w:rPr>
          <w:rFonts w:ascii="Arial" w:hAnsi="Arial" w:cs="Arial"/>
          <w:b w:val="0"/>
          <w:caps w:val="0"/>
          <w:sz w:val="20"/>
        </w:rPr>
        <w:t>Pregoner</w:t>
      </w:r>
      <w:proofErr w:type="spellEnd"/>
      <w:r w:rsidRPr="005E0D43">
        <w:rPr>
          <w:rFonts w:ascii="Arial" w:hAnsi="Arial" w:cs="Arial"/>
          <w:b w:val="0"/>
          <w:caps w:val="0"/>
          <w:sz w:val="20"/>
        </w:rPr>
        <w:t xml:space="preserve"> et al. (2025), ensuring full adherence to established norms for research involving human subjects, particularly in educational and social settings.</w:t>
      </w:r>
      <w:r>
        <w:rPr>
          <w:rFonts w:ascii="Arial" w:hAnsi="Arial" w:cs="Arial"/>
          <w:b w:val="0"/>
          <w:caps w:val="0"/>
          <w:sz w:val="20"/>
        </w:rPr>
        <w:t xml:space="preserve"> </w:t>
      </w:r>
      <w:r w:rsidRPr="005E0D43">
        <w:rPr>
          <w:rFonts w:ascii="Arial" w:hAnsi="Arial" w:cs="Arial"/>
          <w:b w:val="0"/>
          <w:caps w:val="0"/>
          <w:sz w:val="20"/>
        </w:rPr>
        <w:t>Participation was entirely voluntary, with all participants receiving comprehensive information about the study’s purpose, procedures, and their right to withdraw at any time without penalty. Informed consent was obtained from every respondent, confirming their comprehension and agreement to participate. Confidentiality and anonymity were rigorously maintained throughout, with no personal identifiers included in the data or final reports. The information collected was used exclusively for academic purposes and treated with the utmost respect and integrity. This ethical approach guaranteed that the study was conducted responsibly, transparently, and in full compliance with both academic and professional ethical standards.</w:t>
      </w:r>
    </w:p>
    <w:p w14:paraId="16E40CAF" w14:textId="45C74CB9" w:rsidR="00E05D9D" w:rsidRDefault="00E05D9D" w:rsidP="005E0D43">
      <w:pPr>
        <w:pStyle w:val="ReferHead"/>
        <w:jc w:val="both"/>
        <w:rPr>
          <w:rFonts w:ascii="Arial" w:hAnsi="Arial" w:cs="Arial"/>
          <w:b w:val="0"/>
          <w:caps w:val="0"/>
          <w:sz w:val="20"/>
        </w:rPr>
      </w:pPr>
    </w:p>
    <w:p w14:paraId="5F2847E2" w14:textId="77777777" w:rsidR="00FB0402" w:rsidRPr="004B5E92" w:rsidRDefault="00FB0402" w:rsidP="00FB0402">
      <w:pPr>
        <w:pStyle w:val="ReferHead"/>
        <w:spacing w:after="0"/>
        <w:jc w:val="both"/>
        <w:rPr>
          <w:rFonts w:ascii="Arial" w:hAnsi="Arial" w:cs="Arial"/>
          <w:caps w:val="0"/>
          <w:sz w:val="20"/>
          <w:highlight w:val="yellow"/>
        </w:rPr>
      </w:pPr>
      <w:r w:rsidRPr="004B5E92">
        <w:rPr>
          <w:rFonts w:ascii="Arial" w:hAnsi="Arial" w:cs="Arial"/>
          <w:caps w:val="0"/>
          <w:sz w:val="20"/>
          <w:highlight w:val="yellow"/>
        </w:rPr>
        <w:t>Disclaimer (Artificial Intelligence)</w:t>
      </w:r>
    </w:p>
    <w:p w14:paraId="275AA46F" w14:textId="77777777" w:rsidR="00FB0402" w:rsidRPr="004C3237" w:rsidRDefault="00FB0402" w:rsidP="00FB0402">
      <w:pPr>
        <w:pStyle w:val="ReferHead"/>
        <w:spacing w:after="0"/>
        <w:jc w:val="both"/>
        <w:rPr>
          <w:rFonts w:ascii="Arial" w:hAnsi="Arial" w:cs="Arial"/>
          <w:b w:val="0"/>
          <w:caps w:val="0"/>
          <w:sz w:val="20"/>
          <w:highlight w:val="yellow"/>
        </w:rPr>
      </w:pPr>
    </w:p>
    <w:p w14:paraId="5B630F6A" w14:textId="77777777" w:rsidR="00FB0402" w:rsidRPr="004C3237" w:rsidRDefault="00FB0402" w:rsidP="00FB0402">
      <w:pPr>
        <w:pStyle w:val="ReferHead"/>
        <w:spacing w:after="0"/>
        <w:jc w:val="both"/>
        <w:rPr>
          <w:rFonts w:ascii="Arial" w:hAnsi="Arial" w:cs="Arial"/>
          <w:b w:val="0"/>
          <w:caps w:val="0"/>
          <w:sz w:val="20"/>
          <w:highlight w:val="yellow"/>
        </w:rPr>
      </w:pPr>
    </w:p>
    <w:p w14:paraId="02532E3A" w14:textId="77777777" w:rsidR="00FB0402" w:rsidRPr="004C3237" w:rsidRDefault="00FB0402" w:rsidP="00FB0402">
      <w:pPr>
        <w:jc w:val="both"/>
        <w:rPr>
          <w:rFonts w:ascii="Arial" w:eastAsia="Calibri" w:hAnsi="Arial" w:cs="Arial"/>
          <w:kern w:val="2"/>
          <w:highlight w:val="yellow"/>
        </w:rPr>
      </w:pPr>
      <w:r w:rsidRPr="004C3237">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4C211CF1" w14:textId="77777777" w:rsidR="00FB0402" w:rsidRPr="004C3237" w:rsidRDefault="00FB0402" w:rsidP="00FB0402">
      <w:pPr>
        <w:jc w:val="both"/>
        <w:rPr>
          <w:rFonts w:ascii="Arial" w:eastAsia="Calibri" w:hAnsi="Arial" w:cs="Arial"/>
          <w:kern w:val="2"/>
          <w:highlight w:val="yellow"/>
        </w:rPr>
      </w:pPr>
    </w:p>
    <w:p w14:paraId="2D603A66" w14:textId="77777777" w:rsidR="00FB0402" w:rsidRPr="004C3237" w:rsidRDefault="00FB0402" w:rsidP="00FB0402">
      <w:pPr>
        <w:numPr>
          <w:ilvl w:val="0"/>
          <w:numId w:val="4"/>
        </w:numPr>
        <w:ind w:left="540"/>
        <w:jc w:val="both"/>
        <w:rPr>
          <w:rFonts w:ascii="Arial" w:eastAsia="Calibri" w:hAnsi="Arial" w:cs="Arial"/>
          <w:kern w:val="2"/>
          <w:highlight w:val="yellow"/>
        </w:rPr>
      </w:pPr>
      <w:r w:rsidRPr="004C3237">
        <w:rPr>
          <w:rFonts w:ascii="Arial" w:eastAsia="Calibri" w:hAnsi="Arial" w:cs="Arial"/>
          <w:kern w:val="2"/>
          <w:highlight w:val="yellow"/>
        </w:rPr>
        <w:t xml:space="preserve">Grammarly: Used for grammar and spellchecking, as well as suggestions for improving sentence structure and overall clarity. </w:t>
      </w:r>
    </w:p>
    <w:p w14:paraId="5FAD144C" w14:textId="77777777" w:rsidR="00FB0402" w:rsidRPr="004C3237" w:rsidRDefault="00FB0402" w:rsidP="00FB0402">
      <w:pPr>
        <w:numPr>
          <w:ilvl w:val="0"/>
          <w:numId w:val="4"/>
        </w:numPr>
        <w:ind w:left="540"/>
        <w:jc w:val="both"/>
        <w:rPr>
          <w:rFonts w:ascii="Arial" w:hAnsi="Arial" w:cs="Arial"/>
          <w:highlight w:val="yellow"/>
        </w:rPr>
      </w:pPr>
      <w:proofErr w:type="spellStart"/>
      <w:r w:rsidRPr="004C3237">
        <w:rPr>
          <w:rFonts w:ascii="Arial" w:eastAsia="Calibri" w:hAnsi="Arial" w:cs="Arial"/>
          <w:kern w:val="2"/>
          <w:highlight w:val="yellow"/>
        </w:rPr>
        <w:t>Quillbot</w:t>
      </w:r>
      <w:proofErr w:type="spellEnd"/>
      <w:r w:rsidRPr="004C3237">
        <w:rPr>
          <w:rFonts w:ascii="Arial" w:eastAsia="Calibri" w:hAnsi="Arial" w:cs="Arial"/>
          <w:kern w:val="2"/>
          <w:highlight w:val="yellow"/>
        </w:rPr>
        <w:t>: Employed for paraphrasing and refining sentence flow to enhance readability and coherence.</w:t>
      </w:r>
    </w:p>
    <w:p w14:paraId="0DF09F20" w14:textId="77777777" w:rsidR="00FB0402" w:rsidRPr="004C3237" w:rsidRDefault="00FB0402" w:rsidP="00FB0402">
      <w:pPr>
        <w:pStyle w:val="ReferHead"/>
        <w:spacing w:after="0"/>
        <w:jc w:val="both"/>
        <w:rPr>
          <w:rFonts w:ascii="Arial" w:hAnsi="Arial" w:cs="Arial"/>
          <w:b w:val="0"/>
          <w:caps w:val="0"/>
          <w:sz w:val="20"/>
        </w:rPr>
      </w:pPr>
    </w:p>
    <w:p w14:paraId="09D72310" w14:textId="77777777" w:rsidR="00E05D9D" w:rsidRDefault="00E05D9D" w:rsidP="005E0D43">
      <w:pPr>
        <w:pStyle w:val="ReferHead"/>
        <w:jc w:val="both"/>
        <w:rPr>
          <w:rFonts w:ascii="Arial" w:hAnsi="Arial" w:cs="Arial"/>
          <w:b w:val="0"/>
          <w:caps w:val="0"/>
          <w:sz w:val="20"/>
        </w:rPr>
      </w:pPr>
    </w:p>
    <w:p w14:paraId="6BABA7FA" w14:textId="7BD25B37" w:rsidR="006543BB" w:rsidRPr="006543BB" w:rsidRDefault="001276D1" w:rsidP="006543BB">
      <w:pPr>
        <w:pStyle w:val="ReferHead"/>
        <w:spacing w:after="0"/>
        <w:jc w:val="both"/>
        <w:rPr>
          <w:rFonts w:ascii="Arial" w:hAnsi="Arial" w:cs="Arial"/>
          <w:sz w:val="20"/>
        </w:rPr>
      </w:pPr>
      <w:r>
        <w:rPr>
          <w:rFonts w:ascii="Arial" w:hAnsi="Arial" w:cs="Arial"/>
          <w:sz w:val="20"/>
        </w:rPr>
        <w:t>References</w:t>
      </w:r>
    </w:p>
    <w:p w14:paraId="673D5F8A" w14:textId="77777777" w:rsidR="00A705F7" w:rsidRPr="00AD62A2" w:rsidRDefault="00A705F7" w:rsidP="00A705F7">
      <w:pPr>
        <w:rPr>
          <w:rFonts w:ascii="Arial" w:hAnsi="Arial" w:cs="Arial"/>
          <w:color w:val="222222"/>
          <w:shd w:val="clear" w:color="auto" w:fill="FFFFFF"/>
        </w:rPr>
      </w:pPr>
    </w:p>
    <w:p w14:paraId="4C800B9E" w14:textId="77777777" w:rsidR="00C91549" w:rsidRDefault="00C91549" w:rsidP="00C91549">
      <w:pPr>
        <w:ind w:left="720" w:hanging="720"/>
      </w:pPr>
    </w:p>
    <w:p w14:paraId="674A943F"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Alberts, T. (2024). </w:t>
      </w:r>
      <w:r>
        <w:rPr>
          <w:rFonts w:ascii="Arial" w:hAnsi="Arial" w:cs="Arial"/>
          <w:i/>
          <w:iCs/>
          <w:color w:val="222222"/>
          <w:shd w:val="clear" w:color="auto" w:fill="FFFFFF"/>
        </w:rPr>
        <w:t>Organizational Factors and Teachers’ Burnout and Attrition</w:t>
      </w:r>
      <w:r>
        <w:rPr>
          <w:rFonts w:ascii="Arial" w:hAnsi="Arial" w:cs="Arial"/>
          <w:color w:val="222222"/>
          <w:shd w:val="clear" w:color="auto" w:fill="FFFFFF"/>
        </w:rPr>
        <w:t xml:space="preserve"> (Doctoral dissertation, Bethel University (Minnesota)). </w:t>
      </w:r>
      <w:hyperlink r:id="rId16" w:history="1">
        <w:r w:rsidRPr="001B30F1">
          <w:rPr>
            <w:rStyle w:val="Hyperlink"/>
            <w:rFonts w:ascii="Arial" w:hAnsi="Arial" w:cs="Arial"/>
            <w:shd w:val="clear" w:color="auto" w:fill="FFFFFF"/>
          </w:rPr>
          <w:t>https://search.proquest.com/openview/50a861b137dec3d89de54947613f3be2/1?pq-origsite=gscholar&amp;cbl=18750&amp;diss=y</w:t>
        </w:r>
      </w:hyperlink>
    </w:p>
    <w:p w14:paraId="33262BA6"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lastRenderedPageBreak/>
        <w:t>Bashir, A., &amp; McTaggart, I. J. (2022). Importance of faculty role modelling for teaching professionalism to medical students: Individual versus institutional responsibility. </w:t>
      </w:r>
      <w:r>
        <w:rPr>
          <w:rFonts w:ascii="Arial" w:hAnsi="Arial" w:cs="Arial"/>
          <w:i/>
          <w:iCs/>
          <w:color w:val="222222"/>
          <w:shd w:val="clear" w:color="auto" w:fill="FFFFFF"/>
        </w:rPr>
        <w:t>Journal of Taibah University Medical Sciences</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 xml:space="preserve">(1), 112-119. </w:t>
      </w:r>
      <w:hyperlink r:id="rId17" w:history="1">
        <w:r w:rsidRPr="001B30F1">
          <w:rPr>
            <w:rStyle w:val="Hyperlink"/>
            <w:rFonts w:ascii="Arial" w:hAnsi="Arial" w:cs="Arial"/>
            <w:shd w:val="clear" w:color="auto" w:fill="FFFFFF"/>
          </w:rPr>
          <w:t>https://www.sciencedirect.com/science/article/pii/S1658361221001360</w:t>
        </w:r>
      </w:hyperlink>
    </w:p>
    <w:p w14:paraId="5A655552" w14:textId="77777777" w:rsidR="00C91549" w:rsidRDefault="00C91549" w:rsidP="00C9154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Brigue</w:t>
      </w:r>
      <w:proofErr w:type="spellEnd"/>
      <w:r>
        <w:rPr>
          <w:rFonts w:ascii="Arial" w:hAnsi="Arial" w:cs="Arial"/>
          <w:color w:val="222222"/>
          <w:shd w:val="clear" w:color="auto" w:fill="FFFFFF"/>
        </w:rPr>
        <w:t>, A. U., &amp; Orlu, V. N. (2023). Ethical considerations of leaders and integrity in public universities. </w:t>
      </w:r>
      <w:r>
        <w:rPr>
          <w:rFonts w:ascii="Arial" w:hAnsi="Arial" w:cs="Arial"/>
          <w:i/>
          <w:iCs/>
          <w:color w:val="222222"/>
          <w:shd w:val="clear" w:color="auto" w:fill="FFFFFF"/>
        </w:rPr>
        <w:t>International Journal of Institutional Leadership, Policy and Management</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(2), 245-261. </w:t>
      </w:r>
      <w:hyperlink r:id="rId18" w:history="1">
        <w:r w:rsidRPr="001B30F1">
          <w:rPr>
            <w:rStyle w:val="Hyperlink"/>
            <w:rFonts w:ascii="Arial" w:hAnsi="Arial" w:cs="Arial"/>
            <w:shd w:val="clear" w:color="auto" w:fill="FFFFFF"/>
          </w:rPr>
          <w:t>https://www.ijilpm.com.ng/assets/vol.,-5(2)-brigue,-a.-u.,---orlu,-v.-n.pdf</w:t>
        </w:r>
      </w:hyperlink>
    </w:p>
    <w:p w14:paraId="7C8718B5"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 xml:space="preserve">Chinwe, E., &amp; Chukwuemeka, E. (2024). Effects of professional ethics on organizational performance: A study of Anambra State Ministry of Education, </w:t>
      </w:r>
      <w:proofErr w:type="spellStart"/>
      <w:r>
        <w:rPr>
          <w:rFonts w:ascii="Arial" w:hAnsi="Arial" w:cs="Arial"/>
          <w:color w:val="222222"/>
          <w:shd w:val="clear" w:color="auto" w:fill="FFFFFF"/>
        </w:rPr>
        <w:t>Awka</w:t>
      </w:r>
      <w:proofErr w:type="spellEnd"/>
      <w:r>
        <w:rPr>
          <w:rFonts w:ascii="Arial" w:hAnsi="Arial" w:cs="Arial"/>
          <w:color w:val="222222"/>
          <w:shd w:val="clear" w:color="auto" w:fill="FFFFFF"/>
        </w:rPr>
        <w:t>. </w:t>
      </w:r>
      <w:r>
        <w:rPr>
          <w:rFonts w:ascii="Arial" w:hAnsi="Arial" w:cs="Arial"/>
          <w:i/>
          <w:iCs/>
          <w:color w:val="222222"/>
          <w:shd w:val="clear" w:color="auto" w:fill="FFFFFF"/>
        </w:rPr>
        <w:t>NG Journal of Social Development</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xml:space="preserve">(1), 82-115. </w:t>
      </w:r>
      <w:hyperlink r:id="rId19" w:history="1">
        <w:r w:rsidRPr="001B30F1">
          <w:rPr>
            <w:rStyle w:val="Hyperlink"/>
            <w:rFonts w:ascii="Arial" w:hAnsi="Arial" w:cs="Arial"/>
            <w:shd w:val="clear" w:color="auto" w:fill="FFFFFF"/>
          </w:rPr>
          <w:t>https://www.ajol.info/index.php/ngjsd/article/download/291816/274697</w:t>
        </w:r>
      </w:hyperlink>
    </w:p>
    <w:p w14:paraId="65CBC380"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Darling-Hammond, L. (2020). Accountability in teacher education. </w:t>
      </w:r>
      <w:r>
        <w:rPr>
          <w:rFonts w:ascii="Arial" w:hAnsi="Arial" w:cs="Arial"/>
          <w:i/>
          <w:iCs/>
          <w:color w:val="222222"/>
          <w:shd w:val="clear" w:color="auto" w:fill="FFFFFF"/>
        </w:rPr>
        <w:t>Action in teacher Education</w:t>
      </w:r>
      <w:r>
        <w:rPr>
          <w:rFonts w:ascii="Arial" w:hAnsi="Arial" w:cs="Arial"/>
          <w:color w:val="222222"/>
          <w:shd w:val="clear" w:color="auto" w:fill="FFFFFF"/>
        </w:rPr>
        <w:t>, </w:t>
      </w:r>
      <w:r>
        <w:rPr>
          <w:rFonts w:ascii="Arial" w:hAnsi="Arial" w:cs="Arial"/>
          <w:i/>
          <w:iCs/>
          <w:color w:val="222222"/>
          <w:shd w:val="clear" w:color="auto" w:fill="FFFFFF"/>
        </w:rPr>
        <w:t>42</w:t>
      </w:r>
      <w:r>
        <w:rPr>
          <w:rFonts w:ascii="Arial" w:hAnsi="Arial" w:cs="Arial"/>
          <w:color w:val="222222"/>
          <w:shd w:val="clear" w:color="auto" w:fill="FFFFFF"/>
        </w:rPr>
        <w:t xml:space="preserve">(1), 60-71. </w:t>
      </w:r>
      <w:hyperlink r:id="rId20" w:history="1">
        <w:r w:rsidRPr="001B30F1">
          <w:rPr>
            <w:rStyle w:val="Hyperlink"/>
            <w:rFonts w:ascii="Arial" w:hAnsi="Arial" w:cs="Arial"/>
            <w:shd w:val="clear" w:color="auto" w:fill="FFFFFF"/>
          </w:rPr>
          <w:t>https://www.tandfonline.com/doi/abs/10.1080/01626620.2019.1704464</w:t>
        </w:r>
      </w:hyperlink>
    </w:p>
    <w:p w14:paraId="5517E721" w14:textId="77777777" w:rsidR="00C91549" w:rsidRDefault="00C91549" w:rsidP="00C9154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Fajinmi</w:t>
      </w:r>
      <w:proofErr w:type="spellEnd"/>
      <w:r>
        <w:rPr>
          <w:rFonts w:ascii="Arial" w:hAnsi="Arial" w:cs="Arial"/>
          <w:color w:val="222222"/>
          <w:shd w:val="clear" w:color="auto" w:fill="FFFFFF"/>
        </w:rPr>
        <w:t xml:space="preserve">, J., &amp; Oloyede, J. (2025). Developing Conflict Resolution Skills and Team Building Competence A Framework for School Leadership Effectiveness. </w:t>
      </w:r>
      <w:hyperlink r:id="rId21" w:history="1">
        <w:r w:rsidRPr="001B30F1">
          <w:rPr>
            <w:rStyle w:val="Hyperlink"/>
            <w:rFonts w:ascii="Arial" w:hAnsi="Arial" w:cs="Arial"/>
            <w:shd w:val="clear" w:color="auto" w:fill="FFFFFF"/>
          </w:rPr>
          <w:t>https://www.preprints.org/frontend/manuscript/fd984f1b3675a8e38e40c413605d8fa2/download_pub</w:t>
        </w:r>
      </w:hyperlink>
    </w:p>
    <w:p w14:paraId="110AD0D5"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 xml:space="preserve">Fudge, A., </w:t>
      </w:r>
      <w:proofErr w:type="spellStart"/>
      <w:r>
        <w:rPr>
          <w:rFonts w:ascii="Arial" w:hAnsi="Arial" w:cs="Arial"/>
          <w:color w:val="222222"/>
          <w:shd w:val="clear" w:color="auto" w:fill="FFFFFF"/>
        </w:rPr>
        <w:t>Ulpen</w:t>
      </w:r>
      <w:proofErr w:type="spellEnd"/>
      <w:r>
        <w:rPr>
          <w:rFonts w:ascii="Arial" w:hAnsi="Arial" w:cs="Arial"/>
          <w:color w:val="222222"/>
          <w:shd w:val="clear" w:color="auto" w:fill="FFFFFF"/>
        </w:rPr>
        <w:t>, T., Bilic, S., Picard, M., &amp; Carter, C. (2022). Does an educative approach work? A reflective case study of how two Australian higher education Enabling programs support students and staff uphold a responsible culture of academic integrity. </w:t>
      </w:r>
      <w:r>
        <w:rPr>
          <w:rFonts w:ascii="Arial" w:hAnsi="Arial" w:cs="Arial"/>
          <w:i/>
          <w:iCs/>
          <w:color w:val="222222"/>
          <w:shd w:val="clear" w:color="auto" w:fill="FFFFFF"/>
        </w:rPr>
        <w:t>International Journal for Educational Integrity</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(1), 5. </w:t>
      </w:r>
      <w:hyperlink r:id="rId22" w:history="1">
        <w:r w:rsidRPr="001B30F1">
          <w:rPr>
            <w:rStyle w:val="Hyperlink"/>
            <w:rFonts w:ascii="Arial" w:hAnsi="Arial" w:cs="Arial"/>
            <w:shd w:val="clear" w:color="auto" w:fill="FFFFFF"/>
          </w:rPr>
          <w:t>https://link.springer.com/article/10.1007/s40979-021-00099-1</w:t>
        </w:r>
      </w:hyperlink>
    </w:p>
    <w:p w14:paraId="66FA27CF"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Herrera, P. D. P. (2024). Exploring teachers’ needs with the Philippine professional standards for teachers’ domains as framework: A case in basic education. </w:t>
      </w:r>
      <w:r>
        <w:rPr>
          <w:rFonts w:ascii="Arial" w:hAnsi="Arial" w:cs="Arial"/>
          <w:i/>
          <w:iCs/>
          <w:color w:val="222222"/>
          <w:shd w:val="clear" w:color="auto" w:fill="FFFFFF"/>
        </w:rPr>
        <w:t>International Journal of Research</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(8), 65-79. </w:t>
      </w:r>
      <w:hyperlink r:id="rId23" w:history="1">
        <w:r w:rsidRPr="001B30F1">
          <w:rPr>
            <w:rStyle w:val="Hyperlink"/>
            <w:rFonts w:ascii="Arial" w:hAnsi="Arial" w:cs="Arial"/>
            <w:shd w:val="clear" w:color="auto" w:fill="FFFFFF"/>
          </w:rPr>
          <w:t>https://www.researchgate.net/profile/Philip-Donald-Herrera/publication/383151583_Exploring_teachers'_needs_with_the_Philippine_professional_standards_for_teachers'_domains_as_framework_A_case_in_basic_education/links/66bea1d22ff54d6c9ed3e6c7/Exploring-teachers-needs-with-the-Philippine-professional-standards-for-teachers-domains-as-framework-A-case-in-basic-education.pdf</w:t>
        </w:r>
      </w:hyperlink>
    </w:p>
    <w:p w14:paraId="25D62564"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Herring, A. E. (2023). </w:t>
      </w:r>
      <w:r>
        <w:rPr>
          <w:rFonts w:ascii="Arial" w:hAnsi="Arial" w:cs="Arial"/>
          <w:i/>
          <w:iCs/>
          <w:color w:val="222222"/>
          <w:shd w:val="clear" w:color="auto" w:fill="FFFFFF"/>
        </w:rPr>
        <w:t>The Impact of Effective and Ineffective Principal Leadership on Teacher Morale</w:t>
      </w:r>
      <w:r>
        <w:rPr>
          <w:rFonts w:ascii="Arial" w:hAnsi="Arial" w:cs="Arial"/>
          <w:color w:val="222222"/>
          <w:shd w:val="clear" w:color="auto" w:fill="FFFFFF"/>
        </w:rPr>
        <w:t xml:space="preserve">. St. Thomas University. </w:t>
      </w:r>
      <w:hyperlink r:id="rId24" w:history="1">
        <w:r w:rsidRPr="001B30F1">
          <w:rPr>
            <w:rStyle w:val="Hyperlink"/>
            <w:rFonts w:ascii="Arial" w:hAnsi="Arial" w:cs="Arial"/>
            <w:shd w:val="clear" w:color="auto" w:fill="FFFFFF"/>
          </w:rPr>
          <w:t>https://search.proquest.com/openview/504cd5f7240a2f97d1128563d5ab3542/1?pq-origsite=gscholar&amp;cbl=18750&amp;diss=y</w:t>
        </w:r>
      </w:hyperlink>
    </w:p>
    <w:p w14:paraId="2365241A"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Katel, K. P. (2023). Teachers’ Motivational Factors and Student Learning Achievements. </w:t>
      </w:r>
      <w:r>
        <w:rPr>
          <w:rFonts w:ascii="Arial" w:hAnsi="Arial" w:cs="Arial"/>
          <w:i/>
          <w:iCs/>
          <w:color w:val="222222"/>
          <w:shd w:val="clear" w:color="auto" w:fill="FFFFFF"/>
        </w:rPr>
        <w:t>Solukhumbu Multiple Campus Research Journal</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1-14. </w:t>
      </w:r>
      <w:hyperlink r:id="rId25" w:history="1">
        <w:r w:rsidRPr="001B30F1">
          <w:rPr>
            <w:rStyle w:val="Hyperlink"/>
            <w:rFonts w:ascii="Arial" w:hAnsi="Arial" w:cs="Arial"/>
            <w:shd w:val="clear" w:color="auto" w:fill="FFFFFF"/>
          </w:rPr>
          <w:t>https://nepjol.info/index.php/smcrj/article/view/64887</w:t>
        </w:r>
      </w:hyperlink>
    </w:p>
    <w:p w14:paraId="7A26CAD0"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Kumar, P. (2024). The Role of Ethics and Moral Values in Teaching: A Comprehensive Examination. </w:t>
      </w:r>
      <w:proofErr w:type="spellStart"/>
      <w:r>
        <w:rPr>
          <w:rFonts w:ascii="Arial" w:hAnsi="Arial" w:cs="Arial"/>
          <w:i/>
          <w:iCs/>
          <w:color w:val="222222"/>
          <w:shd w:val="clear" w:color="auto" w:fill="FFFFFF"/>
        </w:rPr>
        <w:t>Shodh</w:t>
      </w:r>
      <w:proofErr w:type="spellEnd"/>
      <w:r>
        <w:rPr>
          <w:rFonts w:ascii="Arial" w:hAnsi="Arial" w:cs="Arial"/>
          <w:i/>
          <w:iCs/>
          <w:color w:val="222222"/>
          <w:shd w:val="clear" w:color="auto" w:fill="FFFFFF"/>
        </w:rPr>
        <w:t xml:space="preserve"> Sari-An Int. </w:t>
      </w:r>
      <w:proofErr w:type="spellStart"/>
      <w:r>
        <w:rPr>
          <w:rFonts w:ascii="Arial" w:hAnsi="Arial" w:cs="Arial"/>
          <w:i/>
          <w:iCs/>
          <w:color w:val="222222"/>
          <w:shd w:val="clear" w:color="auto" w:fill="FFFFFF"/>
        </w:rPr>
        <w:t>Multidiscip</w:t>
      </w:r>
      <w:proofErr w:type="spellEnd"/>
      <w:r>
        <w:rPr>
          <w:rFonts w:ascii="Arial" w:hAnsi="Arial" w:cs="Arial"/>
          <w:i/>
          <w:iCs/>
          <w:color w:val="222222"/>
          <w:shd w:val="clear" w:color="auto" w:fill="FFFFFF"/>
        </w:rPr>
        <w:t>. J</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(01), 99-112. </w:t>
      </w:r>
      <w:hyperlink r:id="rId26" w:history="1">
        <w:r w:rsidRPr="001B30F1">
          <w:rPr>
            <w:rStyle w:val="Hyperlink"/>
            <w:rFonts w:ascii="Arial" w:hAnsi="Arial" w:cs="Arial"/>
            <w:shd w:val="clear" w:color="auto" w:fill="FFFFFF"/>
          </w:rPr>
          <w:t>https://icertpublication.com/wp-content/uploads/2024/01/115.-The-Role-of-Ethics-and-Moral-Values-in-Teaching.pdf</w:t>
        </w:r>
      </w:hyperlink>
    </w:p>
    <w:p w14:paraId="3D3F97CE"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 xml:space="preserve">Lægreid, P., &amp; </w:t>
      </w:r>
      <w:proofErr w:type="spellStart"/>
      <w:r>
        <w:rPr>
          <w:rFonts w:ascii="Arial" w:hAnsi="Arial" w:cs="Arial"/>
          <w:color w:val="222222"/>
          <w:shd w:val="clear" w:color="auto" w:fill="FFFFFF"/>
        </w:rPr>
        <w:t>Rykkja</w:t>
      </w:r>
      <w:proofErr w:type="spellEnd"/>
      <w:r>
        <w:rPr>
          <w:rFonts w:ascii="Arial" w:hAnsi="Arial" w:cs="Arial"/>
          <w:color w:val="222222"/>
          <w:shd w:val="clear" w:color="auto" w:fill="FFFFFF"/>
        </w:rPr>
        <w:t>, L. H. (2022). Accountability and inter-organizational collaboration within the state. </w:t>
      </w:r>
      <w:r>
        <w:rPr>
          <w:rFonts w:ascii="Arial" w:hAnsi="Arial" w:cs="Arial"/>
          <w:i/>
          <w:iCs/>
          <w:color w:val="222222"/>
          <w:shd w:val="clear" w:color="auto" w:fill="FFFFFF"/>
        </w:rPr>
        <w:t>Public Management Review</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 xml:space="preserve">(5), 683-703. </w:t>
      </w:r>
      <w:hyperlink r:id="rId27" w:history="1">
        <w:r w:rsidRPr="001B30F1">
          <w:rPr>
            <w:rStyle w:val="Hyperlink"/>
            <w:rFonts w:ascii="Arial" w:hAnsi="Arial" w:cs="Arial"/>
            <w:shd w:val="clear" w:color="auto" w:fill="FFFFFF"/>
          </w:rPr>
          <w:t>https://www.tandfonline.com/doi/abs/10.1080/14719037.2021.1963822</w:t>
        </w:r>
      </w:hyperlink>
    </w:p>
    <w:p w14:paraId="4BAF989F"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 xml:space="preserve">Lillejord, S., &amp; </w:t>
      </w:r>
      <w:proofErr w:type="spellStart"/>
      <w:r>
        <w:rPr>
          <w:rFonts w:ascii="Arial" w:hAnsi="Arial" w:cs="Arial"/>
          <w:color w:val="222222"/>
          <w:shd w:val="clear" w:color="auto" w:fill="FFFFFF"/>
        </w:rPr>
        <w:t>Børte</w:t>
      </w:r>
      <w:proofErr w:type="spellEnd"/>
      <w:r>
        <w:rPr>
          <w:rFonts w:ascii="Arial" w:hAnsi="Arial" w:cs="Arial"/>
          <w:color w:val="222222"/>
          <w:shd w:val="clear" w:color="auto" w:fill="FFFFFF"/>
        </w:rPr>
        <w:t>, K. (2020). Trapped between accountability and professional learning? School leaders and teacher evaluation. </w:t>
      </w:r>
      <w:r>
        <w:rPr>
          <w:rFonts w:ascii="Arial" w:hAnsi="Arial" w:cs="Arial"/>
          <w:i/>
          <w:iCs/>
          <w:color w:val="222222"/>
          <w:shd w:val="clear" w:color="auto" w:fill="FFFFFF"/>
        </w:rPr>
        <w:t>Professional development in education</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 xml:space="preserve">(2), 274-291. </w:t>
      </w:r>
      <w:hyperlink r:id="rId28" w:history="1">
        <w:r w:rsidRPr="001B30F1">
          <w:rPr>
            <w:rStyle w:val="Hyperlink"/>
            <w:rFonts w:ascii="Arial" w:hAnsi="Arial" w:cs="Arial"/>
            <w:shd w:val="clear" w:color="auto" w:fill="FFFFFF"/>
          </w:rPr>
          <w:t>https://www.tandfonline.com/doi/abs/10.1080/19415257.2019.1585384</w:t>
        </w:r>
      </w:hyperlink>
    </w:p>
    <w:p w14:paraId="2A7EDCFC"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lastRenderedPageBreak/>
        <w:t>Okechukwu, E. (2025). Teachers Rights and Responsibilities and Societal Expectations. </w:t>
      </w:r>
      <w:r>
        <w:rPr>
          <w:rFonts w:ascii="Arial" w:hAnsi="Arial" w:cs="Arial"/>
          <w:i/>
          <w:iCs/>
          <w:color w:val="222222"/>
          <w:shd w:val="clear" w:color="auto" w:fill="FFFFFF"/>
        </w:rPr>
        <w:t>UNIZIK JOURNAL OF EDUCATIONAL LAWS AND LEADERSHIP STUDIES</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(1). </w:t>
      </w:r>
      <w:hyperlink r:id="rId29" w:history="1">
        <w:r w:rsidRPr="001B30F1">
          <w:rPr>
            <w:rStyle w:val="Hyperlink"/>
            <w:rFonts w:ascii="Arial" w:hAnsi="Arial" w:cs="Arial"/>
            <w:shd w:val="clear" w:color="auto" w:fill="FFFFFF"/>
          </w:rPr>
          <w:t>https://unilaws.org/unilaws/article/view/27</w:t>
        </w:r>
      </w:hyperlink>
    </w:p>
    <w:p w14:paraId="5FF0857D" w14:textId="77777777" w:rsidR="00C91549" w:rsidRDefault="00C91549" w:rsidP="00C9154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Ormilla</w:t>
      </w:r>
      <w:proofErr w:type="spellEnd"/>
      <w:r>
        <w:rPr>
          <w:rFonts w:ascii="Arial" w:hAnsi="Arial" w:cs="Arial"/>
          <w:color w:val="222222"/>
          <w:shd w:val="clear" w:color="auto" w:fill="FFFFFF"/>
        </w:rPr>
        <w:t>, R. C. G. (2021). The implementation of results-based performance management system in public elementary schools. </w:t>
      </w:r>
      <w:r>
        <w:rPr>
          <w:rFonts w:ascii="Arial" w:hAnsi="Arial" w:cs="Arial"/>
          <w:i/>
          <w:iCs/>
          <w:color w:val="222222"/>
          <w:shd w:val="clear" w:color="auto" w:fill="FFFFFF"/>
        </w:rPr>
        <w:t>Management Research Journal</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(1), 13-23. </w:t>
      </w:r>
      <w:hyperlink r:id="rId30" w:history="1">
        <w:r w:rsidRPr="001B30F1">
          <w:rPr>
            <w:rStyle w:val="Hyperlink"/>
            <w:rFonts w:ascii="Arial" w:hAnsi="Arial" w:cs="Arial"/>
            <w:shd w:val="clear" w:color="auto" w:fill="FFFFFF"/>
          </w:rPr>
          <w:t>https://www.academia.edu/download/73779381/MRJ_Published_Article.pdf</w:t>
        </w:r>
      </w:hyperlink>
    </w:p>
    <w:p w14:paraId="293DF35D"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Pantaleon, M. J. (2024). EXPLORING THE MOTIVATION AND CHALLENGES OF NON-EDUCATION GRADUATES MAKING A CAREER SHIFT TO TEACHING IN PALAVILLA INTEGRATED SCHOOL. </w:t>
      </w:r>
      <w:r>
        <w:rPr>
          <w:rFonts w:ascii="Arial" w:hAnsi="Arial" w:cs="Arial"/>
          <w:i/>
          <w:iCs/>
          <w:color w:val="222222"/>
          <w:shd w:val="clear" w:color="auto" w:fill="FFFFFF"/>
        </w:rPr>
        <w:t>Ignatian International Journal for Multidisciplinary Research</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(4), 832-849. </w:t>
      </w:r>
      <w:hyperlink r:id="rId31" w:history="1">
        <w:r w:rsidRPr="001B30F1">
          <w:rPr>
            <w:rStyle w:val="Hyperlink"/>
            <w:rFonts w:ascii="Arial" w:hAnsi="Arial" w:cs="Arial"/>
            <w:shd w:val="clear" w:color="auto" w:fill="FFFFFF"/>
          </w:rPr>
          <w:t>https://icceph.com/wp-content/uploads/2024/04/EXPLORING-THE-MOTIVATION-AND-CHALLENGES-OF-NON-EDUCATION-GRADUATES-MAKING-A-CAREER-SHIFT-TO-TEACHING-IN-PALAVILLA-INTEGRATED-SCHOOL.pdf</w:t>
        </w:r>
      </w:hyperlink>
    </w:p>
    <w:p w14:paraId="48AE004A"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Slim, L., &amp; Reuter-Yuill, L. M. (2021). A behavior-analytic perspective on interprofessional collaboration. </w:t>
      </w:r>
      <w:r>
        <w:rPr>
          <w:rFonts w:ascii="Arial" w:hAnsi="Arial" w:cs="Arial"/>
          <w:i/>
          <w:iCs/>
          <w:color w:val="222222"/>
          <w:shd w:val="clear" w:color="auto" w:fill="FFFFFF"/>
        </w:rPr>
        <w:t>Behavior Analysis in Practice</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(4), 1238-1248. </w:t>
      </w:r>
      <w:hyperlink r:id="rId32" w:history="1">
        <w:r w:rsidRPr="001B30F1">
          <w:rPr>
            <w:rStyle w:val="Hyperlink"/>
            <w:rFonts w:ascii="Arial" w:hAnsi="Arial" w:cs="Arial"/>
            <w:shd w:val="clear" w:color="auto" w:fill="FFFFFF"/>
          </w:rPr>
          <w:t>https://link.springer.com/article/10.1007/s40617-021-00602-7</w:t>
        </w:r>
      </w:hyperlink>
    </w:p>
    <w:p w14:paraId="564DF7FD"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Smith, W. C., &amp; Holloway, J. (2020). School testing culture and teacher satisfaction. </w:t>
      </w:r>
      <w:r>
        <w:rPr>
          <w:rFonts w:ascii="Arial" w:hAnsi="Arial" w:cs="Arial"/>
          <w:i/>
          <w:iCs/>
          <w:color w:val="222222"/>
          <w:shd w:val="clear" w:color="auto" w:fill="FFFFFF"/>
        </w:rPr>
        <w:t>Educational Assessment, Evaluation and Accountability</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 xml:space="preserve">, 461-479. </w:t>
      </w:r>
      <w:hyperlink r:id="rId33" w:history="1">
        <w:r w:rsidRPr="001B30F1">
          <w:rPr>
            <w:rStyle w:val="Hyperlink"/>
            <w:rFonts w:ascii="Arial" w:hAnsi="Arial" w:cs="Arial"/>
            <w:shd w:val="clear" w:color="auto" w:fill="FFFFFF"/>
          </w:rPr>
          <w:t>https://link.springer.com/article/10.1007/s11092-020-09342-8</w:t>
        </w:r>
      </w:hyperlink>
    </w:p>
    <w:p w14:paraId="082F8E57" w14:textId="77777777" w:rsidR="00C91549" w:rsidRDefault="00C91549" w:rsidP="00C9154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Sulasula</w:t>
      </w:r>
      <w:proofErr w:type="spellEnd"/>
      <w:r>
        <w:rPr>
          <w:rFonts w:ascii="Arial" w:hAnsi="Arial" w:cs="Arial"/>
          <w:color w:val="222222"/>
          <w:shd w:val="clear" w:color="auto" w:fill="FFFFFF"/>
        </w:rPr>
        <w:t>, J., &amp; Moreno, F. (2023). Political Chokepoints in the Administrative Process: Ethnographic Analysis of Public Universities in the Zamboanga Peninsula Region, Philippines. </w:t>
      </w:r>
      <w:r>
        <w:rPr>
          <w:rFonts w:ascii="Arial" w:hAnsi="Arial" w:cs="Arial"/>
          <w:i/>
          <w:iCs/>
          <w:color w:val="222222"/>
          <w:shd w:val="clear" w:color="auto" w:fill="FFFFFF"/>
        </w:rPr>
        <w:t>Philippines (August 13, 2023)</w:t>
      </w:r>
      <w:r>
        <w:rPr>
          <w:rFonts w:ascii="Arial" w:hAnsi="Arial" w:cs="Arial"/>
          <w:color w:val="222222"/>
          <w:shd w:val="clear" w:color="auto" w:fill="FFFFFF"/>
        </w:rPr>
        <w:t xml:space="preserve">. </w:t>
      </w:r>
      <w:hyperlink r:id="rId34" w:history="1">
        <w:r w:rsidRPr="001B30F1">
          <w:rPr>
            <w:rStyle w:val="Hyperlink"/>
            <w:rFonts w:ascii="Arial" w:hAnsi="Arial" w:cs="Arial"/>
            <w:shd w:val="clear" w:color="auto" w:fill="FFFFFF"/>
          </w:rPr>
          <w:t>https://papers.ssrn.com/sol3/papers.cfm?abstract_id=4539545</w:t>
        </w:r>
      </w:hyperlink>
    </w:p>
    <w:p w14:paraId="23744286" w14:textId="77777777" w:rsidR="00C91549" w:rsidRDefault="00C91549" w:rsidP="00C9154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Tinapay</w:t>
      </w:r>
      <w:proofErr w:type="spellEnd"/>
      <w:r>
        <w:rPr>
          <w:rFonts w:ascii="Arial" w:hAnsi="Arial" w:cs="Arial"/>
          <w:color w:val="222222"/>
          <w:shd w:val="clear" w:color="auto" w:fill="FFFFFF"/>
        </w:rPr>
        <w:t xml:space="preserve">, A. O., Dacanay, L., </w:t>
      </w:r>
      <w:proofErr w:type="spellStart"/>
      <w:r>
        <w:rPr>
          <w:rFonts w:ascii="Arial" w:hAnsi="Arial" w:cs="Arial"/>
          <w:color w:val="222222"/>
          <w:shd w:val="clear" w:color="auto" w:fill="FFFFFF"/>
        </w:rPr>
        <w:t>Gabut</w:t>
      </w:r>
      <w:proofErr w:type="spellEnd"/>
      <w:r>
        <w:rPr>
          <w:rFonts w:ascii="Arial" w:hAnsi="Arial" w:cs="Arial"/>
          <w:color w:val="222222"/>
          <w:shd w:val="clear" w:color="auto" w:fill="FFFFFF"/>
        </w:rPr>
        <w:t>, G., &amp; Macario, R. D. (2024). Student-centered quality assurance in higher education: Promoting trust and transparency through collaborative approaches. </w:t>
      </w:r>
      <w:r>
        <w:rPr>
          <w:rFonts w:ascii="Arial" w:hAnsi="Arial" w:cs="Arial"/>
          <w:i/>
          <w:iCs/>
          <w:color w:val="222222"/>
          <w:shd w:val="clear" w:color="auto" w:fill="FFFFFF"/>
        </w:rPr>
        <w:t>International Journal of Multidisciplinary Research and Publications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(9), 79-84. </w:t>
      </w:r>
      <w:hyperlink r:id="rId35" w:history="1">
        <w:r w:rsidRPr="001B30F1">
          <w:rPr>
            <w:rStyle w:val="Hyperlink"/>
            <w:rFonts w:ascii="Arial" w:hAnsi="Arial" w:cs="Arial"/>
            <w:shd w:val="clear" w:color="auto" w:fill="FFFFFF"/>
          </w:rPr>
          <w:t>https://ijmrap.com/wp-content/uploads/2024/03/IJMRAP-V6N9P57Y24.pdf</w:t>
        </w:r>
      </w:hyperlink>
    </w:p>
    <w:p w14:paraId="388731EF" w14:textId="77777777" w:rsidR="00A705F7" w:rsidRPr="00AD62A2" w:rsidRDefault="00A705F7" w:rsidP="00A705F7">
      <w:pPr>
        <w:ind w:left="720" w:hanging="720"/>
        <w:rPr>
          <w:rFonts w:ascii="Arial" w:hAnsi="Arial" w:cs="Arial"/>
        </w:rPr>
      </w:pPr>
    </w:p>
    <w:p w14:paraId="7ED7B1DB" w14:textId="77777777" w:rsidR="00EC7AAE" w:rsidRDefault="00EC7AAE" w:rsidP="00EC7AAE">
      <w:pPr>
        <w:ind w:left="720" w:hanging="720"/>
      </w:pPr>
    </w:p>
    <w:p w14:paraId="06226349" w14:textId="77777777" w:rsidR="00717F2E" w:rsidRDefault="00717F2E" w:rsidP="00FB50A0">
      <w:pPr>
        <w:ind w:left="720" w:hanging="720"/>
        <w:rPr>
          <w:rFonts w:ascii="Arial" w:hAnsi="Arial" w:cs="Arial"/>
          <w:b/>
        </w:rPr>
      </w:pPr>
    </w:p>
    <w:sectPr w:rsidR="00717F2E" w:rsidSect="00DD11ED">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C715C" w14:textId="77777777" w:rsidR="00C21306" w:rsidRDefault="00C21306">
      <w:r>
        <w:separator/>
      </w:r>
    </w:p>
  </w:endnote>
  <w:endnote w:type="continuationSeparator" w:id="0">
    <w:p w14:paraId="1CE65D07" w14:textId="77777777" w:rsidR="00C21306" w:rsidRDefault="00C2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DE442" w14:textId="77777777" w:rsidR="00DD11ED" w:rsidRDefault="00DD1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E856" w14:textId="77777777" w:rsidR="00DD11ED" w:rsidRDefault="00DD1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08A28D0B" w:rsidR="00717F2E" w:rsidRPr="00DD11ED" w:rsidRDefault="00717F2E" w:rsidP="00DD11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F7B6" w14:textId="77777777" w:rsidR="00C21306" w:rsidRDefault="00C21306">
      <w:r>
        <w:separator/>
      </w:r>
    </w:p>
  </w:footnote>
  <w:footnote w:type="continuationSeparator" w:id="0">
    <w:p w14:paraId="1D898727" w14:textId="77777777" w:rsidR="00C21306" w:rsidRDefault="00C21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475C" w14:textId="656B7A67" w:rsidR="00DD11ED" w:rsidRDefault="00C21306">
    <w:pPr>
      <w:pStyle w:val="Header"/>
    </w:pPr>
    <w:r>
      <w:rPr>
        <w:noProof/>
      </w:rPr>
      <w:pict w14:anchorId="2E434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21D9" w14:textId="44B613B0" w:rsidR="00DD11ED" w:rsidRDefault="00C21306">
    <w:pPr>
      <w:pStyle w:val="Header"/>
    </w:pPr>
    <w:r>
      <w:rPr>
        <w:noProof/>
      </w:rPr>
      <w:pict w14:anchorId="242F4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273E9CC9" w:rsidR="00717F2E" w:rsidRDefault="00C21306">
    <w:pPr>
      <w:ind w:left="2160"/>
      <w:jc w:val="center"/>
      <w:rPr>
        <w:rFonts w:ascii="Times New Roman" w:eastAsia="Calibri" w:hAnsi="Times New Roman"/>
        <w:i/>
        <w:sz w:val="18"/>
        <w:szCs w:val="22"/>
      </w:rPr>
    </w:pPr>
    <w:r>
      <w:rPr>
        <w:noProof/>
      </w:rPr>
      <w:pict w14:anchorId="68192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276D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276D1">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276D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276D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276D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276D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9D5E" w14:textId="3BE8CA07" w:rsidR="00DD11ED" w:rsidRDefault="00C21306">
    <w:pPr>
      <w:pStyle w:val="Header"/>
    </w:pPr>
    <w:r>
      <w:rPr>
        <w:noProof/>
      </w:rPr>
      <w:pict w14:anchorId="753CE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228D" w14:textId="7D60E0F2" w:rsidR="00DD11ED" w:rsidRDefault="00C21306">
    <w:pPr>
      <w:pStyle w:val="Header"/>
    </w:pPr>
    <w:r>
      <w:rPr>
        <w:noProof/>
      </w:rPr>
      <w:pict w14:anchorId="7F65B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76C6" w14:textId="25D9CF8B" w:rsidR="00DD11ED" w:rsidRDefault="00C21306">
    <w:pPr>
      <w:pStyle w:val="Header"/>
    </w:pPr>
    <w:r>
      <w:rPr>
        <w:noProof/>
      </w:rPr>
      <w:pict w14:anchorId="6746E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4CD1"/>
    <w:rsid w:val="00005BE3"/>
    <w:rsid w:val="000077E4"/>
    <w:rsid w:val="00007978"/>
    <w:rsid w:val="000110B5"/>
    <w:rsid w:val="00014095"/>
    <w:rsid w:val="00015C44"/>
    <w:rsid w:val="00021967"/>
    <w:rsid w:val="00021FDF"/>
    <w:rsid w:val="00024B4F"/>
    <w:rsid w:val="00024BF1"/>
    <w:rsid w:val="000254BB"/>
    <w:rsid w:val="00025BD1"/>
    <w:rsid w:val="000260E3"/>
    <w:rsid w:val="000262CC"/>
    <w:rsid w:val="00030174"/>
    <w:rsid w:val="00037406"/>
    <w:rsid w:val="00037475"/>
    <w:rsid w:val="0004038B"/>
    <w:rsid w:val="00043453"/>
    <w:rsid w:val="0004445B"/>
    <w:rsid w:val="0004512C"/>
    <w:rsid w:val="0004579C"/>
    <w:rsid w:val="00045CD6"/>
    <w:rsid w:val="00046AE8"/>
    <w:rsid w:val="00052575"/>
    <w:rsid w:val="00052710"/>
    <w:rsid w:val="000531C9"/>
    <w:rsid w:val="00054B24"/>
    <w:rsid w:val="00054B91"/>
    <w:rsid w:val="0005727A"/>
    <w:rsid w:val="00057C65"/>
    <w:rsid w:val="000603D4"/>
    <w:rsid w:val="00061339"/>
    <w:rsid w:val="000647E2"/>
    <w:rsid w:val="00065B83"/>
    <w:rsid w:val="0006706E"/>
    <w:rsid w:val="00067A0F"/>
    <w:rsid w:val="00067B98"/>
    <w:rsid w:val="00073172"/>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1CDB"/>
    <w:rsid w:val="000D2384"/>
    <w:rsid w:val="000D31C5"/>
    <w:rsid w:val="000D57CE"/>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07572"/>
    <w:rsid w:val="00113238"/>
    <w:rsid w:val="00115F49"/>
    <w:rsid w:val="00117553"/>
    <w:rsid w:val="00122285"/>
    <w:rsid w:val="00122E99"/>
    <w:rsid w:val="00123C9F"/>
    <w:rsid w:val="001242A5"/>
    <w:rsid w:val="00126190"/>
    <w:rsid w:val="00126507"/>
    <w:rsid w:val="00126BC5"/>
    <w:rsid w:val="001276D1"/>
    <w:rsid w:val="00130F17"/>
    <w:rsid w:val="0013132C"/>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45BF"/>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76854"/>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A7B61"/>
    <w:rsid w:val="002B27FB"/>
    <w:rsid w:val="002B4EDC"/>
    <w:rsid w:val="002B685A"/>
    <w:rsid w:val="002C0715"/>
    <w:rsid w:val="002C2BD6"/>
    <w:rsid w:val="002C36E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2F7F07"/>
    <w:rsid w:val="0030202C"/>
    <w:rsid w:val="00303A6C"/>
    <w:rsid w:val="00303E14"/>
    <w:rsid w:val="00304434"/>
    <w:rsid w:val="00304469"/>
    <w:rsid w:val="003078F7"/>
    <w:rsid w:val="00314853"/>
    <w:rsid w:val="00315186"/>
    <w:rsid w:val="00315729"/>
    <w:rsid w:val="003157D5"/>
    <w:rsid w:val="00315947"/>
    <w:rsid w:val="003207E7"/>
    <w:rsid w:val="00320B81"/>
    <w:rsid w:val="00323BB4"/>
    <w:rsid w:val="003248E3"/>
    <w:rsid w:val="00324CBC"/>
    <w:rsid w:val="00324DE7"/>
    <w:rsid w:val="00325EA8"/>
    <w:rsid w:val="00326909"/>
    <w:rsid w:val="0033343E"/>
    <w:rsid w:val="00335B70"/>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0BB6"/>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979B3"/>
    <w:rsid w:val="003A1837"/>
    <w:rsid w:val="003A43A4"/>
    <w:rsid w:val="003A4D6B"/>
    <w:rsid w:val="003A539B"/>
    <w:rsid w:val="003A67AC"/>
    <w:rsid w:val="003A6DA1"/>
    <w:rsid w:val="003A7E18"/>
    <w:rsid w:val="003B103B"/>
    <w:rsid w:val="003B1AE0"/>
    <w:rsid w:val="003B2756"/>
    <w:rsid w:val="003B2A9F"/>
    <w:rsid w:val="003B3DC3"/>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3F7D"/>
    <w:rsid w:val="00434182"/>
    <w:rsid w:val="00437079"/>
    <w:rsid w:val="00440F43"/>
    <w:rsid w:val="0044134F"/>
    <w:rsid w:val="00441B6F"/>
    <w:rsid w:val="00446221"/>
    <w:rsid w:val="00450E62"/>
    <w:rsid w:val="004539DB"/>
    <w:rsid w:val="00454D68"/>
    <w:rsid w:val="004605A5"/>
    <w:rsid w:val="004608EE"/>
    <w:rsid w:val="00460BE9"/>
    <w:rsid w:val="004611A9"/>
    <w:rsid w:val="0046425C"/>
    <w:rsid w:val="0046509F"/>
    <w:rsid w:val="004653D0"/>
    <w:rsid w:val="004658C8"/>
    <w:rsid w:val="00465C00"/>
    <w:rsid w:val="00465DA5"/>
    <w:rsid w:val="00466478"/>
    <w:rsid w:val="00466DA6"/>
    <w:rsid w:val="00470E83"/>
    <w:rsid w:val="00471A80"/>
    <w:rsid w:val="004735A4"/>
    <w:rsid w:val="00474519"/>
    <w:rsid w:val="00483372"/>
    <w:rsid w:val="0048547F"/>
    <w:rsid w:val="00490B0B"/>
    <w:rsid w:val="00491EFD"/>
    <w:rsid w:val="00495915"/>
    <w:rsid w:val="004B1A50"/>
    <w:rsid w:val="004B1AFD"/>
    <w:rsid w:val="004B5E92"/>
    <w:rsid w:val="004C0CFF"/>
    <w:rsid w:val="004C0FB0"/>
    <w:rsid w:val="004C23DD"/>
    <w:rsid w:val="004C482A"/>
    <w:rsid w:val="004C6530"/>
    <w:rsid w:val="004D07E8"/>
    <w:rsid w:val="004D0C87"/>
    <w:rsid w:val="004D305E"/>
    <w:rsid w:val="004D4277"/>
    <w:rsid w:val="004D4936"/>
    <w:rsid w:val="004E1DA9"/>
    <w:rsid w:val="004E21A0"/>
    <w:rsid w:val="004E5345"/>
    <w:rsid w:val="004E5924"/>
    <w:rsid w:val="004E6386"/>
    <w:rsid w:val="004F45E4"/>
    <w:rsid w:val="004F7E11"/>
    <w:rsid w:val="00500D35"/>
    <w:rsid w:val="00502516"/>
    <w:rsid w:val="00502C0C"/>
    <w:rsid w:val="00502D46"/>
    <w:rsid w:val="00503ADC"/>
    <w:rsid w:val="00504CAB"/>
    <w:rsid w:val="00505F06"/>
    <w:rsid w:val="00506828"/>
    <w:rsid w:val="0050758D"/>
    <w:rsid w:val="0050761B"/>
    <w:rsid w:val="00507A73"/>
    <w:rsid w:val="00510C98"/>
    <w:rsid w:val="00523F46"/>
    <w:rsid w:val="00524ED0"/>
    <w:rsid w:val="0053056E"/>
    <w:rsid w:val="0053144C"/>
    <w:rsid w:val="0053558A"/>
    <w:rsid w:val="00535C8B"/>
    <w:rsid w:val="00535CBD"/>
    <w:rsid w:val="005404AD"/>
    <w:rsid w:val="005428F9"/>
    <w:rsid w:val="005435C6"/>
    <w:rsid w:val="00550463"/>
    <w:rsid w:val="00552085"/>
    <w:rsid w:val="00553354"/>
    <w:rsid w:val="0055379E"/>
    <w:rsid w:val="00554C2B"/>
    <w:rsid w:val="00554EEE"/>
    <w:rsid w:val="00554FDA"/>
    <w:rsid w:val="00555852"/>
    <w:rsid w:val="00555A79"/>
    <w:rsid w:val="00557ED8"/>
    <w:rsid w:val="005602BC"/>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0D43"/>
    <w:rsid w:val="005E2A7F"/>
    <w:rsid w:val="005E5539"/>
    <w:rsid w:val="005F3517"/>
    <w:rsid w:val="005F3FD1"/>
    <w:rsid w:val="005F4312"/>
    <w:rsid w:val="005F4FB1"/>
    <w:rsid w:val="005F5CD3"/>
    <w:rsid w:val="005F7B39"/>
    <w:rsid w:val="006013F0"/>
    <w:rsid w:val="00602BF5"/>
    <w:rsid w:val="006039E7"/>
    <w:rsid w:val="00604A7A"/>
    <w:rsid w:val="0060632C"/>
    <w:rsid w:val="00606EB7"/>
    <w:rsid w:val="00611918"/>
    <w:rsid w:val="0061357D"/>
    <w:rsid w:val="00613CF9"/>
    <w:rsid w:val="00613F21"/>
    <w:rsid w:val="00615452"/>
    <w:rsid w:val="006162E2"/>
    <w:rsid w:val="00617FDD"/>
    <w:rsid w:val="006203C5"/>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66D5E"/>
    <w:rsid w:val="006706E9"/>
    <w:rsid w:val="00673F9F"/>
    <w:rsid w:val="00681775"/>
    <w:rsid w:val="00681E63"/>
    <w:rsid w:val="00683035"/>
    <w:rsid w:val="00686953"/>
    <w:rsid w:val="00686A69"/>
    <w:rsid w:val="00687DEA"/>
    <w:rsid w:val="00687E67"/>
    <w:rsid w:val="00687FCD"/>
    <w:rsid w:val="00692B46"/>
    <w:rsid w:val="006932A7"/>
    <w:rsid w:val="006967F7"/>
    <w:rsid w:val="00696934"/>
    <w:rsid w:val="00697B55"/>
    <w:rsid w:val="006A0A28"/>
    <w:rsid w:val="006A0F34"/>
    <w:rsid w:val="006A18E9"/>
    <w:rsid w:val="006A1A0B"/>
    <w:rsid w:val="006A250C"/>
    <w:rsid w:val="006A2AD3"/>
    <w:rsid w:val="006A6872"/>
    <w:rsid w:val="006A68BD"/>
    <w:rsid w:val="006B0BD5"/>
    <w:rsid w:val="006B165B"/>
    <w:rsid w:val="006B21D3"/>
    <w:rsid w:val="006B57D0"/>
    <w:rsid w:val="006B7388"/>
    <w:rsid w:val="006B77F3"/>
    <w:rsid w:val="006C24B2"/>
    <w:rsid w:val="006C294F"/>
    <w:rsid w:val="006C3422"/>
    <w:rsid w:val="006D0988"/>
    <w:rsid w:val="006D30FF"/>
    <w:rsid w:val="006D3A54"/>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6E59"/>
    <w:rsid w:val="0074780A"/>
    <w:rsid w:val="00754C9A"/>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766"/>
    <w:rsid w:val="00781D5E"/>
    <w:rsid w:val="00781F66"/>
    <w:rsid w:val="00790ADA"/>
    <w:rsid w:val="00791230"/>
    <w:rsid w:val="0079158F"/>
    <w:rsid w:val="00794C2C"/>
    <w:rsid w:val="007969E9"/>
    <w:rsid w:val="007A2E32"/>
    <w:rsid w:val="007A351A"/>
    <w:rsid w:val="007B0C10"/>
    <w:rsid w:val="007B541F"/>
    <w:rsid w:val="007C102A"/>
    <w:rsid w:val="007C3792"/>
    <w:rsid w:val="007C4C8B"/>
    <w:rsid w:val="007C4E84"/>
    <w:rsid w:val="007C6F64"/>
    <w:rsid w:val="007D0606"/>
    <w:rsid w:val="007D2288"/>
    <w:rsid w:val="007D30D2"/>
    <w:rsid w:val="007D3FB5"/>
    <w:rsid w:val="007D7251"/>
    <w:rsid w:val="007D7C3E"/>
    <w:rsid w:val="007E088F"/>
    <w:rsid w:val="007E565A"/>
    <w:rsid w:val="007E7A7F"/>
    <w:rsid w:val="007F2720"/>
    <w:rsid w:val="007F351A"/>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36A23"/>
    <w:rsid w:val="00844419"/>
    <w:rsid w:val="008453DD"/>
    <w:rsid w:val="00847952"/>
    <w:rsid w:val="00851CF6"/>
    <w:rsid w:val="0085546E"/>
    <w:rsid w:val="00855DB8"/>
    <w:rsid w:val="0085657A"/>
    <w:rsid w:val="00860000"/>
    <w:rsid w:val="00862163"/>
    <w:rsid w:val="00863BD3"/>
    <w:rsid w:val="00866D66"/>
    <w:rsid w:val="008671C6"/>
    <w:rsid w:val="00872099"/>
    <w:rsid w:val="00872C97"/>
    <w:rsid w:val="00875803"/>
    <w:rsid w:val="00877D36"/>
    <w:rsid w:val="00877DC1"/>
    <w:rsid w:val="00881869"/>
    <w:rsid w:val="00881D2A"/>
    <w:rsid w:val="008825C9"/>
    <w:rsid w:val="0088785F"/>
    <w:rsid w:val="008927A1"/>
    <w:rsid w:val="008945A3"/>
    <w:rsid w:val="00896524"/>
    <w:rsid w:val="00897FB9"/>
    <w:rsid w:val="008A09AF"/>
    <w:rsid w:val="008A7E29"/>
    <w:rsid w:val="008B459E"/>
    <w:rsid w:val="008B6AE3"/>
    <w:rsid w:val="008C2330"/>
    <w:rsid w:val="008C65DE"/>
    <w:rsid w:val="008D1544"/>
    <w:rsid w:val="008D4CC6"/>
    <w:rsid w:val="008D5531"/>
    <w:rsid w:val="008D6E31"/>
    <w:rsid w:val="008E13AE"/>
    <w:rsid w:val="008E1506"/>
    <w:rsid w:val="008E1D48"/>
    <w:rsid w:val="008E710C"/>
    <w:rsid w:val="008F0221"/>
    <w:rsid w:val="008F0E58"/>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1D86"/>
    <w:rsid w:val="009F5D06"/>
    <w:rsid w:val="009F743A"/>
    <w:rsid w:val="00A03B96"/>
    <w:rsid w:val="00A03BA8"/>
    <w:rsid w:val="00A04439"/>
    <w:rsid w:val="00A05B19"/>
    <w:rsid w:val="00A1134E"/>
    <w:rsid w:val="00A1288B"/>
    <w:rsid w:val="00A12A42"/>
    <w:rsid w:val="00A21D6E"/>
    <w:rsid w:val="00A24E7E"/>
    <w:rsid w:val="00A254E5"/>
    <w:rsid w:val="00A258C3"/>
    <w:rsid w:val="00A313D4"/>
    <w:rsid w:val="00A347C0"/>
    <w:rsid w:val="00A35F70"/>
    <w:rsid w:val="00A44B85"/>
    <w:rsid w:val="00A46357"/>
    <w:rsid w:val="00A47DC3"/>
    <w:rsid w:val="00A47F96"/>
    <w:rsid w:val="00A51431"/>
    <w:rsid w:val="00A52A80"/>
    <w:rsid w:val="00A539AD"/>
    <w:rsid w:val="00A54DF9"/>
    <w:rsid w:val="00A561C5"/>
    <w:rsid w:val="00A577B9"/>
    <w:rsid w:val="00A61C0B"/>
    <w:rsid w:val="00A705F7"/>
    <w:rsid w:val="00A73CD6"/>
    <w:rsid w:val="00A74632"/>
    <w:rsid w:val="00A8769D"/>
    <w:rsid w:val="00A9100D"/>
    <w:rsid w:val="00A919E7"/>
    <w:rsid w:val="00A94063"/>
    <w:rsid w:val="00A97CA7"/>
    <w:rsid w:val="00AA021D"/>
    <w:rsid w:val="00AA046F"/>
    <w:rsid w:val="00AA1319"/>
    <w:rsid w:val="00AA2464"/>
    <w:rsid w:val="00AA39D0"/>
    <w:rsid w:val="00AA619C"/>
    <w:rsid w:val="00AA6219"/>
    <w:rsid w:val="00AA74E0"/>
    <w:rsid w:val="00AB02AE"/>
    <w:rsid w:val="00AB03A5"/>
    <w:rsid w:val="00AB0ED9"/>
    <w:rsid w:val="00AB2BC6"/>
    <w:rsid w:val="00AB4638"/>
    <w:rsid w:val="00AB703F"/>
    <w:rsid w:val="00AB71CE"/>
    <w:rsid w:val="00AB7BD9"/>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248"/>
    <w:rsid w:val="00AF0598"/>
    <w:rsid w:val="00AF0868"/>
    <w:rsid w:val="00AF2837"/>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4487"/>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361C"/>
    <w:rsid w:val="00B64177"/>
    <w:rsid w:val="00B66AB4"/>
    <w:rsid w:val="00B72B39"/>
    <w:rsid w:val="00B76F94"/>
    <w:rsid w:val="00B771E5"/>
    <w:rsid w:val="00B83A45"/>
    <w:rsid w:val="00B859F0"/>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1306"/>
    <w:rsid w:val="00C237B6"/>
    <w:rsid w:val="00C247FE"/>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1549"/>
    <w:rsid w:val="00C944B7"/>
    <w:rsid w:val="00C94706"/>
    <w:rsid w:val="00C972A1"/>
    <w:rsid w:val="00CA1A21"/>
    <w:rsid w:val="00CA7890"/>
    <w:rsid w:val="00CB059F"/>
    <w:rsid w:val="00CB11B3"/>
    <w:rsid w:val="00CB2155"/>
    <w:rsid w:val="00CB37FD"/>
    <w:rsid w:val="00CB44D3"/>
    <w:rsid w:val="00CB60AE"/>
    <w:rsid w:val="00CB6F3A"/>
    <w:rsid w:val="00CB7AC1"/>
    <w:rsid w:val="00CC367E"/>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65CB"/>
    <w:rsid w:val="00D13BF4"/>
    <w:rsid w:val="00D16A04"/>
    <w:rsid w:val="00D17273"/>
    <w:rsid w:val="00D173F1"/>
    <w:rsid w:val="00D20E99"/>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577D0"/>
    <w:rsid w:val="00D607E8"/>
    <w:rsid w:val="00D60E73"/>
    <w:rsid w:val="00D6111D"/>
    <w:rsid w:val="00D62A6B"/>
    <w:rsid w:val="00D64B9B"/>
    <w:rsid w:val="00D66561"/>
    <w:rsid w:val="00D668D6"/>
    <w:rsid w:val="00D67D5C"/>
    <w:rsid w:val="00D717BB"/>
    <w:rsid w:val="00D72CC0"/>
    <w:rsid w:val="00D75E6F"/>
    <w:rsid w:val="00D772CA"/>
    <w:rsid w:val="00D77F8D"/>
    <w:rsid w:val="00D77FBA"/>
    <w:rsid w:val="00D8295D"/>
    <w:rsid w:val="00D83D9C"/>
    <w:rsid w:val="00D927CC"/>
    <w:rsid w:val="00D92CBE"/>
    <w:rsid w:val="00D95C45"/>
    <w:rsid w:val="00DA28B7"/>
    <w:rsid w:val="00DA3D24"/>
    <w:rsid w:val="00DB03BF"/>
    <w:rsid w:val="00DB0B12"/>
    <w:rsid w:val="00DB0B8E"/>
    <w:rsid w:val="00DB27EE"/>
    <w:rsid w:val="00DC0291"/>
    <w:rsid w:val="00DC09E0"/>
    <w:rsid w:val="00DC0BFC"/>
    <w:rsid w:val="00DC2A65"/>
    <w:rsid w:val="00DD0B2B"/>
    <w:rsid w:val="00DD11ED"/>
    <w:rsid w:val="00DD1370"/>
    <w:rsid w:val="00DD1EA9"/>
    <w:rsid w:val="00DD5EA2"/>
    <w:rsid w:val="00DD6431"/>
    <w:rsid w:val="00DD68C1"/>
    <w:rsid w:val="00DD733B"/>
    <w:rsid w:val="00DE15F0"/>
    <w:rsid w:val="00DE32FA"/>
    <w:rsid w:val="00DE3EAB"/>
    <w:rsid w:val="00DE5663"/>
    <w:rsid w:val="00DE7644"/>
    <w:rsid w:val="00DE78AA"/>
    <w:rsid w:val="00DF2CC6"/>
    <w:rsid w:val="00DF4C95"/>
    <w:rsid w:val="00E009EA"/>
    <w:rsid w:val="00E053D0"/>
    <w:rsid w:val="00E05D72"/>
    <w:rsid w:val="00E05D9D"/>
    <w:rsid w:val="00E100D0"/>
    <w:rsid w:val="00E103CF"/>
    <w:rsid w:val="00E112E6"/>
    <w:rsid w:val="00E12CED"/>
    <w:rsid w:val="00E146D8"/>
    <w:rsid w:val="00E15994"/>
    <w:rsid w:val="00E22B41"/>
    <w:rsid w:val="00E2395E"/>
    <w:rsid w:val="00E2437E"/>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5795E"/>
    <w:rsid w:val="00E60DD9"/>
    <w:rsid w:val="00E61952"/>
    <w:rsid w:val="00E64B1B"/>
    <w:rsid w:val="00E66496"/>
    <w:rsid w:val="00E66A3C"/>
    <w:rsid w:val="00E66B35"/>
    <w:rsid w:val="00E66E10"/>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0D56"/>
    <w:rsid w:val="00EC3636"/>
    <w:rsid w:val="00EC7AAE"/>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3681"/>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84C5F"/>
    <w:rsid w:val="00F947E3"/>
    <w:rsid w:val="00F96071"/>
    <w:rsid w:val="00FA0D6E"/>
    <w:rsid w:val="00FA2543"/>
    <w:rsid w:val="00FB0402"/>
    <w:rsid w:val="00FB3A86"/>
    <w:rsid w:val="00FB469D"/>
    <w:rsid w:val="00FB50A0"/>
    <w:rsid w:val="00FB6C0F"/>
    <w:rsid w:val="00FB7F6C"/>
    <w:rsid w:val="00FC4F69"/>
    <w:rsid w:val="00FD08B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jilpm.com.ng/assets/vol.,-5(2)-brigue,-a.-u.,---orlu,-v.-n.pdf" TargetMode="External"/><Relationship Id="rId26" Type="http://schemas.openxmlformats.org/officeDocument/2006/relationships/hyperlink" Target="https://icertpublication.com/wp-content/uploads/2024/01/115.-The-Role-of-Ethics-and-Moral-Values-in-Teaching.pdf" TargetMode="External"/><Relationship Id="rId39" Type="http://schemas.openxmlformats.org/officeDocument/2006/relationships/header" Target="header6.xml"/><Relationship Id="rId21" Type="http://schemas.openxmlformats.org/officeDocument/2006/relationships/hyperlink" Target="https://www.preprints.org/frontend/manuscript/fd984f1b3675a8e38e40c413605d8fa2/download_pub" TargetMode="External"/><Relationship Id="rId34" Type="http://schemas.openxmlformats.org/officeDocument/2006/relationships/hyperlink" Target="https://papers.ssrn.com/sol3/papers.cfm?abstract_id=453954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arch.proquest.com/openview/50a861b137dec3d89de54947613f3be2/1?pq-origsite=gscholar&amp;cbl=18750&amp;diss=y" TargetMode="External"/><Relationship Id="rId20" Type="http://schemas.openxmlformats.org/officeDocument/2006/relationships/hyperlink" Target="https://www.tandfonline.com/doi/abs/10.1080/01626620.2019.1704464" TargetMode="External"/><Relationship Id="rId29" Type="http://schemas.openxmlformats.org/officeDocument/2006/relationships/hyperlink" Target="https://unilaws.org/unilaws/article/view/2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arch.proquest.com/openview/504cd5f7240a2f97d1128563d5ab3542/1?pq-origsite=gscholar&amp;cbl=18750&amp;diss=y" TargetMode="External"/><Relationship Id="rId32" Type="http://schemas.openxmlformats.org/officeDocument/2006/relationships/hyperlink" Target="https://link.springer.com/article/10.1007/s40617-021-00602-7"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researchgate.net/profile/Philip-Donald-Herrera/publication/383151583_Exploring_teachers'_needs_with_the_Philippine_professional_standards_for_teachers'_domains_as_framework_A_case_in_basic_education/links/66bea1d22ff54d6c9ed3e6c7/Exploring-teachers-needs-with-the-Philippine-professional-standards-for-teachers-domains-as-framework-A-case-in-basic-education.pdf" TargetMode="External"/><Relationship Id="rId28" Type="http://schemas.openxmlformats.org/officeDocument/2006/relationships/hyperlink" Target="https://www.tandfonline.com/doi/abs/10.1080/19415257.2019.1585384"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ajol.info/index.php/ngjsd/article/download/291816/274697" TargetMode="External"/><Relationship Id="rId31" Type="http://schemas.openxmlformats.org/officeDocument/2006/relationships/hyperlink" Target="https://icceph.com/wp-content/uploads/2024/04/EXPLORING-THE-MOTIVATION-AND-CHALLENGES-OF-NON-EDUCATION-GRADUATES-MAKING-A-CAREER-SHIFT-TO-TEACHING-IN-PALAVILLA-INTEGRATED-SCHOOL.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link.springer.com/article/10.1007/s40979-021-00099-1" TargetMode="External"/><Relationship Id="rId27" Type="http://schemas.openxmlformats.org/officeDocument/2006/relationships/hyperlink" Target="https://www.tandfonline.com/doi/abs/10.1080/14719037.2021.1963822" TargetMode="External"/><Relationship Id="rId30" Type="http://schemas.openxmlformats.org/officeDocument/2006/relationships/hyperlink" Target="https://www.academia.edu/download/73779381/MRJ_Published_Article.pdf" TargetMode="External"/><Relationship Id="rId35" Type="http://schemas.openxmlformats.org/officeDocument/2006/relationships/hyperlink" Target="https://ijmrap.com/wp-content/uploads/2024/03/IJMRAP-V6N9P57Y24.pdf"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sciencedirect.com/science/article/pii/S1658361221001360" TargetMode="External"/><Relationship Id="rId25" Type="http://schemas.openxmlformats.org/officeDocument/2006/relationships/hyperlink" Target="https://nepjol.info/index.php/smcrj/article/view/64887" TargetMode="External"/><Relationship Id="rId33" Type="http://schemas.openxmlformats.org/officeDocument/2006/relationships/hyperlink" Target="https://link.springer.com/article/10.1007/s11092-020-09342-8"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12</Pages>
  <Words>5709</Words>
  <Characters>32542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115</cp:revision>
  <cp:lastPrinted>2024-10-20T02:52:00Z</cp:lastPrinted>
  <dcterms:created xsi:type="dcterms:W3CDTF">2025-06-07T12:42:00Z</dcterms:created>
  <dcterms:modified xsi:type="dcterms:W3CDTF">2025-06-16T07:17:00Z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